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3F522">
      <w:pPr>
        <w:pStyle w:val="19"/>
        <w:tabs>
          <w:tab w:val="left" w:pos="4200"/>
        </w:tabs>
        <w:snapToGrid w:val="0"/>
        <w:spacing w:line="480" w:lineRule="auto"/>
        <w:ind w:left="31" w:leftChars="15" w:right="0" w:firstLine="0" w:firstLineChars="0"/>
        <w:jc w:val="center"/>
        <w:rPr>
          <w:rFonts w:ascii="宋体" w:hAnsi="宋体" w:eastAsia="宋体"/>
          <w:b/>
          <w:color w:val="auto"/>
          <w:sz w:val="48"/>
          <w:szCs w:val="48"/>
          <w:highlight w:val="none"/>
        </w:rPr>
      </w:pPr>
    </w:p>
    <w:p w14:paraId="07F099D3">
      <w:pPr>
        <w:pStyle w:val="19"/>
        <w:snapToGrid w:val="0"/>
        <w:spacing w:line="360" w:lineRule="auto"/>
        <w:ind w:left="0" w:right="0" w:firstLine="0" w:firstLineChars="0"/>
        <w:jc w:val="center"/>
        <w:rPr>
          <w:rFonts w:ascii="宋体" w:hAnsi="宋体" w:eastAsia="宋体"/>
          <w:color w:val="auto"/>
          <w:sz w:val="44"/>
          <w:szCs w:val="44"/>
          <w:highlight w:val="none"/>
        </w:rPr>
      </w:pPr>
      <w:r>
        <w:rPr>
          <w:rFonts w:ascii="宋体" w:hAnsi="宋体" w:eastAsia="宋体"/>
          <w:color w:val="auto"/>
          <w:sz w:val="44"/>
          <w:szCs w:val="44"/>
          <w:highlight w:val="none"/>
        </w:rPr>
        <w:t>重庆市房屋建筑和市政基础设施</w:t>
      </w:r>
      <w:r>
        <w:rPr>
          <w:rFonts w:hint="eastAsia" w:ascii="宋体" w:hAnsi="宋体" w:eastAsia="宋体"/>
          <w:color w:val="auto"/>
          <w:sz w:val="44"/>
          <w:szCs w:val="44"/>
          <w:highlight w:val="none"/>
        </w:rPr>
        <w:t>项目</w:t>
      </w:r>
      <w:r>
        <w:rPr>
          <w:rFonts w:ascii="宋体" w:hAnsi="宋体" w:eastAsia="宋体"/>
          <w:color w:val="auto"/>
          <w:sz w:val="44"/>
          <w:szCs w:val="44"/>
          <w:highlight w:val="none"/>
        </w:rPr>
        <w:t>工程总承包</w:t>
      </w:r>
    </w:p>
    <w:p w14:paraId="6C1D0A19">
      <w:pPr>
        <w:pStyle w:val="19"/>
        <w:snapToGrid w:val="0"/>
        <w:spacing w:line="360" w:lineRule="auto"/>
        <w:ind w:left="0" w:right="0" w:firstLine="0" w:firstLineChars="0"/>
        <w:jc w:val="center"/>
        <w:rPr>
          <w:rFonts w:ascii="宋体" w:hAnsi="宋体" w:eastAsia="宋体"/>
          <w:color w:val="auto"/>
          <w:sz w:val="48"/>
          <w:szCs w:val="48"/>
          <w:highlight w:val="none"/>
        </w:rPr>
      </w:pPr>
    </w:p>
    <w:p w14:paraId="44A7AC25">
      <w:pPr>
        <w:pStyle w:val="19"/>
        <w:snapToGrid w:val="0"/>
        <w:spacing w:line="360" w:lineRule="auto"/>
        <w:ind w:left="0" w:right="0" w:firstLine="0" w:firstLineChars="0"/>
        <w:jc w:val="center"/>
        <w:rPr>
          <w:rFonts w:ascii="宋体" w:hAnsi="宋体" w:eastAsia="宋体"/>
          <w:color w:val="auto"/>
          <w:sz w:val="48"/>
          <w:szCs w:val="48"/>
          <w:highlight w:val="none"/>
        </w:rPr>
      </w:pPr>
    </w:p>
    <w:p w14:paraId="59376349">
      <w:pPr>
        <w:pStyle w:val="19"/>
        <w:snapToGrid w:val="0"/>
        <w:spacing w:line="360" w:lineRule="auto"/>
        <w:ind w:left="0" w:right="0" w:firstLine="0" w:firstLineChars="0"/>
        <w:jc w:val="center"/>
        <w:rPr>
          <w:rFonts w:ascii="宋体" w:hAnsi="宋体" w:eastAsia="宋体"/>
          <w:b/>
          <w:color w:val="auto"/>
          <w:sz w:val="84"/>
          <w:szCs w:val="84"/>
          <w:highlight w:val="none"/>
        </w:rPr>
      </w:pPr>
      <w:r>
        <w:rPr>
          <w:rFonts w:ascii="宋体" w:hAnsi="宋体" w:eastAsia="宋体"/>
          <w:b/>
          <w:color w:val="auto"/>
          <w:sz w:val="84"/>
          <w:szCs w:val="84"/>
          <w:highlight w:val="none"/>
        </w:rPr>
        <w:t>标准招标文件</w:t>
      </w:r>
    </w:p>
    <w:p w14:paraId="167B0921">
      <w:pPr>
        <w:pStyle w:val="19"/>
        <w:snapToGrid w:val="0"/>
        <w:spacing w:line="360" w:lineRule="auto"/>
        <w:ind w:left="0" w:right="0" w:firstLine="0" w:firstLineChars="0"/>
        <w:jc w:val="center"/>
        <w:rPr>
          <w:rFonts w:ascii="宋体" w:hAnsi="宋体" w:eastAsia="宋体"/>
          <w:color w:val="auto"/>
          <w:kern w:val="0"/>
          <w:sz w:val="48"/>
          <w:szCs w:val="48"/>
          <w:highlight w:val="none"/>
        </w:rPr>
      </w:pPr>
      <w:r>
        <w:rPr>
          <w:rFonts w:hint="eastAsia" w:ascii="宋体" w:hAnsi="宋体" w:eastAsia="宋体"/>
          <w:color w:val="auto"/>
          <w:sz w:val="48"/>
          <w:szCs w:val="48"/>
          <w:highlight w:val="none"/>
        </w:rPr>
        <w:t>（全流程电子招标</w:t>
      </w:r>
      <w:r>
        <w:rPr>
          <w:rFonts w:ascii="宋体" w:hAnsi="宋体" w:eastAsia="宋体"/>
          <w:color w:val="auto"/>
          <w:sz w:val="48"/>
          <w:szCs w:val="48"/>
          <w:highlight w:val="none"/>
        </w:rPr>
        <w:t>2020</w:t>
      </w:r>
      <w:r>
        <w:rPr>
          <w:rFonts w:hint="eastAsia" w:ascii="宋体" w:hAnsi="宋体" w:eastAsia="宋体"/>
          <w:color w:val="auto"/>
          <w:sz w:val="48"/>
          <w:szCs w:val="48"/>
          <w:highlight w:val="none"/>
        </w:rPr>
        <w:t>年版）</w:t>
      </w:r>
    </w:p>
    <w:p w14:paraId="11E7B7B0">
      <w:pPr>
        <w:autoSpaceDE w:val="0"/>
        <w:autoSpaceDN w:val="0"/>
        <w:adjustRightInd w:val="0"/>
        <w:snapToGrid w:val="0"/>
        <w:spacing w:line="360" w:lineRule="auto"/>
        <w:jc w:val="center"/>
        <w:rPr>
          <w:rFonts w:ascii="宋体" w:hAnsi="宋体"/>
          <w:b/>
          <w:color w:val="auto"/>
          <w:kern w:val="0"/>
          <w:position w:val="-5"/>
          <w:sz w:val="44"/>
          <w:szCs w:val="44"/>
          <w:highlight w:val="none"/>
        </w:rPr>
      </w:pPr>
    </w:p>
    <w:p w14:paraId="0319F45F">
      <w:pPr>
        <w:autoSpaceDE w:val="0"/>
        <w:autoSpaceDN w:val="0"/>
        <w:adjustRightInd w:val="0"/>
        <w:snapToGrid w:val="0"/>
        <w:spacing w:line="360" w:lineRule="auto"/>
        <w:jc w:val="center"/>
        <w:rPr>
          <w:rFonts w:ascii="宋体" w:hAnsi="宋体"/>
          <w:b/>
          <w:color w:val="auto"/>
          <w:kern w:val="0"/>
          <w:position w:val="-5"/>
          <w:sz w:val="44"/>
          <w:szCs w:val="44"/>
          <w:highlight w:val="none"/>
        </w:rPr>
      </w:pPr>
    </w:p>
    <w:p w14:paraId="45CA052D">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27465B23">
      <w:pPr>
        <w:autoSpaceDE w:val="0"/>
        <w:autoSpaceDN w:val="0"/>
        <w:adjustRightInd w:val="0"/>
        <w:snapToGrid w:val="0"/>
        <w:spacing w:line="360" w:lineRule="auto"/>
        <w:jc w:val="center"/>
        <w:rPr>
          <w:rFonts w:ascii="宋体" w:hAnsi="宋体"/>
          <w:b/>
          <w:color w:val="auto"/>
          <w:kern w:val="0"/>
          <w:position w:val="-5"/>
          <w:sz w:val="32"/>
          <w:szCs w:val="48"/>
          <w:highlight w:val="none"/>
        </w:rPr>
      </w:pPr>
    </w:p>
    <w:p w14:paraId="62F2E6D7">
      <w:pPr>
        <w:autoSpaceDE w:val="0"/>
        <w:autoSpaceDN w:val="0"/>
        <w:adjustRightInd w:val="0"/>
        <w:snapToGrid w:val="0"/>
        <w:spacing w:line="360" w:lineRule="auto"/>
        <w:jc w:val="center"/>
        <w:rPr>
          <w:rFonts w:ascii="宋体" w:hAnsi="宋体"/>
          <w:color w:val="auto"/>
          <w:kern w:val="0"/>
          <w:position w:val="-5"/>
          <w:sz w:val="32"/>
          <w:szCs w:val="48"/>
          <w:highlight w:val="none"/>
        </w:rPr>
      </w:pPr>
    </w:p>
    <w:p w14:paraId="678CD3D1">
      <w:pPr>
        <w:adjustRightInd w:val="0"/>
        <w:snapToGrid w:val="0"/>
        <w:spacing w:line="360" w:lineRule="auto"/>
        <w:jc w:val="center"/>
        <w:rPr>
          <w:rFonts w:ascii="宋体" w:hAnsi="宋体"/>
          <w:color w:val="auto"/>
          <w:sz w:val="36"/>
          <w:szCs w:val="36"/>
          <w:highlight w:val="none"/>
        </w:rPr>
      </w:pPr>
    </w:p>
    <w:p w14:paraId="7403422A">
      <w:pPr>
        <w:adjustRightInd w:val="0"/>
        <w:snapToGrid w:val="0"/>
        <w:spacing w:line="360" w:lineRule="auto"/>
        <w:jc w:val="center"/>
        <w:rPr>
          <w:rFonts w:ascii="宋体" w:hAnsi="宋体"/>
          <w:color w:val="auto"/>
          <w:sz w:val="36"/>
          <w:szCs w:val="36"/>
          <w:highlight w:val="none"/>
        </w:rPr>
      </w:pPr>
      <w:r>
        <w:rPr>
          <w:rFonts w:ascii="宋体" w:hAnsi="宋体"/>
          <w:color w:val="auto"/>
          <w:sz w:val="36"/>
          <w:szCs w:val="36"/>
          <w:highlight w:val="none"/>
        </w:rPr>
        <w:t>重庆市</w:t>
      </w:r>
      <w:r>
        <w:rPr>
          <w:rFonts w:hint="eastAsia" w:ascii="宋体" w:hAnsi="宋体"/>
          <w:color w:val="auto"/>
          <w:sz w:val="36"/>
          <w:szCs w:val="36"/>
          <w:highlight w:val="none"/>
        </w:rPr>
        <w:t>公共资源交易监管局 制</w:t>
      </w:r>
    </w:p>
    <w:p w14:paraId="08F8947F">
      <w:pPr>
        <w:spacing w:line="360" w:lineRule="auto"/>
        <w:jc w:val="center"/>
        <w:rPr>
          <w:rFonts w:ascii="宋体" w:hAnsi="宋体"/>
          <w:color w:val="auto"/>
          <w:kern w:val="0"/>
          <w:position w:val="-5"/>
          <w:sz w:val="36"/>
          <w:szCs w:val="36"/>
          <w:highlight w:val="none"/>
        </w:rPr>
        <w:sectPr>
          <w:footerReference r:id="rId5" w:type="first"/>
          <w:headerReference r:id="rId3" w:type="default"/>
          <w:footerReference r:id="rId4" w:type="even"/>
          <w:pgSz w:w="11907" w:h="16840"/>
          <w:pgMar w:top="1304" w:right="1134" w:bottom="1304" w:left="1304" w:header="851" w:footer="992" w:gutter="0"/>
          <w:pgNumType w:fmt="numberInDash" w:start="1"/>
          <w:cols w:space="720" w:num="1"/>
          <w:docGrid w:linePitch="312" w:charSpace="0"/>
        </w:sectPr>
      </w:pPr>
      <w:r>
        <w:rPr>
          <w:rFonts w:ascii="宋体" w:hAnsi="宋体"/>
          <w:color w:val="auto"/>
          <w:kern w:val="0"/>
          <w:position w:val="-5"/>
          <w:sz w:val="36"/>
          <w:szCs w:val="36"/>
          <w:highlight w:val="none"/>
        </w:rPr>
        <w:t>20</w:t>
      </w:r>
      <w:r>
        <w:rPr>
          <w:rFonts w:hint="eastAsia" w:ascii="宋体" w:hAnsi="宋体"/>
          <w:color w:val="auto"/>
          <w:kern w:val="0"/>
          <w:position w:val="-5"/>
          <w:sz w:val="36"/>
          <w:szCs w:val="36"/>
          <w:highlight w:val="none"/>
        </w:rPr>
        <w:t>20</w:t>
      </w:r>
      <w:r>
        <w:rPr>
          <w:rFonts w:ascii="宋体" w:hAnsi="宋体"/>
          <w:color w:val="auto"/>
          <w:kern w:val="0"/>
          <w:position w:val="-5"/>
          <w:sz w:val="36"/>
          <w:szCs w:val="36"/>
          <w:highlight w:val="none"/>
        </w:rPr>
        <w:t>年1</w:t>
      </w:r>
      <w:r>
        <w:rPr>
          <w:rFonts w:hint="eastAsia" w:ascii="宋体" w:hAnsi="宋体"/>
          <w:color w:val="auto"/>
          <w:kern w:val="0"/>
          <w:position w:val="-5"/>
          <w:sz w:val="36"/>
          <w:szCs w:val="36"/>
          <w:highlight w:val="none"/>
        </w:rPr>
        <w:t>2月</w:t>
      </w:r>
    </w:p>
    <w:p w14:paraId="2528D06E">
      <w:pPr>
        <w:autoSpaceDE w:val="0"/>
        <w:autoSpaceDN w:val="0"/>
        <w:adjustRightInd w:val="0"/>
        <w:snapToGrid w:val="0"/>
        <w:spacing w:line="590" w:lineRule="exact"/>
        <w:jc w:val="center"/>
        <w:rPr>
          <w:rFonts w:ascii="宋体" w:hAnsi="宋体"/>
          <w:color w:val="auto"/>
          <w:kern w:val="0"/>
          <w:sz w:val="44"/>
          <w:szCs w:val="44"/>
          <w:highlight w:val="none"/>
        </w:rPr>
      </w:pPr>
      <w:bookmarkStart w:id="0" w:name="_Toc287620665"/>
      <w:r>
        <w:rPr>
          <w:rFonts w:ascii="宋体" w:hAnsi="宋体"/>
          <w:color w:val="auto"/>
          <w:kern w:val="0"/>
          <w:sz w:val="44"/>
          <w:szCs w:val="44"/>
          <w:highlight w:val="none"/>
        </w:rPr>
        <w:t>使 用 说 明</w:t>
      </w:r>
    </w:p>
    <w:p w14:paraId="486C8544">
      <w:pPr>
        <w:spacing w:line="590" w:lineRule="exact"/>
        <w:jc w:val="center"/>
        <w:rPr>
          <w:rFonts w:ascii="宋体" w:hAnsi="宋体"/>
          <w:color w:val="auto"/>
          <w:kern w:val="0"/>
          <w:sz w:val="44"/>
          <w:szCs w:val="44"/>
          <w:highlight w:val="none"/>
        </w:rPr>
      </w:pPr>
    </w:p>
    <w:p w14:paraId="712F728A">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一、</w:t>
      </w:r>
      <w:bookmarkStart w:id="1" w:name="_Hlk56498949"/>
      <w:r>
        <w:rPr>
          <w:rFonts w:hint="eastAsia" w:ascii="宋体" w:hAnsi="宋体"/>
          <w:color w:val="auto"/>
          <w:kern w:val="0"/>
          <w:szCs w:val="21"/>
          <w:highlight w:val="none"/>
          <w:lang w:val="zh-CN"/>
        </w:rPr>
        <w:t>《</w:t>
      </w:r>
      <w:r>
        <w:rPr>
          <w:rFonts w:ascii="宋体" w:hAnsi="宋体"/>
          <w:color w:val="auto"/>
          <w:kern w:val="0"/>
          <w:szCs w:val="21"/>
          <w:highlight w:val="none"/>
          <w:lang w:val="zh-CN"/>
        </w:rPr>
        <w:t>重庆市房屋建筑和市政基础设施</w:t>
      </w:r>
      <w:r>
        <w:rPr>
          <w:rFonts w:hint="eastAsia" w:ascii="宋体" w:hAnsi="宋体"/>
          <w:color w:val="auto"/>
          <w:kern w:val="0"/>
          <w:szCs w:val="21"/>
          <w:highlight w:val="none"/>
          <w:lang w:val="zh-CN"/>
        </w:rPr>
        <w:t>项目工程总承包</w:t>
      </w:r>
      <w:r>
        <w:rPr>
          <w:rFonts w:ascii="宋体" w:hAnsi="宋体"/>
          <w:color w:val="auto"/>
          <w:kern w:val="0"/>
          <w:szCs w:val="21"/>
          <w:highlight w:val="none"/>
          <w:lang w:val="zh-CN"/>
        </w:rPr>
        <w:t>标准招标文件</w:t>
      </w:r>
      <w:r>
        <w:rPr>
          <w:rFonts w:hint="eastAsia" w:ascii="宋体" w:hAnsi="宋体"/>
          <w:color w:val="auto"/>
          <w:kern w:val="0"/>
          <w:szCs w:val="21"/>
          <w:highlight w:val="none"/>
          <w:lang w:val="zh-CN"/>
        </w:rPr>
        <w:t>》</w:t>
      </w:r>
      <w:bookmarkEnd w:id="1"/>
      <w:r>
        <w:rPr>
          <w:rFonts w:ascii="宋体" w:hAnsi="宋体"/>
          <w:color w:val="auto"/>
          <w:kern w:val="0"/>
          <w:szCs w:val="21"/>
          <w:highlight w:val="none"/>
          <w:lang w:val="zh-CN"/>
        </w:rPr>
        <w:t>是</w:t>
      </w:r>
      <w:r>
        <w:rPr>
          <w:rFonts w:hint="eastAsia" w:ascii="宋体" w:hAnsi="宋体"/>
          <w:color w:val="auto"/>
          <w:kern w:val="0"/>
          <w:szCs w:val="21"/>
          <w:highlight w:val="none"/>
          <w:lang w:val="zh-CN"/>
        </w:rPr>
        <w:t>以《中华人民共和国标准设计施工总承包招标文件（2012年版）》为框架，贯彻《中华人民共和国招标投标法》、《房屋建筑和市政基础设施项目工程总承包管理办法》（建市规〔2019〕12号）和</w:t>
      </w:r>
      <w:r>
        <w:rPr>
          <w:rFonts w:hint="eastAsia" w:ascii="宋体" w:hAnsi="宋体"/>
          <w:color w:val="auto"/>
          <w:kern w:val="0"/>
          <w:szCs w:val="21"/>
          <w:highlight w:val="none"/>
        </w:rPr>
        <w:t>《重庆市人民政府办公厅印发关于深化公共资源交易监督管理改革的意见（试行）的通知》（渝府办发〔2019〕114号）</w:t>
      </w:r>
      <w:r>
        <w:rPr>
          <w:rFonts w:hint="eastAsia" w:ascii="宋体" w:hAnsi="宋体"/>
          <w:color w:val="auto"/>
          <w:kern w:val="0"/>
          <w:szCs w:val="21"/>
          <w:highlight w:val="none"/>
          <w:lang w:val="zh-CN"/>
        </w:rPr>
        <w:t>等文件精神编制。</w:t>
      </w:r>
    </w:p>
    <w:p w14:paraId="7C712AE0">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二、《</w:t>
      </w:r>
      <w:r>
        <w:rPr>
          <w:rFonts w:ascii="宋体" w:hAnsi="宋体"/>
          <w:color w:val="auto"/>
          <w:kern w:val="0"/>
          <w:szCs w:val="21"/>
          <w:highlight w:val="none"/>
          <w:lang w:val="zh-CN"/>
        </w:rPr>
        <w:t>重庆市房屋建筑和市政基础设施</w:t>
      </w:r>
      <w:r>
        <w:rPr>
          <w:rFonts w:hint="eastAsia" w:ascii="宋体" w:hAnsi="宋体"/>
          <w:color w:val="auto"/>
          <w:kern w:val="0"/>
          <w:szCs w:val="21"/>
          <w:highlight w:val="none"/>
          <w:lang w:val="zh-CN"/>
        </w:rPr>
        <w:t>项目工程总承包</w:t>
      </w:r>
      <w:r>
        <w:rPr>
          <w:rFonts w:ascii="宋体" w:hAnsi="宋体"/>
          <w:color w:val="auto"/>
          <w:kern w:val="0"/>
          <w:szCs w:val="21"/>
          <w:highlight w:val="none"/>
          <w:lang w:val="zh-CN"/>
        </w:rPr>
        <w:t>标准招标文件</w:t>
      </w:r>
      <w:r>
        <w:rPr>
          <w:rFonts w:hint="eastAsia" w:ascii="宋体" w:hAnsi="宋体"/>
          <w:color w:val="auto"/>
          <w:kern w:val="0"/>
          <w:szCs w:val="21"/>
          <w:highlight w:val="none"/>
          <w:lang w:val="zh-CN"/>
        </w:rPr>
        <w:t>》适用于</w:t>
      </w:r>
      <w:r>
        <w:rPr>
          <w:rFonts w:ascii="宋体" w:hAnsi="宋体"/>
          <w:color w:val="auto"/>
          <w:kern w:val="0"/>
          <w:szCs w:val="21"/>
          <w:highlight w:val="none"/>
          <w:lang w:val="zh-CN"/>
        </w:rPr>
        <w:t>重庆市行政区域内房屋建筑和市政基础设施</w:t>
      </w:r>
      <w:r>
        <w:rPr>
          <w:rFonts w:hint="eastAsia" w:ascii="宋体" w:hAnsi="宋体"/>
          <w:color w:val="auto"/>
          <w:kern w:val="0"/>
          <w:szCs w:val="21"/>
          <w:highlight w:val="none"/>
          <w:lang w:val="zh-CN"/>
        </w:rPr>
        <w:t>项目</w:t>
      </w:r>
      <w:r>
        <w:rPr>
          <w:rFonts w:hint="eastAsia" w:ascii="宋体" w:hAnsi="宋体"/>
          <w:color w:val="auto"/>
          <w:kern w:val="0"/>
          <w:szCs w:val="21"/>
          <w:highlight w:val="none"/>
        </w:rPr>
        <w:t>的“设计、采购、施工”或者“设计、施工”等阶段的</w:t>
      </w:r>
      <w:r>
        <w:rPr>
          <w:rStyle w:val="54"/>
          <w:rFonts w:hint="eastAsia"/>
          <w:color w:val="auto"/>
          <w:highlight w:val="none"/>
        </w:rPr>
        <w:t>工程</w:t>
      </w:r>
      <w:r>
        <w:rPr>
          <w:rFonts w:hint="eastAsia" w:ascii="宋体" w:hAnsi="宋体"/>
          <w:color w:val="auto"/>
          <w:kern w:val="0"/>
          <w:szCs w:val="21"/>
          <w:highlight w:val="none"/>
          <w:lang w:val="zh-CN"/>
        </w:rPr>
        <w:t>总承包招标。“设计、采购、施工”中的“采购”</w:t>
      </w:r>
      <w:r>
        <w:rPr>
          <w:rFonts w:hint="eastAsia"/>
          <w:color w:val="auto"/>
          <w:highlight w:val="none"/>
        </w:rPr>
        <w:t>是指为实现项目的生产、处置等特殊功能需要的专业设备材料的采购。</w:t>
      </w:r>
      <w:r>
        <w:rPr>
          <w:rFonts w:hint="eastAsia" w:ascii="宋体" w:hAnsi="宋体"/>
          <w:color w:val="auto"/>
          <w:kern w:val="0"/>
          <w:szCs w:val="21"/>
          <w:highlight w:val="none"/>
          <w:lang w:val="zh-CN"/>
        </w:rPr>
        <w:t>专业设备材料采购部分以模块方式列入相应章节，供招标人选用。建设内容明确、技术方案成熟，招标时能确定建设规模与建设标准的项目，适宜采用工程总承包方式，招标人应当在发包前完成项目审批、核准或者备案程序。采用工程总承包方式的企业投资项目，应当在核准或者备案后进行工程总承包项目发包。采用工程总承包方式的政府投资项目，即使用政府预算安排的资金进行固定资产投资的建设项目原则上应当在初步设计审批完成后进行工程总承包项目</w:t>
      </w:r>
      <w:r>
        <w:rPr>
          <w:rFonts w:hint="eastAsia" w:ascii="宋体" w:hAnsi="宋体"/>
          <w:color w:val="auto"/>
          <w:kern w:val="0"/>
          <w:szCs w:val="21"/>
          <w:highlight w:val="none"/>
        </w:rPr>
        <w:t>招标</w:t>
      </w:r>
      <w:r>
        <w:rPr>
          <w:rFonts w:hint="eastAsia" w:ascii="宋体" w:hAnsi="宋体"/>
          <w:color w:val="auto"/>
          <w:kern w:val="0"/>
          <w:szCs w:val="21"/>
          <w:highlight w:val="none"/>
          <w:lang w:val="zh-CN"/>
        </w:rPr>
        <w:t>。</w:t>
      </w:r>
    </w:p>
    <w:p w14:paraId="0462D6A4">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三、</w:t>
      </w:r>
      <w:r>
        <w:rPr>
          <w:rFonts w:ascii="宋体" w:hAnsi="宋体"/>
          <w:color w:val="auto"/>
          <w:kern w:val="0"/>
          <w:szCs w:val="21"/>
          <w:highlight w:val="none"/>
          <w:lang w:val="zh-CN"/>
        </w:rPr>
        <w:t>招标人</w:t>
      </w:r>
      <w:r>
        <w:rPr>
          <w:rFonts w:hint="eastAsia" w:ascii="宋体" w:hAnsi="宋体"/>
          <w:color w:val="auto"/>
          <w:kern w:val="0"/>
          <w:szCs w:val="21"/>
          <w:highlight w:val="none"/>
          <w:lang w:val="zh-CN"/>
        </w:rPr>
        <w:t>应</w:t>
      </w:r>
      <w:r>
        <w:rPr>
          <w:rFonts w:ascii="宋体" w:hAnsi="宋体"/>
          <w:color w:val="auto"/>
          <w:kern w:val="0"/>
          <w:szCs w:val="21"/>
          <w:highlight w:val="none"/>
          <w:lang w:val="zh-CN"/>
        </w:rPr>
        <w:t>按照</w:t>
      </w:r>
      <w:r>
        <w:rPr>
          <w:rFonts w:hint="eastAsia" w:ascii="宋体" w:hAnsi="宋体"/>
          <w:color w:val="auto"/>
          <w:kern w:val="0"/>
          <w:szCs w:val="21"/>
          <w:highlight w:val="none"/>
          <w:lang w:val="zh-CN"/>
        </w:rPr>
        <w:t>《房屋建筑和市政基础设施项目</w:t>
      </w:r>
      <w:r>
        <w:rPr>
          <w:rFonts w:hint="eastAsia" w:ascii="宋体" w:hAnsi="宋体"/>
          <w:color w:val="auto"/>
          <w:kern w:val="0"/>
          <w:szCs w:val="21"/>
          <w:highlight w:val="none"/>
        </w:rPr>
        <w:t>工程</w:t>
      </w:r>
      <w:r>
        <w:rPr>
          <w:rFonts w:hint="eastAsia" w:ascii="宋体" w:hAnsi="宋体"/>
          <w:color w:val="auto"/>
          <w:kern w:val="0"/>
          <w:szCs w:val="21"/>
          <w:highlight w:val="none"/>
          <w:lang w:val="zh-CN"/>
        </w:rPr>
        <w:t>总承包管理办法》（建市规〔2019〕12号）和《</w:t>
      </w:r>
      <w:r>
        <w:rPr>
          <w:rFonts w:ascii="宋体" w:hAnsi="宋体"/>
          <w:color w:val="auto"/>
          <w:kern w:val="0"/>
          <w:szCs w:val="21"/>
          <w:highlight w:val="none"/>
          <w:lang w:val="zh-CN"/>
        </w:rPr>
        <w:t>重庆市房屋建筑和市政基础设施</w:t>
      </w:r>
      <w:r>
        <w:rPr>
          <w:rFonts w:hint="eastAsia" w:ascii="宋体" w:hAnsi="宋体"/>
          <w:color w:val="auto"/>
          <w:kern w:val="0"/>
          <w:szCs w:val="21"/>
          <w:highlight w:val="none"/>
          <w:lang w:val="zh-CN"/>
        </w:rPr>
        <w:t>项目工程总承包</w:t>
      </w:r>
      <w:r>
        <w:rPr>
          <w:rFonts w:ascii="宋体" w:hAnsi="宋体"/>
          <w:color w:val="auto"/>
          <w:kern w:val="0"/>
          <w:szCs w:val="21"/>
          <w:highlight w:val="none"/>
          <w:lang w:val="zh-CN"/>
        </w:rPr>
        <w:t>标准招标文件</w:t>
      </w:r>
      <w:r>
        <w:rPr>
          <w:rFonts w:hint="eastAsia" w:ascii="宋体" w:hAnsi="宋体"/>
          <w:color w:val="auto"/>
          <w:kern w:val="0"/>
          <w:szCs w:val="21"/>
          <w:highlight w:val="none"/>
          <w:lang w:val="zh-CN"/>
        </w:rPr>
        <w:t>》有关要求确定招标项目的报价方式，企业投资项目的工程总承包宜采用总价合同，政府投资项目的工程总承包应当合理确定合同价格形式。采用总价合同的，除合同约定可以调整的情形外，合同总价一般不予调整。</w:t>
      </w:r>
    </w:p>
    <w:p w14:paraId="1BA669A8">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lang w:val="zh-CN"/>
        </w:rPr>
        <w:t>四、招标人按照《</w:t>
      </w:r>
      <w:r>
        <w:rPr>
          <w:rFonts w:ascii="宋体" w:hAnsi="宋体"/>
          <w:color w:val="auto"/>
          <w:kern w:val="0"/>
          <w:szCs w:val="21"/>
          <w:highlight w:val="none"/>
          <w:lang w:val="zh-CN"/>
        </w:rPr>
        <w:t>重庆市房屋建筑和市政基础设施</w:t>
      </w:r>
      <w:r>
        <w:rPr>
          <w:rFonts w:hint="eastAsia" w:ascii="宋体" w:hAnsi="宋体"/>
          <w:color w:val="auto"/>
          <w:kern w:val="0"/>
          <w:szCs w:val="21"/>
          <w:highlight w:val="none"/>
          <w:lang w:val="zh-CN"/>
        </w:rPr>
        <w:t>项目工程总承包</w:t>
      </w:r>
      <w:r>
        <w:rPr>
          <w:rFonts w:ascii="宋体" w:hAnsi="宋体"/>
          <w:color w:val="auto"/>
          <w:kern w:val="0"/>
          <w:szCs w:val="21"/>
          <w:highlight w:val="none"/>
          <w:lang w:val="zh-CN"/>
        </w:rPr>
        <w:t>标准招标文件</w:t>
      </w:r>
      <w:r>
        <w:rPr>
          <w:rFonts w:hint="eastAsia" w:ascii="宋体" w:hAnsi="宋体"/>
          <w:color w:val="auto"/>
          <w:kern w:val="0"/>
          <w:szCs w:val="21"/>
          <w:highlight w:val="none"/>
          <w:lang w:val="zh-CN"/>
        </w:rPr>
        <w:t>》第一章的格式发布招标公告或发出投标邀请书后，将实际发布的招标公告或实际发出的投标邀请书编入招标文件中，作为投标邀请。其中，招标公告应同时注明发布所在地所有指定媒介名称。</w:t>
      </w:r>
    </w:p>
    <w:p w14:paraId="37F70CAB">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五</w:t>
      </w:r>
      <w:r>
        <w:rPr>
          <w:rFonts w:hint="eastAsia" w:ascii="宋体" w:hAnsi="宋体"/>
          <w:color w:val="auto"/>
          <w:kern w:val="0"/>
          <w:szCs w:val="21"/>
          <w:highlight w:val="none"/>
          <w:lang w:val="zh-CN"/>
        </w:rPr>
        <w:t>、《</w:t>
      </w:r>
      <w:r>
        <w:rPr>
          <w:rFonts w:ascii="宋体" w:hAnsi="宋体"/>
          <w:color w:val="auto"/>
          <w:kern w:val="0"/>
          <w:szCs w:val="21"/>
          <w:highlight w:val="none"/>
          <w:lang w:val="zh-CN"/>
        </w:rPr>
        <w:t>重庆市房屋建筑和市政基础设施</w:t>
      </w:r>
      <w:r>
        <w:rPr>
          <w:rFonts w:hint="eastAsia" w:ascii="宋体" w:hAnsi="宋体"/>
          <w:color w:val="auto"/>
          <w:kern w:val="0"/>
          <w:szCs w:val="21"/>
          <w:highlight w:val="none"/>
          <w:lang w:val="zh-CN"/>
        </w:rPr>
        <w:t>项目工程总承包</w:t>
      </w:r>
      <w:r>
        <w:rPr>
          <w:rFonts w:ascii="宋体" w:hAnsi="宋体"/>
          <w:color w:val="auto"/>
          <w:kern w:val="0"/>
          <w:szCs w:val="21"/>
          <w:highlight w:val="none"/>
          <w:lang w:val="zh-CN"/>
        </w:rPr>
        <w:t>标准招标文件</w:t>
      </w:r>
      <w:r>
        <w:rPr>
          <w:rFonts w:hint="eastAsia" w:ascii="宋体" w:hAnsi="宋体"/>
          <w:color w:val="auto"/>
          <w:kern w:val="0"/>
          <w:szCs w:val="21"/>
          <w:highlight w:val="none"/>
          <w:lang w:val="zh-CN"/>
        </w:rPr>
        <w:t>》</w:t>
      </w:r>
      <w:r>
        <w:rPr>
          <w:rFonts w:ascii="宋体" w:hAnsi="宋体"/>
          <w:color w:val="auto"/>
          <w:kern w:val="0"/>
          <w:szCs w:val="21"/>
          <w:highlight w:val="none"/>
          <w:lang w:val="zh-CN"/>
        </w:rPr>
        <w:t>第三章“评标办法”分别规定</w:t>
      </w:r>
      <w:r>
        <w:rPr>
          <w:rFonts w:hint="eastAsia" w:ascii="宋体" w:hAnsi="宋体"/>
          <w:color w:val="auto"/>
          <w:kern w:val="0"/>
          <w:szCs w:val="21"/>
          <w:highlight w:val="none"/>
          <w:lang w:val="zh-CN"/>
        </w:rPr>
        <w:t>了经评审的最低投标价法和</w:t>
      </w:r>
      <w:r>
        <w:rPr>
          <w:rFonts w:ascii="宋体" w:hAnsi="宋体"/>
          <w:color w:val="auto"/>
          <w:kern w:val="0"/>
          <w:szCs w:val="21"/>
          <w:highlight w:val="none"/>
          <w:lang w:val="zh-CN"/>
        </w:rPr>
        <w:t>综合评估法两种评标方法供招标人根据招标项目具体特点和</w:t>
      </w:r>
      <w:r>
        <w:rPr>
          <w:rFonts w:hint="eastAsia" w:ascii="宋体" w:hAnsi="宋体"/>
          <w:color w:val="auto"/>
          <w:kern w:val="0"/>
          <w:szCs w:val="21"/>
          <w:highlight w:val="none"/>
        </w:rPr>
        <w:t>《重庆市人民政府办公厅印发关于深化公共资源交易监督管理改革的意见（试行）的通知》（渝府办发〔2019〕114号）</w:t>
      </w:r>
      <w:r>
        <w:rPr>
          <w:rFonts w:hint="eastAsia" w:ascii="宋体" w:hAnsi="宋体"/>
          <w:color w:val="auto"/>
          <w:kern w:val="0"/>
          <w:szCs w:val="21"/>
          <w:highlight w:val="none"/>
          <w:lang w:val="zh-CN"/>
        </w:rPr>
        <w:t>文件的相关要求进行</w:t>
      </w:r>
      <w:r>
        <w:rPr>
          <w:rFonts w:ascii="宋体" w:hAnsi="宋体"/>
          <w:color w:val="auto"/>
          <w:kern w:val="0"/>
          <w:szCs w:val="21"/>
          <w:highlight w:val="none"/>
          <w:lang w:val="zh-CN"/>
        </w:rPr>
        <w:t>选择。</w:t>
      </w:r>
      <w:r>
        <w:rPr>
          <w:rFonts w:hint="eastAsia" w:ascii="宋体" w:hAnsi="宋体"/>
          <w:color w:val="auto"/>
          <w:kern w:val="0"/>
          <w:szCs w:val="21"/>
          <w:highlight w:val="none"/>
          <w:lang w:val="zh-CN"/>
        </w:rPr>
        <w:t>依法必须招标的工程总承包项目，</w:t>
      </w:r>
      <w:r>
        <w:rPr>
          <w:rFonts w:hint="eastAsia" w:ascii="宋体" w:hAnsi="宋体"/>
          <w:color w:val="auto"/>
          <w:kern w:val="0"/>
          <w:szCs w:val="21"/>
          <w:highlight w:val="none"/>
        </w:rPr>
        <w:t>建筑安装工程费占经批准的概算中工程费用</w:t>
      </w:r>
      <w:r>
        <w:rPr>
          <w:rFonts w:ascii="宋体" w:hAnsi="宋体"/>
          <w:color w:val="auto"/>
          <w:kern w:val="0"/>
          <w:szCs w:val="21"/>
          <w:highlight w:val="none"/>
        </w:rPr>
        <w:t>50%以上</w:t>
      </w:r>
      <w:r>
        <w:rPr>
          <w:rFonts w:hint="eastAsia" w:ascii="宋体" w:hAnsi="宋体"/>
          <w:color w:val="auto"/>
          <w:kern w:val="0"/>
          <w:szCs w:val="21"/>
          <w:highlight w:val="none"/>
        </w:rPr>
        <w:t>的</w:t>
      </w:r>
      <w:r>
        <w:rPr>
          <w:rFonts w:hint="eastAsia" w:ascii="宋体" w:hAnsi="宋体"/>
          <w:color w:val="auto"/>
          <w:kern w:val="0"/>
          <w:szCs w:val="21"/>
          <w:highlight w:val="none"/>
          <w:lang w:val="zh-CN"/>
        </w:rPr>
        <w:t>应当采用经评审的最低投标价法；技术特别复杂或者招标人对其技术、性能有特殊要求，需要采用综合评估法的，招标人应当取得行业主管部门认定后报同级招标投标行政监管部门同意。</w:t>
      </w:r>
    </w:p>
    <w:p w14:paraId="6A6B1EF2">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六</w:t>
      </w:r>
      <w:r>
        <w:rPr>
          <w:rFonts w:hint="eastAsia" w:ascii="宋体" w:hAnsi="宋体"/>
          <w:color w:val="auto"/>
          <w:kern w:val="0"/>
          <w:szCs w:val="21"/>
          <w:highlight w:val="none"/>
          <w:lang w:val="zh-CN"/>
        </w:rPr>
        <w:t>、《</w:t>
      </w:r>
      <w:r>
        <w:rPr>
          <w:rFonts w:ascii="宋体" w:hAnsi="宋体"/>
          <w:color w:val="auto"/>
          <w:kern w:val="0"/>
          <w:szCs w:val="21"/>
          <w:highlight w:val="none"/>
          <w:lang w:val="zh-CN"/>
        </w:rPr>
        <w:t>重庆市房屋建筑和市政基础设施</w:t>
      </w:r>
      <w:r>
        <w:rPr>
          <w:rFonts w:hint="eastAsia" w:ascii="宋体" w:hAnsi="宋体"/>
          <w:color w:val="auto"/>
          <w:kern w:val="0"/>
          <w:szCs w:val="21"/>
          <w:highlight w:val="none"/>
          <w:lang w:val="zh-CN"/>
        </w:rPr>
        <w:t>项目工程总承包</w:t>
      </w:r>
      <w:r>
        <w:rPr>
          <w:rFonts w:ascii="宋体" w:hAnsi="宋体"/>
          <w:color w:val="auto"/>
          <w:kern w:val="0"/>
          <w:szCs w:val="21"/>
          <w:highlight w:val="none"/>
          <w:lang w:val="zh-CN"/>
        </w:rPr>
        <w:t>标准招标文件</w:t>
      </w:r>
      <w:r>
        <w:rPr>
          <w:rFonts w:hint="eastAsia" w:ascii="宋体" w:hAnsi="宋体"/>
          <w:color w:val="auto"/>
          <w:kern w:val="0"/>
          <w:szCs w:val="21"/>
          <w:highlight w:val="none"/>
          <w:lang w:val="zh-CN"/>
        </w:rPr>
        <w:t>》第四章“合同条款及格式”根据《房屋建筑和市政基础设施项目工程总承包管理办法》（建市规〔2019〕12号）的要求，参照住房和城乡建设部、国家市场监督管理总局制定的《建设项目工程总承包合同（示范文本）》（G</w:t>
      </w:r>
      <w:r>
        <w:rPr>
          <w:rFonts w:ascii="宋体" w:hAnsi="宋体"/>
          <w:color w:val="auto"/>
          <w:kern w:val="0"/>
          <w:szCs w:val="21"/>
          <w:highlight w:val="none"/>
          <w:lang w:val="zh-CN"/>
        </w:rPr>
        <w:t>F-2020-0216</w:t>
      </w:r>
      <w:r>
        <w:rPr>
          <w:rFonts w:hint="eastAsia" w:ascii="宋体" w:hAnsi="宋体"/>
          <w:color w:val="auto"/>
          <w:kern w:val="0"/>
          <w:szCs w:val="21"/>
          <w:highlight w:val="none"/>
          <w:lang w:val="zh-CN"/>
        </w:rPr>
        <w:t>）进行编制，细化了变更与调整、合同价格与支付、违约等核心条款；重点对变更原则、价格调整机制、合同实施中合同当事人的权利、义务等作了原则性规定。合同附件格式包括：发包人要求、发包人供应材料设备一览表、工程质量保修书、廉洁从业协议、安全管理协议和保障农民工工资支付协议等内容，集中约定合同当事人的基本合同权利义务。</w:t>
      </w:r>
    </w:p>
    <w:p w14:paraId="26D620EC">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七</w:t>
      </w:r>
      <w:r>
        <w:rPr>
          <w:rFonts w:hint="eastAsia" w:ascii="宋体" w:hAnsi="宋体"/>
          <w:color w:val="auto"/>
          <w:kern w:val="0"/>
          <w:szCs w:val="21"/>
          <w:highlight w:val="none"/>
          <w:lang w:val="zh-CN"/>
        </w:rPr>
        <w:t>、《</w:t>
      </w:r>
      <w:r>
        <w:rPr>
          <w:rFonts w:ascii="宋体" w:hAnsi="宋体"/>
          <w:color w:val="auto"/>
          <w:kern w:val="0"/>
          <w:szCs w:val="21"/>
          <w:highlight w:val="none"/>
          <w:lang w:val="zh-CN"/>
        </w:rPr>
        <w:t>重庆市房屋建筑和市政基础设施</w:t>
      </w:r>
      <w:r>
        <w:rPr>
          <w:rFonts w:hint="eastAsia" w:ascii="宋体" w:hAnsi="宋体"/>
          <w:color w:val="auto"/>
          <w:kern w:val="0"/>
          <w:szCs w:val="21"/>
          <w:highlight w:val="none"/>
          <w:lang w:val="zh-CN"/>
        </w:rPr>
        <w:t>项目工程总承包</w:t>
      </w:r>
      <w:r>
        <w:rPr>
          <w:rFonts w:ascii="宋体" w:hAnsi="宋体"/>
          <w:color w:val="auto"/>
          <w:kern w:val="0"/>
          <w:szCs w:val="21"/>
          <w:highlight w:val="none"/>
          <w:lang w:val="zh-CN"/>
        </w:rPr>
        <w:t>标准招标文件</w:t>
      </w:r>
      <w:r>
        <w:rPr>
          <w:rFonts w:hint="eastAsia" w:ascii="宋体" w:hAnsi="宋体"/>
          <w:color w:val="auto"/>
          <w:kern w:val="0"/>
          <w:szCs w:val="21"/>
          <w:highlight w:val="none"/>
          <w:lang w:val="zh-CN"/>
        </w:rPr>
        <w:t>》第</w:t>
      </w:r>
      <w:r>
        <w:rPr>
          <w:rFonts w:hint="eastAsia" w:ascii="宋体" w:hAnsi="宋体"/>
          <w:color w:val="auto"/>
          <w:kern w:val="0"/>
          <w:szCs w:val="21"/>
          <w:highlight w:val="none"/>
        </w:rPr>
        <w:t>六</w:t>
      </w:r>
      <w:r>
        <w:rPr>
          <w:rFonts w:hint="eastAsia" w:ascii="宋体" w:hAnsi="宋体"/>
          <w:color w:val="auto"/>
          <w:kern w:val="0"/>
          <w:szCs w:val="21"/>
          <w:highlight w:val="none"/>
          <w:lang w:val="zh-CN"/>
        </w:rPr>
        <w:t>章“发包人要求”由招标人根据招标项目具体特点和实际需要编制，</w:t>
      </w:r>
      <w:r>
        <w:rPr>
          <w:rFonts w:hint="eastAsia" w:ascii="宋体" w:hAnsi="宋体"/>
          <w:color w:val="auto"/>
          <w:kern w:val="0"/>
          <w:szCs w:val="21"/>
          <w:highlight w:val="none"/>
        </w:rPr>
        <w:t>应</w:t>
      </w:r>
      <w:r>
        <w:rPr>
          <w:rFonts w:ascii="宋体" w:hAnsi="宋体"/>
          <w:color w:val="auto"/>
          <w:kern w:val="0"/>
          <w:szCs w:val="21"/>
          <w:highlight w:val="none"/>
        </w:rPr>
        <w:t>列明项目的目标、范围、设计和其他技术标准，包括对项目的内容、范围、规模、标准、功能、质量、安全、节约能源、生态环境保护、工期、验收等的明确要求</w:t>
      </w:r>
      <w:r>
        <w:rPr>
          <w:rFonts w:hint="eastAsia" w:ascii="宋体" w:hAnsi="宋体"/>
          <w:color w:val="auto"/>
          <w:kern w:val="0"/>
          <w:szCs w:val="21"/>
          <w:highlight w:val="none"/>
          <w:lang w:val="zh-CN"/>
        </w:rPr>
        <w:t>。“发包人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加上“参照”或“相当于”字样。</w:t>
      </w:r>
    </w:p>
    <w:p w14:paraId="666025C3">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八</w:t>
      </w:r>
      <w:r>
        <w:rPr>
          <w:rFonts w:hint="eastAsia" w:ascii="宋体" w:hAnsi="宋体"/>
          <w:color w:val="auto"/>
          <w:kern w:val="0"/>
          <w:szCs w:val="21"/>
          <w:highlight w:val="none"/>
          <w:lang w:val="zh-CN"/>
        </w:rPr>
        <w:t>、《</w:t>
      </w:r>
      <w:r>
        <w:rPr>
          <w:rFonts w:ascii="宋体" w:hAnsi="宋体"/>
          <w:color w:val="auto"/>
          <w:kern w:val="0"/>
          <w:szCs w:val="21"/>
          <w:highlight w:val="none"/>
          <w:lang w:val="zh-CN"/>
        </w:rPr>
        <w:t>重庆市房屋建筑和市政基础设施</w:t>
      </w:r>
      <w:r>
        <w:rPr>
          <w:rFonts w:hint="eastAsia" w:ascii="宋体" w:hAnsi="宋体"/>
          <w:color w:val="auto"/>
          <w:kern w:val="0"/>
          <w:szCs w:val="21"/>
          <w:highlight w:val="none"/>
          <w:lang w:val="zh-CN"/>
        </w:rPr>
        <w:t>项目工程总承包</w:t>
      </w:r>
      <w:r>
        <w:rPr>
          <w:rFonts w:ascii="宋体" w:hAnsi="宋体"/>
          <w:color w:val="auto"/>
          <w:kern w:val="0"/>
          <w:szCs w:val="21"/>
          <w:highlight w:val="none"/>
          <w:lang w:val="zh-CN"/>
        </w:rPr>
        <w:t>标准招标文件</w:t>
      </w:r>
      <w:r>
        <w:rPr>
          <w:rFonts w:hint="eastAsia" w:ascii="宋体" w:hAnsi="宋体"/>
          <w:color w:val="auto"/>
          <w:kern w:val="0"/>
          <w:szCs w:val="21"/>
          <w:highlight w:val="none"/>
          <w:lang w:val="zh-CN"/>
        </w:rPr>
        <w:t>》第</w:t>
      </w:r>
      <w:r>
        <w:rPr>
          <w:rFonts w:hint="eastAsia" w:ascii="宋体" w:hAnsi="宋体"/>
          <w:color w:val="auto"/>
          <w:kern w:val="0"/>
          <w:szCs w:val="21"/>
          <w:highlight w:val="none"/>
        </w:rPr>
        <w:t>七</w:t>
      </w:r>
      <w:r>
        <w:rPr>
          <w:rFonts w:hint="eastAsia" w:ascii="宋体" w:hAnsi="宋体"/>
          <w:color w:val="auto"/>
          <w:kern w:val="0"/>
          <w:szCs w:val="21"/>
          <w:highlight w:val="none"/>
          <w:lang w:val="zh-CN"/>
        </w:rPr>
        <w:t>章“发包人提供的资料”包括</w:t>
      </w:r>
      <w:r>
        <w:rPr>
          <w:rFonts w:ascii="宋体" w:hAnsi="宋体"/>
          <w:color w:val="auto"/>
          <w:kern w:val="0"/>
          <w:szCs w:val="21"/>
          <w:highlight w:val="none"/>
          <w:lang w:val="zh-CN"/>
        </w:rPr>
        <w:t>发包前</w:t>
      </w:r>
      <w:r>
        <w:rPr>
          <w:rFonts w:hint="eastAsia" w:ascii="宋体" w:hAnsi="宋体"/>
          <w:color w:val="auto"/>
          <w:kern w:val="0"/>
          <w:szCs w:val="21"/>
          <w:highlight w:val="none"/>
          <w:lang w:val="zh-CN"/>
        </w:rPr>
        <w:t>已</w:t>
      </w:r>
      <w:r>
        <w:rPr>
          <w:rFonts w:ascii="宋体" w:hAnsi="宋体"/>
          <w:color w:val="auto"/>
          <w:kern w:val="0"/>
          <w:szCs w:val="21"/>
          <w:highlight w:val="none"/>
          <w:lang w:val="zh-CN"/>
        </w:rPr>
        <w:t>完成的水文地质、工程地质、地形等勘察资料，以及可行性研究报告、方案设计文件或者初步设计文件等</w:t>
      </w:r>
      <w:r>
        <w:rPr>
          <w:rFonts w:hint="eastAsia" w:ascii="宋体" w:hAnsi="宋体"/>
          <w:color w:val="auto"/>
          <w:kern w:val="0"/>
          <w:szCs w:val="21"/>
          <w:highlight w:val="none"/>
          <w:lang w:val="zh-CN"/>
        </w:rPr>
        <w:t>，由招标人根据招标项目具体特点和实际需要编制，并与“投标人须知”、“通用合同条款”、“专用合同条款”、“发包人要求”相对应。</w:t>
      </w:r>
    </w:p>
    <w:p w14:paraId="62FE21A6">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九</w:t>
      </w:r>
      <w:r>
        <w:rPr>
          <w:rFonts w:hint="eastAsia" w:ascii="宋体" w:hAnsi="宋体"/>
          <w:color w:val="auto"/>
          <w:kern w:val="0"/>
          <w:szCs w:val="21"/>
          <w:highlight w:val="none"/>
          <w:lang w:val="zh-CN"/>
        </w:rPr>
        <w:t xml:space="preserve">、第二章 </w:t>
      </w:r>
      <w:r>
        <w:rPr>
          <w:rFonts w:ascii="宋体" w:hAnsi="宋体"/>
          <w:color w:val="auto"/>
          <w:kern w:val="0"/>
          <w:szCs w:val="21"/>
          <w:highlight w:val="none"/>
          <w:lang w:val="zh-CN"/>
        </w:rPr>
        <w:t>投标人须知前附表与其正文不一致的以</w:t>
      </w:r>
      <w:r>
        <w:rPr>
          <w:rFonts w:hint="eastAsia" w:ascii="宋体" w:hAnsi="宋体"/>
          <w:color w:val="auto"/>
          <w:kern w:val="0"/>
          <w:szCs w:val="21"/>
          <w:highlight w:val="none"/>
          <w:lang w:val="zh-CN"/>
        </w:rPr>
        <w:t>投标人须知</w:t>
      </w:r>
      <w:r>
        <w:rPr>
          <w:rFonts w:ascii="宋体" w:hAnsi="宋体"/>
          <w:color w:val="auto"/>
          <w:kern w:val="0"/>
          <w:szCs w:val="21"/>
          <w:highlight w:val="none"/>
          <w:lang w:val="zh-CN"/>
        </w:rPr>
        <w:t>前附表为准，</w:t>
      </w:r>
      <w:r>
        <w:rPr>
          <w:rFonts w:hint="eastAsia" w:ascii="宋体" w:hAnsi="宋体"/>
          <w:color w:val="auto"/>
          <w:kern w:val="0"/>
          <w:szCs w:val="21"/>
          <w:highlight w:val="none"/>
          <w:lang w:val="zh-CN"/>
        </w:rPr>
        <w:t xml:space="preserve">第三章 </w:t>
      </w:r>
      <w:r>
        <w:rPr>
          <w:rFonts w:ascii="宋体" w:hAnsi="宋体"/>
          <w:color w:val="auto"/>
          <w:kern w:val="0"/>
          <w:szCs w:val="21"/>
          <w:highlight w:val="none"/>
          <w:lang w:val="zh-CN"/>
        </w:rPr>
        <w:t>评标办法前附表与其正文不一致的以</w:t>
      </w:r>
      <w:r>
        <w:rPr>
          <w:rFonts w:hint="eastAsia" w:ascii="宋体" w:hAnsi="宋体"/>
          <w:color w:val="auto"/>
          <w:kern w:val="0"/>
          <w:szCs w:val="21"/>
          <w:highlight w:val="none"/>
          <w:lang w:val="zh-CN"/>
        </w:rPr>
        <w:t>评标办法</w:t>
      </w:r>
      <w:r>
        <w:rPr>
          <w:rFonts w:ascii="宋体" w:hAnsi="宋体"/>
          <w:color w:val="auto"/>
          <w:kern w:val="0"/>
          <w:szCs w:val="21"/>
          <w:highlight w:val="none"/>
          <w:lang w:val="zh-CN"/>
        </w:rPr>
        <w:t>前附表为准</w:t>
      </w:r>
      <w:r>
        <w:rPr>
          <w:rFonts w:hint="eastAsia" w:ascii="宋体" w:hAnsi="宋体"/>
          <w:color w:val="auto"/>
          <w:kern w:val="0"/>
          <w:szCs w:val="21"/>
          <w:highlight w:val="none"/>
          <w:lang w:val="zh-CN"/>
        </w:rPr>
        <w:t>。招标人必须将所有涉及否决投标的情形逐条清晰的列入第三章“否决投标情况一览表”中，否则不得作为否决投标的依据。</w:t>
      </w:r>
    </w:p>
    <w:p w14:paraId="738242A2">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十</w:t>
      </w:r>
      <w:r>
        <w:rPr>
          <w:rFonts w:hint="eastAsia" w:ascii="宋体" w:hAnsi="宋体"/>
          <w:color w:val="auto"/>
          <w:kern w:val="0"/>
          <w:szCs w:val="21"/>
          <w:highlight w:val="none"/>
          <w:lang w:val="zh-CN"/>
        </w:rPr>
        <w:t>、本标准招标文件凡以“□”标示的为选择项目，</w:t>
      </w:r>
      <w:r>
        <w:rPr>
          <w:rFonts w:hint="eastAsia" w:ascii="宋体" w:hAnsi="宋体"/>
          <w:color w:val="auto"/>
          <w:kern w:val="0"/>
          <w:szCs w:val="21"/>
          <w:highlight w:val="none"/>
        </w:rPr>
        <w:t>供</w:t>
      </w:r>
      <w:r>
        <w:rPr>
          <w:rFonts w:hint="eastAsia" w:ascii="宋体" w:hAnsi="宋体"/>
          <w:color w:val="auto"/>
          <w:kern w:val="0"/>
          <w:szCs w:val="21"/>
          <w:highlight w:val="none"/>
          <w:lang w:val="zh-CN"/>
        </w:rPr>
        <w:t>招标人在实际使用中在相应“□”中用“√”标示</w:t>
      </w:r>
      <w:r>
        <w:rPr>
          <w:rFonts w:hint="eastAsia" w:ascii="宋体" w:hAnsi="宋体"/>
          <w:color w:val="auto"/>
          <w:kern w:val="0"/>
          <w:szCs w:val="21"/>
          <w:highlight w:val="none"/>
        </w:rPr>
        <w:t>选择，未勾选的项目由招标人在编制过程中自行删除</w:t>
      </w:r>
      <w:r>
        <w:rPr>
          <w:rFonts w:hint="eastAsia" w:ascii="宋体" w:hAnsi="宋体"/>
          <w:color w:val="auto"/>
          <w:kern w:val="0"/>
          <w:szCs w:val="21"/>
          <w:highlight w:val="none"/>
          <w:lang w:val="zh-CN"/>
        </w:rPr>
        <w:t>；</w:t>
      </w:r>
      <w:r>
        <w:rPr>
          <w:rFonts w:ascii="宋体" w:hAnsi="宋体"/>
          <w:color w:val="auto"/>
          <w:kern w:val="0"/>
          <w:szCs w:val="21"/>
          <w:highlight w:val="none"/>
          <w:lang w:val="zh-CN"/>
        </w:rPr>
        <w:t>以空格</w:t>
      </w:r>
      <w:r>
        <w:rPr>
          <w:rFonts w:hint="eastAsia" w:ascii="宋体" w:hAnsi="宋体"/>
          <w:color w:val="auto"/>
          <w:kern w:val="0"/>
          <w:szCs w:val="21"/>
          <w:highlight w:val="none"/>
          <w:lang w:val="zh-CN"/>
        </w:rPr>
        <w:t>或下划线</w:t>
      </w:r>
      <w:r>
        <w:rPr>
          <w:rFonts w:ascii="宋体" w:hAnsi="宋体"/>
          <w:color w:val="auto"/>
          <w:kern w:val="0"/>
          <w:szCs w:val="21"/>
          <w:highlight w:val="none"/>
          <w:lang w:val="zh-CN"/>
        </w:rPr>
        <w:t>标示的，招标人应根据招标项目具体特点和实际需要</w:t>
      </w:r>
      <w:r>
        <w:rPr>
          <w:rFonts w:hint="eastAsia" w:ascii="宋体" w:hAnsi="宋体"/>
          <w:color w:val="auto"/>
          <w:kern w:val="0"/>
          <w:szCs w:val="21"/>
          <w:highlight w:val="none"/>
          <w:lang w:val="zh-CN"/>
        </w:rPr>
        <w:t>进行填写</w:t>
      </w:r>
      <w:r>
        <w:rPr>
          <w:rFonts w:ascii="宋体" w:hAnsi="宋体"/>
          <w:color w:val="auto"/>
          <w:kern w:val="0"/>
          <w:szCs w:val="21"/>
          <w:highlight w:val="none"/>
          <w:lang w:val="zh-CN"/>
        </w:rPr>
        <w:t>，</w:t>
      </w:r>
      <w:r>
        <w:rPr>
          <w:rFonts w:hint="eastAsia" w:ascii="宋体" w:hAnsi="宋体"/>
          <w:color w:val="auto"/>
          <w:kern w:val="0"/>
          <w:szCs w:val="21"/>
          <w:highlight w:val="none"/>
          <w:lang w:val="zh-CN"/>
        </w:rPr>
        <w:t>也可以直接引用或修改完善下划线上已有的示范性填写内容，</w:t>
      </w:r>
      <w:r>
        <w:rPr>
          <w:rFonts w:ascii="宋体" w:hAnsi="宋体"/>
          <w:color w:val="auto"/>
          <w:kern w:val="0"/>
          <w:szCs w:val="21"/>
          <w:highlight w:val="none"/>
          <w:lang w:val="zh-CN"/>
        </w:rPr>
        <w:t>确实没有需要填写的，在空格中</w:t>
      </w:r>
      <w:r>
        <w:rPr>
          <w:rFonts w:hint="eastAsia" w:ascii="宋体" w:hAnsi="宋体"/>
          <w:color w:val="auto"/>
          <w:kern w:val="0"/>
          <w:szCs w:val="21"/>
          <w:highlight w:val="none"/>
          <w:lang w:val="zh-CN"/>
        </w:rPr>
        <w:t>或下划线上</w:t>
      </w:r>
      <w:r>
        <w:rPr>
          <w:rFonts w:ascii="宋体" w:hAnsi="宋体"/>
          <w:color w:val="auto"/>
          <w:kern w:val="0"/>
          <w:szCs w:val="21"/>
          <w:highlight w:val="none"/>
          <w:lang w:val="zh-CN"/>
        </w:rPr>
        <w:t>用“</w:t>
      </w:r>
      <w:r>
        <w:rPr>
          <w:rFonts w:hint="eastAsia" w:ascii="宋体" w:hAnsi="宋体"/>
          <w:color w:val="auto"/>
          <w:kern w:val="0"/>
          <w:szCs w:val="21"/>
          <w:highlight w:val="none"/>
          <w:lang w:val="zh-CN"/>
        </w:rPr>
        <w:t>/</w:t>
      </w:r>
      <w:r>
        <w:rPr>
          <w:rFonts w:ascii="宋体" w:hAnsi="宋体"/>
          <w:color w:val="auto"/>
          <w:kern w:val="0"/>
          <w:szCs w:val="21"/>
          <w:highlight w:val="none"/>
          <w:lang w:val="zh-CN"/>
        </w:rPr>
        <w:t>”标示</w:t>
      </w:r>
      <w:r>
        <w:rPr>
          <w:rFonts w:hint="eastAsia" w:ascii="宋体" w:hAnsi="宋体"/>
          <w:color w:val="auto"/>
          <w:kern w:val="0"/>
          <w:szCs w:val="21"/>
          <w:highlight w:val="none"/>
          <w:lang w:val="zh-CN"/>
        </w:rPr>
        <w:t>；除“□”、</w:t>
      </w:r>
      <w:r>
        <w:rPr>
          <w:rFonts w:ascii="宋体" w:hAnsi="宋体"/>
          <w:color w:val="auto"/>
          <w:kern w:val="0"/>
          <w:szCs w:val="21"/>
          <w:highlight w:val="none"/>
          <w:lang w:val="zh-CN"/>
        </w:rPr>
        <w:t>空格</w:t>
      </w:r>
      <w:r>
        <w:rPr>
          <w:rFonts w:hint="eastAsia" w:ascii="宋体" w:hAnsi="宋体"/>
          <w:color w:val="auto"/>
          <w:kern w:val="0"/>
          <w:szCs w:val="21"/>
          <w:highlight w:val="none"/>
          <w:lang w:val="zh-CN"/>
        </w:rPr>
        <w:t>、下划线可以根据项目实际情况进行必要的</w:t>
      </w:r>
      <w:r>
        <w:rPr>
          <w:rFonts w:hint="eastAsia" w:ascii="宋体" w:hAnsi="宋体"/>
          <w:color w:val="auto"/>
          <w:kern w:val="0"/>
          <w:szCs w:val="21"/>
          <w:highlight w:val="none"/>
        </w:rPr>
        <w:t>勾选、</w:t>
      </w:r>
      <w:r>
        <w:rPr>
          <w:rFonts w:hint="eastAsia" w:ascii="宋体" w:hAnsi="宋体"/>
          <w:color w:val="auto"/>
          <w:kern w:val="0"/>
          <w:szCs w:val="21"/>
          <w:highlight w:val="none"/>
          <w:lang w:val="zh-CN"/>
        </w:rPr>
        <w:t>细化补充以及“</w:t>
      </w:r>
      <w:r>
        <w:rPr>
          <w:rFonts w:ascii="宋体" w:hAnsi="宋体"/>
          <w:i/>
          <w:iCs/>
          <w:color w:val="auto"/>
          <w:kern w:val="0"/>
          <w:szCs w:val="21"/>
          <w:highlight w:val="none"/>
          <w:lang w:val="zh-CN"/>
        </w:rPr>
        <w:t>[提示]</w:t>
      </w:r>
      <w:r>
        <w:rPr>
          <w:rFonts w:hint="eastAsia" w:ascii="宋体" w:hAnsi="宋体"/>
          <w:color w:val="auto"/>
          <w:kern w:val="0"/>
          <w:szCs w:val="21"/>
          <w:highlight w:val="none"/>
          <w:lang w:val="zh-CN"/>
        </w:rPr>
        <w:t>”明确可以增加补充的外，不得对</w:t>
      </w:r>
      <w:r>
        <w:rPr>
          <w:rFonts w:hint="eastAsia" w:ascii="宋体" w:hAnsi="宋体"/>
          <w:color w:val="auto"/>
          <w:highlight w:val="none"/>
        </w:rPr>
        <w:t>《</w:t>
      </w:r>
      <w:r>
        <w:rPr>
          <w:rFonts w:ascii="宋体" w:hAnsi="宋体"/>
          <w:color w:val="auto"/>
          <w:kern w:val="0"/>
          <w:szCs w:val="21"/>
          <w:highlight w:val="none"/>
          <w:lang w:val="zh-CN"/>
        </w:rPr>
        <w:t>重庆市房屋建筑和市政基础设施</w:t>
      </w:r>
      <w:r>
        <w:rPr>
          <w:rFonts w:hint="eastAsia" w:ascii="宋体" w:hAnsi="宋体"/>
          <w:color w:val="auto"/>
          <w:kern w:val="0"/>
          <w:szCs w:val="21"/>
          <w:highlight w:val="none"/>
          <w:lang w:val="zh-CN"/>
        </w:rPr>
        <w:t>项目工程总承包</w:t>
      </w:r>
      <w:r>
        <w:rPr>
          <w:rFonts w:ascii="宋体" w:hAnsi="宋体"/>
          <w:color w:val="auto"/>
          <w:kern w:val="0"/>
          <w:szCs w:val="21"/>
          <w:highlight w:val="none"/>
          <w:lang w:val="zh-CN"/>
        </w:rPr>
        <w:t>标准招标文件</w:t>
      </w:r>
      <w:r>
        <w:rPr>
          <w:rFonts w:hint="eastAsia" w:ascii="宋体" w:hAnsi="宋体"/>
          <w:color w:val="auto"/>
          <w:highlight w:val="none"/>
        </w:rPr>
        <w:t>》</w:t>
      </w:r>
      <w:r>
        <w:rPr>
          <w:rFonts w:hint="eastAsia" w:ascii="宋体" w:hAnsi="宋体"/>
          <w:color w:val="auto"/>
          <w:kern w:val="0"/>
          <w:szCs w:val="21"/>
          <w:highlight w:val="none"/>
          <w:lang w:val="zh-CN"/>
        </w:rPr>
        <w:t>实质性内容进行修改，</w:t>
      </w:r>
      <w:r>
        <w:rPr>
          <w:rFonts w:hint="eastAsia" w:ascii="宋体" w:hAnsi="宋体"/>
          <w:color w:val="auto"/>
          <w:highlight w:val="none"/>
        </w:rPr>
        <w:t>补充细化的内容不得与《</w:t>
      </w:r>
      <w:r>
        <w:rPr>
          <w:rFonts w:ascii="宋体" w:hAnsi="宋体"/>
          <w:color w:val="auto"/>
          <w:kern w:val="0"/>
          <w:szCs w:val="21"/>
          <w:highlight w:val="none"/>
          <w:lang w:val="zh-CN"/>
        </w:rPr>
        <w:t>重庆市房屋建筑和市政基础设施</w:t>
      </w:r>
      <w:r>
        <w:rPr>
          <w:rFonts w:hint="eastAsia" w:ascii="宋体" w:hAnsi="宋体"/>
          <w:color w:val="auto"/>
          <w:kern w:val="0"/>
          <w:szCs w:val="21"/>
          <w:highlight w:val="none"/>
          <w:lang w:val="zh-CN"/>
        </w:rPr>
        <w:t>项目工程总承包</w:t>
      </w:r>
      <w:r>
        <w:rPr>
          <w:rFonts w:ascii="宋体" w:hAnsi="宋体"/>
          <w:color w:val="auto"/>
          <w:kern w:val="0"/>
          <w:szCs w:val="21"/>
          <w:highlight w:val="none"/>
          <w:lang w:val="zh-CN"/>
        </w:rPr>
        <w:t>标准招标文件</w:t>
      </w:r>
      <w:r>
        <w:rPr>
          <w:rFonts w:hint="eastAsia" w:ascii="宋体" w:hAnsi="宋体"/>
          <w:color w:val="auto"/>
          <w:highlight w:val="none"/>
        </w:rPr>
        <w:t>》已约定的内容矛盾</w:t>
      </w:r>
      <w:r>
        <w:rPr>
          <w:rFonts w:hint="eastAsia" w:ascii="宋体" w:hAnsi="宋体"/>
          <w:color w:val="auto"/>
          <w:kern w:val="0"/>
          <w:szCs w:val="21"/>
          <w:highlight w:val="none"/>
          <w:lang w:val="zh-CN"/>
        </w:rPr>
        <w:t>。文件中标注为“</w:t>
      </w:r>
      <w:r>
        <w:rPr>
          <w:rFonts w:ascii="宋体" w:hAnsi="宋体"/>
          <w:i/>
          <w:iCs/>
          <w:color w:val="auto"/>
          <w:kern w:val="0"/>
          <w:szCs w:val="21"/>
          <w:highlight w:val="none"/>
          <w:lang w:val="zh-CN"/>
        </w:rPr>
        <w:t>[提示]</w:t>
      </w:r>
      <w:r>
        <w:rPr>
          <w:rFonts w:hint="eastAsia" w:ascii="宋体" w:hAnsi="宋体"/>
          <w:color w:val="auto"/>
          <w:kern w:val="0"/>
          <w:szCs w:val="21"/>
          <w:highlight w:val="none"/>
          <w:lang w:val="zh-CN"/>
        </w:rPr>
        <w:t>”的内容在具体招标文件编制过程中应删除。</w:t>
      </w:r>
    </w:p>
    <w:p w14:paraId="51967036">
      <w:pPr>
        <w:spacing w:line="360" w:lineRule="auto"/>
        <w:ind w:firstLine="420" w:firstLineChars="200"/>
        <w:rPr>
          <w:rFonts w:ascii="宋体" w:hAnsi="宋体"/>
          <w:color w:val="auto"/>
          <w:kern w:val="0"/>
          <w:szCs w:val="21"/>
          <w:highlight w:val="none"/>
          <w:lang w:val="zh-CN"/>
        </w:rPr>
      </w:pPr>
      <w:r>
        <w:rPr>
          <w:rFonts w:hint="eastAsia" w:ascii="宋体" w:hAnsi="宋体"/>
          <w:color w:val="auto"/>
          <w:kern w:val="0"/>
          <w:szCs w:val="21"/>
          <w:highlight w:val="none"/>
        </w:rPr>
        <w:t>十一</w:t>
      </w:r>
      <w:r>
        <w:rPr>
          <w:rFonts w:ascii="宋体" w:hAnsi="宋体"/>
          <w:color w:val="auto"/>
          <w:kern w:val="0"/>
          <w:szCs w:val="21"/>
          <w:highlight w:val="none"/>
          <w:lang w:val="zh-CN"/>
        </w:rPr>
        <w:t>、</w:t>
      </w:r>
      <w:r>
        <w:rPr>
          <w:rFonts w:hint="eastAsia" w:ascii="宋体" w:hAnsi="宋体"/>
          <w:color w:val="auto"/>
          <w:kern w:val="0"/>
          <w:szCs w:val="21"/>
          <w:highlight w:val="none"/>
          <w:lang w:val="zh-CN"/>
        </w:rPr>
        <w:t>《</w:t>
      </w:r>
      <w:r>
        <w:rPr>
          <w:rFonts w:ascii="宋体" w:hAnsi="宋体"/>
          <w:color w:val="auto"/>
          <w:kern w:val="0"/>
          <w:szCs w:val="21"/>
          <w:highlight w:val="none"/>
          <w:lang w:val="zh-CN"/>
        </w:rPr>
        <w:t>重庆市房屋建筑和市政基础设施</w:t>
      </w:r>
      <w:r>
        <w:rPr>
          <w:rFonts w:hint="eastAsia" w:ascii="宋体" w:hAnsi="宋体"/>
          <w:color w:val="auto"/>
          <w:kern w:val="0"/>
          <w:szCs w:val="21"/>
          <w:highlight w:val="none"/>
          <w:lang w:val="zh-CN"/>
        </w:rPr>
        <w:t>项目工程总承包</w:t>
      </w:r>
      <w:r>
        <w:rPr>
          <w:rFonts w:ascii="宋体" w:hAnsi="宋体"/>
          <w:color w:val="auto"/>
          <w:kern w:val="0"/>
          <w:szCs w:val="21"/>
          <w:highlight w:val="none"/>
          <w:lang w:val="zh-CN"/>
        </w:rPr>
        <w:t>标准招标文件</w:t>
      </w:r>
      <w:r>
        <w:rPr>
          <w:rFonts w:hint="eastAsia" w:ascii="宋体" w:hAnsi="宋体"/>
          <w:color w:val="auto"/>
          <w:kern w:val="0"/>
          <w:szCs w:val="21"/>
          <w:highlight w:val="none"/>
          <w:lang w:val="zh-CN"/>
        </w:rPr>
        <w:t>》将根据实际执行过程中出现的问题及时进行修改。各使用单位或个人对《</w:t>
      </w:r>
      <w:r>
        <w:rPr>
          <w:rFonts w:ascii="宋体" w:hAnsi="宋体"/>
          <w:color w:val="auto"/>
          <w:kern w:val="0"/>
          <w:szCs w:val="21"/>
          <w:highlight w:val="none"/>
          <w:lang w:val="zh-CN"/>
        </w:rPr>
        <w:t>重庆市房屋建筑和市政基础设施</w:t>
      </w:r>
      <w:r>
        <w:rPr>
          <w:rFonts w:hint="eastAsia" w:ascii="宋体" w:hAnsi="宋体"/>
          <w:color w:val="auto"/>
          <w:kern w:val="0"/>
          <w:szCs w:val="21"/>
          <w:highlight w:val="none"/>
          <w:lang w:val="zh-CN"/>
        </w:rPr>
        <w:t>项目工程总承包</w:t>
      </w:r>
      <w:r>
        <w:rPr>
          <w:rFonts w:ascii="宋体" w:hAnsi="宋体"/>
          <w:color w:val="auto"/>
          <w:kern w:val="0"/>
          <w:szCs w:val="21"/>
          <w:highlight w:val="none"/>
          <w:lang w:val="zh-CN"/>
        </w:rPr>
        <w:t>标准招标文件</w:t>
      </w:r>
      <w:r>
        <w:rPr>
          <w:rFonts w:hint="eastAsia" w:ascii="宋体" w:hAnsi="宋体"/>
          <w:color w:val="auto"/>
          <w:kern w:val="0"/>
          <w:szCs w:val="21"/>
          <w:highlight w:val="none"/>
          <w:lang w:val="zh-CN"/>
        </w:rPr>
        <w:t>》的修改意见和建议，可向重庆市公共资源交易监督管理局反映</w:t>
      </w:r>
      <w:r>
        <w:rPr>
          <w:rFonts w:ascii="宋体" w:hAnsi="宋体"/>
          <w:color w:val="auto"/>
          <w:kern w:val="0"/>
          <w:szCs w:val="21"/>
          <w:highlight w:val="none"/>
          <w:lang w:val="zh-CN"/>
        </w:rPr>
        <w:t>。联系电话</w:t>
      </w:r>
      <w:r>
        <w:rPr>
          <w:rFonts w:hint="eastAsia" w:ascii="宋体" w:hAnsi="宋体"/>
          <w:color w:val="auto"/>
          <w:kern w:val="0"/>
          <w:szCs w:val="21"/>
          <w:highlight w:val="none"/>
          <w:lang w:val="zh-CN"/>
        </w:rPr>
        <w:t>：023-67575990或023-</w:t>
      </w:r>
      <w:r>
        <w:rPr>
          <w:rFonts w:ascii="宋体" w:hAnsi="宋体"/>
          <w:color w:val="auto"/>
          <w:kern w:val="0"/>
          <w:szCs w:val="21"/>
          <w:highlight w:val="none"/>
          <w:lang w:val="zh-CN"/>
        </w:rPr>
        <w:t>63670850</w:t>
      </w:r>
      <w:r>
        <w:rPr>
          <w:rFonts w:hint="eastAsia" w:ascii="宋体" w:hAnsi="宋体"/>
          <w:color w:val="auto"/>
          <w:kern w:val="0"/>
          <w:szCs w:val="21"/>
          <w:highlight w:val="none"/>
          <w:lang w:val="zh-CN"/>
        </w:rPr>
        <w:t>。</w:t>
      </w:r>
    </w:p>
    <w:p w14:paraId="0CF4A8C9">
      <w:pPr>
        <w:spacing w:line="360" w:lineRule="auto"/>
        <w:ind w:firstLine="420" w:firstLineChars="200"/>
        <w:rPr>
          <w:rFonts w:ascii="宋体" w:hAnsi="宋体"/>
          <w:color w:val="auto"/>
          <w:kern w:val="0"/>
          <w:szCs w:val="21"/>
          <w:highlight w:val="none"/>
          <w:lang w:val="zh-CN"/>
        </w:rPr>
        <w:sectPr>
          <w:footerReference r:id="rId6" w:type="default"/>
          <w:pgSz w:w="11907" w:h="16840"/>
          <w:pgMar w:top="1304" w:right="1134" w:bottom="1304" w:left="1304" w:header="851" w:footer="992" w:gutter="0"/>
          <w:pgNumType w:fmt="numberInDash" w:start="1"/>
          <w:cols w:space="720" w:num="1"/>
          <w:docGrid w:linePitch="312" w:charSpace="0"/>
        </w:sectPr>
      </w:pPr>
    </w:p>
    <w:p w14:paraId="35A7EFF4">
      <w:pPr>
        <w:jc w:val="center"/>
        <w:rPr>
          <w:rFonts w:ascii="宋体" w:hAnsi="宋体"/>
          <w:b/>
          <w:color w:val="auto"/>
          <w:sz w:val="44"/>
          <w:szCs w:val="44"/>
          <w:highlight w:val="none"/>
        </w:rPr>
      </w:pPr>
    </w:p>
    <w:p w14:paraId="698BE932">
      <w:pPr>
        <w:spacing w:line="360" w:lineRule="auto"/>
        <w:ind w:firstLine="2240" w:firstLineChars="700"/>
        <w:rPr>
          <w:rFonts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4DAF19DC">
      <w:pPr>
        <w:autoSpaceDE w:val="0"/>
        <w:autoSpaceDN w:val="0"/>
        <w:adjustRightInd w:val="0"/>
        <w:snapToGrid w:val="0"/>
        <w:spacing w:line="360" w:lineRule="auto"/>
        <w:jc w:val="left"/>
        <w:rPr>
          <w:rFonts w:ascii="宋体" w:hAnsi="宋体"/>
          <w:color w:val="auto"/>
          <w:kern w:val="0"/>
          <w:sz w:val="20"/>
          <w:szCs w:val="20"/>
          <w:highlight w:val="none"/>
        </w:rPr>
      </w:pPr>
    </w:p>
    <w:p w14:paraId="4CBA909E">
      <w:pPr>
        <w:autoSpaceDE w:val="0"/>
        <w:autoSpaceDN w:val="0"/>
        <w:adjustRightInd w:val="0"/>
        <w:snapToGrid w:val="0"/>
        <w:spacing w:line="360" w:lineRule="auto"/>
        <w:jc w:val="left"/>
        <w:rPr>
          <w:rFonts w:ascii="宋体" w:hAnsi="宋体"/>
          <w:color w:val="auto"/>
          <w:kern w:val="0"/>
          <w:sz w:val="20"/>
          <w:szCs w:val="20"/>
          <w:highlight w:val="none"/>
        </w:rPr>
      </w:pPr>
    </w:p>
    <w:p w14:paraId="2729E8B4">
      <w:pPr>
        <w:autoSpaceDE w:val="0"/>
        <w:autoSpaceDN w:val="0"/>
        <w:adjustRightInd w:val="0"/>
        <w:snapToGrid w:val="0"/>
        <w:spacing w:line="360" w:lineRule="auto"/>
        <w:jc w:val="left"/>
        <w:rPr>
          <w:rFonts w:ascii="宋体" w:hAnsi="宋体"/>
          <w:color w:val="auto"/>
          <w:kern w:val="0"/>
          <w:sz w:val="20"/>
          <w:szCs w:val="20"/>
          <w:highlight w:val="none"/>
        </w:rPr>
      </w:pPr>
    </w:p>
    <w:p w14:paraId="4A5DD203">
      <w:pPr>
        <w:autoSpaceDE w:val="0"/>
        <w:autoSpaceDN w:val="0"/>
        <w:adjustRightInd w:val="0"/>
        <w:snapToGrid w:val="0"/>
        <w:spacing w:line="360" w:lineRule="auto"/>
        <w:jc w:val="left"/>
        <w:rPr>
          <w:rFonts w:ascii="宋体" w:hAnsi="宋体"/>
          <w:color w:val="auto"/>
          <w:kern w:val="0"/>
          <w:sz w:val="20"/>
          <w:szCs w:val="20"/>
          <w:highlight w:val="none"/>
        </w:rPr>
      </w:pPr>
    </w:p>
    <w:p w14:paraId="41976BB4">
      <w:pPr>
        <w:autoSpaceDE w:val="0"/>
        <w:autoSpaceDN w:val="0"/>
        <w:adjustRightInd w:val="0"/>
        <w:snapToGrid w:val="0"/>
        <w:spacing w:line="360" w:lineRule="auto"/>
        <w:jc w:val="left"/>
        <w:rPr>
          <w:rFonts w:ascii="宋体" w:hAnsi="宋体"/>
          <w:color w:val="auto"/>
          <w:kern w:val="0"/>
          <w:sz w:val="20"/>
          <w:szCs w:val="20"/>
          <w:highlight w:val="none"/>
        </w:rPr>
      </w:pPr>
    </w:p>
    <w:p w14:paraId="46D7F510">
      <w:pPr>
        <w:autoSpaceDE w:val="0"/>
        <w:autoSpaceDN w:val="0"/>
        <w:adjustRightInd w:val="0"/>
        <w:snapToGrid w:val="0"/>
        <w:spacing w:line="360" w:lineRule="auto"/>
        <w:jc w:val="left"/>
        <w:rPr>
          <w:rFonts w:ascii="宋体" w:hAnsi="宋体"/>
          <w:color w:val="auto"/>
          <w:kern w:val="0"/>
          <w:sz w:val="20"/>
          <w:szCs w:val="20"/>
          <w:highlight w:val="none"/>
        </w:rPr>
      </w:pPr>
    </w:p>
    <w:p w14:paraId="10366290">
      <w:pPr>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工程总承包</w:t>
      </w:r>
      <w:r>
        <w:rPr>
          <w:rFonts w:ascii="宋体" w:hAnsi="宋体"/>
          <w:color w:val="auto"/>
          <w:kern w:val="0"/>
          <w:sz w:val="72"/>
          <w:szCs w:val="72"/>
          <w:highlight w:val="none"/>
        </w:rPr>
        <w:t>招标文件</w:t>
      </w:r>
    </w:p>
    <w:p w14:paraId="4F532768">
      <w:pPr>
        <w:autoSpaceDE w:val="0"/>
        <w:autoSpaceDN w:val="0"/>
        <w:adjustRightInd w:val="0"/>
        <w:snapToGrid w:val="0"/>
        <w:spacing w:line="360" w:lineRule="auto"/>
        <w:jc w:val="left"/>
        <w:rPr>
          <w:rFonts w:ascii="宋体" w:hAnsi="宋体"/>
          <w:color w:val="auto"/>
          <w:kern w:val="0"/>
          <w:sz w:val="10"/>
          <w:szCs w:val="10"/>
          <w:highlight w:val="none"/>
        </w:rPr>
      </w:pPr>
    </w:p>
    <w:p w14:paraId="639BC1EF">
      <w:pPr>
        <w:autoSpaceDE w:val="0"/>
        <w:autoSpaceDN w:val="0"/>
        <w:adjustRightInd w:val="0"/>
        <w:snapToGrid w:val="0"/>
        <w:spacing w:line="360" w:lineRule="auto"/>
        <w:jc w:val="left"/>
        <w:rPr>
          <w:rFonts w:ascii="宋体" w:hAnsi="宋体"/>
          <w:color w:val="auto"/>
          <w:kern w:val="0"/>
          <w:sz w:val="20"/>
          <w:szCs w:val="20"/>
          <w:highlight w:val="none"/>
        </w:rPr>
      </w:pPr>
    </w:p>
    <w:p w14:paraId="3F14FF0A">
      <w:pPr>
        <w:autoSpaceDE w:val="0"/>
        <w:autoSpaceDN w:val="0"/>
        <w:adjustRightInd w:val="0"/>
        <w:snapToGrid w:val="0"/>
        <w:spacing w:line="360" w:lineRule="auto"/>
        <w:jc w:val="left"/>
        <w:rPr>
          <w:rFonts w:ascii="宋体" w:hAnsi="宋体"/>
          <w:color w:val="auto"/>
          <w:kern w:val="0"/>
          <w:sz w:val="20"/>
          <w:szCs w:val="20"/>
          <w:highlight w:val="none"/>
        </w:rPr>
      </w:pPr>
    </w:p>
    <w:p w14:paraId="539AF3E1">
      <w:pPr>
        <w:autoSpaceDE w:val="0"/>
        <w:autoSpaceDN w:val="0"/>
        <w:adjustRightInd w:val="0"/>
        <w:snapToGrid w:val="0"/>
        <w:spacing w:line="360" w:lineRule="auto"/>
        <w:jc w:val="left"/>
        <w:rPr>
          <w:rFonts w:ascii="宋体" w:hAnsi="宋体"/>
          <w:color w:val="auto"/>
          <w:kern w:val="0"/>
          <w:sz w:val="20"/>
          <w:szCs w:val="20"/>
          <w:highlight w:val="none"/>
        </w:rPr>
      </w:pPr>
    </w:p>
    <w:p w14:paraId="7F2B0406">
      <w:pPr>
        <w:autoSpaceDE w:val="0"/>
        <w:autoSpaceDN w:val="0"/>
        <w:adjustRightInd w:val="0"/>
        <w:snapToGrid w:val="0"/>
        <w:spacing w:line="360" w:lineRule="auto"/>
        <w:jc w:val="left"/>
        <w:rPr>
          <w:rFonts w:ascii="宋体" w:hAnsi="宋体"/>
          <w:color w:val="auto"/>
          <w:kern w:val="0"/>
          <w:sz w:val="20"/>
          <w:szCs w:val="20"/>
          <w:highlight w:val="none"/>
        </w:rPr>
      </w:pPr>
    </w:p>
    <w:p w14:paraId="659248EA">
      <w:pPr>
        <w:autoSpaceDE w:val="0"/>
        <w:autoSpaceDN w:val="0"/>
        <w:adjustRightInd w:val="0"/>
        <w:snapToGrid w:val="0"/>
        <w:spacing w:line="360" w:lineRule="auto"/>
        <w:jc w:val="left"/>
        <w:rPr>
          <w:rFonts w:ascii="宋体" w:hAnsi="宋体"/>
          <w:color w:val="auto"/>
          <w:kern w:val="0"/>
          <w:sz w:val="20"/>
          <w:szCs w:val="20"/>
          <w:highlight w:val="none"/>
        </w:rPr>
      </w:pPr>
    </w:p>
    <w:p w14:paraId="4D958ADE">
      <w:pPr>
        <w:autoSpaceDE w:val="0"/>
        <w:autoSpaceDN w:val="0"/>
        <w:adjustRightInd w:val="0"/>
        <w:snapToGrid w:val="0"/>
        <w:spacing w:line="360" w:lineRule="auto"/>
        <w:jc w:val="left"/>
        <w:rPr>
          <w:rFonts w:ascii="宋体" w:hAnsi="宋体"/>
          <w:color w:val="auto"/>
          <w:kern w:val="0"/>
          <w:sz w:val="20"/>
          <w:szCs w:val="20"/>
          <w:highlight w:val="none"/>
        </w:rPr>
      </w:pPr>
    </w:p>
    <w:p w14:paraId="05365B9A">
      <w:pPr>
        <w:autoSpaceDE w:val="0"/>
        <w:autoSpaceDN w:val="0"/>
        <w:adjustRightInd w:val="0"/>
        <w:snapToGrid w:val="0"/>
        <w:spacing w:line="360" w:lineRule="auto"/>
        <w:jc w:val="left"/>
        <w:rPr>
          <w:rFonts w:ascii="宋体" w:hAnsi="宋体"/>
          <w:color w:val="auto"/>
          <w:kern w:val="0"/>
          <w:sz w:val="20"/>
          <w:szCs w:val="20"/>
          <w:highlight w:val="none"/>
        </w:rPr>
      </w:pPr>
    </w:p>
    <w:p w14:paraId="6D32CD8C">
      <w:pPr>
        <w:autoSpaceDE w:val="0"/>
        <w:autoSpaceDN w:val="0"/>
        <w:adjustRightInd w:val="0"/>
        <w:snapToGrid w:val="0"/>
        <w:spacing w:line="360" w:lineRule="auto"/>
        <w:rPr>
          <w:rFonts w:ascii="宋体" w:hAnsi="宋体"/>
          <w:color w:val="auto"/>
          <w:kern w:val="0"/>
          <w:sz w:val="20"/>
          <w:szCs w:val="20"/>
          <w:highlight w:val="none"/>
        </w:rPr>
      </w:pPr>
    </w:p>
    <w:p w14:paraId="51EF271C">
      <w:pPr>
        <w:autoSpaceDE w:val="0"/>
        <w:autoSpaceDN w:val="0"/>
        <w:adjustRightInd w:val="0"/>
        <w:snapToGrid w:val="0"/>
        <w:spacing w:line="360" w:lineRule="auto"/>
        <w:jc w:val="left"/>
        <w:rPr>
          <w:rFonts w:ascii="宋体" w:hAnsi="宋体"/>
          <w:color w:val="auto"/>
          <w:kern w:val="0"/>
          <w:sz w:val="20"/>
          <w:szCs w:val="20"/>
          <w:highlight w:val="none"/>
        </w:rPr>
      </w:pPr>
    </w:p>
    <w:p w14:paraId="7C5959E0">
      <w:pPr>
        <w:autoSpaceDE w:val="0"/>
        <w:autoSpaceDN w:val="0"/>
        <w:adjustRightInd w:val="0"/>
        <w:snapToGrid w:val="0"/>
        <w:spacing w:line="360" w:lineRule="auto"/>
        <w:rPr>
          <w:rFonts w:ascii="宋体" w:hAnsi="宋体"/>
          <w:color w:val="auto"/>
          <w:kern w:val="0"/>
          <w:sz w:val="20"/>
          <w:szCs w:val="20"/>
          <w:highlight w:val="none"/>
        </w:rPr>
      </w:pPr>
    </w:p>
    <w:p w14:paraId="73373789">
      <w:pPr>
        <w:autoSpaceDE w:val="0"/>
        <w:autoSpaceDN w:val="0"/>
        <w:adjustRightInd w:val="0"/>
        <w:snapToGrid w:val="0"/>
        <w:spacing w:line="360" w:lineRule="auto"/>
        <w:rPr>
          <w:rFonts w:ascii="宋体" w:hAnsi="宋体"/>
          <w:color w:val="auto"/>
          <w:kern w:val="0"/>
          <w:sz w:val="20"/>
          <w:szCs w:val="20"/>
          <w:highlight w:val="none"/>
        </w:rPr>
      </w:pPr>
    </w:p>
    <w:p w14:paraId="778157B9">
      <w:pPr>
        <w:autoSpaceDE w:val="0"/>
        <w:autoSpaceDN w:val="0"/>
        <w:adjustRightInd w:val="0"/>
        <w:snapToGrid w:val="0"/>
        <w:spacing w:line="360" w:lineRule="auto"/>
        <w:rPr>
          <w:rFonts w:ascii="宋体" w:hAnsi="宋体"/>
          <w:color w:val="auto"/>
          <w:kern w:val="0"/>
          <w:sz w:val="20"/>
          <w:szCs w:val="20"/>
          <w:highlight w:val="none"/>
        </w:rPr>
      </w:pPr>
    </w:p>
    <w:p w14:paraId="5EF5D0CF">
      <w:pPr>
        <w:tabs>
          <w:tab w:val="left" w:pos="6219"/>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w w:val="99"/>
          <w:kern w:val="0"/>
          <w:sz w:val="28"/>
          <w:szCs w:val="28"/>
          <w:highlight w:val="none"/>
        </w:rPr>
        <w:t>招　　标　 人：</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14:paraId="0FF415BE">
      <w:pPr>
        <w:tabs>
          <w:tab w:val="left" w:pos="6252"/>
        </w:tabs>
        <w:autoSpaceDE w:val="0"/>
        <w:autoSpaceDN w:val="0"/>
        <w:adjustRightInd w:val="0"/>
        <w:snapToGrid w:val="0"/>
        <w:spacing w:line="360" w:lineRule="auto"/>
        <w:jc w:val="center"/>
        <w:rPr>
          <w:rFonts w:ascii="宋体" w:hAnsi="宋体"/>
          <w:b/>
          <w:color w:val="auto"/>
          <w:w w:val="99"/>
          <w:kern w:val="0"/>
          <w:sz w:val="28"/>
          <w:szCs w:val="28"/>
          <w:highlight w:val="none"/>
        </w:rPr>
      </w:pPr>
      <w:r>
        <w:rPr>
          <w:rFonts w:ascii="宋体" w:hAnsi="宋体"/>
          <w:b/>
          <w:color w:val="auto"/>
          <w:spacing w:val="8"/>
          <w:kern w:val="0"/>
          <w:sz w:val="28"/>
          <w:szCs w:val="28"/>
          <w:highlight w:val="none"/>
        </w:rPr>
        <w:t>招标代理机构：</w:t>
      </w:r>
      <w:r>
        <w:rPr>
          <w:rFonts w:ascii="宋体" w:hAnsi="宋体"/>
          <w:color w:val="auto"/>
          <w:kern w:val="0"/>
          <w:sz w:val="28"/>
          <w:szCs w:val="28"/>
          <w:highlight w:val="none"/>
          <w:u w:val="single"/>
        </w:rPr>
        <w:tab/>
      </w:r>
      <w:r>
        <w:rPr>
          <w:rFonts w:ascii="宋体" w:hAnsi="宋体"/>
          <w:color w:val="auto"/>
          <w:kern w:val="0"/>
          <w:sz w:val="28"/>
          <w:szCs w:val="28"/>
          <w:highlight w:val="none"/>
          <w:u w:val="single"/>
        </w:rPr>
        <w:t xml:space="preserve">   </w:t>
      </w:r>
      <w:r>
        <w:rPr>
          <w:rFonts w:ascii="宋体" w:hAnsi="宋体"/>
          <w:b/>
          <w:color w:val="auto"/>
          <w:w w:val="99"/>
          <w:kern w:val="0"/>
          <w:sz w:val="28"/>
          <w:szCs w:val="28"/>
          <w:highlight w:val="none"/>
        </w:rPr>
        <w:t>（盖单位法人章）</w:t>
      </w:r>
    </w:p>
    <w:p w14:paraId="0D7BEC84">
      <w:pPr>
        <w:autoSpaceDE w:val="0"/>
        <w:autoSpaceDN w:val="0"/>
        <w:adjustRightInd w:val="0"/>
        <w:snapToGrid w:val="0"/>
        <w:spacing w:line="360" w:lineRule="auto"/>
        <w:jc w:val="center"/>
        <w:rPr>
          <w:rFonts w:ascii="宋体" w:hAnsi="宋体"/>
          <w:b/>
          <w:color w:val="auto"/>
          <w:kern w:val="0"/>
          <w:sz w:val="20"/>
          <w:szCs w:val="20"/>
          <w:highlight w:val="none"/>
        </w:rPr>
      </w:pPr>
    </w:p>
    <w:p w14:paraId="460CB7B3">
      <w:pPr>
        <w:autoSpaceDE w:val="0"/>
        <w:autoSpaceDN w:val="0"/>
        <w:adjustRightInd w:val="0"/>
        <w:snapToGrid w:val="0"/>
        <w:spacing w:line="360" w:lineRule="auto"/>
        <w:jc w:val="center"/>
        <w:rPr>
          <w:rFonts w:ascii="宋体" w:hAnsi="宋体"/>
          <w:b/>
          <w:color w:val="auto"/>
          <w:kern w:val="0"/>
          <w:sz w:val="28"/>
          <w:szCs w:val="28"/>
          <w:highlight w:val="none"/>
        </w:rPr>
      </w:pPr>
    </w:p>
    <w:p w14:paraId="4DBE15F7">
      <w:pPr>
        <w:autoSpaceDE w:val="0"/>
        <w:autoSpaceDN w:val="0"/>
        <w:adjustRightInd w:val="0"/>
        <w:snapToGrid w:val="0"/>
        <w:spacing w:line="360" w:lineRule="auto"/>
        <w:jc w:val="center"/>
        <w:rPr>
          <w:rFonts w:ascii="宋体" w:hAnsi="宋体"/>
          <w:b/>
          <w:color w:val="auto"/>
          <w:kern w:val="0"/>
          <w:sz w:val="28"/>
          <w:szCs w:val="28"/>
          <w:highlight w:val="none"/>
        </w:rPr>
      </w:pPr>
    </w:p>
    <w:p w14:paraId="4509697E">
      <w:pPr>
        <w:autoSpaceDE w:val="0"/>
        <w:autoSpaceDN w:val="0"/>
        <w:adjustRightInd w:val="0"/>
        <w:snapToGrid w:val="0"/>
        <w:spacing w:line="360" w:lineRule="auto"/>
        <w:rPr>
          <w:rFonts w:ascii="宋体" w:hAnsi="宋体"/>
          <w:b/>
          <w:color w:val="auto"/>
          <w:kern w:val="0"/>
          <w:sz w:val="20"/>
          <w:szCs w:val="20"/>
          <w:highlight w:val="none"/>
        </w:rPr>
      </w:pPr>
    </w:p>
    <w:p w14:paraId="00CAFF31">
      <w:pPr>
        <w:tabs>
          <w:tab w:val="left" w:pos="6252"/>
        </w:tabs>
        <w:autoSpaceDE w:val="0"/>
        <w:autoSpaceDN w:val="0"/>
        <w:adjustRightInd w:val="0"/>
        <w:snapToGrid w:val="0"/>
        <w:spacing w:line="360" w:lineRule="auto"/>
        <w:jc w:val="center"/>
        <w:rPr>
          <w:rFonts w:ascii="宋体" w:hAnsi="宋体"/>
          <w:bCs/>
          <w:color w:val="auto"/>
          <w:spacing w:val="8"/>
          <w:kern w:val="0"/>
          <w:sz w:val="28"/>
          <w:szCs w:val="28"/>
          <w:highlight w:val="none"/>
        </w:rPr>
      </w:pPr>
      <w:r>
        <w:rPr>
          <w:rFonts w:ascii="宋体" w:hAnsi="宋体"/>
          <w:b/>
          <w:color w:val="auto"/>
          <w:spacing w:val="8"/>
          <w:kern w:val="0"/>
          <w:sz w:val="28"/>
          <w:szCs w:val="28"/>
          <w:highlight w:val="none"/>
          <w:u w:val="single"/>
        </w:rPr>
        <w:t>　　　</w:t>
      </w:r>
      <w:bookmarkStart w:id="2" w:name="_Toc509218549"/>
      <w:bookmarkStart w:id="3" w:name="_Toc536797277"/>
      <w:bookmarkStart w:id="4" w:name="_Toc536621766"/>
      <w:bookmarkStart w:id="5" w:name="_Toc13210649"/>
      <w:bookmarkStart w:id="6" w:name="_Toc536796736"/>
      <w:r>
        <w:rPr>
          <w:rFonts w:ascii="宋体" w:hAnsi="宋体"/>
          <w:b/>
          <w:color w:val="auto"/>
          <w:spacing w:val="8"/>
          <w:kern w:val="0"/>
          <w:sz w:val="28"/>
          <w:szCs w:val="28"/>
          <w:highlight w:val="none"/>
        </w:rPr>
        <w:t>年</w:t>
      </w:r>
      <w:r>
        <w:rPr>
          <w:rFonts w:ascii="宋体" w:hAnsi="宋体"/>
          <w:b/>
          <w:color w:val="auto"/>
          <w:spacing w:val="8"/>
          <w:kern w:val="0"/>
          <w:sz w:val="28"/>
          <w:szCs w:val="28"/>
          <w:highlight w:val="none"/>
          <w:u w:val="single"/>
        </w:rPr>
        <w:t>　　　</w:t>
      </w:r>
      <w:r>
        <w:rPr>
          <w:rFonts w:ascii="宋体" w:hAnsi="宋体"/>
          <w:b/>
          <w:color w:val="auto"/>
          <w:spacing w:val="8"/>
          <w:kern w:val="0"/>
          <w:sz w:val="28"/>
          <w:szCs w:val="28"/>
          <w:highlight w:val="none"/>
        </w:rPr>
        <w:t>月</w:t>
      </w:r>
      <w:r>
        <w:rPr>
          <w:rFonts w:ascii="宋体" w:hAnsi="宋体"/>
          <w:b/>
          <w:color w:val="auto"/>
          <w:spacing w:val="8"/>
          <w:kern w:val="0"/>
          <w:sz w:val="28"/>
          <w:szCs w:val="28"/>
          <w:highlight w:val="none"/>
          <w:u w:val="single"/>
        </w:rPr>
        <w:t>　　　</w:t>
      </w:r>
      <w:r>
        <w:rPr>
          <w:rFonts w:ascii="宋体" w:hAnsi="宋体"/>
          <w:b/>
          <w:color w:val="auto"/>
          <w:spacing w:val="8"/>
          <w:kern w:val="0"/>
          <w:sz w:val="28"/>
          <w:szCs w:val="28"/>
          <w:highlight w:val="none"/>
        </w:rPr>
        <w:t>日</w:t>
      </w:r>
      <w:bookmarkEnd w:id="2"/>
      <w:bookmarkEnd w:id="3"/>
      <w:bookmarkEnd w:id="4"/>
      <w:bookmarkEnd w:id="5"/>
      <w:bookmarkEnd w:id="6"/>
    </w:p>
    <w:p w14:paraId="5B9CF33B">
      <w:pPr>
        <w:pStyle w:val="3"/>
        <w:spacing w:line="360" w:lineRule="auto"/>
        <w:jc w:val="center"/>
        <w:rPr>
          <w:rFonts w:ascii="宋体" w:hAnsi="宋体"/>
          <w:color w:val="auto"/>
          <w:w w:val="99"/>
          <w:kern w:val="0"/>
          <w:sz w:val="24"/>
          <w:highlight w:val="none"/>
        </w:rPr>
        <w:sectPr>
          <w:footerReference r:id="rId7" w:type="default"/>
          <w:pgSz w:w="11907" w:h="16840"/>
          <w:pgMar w:top="1304" w:right="1134" w:bottom="1304" w:left="1304" w:header="851" w:footer="992" w:gutter="0"/>
          <w:pgNumType w:fmt="numberInDash" w:start="1"/>
          <w:cols w:space="720" w:num="1"/>
          <w:docGrid w:linePitch="312" w:charSpace="0"/>
        </w:sectPr>
      </w:pPr>
    </w:p>
    <w:p w14:paraId="1C6EA465">
      <w:pPr>
        <w:pStyle w:val="259"/>
        <w:jc w:val="center"/>
        <w:rPr>
          <w:rFonts w:ascii="宋体" w:hAnsi="宋体"/>
          <w:color w:val="auto"/>
          <w:sz w:val="44"/>
          <w:szCs w:val="44"/>
          <w:highlight w:val="none"/>
        </w:rPr>
      </w:pPr>
      <w:r>
        <w:rPr>
          <w:rFonts w:ascii="宋体" w:hAnsi="宋体"/>
          <w:color w:val="auto"/>
          <w:sz w:val="44"/>
          <w:szCs w:val="44"/>
          <w:highlight w:val="none"/>
          <w:lang w:val="zh-CN"/>
        </w:rPr>
        <w:t>目</w:t>
      </w:r>
      <w:r>
        <w:rPr>
          <w:rFonts w:hint="eastAsia" w:ascii="宋体" w:hAnsi="宋体"/>
          <w:color w:val="auto"/>
          <w:sz w:val="44"/>
          <w:szCs w:val="44"/>
          <w:highlight w:val="none"/>
          <w:lang w:val="zh-CN"/>
        </w:rPr>
        <w:t xml:space="preserve"> </w:t>
      </w:r>
      <w:r>
        <w:rPr>
          <w:rFonts w:ascii="宋体" w:hAnsi="宋体"/>
          <w:color w:val="auto"/>
          <w:sz w:val="44"/>
          <w:szCs w:val="44"/>
          <w:highlight w:val="none"/>
          <w:lang w:val="zh-CN"/>
        </w:rPr>
        <w:t>录</w:t>
      </w:r>
    </w:p>
    <w:p w14:paraId="6449024C">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rFonts w:ascii="宋体" w:hAnsi="宋体"/>
          <w:color w:val="auto"/>
          <w:highlight w:val="none"/>
        </w:rPr>
        <w:fldChar w:fldCharType="begin"/>
      </w:r>
      <w:r>
        <w:rPr>
          <w:rFonts w:ascii="宋体" w:hAnsi="宋体"/>
          <w:color w:val="auto"/>
          <w:highlight w:val="none"/>
        </w:rPr>
        <w:instrText xml:space="preserve"> TOC \o "1-3" \h \z \u </w:instrText>
      </w:r>
      <w:r>
        <w:rPr>
          <w:rFonts w:ascii="宋体" w:hAnsi="宋体"/>
          <w:color w:val="auto"/>
          <w:highlight w:val="none"/>
        </w:rPr>
        <w:fldChar w:fldCharType="separate"/>
      </w:r>
      <w:r>
        <w:rPr>
          <w:color w:val="auto"/>
          <w:highlight w:val="none"/>
        </w:rPr>
        <w:fldChar w:fldCharType="begin"/>
      </w:r>
      <w:r>
        <w:rPr>
          <w:color w:val="auto"/>
          <w:highlight w:val="none"/>
        </w:rPr>
        <w:instrText xml:space="preserve"> HYPERLINK \l "_Toc58860046" </w:instrText>
      </w:r>
      <w:r>
        <w:rPr>
          <w:color w:val="auto"/>
          <w:highlight w:val="none"/>
        </w:rPr>
        <w:fldChar w:fldCharType="separate"/>
      </w:r>
      <w:r>
        <w:rPr>
          <w:rStyle w:val="53"/>
          <w:rFonts w:ascii="宋体" w:hAnsi="宋体"/>
          <w:color w:val="auto"/>
          <w:highlight w:val="none"/>
        </w:rPr>
        <w:t>第 一 卷</w:t>
      </w:r>
      <w:r>
        <w:rPr>
          <w:color w:val="auto"/>
          <w:highlight w:val="none"/>
        </w:rPr>
        <w:tab/>
      </w:r>
      <w:r>
        <w:rPr>
          <w:color w:val="auto"/>
          <w:highlight w:val="none"/>
        </w:rPr>
        <w:fldChar w:fldCharType="begin"/>
      </w:r>
      <w:r>
        <w:rPr>
          <w:color w:val="auto"/>
          <w:highlight w:val="none"/>
        </w:rPr>
        <w:instrText xml:space="preserve"> PAGEREF _Toc58860046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1F8626EA">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"_Toc58860047" </w:instrText>
      </w:r>
      <w:r>
        <w:rPr>
          <w:color w:val="auto"/>
          <w:highlight w:val="none"/>
        </w:rPr>
        <w:fldChar w:fldCharType="separate"/>
      </w:r>
      <w:r>
        <w:rPr>
          <w:rStyle w:val="53"/>
          <w:rFonts w:ascii="宋体" w:hAnsi="宋体"/>
          <w:snapToGrid w:val="0"/>
          <w:color w:val="auto"/>
          <w:kern w:val="0"/>
          <w:highlight w:val="none"/>
        </w:rPr>
        <w:t>第一章  招标公告（</w:t>
      </w:r>
      <w:r>
        <w:rPr>
          <w:rStyle w:val="53"/>
          <w:rFonts w:ascii="宋体" w:hAnsi="宋体"/>
          <w:snapToGrid w:val="0"/>
          <w:color w:val="auto"/>
          <w:highlight w:val="none"/>
        </w:rPr>
        <w:t>未进行资格预审</w:t>
      </w:r>
      <w:r>
        <w:rPr>
          <w:rStyle w:val="53"/>
          <w:rFonts w:ascii="宋体" w:hAnsi="宋体"/>
          <w:snapToGrid w:val="0"/>
          <w:color w:val="auto"/>
          <w:kern w:val="0"/>
          <w:highlight w:val="none"/>
        </w:rPr>
        <w:t>）</w:t>
      </w:r>
      <w:r>
        <w:rPr>
          <w:color w:val="auto"/>
          <w:highlight w:val="none"/>
        </w:rPr>
        <w:tab/>
      </w:r>
      <w:r>
        <w:rPr>
          <w:color w:val="auto"/>
          <w:highlight w:val="none"/>
        </w:rPr>
        <w:fldChar w:fldCharType="begin"/>
      </w:r>
      <w:r>
        <w:rPr>
          <w:color w:val="auto"/>
          <w:highlight w:val="none"/>
        </w:rPr>
        <w:instrText xml:space="preserve"> PAGEREF _Toc58860047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5CF4E455">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"_Toc58860048" </w:instrText>
      </w:r>
      <w:r>
        <w:rPr>
          <w:color w:val="auto"/>
          <w:highlight w:val="none"/>
        </w:rPr>
        <w:fldChar w:fldCharType="separate"/>
      </w:r>
      <w:r>
        <w:rPr>
          <w:rStyle w:val="53"/>
          <w:rFonts w:ascii="宋体" w:hAnsi="宋体"/>
          <w:snapToGrid w:val="0"/>
          <w:color w:val="auto"/>
          <w:highlight w:val="none"/>
        </w:rPr>
        <w:t>1.  招标条件</w:t>
      </w:r>
      <w:r>
        <w:rPr>
          <w:color w:val="auto"/>
          <w:highlight w:val="none"/>
        </w:rPr>
        <w:tab/>
      </w:r>
      <w:r>
        <w:rPr>
          <w:color w:val="auto"/>
          <w:highlight w:val="none"/>
        </w:rPr>
        <w:fldChar w:fldCharType="begin"/>
      </w:r>
      <w:r>
        <w:rPr>
          <w:color w:val="auto"/>
          <w:highlight w:val="none"/>
        </w:rPr>
        <w:instrText xml:space="preserve"> PAGEREF _Toc58860048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2C237C07">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"_Toc58860049" </w:instrText>
      </w:r>
      <w:r>
        <w:rPr>
          <w:color w:val="auto"/>
          <w:highlight w:val="none"/>
        </w:rPr>
        <w:fldChar w:fldCharType="separate"/>
      </w:r>
      <w:r>
        <w:rPr>
          <w:rStyle w:val="53"/>
          <w:rFonts w:ascii="宋体" w:hAnsi="宋体"/>
          <w:snapToGrid w:val="0"/>
          <w:color w:val="auto"/>
          <w:highlight w:val="none"/>
        </w:rPr>
        <w:t>2.  项目概况与招标范围</w:t>
      </w:r>
      <w:r>
        <w:rPr>
          <w:color w:val="auto"/>
          <w:highlight w:val="none"/>
        </w:rPr>
        <w:tab/>
      </w:r>
      <w:r>
        <w:rPr>
          <w:color w:val="auto"/>
          <w:highlight w:val="none"/>
        </w:rPr>
        <w:fldChar w:fldCharType="begin"/>
      </w:r>
      <w:r>
        <w:rPr>
          <w:color w:val="auto"/>
          <w:highlight w:val="none"/>
        </w:rPr>
        <w:instrText xml:space="preserve"> PAGEREF _Toc58860049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66928597">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"_Toc58860050" </w:instrText>
      </w:r>
      <w:r>
        <w:rPr>
          <w:color w:val="auto"/>
          <w:highlight w:val="none"/>
        </w:rPr>
        <w:fldChar w:fldCharType="separate"/>
      </w:r>
      <w:r>
        <w:rPr>
          <w:rStyle w:val="53"/>
          <w:rFonts w:ascii="宋体" w:hAnsi="宋体"/>
          <w:snapToGrid w:val="0"/>
          <w:color w:val="auto"/>
          <w:highlight w:val="none"/>
        </w:rPr>
        <w:t>3.  投标人资格要求</w:t>
      </w:r>
      <w:r>
        <w:rPr>
          <w:color w:val="auto"/>
          <w:highlight w:val="none"/>
        </w:rPr>
        <w:tab/>
      </w:r>
      <w:r>
        <w:rPr>
          <w:color w:val="auto"/>
          <w:highlight w:val="none"/>
        </w:rPr>
        <w:fldChar w:fldCharType="begin"/>
      </w:r>
      <w:r>
        <w:rPr>
          <w:color w:val="auto"/>
          <w:highlight w:val="none"/>
        </w:rPr>
        <w:instrText xml:space="preserve"> PAGEREF _Toc58860050 \h </w:instrText>
      </w:r>
      <w:r>
        <w:rPr>
          <w:color w:val="auto"/>
          <w:highlight w:val="none"/>
        </w:rPr>
        <w:fldChar w:fldCharType="separate"/>
      </w:r>
      <w:r>
        <w:rPr>
          <w:color w:val="auto"/>
          <w:highlight w:val="none"/>
        </w:rPr>
        <w:t>6</w:t>
      </w:r>
      <w:r>
        <w:rPr>
          <w:color w:val="auto"/>
          <w:highlight w:val="none"/>
        </w:rPr>
        <w:fldChar w:fldCharType="end"/>
      </w:r>
      <w:r>
        <w:rPr>
          <w:color w:val="auto"/>
          <w:highlight w:val="none"/>
        </w:rPr>
        <w:fldChar w:fldCharType="end"/>
      </w:r>
    </w:p>
    <w:p w14:paraId="704F1EA0">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"_Toc58860051" </w:instrText>
      </w:r>
      <w:r>
        <w:rPr>
          <w:color w:val="auto"/>
          <w:highlight w:val="none"/>
        </w:rPr>
        <w:fldChar w:fldCharType="separate"/>
      </w:r>
      <w:r>
        <w:rPr>
          <w:rStyle w:val="53"/>
          <w:rFonts w:ascii="宋体" w:hAnsi="宋体"/>
          <w:snapToGrid w:val="0"/>
          <w:color w:val="auto"/>
          <w:highlight w:val="none"/>
        </w:rPr>
        <w:t>4.  招标文件的获取</w:t>
      </w:r>
      <w:r>
        <w:rPr>
          <w:color w:val="auto"/>
          <w:highlight w:val="none"/>
        </w:rPr>
        <w:tab/>
      </w:r>
      <w:r>
        <w:rPr>
          <w:color w:val="auto"/>
          <w:highlight w:val="none"/>
        </w:rPr>
        <w:fldChar w:fldCharType="begin"/>
      </w:r>
      <w:r>
        <w:rPr>
          <w:color w:val="auto"/>
          <w:highlight w:val="none"/>
        </w:rPr>
        <w:instrText xml:space="preserve"> PAGEREF _Toc58860051 \h </w:instrText>
      </w:r>
      <w:r>
        <w:rPr>
          <w:color w:val="auto"/>
          <w:highlight w:val="none"/>
        </w:rPr>
        <w:fldChar w:fldCharType="separate"/>
      </w:r>
      <w:r>
        <w:rPr>
          <w:color w:val="auto"/>
          <w:highlight w:val="none"/>
        </w:rPr>
        <w:t>7</w:t>
      </w:r>
      <w:r>
        <w:rPr>
          <w:color w:val="auto"/>
          <w:highlight w:val="none"/>
        </w:rPr>
        <w:fldChar w:fldCharType="end"/>
      </w:r>
      <w:r>
        <w:rPr>
          <w:color w:val="auto"/>
          <w:highlight w:val="none"/>
        </w:rPr>
        <w:fldChar w:fldCharType="end"/>
      </w:r>
    </w:p>
    <w:p w14:paraId="7A7EFAD1">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"_Toc58860052" </w:instrText>
      </w:r>
      <w:r>
        <w:rPr>
          <w:color w:val="auto"/>
          <w:highlight w:val="none"/>
        </w:rPr>
        <w:fldChar w:fldCharType="separate"/>
      </w:r>
      <w:r>
        <w:rPr>
          <w:rStyle w:val="53"/>
          <w:rFonts w:ascii="宋体" w:hAnsi="宋体"/>
          <w:snapToGrid w:val="0"/>
          <w:color w:val="auto"/>
          <w:highlight w:val="none"/>
        </w:rPr>
        <w:t>5.  投标文件的递交</w:t>
      </w:r>
      <w:r>
        <w:rPr>
          <w:color w:val="auto"/>
          <w:highlight w:val="none"/>
        </w:rPr>
        <w:tab/>
      </w:r>
      <w:r>
        <w:rPr>
          <w:color w:val="auto"/>
          <w:highlight w:val="none"/>
        </w:rPr>
        <w:fldChar w:fldCharType="begin"/>
      </w:r>
      <w:r>
        <w:rPr>
          <w:color w:val="auto"/>
          <w:highlight w:val="none"/>
        </w:rPr>
        <w:instrText xml:space="preserve"> PAGEREF _Toc58860052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0581EAC4">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"_Toc58860053" </w:instrText>
      </w:r>
      <w:r>
        <w:rPr>
          <w:color w:val="auto"/>
          <w:highlight w:val="none"/>
        </w:rPr>
        <w:fldChar w:fldCharType="separate"/>
      </w:r>
      <w:r>
        <w:rPr>
          <w:rStyle w:val="53"/>
          <w:rFonts w:ascii="宋体" w:hAnsi="宋体"/>
          <w:snapToGrid w:val="0"/>
          <w:color w:val="auto"/>
          <w:highlight w:val="none"/>
        </w:rPr>
        <w:t>6.  发布公告的媒介</w:t>
      </w:r>
      <w:r>
        <w:rPr>
          <w:color w:val="auto"/>
          <w:highlight w:val="none"/>
        </w:rPr>
        <w:tab/>
      </w:r>
      <w:r>
        <w:rPr>
          <w:color w:val="auto"/>
          <w:highlight w:val="none"/>
        </w:rPr>
        <w:fldChar w:fldCharType="begin"/>
      </w:r>
      <w:r>
        <w:rPr>
          <w:color w:val="auto"/>
          <w:highlight w:val="none"/>
        </w:rPr>
        <w:instrText xml:space="preserve"> PAGEREF _Toc58860053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1FFB6BA4">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"_Toc58860054" </w:instrText>
      </w:r>
      <w:r>
        <w:rPr>
          <w:color w:val="auto"/>
          <w:highlight w:val="none"/>
        </w:rPr>
        <w:fldChar w:fldCharType="separate"/>
      </w:r>
      <w:r>
        <w:rPr>
          <w:rStyle w:val="53"/>
          <w:rFonts w:ascii="宋体" w:hAnsi="宋体"/>
          <w:snapToGrid w:val="0"/>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_Toc58860054 \h </w:instrText>
      </w:r>
      <w:r>
        <w:rPr>
          <w:color w:val="auto"/>
          <w:highlight w:val="none"/>
        </w:rPr>
        <w:fldChar w:fldCharType="separate"/>
      </w:r>
      <w:r>
        <w:rPr>
          <w:color w:val="auto"/>
          <w:highlight w:val="none"/>
        </w:rPr>
        <w:t>8</w:t>
      </w:r>
      <w:r>
        <w:rPr>
          <w:color w:val="auto"/>
          <w:highlight w:val="none"/>
        </w:rPr>
        <w:fldChar w:fldCharType="end"/>
      </w:r>
      <w:r>
        <w:rPr>
          <w:color w:val="auto"/>
          <w:highlight w:val="none"/>
        </w:rPr>
        <w:fldChar w:fldCharType="end"/>
      </w:r>
    </w:p>
    <w:p w14:paraId="2137CF6B">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"_Toc58860055" </w:instrText>
      </w:r>
      <w:r>
        <w:rPr>
          <w:color w:val="auto"/>
          <w:highlight w:val="none"/>
        </w:rPr>
        <w:fldChar w:fldCharType="separate"/>
      </w:r>
      <w:r>
        <w:rPr>
          <w:rStyle w:val="53"/>
          <w:rFonts w:ascii="宋体" w:hAnsi="宋体"/>
          <w:snapToGrid w:val="0"/>
          <w:color w:val="auto"/>
          <w:highlight w:val="none"/>
        </w:rPr>
        <w:t>第一章  投标邀请书（适用于邀请招标）</w:t>
      </w:r>
      <w:r>
        <w:rPr>
          <w:color w:val="auto"/>
          <w:highlight w:val="none"/>
        </w:rPr>
        <w:tab/>
      </w:r>
      <w:r>
        <w:rPr>
          <w:color w:val="auto"/>
          <w:highlight w:val="none"/>
        </w:rPr>
        <w:fldChar w:fldCharType="begin"/>
      </w:r>
      <w:r>
        <w:rPr>
          <w:color w:val="auto"/>
          <w:highlight w:val="none"/>
        </w:rPr>
        <w:instrText xml:space="preserve"> PAGEREF _Toc58860055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5FBEE89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"_Toc58860056" </w:instrText>
      </w:r>
      <w:r>
        <w:rPr>
          <w:color w:val="auto"/>
          <w:highlight w:val="none"/>
        </w:rPr>
        <w:fldChar w:fldCharType="separate"/>
      </w:r>
      <w:r>
        <w:rPr>
          <w:rStyle w:val="53"/>
          <w:rFonts w:ascii="宋体" w:hAnsi="宋体"/>
          <w:snapToGrid w:val="0"/>
          <w:color w:val="auto"/>
          <w:highlight w:val="none"/>
        </w:rPr>
        <w:t>1.  招标条件</w:t>
      </w:r>
      <w:r>
        <w:rPr>
          <w:color w:val="auto"/>
          <w:highlight w:val="none"/>
        </w:rPr>
        <w:tab/>
      </w:r>
      <w:r>
        <w:rPr>
          <w:color w:val="auto"/>
          <w:highlight w:val="none"/>
        </w:rPr>
        <w:fldChar w:fldCharType="begin"/>
      </w:r>
      <w:r>
        <w:rPr>
          <w:color w:val="auto"/>
          <w:highlight w:val="none"/>
        </w:rPr>
        <w:instrText xml:space="preserve"> PAGEREF _Toc58860056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5ECFF39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"_Toc58860057" </w:instrText>
      </w:r>
      <w:r>
        <w:rPr>
          <w:color w:val="auto"/>
          <w:highlight w:val="none"/>
        </w:rPr>
        <w:fldChar w:fldCharType="separate"/>
      </w:r>
      <w:r>
        <w:rPr>
          <w:rStyle w:val="53"/>
          <w:rFonts w:ascii="宋体" w:hAnsi="宋体"/>
          <w:snapToGrid w:val="0"/>
          <w:color w:val="auto"/>
          <w:highlight w:val="none"/>
        </w:rPr>
        <w:t>2.  项目概况与招标范围</w:t>
      </w:r>
      <w:r>
        <w:rPr>
          <w:color w:val="auto"/>
          <w:highlight w:val="none"/>
        </w:rPr>
        <w:tab/>
      </w:r>
      <w:r>
        <w:rPr>
          <w:color w:val="auto"/>
          <w:highlight w:val="none"/>
        </w:rPr>
        <w:fldChar w:fldCharType="begin"/>
      </w:r>
      <w:r>
        <w:rPr>
          <w:color w:val="auto"/>
          <w:highlight w:val="none"/>
        </w:rPr>
        <w:instrText xml:space="preserve"> PAGEREF _Toc58860057 \h </w:instrText>
      </w:r>
      <w:r>
        <w:rPr>
          <w:color w:val="auto"/>
          <w:highlight w:val="none"/>
        </w:rPr>
        <w:fldChar w:fldCharType="separate"/>
      </w:r>
      <w:r>
        <w:rPr>
          <w:color w:val="auto"/>
          <w:highlight w:val="none"/>
        </w:rPr>
        <w:t>9</w:t>
      </w:r>
      <w:r>
        <w:rPr>
          <w:color w:val="auto"/>
          <w:highlight w:val="none"/>
        </w:rPr>
        <w:fldChar w:fldCharType="end"/>
      </w:r>
      <w:r>
        <w:rPr>
          <w:color w:val="auto"/>
          <w:highlight w:val="none"/>
        </w:rPr>
        <w:fldChar w:fldCharType="end"/>
      </w:r>
    </w:p>
    <w:p w14:paraId="093CE5E2">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"_Toc58860058" </w:instrText>
      </w:r>
      <w:r>
        <w:rPr>
          <w:color w:val="auto"/>
          <w:highlight w:val="none"/>
        </w:rPr>
        <w:fldChar w:fldCharType="separate"/>
      </w:r>
      <w:r>
        <w:rPr>
          <w:rStyle w:val="53"/>
          <w:rFonts w:ascii="宋体" w:hAnsi="宋体"/>
          <w:snapToGrid w:val="0"/>
          <w:color w:val="auto"/>
          <w:highlight w:val="none"/>
        </w:rPr>
        <w:t>3.  投标人资格要求</w:t>
      </w:r>
      <w:r>
        <w:rPr>
          <w:color w:val="auto"/>
          <w:highlight w:val="none"/>
        </w:rPr>
        <w:tab/>
      </w:r>
      <w:r>
        <w:rPr>
          <w:color w:val="auto"/>
          <w:highlight w:val="none"/>
        </w:rPr>
        <w:fldChar w:fldCharType="begin"/>
      </w:r>
      <w:r>
        <w:rPr>
          <w:color w:val="auto"/>
          <w:highlight w:val="none"/>
        </w:rPr>
        <w:instrText xml:space="preserve"> PAGEREF _Toc58860058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601168B8">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"_Toc58860059" </w:instrText>
      </w:r>
      <w:r>
        <w:rPr>
          <w:color w:val="auto"/>
          <w:highlight w:val="none"/>
        </w:rPr>
        <w:fldChar w:fldCharType="separate"/>
      </w:r>
      <w:r>
        <w:rPr>
          <w:rStyle w:val="53"/>
          <w:rFonts w:ascii="宋体" w:hAnsi="宋体"/>
          <w:snapToGrid w:val="0"/>
          <w:color w:val="auto"/>
          <w:highlight w:val="none"/>
        </w:rPr>
        <w:t>4.  招标文件的获取</w:t>
      </w:r>
      <w:r>
        <w:rPr>
          <w:color w:val="auto"/>
          <w:highlight w:val="none"/>
        </w:rPr>
        <w:tab/>
      </w:r>
      <w:r>
        <w:rPr>
          <w:color w:val="auto"/>
          <w:highlight w:val="none"/>
        </w:rPr>
        <w:fldChar w:fldCharType="begin"/>
      </w:r>
      <w:r>
        <w:rPr>
          <w:color w:val="auto"/>
          <w:highlight w:val="none"/>
        </w:rPr>
        <w:instrText xml:space="preserve"> PAGEREF _Toc58860059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72F8B5E9">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"_Toc58860060" </w:instrText>
      </w:r>
      <w:r>
        <w:rPr>
          <w:color w:val="auto"/>
          <w:highlight w:val="none"/>
        </w:rPr>
        <w:fldChar w:fldCharType="separate"/>
      </w:r>
      <w:r>
        <w:rPr>
          <w:rStyle w:val="53"/>
          <w:rFonts w:ascii="宋体" w:hAnsi="宋体"/>
          <w:snapToGrid w:val="0"/>
          <w:color w:val="auto"/>
          <w:highlight w:val="none"/>
        </w:rPr>
        <w:t>5.  投标文件的递交</w:t>
      </w:r>
      <w:r>
        <w:rPr>
          <w:color w:val="auto"/>
          <w:highlight w:val="none"/>
        </w:rPr>
        <w:tab/>
      </w:r>
      <w:r>
        <w:rPr>
          <w:color w:val="auto"/>
          <w:highlight w:val="none"/>
        </w:rPr>
        <w:fldChar w:fldCharType="begin"/>
      </w:r>
      <w:r>
        <w:rPr>
          <w:color w:val="auto"/>
          <w:highlight w:val="none"/>
        </w:rPr>
        <w:instrText xml:space="preserve"> PAGEREF _Toc58860060 \h </w:instrText>
      </w:r>
      <w:r>
        <w:rPr>
          <w:color w:val="auto"/>
          <w:highlight w:val="none"/>
        </w:rPr>
        <w:fldChar w:fldCharType="separate"/>
      </w:r>
      <w:r>
        <w:rPr>
          <w:color w:val="auto"/>
          <w:highlight w:val="none"/>
        </w:rPr>
        <w:t>10</w:t>
      </w:r>
      <w:r>
        <w:rPr>
          <w:color w:val="auto"/>
          <w:highlight w:val="none"/>
        </w:rPr>
        <w:fldChar w:fldCharType="end"/>
      </w:r>
      <w:r>
        <w:rPr>
          <w:color w:val="auto"/>
          <w:highlight w:val="none"/>
        </w:rPr>
        <w:fldChar w:fldCharType="end"/>
      </w:r>
    </w:p>
    <w:p w14:paraId="1D2BE3A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"_Toc58860061" </w:instrText>
      </w:r>
      <w:r>
        <w:rPr>
          <w:color w:val="auto"/>
          <w:highlight w:val="none"/>
        </w:rPr>
        <w:fldChar w:fldCharType="separate"/>
      </w:r>
      <w:r>
        <w:rPr>
          <w:rStyle w:val="53"/>
          <w:rFonts w:ascii="宋体" w:hAnsi="宋体"/>
          <w:snapToGrid w:val="0"/>
          <w:color w:val="auto"/>
          <w:highlight w:val="none"/>
        </w:rPr>
        <w:t>6.  确认</w:t>
      </w:r>
      <w:r>
        <w:rPr>
          <w:color w:val="auto"/>
          <w:highlight w:val="none"/>
        </w:rPr>
        <w:tab/>
      </w:r>
      <w:r>
        <w:rPr>
          <w:color w:val="auto"/>
          <w:highlight w:val="none"/>
        </w:rPr>
        <w:fldChar w:fldCharType="begin"/>
      </w:r>
      <w:r>
        <w:rPr>
          <w:color w:val="auto"/>
          <w:highlight w:val="none"/>
        </w:rPr>
        <w:instrText xml:space="preserve"> PAGEREF _Toc58860061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5C38225A">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"_Toc58860062" </w:instrText>
      </w:r>
      <w:r>
        <w:rPr>
          <w:color w:val="auto"/>
          <w:highlight w:val="none"/>
        </w:rPr>
        <w:fldChar w:fldCharType="separate"/>
      </w:r>
      <w:r>
        <w:rPr>
          <w:rStyle w:val="53"/>
          <w:rFonts w:ascii="宋体" w:hAnsi="宋体"/>
          <w:snapToGrid w:val="0"/>
          <w:color w:val="auto"/>
          <w:highlight w:val="none"/>
        </w:rPr>
        <w:t>7.  联系方式</w:t>
      </w:r>
      <w:r>
        <w:rPr>
          <w:color w:val="auto"/>
          <w:highlight w:val="none"/>
        </w:rPr>
        <w:tab/>
      </w:r>
      <w:r>
        <w:rPr>
          <w:color w:val="auto"/>
          <w:highlight w:val="none"/>
        </w:rPr>
        <w:fldChar w:fldCharType="begin"/>
      </w:r>
      <w:r>
        <w:rPr>
          <w:color w:val="auto"/>
          <w:highlight w:val="none"/>
        </w:rPr>
        <w:instrText xml:space="preserve"> PAGEREF _Toc58860062 \h </w:instrText>
      </w:r>
      <w:r>
        <w:rPr>
          <w:color w:val="auto"/>
          <w:highlight w:val="none"/>
        </w:rPr>
        <w:fldChar w:fldCharType="separate"/>
      </w:r>
      <w:r>
        <w:rPr>
          <w:color w:val="auto"/>
          <w:highlight w:val="none"/>
        </w:rPr>
        <w:t>11</w:t>
      </w:r>
      <w:r>
        <w:rPr>
          <w:color w:val="auto"/>
          <w:highlight w:val="none"/>
        </w:rPr>
        <w:fldChar w:fldCharType="end"/>
      </w:r>
      <w:r>
        <w:rPr>
          <w:color w:val="auto"/>
          <w:highlight w:val="none"/>
        </w:rPr>
        <w:fldChar w:fldCharType="end"/>
      </w:r>
    </w:p>
    <w:p w14:paraId="32BBA50A">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"_Toc58860063" </w:instrText>
      </w:r>
      <w:r>
        <w:rPr>
          <w:color w:val="auto"/>
          <w:highlight w:val="none"/>
        </w:rPr>
        <w:fldChar w:fldCharType="separate"/>
      </w:r>
      <w:r>
        <w:rPr>
          <w:rStyle w:val="53"/>
          <w:rFonts w:ascii="宋体" w:hAnsi="宋体"/>
          <w:snapToGrid w:val="0"/>
          <w:color w:val="auto"/>
          <w:kern w:val="0"/>
          <w:highlight w:val="none"/>
        </w:rPr>
        <w:t>第一章  投标邀请书（代资格预审通过通知书）</w:t>
      </w:r>
      <w:r>
        <w:rPr>
          <w:color w:val="auto"/>
          <w:highlight w:val="none"/>
        </w:rPr>
        <w:tab/>
      </w:r>
      <w:r>
        <w:rPr>
          <w:color w:val="auto"/>
          <w:highlight w:val="none"/>
        </w:rPr>
        <w:fldChar w:fldCharType="begin"/>
      </w:r>
      <w:r>
        <w:rPr>
          <w:color w:val="auto"/>
          <w:highlight w:val="none"/>
        </w:rPr>
        <w:instrText xml:space="preserve"> PAGEREF _Toc58860063 \h </w:instrText>
      </w:r>
      <w:r>
        <w:rPr>
          <w:color w:val="auto"/>
          <w:highlight w:val="none"/>
        </w:rPr>
        <w:fldChar w:fldCharType="separate"/>
      </w:r>
      <w:r>
        <w:rPr>
          <w:color w:val="auto"/>
          <w:highlight w:val="none"/>
        </w:rPr>
        <w:t>12</w:t>
      </w:r>
      <w:r>
        <w:rPr>
          <w:color w:val="auto"/>
          <w:highlight w:val="none"/>
        </w:rPr>
        <w:fldChar w:fldCharType="end"/>
      </w:r>
      <w:r>
        <w:rPr>
          <w:color w:val="auto"/>
          <w:highlight w:val="none"/>
        </w:rPr>
        <w:fldChar w:fldCharType="end"/>
      </w:r>
    </w:p>
    <w:p w14:paraId="4E31F8D0">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"_Toc58860064" </w:instrText>
      </w:r>
      <w:r>
        <w:rPr>
          <w:color w:val="auto"/>
          <w:highlight w:val="none"/>
        </w:rPr>
        <w:fldChar w:fldCharType="separate"/>
      </w:r>
      <w:r>
        <w:rPr>
          <w:rStyle w:val="53"/>
          <w:rFonts w:ascii="宋体" w:hAnsi="宋体"/>
          <w:snapToGrid w:val="0"/>
          <w:color w:val="auto"/>
          <w:kern w:val="0"/>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_Toc58860064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14:paraId="22818272">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"_Toc58860065" </w:instrText>
      </w:r>
      <w:r>
        <w:rPr>
          <w:color w:val="auto"/>
          <w:highlight w:val="none"/>
        </w:rPr>
        <w:fldChar w:fldCharType="separate"/>
      </w:r>
      <w:r>
        <w:rPr>
          <w:rStyle w:val="53"/>
          <w:rFonts w:ascii="宋体" w:hAnsi="宋体"/>
          <w:color w:val="auto"/>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_Toc58860065 \h </w:instrText>
      </w:r>
      <w:r>
        <w:rPr>
          <w:color w:val="auto"/>
          <w:highlight w:val="none"/>
        </w:rPr>
        <w:fldChar w:fldCharType="separate"/>
      </w:r>
      <w:r>
        <w:rPr>
          <w:color w:val="auto"/>
          <w:highlight w:val="none"/>
        </w:rPr>
        <w:t>13</w:t>
      </w:r>
      <w:r>
        <w:rPr>
          <w:color w:val="auto"/>
          <w:highlight w:val="none"/>
        </w:rPr>
        <w:fldChar w:fldCharType="end"/>
      </w:r>
      <w:r>
        <w:rPr>
          <w:color w:val="auto"/>
          <w:highlight w:val="none"/>
        </w:rPr>
        <w:fldChar w:fldCharType="end"/>
      </w:r>
    </w:p>
    <w:p w14:paraId="4DC4B689">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"_Toc58860066" </w:instrText>
      </w:r>
      <w:r>
        <w:rPr>
          <w:color w:val="auto"/>
          <w:highlight w:val="none"/>
        </w:rPr>
        <w:fldChar w:fldCharType="separate"/>
      </w:r>
      <w:r>
        <w:rPr>
          <w:rStyle w:val="53"/>
          <w:rFonts w:ascii="宋体" w:hAnsi="宋体"/>
          <w:snapToGrid w:val="0"/>
          <w:color w:val="auto"/>
          <w:highlight w:val="none"/>
        </w:rPr>
        <w:t>1.  总则</w:t>
      </w:r>
      <w:r>
        <w:rPr>
          <w:color w:val="auto"/>
          <w:highlight w:val="none"/>
        </w:rPr>
        <w:tab/>
      </w:r>
      <w:r>
        <w:rPr>
          <w:color w:val="auto"/>
          <w:highlight w:val="none"/>
        </w:rPr>
        <w:fldChar w:fldCharType="begin"/>
      </w:r>
      <w:r>
        <w:rPr>
          <w:color w:val="auto"/>
          <w:highlight w:val="none"/>
        </w:rPr>
        <w:instrText xml:space="preserve"> PAGEREF _Toc58860066 \h </w:instrText>
      </w:r>
      <w:r>
        <w:rPr>
          <w:color w:val="auto"/>
          <w:highlight w:val="none"/>
        </w:rPr>
        <w:fldChar w:fldCharType="separate"/>
      </w:r>
      <w:r>
        <w:rPr>
          <w:color w:val="auto"/>
          <w:highlight w:val="none"/>
        </w:rPr>
        <w:t>46</w:t>
      </w:r>
      <w:r>
        <w:rPr>
          <w:color w:val="auto"/>
          <w:highlight w:val="none"/>
        </w:rPr>
        <w:fldChar w:fldCharType="end"/>
      </w:r>
      <w:r>
        <w:rPr>
          <w:color w:val="auto"/>
          <w:highlight w:val="none"/>
        </w:rPr>
        <w:fldChar w:fldCharType="end"/>
      </w:r>
    </w:p>
    <w:p w14:paraId="6A1DD7D8">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"_Toc58860067" </w:instrText>
      </w:r>
      <w:r>
        <w:rPr>
          <w:color w:val="auto"/>
          <w:highlight w:val="none"/>
        </w:rPr>
        <w:fldChar w:fldCharType="separate"/>
      </w:r>
      <w:r>
        <w:rPr>
          <w:rStyle w:val="53"/>
          <w:rFonts w:ascii="宋体" w:hAnsi="宋体"/>
          <w:i w:val="0"/>
          <w:iCs w:val="0"/>
          <w:snapToGrid w:val="0"/>
          <w:color w:val="auto"/>
          <w:highlight w:val="none"/>
        </w:rPr>
        <w:t>1.1  项目概况</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_Toc58860067 \h </w:instrText>
      </w:r>
      <w:r>
        <w:rPr>
          <w:i w:val="0"/>
          <w:iCs w:val="0"/>
          <w:color w:val="auto"/>
          <w:highlight w:val="none"/>
        </w:rPr>
        <w:fldChar w:fldCharType="separate"/>
      </w:r>
      <w:r>
        <w:rPr>
          <w:i w:val="0"/>
          <w:iCs w:val="0"/>
          <w:color w:val="auto"/>
          <w:highlight w:val="none"/>
        </w:rPr>
        <w:t>46</w:t>
      </w:r>
      <w:r>
        <w:rPr>
          <w:i w:val="0"/>
          <w:iCs w:val="0"/>
          <w:color w:val="auto"/>
          <w:highlight w:val="none"/>
        </w:rPr>
        <w:fldChar w:fldCharType="end"/>
      </w:r>
      <w:r>
        <w:rPr>
          <w:i w:val="0"/>
          <w:iCs w:val="0"/>
          <w:color w:val="auto"/>
          <w:highlight w:val="none"/>
        </w:rPr>
        <w:fldChar w:fldCharType="end"/>
      </w:r>
    </w:p>
    <w:p w14:paraId="4555F7F9">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"_Toc58860068" </w:instrText>
      </w:r>
      <w:r>
        <w:rPr>
          <w:color w:val="auto"/>
          <w:highlight w:val="none"/>
        </w:rPr>
        <w:fldChar w:fldCharType="separate"/>
      </w:r>
      <w:r>
        <w:rPr>
          <w:rStyle w:val="53"/>
          <w:rFonts w:ascii="宋体" w:hAnsi="宋体"/>
          <w:i w:val="0"/>
          <w:iCs w:val="0"/>
          <w:snapToGrid w:val="0"/>
          <w:color w:val="auto"/>
          <w:highlight w:val="none"/>
        </w:rPr>
        <w:t>1.2  项目的资金来源和落实情况</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_Toc58860068 \h </w:instrText>
      </w:r>
      <w:r>
        <w:rPr>
          <w:i w:val="0"/>
          <w:iCs w:val="0"/>
          <w:color w:val="auto"/>
          <w:highlight w:val="none"/>
        </w:rPr>
        <w:fldChar w:fldCharType="separate"/>
      </w:r>
      <w:r>
        <w:rPr>
          <w:i w:val="0"/>
          <w:iCs w:val="0"/>
          <w:color w:val="auto"/>
          <w:highlight w:val="none"/>
        </w:rPr>
        <w:t>46</w:t>
      </w:r>
      <w:r>
        <w:rPr>
          <w:i w:val="0"/>
          <w:iCs w:val="0"/>
          <w:color w:val="auto"/>
          <w:highlight w:val="none"/>
        </w:rPr>
        <w:fldChar w:fldCharType="end"/>
      </w:r>
      <w:r>
        <w:rPr>
          <w:i w:val="0"/>
          <w:iCs w:val="0"/>
          <w:color w:val="auto"/>
          <w:highlight w:val="none"/>
        </w:rPr>
        <w:fldChar w:fldCharType="end"/>
      </w:r>
    </w:p>
    <w:p w14:paraId="69C5BC46">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"_Toc58860069" </w:instrText>
      </w:r>
      <w:r>
        <w:rPr>
          <w:color w:val="auto"/>
          <w:highlight w:val="none"/>
        </w:rPr>
        <w:fldChar w:fldCharType="separate"/>
      </w:r>
      <w:r>
        <w:rPr>
          <w:rStyle w:val="53"/>
          <w:rFonts w:ascii="宋体" w:hAnsi="宋体"/>
          <w:i w:val="0"/>
          <w:iCs w:val="0"/>
          <w:snapToGrid w:val="0"/>
          <w:color w:val="auto"/>
          <w:highlight w:val="none"/>
        </w:rPr>
        <w:t>1.3  招标范围、计划工期和质量要求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_Toc58860069 \h </w:instrText>
      </w:r>
      <w:r>
        <w:rPr>
          <w:i w:val="0"/>
          <w:iCs w:val="0"/>
          <w:color w:val="auto"/>
          <w:highlight w:val="none"/>
        </w:rPr>
        <w:fldChar w:fldCharType="separate"/>
      </w:r>
      <w:r>
        <w:rPr>
          <w:i w:val="0"/>
          <w:iCs w:val="0"/>
          <w:color w:val="auto"/>
          <w:highlight w:val="none"/>
        </w:rPr>
        <w:t>46</w:t>
      </w:r>
      <w:r>
        <w:rPr>
          <w:i w:val="0"/>
          <w:iCs w:val="0"/>
          <w:color w:val="auto"/>
          <w:highlight w:val="none"/>
        </w:rPr>
        <w:fldChar w:fldCharType="end"/>
      </w:r>
      <w:r>
        <w:rPr>
          <w:i w:val="0"/>
          <w:iCs w:val="0"/>
          <w:color w:val="auto"/>
          <w:highlight w:val="none"/>
        </w:rPr>
        <w:fldChar w:fldCharType="end"/>
      </w:r>
    </w:p>
    <w:p w14:paraId="58500195">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"_Toc58860070" </w:instrText>
      </w:r>
      <w:r>
        <w:rPr>
          <w:color w:val="auto"/>
          <w:highlight w:val="none"/>
        </w:rPr>
        <w:fldChar w:fldCharType="separate"/>
      </w:r>
      <w:r>
        <w:rPr>
          <w:rStyle w:val="53"/>
          <w:rFonts w:ascii="宋体" w:hAnsi="宋体"/>
          <w:i w:val="0"/>
          <w:iCs w:val="0"/>
          <w:snapToGrid w:val="0"/>
          <w:color w:val="auto"/>
          <w:highlight w:val="none"/>
        </w:rPr>
        <w:t>1.4A  投标人资格要求（适用于已进行资格预审的）</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_Toc58860070 \h </w:instrText>
      </w:r>
      <w:r>
        <w:rPr>
          <w:i w:val="0"/>
          <w:iCs w:val="0"/>
          <w:color w:val="auto"/>
          <w:highlight w:val="none"/>
        </w:rPr>
        <w:fldChar w:fldCharType="separate"/>
      </w:r>
      <w:r>
        <w:rPr>
          <w:i w:val="0"/>
          <w:iCs w:val="0"/>
          <w:color w:val="auto"/>
          <w:highlight w:val="none"/>
        </w:rPr>
        <w:t>46</w:t>
      </w:r>
      <w:r>
        <w:rPr>
          <w:i w:val="0"/>
          <w:iCs w:val="0"/>
          <w:color w:val="auto"/>
          <w:highlight w:val="none"/>
        </w:rPr>
        <w:fldChar w:fldCharType="end"/>
      </w:r>
      <w:r>
        <w:rPr>
          <w:i w:val="0"/>
          <w:iCs w:val="0"/>
          <w:color w:val="auto"/>
          <w:highlight w:val="none"/>
        </w:rPr>
        <w:fldChar w:fldCharType="end"/>
      </w:r>
    </w:p>
    <w:p w14:paraId="163E71B5">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"_Toc58860071" </w:instrText>
      </w:r>
      <w:r>
        <w:rPr>
          <w:color w:val="auto"/>
          <w:highlight w:val="none"/>
        </w:rPr>
        <w:fldChar w:fldCharType="separate"/>
      </w:r>
      <w:r>
        <w:rPr>
          <w:rStyle w:val="53"/>
          <w:rFonts w:ascii="宋体" w:hAnsi="宋体"/>
          <w:i w:val="0"/>
          <w:iCs w:val="0"/>
          <w:snapToGrid w:val="0"/>
          <w:color w:val="auto"/>
          <w:highlight w:val="none"/>
        </w:rPr>
        <w:t>1.4B  投标人资格要求（适用于未进行资格预审的）</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_Toc58860071 \h </w:instrText>
      </w:r>
      <w:r>
        <w:rPr>
          <w:i w:val="0"/>
          <w:iCs w:val="0"/>
          <w:color w:val="auto"/>
          <w:highlight w:val="none"/>
        </w:rPr>
        <w:fldChar w:fldCharType="separate"/>
      </w:r>
      <w:r>
        <w:rPr>
          <w:i w:val="0"/>
          <w:iCs w:val="0"/>
          <w:color w:val="auto"/>
          <w:highlight w:val="none"/>
        </w:rPr>
        <w:t>46</w:t>
      </w:r>
      <w:r>
        <w:rPr>
          <w:i w:val="0"/>
          <w:iCs w:val="0"/>
          <w:color w:val="auto"/>
          <w:highlight w:val="none"/>
        </w:rPr>
        <w:fldChar w:fldCharType="end"/>
      </w:r>
      <w:r>
        <w:rPr>
          <w:i w:val="0"/>
          <w:iCs w:val="0"/>
          <w:color w:val="auto"/>
          <w:highlight w:val="none"/>
        </w:rPr>
        <w:fldChar w:fldCharType="end"/>
      </w:r>
    </w:p>
    <w:p w14:paraId="23AE2E45">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"_Toc58860072" </w:instrText>
      </w:r>
      <w:r>
        <w:rPr>
          <w:color w:val="auto"/>
          <w:highlight w:val="none"/>
        </w:rPr>
        <w:fldChar w:fldCharType="separate"/>
      </w:r>
      <w:r>
        <w:rPr>
          <w:rStyle w:val="53"/>
          <w:rFonts w:ascii="宋体" w:hAnsi="宋体"/>
          <w:i w:val="0"/>
          <w:iCs w:val="0"/>
          <w:snapToGrid w:val="0"/>
          <w:color w:val="auto"/>
          <w:highlight w:val="none"/>
        </w:rPr>
        <w:t>1.5  费用承担和设计成果补偿</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_Toc58860072 \h </w:instrText>
      </w:r>
      <w:r>
        <w:rPr>
          <w:i w:val="0"/>
          <w:iCs w:val="0"/>
          <w:color w:val="auto"/>
          <w:highlight w:val="none"/>
        </w:rPr>
        <w:fldChar w:fldCharType="separate"/>
      </w:r>
      <w:r>
        <w:rPr>
          <w:i w:val="0"/>
          <w:iCs w:val="0"/>
          <w:color w:val="auto"/>
          <w:highlight w:val="none"/>
        </w:rPr>
        <w:t>47</w:t>
      </w:r>
      <w:r>
        <w:rPr>
          <w:i w:val="0"/>
          <w:iCs w:val="0"/>
          <w:color w:val="auto"/>
          <w:highlight w:val="none"/>
        </w:rPr>
        <w:fldChar w:fldCharType="end"/>
      </w:r>
      <w:r>
        <w:rPr>
          <w:i w:val="0"/>
          <w:iCs w:val="0"/>
          <w:color w:val="auto"/>
          <w:highlight w:val="none"/>
        </w:rPr>
        <w:fldChar w:fldCharType="end"/>
      </w:r>
    </w:p>
    <w:p w14:paraId="0528E97E">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"_Toc58860073" </w:instrText>
      </w:r>
      <w:r>
        <w:rPr>
          <w:color w:val="auto"/>
          <w:highlight w:val="none"/>
        </w:rPr>
        <w:fldChar w:fldCharType="separate"/>
      </w:r>
      <w:r>
        <w:rPr>
          <w:rStyle w:val="53"/>
          <w:rFonts w:ascii="宋体" w:hAnsi="宋体"/>
          <w:i w:val="0"/>
          <w:iCs w:val="0"/>
          <w:snapToGrid w:val="0"/>
          <w:color w:val="auto"/>
          <w:highlight w:val="none"/>
        </w:rPr>
        <w:t>1.6  保密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_Toc58860073 \h </w:instrText>
      </w:r>
      <w:r>
        <w:rPr>
          <w:i w:val="0"/>
          <w:iCs w:val="0"/>
          <w:color w:val="auto"/>
          <w:highlight w:val="none"/>
        </w:rPr>
        <w:fldChar w:fldCharType="separate"/>
      </w:r>
      <w:r>
        <w:rPr>
          <w:i w:val="0"/>
          <w:iCs w:val="0"/>
          <w:color w:val="auto"/>
          <w:highlight w:val="none"/>
        </w:rPr>
        <w:t>47</w:t>
      </w:r>
      <w:r>
        <w:rPr>
          <w:i w:val="0"/>
          <w:iCs w:val="0"/>
          <w:color w:val="auto"/>
          <w:highlight w:val="none"/>
        </w:rPr>
        <w:fldChar w:fldCharType="end"/>
      </w:r>
      <w:r>
        <w:rPr>
          <w:i w:val="0"/>
          <w:iCs w:val="0"/>
          <w:color w:val="auto"/>
          <w:highlight w:val="none"/>
        </w:rPr>
        <w:fldChar w:fldCharType="end"/>
      </w:r>
    </w:p>
    <w:p w14:paraId="472C68DB">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"_Toc58860074" </w:instrText>
      </w:r>
      <w:r>
        <w:rPr>
          <w:color w:val="auto"/>
          <w:highlight w:val="none"/>
        </w:rPr>
        <w:fldChar w:fldCharType="separate"/>
      </w:r>
      <w:r>
        <w:rPr>
          <w:rStyle w:val="53"/>
          <w:rFonts w:ascii="宋体" w:hAnsi="宋体"/>
          <w:i w:val="0"/>
          <w:iCs w:val="0"/>
          <w:snapToGrid w:val="0"/>
          <w:color w:val="auto"/>
          <w:highlight w:val="none"/>
        </w:rPr>
        <w:t>1.7  语言文字</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_Toc58860074 \h </w:instrText>
      </w:r>
      <w:r>
        <w:rPr>
          <w:i w:val="0"/>
          <w:iCs w:val="0"/>
          <w:color w:val="auto"/>
          <w:highlight w:val="none"/>
        </w:rPr>
        <w:fldChar w:fldCharType="separate"/>
      </w:r>
      <w:r>
        <w:rPr>
          <w:i w:val="0"/>
          <w:iCs w:val="0"/>
          <w:color w:val="auto"/>
          <w:highlight w:val="none"/>
        </w:rPr>
        <w:t>47</w:t>
      </w:r>
      <w:r>
        <w:rPr>
          <w:i w:val="0"/>
          <w:iCs w:val="0"/>
          <w:color w:val="auto"/>
          <w:highlight w:val="none"/>
        </w:rPr>
        <w:fldChar w:fldCharType="end"/>
      </w:r>
      <w:r>
        <w:rPr>
          <w:i w:val="0"/>
          <w:iCs w:val="0"/>
          <w:color w:val="auto"/>
          <w:highlight w:val="none"/>
        </w:rPr>
        <w:fldChar w:fldCharType="end"/>
      </w:r>
    </w:p>
    <w:p w14:paraId="7E3145D9">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"_Toc58860075" </w:instrText>
      </w:r>
      <w:r>
        <w:rPr>
          <w:color w:val="auto"/>
          <w:highlight w:val="none"/>
        </w:rPr>
        <w:fldChar w:fldCharType="separate"/>
      </w:r>
      <w:r>
        <w:rPr>
          <w:rStyle w:val="53"/>
          <w:rFonts w:ascii="宋体" w:hAnsi="宋体"/>
          <w:i w:val="0"/>
          <w:iCs w:val="0"/>
          <w:snapToGrid w:val="0"/>
          <w:color w:val="auto"/>
          <w:highlight w:val="none"/>
        </w:rPr>
        <w:t>1.8  计量单位</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_Toc58860075 \h </w:instrText>
      </w:r>
      <w:r>
        <w:rPr>
          <w:i w:val="0"/>
          <w:iCs w:val="0"/>
          <w:color w:val="auto"/>
          <w:highlight w:val="none"/>
        </w:rPr>
        <w:fldChar w:fldCharType="separate"/>
      </w:r>
      <w:r>
        <w:rPr>
          <w:i w:val="0"/>
          <w:iCs w:val="0"/>
          <w:color w:val="auto"/>
          <w:highlight w:val="none"/>
        </w:rPr>
        <w:t>47</w:t>
      </w:r>
      <w:r>
        <w:rPr>
          <w:i w:val="0"/>
          <w:iCs w:val="0"/>
          <w:color w:val="auto"/>
          <w:highlight w:val="none"/>
        </w:rPr>
        <w:fldChar w:fldCharType="end"/>
      </w:r>
      <w:r>
        <w:rPr>
          <w:i w:val="0"/>
          <w:iCs w:val="0"/>
          <w:color w:val="auto"/>
          <w:highlight w:val="none"/>
        </w:rPr>
        <w:fldChar w:fldCharType="end"/>
      </w:r>
    </w:p>
    <w:p w14:paraId="320E2ACB">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"_Toc58860076" </w:instrText>
      </w:r>
      <w:r>
        <w:rPr>
          <w:color w:val="auto"/>
          <w:highlight w:val="none"/>
        </w:rPr>
        <w:fldChar w:fldCharType="separate"/>
      </w:r>
      <w:r>
        <w:rPr>
          <w:rStyle w:val="53"/>
          <w:rFonts w:ascii="宋体" w:hAnsi="宋体"/>
          <w:i w:val="0"/>
          <w:iCs w:val="0"/>
          <w:snapToGrid w:val="0"/>
          <w:color w:val="auto"/>
          <w:highlight w:val="none"/>
        </w:rPr>
        <w:t>1.9  踏勘现场</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_Toc58860076 \h </w:instrText>
      </w:r>
      <w:r>
        <w:rPr>
          <w:i w:val="0"/>
          <w:iCs w:val="0"/>
          <w:color w:val="auto"/>
          <w:highlight w:val="none"/>
        </w:rPr>
        <w:fldChar w:fldCharType="separate"/>
      </w:r>
      <w:r>
        <w:rPr>
          <w:i w:val="0"/>
          <w:iCs w:val="0"/>
          <w:color w:val="auto"/>
          <w:highlight w:val="none"/>
        </w:rPr>
        <w:t>48</w:t>
      </w:r>
      <w:r>
        <w:rPr>
          <w:i w:val="0"/>
          <w:iCs w:val="0"/>
          <w:color w:val="auto"/>
          <w:highlight w:val="none"/>
        </w:rPr>
        <w:fldChar w:fldCharType="end"/>
      </w:r>
      <w:r>
        <w:rPr>
          <w:i w:val="0"/>
          <w:iCs w:val="0"/>
          <w:color w:val="auto"/>
          <w:highlight w:val="none"/>
        </w:rPr>
        <w:fldChar w:fldCharType="end"/>
      </w:r>
    </w:p>
    <w:p w14:paraId="06661686">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"_Toc58860077" </w:instrText>
      </w:r>
      <w:r>
        <w:rPr>
          <w:color w:val="auto"/>
          <w:highlight w:val="none"/>
        </w:rPr>
        <w:fldChar w:fldCharType="separate"/>
      </w:r>
      <w:r>
        <w:rPr>
          <w:rStyle w:val="53"/>
          <w:rFonts w:ascii="宋体" w:hAnsi="宋体"/>
          <w:i w:val="0"/>
          <w:iCs w:val="0"/>
          <w:snapToGrid w:val="0"/>
          <w:color w:val="auto"/>
          <w:highlight w:val="none"/>
        </w:rPr>
        <w:t>1.10  投标预备会</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_Toc58860077 \h </w:instrText>
      </w:r>
      <w:r>
        <w:rPr>
          <w:i w:val="0"/>
          <w:iCs w:val="0"/>
          <w:color w:val="auto"/>
          <w:highlight w:val="none"/>
        </w:rPr>
        <w:fldChar w:fldCharType="separate"/>
      </w:r>
      <w:r>
        <w:rPr>
          <w:i w:val="0"/>
          <w:iCs w:val="0"/>
          <w:color w:val="auto"/>
          <w:highlight w:val="none"/>
        </w:rPr>
        <w:t>48</w:t>
      </w:r>
      <w:r>
        <w:rPr>
          <w:i w:val="0"/>
          <w:iCs w:val="0"/>
          <w:color w:val="auto"/>
          <w:highlight w:val="none"/>
        </w:rPr>
        <w:fldChar w:fldCharType="end"/>
      </w:r>
      <w:r>
        <w:rPr>
          <w:i w:val="0"/>
          <w:iCs w:val="0"/>
          <w:color w:val="auto"/>
          <w:highlight w:val="none"/>
        </w:rPr>
        <w:fldChar w:fldCharType="end"/>
      </w:r>
    </w:p>
    <w:p w14:paraId="50875577">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"_Toc58860078" </w:instrText>
      </w:r>
      <w:r>
        <w:rPr>
          <w:color w:val="auto"/>
          <w:highlight w:val="none"/>
        </w:rPr>
        <w:fldChar w:fldCharType="separate"/>
      </w:r>
      <w:r>
        <w:rPr>
          <w:rStyle w:val="53"/>
          <w:rFonts w:ascii="宋体" w:hAnsi="宋体"/>
          <w:i w:val="0"/>
          <w:iCs w:val="0"/>
          <w:snapToGrid w:val="0"/>
          <w:color w:val="auto"/>
          <w:highlight w:val="none"/>
        </w:rPr>
        <w:t>1.11  分包</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_Toc58860078 \h </w:instrText>
      </w:r>
      <w:r>
        <w:rPr>
          <w:i w:val="0"/>
          <w:iCs w:val="0"/>
          <w:color w:val="auto"/>
          <w:highlight w:val="none"/>
        </w:rPr>
        <w:fldChar w:fldCharType="separate"/>
      </w:r>
      <w:r>
        <w:rPr>
          <w:i w:val="0"/>
          <w:iCs w:val="0"/>
          <w:color w:val="auto"/>
          <w:highlight w:val="none"/>
        </w:rPr>
        <w:t>48</w:t>
      </w:r>
      <w:r>
        <w:rPr>
          <w:i w:val="0"/>
          <w:iCs w:val="0"/>
          <w:color w:val="auto"/>
          <w:highlight w:val="none"/>
        </w:rPr>
        <w:fldChar w:fldCharType="end"/>
      </w:r>
      <w:r>
        <w:rPr>
          <w:i w:val="0"/>
          <w:iCs w:val="0"/>
          <w:color w:val="auto"/>
          <w:highlight w:val="none"/>
        </w:rPr>
        <w:fldChar w:fldCharType="end"/>
      </w:r>
    </w:p>
    <w:p w14:paraId="6D9BC517">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"_Toc58860079" </w:instrText>
      </w:r>
      <w:r>
        <w:rPr>
          <w:color w:val="auto"/>
          <w:highlight w:val="none"/>
        </w:rPr>
        <w:fldChar w:fldCharType="separate"/>
      </w:r>
      <w:r>
        <w:rPr>
          <w:rStyle w:val="53"/>
          <w:rFonts w:ascii="宋体" w:hAnsi="宋体"/>
          <w:i w:val="0"/>
          <w:iCs w:val="0"/>
          <w:snapToGrid w:val="0"/>
          <w:color w:val="auto"/>
          <w:highlight w:val="none"/>
        </w:rPr>
        <w:t>1.12  偏离</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_Toc58860079 \h </w:instrText>
      </w:r>
      <w:r>
        <w:rPr>
          <w:i w:val="0"/>
          <w:iCs w:val="0"/>
          <w:color w:val="auto"/>
          <w:highlight w:val="none"/>
        </w:rPr>
        <w:fldChar w:fldCharType="separate"/>
      </w:r>
      <w:r>
        <w:rPr>
          <w:i w:val="0"/>
          <w:iCs w:val="0"/>
          <w:color w:val="auto"/>
          <w:highlight w:val="none"/>
        </w:rPr>
        <w:t>48</w:t>
      </w:r>
      <w:r>
        <w:rPr>
          <w:i w:val="0"/>
          <w:iCs w:val="0"/>
          <w:color w:val="auto"/>
          <w:highlight w:val="none"/>
        </w:rPr>
        <w:fldChar w:fldCharType="end"/>
      </w:r>
      <w:r>
        <w:rPr>
          <w:i w:val="0"/>
          <w:iCs w:val="0"/>
          <w:color w:val="auto"/>
          <w:highlight w:val="none"/>
        </w:rPr>
        <w:fldChar w:fldCharType="end"/>
      </w:r>
    </w:p>
    <w:p w14:paraId="5684B18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"_Toc58860080" </w:instrText>
      </w:r>
      <w:r>
        <w:rPr>
          <w:color w:val="auto"/>
          <w:highlight w:val="none"/>
        </w:rPr>
        <w:fldChar w:fldCharType="separate"/>
      </w:r>
      <w:r>
        <w:rPr>
          <w:rStyle w:val="53"/>
          <w:rFonts w:ascii="宋体" w:hAnsi="宋体"/>
          <w:snapToGrid w:val="0"/>
          <w:color w:val="auto"/>
          <w:highlight w:val="none"/>
        </w:rPr>
        <w:t>2.  招标文件</w:t>
      </w:r>
      <w:r>
        <w:rPr>
          <w:color w:val="auto"/>
          <w:highlight w:val="none"/>
        </w:rPr>
        <w:tab/>
      </w:r>
      <w:r>
        <w:rPr>
          <w:color w:val="auto"/>
          <w:highlight w:val="none"/>
        </w:rPr>
        <w:fldChar w:fldCharType="begin"/>
      </w:r>
      <w:r>
        <w:rPr>
          <w:color w:val="auto"/>
          <w:highlight w:val="none"/>
        </w:rPr>
        <w:instrText xml:space="preserve"> PAGEREF _Toc58860080 \h </w:instrText>
      </w:r>
      <w:r>
        <w:rPr>
          <w:color w:val="auto"/>
          <w:highlight w:val="none"/>
        </w:rPr>
        <w:fldChar w:fldCharType="separate"/>
      </w:r>
      <w:r>
        <w:rPr>
          <w:color w:val="auto"/>
          <w:highlight w:val="none"/>
        </w:rPr>
        <w:t>48</w:t>
      </w:r>
      <w:r>
        <w:rPr>
          <w:color w:val="auto"/>
          <w:highlight w:val="none"/>
        </w:rPr>
        <w:fldChar w:fldCharType="end"/>
      </w:r>
      <w:r>
        <w:rPr>
          <w:color w:val="auto"/>
          <w:highlight w:val="none"/>
        </w:rPr>
        <w:fldChar w:fldCharType="end"/>
      </w:r>
    </w:p>
    <w:p w14:paraId="6F1D531C">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"_Toc58860081" </w:instrText>
      </w:r>
      <w:r>
        <w:rPr>
          <w:color w:val="auto"/>
          <w:highlight w:val="none"/>
        </w:rPr>
        <w:fldChar w:fldCharType="separate"/>
      </w:r>
      <w:r>
        <w:rPr>
          <w:rStyle w:val="53"/>
          <w:rFonts w:ascii="宋体" w:hAnsi="宋体"/>
          <w:i w:val="0"/>
          <w:iCs w:val="0"/>
          <w:snapToGrid w:val="0"/>
          <w:color w:val="auto"/>
          <w:highlight w:val="none"/>
        </w:rPr>
        <w:t>2.1  招标文件的组成</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_Toc58860081 \h </w:instrText>
      </w:r>
      <w:r>
        <w:rPr>
          <w:i w:val="0"/>
          <w:iCs w:val="0"/>
          <w:color w:val="auto"/>
          <w:highlight w:val="none"/>
        </w:rPr>
        <w:fldChar w:fldCharType="separate"/>
      </w:r>
      <w:r>
        <w:rPr>
          <w:i w:val="0"/>
          <w:iCs w:val="0"/>
          <w:color w:val="auto"/>
          <w:highlight w:val="none"/>
        </w:rPr>
        <w:t>48</w:t>
      </w:r>
      <w:r>
        <w:rPr>
          <w:i w:val="0"/>
          <w:iCs w:val="0"/>
          <w:color w:val="auto"/>
          <w:highlight w:val="none"/>
        </w:rPr>
        <w:fldChar w:fldCharType="end"/>
      </w:r>
      <w:r>
        <w:rPr>
          <w:i w:val="0"/>
          <w:iCs w:val="0"/>
          <w:color w:val="auto"/>
          <w:highlight w:val="none"/>
        </w:rPr>
        <w:fldChar w:fldCharType="end"/>
      </w:r>
    </w:p>
    <w:p w14:paraId="2738A6E1">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"_Toc58860082" </w:instrText>
      </w:r>
      <w:r>
        <w:rPr>
          <w:color w:val="auto"/>
          <w:highlight w:val="none"/>
        </w:rPr>
        <w:fldChar w:fldCharType="separate"/>
      </w:r>
      <w:r>
        <w:rPr>
          <w:rStyle w:val="53"/>
          <w:rFonts w:ascii="宋体" w:hAnsi="宋体"/>
          <w:i w:val="0"/>
          <w:iCs w:val="0"/>
          <w:snapToGrid w:val="0"/>
          <w:color w:val="auto"/>
          <w:highlight w:val="none"/>
        </w:rPr>
        <w:t>2.2  招标文件的澄清</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_Toc58860082 \h </w:instrText>
      </w:r>
      <w:r>
        <w:rPr>
          <w:i w:val="0"/>
          <w:iCs w:val="0"/>
          <w:color w:val="auto"/>
          <w:highlight w:val="none"/>
        </w:rPr>
        <w:fldChar w:fldCharType="separate"/>
      </w:r>
      <w:r>
        <w:rPr>
          <w:i w:val="0"/>
          <w:iCs w:val="0"/>
          <w:color w:val="auto"/>
          <w:highlight w:val="none"/>
        </w:rPr>
        <w:t>49</w:t>
      </w:r>
      <w:r>
        <w:rPr>
          <w:i w:val="0"/>
          <w:iCs w:val="0"/>
          <w:color w:val="auto"/>
          <w:highlight w:val="none"/>
        </w:rPr>
        <w:fldChar w:fldCharType="end"/>
      </w:r>
      <w:r>
        <w:rPr>
          <w:i w:val="0"/>
          <w:iCs w:val="0"/>
          <w:color w:val="auto"/>
          <w:highlight w:val="none"/>
        </w:rPr>
        <w:fldChar w:fldCharType="end"/>
      </w:r>
    </w:p>
    <w:p w14:paraId="41299BF8">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"_Toc58860083" </w:instrText>
      </w:r>
      <w:r>
        <w:rPr>
          <w:color w:val="auto"/>
          <w:highlight w:val="none"/>
        </w:rPr>
        <w:fldChar w:fldCharType="separate"/>
      </w:r>
      <w:r>
        <w:rPr>
          <w:rStyle w:val="53"/>
          <w:rFonts w:ascii="宋体" w:hAnsi="宋体"/>
          <w:i w:val="0"/>
          <w:iCs w:val="0"/>
          <w:snapToGrid w:val="0"/>
          <w:color w:val="auto"/>
          <w:highlight w:val="none"/>
        </w:rPr>
        <w:t>2.3  招标文件的修改</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_Toc58860083 \h </w:instrText>
      </w:r>
      <w:r>
        <w:rPr>
          <w:i w:val="0"/>
          <w:iCs w:val="0"/>
          <w:color w:val="auto"/>
          <w:highlight w:val="none"/>
        </w:rPr>
        <w:fldChar w:fldCharType="separate"/>
      </w:r>
      <w:r>
        <w:rPr>
          <w:i w:val="0"/>
          <w:iCs w:val="0"/>
          <w:color w:val="auto"/>
          <w:highlight w:val="none"/>
        </w:rPr>
        <w:t>49</w:t>
      </w:r>
      <w:r>
        <w:rPr>
          <w:i w:val="0"/>
          <w:iCs w:val="0"/>
          <w:color w:val="auto"/>
          <w:highlight w:val="none"/>
        </w:rPr>
        <w:fldChar w:fldCharType="end"/>
      </w:r>
      <w:r>
        <w:rPr>
          <w:i w:val="0"/>
          <w:iCs w:val="0"/>
          <w:color w:val="auto"/>
          <w:highlight w:val="none"/>
        </w:rPr>
        <w:fldChar w:fldCharType="end"/>
      </w:r>
    </w:p>
    <w:p w14:paraId="19562E1B">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"_Toc58860084" </w:instrText>
      </w:r>
      <w:r>
        <w:rPr>
          <w:color w:val="auto"/>
          <w:highlight w:val="none"/>
        </w:rPr>
        <w:fldChar w:fldCharType="separate"/>
      </w:r>
      <w:r>
        <w:rPr>
          <w:rStyle w:val="53"/>
          <w:rFonts w:ascii="宋体" w:hAnsi="宋体"/>
          <w:snapToGrid w:val="0"/>
          <w:color w:val="auto"/>
          <w:highlight w:val="none"/>
        </w:rPr>
        <w:t>3.  投标文件</w:t>
      </w:r>
      <w:r>
        <w:rPr>
          <w:color w:val="auto"/>
          <w:highlight w:val="none"/>
        </w:rPr>
        <w:tab/>
      </w:r>
      <w:r>
        <w:rPr>
          <w:color w:val="auto"/>
          <w:highlight w:val="none"/>
        </w:rPr>
        <w:fldChar w:fldCharType="begin"/>
      </w:r>
      <w:r>
        <w:rPr>
          <w:color w:val="auto"/>
          <w:highlight w:val="none"/>
        </w:rPr>
        <w:instrText xml:space="preserve"> PAGEREF _Toc58860084 \h </w:instrText>
      </w:r>
      <w:r>
        <w:rPr>
          <w:color w:val="auto"/>
          <w:highlight w:val="none"/>
        </w:rPr>
        <w:fldChar w:fldCharType="separate"/>
      </w:r>
      <w:r>
        <w:rPr>
          <w:color w:val="auto"/>
          <w:highlight w:val="none"/>
        </w:rPr>
        <w:t>49</w:t>
      </w:r>
      <w:r>
        <w:rPr>
          <w:color w:val="auto"/>
          <w:highlight w:val="none"/>
        </w:rPr>
        <w:fldChar w:fldCharType="end"/>
      </w:r>
      <w:r>
        <w:rPr>
          <w:color w:val="auto"/>
          <w:highlight w:val="none"/>
        </w:rPr>
        <w:fldChar w:fldCharType="end"/>
      </w:r>
    </w:p>
    <w:p w14:paraId="1EBDF4E3">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"_Toc58860085" </w:instrText>
      </w:r>
      <w:r>
        <w:rPr>
          <w:color w:val="auto"/>
          <w:highlight w:val="none"/>
        </w:rPr>
        <w:fldChar w:fldCharType="separate"/>
      </w:r>
      <w:r>
        <w:rPr>
          <w:rStyle w:val="53"/>
          <w:rFonts w:ascii="宋体" w:hAnsi="宋体"/>
          <w:i w:val="0"/>
          <w:iCs w:val="0"/>
          <w:snapToGrid w:val="0"/>
          <w:color w:val="auto"/>
          <w:highlight w:val="none"/>
        </w:rPr>
        <w:t>3.1  投标文件的组成</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_Toc58860085 \h </w:instrText>
      </w:r>
      <w:r>
        <w:rPr>
          <w:i w:val="0"/>
          <w:iCs w:val="0"/>
          <w:color w:val="auto"/>
          <w:highlight w:val="none"/>
        </w:rPr>
        <w:fldChar w:fldCharType="separate"/>
      </w:r>
      <w:r>
        <w:rPr>
          <w:i w:val="0"/>
          <w:iCs w:val="0"/>
          <w:color w:val="auto"/>
          <w:highlight w:val="none"/>
        </w:rPr>
        <w:t>49</w:t>
      </w:r>
      <w:r>
        <w:rPr>
          <w:i w:val="0"/>
          <w:iCs w:val="0"/>
          <w:color w:val="auto"/>
          <w:highlight w:val="none"/>
        </w:rPr>
        <w:fldChar w:fldCharType="end"/>
      </w:r>
      <w:r>
        <w:rPr>
          <w:i w:val="0"/>
          <w:iCs w:val="0"/>
          <w:color w:val="auto"/>
          <w:highlight w:val="none"/>
        </w:rPr>
        <w:fldChar w:fldCharType="end"/>
      </w:r>
    </w:p>
    <w:p w14:paraId="0A19B691">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"_Toc58860086" </w:instrText>
      </w:r>
      <w:r>
        <w:rPr>
          <w:color w:val="auto"/>
          <w:highlight w:val="none"/>
        </w:rPr>
        <w:fldChar w:fldCharType="separate"/>
      </w:r>
      <w:r>
        <w:rPr>
          <w:rStyle w:val="53"/>
          <w:rFonts w:ascii="宋体" w:hAnsi="宋体"/>
          <w:i w:val="0"/>
          <w:iCs w:val="0"/>
          <w:snapToGrid w:val="0"/>
          <w:color w:val="auto"/>
          <w:highlight w:val="none"/>
        </w:rPr>
        <w:t>3.2  投标报价</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_Toc58860086 \h </w:instrText>
      </w:r>
      <w:r>
        <w:rPr>
          <w:i w:val="0"/>
          <w:iCs w:val="0"/>
          <w:color w:val="auto"/>
          <w:highlight w:val="none"/>
        </w:rPr>
        <w:fldChar w:fldCharType="separate"/>
      </w:r>
      <w:r>
        <w:rPr>
          <w:i w:val="0"/>
          <w:iCs w:val="0"/>
          <w:color w:val="auto"/>
          <w:highlight w:val="none"/>
        </w:rPr>
        <w:t>50</w:t>
      </w:r>
      <w:r>
        <w:rPr>
          <w:i w:val="0"/>
          <w:iCs w:val="0"/>
          <w:color w:val="auto"/>
          <w:highlight w:val="none"/>
        </w:rPr>
        <w:fldChar w:fldCharType="end"/>
      </w:r>
      <w:r>
        <w:rPr>
          <w:i w:val="0"/>
          <w:iCs w:val="0"/>
          <w:color w:val="auto"/>
          <w:highlight w:val="none"/>
        </w:rPr>
        <w:fldChar w:fldCharType="end"/>
      </w:r>
    </w:p>
    <w:p w14:paraId="1785B24D">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"_Toc58860087" </w:instrText>
      </w:r>
      <w:r>
        <w:rPr>
          <w:color w:val="auto"/>
          <w:highlight w:val="none"/>
        </w:rPr>
        <w:fldChar w:fldCharType="separate"/>
      </w:r>
      <w:r>
        <w:rPr>
          <w:rStyle w:val="53"/>
          <w:rFonts w:ascii="宋体" w:hAnsi="宋体"/>
          <w:i w:val="0"/>
          <w:iCs w:val="0"/>
          <w:snapToGrid w:val="0"/>
          <w:color w:val="auto"/>
          <w:highlight w:val="none"/>
        </w:rPr>
        <w:t>3.3  投标有效期</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_Toc58860087 \h </w:instrText>
      </w:r>
      <w:r>
        <w:rPr>
          <w:i w:val="0"/>
          <w:iCs w:val="0"/>
          <w:color w:val="auto"/>
          <w:highlight w:val="none"/>
        </w:rPr>
        <w:fldChar w:fldCharType="separate"/>
      </w:r>
      <w:r>
        <w:rPr>
          <w:i w:val="0"/>
          <w:iCs w:val="0"/>
          <w:color w:val="auto"/>
          <w:highlight w:val="none"/>
        </w:rPr>
        <w:t>50</w:t>
      </w:r>
      <w:r>
        <w:rPr>
          <w:i w:val="0"/>
          <w:iCs w:val="0"/>
          <w:color w:val="auto"/>
          <w:highlight w:val="none"/>
        </w:rPr>
        <w:fldChar w:fldCharType="end"/>
      </w:r>
      <w:r>
        <w:rPr>
          <w:i w:val="0"/>
          <w:iCs w:val="0"/>
          <w:color w:val="auto"/>
          <w:highlight w:val="none"/>
        </w:rPr>
        <w:fldChar w:fldCharType="end"/>
      </w:r>
    </w:p>
    <w:p w14:paraId="5A3CED79">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"_Toc58860088" </w:instrText>
      </w:r>
      <w:r>
        <w:rPr>
          <w:color w:val="auto"/>
          <w:highlight w:val="none"/>
        </w:rPr>
        <w:fldChar w:fldCharType="separate"/>
      </w:r>
      <w:r>
        <w:rPr>
          <w:rStyle w:val="53"/>
          <w:rFonts w:ascii="宋体" w:hAnsi="宋体"/>
          <w:i w:val="0"/>
          <w:iCs w:val="0"/>
          <w:snapToGrid w:val="0"/>
          <w:color w:val="auto"/>
          <w:highlight w:val="none"/>
        </w:rPr>
        <w:t>3.4  投标保证金</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_Toc58860088 \h </w:instrText>
      </w:r>
      <w:r>
        <w:rPr>
          <w:i w:val="0"/>
          <w:iCs w:val="0"/>
          <w:color w:val="auto"/>
          <w:highlight w:val="none"/>
        </w:rPr>
        <w:fldChar w:fldCharType="separate"/>
      </w:r>
      <w:r>
        <w:rPr>
          <w:i w:val="0"/>
          <w:iCs w:val="0"/>
          <w:color w:val="auto"/>
          <w:highlight w:val="none"/>
        </w:rPr>
        <w:t>50</w:t>
      </w:r>
      <w:r>
        <w:rPr>
          <w:i w:val="0"/>
          <w:iCs w:val="0"/>
          <w:color w:val="auto"/>
          <w:highlight w:val="none"/>
        </w:rPr>
        <w:fldChar w:fldCharType="end"/>
      </w:r>
      <w:r>
        <w:rPr>
          <w:i w:val="0"/>
          <w:iCs w:val="0"/>
          <w:color w:val="auto"/>
          <w:highlight w:val="none"/>
        </w:rPr>
        <w:fldChar w:fldCharType="end"/>
      </w:r>
    </w:p>
    <w:p w14:paraId="7EE5D275">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"_Toc58860089" </w:instrText>
      </w:r>
      <w:r>
        <w:rPr>
          <w:color w:val="auto"/>
          <w:highlight w:val="none"/>
        </w:rPr>
        <w:fldChar w:fldCharType="separate"/>
      </w:r>
      <w:r>
        <w:rPr>
          <w:rStyle w:val="53"/>
          <w:rFonts w:ascii="宋体" w:hAnsi="宋体"/>
          <w:i w:val="0"/>
          <w:iCs w:val="0"/>
          <w:snapToGrid w:val="0"/>
          <w:color w:val="auto"/>
          <w:highlight w:val="none"/>
        </w:rPr>
        <w:t>3.5A  资格审查资料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_Toc58860089 \h </w:instrText>
      </w:r>
      <w:r>
        <w:rPr>
          <w:i w:val="0"/>
          <w:iCs w:val="0"/>
          <w:color w:val="auto"/>
          <w:highlight w:val="none"/>
        </w:rPr>
        <w:fldChar w:fldCharType="separate"/>
      </w:r>
      <w:r>
        <w:rPr>
          <w:i w:val="0"/>
          <w:iCs w:val="0"/>
          <w:color w:val="auto"/>
          <w:highlight w:val="none"/>
        </w:rPr>
        <w:t>51</w:t>
      </w:r>
      <w:r>
        <w:rPr>
          <w:i w:val="0"/>
          <w:iCs w:val="0"/>
          <w:color w:val="auto"/>
          <w:highlight w:val="none"/>
        </w:rPr>
        <w:fldChar w:fldCharType="end"/>
      </w:r>
      <w:r>
        <w:rPr>
          <w:i w:val="0"/>
          <w:iCs w:val="0"/>
          <w:color w:val="auto"/>
          <w:highlight w:val="none"/>
        </w:rPr>
        <w:fldChar w:fldCharType="end"/>
      </w:r>
    </w:p>
    <w:p w14:paraId="736F935B">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"_Toc58860090" </w:instrText>
      </w:r>
      <w:r>
        <w:rPr>
          <w:color w:val="auto"/>
          <w:highlight w:val="none"/>
        </w:rPr>
        <w:fldChar w:fldCharType="separate"/>
      </w:r>
      <w:r>
        <w:rPr>
          <w:rStyle w:val="53"/>
          <w:rFonts w:ascii="宋体" w:hAnsi="宋体"/>
          <w:i w:val="0"/>
          <w:iCs w:val="0"/>
          <w:snapToGrid w:val="0"/>
          <w:color w:val="auto"/>
          <w:highlight w:val="none"/>
        </w:rPr>
        <w:t>3.5B  资格审查资料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_Toc58860090 \h </w:instrText>
      </w:r>
      <w:r>
        <w:rPr>
          <w:i w:val="0"/>
          <w:iCs w:val="0"/>
          <w:color w:val="auto"/>
          <w:highlight w:val="none"/>
        </w:rPr>
        <w:fldChar w:fldCharType="separate"/>
      </w:r>
      <w:r>
        <w:rPr>
          <w:i w:val="0"/>
          <w:iCs w:val="0"/>
          <w:color w:val="auto"/>
          <w:highlight w:val="none"/>
        </w:rPr>
        <w:t>51</w:t>
      </w:r>
      <w:r>
        <w:rPr>
          <w:i w:val="0"/>
          <w:iCs w:val="0"/>
          <w:color w:val="auto"/>
          <w:highlight w:val="none"/>
        </w:rPr>
        <w:fldChar w:fldCharType="end"/>
      </w:r>
      <w:r>
        <w:rPr>
          <w:i w:val="0"/>
          <w:iCs w:val="0"/>
          <w:color w:val="auto"/>
          <w:highlight w:val="none"/>
        </w:rPr>
        <w:fldChar w:fldCharType="end"/>
      </w:r>
    </w:p>
    <w:p w14:paraId="43B99F4A">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"_Toc58860091" </w:instrText>
      </w:r>
      <w:r>
        <w:rPr>
          <w:color w:val="auto"/>
          <w:highlight w:val="none"/>
        </w:rPr>
        <w:fldChar w:fldCharType="separate"/>
      </w:r>
      <w:r>
        <w:rPr>
          <w:rStyle w:val="53"/>
          <w:rFonts w:ascii="宋体" w:hAnsi="宋体"/>
          <w:i w:val="0"/>
          <w:iCs w:val="0"/>
          <w:snapToGrid w:val="0"/>
          <w:color w:val="auto"/>
          <w:highlight w:val="none"/>
        </w:rPr>
        <w:t>3.6  备选投标方案</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_Toc58860091 \h </w:instrText>
      </w:r>
      <w:r>
        <w:rPr>
          <w:i w:val="0"/>
          <w:iCs w:val="0"/>
          <w:color w:val="auto"/>
          <w:highlight w:val="none"/>
        </w:rPr>
        <w:fldChar w:fldCharType="separate"/>
      </w:r>
      <w:r>
        <w:rPr>
          <w:i w:val="0"/>
          <w:iCs w:val="0"/>
          <w:color w:val="auto"/>
          <w:highlight w:val="none"/>
        </w:rPr>
        <w:t>51</w:t>
      </w:r>
      <w:r>
        <w:rPr>
          <w:i w:val="0"/>
          <w:iCs w:val="0"/>
          <w:color w:val="auto"/>
          <w:highlight w:val="none"/>
        </w:rPr>
        <w:fldChar w:fldCharType="end"/>
      </w:r>
      <w:r>
        <w:rPr>
          <w:i w:val="0"/>
          <w:iCs w:val="0"/>
          <w:color w:val="auto"/>
          <w:highlight w:val="none"/>
        </w:rPr>
        <w:fldChar w:fldCharType="end"/>
      </w:r>
    </w:p>
    <w:p w14:paraId="1389A097">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"_Toc58860092" </w:instrText>
      </w:r>
      <w:r>
        <w:rPr>
          <w:color w:val="auto"/>
          <w:highlight w:val="none"/>
        </w:rPr>
        <w:fldChar w:fldCharType="separate"/>
      </w:r>
      <w:r>
        <w:rPr>
          <w:rStyle w:val="53"/>
          <w:rFonts w:ascii="宋体" w:hAnsi="宋体"/>
          <w:i w:val="0"/>
          <w:iCs w:val="0"/>
          <w:snapToGrid w:val="0"/>
          <w:color w:val="auto"/>
          <w:highlight w:val="none"/>
        </w:rPr>
        <w:t>3.7  投标文件的编制</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_Toc58860092 \h </w:instrText>
      </w:r>
      <w:r>
        <w:rPr>
          <w:i w:val="0"/>
          <w:iCs w:val="0"/>
          <w:color w:val="auto"/>
          <w:highlight w:val="none"/>
        </w:rPr>
        <w:fldChar w:fldCharType="separate"/>
      </w:r>
      <w:r>
        <w:rPr>
          <w:i w:val="0"/>
          <w:iCs w:val="0"/>
          <w:color w:val="auto"/>
          <w:highlight w:val="none"/>
        </w:rPr>
        <w:t>51</w:t>
      </w:r>
      <w:r>
        <w:rPr>
          <w:i w:val="0"/>
          <w:iCs w:val="0"/>
          <w:color w:val="auto"/>
          <w:highlight w:val="none"/>
        </w:rPr>
        <w:fldChar w:fldCharType="end"/>
      </w:r>
      <w:r>
        <w:rPr>
          <w:i w:val="0"/>
          <w:iCs w:val="0"/>
          <w:color w:val="auto"/>
          <w:highlight w:val="none"/>
        </w:rPr>
        <w:fldChar w:fldCharType="end"/>
      </w:r>
    </w:p>
    <w:p w14:paraId="0B30CC71">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"_Toc58860093" </w:instrText>
      </w:r>
      <w:r>
        <w:rPr>
          <w:color w:val="auto"/>
          <w:highlight w:val="none"/>
        </w:rPr>
        <w:fldChar w:fldCharType="separate"/>
      </w:r>
      <w:r>
        <w:rPr>
          <w:rStyle w:val="53"/>
          <w:rFonts w:ascii="宋体" w:hAnsi="宋体"/>
          <w:snapToGrid w:val="0"/>
          <w:color w:val="auto"/>
          <w:highlight w:val="none"/>
        </w:rPr>
        <w:t>4.  投标</w:t>
      </w:r>
      <w:r>
        <w:rPr>
          <w:color w:val="auto"/>
          <w:highlight w:val="none"/>
        </w:rPr>
        <w:tab/>
      </w:r>
      <w:r>
        <w:rPr>
          <w:color w:val="auto"/>
          <w:highlight w:val="none"/>
        </w:rPr>
        <w:fldChar w:fldCharType="begin"/>
      </w:r>
      <w:r>
        <w:rPr>
          <w:color w:val="auto"/>
          <w:highlight w:val="none"/>
        </w:rPr>
        <w:instrText xml:space="preserve"> PAGEREF _Toc58860093 \h </w:instrText>
      </w:r>
      <w:r>
        <w:rPr>
          <w:color w:val="auto"/>
          <w:highlight w:val="none"/>
        </w:rPr>
        <w:fldChar w:fldCharType="separate"/>
      </w:r>
      <w:r>
        <w:rPr>
          <w:color w:val="auto"/>
          <w:highlight w:val="none"/>
        </w:rPr>
        <w:t>52</w:t>
      </w:r>
      <w:r>
        <w:rPr>
          <w:color w:val="auto"/>
          <w:highlight w:val="none"/>
        </w:rPr>
        <w:fldChar w:fldCharType="end"/>
      </w:r>
      <w:r>
        <w:rPr>
          <w:color w:val="auto"/>
          <w:highlight w:val="none"/>
        </w:rPr>
        <w:fldChar w:fldCharType="end"/>
      </w:r>
    </w:p>
    <w:p w14:paraId="06FBCF99">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"_Toc58860094" </w:instrText>
      </w:r>
      <w:r>
        <w:rPr>
          <w:color w:val="auto"/>
          <w:highlight w:val="none"/>
        </w:rPr>
        <w:fldChar w:fldCharType="separate"/>
      </w:r>
      <w:r>
        <w:rPr>
          <w:rStyle w:val="53"/>
          <w:rFonts w:ascii="宋体" w:hAnsi="宋体"/>
          <w:i w:val="0"/>
          <w:iCs w:val="0"/>
          <w:snapToGrid w:val="0"/>
          <w:color w:val="auto"/>
          <w:highlight w:val="none"/>
        </w:rPr>
        <w:t>4.1  投标文件的密封和标记</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_Toc58860094 \h </w:instrText>
      </w:r>
      <w:r>
        <w:rPr>
          <w:i w:val="0"/>
          <w:iCs w:val="0"/>
          <w:color w:val="auto"/>
          <w:highlight w:val="none"/>
        </w:rPr>
        <w:fldChar w:fldCharType="separate"/>
      </w:r>
      <w:r>
        <w:rPr>
          <w:i w:val="0"/>
          <w:iCs w:val="0"/>
          <w:color w:val="auto"/>
          <w:highlight w:val="none"/>
        </w:rPr>
        <w:t>52</w:t>
      </w:r>
      <w:r>
        <w:rPr>
          <w:i w:val="0"/>
          <w:iCs w:val="0"/>
          <w:color w:val="auto"/>
          <w:highlight w:val="none"/>
        </w:rPr>
        <w:fldChar w:fldCharType="end"/>
      </w:r>
      <w:r>
        <w:rPr>
          <w:i w:val="0"/>
          <w:iCs w:val="0"/>
          <w:color w:val="auto"/>
          <w:highlight w:val="none"/>
        </w:rPr>
        <w:fldChar w:fldCharType="end"/>
      </w:r>
    </w:p>
    <w:p w14:paraId="57DB3331">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"_Toc58860095" </w:instrText>
      </w:r>
      <w:r>
        <w:rPr>
          <w:color w:val="auto"/>
          <w:highlight w:val="none"/>
        </w:rPr>
        <w:fldChar w:fldCharType="separate"/>
      </w:r>
      <w:r>
        <w:rPr>
          <w:rStyle w:val="53"/>
          <w:rFonts w:ascii="宋体" w:hAnsi="宋体"/>
          <w:i w:val="0"/>
          <w:iCs w:val="0"/>
          <w:snapToGrid w:val="0"/>
          <w:color w:val="auto"/>
          <w:highlight w:val="none"/>
        </w:rPr>
        <w:t>4.2  投标文件的递交</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_Toc58860095 \h </w:instrText>
      </w:r>
      <w:r>
        <w:rPr>
          <w:i w:val="0"/>
          <w:iCs w:val="0"/>
          <w:color w:val="auto"/>
          <w:highlight w:val="none"/>
        </w:rPr>
        <w:fldChar w:fldCharType="separate"/>
      </w:r>
      <w:r>
        <w:rPr>
          <w:i w:val="0"/>
          <w:iCs w:val="0"/>
          <w:color w:val="auto"/>
          <w:highlight w:val="none"/>
        </w:rPr>
        <w:t>52</w:t>
      </w:r>
      <w:r>
        <w:rPr>
          <w:i w:val="0"/>
          <w:iCs w:val="0"/>
          <w:color w:val="auto"/>
          <w:highlight w:val="none"/>
        </w:rPr>
        <w:fldChar w:fldCharType="end"/>
      </w:r>
      <w:r>
        <w:rPr>
          <w:i w:val="0"/>
          <w:iCs w:val="0"/>
          <w:color w:val="auto"/>
          <w:highlight w:val="none"/>
        </w:rPr>
        <w:fldChar w:fldCharType="end"/>
      </w:r>
    </w:p>
    <w:p w14:paraId="3B65A8BF">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"_Toc58860096" </w:instrText>
      </w:r>
      <w:r>
        <w:rPr>
          <w:color w:val="auto"/>
          <w:highlight w:val="none"/>
        </w:rPr>
        <w:fldChar w:fldCharType="separate"/>
      </w:r>
      <w:r>
        <w:rPr>
          <w:rStyle w:val="53"/>
          <w:rFonts w:ascii="宋体" w:hAnsi="宋体"/>
          <w:i w:val="0"/>
          <w:iCs w:val="0"/>
          <w:snapToGrid w:val="0"/>
          <w:color w:val="auto"/>
          <w:highlight w:val="none"/>
        </w:rPr>
        <w:t>4.3  投标文件的修改与撤回</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_Toc58860096 \h </w:instrText>
      </w:r>
      <w:r>
        <w:rPr>
          <w:i w:val="0"/>
          <w:iCs w:val="0"/>
          <w:color w:val="auto"/>
          <w:highlight w:val="none"/>
        </w:rPr>
        <w:fldChar w:fldCharType="separate"/>
      </w:r>
      <w:r>
        <w:rPr>
          <w:i w:val="0"/>
          <w:iCs w:val="0"/>
          <w:color w:val="auto"/>
          <w:highlight w:val="none"/>
        </w:rPr>
        <w:t>52</w:t>
      </w:r>
      <w:r>
        <w:rPr>
          <w:i w:val="0"/>
          <w:iCs w:val="0"/>
          <w:color w:val="auto"/>
          <w:highlight w:val="none"/>
        </w:rPr>
        <w:fldChar w:fldCharType="end"/>
      </w:r>
      <w:r>
        <w:rPr>
          <w:i w:val="0"/>
          <w:iCs w:val="0"/>
          <w:color w:val="auto"/>
          <w:highlight w:val="none"/>
        </w:rPr>
        <w:fldChar w:fldCharType="end"/>
      </w:r>
    </w:p>
    <w:p w14:paraId="5560FB12">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"_Toc58860097" </w:instrText>
      </w:r>
      <w:r>
        <w:rPr>
          <w:color w:val="auto"/>
          <w:highlight w:val="none"/>
        </w:rPr>
        <w:fldChar w:fldCharType="separate"/>
      </w:r>
      <w:r>
        <w:rPr>
          <w:rStyle w:val="53"/>
          <w:rFonts w:ascii="宋体" w:hAnsi="宋体"/>
          <w:snapToGrid w:val="0"/>
          <w:color w:val="auto"/>
          <w:highlight w:val="none"/>
        </w:rPr>
        <w:t>5.  开标</w:t>
      </w:r>
      <w:r>
        <w:rPr>
          <w:color w:val="auto"/>
          <w:highlight w:val="none"/>
        </w:rPr>
        <w:tab/>
      </w:r>
      <w:r>
        <w:rPr>
          <w:color w:val="auto"/>
          <w:highlight w:val="none"/>
        </w:rPr>
        <w:fldChar w:fldCharType="begin"/>
      </w:r>
      <w:r>
        <w:rPr>
          <w:color w:val="auto"/>
          <w:highlight w:val="none"/>
        </w:rPr>
        <w:instrText xml:space="preserve"> PAGEREF _Toc58860097 \h </w:instrText>
      </w:r>
      <w:r>
        <w:rPr>
          <w:color w:val="auto"/>
          <w:highlight w:val="none"/>
        </w:rPr>
        <w:fldChar w:fldCharType="separate"/>
      </w:r>
      <w:r>
        <w:rPr>
          <w:color w:val="auto"/>
          <w:highlight w:val="none"/>
        </w:rPr>
        <w:t>52</w:t>
      </w:r>
      <w:r>
        <w:rPr>
          <w:color w:val="auto"/>
          <w:highlight w:val="none"/>
        </w:rPr>
        <w:fldChar w:fldCharType="end"/>
      </w:r>
      <w:r>
        <w:rPr>
          <w:color w:val="auto"/>
          <w:highlight w:val="none"/>
        </w:rPr>
        <w:fldChar w:fldCharType="end"/>
      </w:r>
    </w:p>
    <w:p w14:paraId="13A63E4A">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"_Toc58860098" </w:instrText>
      </w:r>
      <w:r>
        <w:rPr>
          <w:color w:val="auto"/>
          <w:highlight w:val="none"/>
        </w:rPr>
        <w:fldChar w:fldCharType="separate"/>
      </w:r>
      <w:r>
        <w:rPr>
          <w:rStyle w:val="53"/>
          <w:rFonts w:ascii="宋体" w:hAnsi="宋体"/>
          <w:i w:val="0"/>
          <w:iCs w:val="0"/>
          <w:snapToGrid w:val="0"/>
          <w:color w:val="auto"/>
          <w:highlight w:val="none"/>
        </w:rPr>
        <w:t>5.1  开标时间和地点</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_Toc58860098 \h </w:instrText>
      </w:r>
      <w:r>
        <w:rPr>
          <w:i w:val="0"/>
          <w:iCs w:val="0"/>
          <w:color w:val="auto"/>
          <w:highlight w:val="none"/>
        </w:rPr>
        <w:fldChar w:fldCharType="separate"/>
      </w:r>
      <w:r>
        <w:rPr>
          <w:i w:val="0"/>
          <w:iCs w:val="0"/>
          <w:color w:val="auto"/>
          <w:highlight w:val="none"/>
        </w:rPr>
        <w:t>52</w:t>
      </w:r>
      <w:r>
        <w:rPr>
          <w:i w:val="0"/>
          <w:iCs w:val="0"/>
          <w:color w:val="auto"/>
          <w:highlight w:val="none"/>
        </w:rPr>
        <w:fldChar w:fldCharType="end"/>
      </w:r>
      <w:r>
        <w:rPr>
          <w:i w:val="0"/>
          <w:iCs w:val="0"/>
          <w:color w:val="auto"/>
          <w:highlight w:val="none"/>
        </w:rPr>
        <w:fldChar w:fldCharType="end"/>
      </w:r>
    </w:p>
    <w:p w14:paraId="66A8BC86">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"_Toc58860099" </w:instrText>
      </w:r>
      <w:r>
        <w:rPr>
          <w:color w:val="auto"/>
          <w:highlight w:val="none"/>
        </w:rPr>
        <w:fldChar w:fldCharType="separate"/>
      </w:r>
      <w:r>
        <w:rPr>
          <w:rStyle w:val="53"/>
          <w:rFonts w:ascii="宋体" w:hAnsi="宋体"/>
          <w:i w:val="0"/>
          <w:iCs w:val="0"/>
          <w:snapToGrid w:val="0"/>
          <w:color w:val="auto"/>
          <w:highlight w:val="none"/>
        </w:rPr>
        <w:t>5.2  开标程序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_Toc58860099 \h </w:instrText>
      </w:r>
      <w:r>
        <w:rPr>
          <w:i w:val="0"/>
          <w:iCs w:val="0"/>
          <w:color w:val="auto"/>
          <w:highlight w:val="none"/>
        </w:rPr>
        <w:fldChar w:fldCharType="separate"/>
      </w:r>
      <w:r>
        <w:rPr>
          <w:i w:val="0"/>
          <w:iCs w:val="0"/>
          <w:color w:val="auto"/>
          <w:highlight w:val="none"/>
        </w:rPr>
        <w:t>53</w:t>
      </w:r>
      <w:r>
        <w:rPr>
          <w:i w:val="0"/>
          <w:iCs w:val="0"/>
          <w:color w:val="auto"/>
          <w:highlight w:val="none"/>
        </w:rPr>
        <w:fldChar w:fldCharType="end"/>
      </w:r>
      <w:r>
        <w:rPr>
          <w:i w:val="0"/>
          <w:iCs w:val="0"/>
          <w:color w:val="auto"/>
          <w:highlight w:val="none"/>
        </w:rPr>
        <w:fldChar w:fldCharType="end"/>
      </w:r>
    </w:p>
    <w:p w14:paraId="0ADEEB6F">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"_Toc58860100" </w:instrText>
      </w:r>
      <w:r>
        <w:rPr>
          <w:color w:val="auto"/>
          <w:highlight w:val="none"/>
        </w:rPr>
        <w:fldChar w:fldCharType="separate"/>
      </w:r>
      <w:r>
        <w:rPr>
          <w:rStyle w:val="53"/>
          <w:rFonts w:ascii="宋体" w:hAnsi="宋体"/>
          <w:i w:val="0"/>
          <w:iCs w:val="0"/>
          <w:snapToGrid w:val="0"/>
          <w:color w:val="auto"/>
          <w:highlight w:val="none"/>
        </w:rPr>
        <w:t>5.3  开标异议</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_Toc58860100 \h </w:instrText>
      </w:r>
      <w:r>
        <w:rPr>
          <w:i w:val="0"/>
          <w:iCs w:val="0"/>
          <w:color w:val="auto"/>
          <w:highlight w:val="none"/>
        </w:rPr>
        <w:fldChar w:fldCharType="separate"/>
      </w:r>
      <w:r>
        <w:rPr>
          <w:i w:val="0"/>
          <w:iCs w:val="0"/>
          <w:color w:val="auto"/>
          <w:highlight w:val="none"/>
        </w:rPr>
        <w:t>53</w:t>
      </w:r>
      <w:r>
        <w:rPr>
          <w:i w:val="0"/>
          <w:iCs w:val="0"/>
          <w:color w:val="auto"/>
          <w:highlight w:val="none"/>
        </w:rPr>
        <w:fldChar w:fldCharType="end"/>
      </w:r>
      <w:r>
        <w:rPr>
          <w:i w:val="0"/>
          <w:iCs w:val="0"/>
          <w:color w:val="auto"/>
          <w:highlight w:val="none"/>
        </w:rPr>
        <w:fldChar w:fldCharType="end"/>
      </w:r>
    </w:p>
    <w:p w14:paraId="4DBB8CB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"_Toc58860101" </w:instrText>
      </w:r>
      <w:r>
        <w:rPr>
          <w:color w:val="auto"/>
          <w:highlight w:val="none"/>
        </w:rPr>
        <w:fldChar w:fldCharType="separate"/>
      </w:r>
      <w:r>
        <w:rPr>
          <w:rStyle w:val="53"/>
          <w:rFonts w:ascii="宋体" w:hAnsi="宋体"/>
          <w:snapToGrid w:val="0"/>
          <w:color w:val="auto"/>
          <w:highlight w:val="none"/>
        </w:rPr>
        <w:t>6.  评标</w:t>
      </w:r>
      <w:r>
        <w:rPr>
          <w:color w:val="auto"/>
          <w:highlight w:val="none"/>
        </w:rPr>
        <w:tab/>
      </w:r>
      <w:r>
        <w:rPr>
          <w:color w:val="auto"/>
          <w:highlight w:val="none"/>
        </w:rPr>
        <w:fldChar w:fldCharType="begin"/>
      </w:r>
      <w:r>
        <w:rPr>
          <w:color w:val="auto"/>
          <w:highlight w:val="none"/>
        </w:rPr>
        <w:instrText xml:space="preserve"> PAGEREF _Toc58860101 \h </w:instrText>
      </w:r>
      <w:r>
        <w:rPr>
          <w:color w:val="auto"/>
          <w:highlight w:val="none"/>
        </w:rPr>
        <w:fldChar w:fldCharType="separate"/>
      </w:r>
      <w:r>
        <w:rPr>
          <w:color w:val="auto"/>
          <w:highlight w:val="none"/>
        </w:rPr>
        <w:t>53</w:t>
      </w:r>
      <w:r>
        <w:rPr>
          <w:color w:val="auto"/>
          <w:highlight w:val="none"/>
        </w:rPr>
        <w:fldChar w:fldCharType="end"/>
      </w:r>
      <w:r>
        <w:rPr>
          <w:color w:val="auto"/>
          <w:highlight w:val="none"/>
        </w:rPr>
        <w:fldChar w:fldCharType="end"/>
      </w:r>
    </w:p>
    <w:p w14:paraId="76177393">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"_Toc58860102" </w:instrText>
      </w:r>
      <w:r>
        <w:rPr>
          <w:color w:val="auto"/>
          <w:highlight w:val="none"/>
        </w:rPr>
        <w:fldChar w:fldCharType="separate"/>
      </w:r>
      <w:r>
        <w:rPr>
          <w:rStyle w:val="53"/>
          <w:rFonts w:ascii="宋体" w:hAnsi="宋体"/>
          <w:i w:val="0"/>
          <w:iCs w:val="0"/>
          <w:snapToGrid w:val="0"/>
          <w:color w:val="auto"/>
          <w:highlight w:val="none"/>
        </w:rPr>
        <w:t>6.1  评标委员会</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_Toc58860102 \h </w:instrText>
      </w:r>
      <w:r>
        <w:rPr>
          <w:i w:val="0"/>
          <w:iCs w:val="0"/>
          <w:color w:val="auto"/>
          <w:highlight w:val="none"/>
        </w:rPr>
        <w:fldChar w:fldCharType="separate"/>
      </w:r>
      <w:r>
        <w:rPr>
          <w:i w:val="0"/>
          <w:iCs w:val="0"/>
          <w:color w:val="auto"/>
          <w:highlight w:val="none"/>
        </w:rPr>
        <w:t>53</w:t>
      </w:r>
      <w:r>
        <w:rPr>
          <w:i w:val="0"/>
          <w:iCs w:val="0"/>
          <w:color w:val="auto"/>
          <w:highlight w:val="none"/>
        </w:rPr>
        <w:fldChar w:fldCharType="end"/>
      </w:r>
      <w:r>
        <w:rPr>
          <w:i w:val="0"/>
          <w:iCs w:val="0"/>
          <w:color w:val="auto"/>
          <w:highlight w:val="none"/>
        </w:rPr>
        <w:fldChar w:fldCharType="end"/>
      </w:r>
    </w:p>
    <w:p w14:paraId="4E92063F">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"_Toc58860103" </w:instrText>
      </w:r>
      <w:r>
        <w:rPr>
          <w:color w:val="auto"/>
          <w:highlight w:val="none"/>
        </w:rPr>
        <w:fldChar w:fldCharType="separate"/>
      </w:r>
      <w:r>
        <w:rPr>
          <w:rStyle w:val="53"/>
          <w:rFonts w:ascii="宋体" w:hAnsi="宋体"/>
          <w:i w:val="0"/>
          <w:iCs w:val="0"/>
          <w:snapToGrid w:val="0"/>
          <w:color w:val="auto"/>
          <w:highlight w:val="none"/>
        </w:rPr>
        <w:t>6.2  评标原则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_Toc58860103 \h </w:instrText>
      </w:r>
      <w:r>
        <w:rPr>
          <w:i w:val="0"/>
          <w:iCs w:val="0"/>
          <w:color w:val="auto"/>
          <w:highlight w:val="none"/>
        </w:rPr>
        <w:fldChar w:fldCharType="separate"/>
      </w:r>
      <w:r>
        <w:rPr>
          <w:i w:val="0"/>
          <w:iCs w:val="0"/>
          <w:color w:val="auto"/>
          <w:highlight w:val="none"/>
        </w:rPr>
        <w:t>53</w:t>
      </w:r>
      <w:r>
        <w:rPr>
          <w:i w:val="0"/>
          <w:iCs w:val="0"/>
          <w:color w:val="auto"/>
          <w:highlight w:val="none"/>
        </w:rPr>
        <w:fldChar w:fldCharType="end"/>
      </w:r>
      <w:r>
        <w:rPr>
          <w:i w:val="0"/>
          <w:iCs w:val="0"/>
          <w:color w:val="auto"/>
          <w:highlight w:val="none"/>
        </w:rPr>
        <w:fldChar w:fldCharType="end"/>
      </w:r>
    </w:p>
    <w:p w14:paraId="6BBAD0A4">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"_Toc58860104" </w:instrText>
      </w:r>
      <w:r>
        <w:rPr>
          <w:color w:val="auto"/>
          <w:highlight w:val="none"/>
        </w:rPr>
        <w:fldChar w:fldCharType="separate"/>
      </w:r>
      <w:r>
        <w:rPr>
          <w:rStyle w:val="53"/>
          <w:rFonts w:ascii="宋体" w:hAnsi="宋体"/>
          <w:i w:val="0"/>
          <w:iCs w:val="0"/>
          <w:snapToGrid w:val="0"/>
          <w:color w:val="auto"/>
          <w:highlight w:val="none"/>
        </w:rPr>
        <w:t>6.3  评标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_Toc58860104 \h </w:instrText>
      </w:r>
      <w:r>
        <w:rPr>
          <w:i w:val="0"/>
          <w:iCs w:val="0"/>
          <w:color w:val="auto"/>
          <w:highlight w:val="none"/>
        </w:rPr>
        <w:fldChar w:fldCharType="separate"/>
      </w:r>
      <w:r>
        <w:rPr>
          <w:i w:val="0"/>
          <w:iCs w:val="0"/>
          <w:color w:val="auto"/>
          <w:highlight w:val="none"/>
        </w:rPr>
        <w:t>53</w:t>
      </w:r>
      <w:r>
        <w:rPr>
          <w:i w:val="0"/>
          <w:iCs w:val="0"/>
          <w:color w:val="auto"/>
          <w:highlight w:val="none"/>
        </w:rPr>
        <w:fldChar w:fldCharType="end"/>
      </w:r>
      <w:r>
        <w:rPr>
          <w:i w:val="0"/>
          <w:iCs w:val="0"/>
          <w:color w:val="auto"/>
          <w:highlight w:val="none"/>
        </w:rPr>
        <w:fldChar w:fldCharType="end"/>
      </w:r>
    </w:p>
    <w:p w14:paraId="6865FA05">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"_Toc58860105" </w:instrText>
      </w:r>
      <w:r>
        <w:rPr>
          <w:color w:val="auto"/>
          <w:highlight w:val="none"/>
        </w:rPr>
        <w:fldChar w:fldCharType="separate"/>
      </w:r>
      <w:r>
        <w:rPr>
          <w:rStyle w:val="53"/>
          <w:rFonts w:ascii="宋体" w:hAnsi="宋体"/>
          <w:snapToGrid w:val="0"/>
          <w:color w:val="auto"/>
          <w:highlight w:val="none"/>
        </w:rPr>
        <w:t>7.  合同授予</w:t>
      </w:r>
      <w:r>
        <w:rPr>
          <w:color w:val="auto"/>
          <w:highlight w:val="none"/>
        </w:rPr>
        <w:tab/>
      </w:r>
      <w:r>
        <w:rPr>
          <w:color w:val="auto"/>
          <w:highlight w:val="none"/>
        </w:rPr>
        <w:fldChar w:fldCharType="begin"/>
      </w:r>
      <w:r>
        <w:rPr>
          <w:color w:val="auto"/>
          <w:highlight w:val="none"/>
        </w:rPr>
        <w:instrText xml:space="preserve"> PAGEREF _Toc58860105 \h </w:instrText>
      </w:r>
      <w:r>
        <w:rPr>
          <w:color w:val="auto"/>
          <w:highlight w:val="none"/>
        </w:rPr>
        <w:fldChar w:fldCharType="separate"/>
      </w:r>
      <w:r>
        <w:rPr>
          <w:color w:val="auto"/>
          <w:highlight w:val="none"/>
        </w:rPr>
        <w:t>53</w:t>
      </w:r>
      <w:r>
        <w:rPr>
          <w:color w:val="auto"/>
          <w:highlight w:val="none"/>
        </w:rPr>
        <w:fldChar w:fldCharType="end"/>
      </w:r>
      <w:r>
        <w:rPr>
          <w:color w:val="auto"/>
          <w:highlight w:val="none"/>
        </w:rPr>
        <w:fldChar w:fldCharType="end"/>
      </w:r>
    </w:p>
    <w:p w14:paraId="2633F6F3">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"_Toc58860106" </w:instrText>
      </w:r>
      <w:r>
        <w:rPr>
          <w:color w:val="auto"/>
          <w:highlight w:val="none"/>
        </w:rPr>
        <w:fldChar w:fldCharType="separate"/>
      </w:r>
      <w:r>
        <w:rPr>
          <w:rStyle w:val="53"/>
          <w:rFonts w:ascii="宋体" w:hAnsi="宋体"/>
          <w:i w:val="0"/>
          <w:iCs w:val="0"/>
          <w:snapToGrid w:val="0"/>
          <w:color w:val="auto"/>
          <w:highlight w:val="none"/>
        </w:rPr>
        <w:t>7.1  定标方式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_Toc58860106 \h </w:instrText>
      </w:r>
      <w:r>
        <w:rPr>
          <w:i w:val="0"/>
          <w:iCs w:val="0"/>
          <w:color w:val="auto"/>
          <w:highlight w:val="none"/>
        </w:rPr>
        <w:fldChar w:fldCharType="separate"/>
      </w:r>
      <w:r>
        <w:rPr>
          <w:i w:val="0"/>
          <w:iCs w:val="0"/>
          <w:color w:val="auto"/>
          <w:highlight w:val="none"/>
        </w:rPr>
        <w:t>53</w:t>
      </w:r>
      <w:r>
        <w:rPr>
          <w:i w:val="0"/>
          <w:iCs w:val="0"/>
          <w:color w:val="auto"/>
          <w:highlight w:val="none"/>
        </w:rPr>
        <w:fldChar w:fldCharType="end"/>
      </w:r>
      <w:r>
        <w:rPr>
          <w:i w:val="0"/>
          <w:iCs w:val="0"/>
          <w:color w:val="auto"/>
          <w:highlight w:val="none"/>
        </w:rPr>
        <w:fldChar w:fldCharType="end"/>
      </w:r>
    </w:p>
    <w:p w14:paraId="16BD6895">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"_Toc58860107" </w:instrText>
      </w:r>
      <w:r>
        <w:rPr>
          <w:color w:val="auto"/>
          <w:highlight w:val="none"/>
        </w:rPr>
        <w:fldChar w:fldCharType="separate"/>
      </w:r>
      <w:r>
        <w:rPr>
          <w:rStyle w:val="53"/>
          <w:rFonts w:ascii="宋体" w:hAnsi="宋体"/>
          <w:i w:val="0"/>
          <w:iCs w:val="0"/>
          <w:snapToGrid w:val="0"/>
          <w:color w:val="auto"/>
          <w:highlight w:val="none"/>
        </w:rPr>
        <w:t>7.2  中标候选人公示</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_Toc58860107 \h </w:instrText>
      </w:r>
      <w:r>
        <w:rPr>
          <w:i w:val="0"/>
          <w:iCs w:val="0"/>
          <w:color w:val="auto"/>
          <w:highlight w:val="none"/>
        </w:rPr>
        <w:fldChar w:fldCharType="separate"/>
      </w:r>
      <w:r>
        <w:rPr>
          <w:i w:val="0"/>
          <w:iCs w:val="0"/>
          <w:color w:val="auto"/>
          <w:highlight w:val="none"/>
        </w:rPr>
        <w:t>53</w:t>
      </w:r>
      <w:r>
        <w:rPr>
          <w:i w:val="0"/>
          <w:iCs w:val="0"/>
          <w:color w:val="auto"/>
          <w:highlight w:val="none"/>
        </w:rPr>
        <w:fldChar w:fldCharType="end"/>
      </w:r>
      <w:r>
        <w:rPr>
          <w:i w:val="0"/>
          <w:iCs w:val="0"/>
          <w:color w:val="auto"/>
          <w:highlight w:val="none"/>
        </w:rPr>
        <w:fldChar w:fldCharType="end"/>
      </w:r>
    </w:p>
    <w:p w14:paraId="06E7814C">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"_Toc58860108" </w:instrText>
      </w:r>
      <w:r>
        <w:rPr>
          <w:color w:val="auto"/>
          <w:highlight w:val="none"/>
        </w:rPr>
        <w:fldChar w:fldCharType="separate"/>
      </w:r>
      <w:r>
        <w:rPr>
          <w:rStyle w:val="53"/>
          <w:rFonts w:ascii="宋体" w:hAnsi="宋体"/>
          <w:i w:val="0"/>
          <w:iCs w:val="0"/>
          <w:snapToGrid w:val="0"/>
          <w:color w:val="auto"/>
          <w:highlight w:val="none"/>
        </w:rPr>
        <w:t>7.3  中标通知</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_Toc58860108 \h </w:instrText>
      </w:r>
      <w:r>
        <w:rPr>
          <w:i w:val="0"/>
          <w:iCs w:val="0"/>
          <w:color w:val="auto"/>
          <w:highlight w:val="none"/>
        </w:rPr>
        <w:fldChar w:fldCharType="separate"/>
      </w:r>
      <w:r>
        <w:rPr>
          <w:i w:val="0"/>
          <w:iCs w:val="0"/>
          <w:color w:val="auto"/>
          <w:highlight w:val="none"/>
        </w:rPr>
        <w:t>54</w:t>
      </w:r>
      <w:r>
        <w:rPr>
          <w:i w:val="0"/>
          <w:iCs w:val="0"/>
          <w:color w:val="auto"/>
          <w:highlight w:val="none"/>
        </w:rPr>
        <w:fldChar w:fldCharType="end"/>
      </w:r>
      <w:r>
        <w:rPr>
          <w:i w:val="0"/>
          <w:iCs w:val="0"/>
          <w:color w:val="auto"/>
          <w:highlight w:val="none"/>
        </w:rPr>
        <w:fldChar w:fldCharType="end"/>
      </w:r>
    </w:p>
    <w:p w14:paraId="3948C62F">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"_Toc58860109" </w:instrText>
      </w:r>
      <w:r>
        <w:rPr>
          <w:color w:val="auto"/>
          <w:highlight w:val="none"/>
        </w:rPr>
        <w:fldChar w:fldCharType="separate"/>
      </w:r>
      <w:r>
        <w:rPr>
          <w:rStyle w:val="53"/>
          <w:rFonts w:ascii="宋体" w:hAnsi="宋体"/>
          <w:i w:val="0"/>
          <w:iCs w:val="0"/>
          <w:snapToGrid w:val="0"/>
          <w:color w:val="auto"/>
          <w:highlight w:val="none"/>
        </w:rPr>
        <w:t>7.4  履约担保</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_Toc58860109 \h </w:instrText>
      </w:r>
      <w:r>
        <w:rPr>
          <w:i w:val="0"/>
          <w:iCs w:val="0"/>
          <w:color w:val="auto"/>
          <w:highlight w:val="none"/>
        </w:rPr>
        <w:fldChar w:fldCharType="separate"/>
      </w:r>
      <w:r>
        <w:rPr>
          <w:i w:val="0"/>
          <w:iCs w:val="0"/>
          <w:color w:val="auto"/>
          <w:highlight w:val="none"/>
        </w:rPr>
        <w:t>54</w:t>
      </w:r>
      <w:r>
        <w:rPr>
          <w:i w:val="0"/>
          <w:iCs w:val="0"/>
          <w:color w:val="auto"/>
          <w:highlight w:val="none"/>
        </w:rPr>
        <w:fldChar w:fldCharType="end"/>
      </w:r>
      <w:r>
        <w:rPr>
          <w:i w:val="0"/>
          <w:iCs w:val="0"/>
          <w:color w:val="auto"/>
          <w:highlight w:val="none"/>
        </w:rPr>
        <w:fldChar w:fldCharType="end"/>
      </w:r>
    </w:p>
    <w:p w14:paraId="43FB8840">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"_Toc58860110" </w:instrText>
      </w:r>
      <w:r>
        <w:rPr>
          <w:color w:val="auto"/>
          <w:highlight w:val="none"/>
        </w:rPr>
        <w:fldChar w:fldCharType="separate"/>
      </w:r>
      <w:r>
        <w:rPr>
          <w:rStyle w:val="53"/>
          <w:rFonts w:ascii="宋体" w:hAnsi="宋体"/>
          <w:i w:val="0"/>
          <w:iCs w:val="0"/>
          <w:snapToGrid w:val="0"/>
          <w:color w:val="auto"/>
          <w:highlight w:val="none"/>
        </w:rPr>
        <w:t>7.5  签订合同</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_Toc58860110 \h </w:instrText>
      </w:r>
      <w:r>
        <w:rPr>
          <w:i w:val="0"/>
          <w:iCs w:val="0"/>
          <w:color w:val="auto"/>
          <w:highlight w:val="none"/>
        </w:rPr>
        <w:fldChar w:fldCharType="separate"/>
      </w:r>
      <w:r>
        <w:rPr>
          <w:i w:val="0"/>
          <w:iCs w:val="0"/>
          <w:color w:val="auto"/>
          <w:highlight w:val="none"/>
        </w:rPr>
        <w:t>54</w:t>
      </w:r>
      <w:r>
        <w:rPr>
          <w:i w:val="0"/>
          <w:iCs w:val="0"/>
          <w:color w:val="auto"/>
          <w:highlight w:val="none"/>
        </w:rPr>
        <w:fldChar w:fldCharType="end"/>
      </w:r>
      <w:r>
        <w:rPr>
          <w:i w:val="0"/>
          <w:iCs w:val="0"/>
          <w:color w:val="auto"/>
          <w:highlight w:val="none"/>
        </w:rPr>
        <w:fldChar w:fldCharType="end"/>
      </w:r>
    </w:p>
    <w:p w14:paraId="569ED353">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"_Toc58860111" </w:instrText>
      </w:r>
      <w:r>
        <w:rPr>
          <w:color w:val="auto"/>
          <w:highlight w:val="none"/>
        </w:rPr>
        <w:fldChar w:fldCharType="separate"/>
      </w:r>
      <w:r>
        <w:rPr>
          <w:rStyle w:val="53"/>
          <w:rFonts w:ascii="宋体" w:hAnsi="宋体"/>
          <w:snapToGrid w:val="0"/>
          <w:color w:val="auto"/>
          <w:highlight w:val="none"/>
        </w:rPr>
        <w:t>8.  重新招标和不再招标</w:t>
      </w:r>
      <w:r>
        <w:rPr>
          <w:color w:val="auto"/>
          <w:highlight w:val="none"/>
        </w:rPr>
        <w:tab/>
      </w:r>
      <w:r>
        <w:rPr>
          <w:color w:val="auto"/>
          <w:highlight w:val="none"/>
        </w:rPr>
        <w:fldChar w:fldCharType="begin"/>
      </w:r>
      <w:r>
        <w:rPr>
          <w:color w:val="auto"/>
          <w:highlight w:val="none"/>
        </w:rPr>
        <w:instrText xml:space="preserve"> PAGEREF _Toc58860111 \h </w:instrText>
      </w:r>
      <w:r>
        <w:rPr>
          <w:color w:val="auto"/>
          <w:highlight w:val="none"/>
        </w:rPr>
        <w:fldChar w:fldCharType="separate"/>
      </w:r>
      <w:r>
        <w:rPr>
          <w:color w:val="auto"/>
          <w:highlight w:val="none"/>
        </w:rPr>
        <w:t>54</w:t>
      </w:r>
      <w:r>
        <w:rPr>
          <w:color w:val="auto"/>
          <w:highlight w:val="none"/>
        </w:rPr>
        <w:fldChar w:fldCharType="end"/>
      </w:r>
      <w:r>
        <w:rPr>
          <w:color w:val="auto"/>
          <w:highlight w:val="none"/>
        </w:rPr>
        <w:fldChar w:fldCharType="end"/>
      </w:r>
    </w:p>
    <w:p w14:paraId="2E5E3FA0">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"_Toc58860112" </w:instrText>
      </w:r>
      <w:r>
        <w:rPr>
          <w:color w:val="auto"/>
          <w:highlight w:val="none"/>
        </w:rPr>
        <w:fldChar w:fldCharType="separate"/>
      </w:r>
      <w:r>
        <w:rPr>
          <w:rStyle w:val="53"/>
          <w:rFonts w:ascii="宋体" w:hAnsi="宋体"/>
          <w:i w:val="0"/>
          <w:iCs w:val="0"/>
          <w:snapToGrid w:val="0"/>
          <w:color w:val="auto"/>
          <w:highlight w:val="none"/>
        </w:rPr>
        <w:t>8.1  重新招标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_Toc58860112 \h </w:instrText>
      </w:r>
      <w:r>
        <w:rPr>
          <w:i w:val="0"/>
          <w:iCs w:val="0"/>
          <w:color w:val="auto"/>
          <w:highlight w:val="none"/>
        </w:rPr>
        <w:fldChar w:fldCharType="separate"/>
      </w:r>
      <w:r>
        <w:rPr>
          <w:i w:val="0"/>
          <w:iCs w:val="0"/>
          <w:color w:val="auto"/>
          <w:highlight w:val="none"/>
        </w:rPr>
        <w:t>54</w:t>
      </w:r>
      <w:r>
        <w:rPr>
          <w:i w:val="0"/>
          <w:iCs w:val="0"/>
          <w:color w:val="auto"/>
          <w:highlight w:val="none"/>
        </w:rPr>
        <w:fldChar w:fldCharType="end"/>
      </w:r>
      <w:r>
        <w:rPr>
          <w:i w:val="0"/>
          <w:iCs w:val="0"/>
          <w:color w:val="auto"/>
          <w:highlight w:val="none"/>
        </w:rPr>
        <w:fldChar w:fldCharType="end"/>
      </w:r>
    </w:p>
    <w:p w14:paraId="2C689A96">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"_Toc58860113" </w:instrText>
      </w:r>
      <w:r>
        <w:rPr>
          <w:color w:val="auto"/>
          <w:highlight w:val="none"/>
        </w:rPr>
        <w:fldChar w:fldCharType="separate"/>
      </w:r>
      <w:r>
        <w:rPr>
          <w:rStyle w:val="53"/>
          <w:rFonts w:ascii="宋体" w:hAnsi="宋体"/>
          <w:i w:val="0"/>
          <w:iCs w:val="0"/>
          <w:snapToGrid w:val="0"/>
          <w:color w:val="auto"/>
          <w:highlight w:val="none"/>
        </w:rPr>
        <w:t>8.2  二次招标和不再招标</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_Toc58860113 \h </w:instrText>
      </w:r>
      <w:r>
        <w:rPr>
          <w:i w:val="0"/>
          <w:iCs w:val="0"/>
          <w:color w:val="auto"/>
          <w:highlight w:val="none"/>
        </w:rPr>
        <w:fldChar w:fldCharType="separate"/>
      </w:r>
      <w:r>
        <w:rPr>
          <w:i w:val="0"/>
          <w:iCs w:val="0"/>
          <w:color w:val="auto"/>
          <w:highlight w:val="none"/>
        </w:rPr>
        <w:t>54</w:t>
      </w:r>
      <w:r>
        <w:rPr>
          <w:i w:val="0"/>
          <w:iCs w:val="0"/>
          <w:color w:val="auto"/>
          <w:highlight w:val="none"/>
        </w:rPr>
        <w:fldChar w:fldCharType="end"/>
      </w:r>
      <w:r>
        <w:rPr>
          <w:i w:val="0"/>
          <w:iCs w:val="0"/>
          <w:color w:val="auto"/>
          <w:highlight w:val="none"/>
        </w:rPr>
        <w:fldChar w:fldCharType="end"/>
      </w:r>
    </w:p>
    <w:p w14:paraId="6965254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"_Toc58860114" </w:instrText>
      </w:r>
      <w:r>
        <w:rPr>
          <w:color w:val="auto"/>
          <w:highlight w:val="none"/>
        </w:rPr>
        <w:fldChar w:fldCharType="separate"/>
      </w:r>
      <w:r>
        <w:rPr>
          <w:rStyle w:val="53"/>
          <w:rFonts w:ascii="宋体" w:hAnsi="宋体"/>
          <w:snapToGrid w:val="0"/>
          <w:color w:val="auto"/>
          <w:highlight w:val="none"/>
        </w:rPr>
        <w:t>9.  纪律和监督</w:t>
      </w:r>
      <w:r>
        <w:rPr>
          <w:color w:val="auto"/>
          <w:highlight w:val="none"/>
        </w:rPr>
        <w:tab/>
      </w:r>
      <w:r>
        <w:rPr>
          <w:color w:val="auto"/>
          <w:highlight w:val="none"/>
        </w:rPr>
        <w:fldChar w:fldCharType="begin"/>
      </w:r>
      <w:r>
        <w:rPr>
          <w:color w:val="auto"/>
          <w:highlight w:val="none"/>
        </w:rPr>
        <w:instrText xml:space="preserve"> PAGEREF _Toc58860114 \h </w:instrText>
      </w:r>
      <w:r>
        <w:rPr>
          <w:color w:val="auto"/>
          <w:highlight w:val="none"/>
        </w:rPr>
        <w:fldChar w:fldCharType="separate"/>
      </w:r>
      <w:r>
        <w:rPr>
          <w:color w:val="auto"/>
          <w:highlight w:val="none"/>
        </w:rPr>
        <w:t>55</w:t>
      </w:r>
      <w:r>
        <w:rPr>
          <w:color w:val="auto"/>
          <w:highlight w:val="none"/>
        </w:rPr>
        <w:fldChar w:fldCharType="end"/>
      </w:r>
      <w:r>
        <w:rPr>
          <w:color w:val="auto"/>
          <w:highlight w:val="none"/>
        </w:rPr>
        <w:fldChar w:fldCharType="end"/>
      </w:r>
    </w:p>
    <w:p w14:paraId="7FEA48FD">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"_Toc58860115" </w:instrText>
      </w:r>
      <w:r>
        <w:rPr>
          <w:color w:val="auto"/>
          <w:highlight w:val="none"/>
        </w:rPr>
        <w:fldChar w:fldCharType="separate"/>
      </w:r>
      <w:r>
        <w:rPr>
          <w:rStyle w:val="53"/>
          <w:rFonts w:ascii="宋体" w:hAnsi="宋体"/>
          <w:i w:val="0"/>
          <w:iCs w:val="0"/>
          <w:snapToGrid w:val="0"/>
          <w:color w:val="auto"/>
          <w:highlight w:val="none"/>
        </w:rPr>
        <w:t>9.1  对招标人的纪律要求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_Toc58860115 \h </w:instrText>
      </w:r>
      <w:r>
        <w:rPr>
          <w:i w:val="0"/>
          <w:iCs w:val="0"/>
          <w:color w:val="auto"/>
          <w:highlight w:val="none"/>
        </w:rPr>
        <w:fldChar w:fldCharType="separate"/>
      </w:r>
      <w:r>
        <w:rPr>
          <w:i w:val="0"/>
          <w:iCs w:val="0"/>
          <w:color w:val="auto"/>
          <w:highlight w:val="none"/>
        </w:rPr>
        <w:t>55</w:t>
      </w:r>
      <w:r>
        <w:rPr>
          <w:i w:val="0"/>
          <w:iCs w:val="0"/>
          <w:color w:val="auto"/>
          <w:highlight w:val="none"/>
        </w:rPr>
        <w:fldChar w:fldCharType="end"/>
      </w:r>
      <w:r>
        <w:rPr>
          <w:i w:val="0"/>
          <w:iCs w:val="0"/>
          <w:color w:val="auto"/>
          <w:highlight w:val="none"/>
        </w:rPr>
        <w:fldChar w:fldCharType="end"/>
      </w:r>
    </w:p>
    <w:p w14:paraId="31EE7BC4">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"_Toc58860116" </w:instrText>
      </w:r>
      <w:r>
        <w:rPr>
          <w:color w:val="auto"/>
          <w:highlight w:val="none"/>
        </w:rPr>
        <w:fldChar w:fldCharType="separate"/>
      </w:r>
      <w:r>
        <w:rPr>
          <w:rStyle w:val="53"/>
          <w:rFonts w:ascii="宋体" w:hAnsi="宋体"/>
          <w:i w:val="0"/>
          <w:iCs w:val="0"/>
          <w:snapToGrid w:val="0"/>
          <w:color w:val="auto"/>
          <w:highlight w:val="none"/>
        </w:rPr>
        <w:t>9.2  对投标人的纪律要求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_Toc58860116 \h </w:instrText>
      </w:r>
      <w:r>
        <w:rPr>
          <w:i w:val="0"/>
          <w:iCs w:val="0"/>
          <w:color w:val="auto"/>
          <w:highlight w:val="none"/>
        </w:rPr>
        <w:fldChar w:fldCharType="separate"/>
      </w:r>
      <w:r>
        <w:rPr>
          <w:i w:val="0"/>
          <w:iCs w:val="0"/>
          <w:color w:val="auto"/>
          <w:highlight w:val="none"/>
        </w:rPr>
        <w:t>55</w:t>
      </w:r>
      <w:r>
        <w:rPr>
          <w:i w:val="0"/>
          <w:iCs w:val="0"/>
          <w:color w:val="auto"/>
          <w:highlight w:val="none"/>
        </w:rPr>
        <w:fldChar w:fldCharType="end"/>
      </w:r>
      <w:r>
        <w:rPr>
          <w:i w:val="0"/>
          <w:iCs w:val="0"/>
          <w:color w:val="auto"/>
          <w:highlight w:val="none"/>
        </w:rPr>
        <w:fldChar w:fldCharType="end"/>
      </w:r>
    </w:p>
    <w:p w14:paraId="5C114439">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"_Toc58860117" </w:instrText>
      </w:r>
      <w:r>
        <w:rPr>
          <w:color w:val="auto"/>
          <w:highlight w:val="none"/>
        </w:rPr>
        <w:fldChar w:fldCharType="separate"/>
      </w:r>
      <w:r>
        <w:rPr>
          <w:rStyle w:val="53"/>
          <w:rFonts w:ascii="宋体" w:hAnsi="宋体"/>
          <w:i w:val="0"/>
          <w:iCs w:val="0"/>
          <w:snapToGrid w:val="0"/>
          <w:color w:val="auto"/>
          <w:highlight w:val="none"/>
        </w:rPr>
        <w:t>9.3  对评标委员会成员的纪律要求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_Toc58860117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i w:val="0"/>
          <w:iCs w:val="0"/>
          <w:color w:val="auto"/>
          <w:highlight w:val="none"/>
        </w:rPr>
        <w:fldChar w:fldCharType="end"/>
      </w:r>
    </w:p>
    <w:p w14:paraId="4BA58461">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"_Toc58860118" </w:instrText>
      </w:r>
      <w:r>
        <w:rPr>
          <w:color w:val="auto"/>
          <w:highlight w:val="none"/>
        </w:rPr>
        <w:fldChar w:fldCharType="separate"/>
      </w:r>
      <w:r>
        <w:rPr>
          <w:rStyle w:val="53"/>
          <w:rFonts w:ascii="宋体" w:hAnsi="宋体"/>
          <w:i w:val="0"/>
          <w:iCs w:val="0"/>
          <w:snapToGrid w:val="0"/>
          <w:color w:val="auto"/>
          <w:highlight w:val="none"/>
        </w:rPr>
        <w:t>9.4  对与评标活动有关的工作人员的纪律要求</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_Toc58860118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i w:val="0"/>
          <w:iCs w:val="0"/>
          <w:color w:val="auto"/>
          <w:highlight w:val="none"/>
        </w:rPr>
        <w:fldChar w:fldCharType="end"/>
      </w:r>
    </w:p>
    <w:p w14:paraId="19430954">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"_Toc58860119" </w:instrText>
      </w:r>
      <w:r>
        <w:rPr>
          <w:color w:val="auto"/>
          <w:highlight w:val="none"/>
        </w:rPr>
        <w:fldChar w:fldCharType="separate"/>
      </w:r>
      <w:r>
        <w:rPr>
          <w:rStyle w:val="53"/>
          <w:rFonts w:ascii="宋体" w:hAnsi="宋体"/>
          <w:i w:val="0"/>
          <w:iCs w:val="0"/>
          <w:snapToGrid w:val="0"/>
          <w:color w:val="auto"/>
          <w:highlight w:val="none"/>
        </w:rPr>
        <w:t>9.5  投诉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_Toc58860119 \h </w:instrText>
      </w:r>
      <w:r>
        <w:rPr>
          <w:i w:val="0"/>
          <w:iCs w:val="0"/>
          <w:color w:val="auto"/>
          <w:highlight w:val="none"/>
        </w:rPr>
        <w:fldChar w:fldCharType="separate"/>
      </w:r>
      <w:r>
        <w:rPr>
          <w:i w:val="0"/>
          <w:iCs w:val="0"/>
          <w:color w:val="auto"/>
          <w:highlight w:val="none"/>
        </w:rPr>
        <w:t>56</w:t>
      </w:r>
      <w:r>
        <w:rPr>
          <w:i w:val="0"/>
          <w:iCs w:val="0"/>
          <w:color w:val="auto"/>
          <w:highlight w:val="none"/>
        </w:rPr>
        <w:fldChar w:fldCharType="end"/>
      </w:r>
      <w:r>
        <w:rPr>
          <w:i w:val="0"/>
          <w:iCs w:val="0"/>
          <w:color w:val="auto"/>
          <w:highlight w:val="none"/>
        </w:rPr>
        <w:fldChar w:fldCharType="end"/>
      </w:r>
    </w:p>
    <w:p w14:paraId="45BCF61B">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"_Toc58860120" </w:instrText>
      </w:r>
      <w:r>
        <w:rPr>
          <w:color w:val="auto"/>
          <w:highlight w:val="none"/>
        </w:rPr>
        <w:fldChar w:fldCharType="separate"/>
      </w:r>
      <w:r>
        <w:rPr>
          <w:rStyle w:val="53"/>
          <w:rFonts w:ascii="宋体" w:hAnsi="宋体"/>
          <w:snapToGrid w:val="0"/>
          <w:color w:val="auto"/>
          <w:highlight w:val="none"/>
        </w:rPr>
        <w:t>10. 需要补充的其他内容</w:t>
      </w:r>
      <w:r>
        <w:rPr>
          <w:color w:val="auto"/>
          <w:highlight w:val="none"/>
        </w:rPr>
        <w:tab/>
      </w:r>
      <w:r>
        <w:rPr>
          <w:color w:val="auto"/>
          <w:highlight w:val="none"/>
        </w:rPr>
        <w:fldChar w:fldCharType="begin"/>
      </w:r>
      <w:r>
        <w:rPr>
          <w:color w:val="auto"/>
          <w:highlight w:val="none"/>
        </w:rPr>
        <w:instrText xml:space="preserve"> PAGEREF _Toc58860120 \h </w:instrText>
      </w:r>
      <w:r>
        <w:rPr>
          <w:color w:val="auto"/>
          <w:highlight w:val="none"/>
        </w:rPr>
        <w:fldChar w:fldCharType="separate"/>
      </w:r>
      <w:r>
        <w:rPr>
          <w:color w:val="auto"/>
          <w:highlight w:val="none"/>
        </w:rPr>
        <w:t>56</w:t>
      </w:r>
      <w:r>
        <w:rPr>
          <w:color w:val="auto"/>
          <w:highlight w:val="none"/>
        </w:rPr>
        <w:fldChar w:fldCharType="end"/>
      </w:r>
      <w:r>
        <w:rPr>
          <w:color w:val="auto"/>
          <w:highlight w:val="none"/>
        </w:rPr>
        <w:fldChar w:fldCharType="end"/>
      </w:r>
    </w:p>
    <w:p w14:paraId="1D1E8814">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"_Toc58860121" </w:instrText>
      </w:r>
      <w:r>
        <w:rPr>
          <w:color w:val="auto"/>
          <w:highlight w:val="none"/>
        </w:rPr>
        <w:fldChar w:fldCharType="separate"/>
      </w:r>
      <w:r>
        <w:rPr>
          <w:rStyle w:val="53"/>
          <w:rFonts w:ascii="宋体" w:hAnsi="宋体"/>
          <w:snapToGrid w:val="0"/>
          <w:color w:val="auto"/>
          <w:kern w:val="0"/>
          <w:highlight w:val="none"/>
        </w:rPr>
        <w:t>第三章  评标办法（经评审的最低投标价法）</w:t>
      </w:r>
      <w:r>
        <w:rPr>
          <w:color w:val="auto"/>
          <w:highlight w:val="none"/>
        </w:rPr>
        <w:tab/>
      </w:r>
      <w:r>
        <w:rPr>
          <w:color w:val="auto"/>
          <w:highlight w:val="none"/>
        </w:rPr>
        <w:fldChar w:fldCharType="begin"/>
      </w:r>
      <w:r>
        <w:rPr>
          <w:color w:val="auto"/>
          <w:highlight w:val="none"/>
        </w:rPr>
        <w:instrText xml:space="preserve"> PAGEREF _Toc58860121 \h </w:instrText>
      </w:r>
      <w:r>
        <w:rPr>
          <w:color w:val="auto"/>
          <w:highlight w:val="none"/>
        </w:rPr>
        <w:fldChar w:fldCharType="separate"/>
      </w:r>
      <w:r>
        <w:rPr>
          <w:color w:val="auto"/>
          <w:highlight w:val="none"/>
        </w:rPr>
        <w:t>62</w:t>
      </w:r>
      <w:r>
        <w:rPr>
          <w:color w:val="auto"/>
          <w:highlight w:val="none"/>
        </w:rPr>
        <w:fldChar w:fldCharType="end"/>
      </w:r>
      <w:r>
        <w:rPr>
          <w:color w:val="auto"/>
          <w:highlight w:val="none"/>
        </w:rPr>
        <w:fldChar w:fldCharType="end"/>
      </w:r>
    </w:p>
    <w:p w14:paraId="68E3C351">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"_Toc58860122" </w:instrText>
      </w:r>
      <w:r>
        <w:rPr>
          <w:color w:val="auto"/>
          <w:highlight w:val="none"/>
        </w:rPr>
        <w:fldChar w:fldCharType="separate"/>
      </w:r>
      <w:r>
        <w:rPr>
          <w:rStyle w:val="53"/>
          <w:rFonts w:ascii="宋体" w:hAnsi="宋体"/>
          <w:b/>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_Toc58860122 \h </w:instrText>
      </w:r>
      <w:r>
        <w:rPr>
          <w:color w:val="auto"/>
          <w:highlight w:val="none"/>
        </w:rPr>
        <w:fldChar w:fldCharType="separate"/>
      </w:r>
      <w:r>
        <w:rPr>
          <w:color w:val="auto"/>
          <w:highlight w:val="none"/>
        </w:rPr>
        <w:t>62</w:t>
      </w:r>
      <w:r>
        <w:rPr>
          <w:color w:val="auto"/>
          <w:highlight w:val="none"/>
        </w:rPr>
        <w:fldChar w:fldCharType="end"/>
      </w:r>
      <w:r>
        <w:rPr>
          <w:color w:val="auto"/>
          <w:highlight w:val="none"/>
        </w:rPr>
        <w:fldChar w:fldCharType="end"/>
      </w:r>
    </w:p>
    <w:p w14:paraId="3677DAFD">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"_Toc58860123" </w:instrText>
      </w:r>
      <w:r>
        <w:rPr>
          <w:color w:val="auto"/>
          <w:highlight w:val="none"/>
        </w:rPr>
        <w:fldChar w:fldCharType="separate"/>
      </w:r>
      <w:r>
        <w:rPr>
          <w:rStyle w:val="53"/>
          <w:rFonts w:ascii="宋体" w:hAnsi="宋体"/>
          <w:snapToGrid w:val="0"/>
          <w:color w:val="auto"/>
          <w:highlight w:val="none"/>
        </w:rPr>
        <w:t>1.  评标方法</w:t>
      </w:r>
      <w:r>
        <w:rPr>
          <w:color w:val="auto"/>
          <w:highlight w:val="none"/>
        </w:rPr>
        <w:tab/>
      </w:r>
      <w:r>
        <w:rPr>
          <w:color w:val="auto"/>
          <w:highlight w:val="none"/>
        </w:rPr>
        <w:fldChar w:fldCharType="begin"/>
      </w:r>
      <w:r>
        <w:rPr>
          <w:color w:val="auto"/>
          <w:highlight w:val="none"/>
        </w:rPr>
        <w:instrText xml:space="preserve"> PAGEREF _Toc58860123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536C2155">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"_Toc58860124" </w:instrText>
      </w:r>
      <w:r>
        <w:rPr>
          <w:color w:val="auto"/>
          <w:highlight w:val="none"/>
        </w:rPr>
        <w:fldChar w:fldCharType="separate"/>
      </w:r>
      <w:r>
        <w:rPr>
          <w:rStyle w:val="53"/>
          <w:rFonts w:ascii="宋体" w:hAnsi="宋体"/>
          <w:snapToGrid w:val="0"/>
          <w:color w:val="auto"/>
          <w:highlight w:val="none"/>
        </w:rPr>
        <w:t>2.  评审标准</w:t>
      </w:r>
      <w:r>
        <w:rPr>
          <w:color w:val="auto"/>
          <w:highlight w:val="none"/>
        </w:rPr>
        <w:tab/>
      </w:r>
      <w:r>
        <w:rPr>
          <w:color w:val="auto"/>
          <w:highlight w:val="none"/>
        </w:rPr>
        <w:fldChar w:fldCharType="begin"/>
      </w:r>
      <w:r>
        <w:rPr>
          <w:color w:val="auto"/>
          <w:highlight w:val="none"/>
        </w:rPr>
        <w:instrText xml:space="preserve"> PAGEREF _Toc58860124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1B299264">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"_Toc58860125" </w:instrText>
      </w:r>
      <w:r>
        <w:rPr>
          <w:color w:val="auto"/>
          <w:highlight w:val="none"/>
        </w:rPr>
        <w:fldChar w:fldCharType="separate"/>
      </w:r>
      <w:r>
        <w:rPr>
          <w:rStyle w:val="53"/>
          <w:rFonts w:ascii="宋体" w:hAnsi="宋体" w:cs="宋体"/>
          <w:i w:val="0"/>
          <w:iCs w:val="0"/>
          <w:color w:val="auto"/>
          <w:highlight w:val="none"/>
        </w:rPr>
        <w:t>2.1报价排序标准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_Toc58860125 \h </w:instrText>
      </w:r>
      <w:r>
        <w:rPr>
          <w:i w:val="0"/>
          <w:iCs w:val="0"/>
          <w:color w:val="auto"/>
          <w:highlight w:val="none"/>
        </w:rPr>
        <w:fldChar w:fldCharType="separate"/>
      </w:r>
      <w:r>
        <w:rPr>
          <w:i w:val="0"/>
          <w:iCs w:val="0"/>
          <w:color w:val="auto"/>
          <w:highlight w:val="none"/>
        </w:rPr>
        <w:t>67</w:t>
      </w:r>
      <w:r>
        <w:rPr>
          <w:i w:val="0"/>
          <w:iCs w:val="0"/>
          <w:color w:val="auto"/>
          <w:highlight w:val="none"/>
        </w:rPr>
        <w:fldChar w:fldCharType="end"/>
      </w:r>
      <w:r>
        <w:rPr>
          <w:i w:val="0"/>
          <w:iCs w:val="0"/>
          <w:color w:val="auto"/>
          <w:highlight w:val="none"/>
        </w:rPr>
        <w:fldChar w:fldCharType="end"/>
      </w:r>
    </w:p>
    <w:p w14:paraId="4DE8E584">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"_Toc58860126" </w:instrText>
      </w:r>
      <w:r>
        <w:rPr>
          <w:color w:val="auto"/>
          <w:highlight w:val="none"/>
        </w:rPr>
        <w:fldChar w:fldCharType="separate"/>
      </w:r>
      <w:r>
        <w:rPr>
          <w:rStyle w:val="53"/>
          <w:rFonts w:ascii="宋体" w:hAnsi="宋体" w:cs="宋体"/>
          <w:i w:val="0"/>
          <w:iCs w:val="0"/>
          <w:color w:val="auto"/>
          <w:highlight w:val="none"/>
        </w:rPr>
        <w:t>2.2符合性审查标准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_Toc58860126 \h </w:instrText>
      </w:r>
      <w:r>
        <w:rPr>
          <w:i w:val="0"/>
          <w:iCs w:val="0"/>
          <w:color w:val="auto"/>
          <w:highlight w:val="none"/>
        </w:rPr>
        <w:fldChar w:fldCharType="separate"/>
      </w:r>
      <w:r>
        <w:rPr>
          <w:i w:val="0"/>
          <w:iCs w:val="0"/>
          <w:color w:val="auto"/>
          <w:highlight w:val="none"/>
        </w:rPr>
        <w:t>67</w:t>
      </w:r>
      <w:r>
        <w:rPr>
          <w:i w:val="0"/>
          <w:iCs w:val="0"/>
          <w:color w:val="auto"/>
          <w:highlight w:val="none"/>
        </w:rPr>
        <w:fldChar w:fldCharType="end"/>
      </w:r>
      <w:r>
        <w:rPr>
          <w:i w:val="0"/>
          <w:iCs w:val="0"/>
          <w:color w:val="auto"/>
          <w:highlight w:val="none"/>
        </w:rPr>
        <w:fldChar w:fldCharType="end"/>
      </w:r>
    </w:p>
    <w:p w14:paraId="0BF0CF2A">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"_Toc58860127" </w:instrText>
      </w:r>
      <w:r>
        <w:rPr>
          <w:color w:val="auto"/>
          <w:highlight w:val="none"/>
        </w:rPr>
        <w:fldChar w:fldCharType="separate"/>
      </w:r>
      <w:r>
        <w:rPr>
          <w:rStyle w:val="53"/>
          <w:rFonts w:ascii="宋体" w:hAnsi="宋体"/>
          <w:snapToGrid w:val="0"/>
          <w:color w:val="auto"/>
          <w:highlight w:val="none"/>
        </w:rPr>
        <w:t>3.  评标程序</w:t>
      </w:r>
      <w:r>
        <w:rPr>
          <w:color w:val="auto"/>
          <w:highlight w:val="none"/>
        </w:rPr>
        <w:tab/>
      </w:r>
      <w:r>
        <w:rPr>
          <w:color w:val="auto"/>
          <w:highlight w:val="none"/>
        </w:rPr>
        <w:fldChar w:fldCharType="begin"/>
      </w:r>
      <w:r>
        <w:rPr>
          <w:color w:val="auto"/>
          <w:highlight w:val="none"/>
        </w:rPr>
        <w:instrText xml:space="preserve"> PAGEREF _Toc58860127 \h </w:instrText>
      </w:r>
      <w:r>
        <w:rPr>
          <w:color w:val="auto"/>
          <w:highlight w:val="none"/>
        </w:rPr>
        <w:fldChar w:fldCharType="separate"/>
      </w:r>
      <w:r>
        <w:rPr>
          <w:color w:val="auto"/>
          <w:highlight w:val="none"/>
        </w:rPr>
        <w:t>67</w:t>
      </w:r>
      <w:r>
        <w:rPr>
          <w:color w:val="auto"/>
          <w:highlight w:val="none"/>
        </w:rPr>
        <w:fldChar w:fldCharType="end"/>
      </w:r>
      <w:r>
        <w:rPr>
          <w:color w:val="auto"/>
          <w:highlight w:val="none"/>
        </w:rPr>
        <w:fldChar w:fldCharType="end"/>
      </w:r>
    </w:p>
    <w:p w14:paraId="5504D52E">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"_Toc58860128" </w:instrText>
      </w:r>
      <w:r>
        <w:rPr>
          <w:color w:val="auto"/>
          <w:highlight w:val="none"/>
        </w:rPr>
        <w:fldChar w:fldCharType="separate"/>
      </w:r>
      <w:r>
        <w:rPr>
          <w:rStyle w:val="53"/>
          <w:rFonts w:ascii="宋体" w:hAnsi="宋体" w:cs="宋体"/>
          <w:i w:val="0"/>
          <w:iCs w:val="0"/>
          <w:color w:val="auto"/>
          <w:highlight w:val="none"/>
        </w:rPr>
        <w:t>3.1报价排序</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_Toc58860128 \h </w:instrText>
      </w:r>
      <w:r>
        <w:rPr>
          <w:i w:val="0"/>
          <w:iCs w:val="0"/>
          <w:color w:val="auto"/>
          <w:highlight w:val="none"/>
        </w:rPr>
        <w:fldChar w:fldCharType="separate"/>
      </w:r>
      <w:r>
        <w:rPr>
          <w:i w:val="0"/>
          <w:iCs w:val="0"/>
          <w:color w:val="auto"/>
          <w:highlight w:val="none"/>
        </w:rPr>
        <w:t>67</w:t>
      </w:r>
      <w:r>
        <w:rPr>
          <w:i w:val="0"/>
          <w:iCs w:val="0"/>
          <w:color w:val="auto"/>
          <w:highlight w:val="none"/>
        </w:rPr>
        <w:fldChar w:fldCharType="end"/>
      </w:r>
      <w:r>
        <w:rPr>
          <w:i w:val="0"/>
          <w:iCs w:val="0"/>
          <w:color w:val="auto"/>
          <w:highlight w:val="none"/>
        </w:rPr>
        <w:fldChar w:fldCharType="end"/>
      </w:r>
    </w:p>
    <w:p w14:paraId="47678599">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"_Toc58860129" </w:instrText>
      </w:r>
      <w:r>
        <w:rPr>
          <w:color w:val="auto"/>
          <w:highlight w:val="none"/>
        </w:rPr>
        <w:fldChar w:fldCharType="separate"/>
      </w:r>
      <w:r>
        <w:rPr>
          <w:rStyle w:val="53"/>
          <w:rFonts w:ascii="宋体" w:hAnsi="宋体" w:cs="宋体"/>
          <w:i w:val="0"/>
          <w:iCs w:val="0"/>
          <w:color w:val="auto"/>
          <w:highlight w:val="none"/>
        </w:rPr>
        <w:t>3.2符合性审查</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_Toc58860129 \h </w:instrText>
      </w:r>
      <w:r>
        <w:rPr>
          <w:i w:val="0"/>
          <w:iCs w:val="0"/>
          <w:color w:val="auto"/>
          <w:highlight w:val="none"/>
        </w:rPr>
        <w:fldChar w:fldCharType="separate"/>
      </w:r>
      <w:r>
        <w:rPr>
          <w:i w:val="0"/>
          <w:iCs w:val="0"/>
          <w:color w:val="auto"/>
          <w:highlight w:val="none"/>
        </w:rPr>
        <w:t>67</w:t>
      </w:r>
      <w:r>
        <w:rPr>
          <w:i w:val="0"/>
          <w:iCs w:val="0"/>
          <w:color w:val="auto"/>
          <w:highlight w:val="none"/>
        </w:rPr>
        <w:fldChar w:fldCharType="end"/>
      </w:r>
      <w:r>
        <w:rPr>
          <w:i w:val="0"/>
          <w:iCs w:val="0"/>
          <w:color w:val="auto"/>
          <w:highlight w:val="none"/>
        </w:rPr>
        <w:fldChar w:fldCharType="end"/>
      </w:r>
    </w:p>
    <w:p w14:paraId="174660D9">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"_Toc58860130" </w:instrText>
      </w:r>
      <w:r>
        <w:rPr>
          <w:color w:val="auto"/>
          <w:highlight w:val="none"/>
        </w:rPr>
        <w:fldChar w:fldCharType="separate"/>
      </w:r>
      <w:r>
        <w:rPr>
          <w:rStyle w:val="53"/>
          <w:rFonts w:ascii="宋体" w:hAnsi="宋体" w:cs="宋体"/>
          <w:i w:val="0"/>
          <w:iCs w:val="0"/>
          <w:color w:val="auto"/>
          <w:highlight w:val="none"/>
        </w:rPr>
        <w:t>3.3 投标文件的澄清和补正</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_Toc58860130 \h </w:instrText>
      </w:r>
      <w:r>
        <w:rPr>
          <w:i w:val="0"/>
          <w:iCs w:val="0"/>
          <w:color w:val="auto"/>
          <w:highlight w:val="none"/>
        </w:rPr>
        <w:fldChar w:fldCharType="separate"/>
      </w:r>
      <w:r>
        <w:rPr>
          <w:i w:val="0"/>
          <w:iCs w:val="0"/>
          <w:color w:val="auto"/>
          <w:highlight w:val="none"/>
        </w:rPr>
        <w:t>68</w:t>
      </w:r>
      <w:r>
        <w:rPr>
          <w:i w:val="0"/>
          <w:iCs w:val="0"/>
          <w:color w:val="auto"/>
          <w:highlight w:val="none"/>
        </w:rPr>
        <w:fldChar w:fldCharType="end"/>
      </w:r>
      <w:r>
        <w:rPr>
          <w:i w:val="0"/>
          <w:iCs w:val="0"/>
          <w:color w:val="auto"/>
          <w:highlight w:val="none"/>
        </w:rPr>
        <w:fldChar w:fldCharType="end"/>
      </w:r>
    </w:p>
    <w:p w14:paraId="2C8E0318">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"_Toc58860131" </w:instrText>
      </w:r>
      <w:r>
        <w:rPr>
          <w:color w:val="auto"/>
          <w:highlight w:val="none"/>
        </w:rPr>
        <w:fldChar w:fldCharType="separate"/>
      </w:r>
      <w:r>
        <w:rPr>
          <w:rStyle w:val="53"/>
          <w:rFonts w:ascii="宋体" w:hAnsi="宋体" w:cs="宋体"/>
          <w:i w:val="0"/>
          <w:iCs w:val="0"/>
          <w:color w:val="auto"/>
          <w:highlight w:val="none"/>
        </w:rPr>
        <w:t>3.4 评标结果</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_Toc58860131 \h </w:instrText>
      </w:r>
      <w:r>
        <w:rPr>
          <w:i w:val="0"/>
          <w:iCs w:val="0"/>
          <w:color w:val="auto"/>
          <w:highlight w:val="none"/>
        </w:rPr>
        <w:fldChar w:fldCharType="separate"/>
      </w:r>
      <w:r>
        <w:rPr>
          <w:i w:val="0"/>
          <w:iCs w:val="0"/>
          <w:color w:val="auto"/>
          <w:highlight w:val="none"/>
        </w:rPr>
        <w:t>68</w:t>
      </w:r>
      <w:r>
        <w:rPr>
          <w:i w:val="0"/>
          <w:iCs w:val="0"/>
          <w:color w:val="auto"/>
          <w:highlight w:val="none"/>
        </w:rPr>
        <w:fldChar w:fldCharType="end"/>
      </w:r>
      <w:r>
        <w:rPr>
          <w:i w:val="0"/>
          <w:iCs w:val="0"/>
          <w:color w:val="auto"/>
          <w:highlight w:val="none"/>
        </w:rPr>
        <w:fldChar w:fldCharType="end"/>
      </w:r>
    </w:p>
    <w:p w14:paraId="5EC0320E">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"_Toc58860132" </w:instrText>
      </w:r>
      <w:r>
        <w:rPr>
          <w:color w:val="auto"/>
          <w:highlight w:val="none"/>
        </w:rPr>
        <w:fldChar w:fldCharType="separate"/>
      </w:r>
      <w:r>
        <w:rPr>
          <w:rStyle w:val="53"/>
          <w:rFonts w:ascii="宋体" w:hAnsi="宋体"/>
          <w:color w:val="auto"/>
          <w:highlight w:val="none"/>
        </w:rPr>
        <w:t>第三章  评标办法（综合评估法）</w:t>
      </w:r>
      <w:r>
        <w:rPr>
          <w:color w:val="auto"/>
          <w:highlight w:val="none"/>
        </w:rPr>
        <w:tab/>
      </w:r>
      <w:r>
        <w:rPr>
          <w:color w:val="auto"/>
          <w:highlight w:val="none"/>
        </w:rPr>
        <w:fldChar w:fldCharType="begin"/>
      </w:r>
      <w:r>
        <w:rPr>
          <w:color w:val="auto"/>
          <w:highlight w:val="none"/>
        </w:rPr>
        <w:instrText xml:space="preserve"> PAGEREF _Toc58860132 \h </w:instrText>
      </w:r>
      <w:r>
        <w:rPr>
          <w:color w:val="auto"/>
          <w:highlight w:val="none"/>
        </w:rPr>
        <w:fldChar w:fldCharType="separate"/>
      </w:r>
      <w:r>
        <w:rPr>
          <w:color w:val="auto"/>
          <w:highlight w:val="none"/>
        </w:rPr>
        <w:t>72</w:t>
      </w:r>
      <w:r>
        <w:rPr>
          <w:color w:val="auto"/>
          <w:highlight w:val="none"/>
        </w:rPr>
        <w:fldChar w:fldCharType="end"/>
      </w:r>
      <w:r>
        <w:rPr>
          <w:color w:val="auto"/>
          <w:highlight w:val="none"/>
        </w:rPr>
        <w:fldChar w:fldCharType="end"/>
      </w:r>
    </w:p>
    <w:p w14:paraId="681E49BF">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"_Toc58860133" </w:instrText>
      </w:r>
      <w:r>
        <w:rPr>
          <w:color w:val="auto"/>
          <w:highlight w:val="none"/>
        </w:rPr>
        <w:fldChar w:fldCharType="separate"/>
      </w:r>
      <w:r>
        <w:rPr>
          <w:rStyle w:val="53"/>
          <w:rFonts w:ascii="宋体" w:hAnsi="宋体"/>
          <w:color w:val="auto"/>
          <w:highlight w:val="none"/>
        </w:rPr>
        <w:t>评标办法前附表</w:t>
      </w:r>
      <w:r>
        <w:rPr>
          <w:color w:val="auto"/>
          <w:highlight w:val="none"/>
        </w:rPr>
        <w:tab/>
      </w:r>
      <w:r>
        <w:rPr>
          <w:color w:val="auto"/>
          <w:highlight w:val="none"/>
        </w:rPr>
        <w:fldChar w:fldCharType="begin"/>
      </w:r>
      <w:r>
        <w:rPr>
          <w:color w:val="auto"/>
          <w:highlight w:val="none"/>
        </w:rPr>
        <w:instrText xml:space="preserve"> PAGEREF _Toc58860133 \h </w:instrText>
      </w:r>
      <w:r>
        <w:rPr>
          <w:color w:val="auto"/>
          <w:highlight w:val="none"/>
        </w:rPr>
        <w:fldChar w:fldCharType="separate"/>
      </w:r>
      <w:r>
        <w:rPr>
          <w:color w:val="auto"/>
          <w:highlight w:val="none"/>
        </w:rPr>
        <w:t>72</w:t>
      </w:r>
      <w:r>
        <w:rPr>
          <w:color w:val="auto"/>
          <w:highlight w:val="none"/>
        </w:rPr>
        <w:fldChar w:fldCharType="end"/>
      </w:r>
      <w:r>
        <w:rPr>
          <w:color w:val="auto"/>
          <w:highlight w:val="none"/>
        </w:rPr>
        <w:fldChar w:fldCharType="end"/>
      </w:r>
    </w:p>
    <w:p w14:paraId="75523F4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"_Toc58860134" </w:instrText>
      </w:r>
      <w:r>
        <w:rPr>
          <w:color w:val="auto"/>
          <w:highlight w:val="none"/>
        </w:rPr>
        <w:fldChar w:fldCharType="separate"/>
      </w:r>
      <w:r>
        <w:rPr>
          <w:rStyle w:val="53"/>
          <w:rFonts w:ascii="宋体" w:hAnsi="宋体"/>
          <w:snapToGrid w:val="0"/>
          <w:color w:val="auto"/>
          <w:highlight w:val="none"/>
        </w:rPr>
        <w:t>1.  评标方法</w:t>
      </w:r>
      <w:r>
        <w:rPr>
          <w:color w:val="auto"/>
          <w:highlight w:val="none"/>
        </w:rPr>
        <w:tab/>
      </w:r>
      <w:r>
        <w:rPr>
          <w:color w:val="auto"/>
          <w:highlight w:val="none"/>
        </w:rPr>
        <w:fldChar w:fldCharType="begin"/>
      </w:r>
      <w:r>
        <w:rPr>
          <w:color w:val="auto"/>
          <w:highlight w:val="none"/>
        </w:rPr>
        <w:instrText xml:space="preserve"> PAGEREF _Toc58860134 \h </w:instrText>
      </w:r>
      <w:r>
        <w:rPr>
          <w:color w:val="auto"/>
          <w:highlight w:val="none"/>
        </w:rPr>
        <w:fldChar w:fldCharType="separate"/>
      </w:r>
      <w:r>
        <w:rPr>
          <w:color w:val="auto"/>
          <w:highlight w:val="none"/>
        </w:rPr>
        <w:t>82</w:t>
      </w:r>
      <w:r>
        <w:rPr>
          <w:color w:val="auto"/>
          <w:highlight w:val="none"/>
        </w:rPr>
        <w:fldChar w:fldCharType="end"/>
      </w:r>
      <w:r>
        <w:rPr>
          <w:color w:val="auto"/>
          <w:highlight w:val="none"/>
        </w:rPr>
        <w:fldChar w:fldCharType="end"/>
      </w:r>
    </w:p>
    <w:p w14:paraId="7742D80A">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"_Toc58860135" </w:instrText>
      </w:r>
      <w:r>
        <w:rPr>
          <w:color w:val="auto"/>
          <w:highlight w:val="none"/>
        </w:rPr>
        <w:fldChar w:fldCharType="separate"/>
      </w:r>
      <w:r>
        <w:rPr>
          <w:rStyle w:val="53"/>
          <w:rFonts w:ascii="宋体" w:hAnsi="宋体"/>
          <w:snapToGrid w:val="0"/>
          <w:color w:val="auto"/>
          <w:highlight w:val="none"/>
        </w:rPr>
        <w:t>2.  评审标准</w:t>
      </w:r>
      <w:r>
        <w:rPr>
          <w:color w:val="auto"/>
          <w:highlight w:val="none"/>
        </w:rPr>
        <w:tab/>
      </w:r>
      <w:r>
        <w:rPr>
          <w:color w:val="auto"/>
          <w:highlight w:val="none"/>
        </w:rPr>
        <w:fldChar w:fldCharType="begin"/>
      </w:r>
      <w:r>
        <w:rPr>
          <w:color w:val="auto"/>
          <w:highlight w:val="none"/>
        </w:rPr>
        <w:instrText xml:space="preserve"> PAGEREF _Toc58860135 \h </w:instrText>
      </w:r>
      <w:r>
        <w:rPr>
          <w:color w:val="auto"/>
          <w:highlight w:val="none"/>
        </w:rPr>
        <w:fldChar w:fldCharType="separate"/>
      </w:r>
      <w:r>
        <w:rPr>
          <w:color w:val="auto"/>
          <w:highlight w:val="none"/>
        </w:rPr>
        <w:t>82</w:t>
      </w:r>
      <w:r>
        <w:rPr>
          <w:color w:val="auto"/>
          <w:highlight w:val="none"/>
        </w:rPr>
        <w:fldChar w:fldCharType="end"/>
      </w:r>
      <w:r>
        <w:rPr>
          <w:color w:val="auto"/>
          <w:highlight w:val="none"/>
        </w:rPr>
        <w:fldChar w:fldCharType="end"/>
      </w:r>
    </w:p>
    <w:p w14:paraId="5AB6EA7E">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"_Toc58860136" </w:instrText>
      </w:r>
      <w:r>
        <w:rPr>
          <w:color w:val="auto"/>
          <w:highlight w:val="none"/>
        </w:rPr>
        <w:fldChar w:fldCharType="separate"/>
      </w:r>
      <w:r>
        <w:rPr>
          <w:rStyle w:val="53"/>
          <w:rFonts w:ascii="宋体" w:hAnsi="宋体"/>
          <w:i w:val="0"/>
          <w:iCs w:val="0"/>
          <w:snapToGrid w:val="0"/>
          <w:color w:val="auto"/>
          <w:highlight w:val="none"/>
        </w:rPr>
        <w:t>2.1  初步评审标准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_Toc58860136 \h </w:instrText>
      </w:r>
      <w:r>
        <w:rPr>
          <w:i w:val="0"/>
          <w:iCs w:val="0"/>
          <w:color w:val="auto"/>
          <w:highlight w:val="none"/>
        </w:rPr>
        <w:fldChar w:fldCharType="separate"/>
      </w:r>
      <w:r>
        <w:rPr>
          <w:i w:val="0"/>
          <w:iCs w:val="0"/>
          <w:color w:val="auto"/>
          <w:highlight w:val="none"/>
        </w:rPr>
        <w:t>82</w:t>
      </w:r>
      <w:r>
        <w:rPr>
          <w:i w:val="0"/>
          <w:iCs w:val="0"/>
          <w:color w:val="auto"/>
          <w:highlight w:val="none"/>
        </w:rPr>
        <w:fldChar w:fldCharType="end"/>
      </w:r>
      <w:r>
        <w:rPr>
          <w:i w:val="0"/>
          <w:iCs w:val="0"/>
          <w:color w:val="auto"/>
          <w:highlight w:val="none"/>
        </w:rPr>
        <w:fldChar w:fldCharType="end"/>
      </w:r>
    </w:p>
    <w:p w14:paraId="3D2D9E3A">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"_Toc58860137" </w:instrText>
      </w:r>
      <w:r>
        <w:rPr>
          <w:color w:val="auto"/>
          <w:highlight w:val="none"/>
        </w:rPr>
        <w:fldChar w:fldCharType="separate"/>
      </w:r>
      <w:r>
        <w:rPr>
          <w:rStyle w:val="53"/>
          <w:rFonts w:ascii="宋体" w:hAnsi="宋体"/>
          <w:i w:val="0"/>
          <w:iCs w:val="0"/>
          <w:snapToGrid w:val="0"/>
          <w:color w:val="auto"/>
          <w:highlight w:val="none"/>
        </w:rPr>
        <w:t>2.2  分值构成与评分标准</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_Toc58860137 \h </w:instrText>
      </w:r>
      <w:r>
        <w:rPr>
          <w:i w:val="0"/>
          <w:iCs w:val="0"/>
          <w:color w:val="auto"/>
          <w:highlight w:val="none"/>
        </w:rPr>
        <w:fldChar w:fldCharType="separate"/>
      </w:r>
      <w:r>
        <w:rPr>
          <w:i w:val="0"/>
          <w:iCs w:val="0"/>
          <w:color w:val="auto"/>
          <w:highlight w:val="none"/>
        </w:rPr>
        <w:t>82</w:t>
      </w:r>
      <w:r>
        <w:rPr>
          <w:i w:val="0"/>
          <w:iCs w:val="0"/>
          <w:color w:val="auto"/>
          <w:highlight w:val="none"/>
        </w:rPr>
        <w:fldChar w:fldCharType="end"/>
      </w:r>
      <w:r>
        <w:rPr>
          <w:i w:val="0"/>
          <w:iCs w:val="0"/>
          <w:color w:val="auto"/>
          <w:highlight w:val="none"/>
        </w:rPr>
        <w:fldChar w:fldCharType="end"/>
      </w:r>
    </w:p>
    <w:p w14:paraId="46EF7413">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"_Toc58860138" </w:instrText>
      </w:r>
      <w:r>
        <w:rPr>
          <w:color w:val="auto"/>
          <w:highlight w:val="none"/>
        </w:rPr>
        <w:fldChar w:fldCharType="separate"/>
      </w:r>
      <w:r>
        <w:rPr>
          <w:rStyle w:val="53"/>
          <w:rFonts w:ascii="宋体" w:hAnsi="宋体"/>
          <w:snapToGrid w:val="0"/>
          <w:color w:val="auto"/>
          <w:highlight w:val="none"/>
        </w:rPr>
        <w:t>3.  评标程序</w:t>
      </w:r>
      <w:r>
        <w:rPr>
          <w:color w:val="auto"/>
          <w:highlight w:val="none"/>
        </w:rPr>
        <w:tab/>
      </w:r>
      <w:r>
        <w:rPr>
          <w:color w:val="auto"/>
          <w:highlight w:val="none"/>
        </w:rPr>
        <w:fldChar w:fldCharType="begin"/>
      </w:r>
      <w:r>
        <w:rPr>
          <w:color w:val="auto"/>
          <w:highlight w:val="none"/>
        </w:rPr>
        <w:instrText xml:space="preserve"> PAGEREF _Toc58860138 \h </w:instrText>
      </w:r>
      <w:r>
        <w:rPr>
          <w:color w:val="auto"/>
          <w:highlight w:val="none"/>
        </w:rPr>
        <w:fldChar w:fldCharType="separate"/>
      </w:r>
      <w:r>
        <w:rPr>
          <w:color w:val="auto"/>
          <w:highlight w:val="none"/>
        </w:rPr>
        <w:t>82</w:t>
      </w:r>
      <w:r>
        <w:rPr>
          <w:color w:val="auto"/>
          <w:highlight w:val="none"/>
        </w:rPr>
        <w:fldChar w:fldCharType="end"/>
      </w:r>
      <w:r>
        <w:rPr>
          <w:color w:val="auto"/>
          <w:highlight w:val="none"/>
        </w:rPr>
        <w:fldChar w:fldCharType="end"/>
      </w:r>
    </w:p>
    <w:p w14:paraId="1C09D8CE">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"_Toc58860139" </w:instrText>
      </w:r>
      <w:r>
        <w:rPr>
          <w:color w:val="auto"/>
          <w:highlight w:val="none"/>
        </w:rPr>
        <w:fldChar w:fldCharType="separate"/>
      </w:r>
      <w:r>
        <w:rPr>
          <w:rStyle w:val="53"/>
          <w:rFonts w:ascii="宋体" w:hAnsi="宋体"/>
          <w:i w:val="0"/>
          <w:iCs w:val="0"/>
          <w:snapToGrid w:val="0"/>
          <w:color w:val="auto"/>
          <w:highlight w:val="none"/>
        </w:rPr>
        <w:t>3.1  初步评审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_Toc58860139 \h </w:instrText>
      </w:r>
      <w:r>
        <w:rPr>
          <w:i w:val="0"/>
          <w:iCs w:val="0"/>
          <w:color w:val="auto"/>
          <w:highlight w:val="none"/>
        </w:rPr>
        <w:fldChar w:fldCharType="separate"/>
      </w:r>
      <w:r>
        <w:rPr>
          <w:i w:val="0"/>
          <w:iCs w:val="0"/>
          <w:color w:val="auto"/>
          <w:highlight w:val="none"/>
        </w:rPr>
        <w:t>82</w:t>
      </w:r>
      <w:r>
        <w:rPr>
          <w:i w:val="0"/>
          <w:iCs w:val="0"/>
          <w:color w:val="auto"/>
          <w:highlight w:val="none"/>
        </w:rPr>
        <w:fldChar w:fldCharType="end"/>
      </w:r>
      <w:r>
        <w:rPr>
          <w:i w:val="0"/>
          <w:iCs w:val="0"/>
          <w:color w:val="auto"/>
          <w:highlight w:val="none"/>
        </w:rPr>
        <w:fldChar w:fldCharType="end"/>
      </w:r>
    </w:p>
    <w:p w14:paraId="68D26725">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"_Toc58860140" </w:instrText>
      </w:r>
      <w:r>
        <w:rPr>
          <w:color w:val="auto"/>
          <w:highlight w:val="none"/>
        </w:rPr>
        <w:fldChar w:fldCharType="separate"/>
      </w:r>
      <w:r>
        <w:rPr>
          <w:rStyle w:val="53"/>
          <w:rFonts w:ascii="宋体" w:hAnsi="宋体"/>
          <w:i w:val="0"/>
          <w:iCs w:val="0"/>
          <w:snapToGrid w:val="0"/>
          <w:color w:val="auto"/>
          <w:highlight w:val="none"/>
        </w:rPr>
        <w:t>3.2  详细评审</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_Toc58860140 \h </w:instrText>
      </w:r>
      <w:r>
        <w:rPr>
          <w:i w:val="0"/>
          <w:iCs w:val="0"/>
          <w:color w:val="auto"/>
          <w:highlight w:val="none"/>
        </w:rPr>
        <w:fldChar w:fldCharType="separate"/>
      </w:r>
      <w:r>
        <w:rPr>
          <w:i w:val="0"/>
          <w:iCs w:val="0"/>
          <w:color w:val="auto"/>
          <w:highlight w:val="none"/>
        </w:rPr>
        <w:t>83</w:t>
      </w:r>
      <w:r>
        <w:rPr>
          <w:i w:val="0"/>
          <w:iCs w:val="0"/>
          <w:color w:val="auto"/>
          <w:highlight w:val="none"/>
        </w:rPr>
        <w:fldChar w:fldCharType="end"/>
      </w:r>
      <w:r>
        <w:rPr>
          <w:i w:val="0"/>
          <w:iCs w:val="0"/>
          <w:color w:val="auto"/>
          <w:highlight w:val="none"/>
        </w:rPr>
        <w:fldChar w:fldCharType="end"/>
      </w:r>
    </w:p>
    <w:p w14:paraId="0B5B3926">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"_Toc58860141" </w:instrText>
      </w:r>
      <w:r>
        <w:rPr>
          <w:color w:val="auto"/>
          <w:highlight w:val="none"/>
        </w:rPr>
        <w:fldChar w:fldCharType="separate"/>
      </w:r>
      <w:r>
        <w:rPr>
          <w:rStyle w:val="53"/>
          <w:rFonts w:ascii="宋体" w:hAnsi="宋体"/>
          <w:i w:val="0"/>
          <w:iCs w:val="0"/>
          <w:snapToGrid w:val="0"/>
          <w:color w:val="auto"/>
          <w:highlight w:val="none"/>
        </w:rPr>
        <w:t>3.3  投标文件的澄清和补正</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_Toc58860141 \h </w:instrText>
      </w:r>
      <w:r>
        <w:rPr>
          <w:i w:val="0"/>
          <w:iCs w:val="0"/>
          <w:color w:val="auto"/>
          <w:highlight w:val="none"/>
        </w:rPr>
        <w:fldChar w:fldCharType="separate"/>
      </w:r>
      <w:r>
        <w:rPr>
          <w:i w:val="0"/>
          <w:iCs w:val="0"/>
          <w:color w:val="auto"/>
          <w:highlight w:val="none"/>
        </w:rPr>
        <w:t>83</w:t>
      </w:r>
      <w:r>
        <w:rPr>
          <w:i w:val="0"/>
          <w:iCs w:val="0"/>
          <w:color w:val="auto"/>
          <w:highlight w:val="none"/>
        </w:rPr>
        <w:fldChar w:fldCharType="end"/>
      </w:r>
      <w:r>
        <w:rPr>
          <w:i w:val="0"/>
          <w:iCs w:val="0"/>
          <w:color w:val="auto"/>
          <w:highlight w:val="none"/>
        </w:rPr>
        <w:fldChar w:fldCharType="end"/>
      </w:r>
    </w:p>
    <w:p w14:paraId="3595979D">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"_Toc58860142" </w:instrText>
      </w:r>
      <w:r>
        <w:rPr>
          <w:color w:val="auto"/>
          <w:highlight w:val="none"/>
        </w:rPr>
        <w:fldChar w:fldCharType="separate"/>
      </w:r>
      <w:r>
        <w:rPr>
          <w:rStyle w:val="53"/>
          <w:rFonts w:ascii="宋体" w:hAnsi="宋体"/>
          <w:i w:val="0"/>
          <w:iCs w:val="0"/>
          <w:snapToGrid w:val="0"/>
          <w:color w:val="auto"/>
          <w:highlight w:val="none"/>
        </w:rPr>
        <w:t>3.4  评标结果</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_Toc58860142 \h </w:instrText>
      </w:r>
      <w:r>
        <w:rPr>
          <w:i w:val="0"/>
          <w:iCs w:val="0"/>
          <w:color w:val="auto"/>
          <w:highlight w:val="none"/>
        </w:rPr>
        <w:fldChar w:fldCharType="separate"/>
      </w:r>
      <w:r>
        <w:rPr>
          <w:i w:val="0"/>
          <w:iCs w:val="0"/>
          <w:color w:val="auto"/>
          <w:highlight w:val="none"/>
        </w:rPr>
        <w:t>83</w:t>
      </w:r>
      <w:r>
        <w:rPr>
          <w:i w:val="0"/>
          <w:iCs w:val="0"/>
          <w:color w:val="auto"/>
          <w:highlight w:val="none"/>
        </w:rPr>
        <w:fldChar w:fldCharType="end"/>
      </w:r>
      <w:r>
        <w:rPr>
          <w:i w:val="0"/>
          <w:iCs w:val="0"/>
          <w:color w:val="auto"/>
          <w:highlight w:val="none"/>
        </w:rPr>
        <w:fldChar w:fldCharType="end"/>
      </w:r>
    </w:p>
    <w:p w14:paraId="72974523">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"_Toc58860143" </w:instrText>
      </w:r>
      <w:r>
        <w:rPr>
          <w:color w:val="auto"/>
          <w:highlight w:val="none"/>
        </w:rPr>
        <w:fldChar w:fldCharType="separate"/>
      </w:r>
      <w:r>
        <w:rPr>
          <w:rStyle w:val="53"/>
          <w:rFonts w:ascii="宋体" w:hAnsi="宋体"/>
          <w:color w:val="auto"/>
          <w:kern w:val="0"/>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_Toc58860143 \h </w:instrText>
      </w:r>
      <w:r>
        <w:rPr>
          <w:color w:val="auto"/>
          <w:highlight w:val="none"/>
        </w:rPr>
        <w:fldChar w:fldCharType="separate"/>
      </w:r>
      <w:r>
        <w:rPr>
          <w:color w:val="auto"/>
          <w:highlight w:val="none"/>
        </w:rPr>
        <w:t>87</w:t>
      </w:r>
      <w:r>
        <w:rPr>
          <w:color w:val="auto"/>
          <w:highlight w:val="none"/>
        </w:rPr>
        <w:fldChar w:fldCharType="end"/>
      </w:r>
      <w:r>
        <w:rPr>
          <w:color w:val="auto"/>
          <w:highlight w:val="none"/>
        </w:rPr>
        <w:fldChar w:fldCharType="end"/>
      </w:r>
    </w:p>
    <w:p w14:paraId="051077B8">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"_Toc58860144" </w:instrText>
      </w:r>
      <w:r>
        <w:rPr>
          <w:color w:val="auto"/>
          <w:highlight w:val="none"/>
        </w:rPr>
        <w:fldChar w:fldCharType="separate"/>
      </w:r>
      <w:r>
        <w:rPr>
          <w:rStyle w:val="53"/>
          <w:rFonts w:ascii="宋体" w:hAnsi="宋体" w:cs="宋体"/>
          <w:color w:val="auto"/>
          <w:kern w:val="44"/>
          <w:highlight w:val="none"/>
          <w:lang w:bidi="ar"/>
        </w:rPr>
        <w:t>第一部分 合同协议书</w:t>
      </w:r>
      <w:r>
        <w:rPr>
          <w:color w:val="auto"/>
          <w:highlight w:val="none"/>
        </w:rPr>
        <w:tab/>
      </w:r>
      <w:r>
        <w:rPr>
          <w:color w:val="auto"/>
          <w:highlight w:val="none"/>
        </w:rPr>
        <w:fldChar w:fldCharType="begin"/>
      </w:r>
      <w:r>
        <w:rPr>
          <w:color w:val="auto"/>
          <w:highlight w:val="none"/>
        </w:rPr>
        <w:instrText xml:space="preserve"> PAGEREF _Toc58860144 \h </w:instrText>
      </w:r>
      <w:r>
        <w:rPr>
          <w:color w:val="auto"/>
          <w:highlight w:val="none"/>
        </w:rPr>
        <w:fldChar w:fldCharType="separate"/>
      </w:r>
      <w:r>
        <w:rPr>
          <w:color w:val="auto"/>
          <w:highlight w:val="none"/>
        </w:rPr>
        <w:t>88</w:t>
      </w:r>
      <w:r>
        <w:rPr>
          <w:color w:val="auto"/>
          <w:highlight w:val="none"/>
        </w:rPr>
        <w:fldChar w:fldCharType="end"/>
      </w:r>
      <w:r>
        <w:rPr>
          <w:color w:val="auto"/>
          <w:highlight w:val="none"/>
        </w:rPr>
        <w:fldChar w:fldCharType="end"/>
      </w:r>
    </w:p>
    <w:p w14:paraId="39FD377D">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"_Toc58860145" </w:instrText>
      </w:r>
      <w:r>
        <w:rPr>
          <w:color w:val="auto"/>
          <w:highlight w:val="none"/>
        </w:rPr>
        <w:fldChar w:fldCharType="separate"/>
      </w:r>
      <w:r>
        <w:rPr>
          <w:rStyle w:val="53"/>
          <w:rFonts w:ascii="宋体" w:hAnsi="宋体" w:cs="宋体"/>
          <w:color w:val="auto"/>
          <w:kern w:val="0"/>
          <w:highlight w:val="none"/>
          <w:lang w:bidi="ar"/>
        </w:rPr>
        <w:t>一、工程概况</w:t>
      </w:r>
      <w:r>
        <w:rPr>
          <w:color w:val="auto"/>
          <w:highlight w:val="none"/>
        </w:rPr>
        <w:tab/>
      </w:r>
      <w:r>
        <w:rPr>
          <w:color w:val="auto"/>
          <w:highlight w:val="none"/>
        </w:rPr>
        <w:fldChar w:fldCharType="begin"/>
      </w:r>
      <w:r>
        <w:rPr>
          <w:color w:val="auto"/>
          <w:highlight w:val="none"/>
        </w:rPr>
        <w:instrText xml:space="preserve"> PAGEREF _Toc58860145 \h </w:instrText>
      </w:r>
      <w:r>
        <w:rPr>
          <w:color w:val="auto"/>
          <w:highlight w:val="none"/>
        </w:rPr>
        <w:fldChar w:fldCharType="separate"/>
      </w:r>
      <w:r>
        <w:rPr>
          <w:color w:val="auto"/>
          <w:highlight w:val="none"/>
        </w:rPr>
        <w:t>88</w:t>
      </w:r>
      <w:r>
        <w:rPr>
          <w:color w:val="auto"/>
          <w:highlight w:val="none"/>
        </w:rPr>
        <w:fldChar w:fldCharType="end"/>
      </w:r>
      <w:r>
        <w:rPr>
          <w:color w:val="auto"/>
          <w:highlight w:val="none"/>
        </w:rPr>
        <w:fldChar w:fldCharType="end"/>
      </w:r>
    </w:p>
    <w:p w14:paraId="0F1E8A3D">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"_Toc58860146" </w:instrText>
      </w:r>
      <w:r>
        <w:rPr>
          <w:color w:val="auto"/>
          <w:highlight w:val="none"/>
        </w:rPr>
        <w:fldChar w:fldCharType="separate"/>
      </w:r>
      <w:r>
        <w:rPr>
          <w:rStyle w:val="53"/>
          <w:rFonts w:ascii="宋体" w:hAnsi="宋体" w:cs="宋体"/>
          <w:color w:val="auto"/>
          <w:kern w:val="0"/>
          <w:highlight w:val="none"/>
          <w:lang w:bidi="ar"/>
        </w:rPr>
        <w:t>二、合同工期</w:t>
      </w:r>
      <w:r>
        <w:rPr>
          <w:color w:val="auto"/>
          <w:highlight w:val="none"/>
        </w:rPr>
        <w:tab/>
      </w:r>
      <w:r>
        <w:rPr>
          <w:color w:val="auto"/>
          <w:highlight w:val="none"/>
        </w:rPr>
        <w:fldChar w:fldCharType="begin"/>
      </w:r>
      <w:r>
        <w:rPr>
          <w:color w:val="auto"/>
          <w:highlight w:val="none"/>
        </w:rPr>
        <w:instrText xml:space="preserve"> PAGEREF _Toc58860146 \h </w:instrText>
      </w:r>
      <w:r>
        <w:rPr>
          <w:color w:val="auto"/>
          <w:highlight w:val="none"/>
        </w:rPr>
        <w:fldChar w:fldCharType="separate"/>
      </w:r>
      <w:r>
        <w:rPr>
          <w:color w:val="auto"/>
          <w:highlight w:val="none"/>
        </w:rPr>
        <w:t>88</w:t>
      </w:r>
      <w:r>
        <w:rPr>
          <w:color w:val="auto"/>
          <w:highlight w:val="none"/>
        </w:rPr>
        <w:fldChar w:fldCharType="end"/>
      </w:r>
      <w:r>
        <w:rPr>
          <w:color w:val="auto"/>
          <w:highlight w:val="none"/>
        </w:rPr>
        <w:fldChar w:fldCharType="end"/>
      </w:r>
    </w:p>
    <w:p w14:paraId="36122B35">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"_Toc58860147" </w:instrText>
      </w:r>
      <w:r>
        <w:rPr>
          <w:color w:val="auto"/>
          <w:highlight w:val="none"/>
        </w:rPr>
        <w:fldChar w:fldCharType="separate"/>
      </w:r>
      <w:r>
        <w:rPr>
          <w:rStyle w:val="53"/>
          <w:rFonts w:ascii="宋体" w:hAnsi="宋体" w:cs="宋体"/>
          <w:color w:val="auto"/>
          <w:kern w:val="0"/>
          <w:highlight w:val="none"/>
          <w:lang w:bidi="ar"/>
        </w:rPr>
        <w:t>三、质量标准</w:t>
      </w:r>
      <w:r>
        <w:rPr>
          <w:color w:val="auto"/>
          <w:highlight w:val="none"/>
        </w:rPr>
        <w:tab/>
      </w:r>
      <w:r>
        <w:rPr>
          <w:color w:val="auto"/>
          <w:highlight w:val="none"/>
        </w:rPr>
        <w:fldChar w:fldCharType="begin"/>
      </w:r>
      <w:r>
        <w:rPr>
          <w:color w:val="auto"/>
          <w:highlight w:val="none"/>
        </w:rPr>
        <w:instrText xml:space="preserve"> PAGEREF _Toc58860147 \h </w:instrText>
      </w:r>
      <w:r>
        <w:rPr>
          <w:color w:val="auto"/>
          <w:highlight w:val="none"/>
        </w:rPr>
        <w:fldChar w:fldCharType="separate"/>
      </w:r>
      <w:r>
        <w:rPr>
          <w:color w:val="auto"/>
          <w:highlight w:val="none"/>
        </w:rPr>
        <w:t>88</w:t>
      </w:r>
      <w:r>
        <w:rPr>
          <w:color w:val="auto"/>
          <w:highlight w:val="none"/>
        </w:rPr>
        <w:fldChar w:fldCharType="end"/>
      </w:r>
      <w:r>
        <w:rPr>
          <w:color w:val="auto"/>
          <w:highlight w:val="none"/>
        </w:rPr>
        <w:fldChar w:fldCharType="end"/>
      </w:r>
    </w:p>
    <w:p w14:paraId="1C83D550">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"_Toc58860148" </w:instrText>
      </w:r>
      <w:r>
        <w:rPr>
          <w:color w:val="auto"/>
          <w:highlight w:val="none"/>
        </w:rPr>
        <w:fldChar w:fldCharType="separate"/>
      </w:r>
      <w:r>
        <w:rPr>
          <w:rStyle w:val="53"/>
          <w:rFonts w:ascii="宋体" w:hAnsi="宋体" w:cs="宋体"/>
          <w:color w:val="auto"/>
          <w:kern w:val="0"/>
          <w:highlight w:val="none"/>
          <w:lang w:bidi="ar"/>
        </w:rPr>
        <w:t>四、签约合同价与合同价格形式</w:t>
      </w:r>
      <w:r>
        <w:rPr>
          <w:color w:val="auto"/>
          <w:highlight w:val="none"/>
        </w:rPr>
        <w:tab/>
      </w:r>
      <w:r>
        <w:rPr>
          <w:color w:val="auto"/>
          <w:highlight w:val="none"/>
        </w:rPr>
        <w:fldChar w:fldCharType="begin"/>
      </w:r>
      <w:r>
        <w:rPr>
          <w:color w:val="auto"/>
          <w:highlight w:val="none"/>
        </w:rPr>
        <w:instrText xml:space="preserve"> PAGEREF _Toc58860148 \h </w:instrText>
      </w:r>
      <w:r>
        <w:rPr>
          <w:color w:val="auto"/>
          <w:highlight w:val="none"/>
        </w:rPr>
        <w:fldChar w:fldCharType="separate"/>
      </w:r>
      <w:r>
        <w:rPr>
          <w:color w:val="auto"/>
          <w:highlight w:val="none"/>
        </w:rPr>
        <w:t>88</w:t>
      </w:r>
      <w:r>
        <w:rPr>
          <w:color w:val="auto"/>
          <w:highlight w:val="none"/>
        </w:rPr>
        <w:fldChar w:fldCharType="end"/>
      </w:r>
      <w:r>
        <w:rPr>
          <w:color w:val="auto"/>
          <w:highlight w:val="none"/>
        </w:rPr>
        <w:fldChar w:fldCharType="end"/>
      </w:r>
    </w:p>
    <w:p w14:paraId="6881DB27">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"_Toc58860149" </w:instrText>
      </w:r>
      <w:r>
        <w:rPr>
          <w:color w:val="auto"/>
          <w:highlight w:val="none"/>
        </w:rPr>
        <w:fldChar w:fldCharType="separate"/>
      </w:r>
      <w:r>
        <w:rPr>
          <w:rStyle w:val="53"/>
          <w:rFonts w:ascii="宋体" w:hAnsi="宋体" w:cs="宋体"/>
          <w:color w:val="auto"/>
          <w:kern w:val="0"/>
          <w:highlight w:val="none"/>
          <w:lang w:bidi="ar"/>
        </w:rPr>
        <w:t>五、工程总承包主要管理人员</w:t>
      </w:r>
      <w:r>
        <w:rPr>
          <w:color w:val="auto"/>
          <w:highlight w:val="none"/>
        </w:rPr>
        <w:tab/>
      </w:r>
      <w:r>
        <w:rPr>
          <w:color w:val="auto"/>
          <w:highlight w:val="none"/>
        </w:rPr>
        <w:fldChar w:fldCharType="begin"/>
      </w:r>
      <w:r>
        <w:rPr>
          <w:color w:val="auto"/>
          <w:highlight w:val="none"/>
        </w:rPr>
        <w:instrText xml:space="preserve"> PAGEREF _Toc58860149 \h </w:instrText>
      </w:r>
      <w:r>
        <w:rPr>
          <w:color w:val="auto"/>
          <w:highlight w:val="none"/>
        </w:rPr>
        <w:fldChar w:fldCharType="separate"/>
      </w:r>
      <w:r>
        <w:rPr>
          <w:color w:val="auto"/>
          <w:highlight w:val="none"/>
        </w:rPr>
        <w:t>89</w:t>
      </w:r>
      <w:r>
        <w:rPr>
          <w:color w:val="auto"/>
          <w:highlight w:val="none"/>
        </w:rPr>
        <w:fldChar w:fldCharType="end"/>
      </w:r>
      <w:r>
        <w:rPr>
          <w:color w:val="auto"/>
          <w:highlight w:val="none"/>
        </w:rPr>
        <w:fldChar w:fldCharType="end"/>
      </w:r>
    </w:p>
    <w:p w14:paraId="0116B12E">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"_Toc58860150" </w:instrText>
      </w:r>
      <w:r>
        <w:rPr>
          <w:color w:val="auto"/>
          <w:highlight w:val="none"/>
        </w:rPr>
        <w:fldChar w:fldCharType="separate"/>
      </w:r>
      <w:r>
        <w:rPr>
          <w:rStyle w:val="53"/>
          <w:rFonts w:ascii="宋体" w:hAnsi="宋体" w:cs="宋体"/>
          <w:color w:val="auto"/>
          <w:kern w:val="0"/>
          <w:highlight w:val="none"/>
          <w:lang w:bidi="ar"/>
        </w:rPr>
        <w:t>六、合同文件构成</w:t>
      </w:r>
      <w:r>
        <w:rPr>
          <w:color w:val="auto"/>
          <w:highlight w:val="none"/>
        </w:rPr>
        <w:tab/>
      </w:r>
      <w:r>
        <w:rPr>
          <w:color w:val="auto"/>
          <w:highlight w:val="none"/>
        </w:rPr>
        <w:fldChar w:fldCharType="begin"/>
      </w:r>
      <w:r>
        <w:rPr>
          <w:color w:val="auto"/>
          <w:highlight w:val="none"/>
        </w:rPr>
        <w:instrText xml:space="preserve"> PAGEREF _Toc58860150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759A4647">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"_Toc58860151" </w:instrText>
      </w:r>
      <w:r>
        <w:rPr>
          <w:color w:val="auto"/>
          <w:highlight w:val="none"/>
        </w:rPr>
        <w:fldChar w:fldCharType="separate"/>
      </w:r>
      <w:r>
        <w:rPr>
          <w:rStyle w:val="53"/>
          <w:rFonts w:ascii="宋体" w:hAnsi="宋体" w:cs="宋体"/>
          <w:color w:val="auto"/>
          <w:kern w:val="0"/>
          <w:highlight w:val="none"/>
          <w:lang w:bidi="ar"/>
        </w:rPr>
        <w:t>七、承诺</w:t>
      </w:r>
      <w:r>
        <w:rPr>
          <w:color w:val="auto"/>
          <w:highlight w:val="none"/>
        </w:rPr>
        <w:tab/>
      </w:r>
      <w:r>
        <w:rPr>
          <w:color w:val="auto"/>
          <w:highlight w:val="none"/>
        </w:rPr>
        <w:fldChar w:fldCharType="begin"/>
      </w:r>
      <w:r>
        <w:rPr>
          <w:color w:val="auto"/>
          <w:highlight w:val="none"/>
        </w:rPr>
        <w:instrText xml:space="preserve"> PAGEREF _Toc58860151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58B67EA2">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"_Toc58860152" </w:instrText>
      </w:r>
      <w:r>
        <w:rPr>
          <w:color w:val="auto"/>
          <w:highlight w:val="none"/>
        </w:rPr>
        <w:fldChar w:fldCharType="separate"/>
      </w:r>
      <w:r>
        <w:rPr>
          <w:rStyle w:val="53"/>
          <w:rFonts w:ascii="宋体" w:hAnsi="宋体" w:cs="宋体"/>
          <w:color w:val="auto"/>
          <w:kern w:val="0"/>
          <w:highlight w:val="none"/>
          <w:lang w:bidi="ar"/>
        </w:rPr>
        <w:t>八、订立时间</w:t>
      </w:r>
      <w:r>
        <w:rPr>
          <w:color w:val="auto"/>
          <w:highlight w:val="none"/>
        </w:rPr>
        <w:tab/>
      </w:r>
      <w:r>
        <w:rPr>
          <w:color w:val="auto"/>
          <w:highlight w:val="none"/>
        </w:rPr>
        <w:fldChar w:fldCharType="begin"/>
      </w:r>
      <w:r>
        <w:rPr>
          <w:color w:val="auto"/>
          <w:highlight w:val="none"/>
        </w:rPr>
        <w:instrText xml:space="preserve"> PAGEREF _Toc58860152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1076430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"_Toc58860153" </w:instrText>
      </w:r>
      <w:r>
        <w:rPr>
          <w:color w:val="auto"/>
          <w:highlight w:val="none"/>
        </w:rPr>
        <w:fldChar w:fldCharType="separate"/>
      </w:r>
      <w:r>
        <w:rPr>
          <w:rStyle w:val="53"/>
          <w:rFonts w:ascii="宋体" w:hAnsi="宋体" w:cs="宋体"/>
          <w:color w:val="auto"/>
          <w:kern w:val="0"/>
          <w:highlight w:val="none"/>
          <w:lang w:bidi="ar"/>
        </w:rPr>
        <w:t>九、订立地点</w:t>
      </w:r>
      <w:r>
        <w:rPr>
          <w:color w:val="auto"/>
          <w:highlight w:val="none"/>
        </w:rPr>
        <w:tab/>
      </w:r>
      <w:r>
        <w:rPr>
          <w:color w:val="auto"/>
          <w:highlight w:val="none"/>
        </w:rPr>
        <w:fldChar w:fldCharType="begin"/>
      </w:r>
      <w:r>
        <w:rPr>
          <w:color w:val="auto"/>
          <w:highlight w:val="none"/>
        </w:rPr>
        <w:instrText xml:space="preserve"> PAGEREF _Toc58860153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127C16D4">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"_Toc58860154" </w:instrText>
      </w:r>
      <w:r>
        <w:rPr>
          <w:color w:val="auto"/>
          <w:highlight w:val="none"/>
        </w:rPr>
        <w:fldChar w:fldCharType="separate"/>
      </w:r>
      <w:r>
        <w:rPr>
          <w:rStyle w:val="53"/>
          <w:rFonts w:ascii="宋体" w:hAnsi="宋体" w:cs="宋体"/>
          <w:color w:val="auto"/>
          <w:kern w:val="0"/>
          <w:highlight w:val="none"/>
          <w:lang w:bidi="ar"/>
        </w:rPr>
        <w:t>十、合同生效</w:t>
      </w:r>
      <w:r>
        <w:rPr>
          <w:color w:val="auto"/>
          <w:highlight w:val="none"/>
        </w:rPr>
        <w:tab/>
      </w:r>
      <w:r>
        <w:rPr>
          <w:color w:val="auto"/>
          <w:highlight w:val="none"/>
        </w:rPr>
        <w:fldChar w:fldCharType="begin"/>
      </w:r>
      <w:r>
        <w:rPr>
          <w:color w:val="auto"/>
          <w:highlight w:val="none"/>
        </w:rPr>
        <w:instrText xml:space="preserve"> PAGEREF _Toc58860154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7D320EAE">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"_Toc58860155" </w:instrText>
      </w:r>
      <w:r>
        <w:rPr>
          <w:color w:val="auto"/>
          <w:highlight w:val="none"/>
        </w:rPr>
        <w:fldChar w:fldCharType="separate"/>
      </w:r>
      <w:r>
        <w:rPr>
          <w:rStyle w:val="53"/>
          <w:rFonts w:ascii="宋体" w:hAnsi="宋体" w:cs="宋体"/>
          <w:color w:val="auto"/>
          <w:kern w:val="0"/>
          <w:highlight w:val="none"/>
          <w:lang w:bidi="ar"/>
        </w:rPr>
        <w:t>十一、合同份数</w:t>
      </w:r>
      <w:r>
        <w:rPr>
          <w:color w:val="auto"/>
          <w:highlight w:val="none"/>
        </w:rPr>
        <w:tab/>
      </w:r>
      <w:r>
        <w:rPr>
          <w:color w:val="auto"/>
          <w:highlight w:val="none"/>
        </w:rPr>
        <w:fldChar w:fldCharType="begin"/>
      </w:r>
      <w:r>
        <w:rPr>
          <w:color w:val="auto"/>
          <w:highlight w:val="none"/>
        </w:rPr>
        <w:instrText xml:space="preserve"> PAGEREF _Toc58860155 \h </w:instrText>
      </w:r>
      <w:r>
        <w:rPr>
          <w:color w:val="auto"/>
          <w:highlight w:val="none"/>
        </w:rPr>
        <w:fldChar w:fldCharType="separate"/>
      </w:r>
      <w:r>
        <w:rPr>
          <w:color w:val="auto"/>
          <w:highlight w:val="none"/>
        </w:rPr>
        <w:t>90</w:t>
      </w:r>
      <w:r>
        <w:rPr>
          <w:color w:val="auto"/>
          <w:highlight w:val="none"/>
        </w:rPr>
        <w:fldChar w:fldCharType="end"/>
      </w:r>
      <w:r>
        <w:rPr>
          <w:color w:val="auto"/>
          <w:highlight w:val="none"/>
        </w:rPr>
        <w:fldChar w:fldCharType="end"/>
      </w:r>
    </w:p>
    <w:p w14:paraId="6FF13413">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"_Toc58860156" </w:instrText>
      </w:r>
      <w:r>
        <w:rPr>
          <w:color w:val="auto"/>
          <w:highlight w:val="none"/>
        </w:rPr>
        <w:fldChar w:fldCharType="separate"/>
      </w:r>
      <w:r>
        <w:rPr>
          <w:rStyle w:val="53"/>
          <w:rFonts w:ascii="宋体" w:hAnsi="宋体" w:cs="宋体"/>
          <w:color w:val="auto"/>
          <w:kern w:val="44"/>
          <w:highlight w:val="none"/>
          <w:lang w:bidi="ar"/>
        </w:rPr>
        <w:t>第二部分 通用合同条件</w:t>
      </w:r>
      <w:r>
        <w:rPr>
          <w:color w:val="auto"/>
          <w:highlight w:val="none"/>
        </w:rPr>
        <w:tab/>
      </w:r>
      <w:r>
        <w:rPr>
          <w:color w:val="auto"/>
          <w:highlight w:val="none"/>
        </w:rPr>
        <w:fldChar w:fldCharType="begin"/>
      </w:r>
      <w:r>
        <w:rPr>
          <w:color w:val="auto"/>
          <w:highlight w:val="none"/>
        </w:rPr>
        <w:instrText xml:space="preserve"> PAGEREF _Toc58860156 \h </w:instrText>
      </w:r>
      <w:r>
        <w:rPr>
          <w:color w:val="auto"/>
          <w:highlight w:val="none"/>
        </w:rPr>
        <w:fldChar w:fldCharType="separate"/>
      </w:r>
      <w:r>
        <w:rPr>
          <w:color w:val="auto"/>
          <w:highlight w:val="none"/>
        </w:rPr>
        <w:t>92</w:t>
      </w:r>
      <w:r>
        <w:rPr>
          <w:color w:val="auto"/>
          <w:highlight w:val="none"/>
        </w:rPr>
        <w:fldChar w:fldCharType="end"/>
      </w:r>
      <w:r>
        <w:rPr>
          <w:color w:val="auto"/>
          <w:highlight w:val="none"/>
        </w:rPr>
        <w:fldChar w:fldCharType="end"/>
      </w:r>
    </w:p>
    <w:p w14:paraId="68998B7E">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"_Toc58860157" </w:instrText>
      </w:r>
      <w:r>
        <w:rPr>
          <w:color w:val="auto"/>
          <w:highlight w:val="none"/>
        </w:rPr>
        <w:fldChar w:fldCharType="separate"/>
      </w:r>
      <w:r>
        <w:rPr>
          <w:rStyle w:val="53"/>
          <w:rFonts w:ascii="宋体" w:hAnsi="宋体" w:cs="宋体"/>
          <w:color w:val="auto"/>
          <w:kern w:val="0"/>
          <w:highlight w:val="none"/>
          <w:lang w:bidi="ar"/>
        </w:rPr>
        <w:t>第1条  一般约定</w:t>
      </w:r>
      <w:r>
        <w:rPr>
          <w:color w:val="auto"/>
          <w:highlight w:val="none"/>
        </w:rPr>
        <w:tab/>
      </w:r>
      <w:r>
        <w:rPr>
          <w:color w:val="auto"/>
          <w:highlight w:val="none"/>
        </w:rPr>
        <w:fldChar w:fldCharType="begin"/>
      </w:r>
      <w:r>
        <w:rPr>
          <w:color w:val="auto"/>
          <w:highlight w:val="none"/>
        </w:rPr>
        <w:instrText xml:space="preserve"> PAGEREF _Toc58860157 \h </w:instrText>
      </w:r>
      <w:r>
        <w:rPr>
          <w:color w:val="auto"/>
          <w:highlight w:val="none"/>
        </w:rPr>
        <w:fldChar w:fldCharType="separate"/>
      </w:r>
      <w:r>
        <w:rPr>
          <w:color w:val="auto"/>
          <w:highlight w:val="none"/>
        </w:rPr>
        <w:t>92</w:t>
      </w:r>
      <w:r>
        <w:rPr>
          <w:color w:val="auto"/>
          <w:highlight w:val="none"/>
        </w:rPr>
        <w:fldChar w:fldCharType="end"/>
      </w:r>
      <w:r>
        <w:rPr>
          <w:color w:val="auto"/>
          <w:highlight w:val="none"/>
        </w:rPr>
        <w:fldChar w:fldCharType="end"/>
      </w:r>
    </w:p>
    <w:p w14:paraId="46481A67">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"_Toc58860172" </w:instrText>
      </w:r>
      <w:r>
        <w:rPr>
          <w:color w:val="auto"/>
          <w:highlight w:val="none"/>
        </w:rPr>
        <w:fldChar w:fldCharType="separate"/>
      </w:r>
      <w:r>
        <w:rPr>
          <w:rStyle w:val="53"/>
          <w:rFonts w:ascii="宋体" w:hAnsi="宋体" w:cs="宋体"/>
          <w:color w:val="auto"/>
          <w:kern w:val="0"/>
          <w:highlight w:val="none"/>
          <w:lang w:bidi="ar"/>
        </w:rPr>
        <w:t>第2条  发包人</w:t>
      </w:r>
      <w:r>
        <w:rPr>
          <w:color w:val="auto"/>
          <w:highlight w:val="none"/>
        </w:rPr>
        <w:tab/>
      </w:r>
      <w:r>
        <w:rPr>
          <w:color w:val="auto"/>
          <w:highlight w:val="none"/>
        </w:rPr>
        <w:fldChar w:fldCharType="begin"/>
      </w:r>
      <w:r>
        <w:rPr>
          <w:color w:val="auto"/>
          <w:highlight w:val="none"/>
        </w:rPr>
        <w:instrText xml:space="preserve"> PAGEREF _Toc58860172 \h </w:instrText>
      </w:r>
      <w:r>
        <w:rPr>
          <w:color w:val="auto"/>
          <w:highlight w:val="none"/>
        </w:rPr>
        <w:fldChar w:fldCharType="separate"/>
      </w:r>
      <w:r>
        <w:rPr>
          <w:color w:val="auto"/>
          <w:highlight w:val="none"/>
        </w:rPr>
        <w:t>100</w:t>
      </w:r>
      <w:r>
        <w:rPr>
          <w:color w:val="auto"/>
          <w:highlight w:val="none"/>
        </w:rPr>
        <w:fldChar w:fldCharType="end"/>
      </w:r>
      <w:r>
        <w:rPr>
          <w:color w:val="auto"/>
          <w:highlight w:val="none"/>
        </w:rPr>
        <w:fldChar w:fldCharType="end"/>
      </w:r>
    </w:p>
    <w:p w14:paraId="19604A79">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"_Toc58860183" </w:instrText>
      </w:r>
      <w:r>
        <w:rPr>
          <w:color w:val="auto"/>
          <w:highlight w:val="none"/>
        </w:rPr>
        <w:fldChar w:fldCharType="separate"/>
      </w:r>
      <w:r>
        <w:rPr>
          <w:rStyle w:val="53"/>
          <w:rFonts w:ascii="宋体" w:hAnsi="宋体" w:cs="宋体"/>
          <w:color w:val="auto"/>
          <w:kern w:val="0"/>
          <w:highlight w:val="none"/>
          <w:lang w:bidi="ar"/>
        </w:rPr>
        <w:t>第3条  发包人的管理</w:t>
      </w:r>
      <w:r>
        <w:rPr>
          <w:color w:val="auto"/>
          <w:highlight w:val="none"/>
        </w:rPr>
        <w:tab/>
      </w:r>
      <w:r>
        <w:rPr>
          <w:color w:val="auto"/>
          <w:highlight w:val="none"/>
        </w:rPr>
        <w:fldChar w:fldCharType="begin"/>
      </w:r>
      <w:r>
        <w:rPr>
          <w:color w:val="auto"/>
          <w:highlight w:val="none"/>
        </w:rPr>
        <w:instrText xml:space="preserve"> PAGEREF _Toc58860183 \h </w:instrText>
      </w:r>
      <w:r>
        <w:rPr>
          <w:color w:val="auto"/>
          <w:highlight w:val="none"/>
        </w:rPr>
        <w:fldChar w:fldCharType="separate"/>
      </w:r>
      <w:r>
        <w:rPr>
          <w:color w:val="auto"/>
          <w:highlight w:val="none"/>
        </w:rPr>
        <w:t>102</w:t>
      </w:r>
      <w:r>
        <w:rPr>
          <w:color w:val="auto"/>
          <w:highlight w:val="none"/>
        </w:rPr>
        <w:fldChar w:fldCharType="end"/>
      </w:r>
      <w:r>
        <w:rPr>
          <w:color w:val="auto"/>
          <w:highlight w:val="none"/>
        </w:rPr>
        <w:fldChar w:fldCharType="end"/>
      </w:r>
    </w:p>
    <w:p w14:paraId="09B27A27">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"_Toc58860191" </w:instrText>
      </w:r>
      <w:r>
        <w:rPr>
          <w:color w:val="auto"/>
          <w:highlight w:val="none"/>
        </w:rPr>
        <w:fldChar w:fldCharType="separate"/>
      </w:r>
      <w:r>
        <w:rPr>
          <w:rStyle w:val="53"/>
          <w:rFonts w:ascii="宋体" w:hAnsi="宋体" w:cs="宋体"/>
          <w:color w:val="auto"/>
          <w:kern w:val="0"/>
          <w:highlight w:val="none"/>
          <w:lang w:bidi="ar"/>
        </w:rPr>
        <w:t>第4条  承包人</w:t>
      </w:r>
      <w:r>
        <w:rPr>
          <w:color w:val="auto"/>
          <w:highlight w:val="none"/>
        </w:rPr>
        <w:tab/>
      </w:r>
      <w:r>
        <w:rPr>
          <w:color w:val="auto"/>
          <w:highlight w:val="none"/>
        </w:rPr>
        <w:fldChar w:fldCharType="begin"/>
      </w:r>
      <w:r>
        <w:rPr>
          <w:color w:val="auto"/>
          <w:highlight w:val="none"/>
        </w:rPr>
        <w:instrText xml:space="preserve"> PAGEREF _Toc58860191 \h </w:instrText>
      </w:r>
      <w:r>
        <w:rPr>
          <w:color w:val="auto"/>
          <w:highlight w:val="none"/>
        </w:rPr>
        <w:fldChar w:fldCharType="separate"/>
      </w:r>
      <w:r>
        <w:rPr>
          <w:color w:val="auto"/>
          <w:highlight w:val="none"/>
        </w:rPr>
        <w:t>104</w:t>
      </w:r>
      <w:r>
        <w:rPr>
          <w:color w:val="auto"/>
          <w:highlight w:val="none"/>
        </w:rPr>
        <w:fldChar w:fldCharType="end"/>
      </w:r>
      <w:r>
        <w:rPr>
          <w:color w:val="auto"/>
          <w:highlight w:val="none"/>
        </w:rPr>
        <w:fldChar w:fldCharType="end"/>
      </w:r>
    </w:p>
    <w:p w14:paraId="3AE18009">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"_Toc58860201" </w:instrText>
      </w:r>
      <w:r>
        <w:rPr>
          <w:color w:val="auto"/>
          <w:highlight w:val="none"/>
        </w:rPr>
        <w:fldChar w:fldCharType="separate"/>
      </w:r>
      <w:r>
        <w:rPr>
          <w:rStyle w:val="53"/>
          <w:rFonts w:ascii="宋体" w:hAnsi="宋体" w:cs="宋体"/>
          <w:color w:val="auto"/>
          <w:kern w:val="0"/>
          <w:highlight w:val="none"/>
          <w:lang w:bidi="ar"/>
        </w:rPr>
        <w:t>第5条  设计</w:t>
      </w:r>
      <w:r>
        <w:rPr>
          <w:color w:val="auto"/>
          <w:highlight w:val="none"/>
        </w:rPr>
        <w:tab/>
      </w:r>
      <w:r>
        <w:rPr>
          <w:color w:val="auto"/>
          <w:highlight w:val="none"/>
        </w:rPr>
        <w:fldChar w:fldCharType="begin"/>
      </w:r>
      <w:r>
        <w:rPr>
          <w:color w:val="auto"/>
          <w:highlight w:val="none"/>
        </w:rPr>
        <w:instrText xml:space="preserve"> PAGEREF _Toc58860201 \h </w:instrText>
      </w:r>
      <w:r>
        <w:rPr>
          <w:color w:val="auto"/>
          <w:highlight w:val="none"/>
        </w:rPr>
        <w:fldChar w:fldCharType="separate"/>
      </w:r>
      <w:r>
        <w:rPr>
          <w:color w:val="auto"/>
          <w:highlight w:val="none"/>
        </w:rPr>
        <w:t>109</w:t>
      </w:r>
      <w:r>
        <w:rPr>
          <w:color w:val="auto"/>
          <w:highlight w:val="none"/>
        </w:rPr>
        <w:fldChar w:fldCharType="end"/>
      </w:r>
      <w:r>
        <w:rPr>
          <w:color w:val="auto"/>
          <w:highlight w:val="none"/>
        </w:rPr>
        <w:fldChar w:fldCharType="end"/>
      </w:r>
    </w:p>
    <w:p w14:paraId="4B1CC2A0">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"_Toc58860208" </w:instrText>
      </w:r>
      <w:r>
        <w:rPr>
          <w:color w:val="auto"/>
          <w:highlight w:val="none"/>
        </w:rPr>
        <w:fldChar w:fldCharType="separate"/>
      </w:r>
      <w:r>
        <w:rPr>
          <w:rStyle w:val="53"/>
          <w:rFonts w:ascii="宋体" w:hAnsi="宋体" w:cs="宋体"/>
          <w:color w:val="auto"/>
          <w:kern w:val="0"/>
          <w:highlight w:val="none"/>
          <w:lang w:bidi="ar"/>
        </w:rPr>
        <w:t>第6条  材料、工程设备</w:t>
      </w:r>
      <w:r>
        <w:rPr>
          <w:color w:val="auto"/>
          <w:highlight w:val="none"/>
        </w:rPr>
        <w:tab/>
      </w:r>
      <w:r>
        <w:rPr>
          <w:color w:val="auto"/>
          <w:highlight w:val="none"/>
        </w:rPr>
        <w:fldChar w:fldCharType="begin"/>
      </w:r>
      <w:r>
        <w:rPr>
          <w:color w:val="auto"/>
          <w:highlight w:val="none"/>
        </w:rPr>
        <w:instrText xml:space="preserve"> PAGEREF _Toc58860208 \h </w:instrText>
      </w:r>
      <w:r>
        <w:rPr>
          <w:color w:val="auto"/>
          <w:highlight w:val="none"/>
        </w:rPr>
        <w:fldChar w:fldCharType="separate"/>
      </w:r>
      <w:r>
        <w:rPr>
          <w:color w:val="auto"/>
          <w:highlight w:val="none"/>
        </w:rPr>
        <w:t>112</w:t>
      </w:r>
      <w:r>
        <w:rPr>
          <w:color w:val="auto"/>
          <w:highlight w:val="none"/>
        </w:rPr>
        <w:fldChar w:fldCharType="end"/>
      </w:r>
      <w:r>
        <w:rPr>
          <w:color w:val="auto"/>
          <w:highlight w:val="none"/>
        </w:rPr>
        <w:fldChar w:fldCharType="end"/>
      </w:r>
    </w:p>
    <w:p w14:paraId="57DD19F4">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"_Toc58860215" </w:instrText>
      </w:r>
      <w:r>
        <w:rPr>
          <w:color w:val="auto"/>
          <w:highlight w:val="none"/>
        </w:rPr>
        <w:fldChar w:fldCharType="separate"/>
      </w:r>
      <w:r>
        <w:rPr>
          <w:rStyle w:val="53"/>
          <w:rFonts w:ascii="宋体" w:hAnsi="宋体" w:cs="宋体"/>
          <w:color w:val="auto"/>
          <w:kern w:val="0"/>
          <w:highlight w:val="none"/>
          <w:lang w:bidi="ar"/>
        </w:rPr>
        <w:t>第7条  施工</w:t>
      </w:r>
      <w:r>
        <w:rPr>
          <w:color w:val="auto"/>
          <w:highlight w:val="none"/>
        </w:rPr>
        <w:tab/>
      </w:r>
      <w:r>
        <w:rPr>
          <w:color w:val="auto"/>
          <w:highlight w:val="none"/>
        </w:rPr>
        <w:fldChar w:fldCharType="begin"/>
      </w:r>
      <w:r>
        <w:rPr>
          <w:color w:val="auto"/>
          <w:highlight w:val="none"/>
        </w:rPr>
        <w:instrText xml:space="preserve"> PAGEREF _Toc58860215 \h </w:instrText>
      </w:r>
      <w:r>
        <w:rPr>
          <w:color w:val="auto"/>
          <w:highlight w:val="none"/>
        </w:rPr>
        <w:fldChar w:fldCharType="separate"/>
      </w:r>
      <w:r>
        <w:rPr>
          <w:color w:val="auto"/>
          <w:highlight w:val="none"/>
        </w:rPr>
        <w:t>118</w:t>
      </w:r>
      <w:r>
        <w:rPr>
          <w:color w:val="auto"/>
          <w:highlight w:val="none"/>
        </w:rPr>
        <w:fldChar w:fldCharType="end"/>
      </w:r>
      <w:r>
        <w:rPr>
          <w:color w:val="auto"/>
          <w:highlight w:val="none"/>
        </w:rPr>
        <w:fldChar w:fldCharType="end"/>
      </w:r>
    </w:p>
    <w:p w14:paraId="25D2803C">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"_Toc58860227" </w:instrText>
      </w:r>
      <w:r>
        <w:rPr>
          <w:color w:val="auto"/>
          <w:highlight w:val="none"/>
        </w:rPr>
        <w:fldChar w:fldCharType="separate"/>
      </w:r>
      <w:r>
        <w:rPr>
          <w:rStyle w:val="53"/>
          <w:rFonts w:ascii="宋体" w:hAnsi="宋体" w:cs="宋体"/>
          <w:color w:val="auto"/>
          <w:kern w:val="0"/>
          <w:highlight w:val="none"/>
          <w:lang w:bidi="ar"/>
        </w:rPr>
        <w:t>第8条  工期和进度</w:t>
      </w:r>
      <w:r>
        <w:rPr>
          <w:color w:val="auto"/>
          <w:highlight w:val="none"/>
        </w:rPr>
        <w:tab/>
      </w:r>
      <w:r>
        <w:rPr>
          <w:color w:val="auto"/>
          <w:highlight w:val="none"/>
        </w:rPr>
        <w:fldChar w:fldCharType="begin"/>
      </w:r>
      <w:r>
        <w:rPr>
          <w:color w:val="auto"/>
          <w:highlight w:val="none"/>
        </w:rPr>
        <w:instrText xml:space="preserve"> PAGEREF _Toc58860227 \h </w:instrText>
      </w:r>
      <w:r>
        <w:rPr>
          <w:color w:val="auto"/>
          <w:highlight w:val="none"/>
        </w:rPr>
        <w:fldChar w:fldCharType="separate"/>
      </w:r>
      <w:r>
        <w:rPr>
          <w:color w:val="auto"/>
          <w:highlight w:val="none"/>
        </w:rPr>
        <w:t>124</w:t>
      </w:r>
      <w:r>
        <w:rPr>
          <w:color w:val="auto"/>
          <w:highlight w:val="none"/>
        </w:rPr>
        <w:fldChar w:fldCharType="end"/>
      </w:r>
      <w:r>
        <w:rPr>
          <w:color w:val="auto"/>
          <w:highlight w:val="none"/>
        </w:rPr>
        <w:fldChar w:fldCharType="end"/>
      </w:r>
    </w:p>
    <w:p w14:paraId="79C71AED">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"_Toc58860238" </w:instrText>
      </w:r>
      <w:r>
        <w:rPr>
          <w:color w:val="auto"/>
          <w:highlight w:val="none"/>
        </w:rPr>
        <w:fldChar w:fldCharType="separate"/>
      </w:r>
      <w:r>
        <w:rPr>
          <w:rStyle w:val="53"/>
          <w:rFonts w:ascii="宋体" w:hAnsi="宋体" w:cs="宋体"/>
          <w:color w:val="auto"/>
          <w:kern w:val="0"/>
          <w:highlight w:val="none"/>
          <w:lang w:bidi="ar"/>
        </w:rPr>
        <w:t>第9条  竣工试验</w:t>
      </w:r>
      <w:r>
        <w:rPr>
          <w:color w:val="auto"/>
          <w:highlight w:val="none"/>
        </w:rPr>
        <w:tab/>
      </w:r>
      <w:r>
        <w:rPr>
          <w:color w:val="auto"/>
          <w:highlight w:val="none"/>
        </w:rPr>
        <w:fldChar w:fldCharType="begin"/>
      </w:r>
      <w:r>
        <w:rPr>
          <w:color w:val="auto"/>
          <w:highlight w:val="none"/>
        </w:rPr>
        <w:instrText xml:space="preserve"> PAGEREF _Toc58860238 \h </w:instrText>
      </w:r>
      <w:r>
        <w:rPr>
          <w:color w:val="auto"/>
          <w:highlight w:val="none"/>
        </w:rPr>
        <w:fldChar w:fldCharType="separate"/>
      </w:r>
      <w:r>
        <w:rPr>
          <w:color w:val="auto"/>
          <w:highlight w:val="none"/>
        </w:rPr>
        <w:t>129</w:t>
      </w:r>
      <w:r>
        <w:rPr>
          <w:color w:val="auto"/>
          <w:highlight w:val="none"/>
        </w:rPr>
        <w:fldChar w:fldCharType="end"/>
      </w:r>
      <w:r>
        <w:rPr>
          <w:color w:val="auto"/>
          <w:highlight w:val="none"/>
        </w:rPr>
        <w:fldChar w:fldCharType="end"/>
      </w:r>
    </w:p>
    <w:p w14:paraId="053559A4">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"_Toc58860243" </w:instrText>
      </w:r>
      <w:r>
        <w:rPr>
          <w:color w:val="auto"/>
          <w:highlight w:val="none"/>
        </w:rPr>
        <w:fldChar w:fldCharType="separate"/>
      </w:r>
      <w:r>
        <w:rPr>
          <w:rStyle w:val="53"/>
          <w:rFonts w:ascii="宋体" w:hAnsi="宋体" w:cs="宋体"/>
          <w:color w:val="auto"/>
          <w:kern w:val="0"/>
          <w:highlight w:val="none"/>
          <w:lang w:bidi="ar"/>
        </w:rPr>
        <w:t>第10条  验收和工程接收</w:t>
      </w:r>
      <w:r>
        <w:rPr>
          <w:color w:val="auto"/>
          <w:highlight w:val="none"/>
        </w:rPr>
        <w:tab/>
      </w:r>
      <w:r>
        <w:rPr>
          <w:color w:val="auto"/>
          <w:highlight w:val="none"/>
        </w:rPr>
        <w:fldChar w:fldCharType="begin"/>
      </w:r>
      <w:r>
        <w:rPr>
          <w:color w:val="auto"/>
          <w:highlight w:val="none"/>
        </w:rPr>
        <w:instrText xml:space="preserve"> PAGEREF _Toc58860243 \h </w:instrText>
      </w:r>
      <w:r>
        <w:rPr>
          <w:color w:val="auto"/>
          <w:highlight w:val="none"/>
        </w:rPr>
        <w:fldChar w:fldCharType="separate"/>
      </w:r>
      <w:r>
        <w:rPr>
          <w:color w:val="auto"/>
          <w:highlight w:val="none"/>
        </w:rPr>
        <w:t>131</w:t>
      </w:r>
      <w:r>
        <w:rPr>
          <w:color w:val="auto"/>
          <w:highlight w:val="none"/>
        </w:rPr>
        <w:fldChar w:fldCharType="end"/>
      </w:r>
      <w:r>
        <w:rPr>
          <w:color w:val="auto"/>
          <w:highlight w:val="none"/>
        </w:rPr>
        <w:fldChar w:fldCharType="end"/>
      </w:r>
    </w:p>
    <w:p w14:paraId="1AE8EA2A">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"_Toc58860249" </w:instrText>
      </w:r>
      <w:r>
        <w:rPr>
          <w:color w:val="auto"/>
          <w:highlight w:val="none"/>
        </w:rPr>
        <w:fldChar w:fldCharType="separate"/>
      </w:r>
      <w:r>
        <w:rPr>
          <w:rStyle w:val="53"/>
          <w:rFonts w:ascii="宋体" w:hAnsi="宋体" w:cs="宋体"/>
          <w:color w:val="auto"/>
          <w:kern w:val="0"/>
          <w:highlight w:val="none"/>
          <w:lang w:bidi="ar"/>
        </w:rPr>
        <w:t>第11条  缺陷责任与保修</w:t>
      </w:r>
      <w:r>
        <w:rPr>
          <w:color w:val="auto"/>
          <w:highlight w:val="none"/>
        </w:rPr>
        <w:tab/>
      </w:r>
      <w:r>
        <w:rPr>
          <w:color w:val="auto"/>
          <w:highlight w:val="none"/>
        </w:rPr>
        <w:fldChar w:fldCharType="begin"/>
      </w:r>
      <w:r>
        <w:rPr>
          <w:color w:val="auto"/>
          <w:highlight w:val="none"/>
        </w:rPr>
        <w:instrText xml:space="preserve"> PAGEREF _Toc58860249 \h </w:instrText>
      </w:r>
      <w:r>
        <w:rPr>
          <w:color w:val="auto"/>
          <w:highlight w:val="none"/>
        </w:rPr>
        <w:fldChar w:fldCharType="separate"/>
      </w:r>
      <w:r>
        <w:rPr>
          <w:color w:val="auto"/>
          <w:highlight w:val="none"/>
        </w:rPr>
        <w:t>134</w:t>
      </w:r>
      <w:r>
        <w:rPr>
          <w:color w:val="auto"/>
          <w:highlight w:val="none"/>
        </w:rPr>
        <w:fldChar w:fldCharType="end"/>
      </w:r>
      <w:r>
        <w:rPr>
          <w:color w:val="auto"/>
          <w:highlight w:val="none"/>
        </w:rPr>
        <w:fldChar w:fldCharType="end"/>
      </w:r>
    </w:p>
    <w:p w14:paraId="3BD552A5">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"_Toc58860258" </w:instrText>
      </w:r>
      <w:r>
        <w:rPr>
          <w:color w:val="auto"/>
          <w:highlight w:val="none"/>
        </w:rPr>
        <w:fldChar w:fldCharType="separate"/>
      </w:r>
      <w:r>
        <w:rPr>
          <w:rStyle w:val="53"/>
          <w:rFonts w:ascii="宋体" w:hAnsi="宋体" w:cs="宋体"/>
          <w:color w:val="auto"/>
          <w:kern w:val="0"/>
          <w:highlight w:val="none"/>
          <w:lang w:bidi="ar"/>
        </w:rPr>
        <w:t>第12条  竣工后试验</w:t>
      </w:r>
      <w:r>
        <w:rPr>
          <w:color w:val="auto"/>
          <w:highlight w:val="none"/>
        </w:rPr>
        <w:tab/>
      </w:r>
      <w:r>
        <w:rPr>
          <w:color w:val="auto"/>
          <w:highlight w:val="none"/>
        </w:rPr>
        <w:fldChar w:fldCharType="begin"/>
      </w:r>
      <w:r>
        <w:rPr>
          <w:color w:val="auto"/>
          <w:highlight w:val="none"/>
        </w:rPr>
        <w:instrText xml:space="preserve"> PAGEREF _Toc58860258 \h </w:instrText>
      </w:r>
      <w:r>
        <w:rPr>
          <w:color w:val="auto"/>
          <w:highlight w:val="none"/>
        </w:rPr>
        <w:fldChar w:fldCharType="separate"/>
      </w:r>
      <w:r>
        <w:rPr>
          <w:color w:val="auto"/>
          <w:highlight w:val="none"/>
        </w:rPr>
        <w:t>136</w:t>
      </w:r>
      <w:r>
        <w:rPr>
          <w:color w:val="auto"/>
          <w:highlight w:val="none"/>
        </w:rPr>
        <w:fldChar w:fldCharType="end"/>
      </w:r>
      <w:r>
        <w:rPr>
          <w:color w:val="auto"/>
          <w:highlight w:val="none"/>
        </w:rPr>
        <w:fldChar w:fldCharType="end"/>
      </w:r>
    </w:p>
    <w:p w14:paraId="3A48A898">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"_Toc58860263" </w:instrText>
      </w:r>
      <w:r>
        <w:rPr>
          <w:color w:val="auto"/>
          <w:highlight w:val="none"/>
        </w:rPr>
        <w:fldChar w:fldCharType="separate"/>
      </w:r>
      <w:r>
        <w:rPr>
          <w:rStyle w:val="53"/>
          <w:rFonts w:ascii="宋体" w:hAnsi="宋体" w:cs="宋体"/>
          <w:color w:val="auto"/>
          <w:kern w:val="0"/>
          <w:highlight w:val="none"/>
          <w:lang w:bidi="ar"/>
        </w:rPr>
        <w:t>第13条  变更与调整</w:t>
      </w:r>
      <w:r>
        <w:rPr>
          <w:color w:val="auto"/>
          <w:highlight w:val="none"/>
        </w:rPr>
        <w:tab/>
      </w:r>
      <w:r>
        <w:rPr>
          <w:color w:val="auto"/>
          <w:highlight w:val="none"/>
        </w:rPr>
        <w:fldChar w:fldCharType="begin"/>
      </w:r>
      <w:r>
        <w:rPr>
          <w:color w:val="auto"/>
          <w:highlight w:val="none"/>
        </w:rPr>
        <w:instrText xml:space="preserve"> PAGEREF _Toc58860263 \h </w:instrText>
      </w:r>
      <w:r>
        <w:rPr>
          <w:color w:val="auto"/>
          <w:highlight w:val="none"/>
        </w:rPr>
        <w:fldChar w:fldCharType="separate"/>
      </w:r>
      <w:r>
        <w:rPr>
          <w:color w:val="auto"/>
          <w:highlight w:val="none"/>
        </w:rPr>
        <w:t>137</w:t>
      </w:r>
      <w:r>
        <w:rPr>
          <w:color w:val="auto"/>
          <w:highlight w:val="none"/>
        </w:rPr>
        <w:fldChar w:fldCharType="end"/>
      </w:r>
      <w:r>
        <w:rPr>
          <w:color w:val="auto"/>
          <w:highlight w:val="none"/>
        </w:rPr>
        <w:fldChar w:fldCharType="end"/>
      </w:r>
    </w:p>
    <w:p w14:paraId="74D484ED">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"_Toc58860271" </w:instrText>
      </w:r>
      <w:r>
        <w:rPr>
          <w:color w:val="auto"/>
          <w:highlight w:val="none"/>
        </w:rPr>
        <w:fldChar w:fldCharType="separate"/>
      </w:r>
      <w:r>
        <w:rPr>
          <w:rStyle w:val="53"/>
          <w:rFonts w:ascii="宋体" w:hAnsi="宋体" w:cs="宋体"/>
          <w:color w:val="auto"/>
          <w:kern w:val="0"/>
          <w:highlight w:val="none"/>
          <w:lang w:bidi="ar"/>
        </w:rPr>
        <w:t>第14条  合同价格与支付</w:t>
      </w:r>
      <w:r>
        <w:rPr>
          <w:color w:val="auto"/>
          <w:highlight w:val="none"/>
        </w:rPr>
        <w:tab/>
      </w:r>
      <w:r>
        <w:rPr>
          <w:color w:val="auto"/>
          <w:highlight w:val="none"/>
        </w:rPr>
        <w:fldChar w:fldCharType="begin"/>
      </w:r>
      <w:r>
        <w:rPr>
          <w:color w:val="auto"/>
          <w:highlight w:val="none"/>
        </w:rPr>
        <w:instrText xml:space="preserve"> PAGEREF _Toc58860271 \h </w:instrText>
      </w:r>
      <w:r>
        <w:rPr>
          <w:color w:val="auto"/>
          <w:highlight w:val="none"/>
        </w:rPr>
        <w:fldChar w:fldCharType="separate"/>
      </w:r>
      <w:r>
        <w:rPr>
          <w:color w:val="auto"/>
          <w:highlight w:val="none"/>
        </w:rPr>
        <w:t>142</w:t>
      </w:r>
      <w:r>
        <w:rPr>
          <w:color w:val="auto"/>
          <w:highlight w:val="none"/>
        </w:rPr>
        <w:fldChar w:fldCharType="end"/>
      </w:r>
      <w:r>
        <w:rPr>
          <w:color w:val="auto"/>
          <w:highlight w:val="none"/>
        </w:rPr>
        <w:fldChar w:fldCharType="end"/>
      </w:r>
    </w:p>
    <w:p w14:paraId="66BE539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"_Toc58860279" </w:instrText>
      </w:r>
      <w:r>
        <w:rPr>
          <w:color w:val="auto"/>
          <w:highlight w:val="none"/>
        </w:rPr>
        <w:fldChar w:fldCharType="separate"/>
      </w:r>
      <w:r>
        <w:rPr>
          <w:rStyle w:val="53"/>
          <w:rFonts w:ascii="宋体" w:hAnsi="宋体" w:cs="宋体"/>
          <w:color w:val="auto"/>
          <w:kern w:val="0"/>
          <w:highlight w:val="none"/>
          <w:lang w:bidi="ar"/>
        </w:rPr>
        <w:t>第15条  违约</w:t>
      </w:r>
      <w:r>
        <w:rPr>
          <w:color w:val="auto"/>
          <w:highlight w:val="none"/>
        </w:rPr>
        <w:tab/>
      </w:r>
      <w:r>
        <w:rPr>
          <w:color w:val="auto"/>
          <w:highlight w:val="none"/>
        </w:rPr>
        <w:fldChar w:fldCharType="begin"/>
      </w:r>
      <w:r>
        <w:rPr>
          <w:color w:val="auto"/>
          <w:highlight w:val="none"/>
        </w:rPr>
        <w:instrText xml:space="preserve"> PAGEREF _Toc58860279 \h </w:instrText>
      </w:r>
      <w:r>
        <w:rPr>
          <w:color w:val="auto"/>
          <w:highlight w:val="none"/>
        </w:rPr>
        <w:fldChar w:fldCharType="separate"/>
      </w:r>
      <w:r>
        <w:rPr>
          <w:color w:val="auto"/>
          <w:highlight w:val="none"/>
        </w:rPr>
        <w:t>148</w:t>
      </w:r>
      <w:r>
        <w:rPr>
          <w:color w:val="auto"/>
          <w:highlight w:val="none"/>
        </w:rPr>
        <w:fldChar w:fldCharType="end"/>
      </w:r>
      <w:r>
        <w:rPr>
          <w:color w:val="auto"/>
          <w:highlight w:val="none"/>
        </w:rPr>
        <w:fldChar w:fldCharType="end"/>
      </w:r>
    </w:p>
    <w:p w14:paraId="6DBF8742">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"_Toc58860283" </w:instrText>
      </w:r>
      <w:r>
        <w:rPr>
          <w:color w:val="auto"/>
          <w:highlight w:val="none"/>
        </w:rPr>
        <w:fldChar w:fldCharType="separate"/>
      </w:r>
      <w:r>
        <w:rPr>
          <w:rStyle w:val="53"/>
          <w:rFonts w:ascii="宋体" w:hAnsi="宋体" w:cs="宋体"/>
          <w:color w:val="auto"/>
          <w:kern w:val="0"/>
          <w:highlight w:val="none"/>
          <w:lang w:bidi="ar"/>
        </w:rPr>
        <w:t>第16条  合同解除</w:t>
      </w:r>
      <w:r>
        <w:rPr>
          <w:color w:val="auto"/>
          <w:highlight w:val="none"/>
        </w:rPr>
        <w:tab/>
      </w:r>
      <w:r>
        <w:rPr>
          <w:color w:val="auto"/>
          <w:highlight w:val="none"/>
        </w:rPr>
        <w:fldChar w:fldCharType="begin"/>
      </w:r>
      <w:r>
        <w:rPr>
          <w:color w:val="auto"/>
          <w:highlight w:val="none"/>
        </w:rPr>
        <w:instrText xml:space="preserve"> PAGEREF _Toc58860283 \h </w:instrText>
      </w:r>
      <w:r>
        <w:rPr>
          <w:color w:val="auto"/>
          <w:highlight w:val="none"/>
        </w:rPr>
        <w:fldChar w:fldCharType="separate"/>
      </w:r>
      <w:r>
        <w:rPr>
          <w:color w:val="auto"/>
          <w:highlight w:val="none"/>
        </w:rPr>
        <w:t>149</w:t>
      </w:r>
      <w:r>
        <w:rPr>
          <w:color w:val="auto"/>
          <w:highlight w:val="none"/>
        </w:rPr>
        <w:fldChar w:fldCharType="end"/>
      </w:r>
      <w:r>
        <w:rPr>
          <w:color w:val="auto"/>
          <w:highlight w:val="none"/>
        </w:rPr>
        <w:fldChar w:fldCharType="end"/>
      </w:r>
    </w:p>
    <w:p w14:paraId="0EC93EF3">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"_Toc58860287" </w:instrText>
      </w:r>
      <w:r>
        <w:rPr>
          <w:color w:val="auto"/>
          <w:highlight w:val="none"/>
        </w:rPr>
        <w:fldChar w:fldCharType="separate"/>
      </w:r>
      <w:r>
        <w:rPr>
          <w:rStyle w:val="53"/>
          <w:rFonts w:ascii="宋体" w:hAnsi="宋体" w:cs="宋体"/>
          <w:color w:val="auto"/>
          <w:kern w:val="0"/>
          <w:highlight w:val="none"/>
          <w:lang w:bidi="ar"/>
        </w:rPr>
        <w:t>第17条  不可抗力</w:t>
      </w:r>
      <w:r>
        <w:rPr>
          <w:color w:val="auto"/>
          <w:highlight w:val="none"/>
        </w:rPr>
        <w:tab/>
      </w:r>
      <w:r>
        <w:rPr>
          <w:color w:val="auto"/>
          <w:highlight w:val="none"/>
        </w:rPr>
        <w:fldChar w:fldCharType="begin"/>
      </w:r>
      <w:r>
        <w:rPr>
          <w:color w:val="auto"/>
          <w:highlight w:val="none"/>
        </w:rPr>
        <w:instrText xml:space="preserve"> PAGEREF _Toc58860287 \h </w:instrText>
      </w:r>
      <w:r>
        <w:rPr>
          <w:color w:val="auto"/>
          <w:highlight w:val="none"/>
        </w:rPr>
        <w:fldChar w:fldCharType="separate"/>
      </w:r>
      <w:r>
        <w:rPr>
          <w:color w:val="auto"/>
          <w:highlight w:val="none"/>
        </w:rPr>
        <w:t>153</w:t>
      </w:r>
      <w:r>
        <w:rPr>
          <w:color w:val="auto"/>
          <w:highlight w:val="none"/>
        </w:rPr>
        <w:fldChar w:fldCharType="end"/>
      </w:r>
      <w:r>
        <w:rPr>
          <w:color w:val="auto"/>
          <w:highlight w:val="none"/>
        </w:rPr>
        <w:fldChar w:fldCharType="end"/>
      </w:r>
    </w:p>
    <w:p w14:paraId="0338A51C">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"_Toc58860294" </w:instrText>
      </w:r>
      <w:r>
        <w:rPr>
          <w:color w:val="auto"/>
          <w:highlight w:val="none"/>
        </w:rPr>
        <w:fldChar w:fldCharType="separate"/>
      </w:r>
      <w:r>
        <w:rPr>
          <w:rStyle w:val="53"/>
          <w:rFonts w:ascii="宋体" w:hAnsi="宋体" w:cs="宋体"/>
          <w:color w:val="auto"/>
          <w:kern w:val="0"/>
          <w:highlight w:val="none"/>
          <w:lang w:bidi="ar"/>
        </w:rPr>
        <w:t>第18条  保险</w:t>
      </w:r>
      <w:r>
        <w:rPr>
          <w:color w:val="auto"/>
          <w:highlight w:val="none"/>
        </w:rPr>
        <w:tab/>
      </w:r>
      <w:r>
        <w:rPr>
          <w:color w:val="auto"/>
          <w:highlight w:val="none"/>
        </w:rPr>
        <w:fldChar w:fldCharType="begin"/>
      </w:r>
      <w:r>
        <w:rPr>
          <w:color w:val="auto"/>
          <w:highlight w:val="none"/>
        </w:rPr>
        <w:instrText xml:space="preserve"> PAGEREF _Toc58860294 \h </w:instrText>
      </w:r>
      <w:r>
        <w:rPr>
          <w:color w:val="auto"/>
          <w:highlight w:val="none"/>
        </w:rPr>
        <w:fldChar w:fldCharType="separate"/>
      </w:r>
      <w:r>
        <w:rPr>
          <w:color w:val="auto"/>
          <w:highlight w:val="none"/>
        </w:rPr>
        <w:t>155</w:t>
      </w:r>
      <w:r>
        <w:rPr>
          <w:color w:val="auto"/>
          <w:highlight w:val="none"/>
        </w:rPr>
        <w:fldChar w:fldCharType="end"/>
      </w:r>
      <w:r>
        <w:rPr>
          <w:color w:val="auto"/>
          <w:highlight w:val="none"/>
        </w:rPr>
        <w:fldChar w:fldCharType="end"/>
      </w:r>
    </w:p>
    <w:p w14:paraId="7565EB0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"_Toc58860300" </w:instrText>
      </w:r>
      <w:r>
        <w:rPr>
          <w:color w:val="auto"/>
          <w:highlight w:val="none"/>
        </w:rPr>
        <w:fldChar w:fldCharType="separate"/>
      </w:r>
      <w:r>
        <w:rPr>
          <w:rStyle w:val="53"/>
          <w:rFonts w:ascii="宋体" w:hAnsi="宋体" w:cs="宋体"/>
          <w:color w:val="auto"/>
          <w:kern w:val="0"/>
          <w:highlight w:val="none"/>
          <w:lang w:bidi="ar"/>
        </w:rPr>
        <w:t>第19条  索赔</w:t>
      </w:r>
      <w:r>
        <w:rPr>
          <w:color w:val="auto"/>
          <w:highlight w:val="none"/>
        </w:rPr>
        <w:tab/>
      </w:r>
      <w:r>
        <w:rPr>
          <w:color w:val="auto"/>
          <w:highlight w:val="none"/>
        </w:rPr>
        <w:fldChar w:fldCharType="begin"/>
      </w:r>
      <w:r>
        <w:rPr>
          <w:color w:val="auto"/>
          <w:highlight w:val="none"/>
        </w:rPr>
        <w:instrText xml:space="preserve"> PAGEREF _Toc58860300 \h </w:instrText>
      </w:r>
      <w:r>
        <w:rPr>
          <w:color w:val="auto"/>
          <w:highlight w:val="none"/>
        </w:rPr>
        <w:fldChar w:fldCharType="separate"/>
      </w:r>
      <w:r>
        <w:rPr>
          <w:color w:val="auto"/>
          <w:highlight w:val="none"/>
        </w:rPr>
        <w:t>156</w:t>
      </w:r>
      <w:r>
        <w:rPr>
          <w:color w:val="auto"/>
          <w:highlight w:val="none"/>
        </w:rPr>
        <w:fldChar w:fldCharType="end"/>
      </w:r>
      <w:r>
        <w:rPr>
          <w:color w:val="auto"/>
          <w:highlight w:val="none"/>
        </w:rPr>
        <w:fldChar w:fldCharType="end"/>
      </w:r>
    </w:p>
    <w:p w14:paraId="1EAB130D">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"_Toc58860305" </w:instrText>
      </w:r>
      <w:r>
        <w:rPr>
          <w:color w:val="auto"/>
          <w:highlight w:val="none"/>
        </w:rPr>
        <w:fldChar w:fldCharType="separate"/>
      </w:r>
      <w:r>
        <w:rPr>
          <w:rStyle w:val="53"/>
          <w:rFonts w:ascii="宋体" w:hAnsi="宋体" w:cs="宋体"/>
          <w:color w:val="auto"/>
          <w:kern w:val="0"/>
          <w:highlight w:val="none"/>
          <w:lang w:bidi="ar"/>
        </w:rPr>
        <w:t>第20条  争议解决</w:t>
      </w:r>
      <w:r>
        <w:rPr>
          <w:color w:val="auto"/>
          <w:highlight w:val="none"/>
        </w:rPr>
        <w:tab/>
      </w:r>
      <w:r>
        <w:rPr>
          <w:color w:val="auto"/>
          <w:highlight w:val="none"/>
        </w:rPr>
        <w:fldChar w:fldCharType="begin"/>
      </w:r>
      <w:r>
        <w:rPr>
          <w:color w:val="auto"/>
          <w:highlight w:val="none"/>
        </w:rPr>
        <w:instrText xml:space="preserve"> PAGEREF _Toc58860305 \h </w:instrText>
      </w:r>
      <w:r>
        <w:rPr>
          <w:color w:val="auto"/>
          <w:highlight w:val="none"/>
        </w:rPr>
        <w:fldChar w:fldCharType="separate"/>
      </w:r>
      <w:r>
        <w:rPr>
          <w:color w:val="auto"/>
          <w:highlight w:val="none"/>
        </w:rPr>
        <w:t>158</w:t>
      </w:r>
      <w:r>
        <w:rPr>
          <w:color w:val="auto"/>
          <w:highlight w:val="none"/>
        </w:rPr>
        <w:fldChar w:fldCharType="end"/>
      </w:r>
      <w:r>
        <w:rPr>
          <w:color w:val="auto"/>
          <w:highlight w:val="none"/>
        </w:rPr>
        <w:fldChar w:fldCharType="end"/>
      </w:r>
    </w:p>
    <w:p w14:paraId="312CAC84">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"_Toc58860311" </w:instrText>
      </w:r>
      <w:r>
        <w:rPr>
          <w:color w:val="auto"/>
          <w:highlight w:val="none"/>
        </w:rPr>
        <w:fldChar w:fldCharType="separate"/>
      </w:r>
      <w:r>
        <w:rPr>
          <w:rStyle w:val="53"/>
          <w:rFonts w:ascii="宋体" w:hAnsi="宋体" w:cs="宋体"/>
          <w:color w:val="auto"/>
          <w:kern w:val="44"/>
          <w:highlight w:val="none"/>
          <w:lang w:bidi="ar"/>
        </w:rPr>
        <w:t>第三部分 专用合同条件</w:t>
      </w:r>
      <w:r>
        <w:rPr>
          <w:color w:val="auto"/>
          <w:highlight w:val="none"/>
        </w:rPr>
        <w:tab/>
      </w:r>
      <w:r>
        <w:rPr>
          <w:color w:val="auto"/>
          <w:highlight w:val="none"/>
        </w:rPr>
        <w:fldChar w:fldCharType="begin"/>
      </w:r>
      <w:r>
        <w:rPr>
          <w:color w:val="auto"/>
          <w:highlight w:val="none"/>
        </w:rPr>
        <w:instrText xml:space="preserve"> PAGEREF _Toc58860311 \h </w:instrText>
      </w:r>
      <w:r>
        <w:rPr>
          <w:color w:val="auto"/>
          <w:highlight w:val="none"/>
        </w:rPr>
        <w:fldChar w:fldCharType="separate"/>
      </w:r>
      <w:r>
        <w:rPr>
          <w:color w:val="auto"/>
          <w:highlight w:val="none"/>
        </w:rPr>
        <w:t>160</w:t>
      </w:r>
      <w:r>
        <w:rPr>
          <w:color w:val="auto"/>
          <w:highlight w:val="none"/>
        </w:rPr>
        <w:fldChar w:fldCharType="end"/>
      </w:r>
      <w:r>
        <w:rPr>
          <w:color w:val="auto"/>
          <w:highlight w:val="none"/>
        </w:rPr>
        <w:fldChar w:fldCharType="end"/>
      </w:r>
    </w:p>
    <w:p w14:paraId="3E1A1FBB">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"_Toc58860312" </w:instrText>
      </w:r>
      <w:r>
        <w:rPr>
          <w:color w:val="auto"/>
          <w:highlight w:val="none"/>
        </w:rPr>
        <w:fldChar w:fldCharType="separate"/>
      </w:r>
      <w:r>
        <w:rPr>
          <w:rStyle w:val="53"/>
          <w:rFonts w:ascii="宋体" w:hAnsi="宋体" w:cs="Times"/>
          <w:color w:val="auto"/>
          <w:kern w:val="0"/>
          <w:highlight w:val="none"/>
          <w:lang w:bidi="ar"/>
        </w:rPr>
        <w:t>第1条 一般约定</w:t>
      </w:r>
      <w:r>
        <w:rPr>
          <w:color w:val="auto"/>
          <w:highlight w:val="none"/>
        </w:rPr>
        <w:tab/>
      </w:r>
      <w:r>
        <w:rPr>
          <w:color w:val="auto"/>
          <w:highlight w:val="none"/>
        </w:rPr>
        <w:fldChar w:fldCharType="begin"/>
      </w:r>
      <w:r>
        <w:rPr>
          <w:color w:val="auto"/>
          <w:highlight w:val="none"/>
        </w:rPr>
        <w:instrText xml:space="preserve"> PAGEREF _Toc58860312 \h </w:instrText>
      </w:r>
      <w:r>
        <w:rPr>
          <w:color w:val="auto"/>
          <w:highlight w:val="none"/>
        </w:rPr>
        <w:fldChar w:fldCharType="separate"/>
      </w:r>
      <w:r>
        <w:rPr>
          <w:color w:val="auto"/>
          <w:highlight w:val="none"/>
        </w:rPr>
        <w:t>160</w:t>
      </w:r>
      <w:r>
        <w:rPr>
          <w:color w:val="auto"/>
          <w:highlight w:val="none"/>
        </w:rPr>
        <w:fldChar w:fldCharType="end"/>
      </w:r>
      <w:r>
        <w:rPr>
          <w:color w:val="auto"/>
          <w:highlight w:val="none"/>
        </w:rPr>
        <w:fldChar w:fldCharType="end"/>
      </w:r>
    </w:p>
    <w:p w14:paraId="4C6905AD">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"_Toc58860313" </w:instrText>
      </w:r>
      <w:r>
        <w:rPr>
          <w:color w:val="auto"/>
          <w:highlight w:val="none"/>
        </w:rPr>
        <w:fldChar w:fldCharType="separate"/>
      </w:r>
      <w:r>
        <w:rPr>
          <w:rStyle w:val="53"/>
          <w:rFonts w:ascii="宋体" w:hAnsi="宋体" w:cs="Times"/>
          <w:color w:val="auto"/>
          <w:kern w:val="0"/>
          <w:highlight w:val="none"/>
          <w:lang w:bidi="ar"/>
        </w:rPr>
        <w:t>第2条 发包人</w:t>
      </w:r>
      <w:r>
        <w:rPr>
          <w:color w:val="auto"/>
          <w:highlight w:val="none"/>
        </w:rPr>
        <w:tab/>
      </w:r>
      <w:r>
        <w:rPr>
          <w:color w:val="auto"/>
          <w:highlight w:val="none"/>
        </w:rPr>
        <w:fldChar w:fldCharType="begin"/>
      </w:r>
      <w:r>
        <w:rPr>
          <w:color w:val="auto"/>
          <w:highlight w:val="none"/>
        </w:rPr>
        <w:instrText xml:space="preserve"> PAGEREF _Toc58860313 \h </w:instrText>
      </w:r>
      <w:r>
        <w:rPr>
          <w:color w:val="auto"/>
          <w:highlight w:val="none"/>
        </w:rPr>
        <w:fldChar w:fldCharType="separate"/>
      </w:r>
      <w:r>
        <w:rPr>
          <w:color w:val="auto"/>
          <w:highlight w:val="none"/>
        </w:rPr>
        <w:t>163</w:t>
      </w:r>
      <w:r>
        <w:rPr>
          <w:color w:val="auto"/>
          <w:highlight w:val="none"/>
        </w:rPr>
        <w:fldChar w:fldCharType="end"/>
      </w:r>
      <w:r>
        <w:rPr>
          <w:color w:val="auto"/>
          <w:highlight w:val="none"/>
        </w:rPr>
        <w:fldChar w:fldCharType="end"/>
      </w:r>
    </w:p>
    <w:p w14:paraId="2F3C2E6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"_Toc58860314" </w:instrText>
      </w:r>
      <w:r>
        <w:rPr>
          <w:color w:val="auto"/>
          <w:highlight w:val="none"/>
        </w:rPr>
        <w:fldChar w:fldCharType="separate"/>
      </w:r>
      <w:r>
        <w:rPr>
          <w:rStyle w:val="53"/>
          <w:rFonts w:ascii="宋体" w:hAnsi="宋体" w:cs="Times"/>
          <w:color w:val="auto"/>
          <w:kern w:val="0"/>
          <w:highlight w:val="none"/>
          <w:lang w:bidi="ar"/>
        </w:rPr>
        <w:t>第3条 发包人的管理</w:t>
      </w:r>
      <w:r>
        <w:rPr>
          <w:color w:val="auto"/>
          <w:highlight w:val="none"/>
        </w:rPr>
        <w:tab/>
      </w:r>
      <w:r>
        <w:rPr>
          <w:color w:val="auto"/>
          <w:highlight w:val="none"/>
        </w:rPr>
        <w:fldChar w:fldCharType="begin"/>
      </w:r>
      <w:r>
        <w:rPr>
          <w:color w:val="auto"/>
          <w:highlight w:val="none"/>
        </w:rPr>
        <w:instrText xml:space="preserve"> PAGEREF _Toc58860314 \h </w:instrText>
      </w:r>
      <w:r>
        <w:rPr>
          <w:color w:val="auto"/>
          <w:highlight w:val="none"/>
        </w:rPr>
        <w:fldChar w:fldCharType="separate"/>
      </w:r>
      <w:r>
        <w:rPr>
          <w:color w:val="auto"/>
          <w:highlight w:val="none"/>
        </w:rPr>
        <w:t>164</w:t>
      </w:r>
      <w:r>
        <w:rPr>
          <w:color w:val="auto"/>
          <w:highlight w:val="none"/>
        </w:rPr>
        <w:fldChar w:fldCharType="end"/>
      </w:r>
      <w:r>
        <w:rPr>
          <w:color w:val="auto"/>
          <w:highlight w:val="none"/>
        </w:rPr>
        <w:fldChar w:fldCharType="end"/>
      </w:r>
    </w:p>
    <w:p w14:paraId="134FF89C">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"_Toc58860315" </w:instrText>
      </w:r>
      <w:r>
        <w:rPr>
          <w:color w:val="auto"/>
          <w:highlight w:val="none"/>
        </w:rPr>
        <w:fldChar w:fldCharType="separate"/>
      </w:r>
      <w:r>
        <w:rPr>
          <w:rStyle w:val="53"/>
          <w:rFonts w:ascii="宋体" w:hAnsi="宋体" w:cs="Times"/>
          <w:color w:val="auto"/>
          <w:kern w:val="0"/>
          <w:highlight w:val="none"/>
          <w:lang w:bidi="ar"/>
        </w:rPr>
        <w:t>第4条 承包人</w:t>
      </w:r>
      <w:r>
        <w:rPr>
          <w:color w:val="auto"/>
          <w:highlight w:val="none"/>
        </w:rPr>
        <w:tab/>
      </w:r>
      <w:r>
        <w:rPr>
          <w:color w:val="auto"/>
          <w:highlight w:val="none"/>
        </w:rPr>
        <w:fldChar w:fldCharType="begin"/>
      </w:r>
      <w:r>
        <w:rPr>
          <w:color w:val="auto"/>
          <w:highlight w:val="none"/>
        </w:rPr>
        <w:instrText xml:space="preserve"> PAGEREF _Toc58860315 \h </w:instrText>
      </w:r>
      <w:r>
        <w:rPr>
          <w:color w:val="auto"/>
          <w:highlight w:val="none"/>
        </w:rPr>
        <w:fldChar w:fldCharType="separate"/>
      </w:r>
      <w:r>
        <w:rPr>
          <w:color w:val="auto"/>
          <w:highlight w:val="none"/>
        </w:rPr>
        <w:t>166</w:t>
      </w:r>
      <w:r>
        <w:rPr>
          <w:color w:val="auto"/>
          <w:highlight w:val="none"/>
        </w:rPr>
        <w:fldChar w:fldCharType="end"/>
      </w:r>
      <w:r>
        <w:rPr>
          <w:color w:val="auto"/>
          <w:highlight w:val="none"/>
        </w:rPr>
        <w:fldChar w:fldCharType="end"/>
      </w:r>
    </w:p>
    <w:p w14:paraId="454A6B72">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"_Toc58860316" </w:instrText>
      </w:r>
      <w:r>
        <w:rPr>
          <w:color w:val="auto"/>
          <w:highlight w:val="none"/>
        </w:rPr>
        <w:fldChar w:fldCharType="separate"/>
      </w:r>
      <w:r>
        <w:rPr>
          <w:rStyle w:val="53"/>
          <w:rFonts w:ascii="宋体" w:hAnsi="宋体" w:cs="Times"/>
          <w:color w:val="auto"/>
          <w:kern w:val="0"/>
          <w:highlight w:val="none"/>
          <w:lang w:bidi="ar"/>
        </w:rPr>
        <w:t>第5条 设计</w:t>
      </w:r>
      <w:r>
        <w:rPr>
          <w:color w:val="auto"/>
          <w:highlight w:val="none"/>
        </w:rPr>
        <w:tab/>
      </w:r>
      <w:r>
        <w:rPr>
          <w:color w:val="auto"/>
          <w:highlight w:val="none"/>
        </w:rPr>
        <w:fldChar w:fldCharType="begin"/>
      </w:r>
      <w:r>
        <w:rPr>
          <w:color w:val="auto"/>
          <w:highlight w:val="none"/>
        </w:rPr>
        <w:instrText xml:space="preserve"> PAGEREF _Toc58860316 \h </w:instrText>
      </w:r>
      <w:r>
        <w:rPr>
          <w:color w:val="auto"/>
          <w:highlight w:val="none"/>
        </w:rPr>
        <w:fldChar w:fldCharType="separate"/>
      </w:r>
      <w:r>
        <w:rPr>
          <w:color w:val="auto"/>
          <w:highlight w:val="none"/>
        </w:rPr>
        <w:t>173</w:t>
      </w:r>
      <w:r>
        <w:rPr>
          <w:color w:val="auto"/>
          <w:highlight w:val="none"/>
        </w:rPr>
        <w:fldChar w:fldCharType="end"/>
      </w:r>
      <w:r>
        <w:rPr>
          <w:color w:val="auto"/>
          <w:highlight w:val="none"/>
        </w:rPr>
        <w:fldChar w:fldCharType="end"/>
      </w:r>
    </w:p>
    <w:p w14:paraId="3984CCDB">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"_Toc58860317" </w:instrText>
      </w:r>
      <w:r>
        <w:rPr>
          <w:color w:val="auto"/>
          <w:highlight w:val="none"/>
        </w:rPr>
        <w:fldChar w:fldCharType="separate"/>
      </w:r>
      <w:r>
        <w:rPr>
          <w:rStyle w:val="53"/>
          <w:rFonts w:ascii="宋体" w:hAnsi="宋体" w:cs="Times"/>
          <w:color w:val="auto"/>
          <w:kern w:val="0"/>
          <w:highlight w:val="none"/>
          <w:lang w:bidi="ar"/>
        </w:rPr>
        <w:t>第6条 材料、工程设备</w:t>
      </w:r>
      <w:r>
        <w:rPr>
          <w:color w:val="auto"/>
          <w:highlight w:val="none"/>
        </w:rPr>
        <w:tab/>
      </w:r>
      <w:r>
        <w:rPr>
          <w:color w:val="auto"/>
          <w:highlight w:val="none"/>
        </w:rPr>
        <w:fldChar w:fldCharType="begin"/>
      </w:r>
      <w:r>
        <w:rPr>
          <w:color w:val="auto"/>
          <w:highlight w:val="none"/>
        </w:rPr>
        <w:instrText xml:space="preserve"> PAGEREF _Toc58860317 \h </w:instrText>
      </w:r>
      <w:r>
        <w:rPr>
          <w:color w:val="auto"/>
          <w:highlight w:val="none"/>
        </w:rPr>
        <w:fldChar w:fldCharType="separate"/>
      </w:r>
      <w:r>
        <w:rPr>
          <w:color w:val="auto"/>
          <w:highlight w:val="none"/>
        </w:rPr>
        <w:t>174</w:t>
      </w:r>
      <w:r>
        <w:rPr>
          <w:color w:val="auto"/>
          <w:highlight w:val="none"/>
        </w:rPr>
        <w:fldChar w:fldCharType="end"/>
      </w:r>
      <w:r>
        <w:rPr>
          <w:color w:val="auto"/>
          <w:highlight w:val="none"/>
        </w:rPr>
        <w:fldChar w:fldCharType="end"/>
      </w:r>
    </w:p>
    <w:p w14:paraId="76482033">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"_Toc58860318" </w:instrText>
      </w:r>
      <w:r>
        <w:rPr>
          <w:color w:val="auto"/>
          <w:highlight w:val="none"/>
        </w:rPr>
        <w:fldChar w:fldCharType="separate"/>
      </w:r>
      <w:r>
        <w:rPr>
          <w:rStyle w:val="53"/>
          <w:rFonts w:ascii="宋体" w:hAnsi="宋体" w:cs="Times"/>
          <w:color w:val="auto"/>
          <w:kern w:val="0"/>
          <w:highlight w:val="none"/>
          <w:lang w:bidi="ar"/>
        </w:rPr>
        <w:t>第7条 施工</w:t>
      </w:r>
      <w:r>
        <w:rPr>
          <w:color w:val="auto"/>
          <w:highlight w:val="none"/>
        </w:rPr>
        <w:tab/>
      </w:r>
      <w:r>
        <w:rPr>
          <w:color w:val="auto"/>
          <w:highlight w:val="none"/>
        </w:rPr>
        <w:fldChar w:fldCharType="begin"/>
      </w:r>
      <w:r>
        <w:rPr>
          <w:color w:val="auto"/>
          <w:highlight w:val="none"/>
        </w:rPr>
        <w:instrText xml:space="preserve"> PAGEREF _Toc58860318 \h </w:instrText>
      </w:r>
      <w:r>
        <w:rPr>
          <w:color w:val="auto"/>
          <w:highlight w:val="none"/>
        </w:rPr>
        <w:fldChar w:fldCharType="separate"/>
      </w:r>
      <w:r>
        <w:rPr>
          <w:color w:val="auto"/>
          <w:highlight w:val="none"/>
        </w:rPr>
        <w:t>176</w:t>
      </w:r>
      <w:r>
        <w:rPr>
          <w:color w:val="auto"/>
          <w:highlight w:val="none"/>
        </w:rPr>
        <w:fldChar w:fldCharType="end"/>
      </w:r>
      <w:r>
        <w:rPr>
          <w:color w:val="auto"/>
          <w:highlight w:val="none"/>
        </w:rPr>
        <w:fldChar w:fldCharType="end"/>
      </w:r>
    </w:p>
    <w:p w14:paraId="38761F6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"_Toc58860319" </w:instrText>
      </w:r>
      <w:r>
        <w:rPr>
          <w:color w:val="auto"/>
          <w:highlight w:val="none"/>
        </w:rPr>
        <w:fldChar w:fldCharType="separate"/>
      </w:r>
      <w:r>
        <w:rPr>
          <w:rStyle w:val="53"/>
          <w:rFonts w:ascii="宋体" w:hAnsi="宋体" w:cs="Times"/>
          <w:color w:val="auto"/>
          <w:kern w:val="0"/>
          <w:highlight w:val="none"/>
          <w:lang w:bidi="ar"/>
        </w:rPr>
        <w:t>第8条 工期和进度</w:t>
      </w:r>
      <w:r>
        <w:rPr>
          <w:color w:val="auto"/>
          <w:highlight w:val="none"/>
        </w:rPr>
        <w:tab/>
      </w:r>
      <w:r>
        <w:rPr>
          <w:color w:val="auto"/>
          <w:highlight w:val="none"/>
        </w:rPr>
        <w:fldChar w:fldCharType="begin"/>
      </w:r>
      <w:r>
        <w:rPr>
          <w:color w:val="auto"/>
          <w:highlight w:val="none"/>
        </w:rPr>
        <w:instrText xml:space="preserve"> PAGEREF _Toc58860319 \h </w:instrText>
      </w:r>
      <w:r>
        <w:rPr>
          <w:color w:val="auto"/>
          <w:highlight w:val="none"/>
        </w:rPr>
        <w:fldChar w:fldCharType="separate"/>
      </w:r>
      <w:r>
        <w:rPr>
          <w:color w:val="auto"/>
          <w:highlight w:val="none"/>
        </w:rPr>
        <w:t>179</w:t>
      </w:r>
      <w:r>
        <w:rPr>
          <w:color w:val="auto"/>
          <w:highlight w:val="none"/>
        </w:rPr>
        <w:fldChar w:fldCharType="end"/>
      </w:r>
      <w:r>
        <w:rPr>
          <w:color w:val="auto"/>
          <w:highlight w:val="none"/>
        </w:rPr>
        <w:fldChar w:fldCharType="end"/>
      </w:r>
    </w:p>
    <w:p w14:paraId="3D0D76CD">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"_Toc58860320" </w:instrText>
      </w:r>
      <w:r>
        <w:rPr>
          <w:color w:val="auto"/>
          <w:highlight w:val="none"/>
        </w:rPr>
        <w:fldChar w:fldCharType="separate"/>
      </w:r>
      <w:r>
        <w:rPr>
          <w:rStyle w:val="53"/>
          <w:rFonts w:ascii="宋体" w:hAnsi="宋体" w:cs="Times"/>
          <w:color w:val="auto"/>
          <w:kern w:val="0"/>
          <w:highlight w:val="none"/>
          <w:lang w:bidi="ar"/>
        </w:rPr>
        <w:t>第9条 竣工试验</w:t>
      </w:r>
      <w:r>
        <w:rPr>
          <w:color w:val="auto"/>
          <w:highlight w:val="none"/>
        </w:rPr>
        <w:tab/>
      </w:r>
      <w:r>
        <w:rPr>
          <w:color w:val="auto"/>
          <w:highlight w:val="none"/>
        </w:rPr>
        <w:fldChar w:fldCharType="begin"/>
      </w:r>
      <w:r>
        <w:rPr>
          <w:color w:val="auto"/>
          <w:highlight w:val="none"/>
        </w:rPr>
        <w:instrText xml:space="preserve"> PAGEREF _Toc58860320 \h </w:instrText>
      </w:r>
      <w:r>
        <w:rPr>
          <w:color w:val="auto"/>
          <w:highlight w:val="none"/>
        </w:rPr>
        <w:fldChar w:fldCharType="separate"/>
      </w:r>
      <w:r>
        <w:rPr>
          <w:color w:val="auto"/>
          <w:highlight w:val="none"/>
        </w:rPr>
        <w:t>180</w:t>
      </w:r>
      <w:r>
        <w:rPr>
          <w:color w:val="auto"/>
          <w:highlight w:val="none"/>
        </w:rPr>
        <w:fldChar w:fldCharType="end"/>
      </w:r>
      <w:r>
        <w:rPr>
          <w:color w:val="auto"/>
          <w:highlight w:val="none"/>
        </w:rPr>
        <w:fldChar w:fldCharType="end"/>
      </w:r>
    </w:p>
    <w:p w14:paraId="1B7B9A5B">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"_Toc58860321" </w:instrText>
      </w:r>
      <w:r>
        <w:rPr>
          <w:color w:val="auto"/>
          <w:highlight w:val="none"/>
        </w:rPr>
        <w:fldChar w:fldCharType="separate"/>
      </w:r>
      <w:r>
        <w:rPr>
          <w:rStyle w:val="53"/>
          <w:rFonts w:ascii="宋体" w:hAnsi="宋体" w:cs="Times"/>
          <w:color w:val="auto"/>
          <w:kern w:val="0"/>
          <w:highlight w:val="none"/>
          <w:lang w:bidi="ar"/>
        </w:rPr>
        <w:t>第10条 验收和工程接收</w:t>
      </w:r>
      <w:r>
        <w:rPr>
          <w:color w:val="auto"/>
          <w:highlight w:val="none"/>
        </w:rPr>
        <w:tab/>
      </w:r>
      <w:r>
        <w:rPr>
          <w:color w:val="auto"/>
          <w:highlight w:val="none"/>
        </w:rPr>
        <w:fldChar w:fldCharType="begin"/>
      </w:r>
      <w:r>
        <w:rPr>
          <w:color w:val="auto"/>
          <w:highlight w:val="none"/>
        </w:rPr>
        <w:instrText xml:space="preserve"> PAGEREF _Toc58860321 \h </w:instrText>
      </w:r>
      <w:r>
        <w:rPr>
          <w:color w:val="auto"/>
          <w:highlight w:val="none"/>
        </w:rPr>
        <w:fldChar w:fldCharType="separate"/>
      </w:r>
      <w:r>
        <w:rPr>
          <w:color w:val="auto"/>
          <w:highlight w:val="none"/>
        </w:rPr>
        <w:t>181</w:t>
      </w:r>
      <w:r>
        <w:rPr>
          <w:color w:val="auto"/>
          <w:highlight w:val="none"/>
        </w:rPr>
        <w:fldChar w:fldCharType="end"/>
      </w:r>
      <w:r>
        <w:rPr>
          <w:color w:val="auto"/>
          <w:highlight w:val="none"/>
        </w:rPr>
        <w:fldChar w:fldCharType="end"/>
      </w:r>
    </w:p>
    <w:p w14:paraId="03E59E94">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"_Toc58860322" </w:instrText>
      </w:r>
      <w:r>
        <w:rPr>
          <w:color w:val="auto"/>
          <w:highlight w:val="none"/>
        </w:rPr>
        <w:fldChar w:fldCharType="separate"/>
      </w:r>
      <w:r>
        <w:rPr>
          <w:rStyle w:val="53"/>
          <w:rFonts w:ascii="宋体" w:hAnsi="宋体" w:cs="Times"/>
          <w:color w:val="auto"/>
          <w:kern w:val="0"/>
          <w:highlight w:val="none"/>
          <w:lang w:bidi="ar"/>
        </w:rPr>
        <w:t>第11条 缺陷责任与保修</w:t>
      </w:r>
      <w:r>
        <w:rPr>
          <w:color w:val="auto"/>
          <w:highlight w:val="none"/>
        </w:rPr>
        <w:tab/>
      </w:r>
      <w:r>
        <w:rPr>
          <w:color w:val="auto"/>
          <w:highlight w:val="none"/>
        </w:rPr>
        <w:fldChar w:fldCharType="begin"/>
      </w:r>
      <w:r>
        <w:rPr>
          <w:color w:val="auto"/>
          <w:highlight w:val="none"/>
        </w:rPr>
        <w:instrText xml:space="preserve"> PAGEREF _Toc58860322 \h </w:instrText>
      </w:r>
      <w:r>
        <w:rPr>
          <w:color w:val="auto"/>
          <w:highlight w:val="none"/>
        </w:rPr>
        <w:fldChar w:fldCharType="separate"/>
      </w:r>
      <w:r>
        <w:rPr>
          <w:color w:val="auto"/>
          <w:highlight w:val="none"/>
        </w:rPr>
        <w:t>182</w:t>
      </w:r>
      <w:r>
        <w:rPr>
          <w:color w:val="auto"/>
          <w:highlight w:val="none"/>
        </w:rPr>
        <w:fldChar w:fldCharType="end"/>
      </w:r>
      <w:r>
        <w:rPr>
          <w:color w:val="auto"/>
          <w:highlight w:val="none"/>
        </w:rPr>
        <w:fldChar w:fldCharType="end"/>
      </w:r>
    </w:p>
    <w:p w14:paraId="1A2874CE">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"_Toc58860323" </w:instrText>
      </w:r>
      <w:r>
        <w:rPr>
          <w:color w:val="auto"/>
          <w:highlight w:val="none"/>
        </w:rPr>
        <w:fldChar w:fldCharType="separate"/>
      </w:r>
      <w:r>
        <w:rPr>
          <w:rStyle w:val="53"/>
          <w:rFonts w:ascii="宋体" w:hAnsi="宋体" w:cs="Times"/>
          <w:color w:val="auto"/>
          <w:kern w:val="0"/>
          <w:highlight w:val="none"/>
          <w:lang w:bidi="ar"/>
        </w:rPr>
        <w:t>第12条 竣工后试验</w:t>
      </w:r>
      <w:r>
        <w:rPr>
          <w:color w:val="auto"/>
          <w:highlight w:val="none"/>
        </w:rPr>
        <w:tab/>
      </w:r>
      <w:r>
        <w:rPr>
          <w:color w:val="auto"/>
          <w:highlight w:val="none"/>
        </w:rPr>
        <w:fldChar w:fldCharType="begin"/>
      </w:r>
      <w:r>
        <w:rPr>
          <w:color w:val="auto"/>
          <w:highlight w:val="none"/>
        </w:rPr>
        <w:instrText xml:space="preserve"> PAGEREF _Toc58860323 \h </w:instrText>
      </w:r>
      <w:r>
        <w:rPr>
          <w:color w:val="auto"/>
          <w:highlight w:val="none"/>
        </w:rPr>
        <w:fldChar w:fldCharType="separate"/>
      </w:r>
      <w:r>
        <w:rPr>
          <w:color w:val="auto"/>
          <w:highlight w:val="none"/>
        </w:rPr>
        <w:t>183</w:t>
      </w:r>
      <w:r>
        <w:rPr>
          <w:color w:val="auto"/>
          <w:highlight w:val="none"/>
        </w:rPr>
        <w:fldChar w:fldCharType="end"/>
      </w:r>
      <w:r>
        <w:rPr>
          <w:color w:val="auto"/>
          <w:highlight w:val="none"/>
        </w:rPr>
        <w:fldChar w:fldCharType="end"/>
      </w:r>
    </w:p>
    <w:p w14:paraId="49846A36">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"_Toc58860324" </w:instrText>
      </w:r>
      <w:r>
        <w:rPr>
          <w:color w:val="auto"/>
          <w:highlight w:val="none"/>
        </w:rPr>
        <w:fldChar w:fldCharType="separate"/>
      </w:r>
      <w:r>
        <w:rPr>
          <w:rStyle w:val="53"/>
          <w:rFonts w:ascii="宋体" w:hAnsi="宋体" w:cs="Times"/>
          <w:color w:val="auto"/>
          <w:kern w:val="0"/>
          <w:highlight w:val="none"/>
          <w:lang w:bidi="ar"/>
        </w:rPr>
        <w:t>第13条 变更与调整</w:t>
      </w:r>
      <w:r>
        <w:rPr>
          <w:color w:val="auto"/>
          <w:highlight w:val="none"/>
        </w:rPr>
        <w:tab/>
      </w:r>
      <w:r>
        <w:rPr>
          <w:color w:val="auto"/>
          <w:highlight w:val="none"/>
        </w:rPr>
        <w:fldChar w:fldCharType="begin"/>
      </w:r>
      <w:r>
        <w:rPr>
          <w:color w:val="auto"/>
          <w:highlight w:val="none"/>
        </w:rPr>
        <w:instrText xml:space="preserve"> PAGEREF _Toc58860324 \h </w:instrText>
      </w:r>
      <w:r>
        <w:rPr>
          <w:color w:val="auto"/>
          <w:highlight w:val="none"/>
        </w:rPr>
        <w:fldChar w:fldCharType="separate"/>
      </w:r>
      <w:r>
        <w:rPr>
          <w:color w:val="auto"/>
          <w:highlight w:val="none"/>
        </w:rPr>
        <w:t>183</w:t>
      </w:r>
      <w:r>
        <w:rPr>
          <w:color w:val="auto"/>
          <w:highlight w:val="none"/>
        </w:rPr>
        <w:fldChar w:fldCharType="end"/>
      </w:r>
      <w:r>
        <w:rPr>
          <w:color w:val="auto"/>
          <w:highlight w:val="none"/>
        </w:rPr>
        <w:fldChar w:fldCharType="end"/>
      </w:r>
    </w:p>
    <w:p w14:paraId="085388F3">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"_Toc58860325" </w:instrText>
      </w:r>
      <w:r>
        <w:rPr>
          <w:color w:val="auto"/>
          <w:highlight w:val="none"/>
        </w:rPr>
        <w:fldChar w:fldCharType="separate"/>
      </w:r>
      <w:r>
        <w:rPr>
          <w:rStyle w:val="53"/>
          <w:rFonts w:ascii="宋体" w:hAnsi="宋体" w:cs="Times"/>
          <w:color w:val="auto"/>
          <w:kern w:val="0"/>
          <w:highlight w:val="none"/>
          <w:lang w:bidi="ar"/>
        </w:rPr>
        <w:t>第14条 合同价格与支付</w:t>
      </w:r>
      <w:r>
        <w:rPr>
          <w:color w:val="auto"/>
          <w:highlight w:val="none"/>
        </w:rPr>
        <w:tab/>
      </w:r>
      <w:r>
        <w:rPr>
          <w:color w:val="auto"/>
          <w:highlight w:val="none"/>
        </w:rPr>
        <w:fldChar w:fldCharType="begin"/>
      </w:r>
      <w:r>
        <w:rPr>
          <w:color w:val="auto"/>
          <w:highlight w:val="none"/>
        </w:rPr>
        <w:instrText xml:space="preserve"> PAGEREF _Toc58860325 \h </w:instrText>
      </w:r>
      <w:r>
        <w:rPr>
          <w:color w:val="auto"/>
          <w:highlight w:val="none"/>
        </w:rPr>
        <w:fldChar w:fldCharType="separate"/>
      </w:r>
      <w:r>
        <w:rPr>
          <w:color w:val="auto"/>
          <w:highlight w:val="none"/>
        </w:rPr>
        <w:t>187</w:t>
      </w:r>
      <w:r>
        <w:rPr>
          <w:color w:val="auto"/>
          <w:highlight w:val="none"/>
        </w:rPr>
        <w:fldChar w:fldCharType="end"/>
      </w:r>
      <w:r>
        <w:rPr>
          <w:color w:val="auto"/>
          <w:highlight w:val="none"/>
        </w:rPr>
        <w:fldChar w:fldCharType="end"/>
      </w:r>
    </w:p>
    <w:p w14:paraId="4CFBF6AF">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"_Toc58860326" </w:instrText>
      </w:r>
      <w:r>
        <w:rPr>
          <w:color w:val="auto"/>
          <w:highlight w:val="none"/>
        </w:rPr>
        <w:fldChar w:fldCharType="separate"/>
      </w:r>
      <w:r>
        <w:rPr>
          <w:rStyle w:val="53"/>
          <w:rFonts w:ascii="宋体" w:hAnsi="宋体" w:cs="Times"/>
          <w:color w:val="auto"/>
          <w:kern w:val="0"/>
          <w:highlight w:val="none"/>
          <w:lang w:bidi="ar"/>
        </w:rPr>
        <w:t>第15条 违约</w:t>
      </w:r>
      <w:r>
        <w:rPr>
          <w:color w:val="auto"/>
          <w:highlight w:val="none"/>
        </w:rPr>
        <w:tab/>
      </w:r>
      <w:r>
        <w:rPr>
          <w:color w:val="auto"/>
          <w:highlight w:val="none"/>
        </w:rPr>
        <w:fldChar w:fldCharType="begin"/>
      </w:r>
      <w:r>
        <w:rPr>
          <w:color w:val="auto"/>
          <w:highlight w:val="none"/>
        </w:rPr>
        <w:instrText xml:space="preserve"> PAGEREF _Toc58860326 \h </w:instrText>
      </w:r>
      <w:r>
        <w:rPr>
          <w:color w:val="auto"/>
          <w:highlight w:val="none"/>
        </w:rPr>
        <w:fldChar w:fldCharType="separate"/>
      </w:r>
      <w:r>
        <w:rPr>
          <w:color w:val="auto"/>
          <w:highlight w:val="none"/>
        </w:rPr>
        <w:t>196</w:t>
      </w:r>
      <w:r>
        <w:rPr>
          <w:color w:val="auto"/>
          <w:highlight w:val="none"/>
        </w:rPr>
        <w:fldChar w:fldCharType="end"/>
      </w:r>
      <w:r>
        <w:rPr>
          <w:color w:val="auto"/>
          <w:highlight w:val="none"/>
        </w:rPr>
        <w:fldChar w:fldCharType="end"/>
      </w:r>
    </w:p>
    <w:p w14:paraId="5E99F62A">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"_Toc58860327" </w:instrText>
      </w:r>
      <w:r>
        <w:rPr>
          <w:color w:val="auto"/>
          <w:highlight w:val="none"/>
        </w:rPr>
        <w:fldChar w:fldCharType="separate"/>
      </w:r>
      <w:r>
        <w:rPr>
          <w:rStyle w:val="53"/>
          <w:rFonts w:ascii="宋体" w:hAnsi="宋体" w:cs="Times"/>
          <w:color w:val="auto"/>
          <w:kern w:val="0"/>
          <w:highlight w:val="none"/>
          <w:lang w:bidi="ar"/>
        </w:rPr>
        <w:t>第16条 合同解除</w:t>
      </w:r>
      <w:r>
        <w:rPr>
          <w:color w:val="auto"/>
          <w:highlight w:val="none"/>
        </w:rPr>
        <w:tab/>
      </w:r>
      <w:r>
        <w:rPr>
          <w:color w:val="auto"/>
          <w:highlight w:val="none"/>
        </w:rPr>
        <w:fldChar w:fldCharType="begin"/>
      </w:r>
      <w:r>
        <w:rPr>
          <w:color w:val="auto"/>
          <w:highlight w:val="none"/>
        </w:rPr>
        <w:instrText xml:space="preserve"> PAGEREF _Toc58860327 \h </w:instrText>
      </w:r>
      <w:r>
        <w:rPr>
          <w:color w:val="auto"/>
          <w:highlight w:val="none"/>
        </w:rPr>
        <w:fldChar w:fldCharType="separate"/>
      </w:r>
      <w:r>
        <w:rPr>
          <w:color w:val="auto"/>
          <w:highlight w:val="none"/>
        </w:rPr>
        <w:t>202</w:t>
      </w:r>
      <w:r>
        <w:rPr>
          <w:color w:val="auto"/>
          <w:highlight w:val="none"/>
        </w:rPr>
        <w:fldChar w:fldCharType="end"/>
      </w:r>
      <w:r>
        <w:rPr>
          <w:color w:val="auto"/>
          <w:highlight w:val="none"/>
        </w:rPr>
        <w:fldChar w:fldCharType="end"/>
      </w:r>
    </w:p>
    <w:p w14:paraId="14F1BE39">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"_Toc58860328" </w:instrText>
      </w:r>
      <w:r>
        <w:rPr>
          <w:color w:val="auto"/>
          <w:highlight w:val="none"/>
        </w:rPr>
        <w:fldChar w:fldCharType="separate"/>
      </w:r>
      <w:r>
        <w:rPr>
          <w:rStyle w:val="53"/>
          <w:rFonts w:ascii="宋体" w:hAnsi="宋体" w:cs="Times"/>
          <w:color w:val="auto"/>
          <w:kern w:val="0"/>
          <w:highlight w:val="none"/>
          <w:lang w:bidi="ar"/>
        </w:rPr>
        <w:t>第17条 不可抗力</w:t>
      </w:r>
      <w:r>
        <w:rPr>
          <w:color w:val="auto"/>
          <w:highlight w:val="none"/>
        </w:rPr>
        <w:tab/>
      </w:r>
      <w:r>
        <w:rPr>
          <w:color w:val="auto"/>
          <w:highlight w:val="none"/>
        </w:rPr>
        <w:fldChar w:fldCharType="begin"/>
      </w:r>
      <w:r>
        <w:rPr>
          <w:color w:val="auto"/>
          <w:highlight w:val="none"/>
        </w:rPr>
        <w:instrText xml:space="preserve"> PAGEREF _Toc58860328 \h </w:instrText>
      </w:r>
      <w:r>
        <w:rPr>
          <w:color w:val="auto"/>
          <w:highlight w:val="none"/>
        </w:rPr>
        <w:fldChar w:fldCharType="separate"/>
      </w:r>
      <w:r>
        <w:rPr>
          <w:color w:val="auto"/>
          <w:highlight w:val="none"/>
        </w:rPr>
        <w:t>203</w:t>
      </w:r>
      <w:r>
        <w:rPr>
          <w:color w:val="auto"/>
          <w:highlight w:val="none"/>
        </w:rPr>
        <w:fldChar w:fldCharType="end"/>
      </w:r>
      <w:r>
        <w:rPr>
          <w:color w:val="auto"/>
          <w:highlight w:val="none"/>
        </w:rPr>
        <w:fldChar w:fldCharType="end"/>
      </w:r>
    </w:p>
    <w:p w14:paraId="0C3840BD">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"_Toc58860329" </w:instrText>
      </w:r>
      <w:r>
        <w:rPr>
          <w:color w:val="auto"/>
          <w:highlight w:val="none"/>
        </w:rPr>
        <w:fldChar w:fldCharType="separate"/>
      </w:r>
      <w:r>
        <w:rPr>
          <w:rStyle w:val="53"/>
          <w:rFonts w:ascii="宋体" w:hAnsi="宋体" w:cs="Times"/>
          <w:color w:val="auto"/>
          <w:kern w:val="0"/>
          <w:highlight w:val="none"/>
          <w:lang w:bidi="ar"/>
        </w:rPr>
        <w:t>第18条 保险</w:t>
      </w:r>
      <w:r>
        <w:rPr>
          <w:color w:val="auto"/>
          <w:highlight w:val="none"/>
        </w:rPr>
        <w:tab/>
      </w:r>
      <w:r>
        <w:rPr>
          <w:color w:val="auto"/>
          <w:highlight w:val="none"/>
        </w:rPr>
        <w:fldChar w:fldCharType="begin"/>
      </w:r>
      <w:r>
        <w:rPr>
          <w:color w:val="auto"/>
          <w:highlight w:val="none"/>
        </w:rPr>
        <w:instrText xml:space="preserve"> PAGEREF _Toc58860329 \h </w:instrText>
      </w:r>
      <w:r>
        <w:rPr>
          <w:color w:val="auto"/>
          <w:highlight w:val="none"/>
        </w:rPr>
        <w:fldChar w:fldCharType="separate"/>
      </w:r>
      <w:r>
        <w:rPr>
          <w:color w:val="auto"/>
          <w:highlight w:val="none"/>
        </w:rPr>
        <w:t>204</w:t>
      </w:r>
      <w:r>
        <w:rPr>
          <w:color w:val="auto"/>
          <w:highlight w:val="none"/>
        </w:rPr>
        <w:fldChar w:fldCharType="end"/>
      </w:r>
      <w:r>
        <w:rPr>
          <w:color w:val="auto"/>
          <w:highlight w:val="none"/>
        </w:rPr>
        <w:fldChar w:fldCharType="end"/>
      </w:r>
    </w:p>
    <w:p w14:paraId="2AF80CFC">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"_Toc58860330" </w:instrText>
      </w:r>
      <w:r>
        <w:rPr>
          <w:color w:val="auto"/>
          <w:highlight w:val="none"/>
        </w:rPr>
        <w:fldChar w:fldCharType="separate"/>
      </w:r>
      <w:r>
        <w:rPr>
          <w:rStyle w:val="53"/>
          <w:rFonts w:ascii="宋体" w:hAnsi="宋体" w:cs="Times"/>
          <w:color w:val="auto"/>
          <w:kern w:val="0"/>
          <w:highlight w:val="none"/>
          <w:lang w:bidi="ar"/>
        </w:rPr>
        <w:t>第19条 索赔</w:t>
      </w:r>
      <w:r>
        <w:rPr>
          <w:color w:val="auto"/>
          <w:highlight w:val="none"/>
        </w:rPr>
        <w:tab/>
      </w:r>
      <w:r>
        <w:rPr>
          <w:color w:val="auto"/>
          <w:highlight w:val="none"/>
        </w:rPr>
        <w:fldChar w:fldCharType="begin"/>
      </w:r>
      <w:r>
        <w:rPr>
          <w:color w:val="auto"/>
          <w:highlight w:val="none"/>
        </w:rPr>
        <w:instrText xml:space="preserve"> PAGEREF _Toc58860330 \h </w:instrText>
      </w:r>
      <w:r>
        <w:rPr>
          <w:color w:val="auto"/>
          <w:highlight w:val="none"/>
        </w:rPr>
        <w:fldChar w:fldCharType="separate"/>
      </w:r>
      <w:r>
        <w:rPr>
          <w:color w:val="auto"/>
          <w:highlight w:val="none"/>
        </w:rPr>
        <w:t>204</w:t>
      </w:r>
      <w:r>
        <w:rPr>
          <w:color w:val="auto"/>
          <w:highlight w:val="none"/>
        </w:rPr>
        <w:fldChar w:fldCharType="end"/>
      </w:r>
      <w:r>
        <w:rPr>
          <w:color w:val="auto"/>
          <w:highlight w:val="none"/>
        </w:rPr>
        <w:fldChar w:fldCharType="end"/>
      </w:r>
    </w:p>
    <w:p w14:paraId="42E9867E">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"_Toc58860331" </w:instrText>
      </w:r>
      <w:r>
        <w:rPr>
          <w:color w:val="auto"/>
          <w:highlight w:val="none"/>
        </w:rPr>
        <w:fldChar w:fldCharType="separate"/>
      </w:r>
      <w:r>
        <w:rPr>
          <w:rStyle w:val="53"/>
          <w:rFonts w:ascii="宋体" w:hAnsi="宋体" w:cs="Times"/>
          <w:color w:val="auto"/>
          <w:kern w:val="0"/>
          <w:highlight w:val="none"/>
          <w:lang w:bidi="ar"/>
        </w:rPr>
        <w:t>第20条 争议解决</w:t>
      </w:r>
      <w:r>
        <w:rPr>
          <w:color w:val="auto"/>
          <w:highlight w:val="none"/>
        </w:rPr>
        <w:tab/>
      </w:r>
      <w:r>
        <w:rPr>
          <w:color w:val="auto"/>
          <w:highlight w:val="none"/>
        </w:rPr>
        <w:fldChar w:fldCharType="begin"/>
      </w:r>
      <w:r>
        <w:rPr>
          <w:color w:val="auto"/>
          <w:highlight w:val="none"/>
        </w:rPr>
        <w:instrText xml:space="preserve"> PAGEREF _Toc58860331 \h </w:instrText>
      </w:r>
      <w:r>
        <w:rPr>
          <w:color w:val="auto"/>
          <w:highlight w:val="none"/>
        </w:rPr>
        <w:fldChar w:fldCharType="separate"/>
      </w:r>
      <w:r>
        <w:rPr>
          <w:color w:val="auto"/>
          <w:highlight w:val="none"/>
        </w:rPr>
        <w:t>205</w:t>
      </w:r>
      <w:r>
        <w:rPr>
          <w:color w:val="auto"/>
          <w:highlight w:val="none"/>
        </w:rPr>
        <w:fldChar w:fldCharType="end"/>
      </w:r>
      <w:r>
        <w:rPr>
          <w:color w:val="auto"/>
          <w:highlight w:val="none"/>
        </w:rPr>
        <w:fldChar w:fldCharType="end"/>
      </w:r>
    </w:p>
    <w:p w14:paraId="6C94BA09">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"_Toc58860332" </w:instrText>
      </w:r>
      <w:r>
        <w:rPr>
          <w:color w:val="auto"/>
          <w:highlight w:val="none"/>
        </w:rPr>
        <w:fldChar w:fldCharType="separate"/>
      </w:r>
      <w:r>
        <w:rPr>
          <w:rStyle w:val="53"/>
          <w:rFonts w:ascii="宋体" w:hAnsi="宋体" w:cs="Times"/>
          <w:color w:val="auto"/>
          <w:kern w:val="0"/>
          <w:highlight w:val="none"/>
          <w:lang w:bidi="ar"/>
        </w:rPr>
        <w:t>第21条 补充条款</w:t>
      </w:r>
      <w:r>
        <w:rPr>
          <w:color w:val="auto"/>
          <w:highlight w:val="none"/>
        </w:rPr>
        <w:tab/>
      </w:r>
      <w:r>
        <w:rPr>
          <w:color w:val="auto"/>
          <w:highlight w:val="none"/>
        </w:rPr>
        <w:fldChar w:fldCharType="begin"/>
      </w:r>
      <w:r>
        <w:rPr>
          <w:color w:val="auto"/>
          <w:highlight w:val="none"/>
        </w:rPr>
        <w:instrText xml:space="preserve"> PAGEREF _Toc58860332 \h </w:instrText>
      </w:r>
      <w:r>
        <w:rPr>
          <w:color w:val="auto"/>
          <w:highlight w:val="none"/>
        </w:rPr>
        <w:fldChar w:fldCharType="separate"/>
      </w:r>
      <w:r>
        <w:rPr>
          <w:color w:val="auto"/>
          <w:highlight w:val="none"/>
        </w:rPr>
        <w:t>205</w:t>
      </w:r>
      <w:r>
        <w:rPr>
          <w:color w:val="auto"/>
          <w:highlight w:val="none"/>
        </w:rPr>
        <w:fldChar w:fldCharType="end"/>
      </w:r>
      <w:r>
        <w:rPr>
          <w:color w:val="auto"/>
          <w:highlight w:val="none"/>
        </w:rPr>
        <w:fldChar w:fldCharType="end"/>
      </w:r>
    </w:p>
    <w:p w14:paraId="318A18E0">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"_Toc58860333" </w:instrText>
      </w:r>
      <w:r>
        <w:rPr>
          <w:color w:val="auto"/>
          <w:highlight w:val="none"/>
        </w:rPr>
        <w:fldChar w:fldCharType="separate"/>
      </w:r>
      <w:r>
        <w:rPr>
          <w:rStyle w:val="53"/>
          <w:rFonts w:ascii="宋体" w:hAnsi="宋体" w:cs="宋体"/>
          <w:color w:val="auto"/>
          <w:kern w:val="44"/>
          <w:highlight w:val="none"/>
          <w:lang w:bidi="ar"/>
        </w:rPr>
        <w:t>专用合同条件附件</w:t>
      </w:r>
      <w:r>
        <w:rPr>
          <w:color w:val="auto"/>
          <w:highlight w:val="none"/>
        </w:rPr>
        <w:tab/>
      </w:r>
      <w:r>
        <w:rPr>
          <w:color w:val="auto"/>
          <w:highlight w:val="none"/>
        </w:rPr>
        <w:fldChar w:fldCharType="begin"/>
      </w:r>
      <w:r>
        <w:rPr>
          <w:color w:val="auto"/>
          <w:highlight w:val="none"/>
        </w:rPr>
        <w:instrText xml:space="preserve"> PAGEREF _Toc58860333 \h </w:instrText>
      </w:r>
      <w:r>
        <w:rPr>
          <w:color w:val="auto"/>
          <w:highlight w:val="none"/>
        </w:rPr>
        <w:fldChar w:fldCharType="separate"/>
      </w:r>
      <w:r>
        <w:rPr>
          <w:color w:val="auto"/>
          <w:highlight w:val="none"/>
        </w:rPr>
        <w:t>207</w:t>
      </w:r>
      <w:r>
        <w:rPr>
          <w:color w:val="auto"/>
          <w:highlight w:val="none"/>
        </w:rPr>
        <w:fldChar w:fldCharType="end"/>
      </w:r>
      <w:r>
        <w:rPr>
          <w:color w:val="auto"/>
          <w:highlight w:val="none"/>
        </w:rPr>
        <w:fldChar w:fldCharType="end"/>
      </w:r>
    </w:p>
    <w:p w14:paraId="34446333">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"_Toc58860334" </w:instrText>
      </w:r>
      <w:r>
        <w:rPr>
          <w:color w:val="auto"/>
          <w:highlight w:val="none"/>
        </w:rPr>
        <w:fldChar w:fldCharType="separate"/>
      </w:r>
      <w:r>
        <w:rPr>
          <w:rStyle w:val="53"/>
          <w:rFonts w:ascii="宋体" w:hAnsi="宋体" w:cs="宋体"/>
          <w:color w:val="auto"/>
          <w:kern w:val="0"/>
          <w:highlight w:val="none"/>
          <w:lang w:bidi="ar"/>
        </w:rPr>
        <w:t>附件1  《发包人要求》</w:t>
      </w:r>
      <w:r>
        <w:rPr>
          <w:color w:val="auto"/>
          <w:highlight w:val="none"/>
        </w:rPr>
        <w:tab/>
      </w:r>
      <w:r>
        <w:rPr>
          <w:color w:val="auto"/>
          <w:highlight w:val="none"/>
        </w:rPr>
        <w:fldChar w:fldCharType="begin"/>
      </w:r>
      <w:r>
        <w:rPr>
          <w:color w:val="auto"/>
          <w:highlight w:val="none"/>
        </w:rPr>
        <w:instrText xml:space="preserve"> PAGEREF _Toc58860334 \h </w:instrText>
      </w:r>
      <w:r>
        <w:rPr>
          <w:color w:val="auto"/>
          <w:highlight w:val="none"/>
        </w:rPr>
        <w:fldChar w:fldCharType="separate"/>
      </w:r>
      <w:r>
        <w:rPr>
          <w:color w:val="auto"/>
          <w:highlight w:val="none"/>
        </w:rPr>
        <w:t>208</w:t>
      </w:r>
      <w:r>
        <w:rPr>
          <w:color w:val="auto"/>
          <w:highlight w:val="none"/>
        </w:rPr>
        <w:fldChar w:fldCharType="end"/>
      </w:r>
      <w:r>
        <w:rPr>
          <w:color w:val="auto"/>
          <w:highlight w:val="none"/>
        </w:rPr>
        <w:fldChar w:fldCharType="end"/>
      </w:r>
    </w:p>
    <w:p w14:paraId="03A4DE0A">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"_Toc58860335" </w:instrText>
      </w:r>
      <w:r>
        <w:rPr>
          <w:color w:val="auto"/>
          <w:highlight w:val="none"/>
        </w:rPr>
        <w:fldChar w:fldCharType="separate"/>
      </w:r>
      <w:r>
        <w:rPr>
          <w:rStyle w:val="53"/>
          <w:rFonts w:ascii="宋体" w:hAnsi="宋体" w:cs="宋体"/>
          <w:color w:val="auto"/>
          <w:kern w:val="0"/>
          <w:highlight w:val="none"/>
          <w:lang w:bidi="ar"/>
        </w:rPr>
        <w:t>附件2  发包人供应材料设备一览表</w:t>
      </w:r>
      <w:r>
        <w:rPr>
          <w:color w:val="auto"/>
          <w:highlight w:val="none"/>
        </w:rPr>
        <w:tab/>
      </w:r>
      <w:r>
        <w:rPr>
          <w:color w:val="auto"/>
          <w:highlight w:val="none"/>
        </w:rPr>
        <w:fldChar w:fldCharType="begin"/>
      </w:r>
      <w:r>
        <w:rPr>
          <w:color w:val="auto"/>
          <w:highlight w:val="none"/>
        </w:rPr>
        <w:instrText xml:space="preserve"> PAGEREF _Toc58860335 \h </w:instrText>
      </w:r>
      <w:r>
        <w:rPr>
          <w:color w:val="auto"/>
          <w:highlight w:val="none"/>
        </w:rPr>
        <w:fldChar w:fldCharType="separate"/>
      </w:r>
      <w:r>
        <w:rPr>
          <w:color w:val="auto"/>
          <w:highlight w:val="none"/>
        </w:rPr>
        <w:t>211</w:t>
      </w:r>
      <w:r>
        <w:rPr>
          <w:color w:val="auto"/>
          <w:highlight w:val="none"/>
        </w:rPr>
        <w:fldChar w:fldCharType="end"/>
      </w:r>
      <w:r>
        <w:rPr>
          <w:color w:val="auto"/>
          <w:highlight w:val="none"/>
        </w:rPr>
        <w:fldChar w:fldCharType="end"/>
      </w:r>
    </w:p>
    <w:p w14:paraId="382104AF">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"_Toc58860336" </w:instrText>
      </w:r>
      <w:r>
        <w:rPr>
          <w:color w:val="auto"/>
          <w:highlight w:val="none"/>
        </w:rPr>
        <w:fldChar w:fldCharType="separate"/>
      </w:r>
      <w:r>
        <w:rPr>
          <w:rStyle w:val="53"/>
          <w:rFonts w:ascii="宋体" w:hAnsi="宋体" w:cs="宋体"/>
          <w:color w:val="auto"/>
          <w:kern w:val="0"/>
          <w:highlight w:val="none"/>
          <w:lang w:bidi="ar"/>
        </w:rPr>
        <w:t>附件3  工程质量保修书</w:t>
      </w:r>
      <w:r>
        <w:rPr>
          <w:color w:val="auto"/>
          <w:highlight w:val="none"/>
        </w:rPr>
        <w:tab/>
      </w:r>
      <w:r>
        <w:rPr>
          <w:color w:val="auto"/>
          <w:highlight w:val="none"/>
        </w:rPr>
        <w:fldChar w:fldCharType="begin"/>
      </w:r>
      <w:r>
        <w:rPr>
          <w:color w:val="auto"/>
          <w:highlight w:val="none"/>
        </w:rPr>
        <w:instrText xml:space="preserve"> PAGEREF _Toc58860336 \h </w:instrText>
      </w:r>
      <w:r>
        <w:rPr>
          <w:color w:val="auto"/>
          <w:highlight w:val="none"/>
        </w:rPr>
        <w:fldChar w:fldCharType="separate"/>
      </w:r>
      <w:r>
        <w:rPr>
          <w:color w:val="auto"/>
          <w:highlight w:val="none"/>
        </w:rPr>
        <w:t>212</w:t>
      </w:r>
      <w:r>
        <w:rPr>
          <w:color w:val="auto"/>
          <w:highlight w:val="none"/>
        </w:rPr>
        <w:fldChar w:fldCharType="end"/>
      </w:r>
      <w:r>
        <w:rPr>
          <w:color w:val="auto"/>
          <w:highlight w:val="none"/>
        </w:rPr>
        <w:fldChar w:fldCharType="end"/>
      </w:r>
    </w:p>
    <w:p w14:paraId="1E65EB1E">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"_Toc58860337" </w:instrText>
      </w:r>
      <w:r>
        <w:rPr>
          <w:color w:val="auto"/>
          <w:highlight w:val="none"/>
        </w:rPr>
        <w:fldChar w:fldCharType="separate"/>
      </w:r>
      <w:r>
        <w:rPr>
          <w:rStyle w:val="53"/>
          <w:rFonts w:ascii="宋体" w:hAnsi="宋体" w:cs="宋体"/>
          <w:color w:val="auto"/>
          <w:kern w:val="0"/>
          <w:highlight w:val="none"/>
          <w:lang w:bidi="ar"/>
        </w:rPr>
        <w:t>附件4  主要建设工程文件目录</w:t>
      </w:r>
      <w:r>
        <w:rPr>
          <w:color w:val="auto"/>
          <w:highlight w:val="none"/>
        </w:rPr>
        <w:tab/>
      </w:r>
      <w:r>
        <w:rPr>
          <w:color w:val="auto"/>
          <w:highlight w:val="none"/>
        </w:rPr>
        <w:fldChar w:fldCharType="begin"/>
      </w:r>
      <w:r>
        <w:rPr>
          <w:color w:val="auto"/>
          <w:highlight w:val="none"/>
        </w:rPr>
        <w:instrText xml:space="preserve"> PAGEREF _Toc58860337 \h </w:instrText>
      </w:r>
      <w:r>
        <w:rPr>
          <w:color w:val="auto"/>
          <w:highlight w:val="none"/>
        </w:rPr>
        <w:fldChar w:fldCharType="separate"/>
      </w:r>
      <w:r>
        <w:rPr>
          <w:color w:val="auto"/>
          <w:highlight w:val="none"/>
        </w:rPr>
        <w:t>214</w:t>
      </w:r>
      <w:r>
        <w:rPr>
          <w:color w:val="auto"/>
          <w:highlight w:val="none"/>
        </w:rPr>
        <w:fldChar w:fldCharType="end"/>
      </w:r>
      <w:r>
        <w:rPr>
          <w:color w:val="auto"/>
          <w:highlight w:val="none"/>
        </w:rPr>
        <w:fldChar w:fldCharType="end"/>
      </w:r>
    </w:p>
    <w:p w14:paraId="552884A3">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"_Toc58860338" </w:instrText>
      </w:r>
      <w:r>
        <w:rPr>
          <w:color w:val="auto"/>
          <w:highlight w:val="none"/>
        </w:rPr>
        <w:fldChar w:fldCharType="separate"/>
      </w:r>
      <w:r>
        <w:rPr>
          <w:rStyle w:val="53"/>
          <w:rFonts w:ascii="宋体" w:hAnsi="宋体" w:cs="宋体"/>
          <w:color w:val="auto"/>
          <w:kern w:val="0"/>
          <w:highlight w:val="none"/>
          <w:lang w:bidi="ar"/>
        </w:rPr>
        <w:t>附件5  承包人主要管理人员表</w:t>
      </w:r>
      <w:r>
        <w:rPr>
          <w:color w:val="auto"/>
          <w:highlight w:val="none"/>
        </w:rPr>
        <w:tab/>
      </w:r>
      <w:r>
        <w:rPr>
          <w:color w:val="auto"/>
          <w:highlight w:val="none"/>
        </w:rPr>
        <w:fldChar w:fldCharType="begin"/>
      </w:r>
      <w:r>
        <w:rPr>
          <w:color w:val="auto"/>
          <w:highlight w:val="none"/>
        </w:rPr>
        <w:instrText xml:space="preserve"> PAGEREF _Toc58860338 \h </w:instrText>
      </w:r>
      <w:r>
        <w:rPr>
          <w:color w:val="auto"/>
          <w:highlight w:val="none"/>
        </w:rPr>
        <w:fldChar w:fldCharType="separate"/>
      </w:r>
      <w:r>
        <w:rPr>
          <w:color w:val="auto"/>
          <w:highlight w:val="none"/>
        </w:rPr>
        <w:t>215</w:t>
      </w:r>
      <w:r>
        <w:rPr>
          <w:color w:val="auto"/>
          <w:highlight w:val="none"/>
        </w:rPr>
        <w:fldChar w:fldCharType="end"/>
      </w:r>
      <w:r>
        <w:rPr>
          <w:color w:val="auto"/>
          <w:highlight w:val="none"/>
        </w:rPr>
        <w:fldChar w:fldCharType="end"/>
      </w:r>
    </w:p>
    <w:p w14:paraId="05C17A8F">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"_Toc58860339" </w:instrText>
      </w:r>
      <w:r>
        <w:rPr>
          <w:color w:val="auto"/>
          <w:highlight w:val="none"/>
        </w:rPr>
        <w:fldChar w:fldCharType="separate"/>
      </w:r>
      <w:r>
        <w:rPr>
          <w:rStyle w:val="53"/>
          <w:rFonts w:ascii="宋体" w:hAnsi="宋体" w:cs="宋体"/>
          <w:color w:val="auto"/>
          <w:kern w:val="0"/>
          <w:highlight w:val="none"/>
          <w:lang w:bidi="ar"/>
        </w:rPr>
        <w:t>附件6  价格指数权重表</w:t>
      </w:r>
      <w:r>
        <w:rPr>
          <w:color w:val="auto"/>
          <w:highlight w:val="none"/>
        </w:rPr>
        <w:tab/>
      </w:r>
      <w:r>
        <w:rPr>
          <w:color w:val="auto"/>
          <w:highlight w:val="none"/>
        </w:rPr>
        <w:fldChar w:fldCharType="begin"/>
      </w:r>
      <w:r>
        <w:rPr>
          <w:color w:val="auto"/>
          <w:highlight w:val="none"/>
        </w:rPr>
        <w:instrText xml:space="preserve"> PAGEREF _Toc58860339 \h </w:instrText>
      </w:r>
      <w:r>
        <w:rPr>
          <w:color w:val="auto"/>
          <w:highlight w:val="none"/>
        </w:rPr>
        <w:fldChar w:fldCharType="separate"/>
      </w:r>
      <w:r>
        <w:rPr>
          <w:color w:val="auto"/>
          <w:highlight w:val="none"/>
        </w:rPr>
        <w:t>216</w:t>
      </w:r>
      <w:r>
        <w:rPr>
          <w:color w:val="auto"/>
          <w:highlight w:val="none"/>
        </w:rPr>
        <w:fldChar w:fldCharType="end"/>
      </w:r>
      <w:r>
        <w:rPr>
          <w:color w:val="auto"/>
          <w:highlight w:val="none"/>
        </w:rPr>
        <w:fldChar w:fldCharType="end"/>
      </w:r>
    </w:p>
    <w:p w14:paraId="01213055">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"_Toc58860340" </w:instrText>
      </w:r>
      <w:r>
        <w:rPr>
          <w:color w:val="auto"/>
          <w:highlight w:val="none"/>
        </w:rPr>
        <w:fldChar w:fldCharType="separate"/>
      </w:r>
      <w:r>
        <w:rPr>
          <w:rStyle w:val="53"/>
          <w:rFonts w:ascii="宋体" w:hAnsi="宋体" w:cs="宋体"/>
          <w:color w:val="auto"/>
          <w:kern w:val="0"/>
          <w:highlight w:val="none"/>
          <w:lang w:bidi="ar"/>
        </w:rPr>
        <w:t>附件7：专业工程暂估价表</w:t>
      </w:r>
      <w:r>
        <w:rPr>
          <w:color w:val="auto"/>
          <w:highlight w:val="none"/>
        </w:rPr>
        <w:tab/>
      </w:r>
      <w:r>
        <w:rPr>
          <w:color w:val="auto"/>
          <w:highlight w:val="none"/>
        </w:rPr>
        <w:fldChar w:fldCharType="begin"/>
      </w:r>
      <w:r>
        <w:rPr>
          <w:color w:val="auto"/>
          <w:highlight w:val="none"/>
        </w:rPr>
        <w:instrText xml:space="preserve"> PAGEREF _Toc58860340 \h </w:instrText>
      </w:r>
      <w:r>
        <w:rPr>
          <w:color w:val="auto"/>
          <w:highlight w:val="none"/>
        </w:rPr>
        <w:fldChar w:fldCharType="separate"/>
      </w:r>
      <w:r>
        <w:rPr>
          <w:color w:val="auto"/>
          <w:highlight w:val="none"/>
        </w:rPr>
        <w:t>217</w:t>
      </w:r>
      <w:r>
        <w:rPr>
          <w:color w:val="auto"/>
          <w:highlight w:val="none"/>
        </w:rPr>
        <w:fldChar w:fldCharType="end"/>
      </w:r>
      <w:r>
        <w:rPr>
          <w:color w:val="auto"/>
          <w:highlight w:val="none"/>
        </w:rPr>
        <w:fldChar w:fldCharType="end"/>
      </w:r>
    </w:p>
    <w:p w14:paraId="7BE4F9C2">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"_Toc58860341" </w:instrText>
      </w:r>
      <w:r>
        <w:rPr>
          <w:color w:val="auto"/>
          <w:highlight w:val="none"/>
        </w:rPr>
        <w:fldChar w:fldCharType="separate"/>
      </w:r>
      <w:r>
        <w:rPr>
          <w:rStyle w:val="53"/>
          <w:rFonts w:ascii="宋体" w:hAnsi="宋体" w:cs="宋体"/>
          <w:color w:val="auto"/>
          <w:kern w:val="0"/>
          <w:highlight w:val="none"/>
          <w:lang w:bidi="ar"/>
        </w:rPr>
        <w:t>附件8：廉洁从业协议</w:t>
      </w:r>
      <w:r>
        <w:rPr>
          <w:color w:val="auto"/>
          <w:highlight w:val="none"/>
        </w:rPr>
        <w:tab/>
      </w:r>
      <w:r>
        <w:rPr>
          <w:color w:val="auto"/>
          <w:highlight w:val="none"/>
        </w:rPr>
        <w:fldChar w:fldCharType="begin"/>
      </w:r>
      <w:r>
        <w:rPr>
          <w:color w:val="auto"/>
          <w:highlight w:val="none"/>
        </w:rPr>
        <w:instrText xml:space="preserve"> PAGEREF _Toc58860341 \h </w:instrText>
      </w:r>
      <w:r>
        <w:rPr>
          <w:color w:val="auto"/>
          <w:highlight w:val="none"/>
        </w:rPr>
        <w:fldChar w:fldCharType="separate"/>
      </w:r>
      <w:r>
        <w:rPr>
          <w:color w:val="auto"/>
          <w:highlight w:val="none"/>
        </w:rPr>
        <w:t>218</w:t>
      </w:r>
      <w:r>
        <w:rPr>
          <w:color w:val="auto"/>
          <w:highlight w:val="none"/>
        </w:rPr>
        <w:fldChar w:fldCharType="end"/>
      </w:r>
      <w:r>
        <w:rPr>
          <w:color w:val="auto"/>
          <w:highlight w:val="none"/>
        </w:rPr>
        <w:fldChar w:fldCharType="end"/>
      </w:r>
    </w:p>
    <w:p w14:paraId="1320BAD4">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"_Toc58860342" </w:instrText>
      </w:r>
      <w:r>
        <w:rPr>
          <w:color w:val="auto"/>
          <w:highlight w:val="none"/>
        </w:rPr>
        <w:fldChar w:fldCharType="separate"/>
      </w:r>
      <w:r>
        <w:rPr>
          <w:rStyle w:val="53"/>
          <w:rFonts w:ascii="宋体" w:hAnsi="宋体" w:cs="宋体"/>
          <w:color w:val="auto"/>
          <w:kern w:val="0"/>
          <w:highlight w:val="none"/>
          <w:lang w:bidi="ar"/>
        </w:rPr>
        <w:t>附件9：安全管理协议</w:t>
      </w:r>
      <w:r>
        <w:rPr>
          <w:color w:val="auto"/>
          <w:highlight w:val="none"/>
        </w:rPr>
        <w:tab/>
      </w:r>
      <w:r>
        <w:rPr>
          <w:color w:val="auto"/>
          <w:highlight w:val="none"/>
        </w:rPr>
        <w:fldChar w:fldCharType="begin"/>
      </w:r>
      <w:r>
        <w:rPr>
          <w:color w:val="auto"/>
          <w:highlight w:val="none"/>
        </w:rPr>
        <w:instrText xml:space="preserve"> PAGEREF _Toc58860342 \h </w:instrText>
      </w:r>
      <w:r>
        <w:rPr>
          <w:color w:val="auto"/>
          <w:highlight w:val="none"/>
        </w:rPr>
        <w:fldChar w:fldCharType="separate"/>
      </w:r>
      <w:r>
        <w:rPr>
          <w:color w:val="auto"/>
          <w:highlight w:val="none"/>
        </w:rPr>
        <w:t>220</w:t>
      </w:r>
      <w:r>
        <w:rPr>
          <w:color w:val="auto"/>
          <w:highlight w:val="none"/>
        </w:rPr>
        <w:fldChar w:fldCharType="end"/>
      </w:r>
      <w:r>
        <w:rPr>
          <w:color w:val="auto"/>
          <w:highlight w:val="none"/>
        </w:rPr>
        <w:fldChar w:fldCharType="end"/>
      </w:r>
    </w:p>
    <w:p w14:paraId="26B8A439">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"_Toc58860343" </w:instrText>
      </w:r>
      <w:r>
        <w:rPr>
          <w:color w:val="auto"/>
          <w:highlight w:val="none"/>
        </w:rPr>
        <w:fldChar w:fldCharType="separate"/>
      </w:r>
      <w:r>
        <w:rPr>
          <w:rStyle w:val="53"/>
          <w:rFonts w:ascii="宋体" w:hAnsi="宋体" w:cs="宋体"/>
          <w:color w:val="auto"/>
          <w:kern w:val="0"/>
          <w:highlight w:val="none"/>
          <w:lang w:bidi="ar"/>
        </w:rPr>
        <w:t>附件10 保障建筑工人工资支付协议</w:t>
      </w:r>
      <w:r>
        <w:rPr>
          <w:color w:val="auto"/>
          <w:highlight w:val="none"/>
        </w:rPr>
        <w:tab/>
      </w:r>
      <w:r>
        <w:rPr>
          <w:color w:val="auto"/>
          <w:highlight w:val="none"/>
        </w:rPr>
        <w:fldChar w:fldCharType="begin"/>
      </w:r>
      <w:r>
        <w:rPr>
          <w:color w:val="auto"/>
          <w:highlight w:val="none"/>
        </w:rPr>
        <w:instrText xml:space="preserve"> PAGEREF _Toc58860343 \h </w:instrText>
      </w:r>
      <w:r>
        <w:rPr>
          <w:color w:val="auto"/>
          <w:highlight w:val="none"/>
        </w:rPr>
        <w:fldChar w:fldCharType="separate"/>
      </w:r>
      <w:r>
        <w:rPr>
          <w:color w:val="auto"/>
          <w:highlight w:val="none"/>
        </w:rPr>
        <w:t>228</w:t>
      </w:r>
      <w:r>
        <w:rPr>
          <w:color w:val="auto"/>
          <w:highlight w:val="none"/>
        </w:rPr>
        <w:fldChar w:fldCharType="end"/>
      </w:r>
      <w:r>
        <w:rPr>
          <w:color w:val="auto"/>
          <w:highlight w:val="none"/>
        </w:rPr>
        <w:fldChar w:fldCharType="end"/>
      </w:r>
    </w:p>
    <w:p w14:paraId="10C82557">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"_Toc58860344" </w:instrText>
      </w:r>
      <w:r>
        <w:rPr>
          <w:color w:val="auto"/>
          <w:highlight w:val="none"/>
        </w:rPr>
        <w:fldChar w:fldCharType="separate"/>
      </w:r>
      <w:r>
        <w:rPr>
          <w:rStyle w:val="53"/>
          <w:rFonts w:ascii="宋体" w:hAnsi="宋体"/>
          <w:b w:val="0"/>
          <w:bCs w:val="0"/>
          <w:color w:val="auto"/>
          <w:highlight w:val="none"/>
        </w:rPr>
        <w:t xml:space="preserve">第五章  </w:t>
      </w:r>
      <w:r>
        <w:rPr>
          <w:rStyle w:val="53"/>
          <w:b w:val="0"/>
          <w:bCs w:val="0"/>
          <w:color w:val="auto"/>
          <w:highlight w:val="none"/>
        </w:rPr>
        <w:t>工程量清单（如有）</w:t>
      </w:r>
      <w:r>
        <w:rPr>
          <w:b w:val="0"/>
          <w:bCs w:val="0"/>
          <w:color w:val="auto"/>
          <w:highlight w:val="none"/>
        </w:rPr>
        <w:tab/>
      </w:r>
      <w:r>
        <w:rPr>
          <w:b w:val="0"/>
          <w:bCs w:val="0"/>
          <w:color w:val="auto"/>
          <w:highlight w:val="none"/>
        </w:rPr>
        <w:fldChar w:fldCharType="begin"/>
      </w:r>
      <w:r>
        <w:rPr>
          <w:b w:val="0"/>
          <w:bCs w:val="0"/>
          <w:color w:val="auto"/>
          <w:highlight w:val="none"/>
        </w:rPr>
        <w:instrText xml:space="preserve"> PAGEREF _Toc58860344 \h </w:instrText>
      </w:r>
      <w:r>
        <w:rPr>
          <w:b w:val="0"/>
          <w:bCs w:val="0"/>
          <w:color w:val="auto"/>
          <w:highlight w:val="none"/>
        </w:rPr>
        <w:fldChar w:fldCharType="separate"/>
      </w:r>
      <w:r>
        <w:rPr>
          <w:b w:val="0"/>
          <w:bCs w:val="0"/>
          <w:color w:val="auto"/>
          <w:highlight w:val="none"/>
        </w:rPr>
        <w:t>231</w:t>
      </w:r>
      <w:r>
        <w:rPr>
          <w:b w:val="0"/>
          <w:bCs w:val="0"/>
          <w:color w:val="auto"/>
          <w:highlight w:val="none"/>
        </w:rPr>
        <w:fldChar w:fldCharType="end"/>
      </w:r>
      <w:r>
        <w:rPr>
          <w:b w:val="0"/>
          <w:bCs w:val="0"/>
          <w:color w:val="auto"/>
          <w:highlight w:val="none"/>
        </w:rPr>
        <w:fldChar w:fldCharType="end"/>
      </w:r>
    </w:p>
    <w:p w14:paraId="642B722F">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"_Toc58860345" </w:instrText>
      </w:r>
      <w:r>
        <w:rPr>
          <w:color w:val="auto"/>
          <w:highlight w:val="none"/>
        </w:rPr>
        <w:fldChar w:fldCharType="separate"/>
      </w:r>
      <w:r>
        <w:rPr>
          <w:rStyle w:val="53"/>
          <w:rFonts w:ascii="宋体" w:hAnsi="宋体"/>
          <w:b w:val="0"/>
          <w:bCs w:val="0"/>
          <w:color w:val="auto"/>
          <w:highlight w:val="none"/>
        </w:rPr>
        <w:t xml:space="preserve">第六章  </w:t>
      </w:r>
      <w:r>
        <w:rPr>
          <w:rStyle w:val="53"/>
          <w:b w:val="0"/>
          <w:bCs w:val="0"/>
          <w:color w:val="auto"/>
          <w:highlight w:val="none"/>
        </w:rPr>
        <w:t>发包人要求</w:t>
      </w:r>
      <w:r>
        <w:rPr>
          <w:b w:val="0"/>
          <w:bCs w:val="0"/>
          <w:color w:val="auto"/>
          <w:highlight w:val="none"/>
        </w:rPr>
        <w:tab/>
      </w:r>
      <w:r>
        <w:rPr>
          <w:b w:val="0"/>
          <w:bCs w:val="0"/>
          <w:color w:val="auto"/>
          <w:highlight w:val="none"/>
        </w:rPr>
        <w:fldChar w:fldCharType="begin"/>
      </w:r>
      <w:r>
        <w:rPr>
          <w:b w:val="0"/>
          <w:bCs w:val="0"/>
          <w:color w:val="auto"/>
          <w:highlight w:val="none"/>
        </w:rPr>
        <w:instrText xml:space="preserve"> PAGEREF _Toc58860345 \h </w:instrText>
      </w:r>
      <w:r>
        <w:rPr>
          <w:b w:val="0"/>
          <w:bCs w:val="0"/>
          <w:color w:val="auto"/>
          <w:highlight w:val="none"/>
        </w:rPr>
        <w:fldChar w:fldCharType="separate"/>
      </w:r>
      <w:r>
        <w:rPr>
          <w:b w:val="0"/>
          <w:bCs w:val="0"/>
          <w:color w:val="auto"/>
          <w:highlight w:val="none"/>
        </w:rPr>
        <w:t>232</w:t>
      </w:r>
      <w:r>
        <w:rPr>
          <w:b w:val="0"/>
          <w:bCs w:val="0"/>
          <w:color w:val="auto"/>
          <w:highlight w:val="none"/>
        </w:rPr>
        <w:fldChar w:fldCharType="end"/>
      </w:r>
      <w:r>
        <w:rPr>
          <w:b w:val="0"/>
          <w:bCs w:val="0"/>
          <w:color w:val="auto"/>
          <w:highlight w:val="none"/>
        </w:rPr>
        <w:fldChar w:fldCharType="end"/>
      </w:r>
    </w:p>
    <w:p w14:paraId="2160F09D">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"_Toc58860346" </w:instrText>
      </w:r>
      <w:r>
        <w:rPr>
          <w:color w:val="auto"/>
          <w:highlight w:val="none"/>
        </w:rPr>
        <w:fldChar w:fldCharType="separate"/>
      </w:r>
      <w:r>
        <w:rPr>
          <w:rStyle w:val="53"/>
          <w:rFonts w:ascii="宋体" w:hAnsi="宋体"/>
          <w:b w:val="0"/>
          <w:bCs w:val="0"/>
          <w:color w:val="auto"/>
          <w:highlight w:val="none"/>
        </w:rPr>
        <w:t>第 二 卷</w:t>
      </w:r>
      <w:r>
        <w:rPr>
          <w:b w:val="0"/>
          <w:bCs w:val="0"/>
          <w:color w:val="auto"/>
          <w:highlight w:val="none"/>
        </w:rPr>
        <w:tab/>
      </w:r>
      <w:r>
        <w:rPr>
          <w:b w:val="0"/>
          <w:bCs w:val="0"/>
          <w:color w:val="auto"/>
          <w:highlight w:val="none"/>
        </w:rPr>
        <w:fldChar w:fldCharType="begin"/>
      </w:r>
      <w:r>
        <w:rPr>
          <w:b w:val="0"/>
          <w:bCs w:val="0"/>
          <w:color w:val="auto"/>
          <w:highlight w:val="none"/>
        </w:rPr>
        <w:instrText xml:space="preserve"> PAGEREF _Toc58860346 \h </w:instrText>
      </w:r>
      <w:r>
        <w:rPr>
          <w:b w:val="0"/>
          <w:bCs w:val="0"/>
          <w:color w:val="auto"/>
          <w:highlight w:val="none"/>
        </w:rPr>
        <w:fldChar w:fldCharType="separate"/>
      </w:r>
      <w:r>
        <w:rPr>
          <w:b w:val="0"/>
          <w:bCs w:val="0"/>
          <w:color w:val="auto"/>
          <w:highlight w:val="none"/>
        </w:rPr>
        <w:t>233</w:t>
      </w:r>
      <w:r>
        <w:rPr>
          <w:b w:val="0"/>
          <w:bCs w:val="0"/>
          <w:color w:val="auto"/>
          <w:highlight w:val="none"/>
        </w:rPr>
        <w:fldChar w:fldCharType="end"/>
      </w:r>
      <w:r>
        <w:rPr>
          <w:b w:val="0"/>
          <w:bCs w:val="0"/>
          <w:color w:val="auto"/>
          <w:highlight w:val="none"/>
        </w:rPr>
        <w:fldChar w:fldCharType="end"/>
      </w:r>
    </w:p>
    <w:p w14:paraId="5A45E95A">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"_Toc58860347" </w:instrText>
      </w:r>
      <w:r>
        <w:rPr>
          <w:color w:val="auto"/>
          <w:highlight w:val="none"/>
        </w:rPr>
        <w:fldChar w:fldCharType="separate"/>
      </w:r>
      <w:r>
        <w:rPr>
          <w:rStyle w:val="53"/>
          <w:rFonts w:ascii="宋体" w:hAnsi="宋体"/>
          <w:b w:val="0"/>
          <w:bCs w:val="0"/>
          <w:color w:val="auto"/>
          <w:highlight w:val="none"/>
        </w:rPr>
        <w:t xml:space="preserve">第七章  </w:t>
      </w:r>
      <w:r>
        <w:rPr>
          <w:rStyle w:val="53"/>
          <w:b w:val="0"/>
          <w:bCs w:val="0"/>
          <w:color w:val="auto"/>
          <w:highlight w:val="none"/>
        </w:rPr>
        <w:t>发包人提供的资料</w:t>
      </w:r>
      <w:r>
        <w:rPr>
          <w:b w:val="0"/>
          <w:bCs w:val="0"/>
          <w:color w:val="auto"/>
          <w:highlight w:val="none"/>
        </w:rPr>
        <w:tab/>
      </w:r>
      <w:r>
        <w:rPr>
          <w:b w:val="0"/>
          <w:bCs w:val="0"/>
          <w:color w:val="auto"/>
          <w:highlight w:val="none"/>
        </w:rPr>
        <w:fldChar w:fldCharType="begin"/>
      </w:r>
      <w:r>
        <w:rPr>
          <w:b w:val="0"/>
          <w:bCs w:val="0"/>
          <w:color w:val="auto"/>
          <w:highlight w:val="none"/>
        </w:rPr>
        <w:instrText xml:space="preserve"> PAGEREF _Toc58860347 \h </w:instrText>
      </w:r>
      <w:r>
        <w:rPr>
          <w:b w:val="0"/>
          <w:bCs w:val="0"/>
          <w:color w:val="auto"/>
          <w:highlight w:val="none"/>
        </w:rPr>
        <w:fldChar w:fldCharType="separate"/>
      </w:r>
      <w:r>
        <w:rPr>
          <w:b w:val="0"/>
          <w:bCs w:val="0"/>
          <w:color w:val="auto"/>
          <w:highlight w:val="none"/>
        </w:rPr>
        <w:t>234</w:t>
      </w:r>
      <w:r>
        <w:rPr>
          <w:b w:val="0"/>
          <w:bCs w:val="0"/>
          <w:color w:val="auto"/>
          <w:highlight w:val="none"/>
        </w:rPr>
        <w:fldChar w:fldCharType="end"/>
      </w:r>
      <w:r>
        <w:rPr>
          <w:b w:val="0"/>
          <w:bCs w:val="0"/>
          <w:color w:val="auto"/>
          <w:highlight w:val="none"/>
        </w:rPr>
        <w:fldChar w:fldCharType="end"/>
      </w:r>
    </w:p>
    <w:p w14:paraId="0D8B2DB5">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"_Toc58860348" </w:instrText>
      </w:r>
      <w:r>
        <w:rPr>
          <w:color w:val="auto"/>
          <w:highlight w:val="none"/>
        </w:rPr>
        <w:fldChar w:fldCharType="separate"/>
      </w:r>
      <w:r>
        <w:rPr>
          <w:rStyle w:val="53"/>
          <w:rFonts w:ascii="宋体" w:hAnsi="宋体"/>
          <w:b w:val="0"/>
          <w:bCs w:val="0"/>
          <w:color w:val="auto"/>
          <w:highlight w:val="none"/>
        </w:rPr>
        <w:t>第 三 卷</w:t>
      </w:r>
      <w:r>
        <w:rPr>
          <w:b w:val="0"/>
          <w:bCs w:val="0"/>
          <w:color w:val="auto"/>
          <w:highlight w:val="none"/>
        </w:rPr>
        <w:tab/>
      </w:r>
      <w:r>
        <w:rPr>
          <w:b w:val="0"/>
          <w:bCs w:val="0"/>
          <w:color w:val="auto"/>
          <w:highlight w:val="none"/>
        </w:rPr>
        <w:fldChar w:fldCharType="begin"/>
      </w:r>
      <w:r>
        <w:rPr>
          <w:b w:val="0"/>
          <w:bCs w:val="0"/>
          <w:color w:val="auto"/>
          <w:highlight w:val="none"/>
        </w:rPr>
        <w:instrText xml:space="preserve"> PAGEREF _Toc58860348 \h </w:instrText>
      </w:r>
      <w:r>
        <w:rPr>
          <w:b w:val="0"/>
          <w:bCs w:val="0"/>
          <w:color w:val="auto"/>
          <w:highlight w:val="none"/>
        </w:rPr>
        <w:fldChar w:fldCharType="separate"/>
      </w:r>
      <w:r>
        <w:rPr>
          <w:b w:val="0"/>
          <w:bCs w:val="0"/>
          <w:color w:val="auto"/>
          <w:highlight w:val="none"/>
        </w:rPr>
        <w:t>235</w:t>
      </w:r>
      <w:r>
        <w:rPr>
          <w:b w:val="0"/>
          <w:bCs w:val="0"/>
          <w:color w:val="auto"/>
          <w:highlight w:val="none"/>
        </w:rPr>
        <w:fldChar w:fldCharType="end"/>
      </w:r>
      <w:r>
        <w:rPr>
          <w:b w:val="0"/>
          <w:bCs w:val="0"/>
          <w:color w:val="auto"/>
          <w:highlight w:val="none"/>
        </w:rPr>
        <w:fldChar w:fldCharType="end"/>
      </w:r>
    </w:p>
    <w:p w14:paraId="17058B42">
      <w:pPr>
        <w:pStyle w:val="31"/>
        <w:tabs>
          <w:tab w:val="right" w:leader="dot" w:pos="9459"/>
        </w:tabs>
        <w:rPr>
          <w:rFonts w:asciiTheme="minorHAnsi" w:hAnsiTheme="minorHAnsi" w:eastAsiaTheme="minorEastAsia" w:cstheme="minorBidi"/>
          <w:b w:val="0"/>
          <w:bCs w:val="0"/>
          <w:caps w:val="0"/>
          <w:color w:val="auto"/>
          <w:sz w:val="21"/>
          <w:szCs w:val="22"/>
          <w:highlight w:val="none"/>
        </w:rPr>
      </w:pPr>
      <w:r>
        <w:rPr>
          <w:color w:val="auto"/>
          <w:highlight w:val="none"/>
        </w:rPr>
        <w:fldChar w:fldCharType="begin"/>
      </w:r>
      <w:r>
        <w:rPr>
          <w:color w:val="auto"/>
          <w:highlight w:val="none"/>
        </w:rPr>
        <w:instrText xml:space="preserve"> HYPERLINK \l "_Toc58860349" </w:instrText>
      </w:r>
      <w:r>
        <w:rPr>
          <w:color w:val="auto"/>
          <w:highlight w:val="none"/>
        </w:rPr>
        <w:fldChar w:fldCharType="separate"/>
      </w:r>
      <w:r>
        <w:rPr>
          <w:rStyle w:val="53"/>
          <w:rFonts w:ascii="宋体" w:hAnsi="宋体"/>
          <w:b w:val="0"/>
          <w:bCs w:val="0"/>
          <w:color w:val="auto"/>
          <w:highlight w:val="none"/>
        </w:rPr>
        <w:t>第八章  投标文件格式</w:t>
      </w:r>
      <w:r>
        <w:rPr>
          <w:b w:val="0"/>
          <w:bCs w:val="0"/>
          <w:color w:val="auto"/>
          <w:highlight w:val="none"/>
        </w:rPr>
        <w:tab/>
      </w:r>
      <w:r>
        <w:rPr>
          <w:b w:val="0"/>
          <w:bCs w:val="0"/>
          <w:color w:val="auto"/>
          <w:highlight w:val="none"/>
        </w:rPr>
        <w:fldChar w:fldCharType="begin"/>
      </w:r>
      <w:r>
        <w:rPr>
          <w:b w:val="0"/>
          <w:bCs w:val="0"/>
          <w:color w:val="auto"/>
          <w:highlight w:val="none"/>
        </w:rPr>
        <w:instrText xml:space="preserve"> PAGEREF _Toc58860349 \h </w:instrText>
      </w:r>
      <w:r>
        <w:rPr>
          <w:b w:val="0"/>
          <w:bCs w:val="0"/>
          <w:color w:val="auto"/>
          <w:highlight w:val="none"/>
        </w:rPr>
        <w:fldChar w:fldCharType="separate"/>
      </w:r>
      <w:r>
        <w:rPr>
          <w:b w:val="0"/>
          <w:bCs w:val="0"/>
          <w:color w:val="auto"/>
          <w:highlight w:val="none"/>
        </w:rPr>
        <w:t>236</w:t>
      </w:r>
      <w:r>
        <w:rPr>
          <w:b w:val="0"/>
          <w:bCs w:val="0"/>
          <w:color w:val="auto"/>
          <w:highlight w:val="none"/>
        </w:rPr>
        <w:fldChar w:fldCharType="end"/>
      </w:r>
      <w:r>
        <w:rPr>
          <w:b w:val="0"/>
          <w:bCs w:val="0"/>
          <w:color w:val="auto"/>
          <w:highlight w:val="none"/>
        </w:rPr>
        <w:fldChar w:fldCharType="end"/>
      </w:r>
    </w:p>
    <w:p w14:paraId="79C6F802">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"_Toc58860350" </w:instrText>
      </w:r>
      <w:r>
        <w:rPr>
          <w:color w:val="auto"/>
          <w:highlight w:val="none"/>
        </w:rPr>
        <w:fldChar w:fldCharType="separate"/>
      </w:r>
      <w:r>
        <w:rPr>
          <w:rStyle w:val="53"/>
          <w:rFonts w:ascii="宋体" w:hAnsi="宋体"/>
          <w:color w:val="auto"/>
          <w:highlight w:val="none"/>
        </w:rPr>
        <w:t>一、投标函部分</w:t>
      </w:r>
      <w:r>
        <w:rPr>
          <w:color w:val="auto"/>
          <w:highlight w:val="none"/>
        </w:rPr>
        <w:tab/>
      </w:r>
      <w:r>
        <w:rPr>
          <w:color w:val="auto"/>
          <w:highlight w:val="none"/>
        </w:rPr>
        <w:fldChar w:fldCharType="begin"/>
      </w:r>
      <w:r>
        <w:rPr>
          <w:color w:val="auto"/>
          <w:highlight w:val="none"/>
        </w:rPr>
        <w:instrText xml:space="preserve"> PAGEREF _Toc58860350 \h </w:instrText>
      </w:r>
      <w:r>
        <w:rPr>
          <w:color w:val="auto"/>
          <w:highlight w:val="none"/>
        </w:rPr>
        <w:fldChar w:fldCharType="separate"/>
      </w:r>
      <w:r>
        <w:rPr>
          <w:color w:val="auto"/>
          <w:highlight w:val="none"/>
        </w:rPr>
        <w:t>238</w:t>
      </w:r>
      <w:r>
        <w:rPr>
          <w:color w:val="auto"/>
          <w:highlight w:val="none"/>
        </w:rPr>
        <w:fldChar w:fldCharType="end"/>
      </w:r>
      <w:r>
        <w:rPr>
          <w:color w:val="auto"/>
          <w:highlight w:val="none"/>
        </w:rPr>
        <w:fldChar w:fldCharType="end"/>
      </w:r>
    </w:p>
    <w:p w14:paraId="538F06AF">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"_Toc58860351" </w:instrText>
      </w:r>
      <w:r>
        <w:rPr>
          <w:color w:val="auto"/>
          <w:highlight w:val="none"/>
        </w:rPr>
        <w:fldChar w:fldCharType="separate"/>
      </w:r>
      <w:r>
        <w:rPr>
          <w:rStyle w:val="53"/>
          <w:rFonts w:ascii="宋体" w:hAnsi="宋体"/>
          <w:color w:val="auto"/>
          <w:highlight w:val="none"/>
        </w:rPr>
        <w:t>二、经济部分</w:t>
      </w:r>
      <w:r>
        <w:rPr>
          <w:color w:val="auto"/>
          <w:highlight w:val="none"/>
        </w:rPr>
        <w:tab/>
      </w:r>
      <w:r>
        <w:rPr>
          <w:color w:val="auto"/>
          <w:highlight w:val="none"/>
        </w:rPr>
        <w:fldChar w:fldCharType="begin"/>
      </w:r>
      <w:r>
        <w:rPr>
          <w:color w:val="auto"/>
          <w:highlight w:val="none"/>
        </w:rPr>
        <w:instrText xml:space="preserve"> PAGEREF _Toc58860351 \h </w:instrText>
      </w:r>
      <w:r>
        <w:rPr>
          <w:color w:val="auto"/>
          <w:highlight w:val="none"/>
        </w:rPr>
        <w:fldChar w:fldCharType="separate"/>
      </w:r>
      <w:r>
        <w:rPr>
          <w:color w:val="auto"/>
          <w:highlight w:val="none"/>
        </w:rPr>
        <w:t>248</w:t>
      </w:r>
      <w:r>
        <w:rPr>
          <w:color w:val="auto"/>
          <w:highlight w:val="none"/>
        </w:rPr>
        <w:fldChar w:fldCharType="end"/>
      </w:r>
      <w:r>
        <w:rPr>
          <w:color w:val="auto"/>
          <w:highlight w:val="none"/>
        </w:rPr>
        <w:fldChar w:fldCharType="end"/>
      </w:r>
    </w:p>
    <w:p w14:paraId="5A986718">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"_Toc58860352" </w:instrText>
      </w:r>
      <w:r>
        <w:rPr>
          <w:color w:val="auto"/>
          <w:highlight w:val="none"/>
        </w:rPr>
        <w:fldChar w:fldCharType="separate"/>
      </w:r>
      <w:r>
        <w:rPr>
          <w:rStyle w:val="53"/>
          <w:rFonts w:ascii="宋体" w:hAnsi="宋体"/>
          <w:color w:val="auto"/>
          <w:highlight w:val="none"/>
        </w:rPr>
        <w:t>三、商务部分</w:t>
      </w:r>
      <w:r>
        <w:rPr>
          <w:color w:val="auto"/>
          <w:highlight w:val="none"/>
        </w:rPr>
        <w:tab/>
      </w:r>
      <w:r>
        <w:rPr>
          <w:color w:val="auto"/>
          <w:highlight w:val="none"/>
        </w:rPr>
        <w:fldChar w:fldCharType="begin"/>
      </w:r>
      <w:r>
        <w:rPr>
          <w:color w:val="auto"/>
          <w:highlight w:val="none"/>
        </w:rPr>
        <w:instrText xml:space="preserve"> PAGEREF _Toc58860352 \h </w:instrText>
      </w:r>
      <w:r>
        <w:rPr>
          <w:color w:val="auto"/>
          <w:highlight w:val="none"/>
        </w:rPr>
        <w:fldChar w:fldCharType="separate"/>
      </w:r>
      <w:r>
        <w:rPr>
          <w:color w:val="auto"/>
          <w:highlight w:val="none"/>
        </w:rPr>
        <w:t>252</w:t>
      </w:r>
      <w:r>
        <w:rPr>
          <w:color w:val="auto"/>
          <w:highlight w:val="none"/>
        </w:rPr>
        <w:fldChar w:fldCharType="end"/>
      </w:r>
      <w:r>
        <w:rPr>
          <w:color w:val="auto"/>
          <w:highlight w:val="none"/>
        </w:rPr>
        <w:fldChar w:fldCharType="end"/>
      </w:r>
    </w:p>
    <w:p w14:paraId="766B571B">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"_Toc58860353" </w:instrText>
      </w:r>
      <w:r>
        <w:rPr>
          <w:color w:val="auto"/>
          <w:highlight w:val="none"/>
        </w:rPr>
        <w:fldChar w:fldCharType="separate"/>
      </w:r>
      <w:r>
        <w:rPr>
          <w:rStyle w:val="53"/>
          <w:rFonts w:ascii="宋体" w:hAnsi="宋体"/>
          <w:color w:val="auto"/>
          <w:highlight w:val="none"/>
        </w:rPr>
        <w:t>四、技术部分</w:t>
      </w:r>
      <w:r>
        <w:rPr>
          <w:color w:val="auto"/>
          <w:highlight w:val="none"/>
        </w:rPr>
        <w:tab/>
      </w:r>
      <w:r>
        <w:rPr>
          <w:color w:val="auto"/>
          <w:highlight w:val="none"/>
        </w:rPr>
        <w:fldChar w:fldCharType="begin"/>
      </w:r>
      <w:r>
        <w:rPr>
          <w:color w:val="auto"/>
          <w:highlight w:val="none"/>
        </w:rPr>
        <w:instrText xml:space="preserve"> PAGEREF _Toc58860353 \h </w:instrText>
      </w:r>
      <w:r>
        <w:rPr>
          <w:color w:val="auto"/>
          <w:highlight w:val="none"/>
        </w:rPr>
        <w:fldChar w:fldCharType="separate"/>
      </w:r>
      <w:r>
        <w:rPr>
          <w:color w:val="auto"/>
          <w:highlight w:val="none"/>
        </w:rPr>
        <w:t>255</w:t>
      </w:r>
      <w:r>
        <w:rPr>
          <w:color w:val="auto"/>
          <w:highlight w:val="none"/>
        </w:rPr>
        <w:fldChar w:fldCharType="end"/>
      </w:r>
      <w:r>
        <w:rPr>
          <w:color w:val="auto"/>
          <w:highlight w:val="none"/>
        </w:rPr>
        <w:fldChar w:fldCharType="end"/>
      </w:r>
    </w:p>
    <w:p w14:paraId="5827E5AD">
      <w:pPr>
        <w:pStyle w:val="37"/>
        <w:tabs>
          <w:tab w:val="right" w:leader="dot" w:pos="9459"/>
        </w:tabs>
        <w:rPr>
          <w:rFonts w:asciiTheme="minorHAnsi" w:hAnsiTheme="minorHAnsi" w:eastAsiaTheme="minorEastAsia" w:cstheme="minorBidi"/>
          <w:smallCaps w:val="0"/>
          <w:color w:val="auto"/>
          <w:sz w:val="21"/>
          <w:szCs w:val="22"/>
          <w:highlight w:val="none"/>
        </w:rPr>
      </w:pPr>
      <w:r>
        <w:rPr>
          <w:color w:val="auto"/>
          <w:highlight w:val="none"/>
        </w:rPr>
        <w:fldChar w:fldCharType="begin"/>
      </w:r>
      <w:r>
        <w:rPr>
          <w:color w:val="auto"/>
          <w:highlight w:val="none"/>
        </w:rPr>
        <w:instrText xml:space="preserve"> HYPERLINK \l "_Toc58860355" </w:instrText>
      </w:r>
      <w:r>
        <w:rPr>
          <w:color w:val="auto"/>
          <w:highlight w:val="none"/>
        </w:rPr>
        <w:fldChar w:fldCharType="separate"/>
      </w:r>
      <w:r>
        <w:rPr>
          <w:rStyle w:val="53"/>
          <w:rFonts w:ascii="宋体" w:hAnsi="宋体"/>
          <w:color w:val="auto"/>
          <w:highlight w:val="none"/>
        </w:rPr>
        <w:t>五、资格审查部分</w:t>
      </w:r>
      <w:r>
        <w:rPr>
          <w:color w:val="auto"/>
          <w:highlight w:val="none"/>
        </w:rPr>
        <w:tab/>
      </w:r>
      <w:r>
        <w:rPr>
          <w:color w:val="auto"/>
          <w:highlight w:val="none"/>
        </w:rPr>
        <w:fldChar w:fldCharType="begin"/>
      </w:r>
      <w:r>
        <w:rPr>
          <w:color w:val="auto"/>
          <w:highlight w:val="none"/>
        </w:rPr>
        <w:instrText xml:space="preserve"> PAGEREF _Toc58860355 \h </w:instrText>
      </w:r>
      <w:r>
        <w:rPr>
          <w:color w:val="auto"/>
          <w:highlight w:val="none"/>
        </w:rPr>
        <w:fldChar w:fldCharType="separate"/>
      </w:r>
      <w:r>
        <w:rPr>
          <w:color w:val="auto"/>
          <w:highlight w:val="none"/>
        </w:rPr>
        <w:t>258</w:t>
      </w:r>
      <w:r>
        <w:rPr>
          <w:color w:val="auto"/>
          <w:highlight w:val="none"/>
        </w:rPr>
        <w:fldChar w:fldCharType="end"/>
      </w:r>
      <w:r>
        <w:rPr>
          <w:color w:val="auto"/>
          <w:highlight w:val="none"/>
        </w:rPr>
        <w:fldChar w:fldCharType="end"/>
      </w:r>
    </w:p>
    <w:p w14:paraId="5C7130BB">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"_Toc58860356" </w:instrText>
      </w:r>
      <w:r>
        <w:rPr>
          <w:color w:val="auto"/>
          <w:highlight w:val="none"/>
        </w:rPr>
        <w:fldChar w:fldCharType="separate"/>
      </w:r>
      <w:r>
        <w:rPr>
          <w:rStyle w:val="53"/>
          <w:rFonts w:ascii="宋体" w:hAnsi="宋体"/>
          <w:i w:val="0"/>
          <w:iCs w:val="0"/>
          <w:color w:val="auto"/>
          <w:highlight w:val="none"/>
        </w:rPr>
        <w:t>（一）</w:t>
      </w:r>
      <w:r>
        <w:rPr>
          <w:rStyle w:val="53"/>
          <w:rFonts w:ascii="宋体" w:hAnsi="宋体"/>
          <w:i w:val="0"/>
          <w:iCs w:val="0"/>
          <w:snapToGrid w:val="0"/>
          <w:color w:val="auto"/>
          <w:kern w:val="0"/>
          <w:highlight w:val="none"/>
        </w:rPr>
        <w:t>法定代表人身份证明或附有法定代表人身份证明的授权委托书</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_Toc58860356 \h </w:instrText>
      </w:r>
      <w:r>
        <w:rPr>
          <w:i w:val="0"/>
          <w:iCs w:val="0"/>
          <w:color w:val="auto"/>
          <w:highlight w:val="none"/>
        </w:rPr>
        <w:fldChar w:fldCharType="separate"/>
      </w:r>
      <w:r>
        <w:rPr>
          <w:i w:val="0"/>
          <w:iCs w:val="0"/>
          <w:color w:val="auto"/>
          <w:highlight w:val="none"/>
        </w:rPr>
        <w:t>261</w:t>
      </w:r>
      <w:r>
        <w:rPr>
          <w:i w:val="0"/>
          <w:iCs w:val="0"/>
          <w:color w:val="auto"/>
          <w:highlight w:val="none"/>
        </w:rPr>
        <w:fldChar w:fldCharType="end"/>
      </w:r>
      <w:r>
        <w:rPr>
          <w:i w:val="0"/>
          <w:iCs w:val="0"/>
          <w:color w:val="auto"/>
          <w:highlight w:val="none"/>
        </w:rPr>
        <w:fldChar w:fldCharType="end"/>
      </w:r>
    </w:p>
    <w:p w14:paraId="32310E45">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"_Toc58860357" </w:instrText>
      </w:r>
      <w:r>
        <w:rPr>
          <w:color w:val="auto"/>
          <w:highlight w:val="none"/>
        </w:rPr>
        <w:fldChar w:fldCharType="separate"/>
      </w:r>
      <w:r>
        <w:rPr>
          <w:rStyle w:val="53"/>
          <w:rFonts w:ascii="宋体" w:hAnsi="宋体"/>
          <w:i w:val="0"/>
          <w:iCs w:val="0"/>
          <w:color w:val="auto"/>
          <w:highlight w:val="none"/>
        </w:rPr>
        <w:t>（二）联合体协议书（如有）</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_Toc58860357 \h </w:instrText>
      </w:r>
      <w:r>
        <w:rPr>
          <w:i w:val="0"/>
          <w:iCs w:val="0"/>
          <w:color w:val="auto"/>
          <w:highlight w:val="none"/>
        </w:rPr>
        <w:fldChar w:fldCharType="separate"/>
      </w:r>
      <w:r>
        <w:rPr>
          <w:i w:val="0"/>
          <w:iCs w:val="0"/>
          <w:color w:val="auto"/>
          <w:highlight w:val="none"/>
        </w:rPr>
        <w:t>263</w:t>
      </w:r>
      <w:r>
        <w:rPr>
          <w:i w:val="0"/>
          <w:iCs w:val="0"/>
          <w:color w:val="auto"/>
          <w:highlight w:val="none"/>
        </w:rPr>
        <w:fldChar w:fldCharType="end"/>
      </w:r>
      <w:r>
        <w:rPr>
          <w:i w:val="0"/>
          <w:iCs w:val="0"/>
          <w:color w:val="auto"/>
          <w:highlight w:val="none"/>
        </w:rPr>
        <w:fldChar w:fldCharType="end"/>
      </w:r>
    </w:p>
    <w:p w14:paraId="7A6BBDD2">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"_Toc58860358" </w:instrText>
      </w:r>
      <w:r>
        <w:rPr>
          <w:color w:val="auto"/>
          <w:highlight w:val="none"/>
        </w:rPr>
        <w:fldChar w:fldCharType="separate"/>
      </w:r>
      <w:r>
        <w:rPr>
          <w:rStyle w:val="53"/>
          <w:rFonts w:ascii="宋体" w:hAnsi="宋体"/>
          <w:i w:val="0"/>
          <w:iCs w:val="0"/>
          <w:color w:val="auto"/>
          <w:highlight w:val="none"/>
        </w:rPr>
        <w:t>（三）投标人基本情况表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_Toc58860358 \h </w:instrText>
      </w:r>
      <w:r>
        <w:rPr>
          <w:i w:val="0"/>
          <w:iCs w:val="0"/>
          <w:color w:val="auto"/>
          <w:highlight w:val="none"/>
        </w:rPr>
        <w:fldChar w:fldCharType="separate"/>
      </w:r>
      <w:r>
        <w:rPr>
          <w:i w:val="0"/>
          <w:iCs w:val="0"/>
          <w:color w:val="auto"/>
          <w:highlight w:val="none"/>
        </w:rPr>
        <w:t>264</w:t>
      </w:r>
      <w:r>
        <w:rPr>
          <w:i w:val="0"/>
          <w:iCs w:val="0"/>
          <w:color w:val="auto"/>
          <w:highlight w:val="none"/>
        </w:rPr>
        <w:fldChar w:fldCharType="end"/>
      </w:r>
      <w:r>
        <w:rPr>
          <w:i w:val="0"/>
          <w:iCs w:val="0"/>
          <w:color w:val="auto"/>
          <w:highlight w:val="none"/>
        </w:rPr>
        <w:fldChar w:fldCharType="end"/>
      </w:r>
    </w:p>
    <w:p w14:paraId="360B7BD8">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"_Toc58860359" </w:instrText>
      </w:r>
      <w:r>
        <w:rPr>
          <w:color w:val="auto"/>
          <w:highlight w:val="none"/>
        </w:rPr>
        <w:fldChar w:fldCharType="separate"/>
      </w:r>
      <w:r>
        <w:rPr>
          <w:rStyle w:val="53"/>
          <w:rFonts w:ascii="宋体" w:hAnsi="宋体"/>
          <w:i w:val="0"/>
          <w:iCs w:val="0"/>
          <w:color w:val="auto"/>
          <w:highlight w:val="none"/>
        </w:rPr>
        <w:t>（四）项目管理机构</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_Toc58860359 \h </w:instrText>
      </w:r>
      <w:r>
        <w:rPr>
          <w:i w:val="0"/>
          <w:iCs w:val="0"/>
          <w:color w:val="auto"/>
          <w:highlight w:val="none"/>
        </w:rPr>
        <w:fldChar w:fldCharType="separate"/>
      </w:r>
      <w:r>
        <w:rPr>
          <w:i w:val="0"/>
          <w:iCs w:val="0"/>
          <w:color w:val="auto"/>
          <w:highlight w:val="none"/>
        </w:rPr>
        <w:t>265</w:t>
      </w:r>
      <w:r>
        <w:rPr>
          <w:i w:val="0"/>
          <w:iCs w:val="0"/>
          <w:color w:val="auto"/>
          <w:highlight w:val="none"/>
        </w:rPr>
        <w:fldChar w:fldCharType="end"/>
      </w:r>
      <w:r>
        <w:rPr>
          <w:i w:val="0"/>
          <w:iCs w:val="0"/>
          <w:color w:val="auto"/>
          <w:highlight w:val="none"/>
        </w:rPr>
        <w:fldChar w:fldCharType="end"/>
      </w:r>
    </w:p>
    <w:p w14:paraId="7701413A">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"_Toc58860360" </w:instrText>
      </w:r>
      <w:r>
        <w:rPr>
          <w:color w:val="auto"/>
          <w:highlight w:val="none"/>
        </w:rPr>
        <w:fldChar w:fldCharType="separate"/>
      </w:r>
      <w:r>
        <w:rPr>
          <w:rStyle w:val="53"/>
          <w:rFonts w:ascii="宋体" w:hAnsi="宋体"/>
          <w:i w:val="0"/>
          <w:iCs w:val="0"/>
          <w:color w:val="auto"/>
          <w:highlight w:val="none"/>
        </w:rPr>
        <w:t>（五）近年财务状况表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_Toc58860360 \h </w:instrText>
      </w:r>
      <w:r>
        <w:rPr>
          <w:i w:val="0"/>
          <w:iCs w:val="0"/>
          <w:color w:val="auto"/>
          <w:highlight w:val="none"/>
        </w:rPr>
        <w:fldChar w:fldCharType="separate"/>
      </w:r>
      <w:r>
        <w:rPr>
          <w:i w:val="0"/>
          <w:iCs w:val="0"/>
          <w:color w:val="auto"/>
          <w:highlight w:val="none"/>
        </w:rPr>
        <w:t>267</w:t>
      </w:r>
      <w:r>
        <w:rPr>
          <w:i w:val="0"/>
          <w:iCs w:val="0"/>
          <w:color w:val="auto"/>
          <w:highlight w:val="none"/>
        </w:rPr>
        <w:fldChar w:fldCharType="end"/>
      </w:r>
      <w:r>
        <w:rPr>
          <w:i w:val="0"/>
          <w:iCs w:val="0"/>
          <w:color w:val="auto"/>
          <w:highlight w:val="none"/>
        </w:rPr>
        <w:fldChar w:fldCharType="end"/>
      </w:r>
    </w:p>
    <w:p w14:paraId="7B7C62E3">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"_Toc58860361" </w:instrText>
      </w:r>
      <w:r>
        <w:rPr>
          <w:color w:val="auto"/>
          <w:highlight w:val="none"/>
        </w:rPr>
        <w:fldChar w:fldCharType="separate"/>
      </w:r>
      <w:r>
        <w:rPr>
          <w:rStyle w:val="53"/>
          <w:rFonts w:ascii="宋体" w:hAnsi="宋体"/>
          <w:i w:val="0"/>
          <w:iCs w:val="0"/>
          <w:color w:val="auto"/>
          <w:highlight w:val="none"/>
        </w:rPr>
        <w:t>（六）类似项目情况表</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_Toc58860361 \h </w:instrText>
      </w:r>
      <w:r>
        <w:rPr>
          <w:i w:val="0"/>
          <w:iCs w:val="0"/>
          <w:color w:val="auto"/>
          <w:highlight w:val="none"/>
        </w:rPr>
        <w:fldChar w:fldCharType="separate"/>
      </w:r>
      <w:r>
        <w:rPr>
          <w:i w:val="0"/>
          <w:iCs w:val="0"/>
          <w:color w:val="auto"/>
          <w:highlight w:val="none"/>
        </w:rPr>
        <w:t>268</w:t>
      </w:r>
      <w:r>
        <w:rPr>
          <w:i w:val="0"/>
          <w:iCs w:val="0"/>
          <w:color w:val="auto"/>
          <w:highlight w:val="none"/>
        </w:rPr>
        <w:fldChar w:fldCharType="end"/>
      </w:r>
      <w:r>
        <w:rPr>
          <w:i w:val="0"/>
          <w:iCs w:val="0"/>
          <w:color w:val="auto"/>
          <w:highlight w:val="none"/>
        </w:rPr>
        <w:fldChar w:fldCharType="end"/>
      </w:r>
    </w:p>
    <w:p w14:paraId="10849232">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"_Toc58860362" </w:instrText>
      </w:r>
      <w:r>
        <w:rPr>
          <w:color w:val="auto"/>
          <w:highlight w:val="none"/>
        </w:rPr>
        <w:fldChar w:fldCharType="separate"/>
      </w:r>
      <w:r>
        <w:rPr>
          <w:rStyle w:val="53"/>
          <w:rFonts w:ascii="宋体" w:hAnsi="宋体"/>
          <w:i w:val="0"/>
          <w:iCs w:val="0"/>
          <w:color w:val="auto"/>
          <w:highlight w:val="none"/>
        </w:rPr>
        <w:t>（七）承诺</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_Toc58860362 \h </w:instrText>
      </w:r>
      <w:r>
        <w:rPr>
          <w:i w:val="0"/>
          <w:iCs w:val="0"/>
          <w:color w:val="auto"/>
          <w:highlight w:val="none"/>
        </w:rPr>
        <w:fldChar w:fldCharType="separate"/>
      </w:r>
      <w:r>
        <w:rPr>
          <w:i w:val="0"/>
          <w:iCs w:val="0"/>
          <w:color w:val="auto"/>
          <w:highlight w:val="none"/>
        </w:rPr>
        <w:t>269</w:t>
      </w:r>
      <w:r>
        <w:rPr>
          <w:i w:val="0"/>
          <w:iCs w:val="0"/>
          <w:color w:val="auto"/>
          <w:highlight w:val="none"/>
        </w:rPr>
        <w:fldChar w:fldCharType="end"/>
      </w:r>
      <w:r>
        <w:rPr>
          <w:i w:val="0"/>
          <w:iCs w:val="0"/>
          <w:color w:val="auto"/>
          <w:highlight w:val="none"/>
        </w:rPr>
        <w:fldChar w:fldCharType="end"/>
      </w:r>
    </w:p>
    <w:p w14:paraId="26757824">
      <w:pPr>
        <w:pStyle w:val="22"/>
        <w:tabs>
          <w:tab w:val="right" w:leader="dot" w:pos="9459"/>
        </w:tabs>
        <w:rPr>
          <w:rFonts w:asciiTheme="minorHAnsi" w:hAnsiTheme="minorHAnsi" w:eastAsiaTheme="minorEastAsia" w:cstheme="minorBidi"/>
          <w:i w:val="0"/>
          <w:iCs w:val="0"/>
          <w:color w:val="auto"/>
          <w:sz w:val="21"/>
          <w:szCs w:val="22"/>
          <w:highlight w:val="none"/>
        </w:rPr>
      </w:pPr>
      <w:r>
        <w:rPr>
          <w:color w:val="auto"/>
          <w:highlight w:val="none"/>
        </w:rPr>
        <w:fldChar w:fldCharType="begin"/>
      </w:r>
      <w:r>
        <w:rPr>
          <w:color w:val="auto"/>
          <w:highlight w:val="none"/>
        </w:rPr>
        <w:instrText xml:space="preserve"> HYPERLINK \l "_Toc58860363" </w:instrText>
      </w:r>
      <w:r>
        <w:rPr>
          <w:color w:val="auto"/>
          <w:highlight w:val="none"/>
        </w:rPr>
        <w:fldChar w:fldCharType="separate"/>
      </w:r>
      <w:r>
        <w:rPr>
          <w:rStyle w:val="53"/>
          <w:rFonts w:ascii="宋体" w:hAnsi="宋体"/>
          <w:i w:val="0"/>
          <w:iCs w:val="0"/>
          <w:color w:val="auto"/>
          <w:highlight w:val="none"/>
        </w:rPr>
        <w:t>（八）其他资料</w:t>
      </w:r>
      <w:r>
        <w:rPr>
          <w:i w:val="0"/>
          <w:iCs w:val="0"/>
          <w:color w:val="auto"/>
          <w:highlight w:val="none"/>
        </w:rPr>
        <w:tab/>
      </w:r>
      <w:r>
        <w:rPr>
          <w:i w:val="0"/>
          <w:iCs w:val="0"/>
          <w:color w:val="auto"/>
          <w:highlight w:val="none"/>
        </w:rPr>
        <w:fldChar w:fldCharType="begin"/>
      </w:r>
      <w:r>
        <w:rPr>
          <w:i w:val="0"/>
          <w:iCs w:val="0"/>
          <w:color w:val="auto"/>
          <w:highlight w:val="none"/>
        </w:rPr>
        <w:instrText xml:space="preserve"> PAGEREF _Toc58860363 \h </w:instrText>
      </w:r>
      <w:r>
        <w:rPr>
          <w:i w:val="0"/>
          <w:iCs w:val="0"/>
          <w:color w:val="auto"/>
          <w:highlight w:val="none"/>
        </w:rPr>
        <w:fldChar w:fldCharType="separate"/>
      </w:r>
      <w:r>
        <w:rPr>
          <w:i w:val="0"/>
          <w:iCs w:val="0"/>
          <w:color w:val="auto"/>
          <w:highlight w:val="none"/>
        </w:rPr>
        <w:t>271</w:t>
      </w:r>
      <w:r>
        <w:rPr>
          <w:i w:val="0"/>
          <w:iCs w:val="0"/>
          <w:color w:val="auto"/>
          <w:highlight w:val="none"/>
        </w:rPr>
        <w:fldChar w:fldCharType="end"/>
      </w:r>
      <w:r>
        <w:rPr>
          <w:i w:val="0"/>
          <w:iCs w:val="0"/>
          <w:color w:val="auto"/>
          <w:highlight w:val="none"/>
        </w:rPr>
        <w:fldChar w:fldCharType="end"/>
      </w:r>
    </w:p>
    <w:p w14:paraId="0D2B5922">
      <w:pPr>
        <w:rPr>
          <w:rFonts w:ascii="宋体" w:hAnsi="宋体"/>
          <w:color w:val="auto"/>
          <w:highlight w:val="none"/>
        </w:rPr>
      </w:pPr>
      <w:r>
        <w:rPr>
          <w:rFonts w:ascii="宋体" w:hAnsi="宋体"/>
          <w:bCs/>
          <w:color w:val="auto"/>
          <w:szCs w:val="20"/>
          <w:highlight w:val="none"/>
          <w:lang w:val="zh-CN"/>
        </w:rPr>
        <w:fldChar w:fldCharType="end"/>
      </w:r>
    </w:p>
    <w:bookmarkEnd w:id="0"/>
    <w:p w14:paraId="096B571E">
      <w:pPr>
        <w:spacing w:line="20" w:lineRule="exact"/>
        <w:rPr>
          <w:rFonts w:ascii="宋体" w:hAnsi="宋体"/>
          <w:color w:val="auto"/>
          <w:highlight w:val="none"/>
        </w:rPr>
      </w:pPr>
      <w:bookmarkStart w:id="7" w:name="_Toc430530414"/>
    </w:p>
    <w:p w14:paraId="4E8CCF77">
      <w:pPr>
        <w:spacing w:line="20" w:lineRule="exact"/>
        <w:jc w:val="left"/>
        <w:rPr>
          <w:rFonts w:ascii="宋体" w:hAnsi="宋体"/>
          <w:color w:val="auto"/>
          <w:highlight w:val="none"/>
        </w:rPr>
        <w:sectPr>
          <w:footerReference r:id="rId8" w:type="default"/>
          <w:pgSz w:w="11907" w:h="16840"/>
          <w:pgMar w:top="1304" w:right="1134" w:bottom="1304" w:left="1304" w:header="851" w:footer="992" w:gutter="0"/>
          <w:pgNumType w:fmt="numberInDash" w:start="1"/>
          <w:cols w:space="720" w:num="1"/>
          <w:docGrid w:linePitch="312" w:charSpace="0"/>
        </w:sectPr>
      </w:pPr>
    </w:p>
    <w:bookmarkEnd w:id="7"/>
    <w:p w14:paraId="623F0958">
      <w:pPr>
        <w:spacing w:line="360" w:lineRule="auto"/>
        <w:rPr>
          <w:rFonts w:ascii="宋体" w:hAnsi="宋体"/>
          <w:color w:val="auto"/>
          <w:highlight w:val="none"/>
        </w:rPr>
      </w:pPr>
    </w:p>
    <w:p w14:paraId="56CEB4AE">
      <w:pPr>
        <w:pStyle w:val="3"/>
        <w:spacing w:before="0" w:after="0" w:line="480" w:lineRule="auto"/>
        <w:jc w:val="center"/>
        <w:rPr>
          <w:rFonts w:ascii="宋体" w:hAnsi="宋体"/>
          <w:color w:val="auto"/>
          <w:sz w:val="52"/>
          <w:szCs w:val="52"/>
          <w:highlight w:val="none"/>
        </w:rPr>
      </w:pPr>
      <w:bookmarkStart w:id="8" w:name="_Toc509218690"/>
      <w:bookmarkStart w:id="9" w:name="_Toc58860046"/>
      <w:r>
        <w:rPr>
          <w:rFonts w:hint="eastAsia" w:ascii="宋体" w:hAnsi="宋体"/>
          <w:color w:val="auto"/>
          <w:sz w:val="52"/>
          <w:szCs w:val="52"/>
          <w:highlight w:val="none"/>
        </w:rPr>
        <w:t>第 一 卷</w:t>
      </w:r>
      <w:bookmarkEnd w:id="8"/>
      <w:bookmarkEnd w:id="9"/>
    </w:p>
    <w:p w14:paraId="0B744AA6">
      <w:pPr>
        <w:spacing w:line="200" w:lineRule="exact"/>
        <w:rPr>
          <w:rFonts w:ascii="宋体" w:hAnsi="宋体"/>
          <w:color w:val="auto"/>
          <w:highlight w:val="none"/>
        </w:rPr>
      </w:pPr>
      <w:r>
        <w:rPr>
          <w:rFonts w:ascii="宋体" w:hAnsi="宋体"/>
          <w:color w:val="auto"/>
          <w:highlight w:val="none"/>
        </w:rPr>
        <w:br w:type="page"/>
      </w:r>
    </w:p>
    <w:p w14:paraId="045F6A57">
      <w:pPr>
        <w:pStyle w:val="3"/>
        <w:spacing w:line="360" w:lineRule="auto"/>
        <w:jc w:val="center"/>
        <w:rPr>
          <w:rFonts w:ascii="宋体" w:hAnsi="宋体"/>
          <w:snapToGrid w:val="0"/>
          <w:color w:val="auto"/>
          <w:kern w:val="0"/>
          <w:highlight w:val="none"/>
        </w:rPr>
      </w:pPr>
      <w:bookmarkStart w:id="10" w:name="_Toc509218691"/>
      <w:bookmarkStart w:id="11" w:name="_Toc277082535"/>
      <w:bookmarkStart w:id="12" w:name="_Toc287620666"/>
      <w:bookmarkStart w:id="13" w:name="_Toc287607727"/>
      <w:bookmarkStart w:id="14" w:name="_Toc430530415"/>
      <w:bookmarkStart w:id="15" w:name="_Toc224103298"/>
      <w:bookmarkStart w:id="16" w:name="_Toc58860047"/>
      <w:r>
        <w:rPr>
          <w:rFonts w:ascii="宋体" w:hAnsi="宋体"/>
          <w:snapToGrid w:val="0"/>
          <w:color w:val="auto"/>
          <w:kern w:val="0"/>
          <w:highlight w:val="none"/>
        </w:rPr>
        <w:t>第一章  招标公告（</w:t>
      </w:r>
      <w:r>
        <w:rPr>
          <w:rFonts w:hint="eastAsia" w:ascii="宋体" w:hAnsi="宋体"/>
          <w:snapToGrid w:val="0"/>
          <w:color w:val="auto"/>
          <w:highlight w:val="none"/>
        </w:rPr>
        <w:t>未进行资格预审</w:t>
      </w:r>
      <w:r>
        <w:rPr>
          <w:rFonts w:ascii="宋体" w:hAnsi="宋体"/>
          <w:snapToGrid w:val="0"/>
          <w:color w:val="auto"/>
          <w:kern w:val="0"/>
          <w:highlight w:val="none"/>
        </w:rPr>
        <w:t>）</w:t>
      </w:r>
      <w:bookmarkEnd w:id="10"/>
      <w:bookmarkEnd w:id="11"/>
      <w:bookmarkEnd w:id="12"/>
      <w:bookmarkEnd w:id="13"/>
      <w:bookmarkEnd w:id="14"/>
      <w:bookmarkEnd w:id="15"/>
      <w:bookmarkEnd w:id="16"/>
    </w:p>
    <w:p w14:paraId="01FFF65A">
      <w:pPr>
        <w:autoSpaceDE w:val="0"/>
        <w:autoSpaceDN w:val="0"/>
        <w:adjustRightInd w:val="0"/>
        <w:snapToGrid w:val="0"/>
        <w:spacing w:line="360" w:lineRule="auto"/>
        <w:jc w:val="center"/>
        <w:rPr>
          <w:rFonts w:ascii="宋体" w:hAnsi="宋体"/>
          <w:snapToGrid w:val="0"/>
          <w:color w:val="auto"/>
          <w:kern w:val="0"/>
          <w:sz w:val="28"/>
          <w:szCs w:val="28"/>
          <w:highlight w:val="none"/>
        </w:rPr>
      </w:pPr>
      <w:r>
        <w:rPr>
          <w:rFonts w:ascii="宋体" w:hAnsi="宋体"/>
          <w:snapToGrid w:val="0"/>
          <w:color w:val="auto"/>
          <w:kern w:val="0"/>
          <w:sz w:val="28"/>
          <w:szCs w:val="28"/>
          <w:highlight w:val="none"/>
          <w:u w:val="single"/>
        </w:rPr>
        <w:t xml:space="preserve">                 （项目名称）</w:t>
      </w:r>
      <w:r>
        <w:rPr>
          <w:rFonts w:ascii="宋体" w:hAnsi="宋体"/>
          <w:snapToGrid w:val="0"/>
          <w:color w:val="auto"/>
          <w:w w:val="99"/>
          <w:kern w:val="0"/>
          <w:sz w:val="28"/>
          <w:szCs w:val="28"/>
          <w:highlight w:val="none"/>
        </w:rPr>
        <w:t>招标公告</w:t>
      </w:r>
    </w:p>
    <w:p w14:paraId="2876C935">
      <w:pPr>
        <w:pStyle w:val="4"/>
        <w:spacing w:before="100" w:after="100" w:line="460" w:lineRule="exact"/>
        <w:rPr>
          <w:rFonts w:ascii="宋体" w:hAnsi="宋体"/>
          <w:snapToGrid w:val="0"/>
          <w:color w:val="auto"/>
          <w:sz w:val="28"/>
          <w:szCs w:val="28"/>
          <w:highlight w:val="none"/>
        </w:rPr>
      </w:pPr>
      <w:bookmarkStart w:id="17" w:name="_Toc430530416"/>
      <w:bookmarkStart w:id="18" w:name="_Toc200359238"/>
      <w:bookmarkStart w:id="19" w:name="_Toc509218692"/>
      <w:bookmarkStart w:id="20" w:name="_Toc200359427"/>
      <w:bookmarkStart w:id="21" w:name="_Toc224103299"/>
      <w:bookmarkStart w:id="22" w:name="_Toc58860048"/>
      <w:bookmarkStart w:id="23" w:name="_Toc287607728"/>
      <w:bookmarkStart w:id="24" w:name="_Toc277082536"/>
      <w:bookmarkStart w:id="25" w:name="_Toc287620667"/>
      <w:r>
        <w:rPr>
          <w:rFonts w:ascii="宋体" w:hAnsi="宋体"/>
          <w:snapToGrid w:val="0"/>
          <w:color w:val="auto"/>
          <w:sz w:val="28"/>
          <w:szCs w:val="28"/>
          <w:highlight w:val="none"/>
        </w:rPr>
        <w:t xml:space="preserve">1.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招标条件</w:t>
      </w:r>
      <w:bookmarkEnd w:id="17"/>
      <w:bookmarkEnd w:id="18"/>
      <w:bookmarkEnd w:id="19"/>
      <w:bookmarkEnd w:id="20"/>
      <w:bookmarkEnd w:id="21"/>
      <w:bookmarkEnd w:id="22"/>
      <w:bookmarkEnd w:id="23"/>
      <w:bookmarkEnd w:id="24"/>
      <w:bookmarkEnd w:id="25"/>
    </w:p>
    <w:p w14:paraId="169F5953">
      <w:pPr>
        <w:tabs>
          <w:tab w:val="left" w:pos="3315"/>
          <w:tab w:val="left" w:pos="3390"/>
          <w:tab w:val="left" w:pos="6120"/>
          <w:tab w:val="left" w:pos="8850"/>
        </w:tabs>
        <w:autoSpaceDE w:val="0"/>
        <w:autoSpaceDN w:val="0"/>
        <w:adjustRightInd w:val="0"/>
        <w:snapToGrid w:val="0"/>
        <w:spacing w:line="460" w:lineRule="exact"/>
        <w:ind w:firstLine="420"/>
        <w:jc w:val="distribute"/>
        <w:rPr>
          <w:rFonts w:ascii="宋体" w:hAnsi="宋体"/>
          <w:snapToGrid w:val="0"/>
          <w:color w:val="auto"/>
          <w:kern w:val="0"/>
          <w:szCs w:val="21"/>
          <w:highlight w:val="none"/>
        </w:rPr>
      </w:pPr>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（项目名称）已由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（项目审批、核准或备案机关名称）以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（批文名称及编号）批准建设，项目业主为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6B9D8252">
      <w:pPr>
        <w:tabs>
          <w:tab w:val="left" w:pos="3390"/>
          <w:tab w:val="left" w:pos="3420"/>
          <w:tab w:val="left" w:pos="6120"/>
          <w:tab w:val="left" w:pos="7540"/>
          <w:tab w:val="left" w:pos="8320"/>
        </w:tabs>
        <w:autoSpaceDE w:val="0"/>
        <w:autoSpaceDN w:val="0"/>
        <w:adjustRightInd w:val="0"/>
        <w:snapToGrid w:val="0"/>
        <w:spacing w:line="460" w:lineRule="exact"/>
        <w:rPr>
          <w:rFonts w:ascii="宋体" w:hAnsi="宋体"/>
          <w:snapToGrid w:val="0"/>
          <w:color w:val="auto"/>
          <w:kern w:val="0"/>
          <w:szCs w:val="21"/>
          <w:highlight w:val="none"/>
        </w:rPr>
      </w:pP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（资金来源），项目出资比例为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w:t>
      </w:r>
      <w:r>
        <w:rPr>
          <w:rFonts w:ascii="宋体" w:hAnsi="宋体"/>
          <w:snapToGrid w:val="0"/>
          <w:color w:val="auto"/>
          <w:kern w:val="0"/>
          <w:position w:val="-2"/>
          <w:szCs w:val="21"/>
          <w:highlight w:val="none"/>
        </w:rPr>
        <w:t>为</w:t>
      </w:r>
      <w:r>
        <w:rPr>
          <w:rFonts w:hint="eastAsia" w:ascii="宋体" w:hAnsi="宋体"/>
          <w:snapToGrid w:val="0"/>
          <w:color w:val="auto"/>
          <w:kern w:val="0"/>
          <w:szCs w:val="21"/>
          <w:highlight w:val="none"/>
          <w:u w:val="single"/>
        </w:rPr>
        <w:t xml:space="preserve">                 </w:t>
      </w:r>
      <w:r>
        <w:rPr>
          <w:rFonts w:ascii="宋体" w:hAnsi="宋体"/>
          <w:snapToGrid w:val="0"/>
          <w:color w:val="auto"/>
          <w:kern w:val="0"/>
          <w:position w:val="-2"/>
          <w:szCs w:val="21"/>
          <w:highlight w:val="none"/>
        </w:rPr>
        <w:t>。项目已具备招标条件，现对</w:t>
      </w:r>
      <w:r>
        <w:rPr>
          <w:rFonts w:hint="eastAsia" w:ascii="宋体" w:hAnsi="宋体"/>
          <w:snapToGrid w:val="0"/>
          <w:color w:val="auto"/>
          <w:kern w:val="0"/>
          <w:position w:val="-2"/>
          <w:szCs w:val="21"/>
          <w:highlight w:val="none"/>
        </w:rPr>
        <w:t>该项目的工程总承包</w:t>
      </w:r>
      <w:r>
        <w:rPr>
          <w:rFonts w:ascii="宋体" w:hAnsi="宋体"/>
          <w:snapToGrid w:val="0"/>
          <w:color w:val="auto"/>
          <w:kern w:val="0"/>
          <w:position w:val="-2"/>
          <w:szCs w:val="21"/>
          <w:highlight w:val="none"/>
        </w:rPr>
        <w:t>进行公开招标。</w:t>
      </w:r>
    </w:p>
    <w:p w14:paraId="52CC9ED4">
      <w:pPr>
        <w:pStyle w:val="4"/>
        <w:spacing w:before="100" w:after="100" w:line="460" w:lineRule="exact"/>
        <w:rPr>
          <w:rFonts w:ascii="宋体" w:hAnsi="宋体"/>
          <w:snapToGrid w:val="0"/>
          <w:color w:val="auto"/>
          <w:sz w:val="28"/>
          <w:szCs w:val="28"/>
          <w:highlight w:val="none"/>
        </w:rPr>
      </w:pPr>
      <w:bookmarkStart w:id="26" w:name="_Toc224103300"/>
      <w:bookmarkStart w:id="27" w:name="_Toc509218693"/>
      <w:bookmarkStart w:id="28" w:name="_Toc200359239"/>
      <w:bookmarkStart w:id="29" w:name="_Toc430530417"/>
      <w:bookmarkStart w:id="30" w:name="_Toc58860049"/>
      <w:bookmarkStart w:id="31" w:name="_Toc200359428"/>
      <w:bookmarkStart w:id="32" w:name="_Toc277082537"/>
      <w:bookmarkStart w:id="33" w:name="_Toc287607729"/>
      <w:bookmarkStart w:id="34" w:name="_Toc287620668"/>
      <w:r>
        <w:rPr>
          <w:rFonts w:ascii="宋体" w:hAnsi="宋体"/>
          <w:snapToGrid w:val="0"/>
          <w:color w:val="auto"/>
          <w:sz w:val="28"/>
          <w:szCs w:val="28"/>
          <w:highlight w:val="none"/>
        </w:rPr>
        <w:t>2.</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 xml:space="preserve"> 项目概况与招标范围</w:t>
      </w:r>
      <w:bookmarkEnd w:id="26"/>
      <w:bookmarkEnd w:id="27"/>
      <w:bookmarkEnd w:id="28"/>
      <w:bookmarkEnd w:id="29"/>
      <w:bookmarkEnd w:id="30"/>
      <w:bookmarkEnd w:id="31"/>
      <w:bookmarkEnd w:id="32"/>
      <w:bookmarkEnd w:id="33"/>
      <w:bookmarkEnd w:id="34"/>
    </w:p>
    <w:p w14:paraId="60277DF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14:paraId="18685B8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14:paraId="34B29CAE">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[提示：若设置投标人业绩资质条件，项目建设规模应体现与业绩对应的规模参数，包括但不限于：工程总投资额、合同估算金额、建筑面积、高度、长度、道路等级等。]</w:t>
      </w:r>
    </w:p>
    <w:p w14:paraId="1283E09E">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2.3 □本次招标项目工程总投资额：</w:t>
      </w:r>
      <w:r>
        <w:rPr>
          <w:rFonts w:hint="eastAsia" w:ascii="宋体" w:hAnsi="宋体"/>
          <w:snapToGrid w:val="0"/>
          <w:color w:val="auto"/>
          <w:kern w:val="0"/>
          <w:szCs w:val="21"/>
          <w:highlight w:val="none"/>
          <w:u w:val="single"/>
        </w:rPr>
        <w:t xml:space="preserve">        </w:t>
      </w:r>
    </w:p>
    <w:p w14:paraId="53B3EECF">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14:paraId="4713ADA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2.4 招标范围：主要包括施工图设计</w:t>
      </w:r>
      <w:r>
        <w:rPr>
          <w:rFonts w:hint="eastAsia"/>
          <w:color w:val="auto"/>
          <w:highlight w:val="none"/>
        </w:rPr>
        <w:t>、</w:t>
      </w:r>
      <w:r>
        <w:rPr>
          <w:rFonts w:hint="eastAsia" w:ascii="宋体" w:hAnsi="宋体"/>
          <w:snapToGrid w:val="0"/>
          <w:color w:val="auto"/>
          <w:kern w:val="0"/>
          <w:szCs w:val="21"/>
          <w:highlight w:val="none"/>
        </w:rPr>
        <w:t>工程施工、□专业设备材料采购、□其他</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等内容，具体范围为：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2705570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i/>
          <w:snapToGrid w:val="0"/>
          <w:color w:val="auto"/>
          <w:kern w:val="0"/>
          <w:szCs w:val="21"/>
          <w:highlight w:val="none"/>
        </w:rPr>
        <w:t>[提示：根据工程总承包项目的实际需要进行勾选，采用工程总承包方式的政府投资项目，原则上应当在初步设计审批完成后进行工程总承包项目发包。</w:t>
      </w:r>
      <w:r>
        <w:rPr>
          <w:rFonts w:ascii="宋体" w:hAnsi="宋体"/>
          <w:i/>
          <w:color w:val="auto"/>
          <w:szCs w:val="21"/>
          <w:highlight w:val="none"/>
        </w:rPr>
        <w:t>招标范围应准确明了，</w:t>
      </w:r>
      <w:r>
        <w:rPr>
          <w:rFonts w:hint="eastAsia" w:ascii="宋体" w:hAnsi="宋体"/>
          <w:i/>
          <w:color w:val="auto"/>
          <w:szCs w:val="21"/>
          <w:highlight w:val="none"/>
        </w:rPr>
        <w:t>按照项目审批、核准、备案文件</w:t>
      </w:r>
      <w:r>
        <w:rPr>
          <w:rFonts w:ascii="宋体" w:hAnsi="宋体"/>
          <w:i/>
          <w:color w:val="auto"/>
          <w:szCs w:val="21"/>
          <w:highlight w:val="none"/>
        </w:rPr>
        <w:t>采用工程专业术语</w:t>
      </w:r>
      <w:r>
        <w:rPr>
          <w:rFonts w:hint="eastAsia" w:ascii="宋体" w:hAnsi="宋体"/>
          <w:i/>
          <w:color w:val="auto"/>
          <w:szCs w:val="21"/>
          <w:highlight w:val="none"/>
        </w:rPr>
        <w:t>进行</w:t>
      </w:r>
      <w:r>
        <w:rPr>
          <w:rFonts w:ascii="宋体" w:hAnsi="宋体"/>
          <w:i/>
          <w:color w:val="auto"/>
          <w:szCs w:val="21"/>
          <w:highlight w:val="none"/>
        </w:rPr>
        <w:t>填写</w:t>
      </w:r>
      <w:r>
        <w:rPr>
          <w:rFonts w:hint="eastAsia" w:ascii="宋体" w:hAnsi="宋体"/>
          <w:i/>
          <w:color w:val="auto"/>
          <w:szCs w:val="21"/>
          <w:highlight w:val="none"/>
        </w:rPr>
        <w:t>。</w:t>
      </w:r>
      <w:r>
        <w:rPr>
          <w:rFonts w:hint="eastAsia" w:ascii="宋体" w:hAnsi="宋体"/>
          <w:i/>
          <w:snapToGrid w:val="0"/>
          <w:color w:val="auto"/>
          <w:kern w:val="0"/>
          <w:szCs w:val="21"/>
          <w:highlight w:val="none"/>
        </w:rPr>
        <w:t>]</w:t>
      </w:r>
    </w:p>
    <w:p w14:paraId="06B3DAD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2.5 工期要求：总工期</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日历天</w:t>
      </w:r>
      <w:r>
        <w:rPr>
          <w:rFonts w:hint="eastAsia" w:ascii="宋体" w:hAnsi="宋体"/>
          <w:snapToGrid w:val="0"/>
          <w:color w:val="auto"/>
          <w:kern w:val="0"/>
          <w:szCs w:val="21"/>
          <w:highlight w:val="none"/>
        </w:rPr>
        <w:t>，缺陷责任期</w:t>
      </w:r>
      <w:r>
        <w:rPr>
          <w:rFonts w:hint="eastAsia" w:ascii="宋体" w:hAnsi="宋体"/>
          <w:snapToGrid w:val="0"/>
          <w:color w:val="auto"/>
          <w:kern w:val="0"/>
          <w:szCs w:val="21"/>
          <w:highlight w:val="none"/>
          <w:u w:val="single"/>
        </w:rPr>
        <w:t xml:space="preserve">  个月</w:t>
      </w:r>
      <w:r>
        <w:rPr>
          <w:rFonts w:hint="eastAsia" w:ascii="宋体" w:hAnsi="宋体"/>
          <w:snapToGrid w:val="0"/>
          <w:color w:val="auto"/>
          <w:kern w:val="0"/>
          <w:szCs w:val="21"/>
          <w:highlight w:val="none"/>
        </w:rPr>
        <w:t>。其中：</w:t>
      </w:r>
    </w:p>
    <w:p w14:paraId="6AFAD00E">
      <w:pPr>
        <w:spacing w:line="460" w:lineRule="exact"/>
        <w:ind w:firstLine="840" w:firstLineChars="400"/>
        <w:rPr>
          <w:rFonts w:ascii="宋体" w:hAnsi="宋体"/>
          <w:snapToGrid w:val="0"/>
          <w:color w:val="auto"/>
          <w:kern w:val="0"/>
          <w:szCs w:val="21"/>
          <w:highlight w:val="none"/>
        </w:rPr>
      </w:pPr>
      <w:r>
        <w:rPr>
          <w:rFonts w:hint="eastAsia" w:ascii="宋体" w:hAnsi="宋体"/>
          <w:snapToGrid w:val="0"/>
          <w:color w:val="auto"/>
          <w:kern w:val="0"/>
          <w:szCs w:val="21"/>
          <w:highlight w:val="none"/>
        </w:rPr>
        <w:t>□设计周期：□施工图设计</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；□其他服务</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w:t>
      </w:r>
    </w:p>
    <w:p w14:paraId="51B652E2">
      <w:pPr>
        <w:spacing w:line="460" w:lineRule="exact"/>
        <w:ind w:firstLine="840" w:firstLineChars="400"/>
        <w:rPr>
          <w:rFonts w:ascii="宋体" w:hAnsi="宋体"/>
          <w:snapToGrid w:val="0"/>
          <w:color w:val="auto"/>
          <w:kern w:val="0"/>
          <w:szCs w:val="21"/>
          <w:highlight w:val="none"/>
        </w:rPr>
      </w:pPr>
      <w:r>
        <w:rPr>
          <w:rFonts w:hint="eastAsia" w:ascii="宋体" w:hAnsi="宋体"/>
          <w:snapToGrid w:val="0"/>
          <w:color w:val="auto"/>
          <w:kern w:val="0"/>
          <w:szCs w:val="21"/>
          <w:highlight w:val="none"/>
        </w:rPr>
        <w:t>□专业设备材料到货时间：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w:t>
      </w:r>
    </w:p>
    <w:p w14:paraId="3FBA9B1F">
      <w:pPr>
        <w:spacing w:line="460" w:lineRule="exact"/>
        <w:ind w:firstLine="840" w:firstLineChars="400"/>
        <w:rPr>
          <w:rFonts w:ascii="宋体" w:hAnsi="宋体"/>
          <w:snapToGrid w:val="0"/>
          <w:color w:val="auto"/>
          <w:kern w:val="0"/>
          <w:szCs w:val="21"/>
          <w:highlight w:val="none"/>
        </w:rPr>
      </w:pPr>
      <w:r>
        <w:rPr>
          <w:rFonts w:hint="eastAsia" w:ascii="宋体" w:hAnsi="宋体"/>
          <w:snapToGrid w:val="0"/>
          <w:color w:val="auto"/>
          <w:kern w:val="0"/>
          <w:szCs w:val="21"/>
          <w:highlight w:val="none"/>
        </w:rPr>
        <w:t>□施工工期：</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w:t>
      </w:r>
    </w:p>
    <w:p w14:paraId="55E76709">
      <w:pPr>
        <w:spacing w:line="460" w:lineRule="exact"/>
        <w:ind w:firstLine="840" w:firstLineChars="400"/>
        <w:rPr>
          <w:color w:val="auto"/>
          <w:highlight w:val="none"/>
        </w:rPr>
      </w:pPr>
      <w:r>
        <w:rPr>
          <w:rFonts w:hint="eastAsia"/>
          <w:color w:val="auto"/>
          <w:highlight w:val="none"/>
        </w:rPr>
        <w:t>□节点工期要求：</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45169967">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2.6 标段划分（如有）：</w:t>
      </w:r>
      <w:r>
        <w:rPr>
          <w:rFonts w:hint="eastAsia" w:ascii="宋体" w:hAnsi="宋体"/>
          <w:snapToGrid w:val="0"/>
          <w:color w:val="auto"/>
          <w:kern w:val="0"/>
          <w:szCs w:val="21"/>
          <w:highlight w:val="none"/>
          <w:u w:val="single"/>
        </w:rPr>
        <w:t xml:space="preserve">        </w:t>
      </w:r>
    </w:p>
    <w:p w14:paraId="677573E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2.7 其他：</w:t>
      </w:r>
      <w:r>
        <w:rPr>
          <w:rFonts w:hint="eastAsia" w:ascii="宋体" w:hAnsi="宋体"/>
          <w:snapToGrid w:val="0"/>
          <w:color w:val="auto"/>
          <w:kern w:val="0"/>
          <w:szCs w:val="21"/>
          <w:highlight w:val="none"/>
          <w:u w:val="single"/>
        </w:rPr>
        <w:t xml:space="preserve">        </w:t>
      </w:r>
    </w:p>
    <w:p w14:paraId="05D380C5">
      <w:pPr>
        <w:pStyle w:val="4"/>
        <w:spacing w:before="100" w:after="100" w:line="460" w:lineRule="exact"/>
        <w:rPr>
          <w:rFonts w:ascii="宋体" w:hAnsi="宋体"/>
          <w:snapToGrid w:val="0"/>
          <w:color w:val="auto"/>
          <w:sz w:val="28"/>
          <w:szCs w:val="28"/>
          <w:highlight w:val="none"/>
        </w:rPr>
      </w:pPr>
      <w:bookmarkStart w:id="35" w:name="_Toc200359429"/>
      <w:bookmarkStart w:id="36" w:name="_Toc430530418"/>
      <w:bookmarkStart w:id="37" w:name="_Toc58860050"/>
      <w:bookmarkStart w:id="38" w:name="_Toc277082538"/>
      <w:bookmarkStart w:id="39" w:name="_Toc200359240"/>
      <w:bookmarkStart w:id="40" w:name="_Toc224103301"/>
      <w:bookmarkStart w:id="41" w:name="_Toc509218694"/>
      <w:bookmarkStart w:id="42" w:name="_Toc287607730"/>
      <w:bookmarkStart w:id="43" w:name="_Toc287620669"/>
      <w:r>
        <w:rPr>
          <w:rFonts w:ascii="宋体" w:hAnsi="宋体"/>
          <w:snapToGrid w:val="0"/>
          <w:color w:val="auto"/>
          <w:sz w:val="28"/>
          <w:szCs w:val="28"/>
          <w:highlight w:val="none"/>
        </w:rPr>
        <w:t xml:space="preserve">3.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投标人资格要求</w:t>
      </w:r>
      <w:bookmarkEnd w:id="35"/>
      <w:bookmarkEnd w:id="36"/>
      <w:bookmarkEnd w:id="37"/>
      <w:bookmarkEnd w:id="38"/>
      <w:bookmarkEnd w:id="39"/>
      <w:bookmarkEnd w:id="40"/>
      <w:bookmarkEnd w:id="41"/>
      <w:bookmarkEnd w:id="42"/>
      <w:bookmarkEnd w:id="43"/>
    </w:p>
    <w:p w14:paraId="3F8CF6D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3.1  本次招标要求投标人须具备</w:t>
      </w:r>
      <w:r>
        <w:rPr>
          <w:rFonts w:hint="eastAsia" w:ascii="宋体" w:hAnsi="宋体"/>
          <w:snapToGrid w:val="0"/>
          <w:color w:val="auto"/>
          <w:kern w:val="0"/>
          <w:szCs w:val="21"/>
          <w:highlight w:val="none"/>
        </w:rPr>
        <w:t>以下条件：</w:t>
      </w:r>
    </w:p>
    <w:p w14:paraId="3BF96B7E">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本次招标要求投标人具备的资质条件：</w:t>
      </w:r>
      <w:r>
        <w:rPr>
          <w:rFonts w:hint="eastAsia" w:ascii="宋体" w:hAnsi="宋体"/>
          <w:snapToGrid w:val="0"/>
          <w:color w:val="auto"/>
          <w:kern w:val="0"/>
          <w:szCs w:val="21"/>
          <w:highlight w:val="none"/>
          <w:u w:val="single"/>
        </w:rPr>
        <w:t xml:space="preserve">                   </w:t>
      </w:r>
    </w:p>
    <w:p w14:paraId="45CDB6D6">
      <w:pPr>
        <w:tabs>
          <w:tab w:val="left" w:pos="3840"/>
          <w:tab w:val="left" w:pos="5300"/>
        </w:tabs>
        <w:autoSpaceDE w:val="0"/>
        <w:autoSpaceDN w:val="0"/>
        <w:adjustRightInd w:val="0"/>
        <w:snapToGrid w:val="0"/>
        <w:spacing w:line="460" w:lineRule="exact"/>
        <w:ind w:firstLine="420" w:firstLineChars="200"/>
        <w:jc w:val="left"/>
        <w:rPr>
          <w:rFonts w:ascii="宋体" w:hAnsi="宋体"/>
          <w:i/>
          <w:color w:val="auto"/>
          <w:szCs w:val="21"/>
          <w:highlight w:val="none"/>
        </w:rPr>
      </w:pPr>
      <w:r>
        <w:rPr>
          <w:rFonts w:hint="eastAsia" w:ascii="宋体" w:hAnsi="宋体"/>
          <w:i/>
          <w:color w:val="auto"/>
          <w:szCs w:val="21"/>
          <w:highlight w:val="none"/>
        </w:rPr>
        <w:t>[提示：资质的设定应执行《建筑业企业资质标准》（建市〔2014〕159号）及其配套、补充文件和《建设工程勘察设计管理条例》（国务院令第293号 ）、《建设工程勘察设计资质管理规定》（建设部令第160号）等相关规定的规定。工程总承包项目应设定与工程规模相适应的工程设计资质和施工资质。施工资质应设定相应的施工总承包资质，不得再设置施工总承包资质已涵盖的任何专业承包资质。工程总承包项目中有设定资质不能涵盖的工作内容的，应当允许分包。]</w:t>
      </w:r>
    </w:p>
    <w:p w14:paraId="3304F5C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color w:val="auto"/>
          <w:highlight w:val="none"/>
        </w:rPr>
        <w:t>□</w:t>
      </w:r>
      <w:r>
        <w:rPr>
          <w:rFonts w:hint="eastAsia" w:ascii="宋体" w:hAnsi="宋体"/>
          <w:snapToGrid w:val="0"/>
          <w:color w:val="auto"/>
          <w:kern w:val="0"/>
          <w:szCs w:val="21"/>
          <w:highlight w:val="none"/>
        </w:rPr>
        <w:t>3.1.2 本次招标要求投标人具备的业绩条件：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4C3DEEB6">
      <w:pPr>
        <w:tabs>
          <w:tab w:val="left" w:pos="3840"/>
          <w:tab w:val="left" w:pos="5300"/>
        </w:tabs>
        <w:autoSpaceDE w:val="0"/>
        <w:autoSpaceDN w:val="0"/>
        <w:adjustRightInd w:val="0"/>
        <w:snapToGrid w:val="0"/>
        <w:spacing w:line="460" w:lineRule="exact"/>
        <w:ind w:firstLine="420" w:firstLineChars="200"/>
        <w:jc w:val="left"/>
        <w:rPr>
          <w:rFonts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的概算金额或最高限价的四分之三；3、采用工程规模的具体参数为业绩条件的，工程规模的类别设定原则上应当采用《建筑业企业资质标准》（建市〔2014〕159号）中“承包工程范围”中明确设立了的工程规模类别，且工程规模的具体参数原则上不高于招标项目工程规模数值的四分之三（但降低了相关规模标准等级的除外），投标人提供的业绩其具体参数应大于等于该业绩条件。]</w:t>
      </w:r>
    </w:p>
    <w:p w14:paraId="0C358B56">
      <w:pPr>
        <w:tabs>
          <w:tab w:val="left" w:pos="3840"/>
          <w:tab w:val="left" w:pos="5300"/>
        </w:tabs>
        <w:autoSpaceDE w:val="0"/>
        <w:autoSpaceDN w:val="0"/>
        <w:adjustRightInd w:val="0"/>
        <w:snapToGrid w:val="0"/>
        <w:spacing w:line="460" w:lineRule="exact"/>
        <w:ind w:firstLine="420" w:firstLineChars="200"/>
        <w:jc w:val="left"/>
        <w:rPr>
          <w:rFonts w:ascii="宋体" w:hAnsi="宋体"/>
          <w:color w:val="auto"/>
          <w:szCs w:val="21"/>
          <w:highlight w:val="none"/>
        </w:rPr>
      </w:pPr>
      <w:r>
        <w:rPr>
          <w:rFonts w:hint="eastAsia" w:ascii="宋体" w:hAnsi="宋体"/>
          <w:snapToGrid w:val="0"/>
          <w:color w:val="auto"/>
          <w:kern w:val="0"/>
          <w:szCs w:val="21"/>
          <w:highlight w:val="none"/>
        </w:rPr>
        <w:t>3.1.3 投标人还应在人员、设备、资金等方面具有相应的实施能力，详见招标文件第二章投标人须知前附表第1.4.1条内容。</w:t>
      </w:r>
    </w:p>
    <w:p w14:paraId="284103DE">
      <w:pPr>
        <w:tabs>
          <w:tab w:val="left" w:pos="3045"/>
          <w:tab w:val="left" w:pos="8310"/>
        </w:tabs>
        <w:autoSpaceDE w:val="0"/>
        <w:autoSpaceDN w:val="0"/>
        <w:adjustRightInd w:val="0"/>
        <w:snapToGrid w:val="0"/>
        <w:spacing w:line="46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3.2  本次招标</w:t>
      </w:r>
      <w:r>
        <w:rPr>
          <w:rFonts w:hint="eastAsia" w:ascii="宋体" w:hAnsi="宋体"/>
          <w:snapToGrid w:val="0"/>
          <w:color w:val="auto"/>
          <w:kern w:val="0"/>
          <w:szCs w:val="21"/>
          <w:highlight w:val="none"/>
        </w:rPr>
        <w:t>□接受□不接受</w:t>
      </w:r>
      <w:r>
        <w:rPr>
          <w:rFonts w:ascii="宋体" w:hAnsi="宋体"/>
          <w:snapToGrid w:val="0"/>
          <w:color w:val="auto"/>
          <w:kern w:val="0"/>
          <w:szCs w:val="21"/>
          <w:highlight w:val="none"/>
        </w:rPr>
        <w:t>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359C32BA">
      <w:pPr>
        <w:tabs>
          <w:tab w:val="left" w:pos="3840"/>
        </w:tabs>
        <w:autoSpaceDE w:val="0"/>
        <w:autoSpaceDN w:val="0"/>
        <w:adjustRightInd w:val="0"/>
        <w:snapToGrid w:val="0"/>
        <w:spacing w:line="46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3.3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各投标人均可就上述标段中的</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（具体数量）个标段投标。</w:t>
      </w:r>
    </w:p>
    <w:p w14:paraId="0A12BF56">
      <w:pPr>
        <w:pStyle w:val="4"/>
        <w:spacing w:before="100" w:after="100" w:line="460" w:lineRule="exact"/>
        <w:rPr>
          <w:rFonts w:ascii="宋体" w:hAnsi="宋体"/>
          <w:snapToGrid w:val="0"/>
          <w:color w:val="auto"/>
          <w:sz w:val="28"/>
          <w:szCs w:val="28"/>
          <w:highlight w:val="none"/>
        </w:rPr>
      </w:pPr>
      <w:bookmarkStart w:id="44" w:name="_Toc224103302"/>
      <w:bookmarkStart w:id="45" w:name="_Toc200359430"/>
      <w:bookmarkStart w:id="46" w:name="_Toc287620670"/>
      <w:bookmarkStart w:id="47" w:name="_Toc509218695"/>
      <w:bookmarkStart w:id="48" w:name="_Toc430530419"/>
      <w:bookmarkStart w:id="49" w:name="_Toc200359241"/>
      <w:bookmarkStart w:id="50" w:name="_Toc277082539"/>
      <w:bookmarkStart w:id="51" w:name="_Toc58860051"/>
      <w:bookmarkStart w:id="52" w:name="_Toc287607731"/>
      <w:r>
        <w:rPr>
          <w:rFonts w:ascii="宋体" w:hAnsi="宋体"/>
          <w:snapToGrid w:val="0"/>
          <w:color w:val="auto"/>
          <w:sz w:val="28"/>
          <w:szCs w:val="28"/>
          <w:highlight w:val="none"/>
        </w:rPr>
        <w:t xml:space="preserve">4.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招标文件的获取</w:t>
      </w:r>
      <w:bookmarkEnd w:id="44"/>
      <w:bookmarkEnd w:id="45"/>
      <w:bookmarkEnd w:id="46"/>
      <w:bookmarkEnd w:id="47"/>
      <w:bookmarkEnd w:id="48"/>
      <w:bookmarkEnd w:id="49"/>
      <w:bookmarkEnd w:id="50"/>
      <w:bookmarkEnd w:id="51"/>
      <w:bookmarkEnd w:id="52"/>
    </w:p>
    <w:p w14:paraId="68AF8CF5">
      <w:pPr>
        <w:tabs>
          <w:tab w:val="left" w:pos="2420"/>
          <w:tab w:val="left" w:pos="5445"/>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4</w:t>
      </w:r>
      <w:r>
        <w:rPr>
          <w:rFonts w:ascii="宋体" w:hAnsi="宋体"/>
          <w:snapToGrid w:val="0"/>
          <w:color w:val="auto"/>
          <w:kern w:val="0"/>
          <w:szCs w:val="21"/>
          <w:highlight w:val="none"/>
        </w:rPr>
        <w:t>.1 本招标项目采用</w:t>
      </w:r>
      <w:r>
        <w:rPr>
          <w:rFonts w:hint="eastAsia" w:ascii="宋体" w:hAnsi="宋体"/>
          <w:snapToGrid w:val="0"/>
          <w:color w:val="auto"/>
          <w:kern w:val="0"/>
          <w:szCs w:val="21"/>
          <w:highlight w:val="none"/>
        </w:rPr>
        <w:t>全流程电子</w:t>
      </w:r>
      <w:r>
        <w:rPr>
          <w:rFonts w:ascii="宋体" w:hAnsi="宋体"/>
          <w:snapToGrid w:val="0"/>
          <w:color w:val="auto"/>
          <w:kern w:val="0"/>
          <w:szCs w:val="21"/>
          <w:highlight w:val="none"/>
        </w:rPr>
        <w:t>招投标，投标人在投标前可在</w:t>
      </w:r>
      <w:r>
        <w:rPr>
          <w:rFonts w:hint="eastAsia" w:ascii="宋体" w:hAnsi="宋体"/>
          <w:snapToGrid w:val="0"/>
          <w:color w:val="auto"/>
          <w:kern w:val="0"/>
          <w:szCs w:val="21"/>
          <w:highlight w:val="none"/>
          <w:u w:val="single"/>
        </w:rPr>
        <w:t>重庆市公共资源交易网（www.cqggzy.com）</w:t>
      </w:r>
      <w:r>
        <w:rPr>
          <w:rFonts w:hint="eastAsia" w:ascii="宋体" w:hAnsi="宋体"/>
          <w:i/>
          <w:color w:val="auto"/>
          <w:szCs w:val="21"/>
          <w:highlight w:val="none"/>
        </w:rPr>
        <w:t>[提示：下载地址采用其他网址的应注明，下同]</w:t>
      </w:r>
      <w:r>
        <w:rPr>
          <w:rFonts w:ascii="宋体" w:hAnsi="宋体"/>
          <w:snapToGrid w:val="0"/>
          <w:color w:val="auto"/>
          <w:kern w:val="0"/>
          <w:szCs w:val="21"/>
          <w:highlight w:val="none"/>
        </w:rPr>
        <w:t>下载招标文件、工程量清单</w:t>
      </w:r>
      <w:r>
        <w:rPr>
          <w:rFonts w:hint="eastAsia" w:ascii="宋体" w:hAnsi="宋体"/>
          <w:snapToGrid w:val="0"/>
          <w:color w:val="auto"/>
          <w:kern w:val="0"/>
          <w:szCs w:val="21"/>
          <w:highlight w:val="none"/>
        </w:rPr>
        <w:t>（如有）</w:t>
      </w:r>
      <w:r>
        <w:rPr>
          <w:rFonts w:ascii="宋体" w:hAnsi="宋体"/>
          <w:snapToGrid w:val="0"/>
          <w:color w:val="auto"/>
          <w:kern w:val="0"/>
          <w:szCs w:val="21"/>
          <w:highlight w:val="none"/>
        </w:rPr>
        <w:t>、电子图纸等资料。参与投标的投标人</w:t>
      </w:r>
      <w:r>
        <w:rPr>
          <w:rFonts w:hint="eastAsia" w:ascii="宋体" w:hAnsi="宋体"/>
          <w:snapToGrid w:val="0"/>
          <w:color w:val="auto"/>
          <w:kern w:val="0"/>
          <w:szCs w:val="21"/>
          <w:highlight w:val="none"/>
        </w:rPr>
        <w:t>需在</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完成市场主体信息登记以及 CA 数字证书办理，办理方式请参见</w:t>
      </w:r>
      <w:r>
        <w:rPr>
          <w:rFonts w:hint="eastAsia" w:ascii="宋体" w:hAnsi="宋体"/>
          <w:snapToGrid w:val="0"/>
          <w:color w:val="auto"/>
          <w:kern w:val="0"/>
          <w:szCs w:val="21"/>
          <w:highlight w:val="none"/>
          <w:u w:val="single"/>
        </w:rPr>
        <w:t>重庆市公共资源交易网（www.cqggzy.com）</w:t>
      </w:r>
      <w:r>
        <w:rPr>
          <w:rFonts w:hint="eastAsia" w:ascii="宋体" w:hAnsi="宋体"/>
          <w:snapToGrid w:val="0"/>
          <w:color w:val="auto"/>
          <w:kern w:val="0"/>
          <w:szCs w:val="21"/>
          <w:highlight w:val="none"/>
        </w:rPr>
        <w:t>导航栏“主体信息”页面中“市场主体信息登记”“CA 数字证书办理”。若投标人未及时完成市场主体信息登记和 CA 数字证书办理导致无法完成全流程电子招投标的，责任自负</w:t>
      </w:r>
      <w:r>
        <w:rPr>
          <w:rFonts w:ascii="宋体" w:hAnsi="宋体"/>
          <w:snapToGrid w:val="0"/>
          <w:color w:val="auto"/>
          <w:kern w:val="0"/>
          <w:szCs w:val="21"/>
          <w:highlight w:val="none"/>
        </w:rPr>
        <w:t>。</w:t>
      </w:r>
    </w:p>
    <w:p w14:paraId="63123AD0">
      <w:pPr>
        <w:tabs>
          <w:tab w:val="left" w:pos="2420"/>
          <w:tab w:val="left" w:pos="5445"/>
        </w:tabs>
        <w:autoSpaceDE w:val="0"/>
        <w:autoSpaceDN w:val="0"/>
        <w:adjustRightInd w:val="0"/>
        <w:snapToGrid w:val="0"/>
        <w:spacing w:line="450" w:lineRule="exact"/>
        <w:ind w:firstLine="420"/>
        <w:rPr>
          <w:color w:val="auto"/>
          <w:highlight w:val="none"/>
        </w:rPr>
      </w:pPr>
      <w:r>
        <w:rPr>
          <w:rFonts w:hint="eastAsia"/>
          <w:color w:val="auto"/>
          <w:highlight w:val="none"/>
        </w:rPr>
        <w:t xml:space="preserve">4.2 </w:t>
      </w:r>
      <w:r>
        <w:rPr>
          <w:color w:val="auto"/>
          <w:highlight w:val="none"/>
        </w:rPr>
        <w:t xml:space="preserve"> </w:t>
      </w:r>
      <w:r>
        <w:rPr>
          <w:rFonts w:hint="eastAsia"/>
          <w:color w:val="auto"/>
          <w:highlight w:val="none"/>
        </w:rPr>
        <w:t>投标人可在</w:t>
      </w:r>
      <w:r>
        <w:rPr>
          <w:rFonts w:hint="eastAsia"/>
          <w:color w:val="auto"/>
          <w:highlight w:val="none"/>
          <w:u w:val="single"/>
        </w:rPr>
        <w:t>重庆市公共资源交易网（www.cqggzy.com）</w:t>
      </w:r>
      <w:r>
        <w:rPr>
          <w:rFonts w:hint="eastAsia"/>
          <w:color w:val="auto"/>
          <w:highlight w:val="none"/>
        </w:rPr>
        <w:t>本项目招标公告网页下方“我要提问”栏提出疑问，提问时间从本公告发布至</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r>
        <w:rPr>
          <w:rFonts w:hint="eastAsia"/>
          <w:color w:val="auto"/>
          <w:highlight w:val="none"/>
          <w:u w:val="single"/>
        </w:rPr>
        <w:t xml:space="preserve">    </w:t>
      </w:r>
      <w:r>
        <w:rPr>
          <w:rFonts w:hint="eastAsia"/>
          <w:color w:val="auto"/>
          <w:highlight w:val="none"/>
        </w:rPr>
        <w:t>时</w:t>
      </w:r>
      <w:r>
        <w:rPr>
          <w:rFonts w:hint="eastAsia"/>
          <w:color w:val="auto"/>
          <w:highlight w:val="none"/>
          <w:u w:val="single"/>
        </w:rPr>
        <w:t xml:space="preserve">    </w:t>
      </w:r>
      <w:r>
        <w:rPr>
          <w:rFonts w:hint="eastAsia"/>
          <w:color w:val="auto"/>
          <w:highlight w:val="none"/>
        </w:rPr>
        <w:t>分（北京时间）前。</w:t>
      </w:r>
    </w:p>
    <w:p w14:paraId="47E0AD48">
      <w:pPr>
        <w:tabs>
          <w:tab w:val="left" w:pos="2420"/>
          <w:tab w:val="left" w:pos="5445"/>
        </w:tabs>
        <w:autoSpaceDE w:val="0"/>
        <w:autoSpaceDN w:val="0"/>
        <w:adjustRightInd w:val="0"/>
        <w:snapToGrid w:val="0"/>
        <w:spacing w:line="450" w:lineRule="exact"/>
        <w:ind w:firstLine="420"/>
        <w:rPr>
          <w:color w:val="auto"/>
          <w:highlight w:val="none"/>
        </w:rPr>
      </w:pPr>
      <w:r>
        <w:rPr>
          <w:rFonts w:hint="eastAsia"/>
          <w:color w:val="auto"/>
          <w:highlight w:val="none"/>
        </w:rPr>
        <w:t xml:space="preserve">4.3 </w:t>
      </w:r>
      <w:r>
        <w:rPr>
          <w:color w:val="auto"/>
          <w:highlight w:val="none"/>
        </w:rPr>
        <w:t xml:space="preserve"> </w:t>
      </w:r>
      <w:r>
        <w:rPr>
          <w:rFonts w:hint="eastAsia"/>
          <w:color w:val="auto"/>
          <w:highlight w:val="none"/>
        </w:rPr>
        <w:t>招标人应于</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r>
        <w:rPr>
          <w:rFonts w:hint="eastAsia"/>
          <w:color w:val="auto"/>
          <w:highlight w:val="none"/>
          <w:u w:val="single"/>
        </w:rPr>
        <w:t xml:space="preserve">    </w:t>
      </w:r>
      <w:r>
        <w:rPr>
          <w:rFonts w:hint="eastAsia"/>
          <w:color w:val="auto"/>
          <w:highlight w:val="none"/>
        </w:rPr>
        <w:t>时</w:t>
      </w:r>
      <w:r>
        <w:rPr>
          <w:rFonts w:hint="eastAsia"/>
          <w:color w:val="auto"/>
          <w:highlight w:val="none"/>
          <w:u w:val="single"/>
        </w:rPr>
        <w:t xml:space="preserve">    </w:t>
      </w:r>
      <w:r>
        <w:rPr>
          <w:rFonts w:hint="eastAsia"/>
          <w:color w:val="auto"/>
          <w:highlight w:val="none"/>
        </w:rPr>
        <w:t>分（北京时间）前在</w:t>
      </w:r>
      <w:r>
        <w:rPr>
          <w:rFonts w:hint="eastAsia"/>
          <w:color w:val="auto"/>
          <w:highlight w:val="none"/>
          <w:u w:val="single"/>
        </w:rPr>
        <w:t>重庆市公共资源交易网（www.cqggzy.com）</w:t>
      </w:r>
      <w:r>
        <w:rPr>
          <w:rFonts w:hint="eastAsia"/>
          <w:color w:val="auto"/>
          <w:highlight w:val="none"/>
        </w:rPr>
        <w:t>发布澄清。</w:t>
      </w:r>
    </w:p>
    <w:p w14:paraId="2E89C2B5">
      <w:pPr>
        <w:pStyle w:val="4"/>
        <w:spacing w:before="100" w:after="100" w:line="460" w:lineRule="exact"/>
        <w:rPr>
          <w:rFonts w:ascii="宋体" w:hAnsi="宋体"/>
          <w:snapToGrid w:val="0"/>
          <w:color w:val="auto"/>
          <w:sz w:val="28"/>
          <w:szCs w:val="28"/>
          <w:highlight w:val="none"/>
        </w:rPr>
      </w:pPr>
      <w:bookmarkStart w:id="53" w:name="_Toc509218696"/>
      <w:bookmarkStart w:id="54" w:name="_Toc200359242"/>
      <w:bookmarkStart w:id="55" w:name="_Toc224103303"/>
      <w:bookmarkStart w:id="56" w:name="_Toc287620671"/>
      <w:bookmarkStart w:id="57" w:name="_Toc430530420"/>
      <w:bookmarkStart w:id="58" w:name="_Toc287607732"/>
      <w:bookmarkStart w:id="59" w:name="_Toc58860052"/>
      <w:bookmarkStart w:id="60" w:name="_Toc277082540"/>
      <w:bookmarkStart w:id="61" w:name="_Toc200359431"/>
      <w:r>
        <w:rPr>
          <w:rFonts w:ascii="宋体" w:hAnsi="宋体"/>
          <w:snapToGrid w:val="0"/>
          <w:color w:val="auto"/>
          <w:sz w:val="28"/>
          <w:szCs w:val="28"/>
          <w:highlight w:val="none"/>
        </w:rPr>
        <w:t xml:space="preserve">5.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投标文件的递交</w:t>
      </w:r>
      <w:bookmarkEnd w:id="53"/>
      <w:bookmarkEnd w:id="54"/>
      <w:bookmarkEnd w:id="55"/>
      <w:bookmarkEnd w:id="56"/>
      <w:bookmarkEnd w:id="57"/>
      <w:bookmarkEnd w:id="58"/>
      <w:bookmarkEnd w:id="59"/>
      <w:bookmarkEnd w:id="60"/>
      <w:bookmarkEnd w:id="61"/>
    </w:p>
    <w:p w14:paraId="79A6FEE4">
      <w:pPr>
        <w:tabs>
          <w:tab w:val="left" w:pos="2000"/>
          <w:tab w:val="left" w:pos="5580"/>
          <w:tab w:val="left" w:pos="6220"/>
          <w:tab w:val="left" w:pos="6840"/>
          <w:tab w:val="left" w:pos="7460"/>
          <w:tab w:val="left" w:pos="810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5.1  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2C60E1C4">
      <w:pPr>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，逾期未完成投标文件上传的，视为撤回投标文件。</w:t>
      </w:r>
    </w:p>
    <w:p w14:paraId="2D818815">
      <w:pPr>
        <w:pStyle w:val="4"/>
        <w:spacing w:before="100" w:after="100" w:line="460" w:lineRule="exact"/>
        <w:rPr>
          <w:rFonts w:ascii="宋体" w:hAnsi="宋体"/>
          <w:snapToGrid w:val="0"/>
          <w:color w:val="auto"/>
          <w:sz w:val="28"/>
          <w:szCs w:val="28"/>
          <w:highlight w:val="none"/>
        </w:rPr>
      </w:pPr>
      <w:bookmarkStart w:id="62" w:name="_Toc430530421"/>
      <w:bookmarkStart w:id="63" w:name="_Toc200359243"/>
      <w:bookmarkStart w:id="64" w:name="_Toc287620672"/>
      <w:bookmarkStart w:id="65" w:name="_Toc277082541"/>
      <w:bookmarkStart w:id="66" w:name="_Toc200359432"/>
      <w:bookmarkStart w:id="67" w:name="_Toc58860053"/>
      <w:bookmarkStart w:id="68" w:name="_Toc509218697"/>
      <w:bookmarkStart w:id="69" w:name="_Toc224103304"/>
      <w:bookmarkStart w:id="70" w:name="_Toc287607733"/>
      <w:r>
        <w:rPr>
          <w:rFonts w:ascii="宋体" w:hAnsi="宋体"/>
          <w:snapToGrid w:val="0"/>
          <w:color w:val="auto"/>
          <w:sz w:val="28"/>
          <w:szCs w:val="28"/>
          <w:highlight w:val="none"/>
        </w:rPr>
        <w:t xml:space="preserve">6.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发布公告的媒介</w:t>
      </w:r>
      <w:bookmarkEnd w:id="62"/>
      <w:bookmarkEnd w:id="63"/>
      <w:bookmarkEnd w:id="64"/>
      <w:bookmarkEnd w:id="65"/>
      <w:bookmarkEnd w:id="66"/>
      <w:bookmarkEnd w:id="67"/>
      <w:bookmarkEnd w:id="68"/>
      <w:bookmarkEnd w:id="69"/>
      <w:bookmarkEnd w:id="70"/>
    </w:p>
    <w:p w14:paraId="5EC23BE6">
      <w:pPr>
        <w:tabs>
          <w:tab w:val="left" w:pos="4950"/>
        </w:tabs>
        <w:autoSpaceDE w:val="0"/>
        <w:autoSpaceDN w:val="0"/>
        <w:adjustRightInd w:val="0"/>
        <w:snapToGrid w:val="0"/>
        <w:spacing w:line="45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本次招标公告同时在</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（发布公告的媒介名称）</w:t>
      </w:r>
      <w:r>
        <w:rPr>
          <w:rFonts w:ascii="宋体" w:hAnsi="宋体"/>
          <w:snapToGrid w:val="0"/>
          <w:color w:val="auto"/>
          <w:kern w:val="0"/>
          <w:szCs w:val="21"/>
          <w:highlight w:val="none"/>
        </w:rPr>
        <w:t>上发布。</w:t>
      </w:r>
    </w:p>
    <w:p w14:paraId="657275D3">
      <w:pPr>
        <w:autoSpaceDE w:val="0"/>
        <w:autoSpaceDN w:val="0"/>
        <w:adjustRightInd w:val="0"/>
        <w:snapToGrid w:val="0"/>
        <w:spacing w:line="450" w:lineRule="exact"/>
        <w:ind w:firstLine="420" w:firstLineChars="200"/>
        <w:rPr>
          <w:color w:val="auto"/>
          <w:highlight w:val="none"/>
        </w:rPr>
      </w:pPr>
      <w:r>
        <w:rPr>
          <w:rFonts w:hint="eastAsia" w:ascii="宋体" w:hAnsi="宋体"/>
          <w:i/>
          <w:color w:val="auto"/>
          <w:szCs w:val="21"/>
          <w:highlight w:val="none"/>
        </w:rPr>
        <w:t>[提示：依法必须招标项目的招标公告，必须在重庆市公共资源交易监督网发布。]</w:t>
      </w:r>
    </w:p>
    <w:p w14:paraId="1A0EA708">
      <w:pPr>
        <w:pStyle w:val="4"/>
        <w:spacing w:before="100" w:after="100" w:line="460" w:lineRule="exact"/>
        <w:rPr>
          <w:rFonts w:ascii="宋体" w:hAnsi="宋体"/>
          <w:snapToGrid w:val="0"/>
          <w:color w:val="auto"/>
          <w:sz w:val="28"/>
          <w:szCs w:val="28"/>
          <w:highlight w:val="none"/>
        </w:rPr>
      </w:pPr>
      <w:bookmarkStart w:id="71" w:name="_Toc58860054"/>
      <w:bookmarkStart w:id="72" w:name="_Toc430530422"/>
      <w:bookmarkStart w:id="73" w:name="_Toc287620673"/>
      <w:bookmarkStart w:id="74" w:name="_Toc509218698"/>
      <w:bookmarkStart w:id="75" w:name="_Toc287607734"/>
      <w:bookmarkStart w:id="76" w:name="_Toc224103305"/>
      <w:bookmarkStart w:id="77" w:name="_Toc277082542"/>
      <w:r>
        <w:rPr>
          <w:rFonts w:hint="eastAsia" w:ascii="宋体" w:hAnsi="宋体"/>
          <w:snapToGrid w:val="0"/>
          <w:color w:val="auto"/>
          <w:sz w:val="28"/>
          <w:szCs w:val="28"/>
          <w:highlight w:val="none"/>
        </w:rPr>
        <w:t>7</w:t>
      </w:r>
      <w:r>
        <w:rPr>
          <w:rFonts w:ascii="宋体" w:hAnsi="宋体"/>
          <w:snapToGrid w:val="0"/>
          <w:color w:val="auto"/>
          <w:sz w:val="28"/>
          <w:szCs w:val="28"/>
          <w:highlight w:val="none"/>
        </w:rPr>
        <w:t xml:space="preserve">. </w:t>
      </w:r>
      <w:r>
        <w:rPr>
          <w:rFonts w:hint="eastAsia" w:ascii="宋体" w:hAnsi="宋体"/>
          <w:snapToGrid w:val="0"/>
          <w:color w:val="auto"/>
          <w:sz w:val="28"/>
          <w:szCs w:val="28"/>
          <w:highlight w:val="none"/>
        </w:rPr>
        <w:t xml:space="preserve"> </w:t>
      </w:r>
      <w:r>
        <w:rPr>
          <w:rFonts w:ascii="宋体" w:hAnsi="宋体"/>
          <w:snapToGrid w:val="0"/>
          <w:color w:val="auto"/>
          <w:sz w:val="28"/>
          <w:szCs w:val="28"/>
          <w:highlight w:val="none"/>
        </w:rPr>
        <w:t>联系方式</w:t>
      </w:r>
      <w:bookmarkEnd w:id="71"/>
      <w:bookmarkEnd w:id="72"/>
      <w:bookmarkEnd w:id="73"/>
      <w:bookmarkEnd w:id="74"/>
      <w:bookmarkEnd w:id="75"/>
      <w:bookmarkEnd w:id="76"/>
      <w:bookmarkEnd w:id="77"/>
    </w:p>
    <w:p w14:paraId="24968B8B">
      <w:pPr>
        <w:tabs>
          <w:tab w:val="left" w:pos="5140"/>
          <w:tab w:val="left" w:pos="85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5D03EC8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w:t>
      </w:r>
      <w:r>
        <w:rPr>
          <w:rFonts w:ascii="宋体" w:hAnsi="宋体"/>
          <w:snapToGrid w:val="0"/>
          <w:color w:val="auto"/>
          <w:kern w:val="0"/>
          <w:position w:val="-3"/>
          <w:szCs w:val="21"/>
          <w:highlight w:val="none"/>
          <w:u w:val="single"/>
        </w:rPr>
        <w:t xml:space="preserve">                                </w:t>
      </w:r>
    </w:p>
    <w:p w14:paraId="07E0FB8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6294267D">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3524D805">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68A16BAC">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1B9D051B">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7AD6AD8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56DE734E">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1E056496">
      <w:pPr>
        <w:tabs>
          <w:tab w:val="left" w:pos="5140"/>
          <w:tab w:val="left" w:pos="8420"/>
        </w:tabs>
        <w:autoSpaceDE w:val="0"/>
        <w:autoSpaceDN w:val="0"/>
        <w:adjustRightInd w:val="0"/>
        <w:snapToGrid w:val="0"/>
        <w:spacing w:line="400" w:lineRule="exact"/>
        <w:jc w:val="left"/>
        <w:rPr>
          <w:rFonts w:ascii="宋体" w:hAnsi="宋体"/>
          <w:snapToGrid w:val="0"/>
          <w:color w:val="auto"/>
          <w:kern w:val="0"/>
          <w:szCs w:val="21"/>
          <w:highlight w:val="none"/>
          <w:u w:val="single"/>
        </w:rPr>
      </w:pPr>
    </w:p>
    <w:p w14:paraId="3F70DFC7">
      <w:pPr>
        <w:autoSpaceDE w:val="0"/>
        <w:autoSpaceDN w:val="0"/>
        <w:adjustRightInd w:val="0"/>
        <w:snapToGrid w:val="0"/>
        <w:spacing w:line="440" w:lineRule="exact"/>
        <w:ind w:firstLine="3906" w:firstLineChars="1860"/>
        <w:jc w:val="right"/>
        <w:rPr>
          <w:rFonts w:ascii="宋体" w:hAnsi="宋体"/>
          <w:snapToGrid w:val="0"/>
          <w:color w:val="auto"/>
          <w:kern w:val="0"/>
          <w:sz w:val="20"/>
          <w:szCs w:val="20"/>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095D5981">
      <w:pPr>
        <w:pStyle w:val="3"/>
        <w:spacing w:before="0" w:after="0" w:line="200" w:lineRule="exact"/>
        <w:jc w:val="center"/>
        <w:rPr>
          <w:rFonts w:ascii="宋体" w:hAnsi="宋体"/>
          <w:snapToGrid w:val="0"/>
          <w:color w:val="auto"/>
          <w:kern w:val="0"/>
          <w:szCs w:val="21"/>
          <w:highlight w:val="none"/>
        </w:rPr>
      </w:pPr>
      <w:r>
        <w:rPr>
          <w:rFonts w:ascii="宋体" w:hAnsi="宋体"/>
          <w:snapToGrid w:val="0"/>
          <w:color w:val="auto"/>
          <w:kern w:val="0"/>
          <w:szCs w:val="21"/>
          <w:highlight w:val="none"/>
        </w:rPr>
        <w:br w:type="page"/>
      </w:r>
      <w:bookmarkStart w:id="78" w:name="_Toc287607735"/>
      <w:bookmarkStart w:id="79" w:name="_Toc224103306"/>
      <w:bookmarkStart w:id="80" w:name="_Toc430530423"/>
      <w:bookmarkStart w:id="81" w:name="_Toc287620674"/>
    </w:p>
    <w:p w14:paraId="5D8569E4">
      <w:pPr>
        <w:pStyle w:val="3"/>
        <w:spacing w:line="360" w:lineRule="auto"/>
        <w:jc w:val="center"/>
        <w:rPr>
          <w:rFonts w:ascii="宋体" w:hAnsi="宋体"/>
          <w:snapToGrid w:val="0"/>
          <w:color w:val="auto"/>
          <w:highlight w:val="none"/>
        </w:rPr>
      </w:pPr>
      <w:bookmarkStart w:id="82" w:name="_Toc509218699"/>
      <w:bookmarkStart w:id="83" w:name="_Toc58860055"/>
      <w:r>
        <w:rPr>
          <w:rFonts w:ascii="宋体" w:hAnsi="宋体"/>
          <w:snapToGrid w:val="0"/>
          <w:color w:val="auto"/>
          <w:highlight w:val="none"/>
        </w:rPr>
        <w:t>第一章  投标邀请书（</w:t>
      </w:r>
      <w:r>
        <w:rPr>
          <w:rFonts w:hint="eastAsia" w:ascii="宋体" w:hAnsi="宋体"/>
          <w:snapToGrid w:val="0"/>
          <w:color w:val="auto"/>
          <w:highlight w:val="none"/>
        </w:rPr>
        <w:t>适用于邀请招标</w:t>
      </w:r>
      <w:r>
        <w:rPr>
          <w:rFonts w:ascii="宋体" w:hAnsi="宋体"/>
          <w:snapToGrid w:val="0"/>
          <w:color w:val="auto"/>
          <w:highlight w:val="none"/>
        </w:rPr>
        <w:t>）</w:t>
      </w:r>
      <w:bookmarkEnd w:id="78"/>
      <w:bookmarkEnd w:id="79"/>
      <w:bookmarkEnd w:id="80"/>
      <w:bookmarkEnd w:id="81"/>
      <w:bookmarkEnd w:id="82"/>
      <w:bookmarkEnd w:id="83"/>
    </w:p>
    <w:p w14:paraId="7BB47879">
      <w:pPr>
        <w:tabs>
          <w:tab w:val="left" w:pos="3425"/>
          <w:tab w:val="left" w:pos="5520"/>
        </w:tabs>
        <w:autoSpaceDE w:val="0"/>
        <w:autoSpaceDN w:val="0"/>
        <w:adjustRightInd w:val="0"/>
        <w:snapToGrid w:val="0"/>
        <w:spacing w:line="450" w:lineRule="exact"/>
        <w:jc w:val="center"/>
        <w:rPr>
          <w:rFonts w:ascii="宋体" w:hAnsi="宋体"/>
          <w:color w:val="auto"/>
          <w:kern w:val="0"/>
          <w:sz w:val="28"/>
          <w:szCs w:val="28"/>
          <w:highlight w:val="none"/>
        </w:rPr>
      </w:pPr>
      <w:r>
        <w:rPr>
          <w:rFonts w:hint="eastAsia" w:ascii="宋体" w:hAnsi="宋体"/>
          <w:snapToGrid w:val="0"/>
          <w:color w:val="auto"/>
          <w:kern w:val="0"/>
          <w:szCs w:val="21"/>
          <w:highlight w:val="none"/>
          <w:u w:val="single"/>
        </w:rPr>
        <w:t xml:space="preserve">                 </w:t>
      </w:r>
      <w:r>
        <w:rPr>
          <w:rFonts w:ascii="宋体" w:hAnsi="宋体"/>
          <w:color w:val="auto"/>
          <w:sz w:val="28"/>
          <w:szCs w:val="28"/>
          <w:highlight w:val="none"/>
          <w:u w:val="single"/>
        </w:rPr>
        <w:t>（项目名称）</w:t>
      </w:r>
      <w:r>
        <w:rPr>
          <w:rFonts w:ascii="宋体" w:hAnsi="宋体"/>
          <w:color w:val="auto"/>
          <w:w w:val="99"/>
          <w:kern w:val="0"/>
          <w:sz w:val="28"/>
          <w:szCs w:val="28"/>
          <w:highlight w:val="none"/>
        </w:rPr>
        <w:t>投标邀请书</w:t>
      </w:r>
    </w:p>
    <w:p w14:paraId="165BAB08">
      <w:pPr>
        <w:tabs>
          <w:tab w:val="left" w:pos="2940"/>
        </w:tabs>
        <w:autoSpaceDE w:val="0"/>
        <w:autoSpaceDN w:val="0"/>
        <w:adjustRightInd w:val="0"/>
        <w:snapToGrid w:val="0"/>
        <w:spacing w:line="450" w:lineRule="exact"/>
        <w:jc w:val="left"/>
        <w:rPr>
          <w:rFonts w:ascii="宋体" w:hAnsi="宋体"/>
          <w:b/>
          <w:snapToGrid w:val="0"/>
          <w:color w:val="auto"/>
          <w:sz w:val="28"/>
          <w:szCs w:val="28"/>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b/>
          <w:snapToGrid w:val="0"/>
          <w:color w:val="auto"/>
          <w:kern w:val="0"/>
          <w:szCs w:val="21"/>
          <w:highlight w:val="none"/>
        </w:rPr>
        <w:t>：</w:t>
      </w:r>
    </w:p>
    <w:p w14:paraId="16C5CBF7">
      <w:pPr>
        <w:pStyle w:val="4"/>
        <w:spacing w:before="100" w:after="100" w:line="450" w:lineRule="exact"/>
        <w:rPr>
          <w:rFonts w:ascii="宋体" w:hAnsi="宋体"/>
          <w:snapToGrid w:val="0"/>
          <w:color w:val="auto"/>
          <w:sz w:val="28"/>
          <w:szCs w:val="28"/>
          <w:highlight w:val="none"/>
        </w:rPr>
      </w:pPr>
      <w:bookmarkStart w:id="84" w:name="_Toc58860056"/>
      <w:bookmarkStart w:id="85" w:name="_Toc509218700"/>
      <w:bookmarkStart w:id="86" w:name="_Toc224103307"/>
      <w:bookmarkStart w:id="87" w:name="_Toc287607736"/>
      <w:bookmarkStart w:id="88" w:name="_Toc287620675"/>
      <w:bookmarkStart w:id="89" w:name="_Toc277082543"/>
      <w:bookmarkStart w:id="90" w:name="_Toc430530424"/>
      <w:r>
        <w:rPr>
          <w:rFonts w:ascii="宋体" w:hAnsi="宋体"/>
          <w:snapToGrid w:val="0"/>
          <w:color w:val="auto"/>
          <w:sz w:val="28"/>
          <w:szCs w:val="28"/>
          <w:highlight w:val="none"/>
        </w:rPr>
        <w:t>1.  招标条件</w:t>
      </w:r>
      <w:bookmarkEnd w:id="84"/>
      <w:bookmarkEnd w:id="85"/>
      <w:bookmarkEnd w:id="86"/>
      <w:bookmarkEnd w:id="87"/>
      <w:bookmarkEnd w:id="88"/>
      <w:bookmarkEnd w:id="89"/>
      <w:bookmarkEnd w:id="90"/>
    </w:p>
    <w:p w14:paraId="78A8E5A9">
      <w:pPr>
        <w:tabs>
          <w:tab w:val="left" w:pos="4305"/>
          <w:tab w:val="left" w:pos="4640"/>
          <w:tab w:val="left" w:pos="7240"/>
        </w:tabs>
        <w:autoSpaceDE w:val="0"/>
        <w:autoSpaceDN w:val="0"/>
        <w:adjustRightInd w:val="0"/>
        <w:snapToGrid w:val="0"/>
        <w:spacing w:line="45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本招标项目</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（项目名称）已由</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（项目审批、 核准或备案机关名称）以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（批文名称及编号）批准建设，项目业主为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，建设资金来自</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（资金来源），出资比例为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，招标人为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。项目已具备招标条件，现邀请你单位参加</w:t>
      </w:r>
      <w:r>
        <w:rPr>
          <w:rFonts w:hint="eastAsia" w:ascii="宋体" w:hAnsi="宋体"/>
          <w:snapToGrid w:val="0"/>
          <w:color w:val="auto"/>
          <w:kern w:val="0"/>
          <w:szCs w:val="21"/>
          <w:highlight w:val="none"/>
        </w:rPr>
        <w:t>该项目的工程总承包</w:t>
      </w:r>
      <w:r>
        <w:rPr>
          <w:rFonts w:ascii="宋体" w:hAnsi="宋体"/>
          <w:snapToGrid w:val="0"/>
          <w:color w:val="auto"/>
          <w:kern w:val="0"/>
          <w:szCs w:val="21"/>
          <w:highlight w:val="none"/>
        </w:rPr>
        <w:t>投标。</w:t>
      </w:r>
    </w:p>
    <w:p w14:paraId="23BA6982">
      <w:pPr>
        <w:pStyle w:val="4"/>
        <w:spacing w:before="100" w:after="100" w:line="450" w:lineRule="exact"/>
        <w:rPr>
          <w:rFonts w:ascii="宋体" w:hAnsi="宋体"/>
          <w:snapToGrid w:val="0"/>
          <w:color w:val="auto"/>
          <w:sz w:val="28"/>
          <w:szCs w:val="28"/>
          <w:highlight w:val="none"/>
        </w:rPr>
      </w:pPr>
      <w:bookmarkStart w:id="91" w:name="_Toc224103308"/>
      <w:bookmarkStart w:id="92" w:name="_Toc509218701"/>
      <w:bookmarkStart w:id="93" w:name="_Toc287607737"/>
      <w:bookmarkStart w:id="94" w:name="_Toc287620676"/>
      <w:bookmarkStart w:id="95" w:name="_Toc277082544"/>
      <w:bookmarkStart w:id="96" w:name="_Toc430530425"/>
      <w:bookmarkStart w:id="97" w:name="_Toc58860057"/>
      <w:r>
        <w:rPr>
          <w:rFonts w:ascii="宋体" w:hAnsi="宋体"/>
          <w:snapToGrid w:val="0"/>
          <w:color w:val="auto"/>
          <w:sz w:val="28"/>
          <w:szCs w:val="28"/>
          <w:highlight w:val="none"/>
        </w:rPr>
        <w:t>2.  项目概况与招标范围</w:t>
      </w:r>
      <w:bookmarkEnd w:id="91"/>
      <w:bookmarkEnd w:id="92"/>
      <w:bookmarkEnd w:id="93"/>
      <w:bookmarkEnd w:id="94"/>
      <w:bookmarkEnd w:id="95"/>
      <w:bookmarkEnd w:id="96"/>
      <w:bookmarkEnd w:id="97"/>
    </w:p>
    <w:p w14:paraId="329295C3">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2.1 建设地点：</w:t>
      </w:r>
      <w:r>
        <w:rPr>
          <w:rFonts w:hint="eastAsia" w:ascii="宋体" w:hAnsi="宋体"/>
          <w:snapToGrid w:val="0"/>
          <w:color w:val="auto"/>
          <w:kern w:val="0"/>
          <w:szCs w:val="21"/>
          <w:highlight w:val="none"/>
          <w:u w:val="single"/>
        </w:rPr>
        <w:t xml:space="preserve">        </w:t>
      </w:r>
    </w:p>
    <w:p w14:paraId="4CF707E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2.2 项目概况与建设规模：</w:t>
      </w:r>
      <w:r>
        <w:rPr>
          <w:rFonts w:hint="eastAsia" w:ascii="宋体" w:hAnsi="宋体"/>
          <w:snapToGrid w:val="0"/>
          <w:color w:val="auto"/>
          <w:kern w:val="0"/>
          <w:szCs w:val="21"/>
          <w:highlight w:val="none"/>
          <w:u w:val="single"/>
        </w:rPr>
        <w:t xml:space="preserve">        </w:t>
      </w:r>
    </w:p>
    <w:p w14:paraId="556A8E3E">
      <w:pPr>
        <w:tabs>
          <w:tab w:val="left" w:pos="3840"/>
          <w:tab w:val="left" w:pos="5300"/>
        </w:tabs>
        <w:autoSpaceDE w:val="0"/>
        <w:autoSpaceDN w:val="0"/>
        <w:adjustRightInd w:val="0"/>
        <w:snapToGrid w:val="0"/>
        <w:spacing w:line="460" w:lineRule="exact"/>
        <w:ind w:firstLine="420" w:firstLineChars="200"/>
        <w:jc w:val="left"/>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[提示：若设置投标人业绩资质条件，项目建设规模应体现与业绩对应的规模参数，包括但不限于：工程总投资额、合同估算金额、建筑面积、高度、长度、道路等级等。]</w:t>
      </w:r>
    </w:p>
    <w:p w14:paraId="0366DE65">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2.3 □本次招标项目工程总投资额：</w:t>
      </w:r>
      <w:r>
        <w:rPr>
          <w:rFonts w:hint="eastAsia" w:ascii="宋体" w:hAnsi="宋体"/>
          <w:snapToGrid w:val="0"/>
          <w:color w:val="auto"/>
          <w:kern w:val="0"/>
          <w:szCs w:val="21"/>
          <w:highlight w:val="none"/>
          <w:u w:val="single"/>
        </w:rPr>
        <w:t xml:space="preserve">        </w:t>
      </w:r>
    </w:p>
    <w:p w14:paraId="37B19E0F">
      <w:pPr>
        <w:tabs>
          <w:tab w:val="left" w:pos="3840"/>
          <w:tab w:val="left" w:pos="5300"/>
        </w:tabs>
        <w:autoSpaceDE w:val="0"/>
        <w:autoSpaceDN w:val="0"/>
        <w:adjustRightInd w:val="0"/>
        <w:snapToGrid w:val="0"/>
        <w:spacing w:line="460" w:lineRule="exact"/>
        <w:ind w:firstLine="840" w:firstLineChars="400"/>
        <w:jc w:val="left"/>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□本次招标项目合同估算金额：</w:t>
      </w:r>
      <w:r>
        <w:rPr>
          <w:rFonts w:hint="eastAsia" w:ascii="宋体" w:hAnsi="宋体"/>
          <w:snapToGrid w:val="0"/>
          <w:color w:val="auto"/>
          <w:kern w:val="0"/>
          <w:szCs w:val="21"/>
          <w:highlight w:val="none"/>
          <w:u w:val="single"/>
        </w:rPr>
        <w:t xml:space="preserve">        </w:t>
      </w:r>
    </w:p>
    <w:p w14:paraId="35E3B01C">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2.4 招标范围：主要包括施工图设计</w:t>
      </w:r>
      <w:r>
        <w:rPr>
          <w:rFonts w:hint="eastAsia"/>
          <w:color w:val="auto"/>
          <w:highlight w:val="none"/>
        </w:rPr>
        <w:t>、</w:t>
      </w:r>
      <w:r>
        <w:rPr>
          <w:rFonts w:hint="eastAsia" w:ascii="宋体" w:hAnsi="宋体"/>
          <w:snapToGrid w:val="0"/>
          <w:color w:val="auto"/>
          <w:kern w:val="0"/>
          <w:szCs w:val="21"/>
          <w:highlight w:val="none"/>
        </w:rPr>
        <w:t>工程施工、□专业设备材料采购、□其他</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等内容，具体范围为：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1EB4953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i/>
          <w:snapToGrid w:val="0"/>
          <w:color w:val="auto"/>
          <w:kern w:val="0"/>
          <w:szCs w:val="21"/>
          <w:highlight w:val="none"/>
        </w:rPr>
        <w:t>[提示：根据工程总承包项目的实际需要进行勾选，采用工程总承包方式的政府投资项目，原则上应当在初步设计审批完成后进行工程总承包项目发包。</w:t>
      </w:r>
      <w:r>
        <w:rPr>
          <w:rFonts w:ascii="宋体" w:hAnsi="宋体"/>
          <w:i/>
          <w:color w:val="auto"/>
          <w:szCs w:val="21"/>
          <w:highlight w:val="none"/>
        </w:rPr>
        <w:t>招标范围应准确明了，</w:t>
      </w:r>
      <w:r>
        <w:rPr>
          <w:rFonts w:hint="eastAsia" w:ascii="宋体" w:hAnsi="宋体"/>
          <w:i/>
          <w:color w:val="auto"/>
          <w:szCs w:val="21"/>
          <w:highlight w:val="none"/>
        </w:rPr>
        <w:t>按照项目审批、核准、备案文件</w:t>
      </w:r>
      <w:r>
        <w:rPr>
          <w:rFonts w:ascii="宋体" w:hAnsi="宋体"/>
          <w:i/>
          <w:color w:val="auto"/>
          <w:szCs w:val="21"/>
          <w:highlight w:val="none"/>
        </w:rPr>
        <w:t>采用工程专业术语</w:t>
      </w:r>
      <w:r>
        <w:rPr>
          <w:rFonts w:hint="eastAsia" w:ascii="宋体" w:hAnsi="宋体"/>
          <w:i/>
          <w:color w:val="auto"/>
          <w:szCs w:val="21"/>
          <w:highlight w:val="none"/>
        </w:rPr>
        <w:t>进行</w:t>
      </w:r>
      <w:r>
        <w:rPr>
          <w:rFonts w:ascii="宋体" w:hAnsi="宋体"/>
          <w:i/>
          <w:color w:val="auto"/>
          <w:szCs w:val="21"/>
          <w:highlight w:val="none"/>
        </w:rPr>
        <w:t>填写</w:t>
      </w:r>
      <w:r>
        <w:rPr>
          <w:rFonts w:hint="eastAsia" w:ascii="宋体" w:hAnsi="宋体"/>
          <w:i/>
          <w:color w:val="auto"/>
          <w:szCs w:val="21"/>
          <w:highlight w:val="none"/>
        </w:rPr>
        <w:t>。</w:t>
      </w:r>
      <w:r>
        <w:rPr>
          <w:rFonts w:hint="eastAsia" w:ascii="宋体" w:hAnsi="宋体"/>
          <w:i/>
          <w:snapToGrid w:val="0"/>
          <w:color w:val="auto"/>
          <w:kern w:val="0"/>
          <w:szCs w:val="21"/>
          <w:highlight w:val="none"/>
        </w:rPr>
        <w:t>]</w:t>
      </w:r>
    </w:p>
    <w:p w14:paraId="6980F919">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2.5 工期要求：总工期</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日历天</w:t>
      </w:r>
      <w:r>
        <w:rPr>
          <w:rFonts w:hint="eastAsia" w:ascii="宋体" w:hAnsi="宋体"/>
          <w:snapToGrid w:val="0"/>
          <w:color w:val="auto"/>
          <w:kern w:val="0"/>
          <w:szCs w:val="21"/>
          <w:highlight w:val="none"/>
        </w:rPr>
        <w:t>，缺陷责任期</w:t>
      </w:r>
      <w:r>
        <w:rPr>
          <w:rFonts w:hint="eastAsia" w:ascii="宋体" w:hAnsi="宋体"/>
          <w:snapToGrid w:val="0"/>
          <w:color w:val="auto"/>
          <w:kern w:val="0"/>
          <w:szCs w:val="21"/>
          <w:highlight w:val="none"/>
          <w:u w:val="single"/>
        </w:rPr>
        <w:t xml:space="preserve">  个月</w:t>
      </w:r>
      <w:r>
        <w:rPr>
          <w:rFonts w:hint="eastAsia" w:ascii="宋体" w:hAnsi="宋体"/>
          <w:snapToGrid w:val="0"/>
          <w:color w:val="auto"/>
          <w:kern w:val="0"/>
          <w:szCs w:val="21"/>
          <w:highlight w:val="none"/>
        </w:rPr>
        <w:t>。其中</w:t>
      </w:r>
    </w:p>
    <w:p w14:paraId="1779ED6A">
      <w:pPr>
        <w:spacing w:line="460" w:lineRule="exact"/>
        <w:ind w:firstLine="840" w:firstLineChars="400"/>
        <w:rPr>
          <w:rFonts w:ascii="宋体" w:hAnsi="宋体"/>
          <w:snapToGrid w:val="0"/>
          <w:color w:val="auto"/>
          <w:kern w:val="0"/>
          <w:szCs w:val="21"/>
          <w:highlight w:val="none"/>
        </w:rPr>
      </w:pPr>
      <w:r>
        <w:rPr>
          <w:rFonts w:hint="eastAsia" w:ascii="宋体" w:hAnsi="宋体"/>
          <w:snapToGrid w:val="0"/>
          <w:color w:val="auto"/>
          <w:kern w:val="0"/>
          <w:szCs w:val="21"/>
          <w:highlight w:val="none"/>
        </w:rPr>
        <w:t>□设计周期：□施工图设计</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；□其他服务</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w:t>
      </w:r>
    </w:p>
    <w:p w14:paraId="3B235FDB">
      <w:pPr>
        <w:spacing w:line="460" w:lineRule="exact"/>
        <w:ind w:firstLine="840" w:firstLineChars="400"/>
        <w:rPr>
          <w:rFonts w:ascii="宋体" w:hAnsi="宋体"/>
          <w:snapToGrid w:val="0"/>
          <w:color w:val="auto"/>
          <w:kern w:val="0"/>
          <w:szCs w:val="21"/>
          <w:highlight w:val="none"/>
        </w:rPr>
      </w:pPr>
      <w:r>
        <w:rPr>
          <w:rFonts w:hint="eastAsia" w:ascii="宋体" w:hAnsi="宋体"/>
          <w:snapToGrid w:val="0"/>
          <w:color w:val="auto"/>
          <w:kern w:val="0"/>
          <w:szCs w:val="21"/>
          <w:highlight w:val="none"/>
        </w:rPr>
        <w:t>□专业设备材料到货时间：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w:t>
      </w:r>
    </w:p>
    <w:p w14:paraId="20EC4BE2">
      <w:pPr>
        <w:spacing w:line="460" w:lineRule="exact"/>
        <w:ind w:firstLine="840" w:firstLineChars="400"/>
        <w:rPr>
          <w:rFonts w:ascii="宋体" w:hAnsi="宋体"/>
          <w:snapToGrid w:val="0"/>
          <w:color w:val="auto"/>
          <w:kern w:val="0"/>
          <w:szCs w:val="21"/>
          <w:highlight w:val="none"/>
        </w:rPr>
      </w:pPr>
      <w:r>
        <w:rPr>
          <w:rFonts w:hint="eastAsia" w:ascii="宋体" w:hAnsi="宋体"/>
          <w:snapToGrid w:val="0"/>
          <w:color w:val="auto"/>
          <w:kern w:val="0"/>
          <w:szCs w:val="21"/>
          <w:highlight w:val="none"/>
        </w:rPr>
        <w:t>□施工工期：</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w:t>
      </w:r>
    </w:p>
    <w:p w14:paraId="2783DAA1">
      <w:pPr>
        <w:spacing w:line="460" w:lineRule="exact"/>
        <w:ind w:firstLine="840" w:firstLineChars="400"/>
        <w:rPr>
          <w:color w:val="auto"/>
          <w:highlight w:val="none"/>
        </w:rPr>
      </w:pPr>
      <w:r>
        <w:rPr>
          <w:rFonts w:hint="eastAsia"/>
          <w:color w:val="auto"/>
          <w:highlight w:val="none"/>
        </w:rPr>
        <w:t>□节点工期要求：</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p w14:paraId="05B40D18">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2.6 标段划分（如有）：</w:t>
      </w:r>
      <w:r>
        <w:rPr>
          <w:rFonts w:hint="eastAsia" w:ascii="宋体" w:hAnsi="宋体"/>
          <w:snapToGrid w:val="0"/>
          <w:color w:val="auto"/>
          <w:kern w:val="0"/>
          <w:szCs w:val="21"/>
          <w:highlight w:val="none"/>
          <w:u w:val="single"/>
        </w:rPr>
        <w:t xml:space="preserve">        </w:t>
      </w:r>
    </w:p>
    <w:p w14:paraId="4F2CD76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2.7 其他：</w:t>
      </w:r>
      <w:r>
        <w:rPr>
          <w:rFonts w:hint="eastAsia" w:ascii="宋体" w:hAnsi="宋体"/>
          <w:snapToGrid w:val="0"/>
          <w:color w:val="auto"/>
          <w:kern w:val="0"/>
          <w:szCs w:val="21"/>
          <w:highlight w:val="none"/>
          <w:u w:val="single"/>
        </w:rPr>
        <w:t xml:space="preserve">        </w:t>
      </w:r>
    </w:p>
    <w:p w14:paraId="0120C0D5">
      <w:pPr>
        <w:pStyle w:val="4"/>
        <w:spacing w:before="100" w:after="100" w:line="450" w:lineRule="exact"/>
        <w:rPr>
          <w:rFonts w:ascii="宋体" w:hAnsi="宋体"/>
          <w:snapToGrid w:val="0"/>
          <w:color w:val="auto"/>
          <w:sz w:val="28"/>
          <w:szCs w:val="28"/>
          <w:highlight w:val="none"/>
        </w:rPr>
      </w:pPr>
      <w:bookmarkStart w:id="98" w:name="_Toc509218702"/>
      <w:bookmarkStart w:id="99" w:name="_Toc224103309"/>
      <w:bookmarkStart w:id="100" w:name="_Toc430530426"/>
      <w:bookmarkStart w:id="101" w:name="_Toc287620677"/>
      <w:bookmarkStart w:id="102" w:name="_Toc58860058"/>
      <w:bookmarkStart w:id="103" w:name="_Toc287607738"/>
      <w:bookmarkStart w:id="104" w:name="_Toc277082545"/>
      <w:r>
        <w:rPr>
          <w:rFonts w:ascii="宋体" w:hAnsi="宋体"/>
          <w:snapToGrid w:val="0"/>
          <w:color w:val="auto"/>
          <w:sz w:val="28"/>
          <w:szCs w:val="28"/>
          <w:highlight w:val="none"/>
        </w:rPr>
        <w:t>3.  投标人资格要求</w:t>
      </w:r>
      <w:bookmarkEnd w:id="98"/>
      <w:bookmarkEnd w:id="99"/>
      <w:bookmarkEnd w:id="100"/>
      <w:bookmarkEnd w:id="101"/>
      <w:bookmarkEnd w:id="102"/>
      <w:bookmarkEnd w:id="103"/>
      <w:bookmarkEnd w:id="104"/>
    </w:p>
    <w:p w14:paraId="73DCF702">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3.1  本次招标要求投标人须具备</w:t>
      </w:r>
      <w:r>
        <w:rPr>
          <w:rFonts w:hint="eastAsia" w:ascii="宋体" w:hAnsi="宋体"/>
          <w:snapToGrid w:val="0"/>
          <w:color w:val="auto"/>
          <w:kern w:val="0"/>
          <w:szCs w:val="21"/>
          <w:highlight w:val="none"/>
        </w:rPr>
        <w:t>以下条件：</w:t>
      </w:r>
    </w:p>
    <w:p w14:paraId="70EA179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3.1.1 本次招标要求投标人具备的资质条件：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26A216E1">
      <w:pPr>
        <w:tabs>
          <w:tab w:val="left" w:pos="3840"/>
          <w:tab w:val="left" w:pos="5300"/>
        </w:tabs>
        <w:autoSpaceDE w:val="0"/>
        <w:autoSpaceDN w:val="0"/>
        <w:adjustRightInd w:val="0"/>
        <w:snapToGrid w:val="0"/>
        <w:spacing w:line="460" w:lineRule="exact"/>
        <w:ind w:firstLine="420" w:firstLineChars="200"/>
        <w:jc w:val="left"/>
        <w:rPr>
          <w:rFonts w:ascii="宋体" w:hAnsi="宋体"/>
          <w:i/>
          <w:color w:val="auto"/>
          <w:szCs w:val="21"/>
          <w:highlight w:val="none"/>
        </w:rPr>
      </w:pPr>
      <w:r>
        <w:rPr>
          <w:rFonts w:hint="eastAsia" w:ascii="宋体" w:hAnsi="宋体"/>
          <w:i/>
          <w:color w:val="auto"/>
          <w:szCs w:val="21"/>
          <w:highlight w:val="none"/>
        </w:rPr>
        <w:t>[提示：资质的设定应执行《建筑业企业资质标准》（建市〔2014〕159号）及其修订、配套、补充文件和《建设工程勘察设计管理条例》（国务院令第293号 ）、《建设工程勘察设计资质管理规定》（建设部令第160号）等文件的现行规定。工程总承包项目应设定与工程规模相适应的工程设计资质和施工资质。施工资质应设定相应的施工总承包资质，不得再设置施工总承包资质已涵盖的任何专业承包资质。工程总承包项目中有设定资质不能涵盖的工作内容的，应当允许分包。]</w:t>
      </w:r>
    </w:p>
    <w:p w14:paraId="1C77DF5D">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color w:val="auto"/>
          <w:highlight w:val="none"/>
        </w:rPr>
        <w:t>□</w:t>
      </w:r>
      <w:r>
        <w:rPr>
          <w:rFonts w:hint="eastAsia" w:ascii="宋体" w:hAnsi="宋体"/>
          <w:snapToGrid w:val="0"/>
          <w:color w:val="auto"/>
          <w:kern w:val="0"/>
          <w:szCs w:val="21"/>
          <w:highlight w:val="none"/>
        </w:rPr>
        <w:t>3.1.2 本次招标要求投标人具备的业绩条件：</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6C8572A8">
      <w:pPr>
        <w:tabs>
          <w:tab w:val="left" w:pos="3840"/>
          <w:tab w:val="left" w:pos="5300"/>
        </w:tabs>
        <w:autoSpaceDE w:val="0"/>
        <w:autoSpaceDN w:val="0"/>
        <w:adjustRightInd w:val="0"/>
        <w:snapToGrid w:val="0"/>
        <w:spacing w:line="460" w:lineRule="exact"/>
        <w:ind w:firstLine="420" w:firstLineChars="200"/>
        <w:jc w:val="left"/>
        <w:rPr>
          <w:rFonts w:ascii="宋体" w:hAnsi="宋体"/>
          <w:i/>
          <w:color w:val="auto"/>
          <w:szCs w:val="21"/>
          <w:highlight w:val="none"/>
        </w:rPr>
      </w:pPr>
      <w:r>
        <w:rPr>
          <w:rFonts w:hint="eastAsia" w:ascii="宋体" w:hAnsi="宋体"/>
          <w:i/>
          <w:color w:val="auto"/>
          <w:szCs w:val="21"/>
          <w:highlight w:val="none"/>
        </w:rPr>
        <w:t>[提示：1、工程类别的设定原则上应当满足《建设工程分类标准》（GB/T 50841-2013）的要求，其具体要求使用至三级目录为止，具体详见《建设工程分类标准》（GB/T 50841-2013）附录A、附录B、附录C；2、采用金额为业绩条件的，其类似工程业绩金额的设定原则上不高于该招标项目估算价或经批准的概算金额或最高限价的四分之三；3、采用工程规模的具体参数为业绩条件的，工程规模的类别设定原则上应当采用《建筑业企业资质标准》（建市〔2014〕159号）中“承包工程范围”中明确设立了的工程规模类别，且工程规模的具体参数原则上不高于招标项目工程规模数值的四分之三（但降低了相关规模标准等级的除外），投标人提供的业绩其具体参数应大于等于该业绩条件。]</w:t>
      </w:r>
    </w:p>
    <w:p w14:paraId="34D0B3B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3.1.3 投标人还应在人员、设备、资金等方面具有相应的实施能力，详见招标文件第二章投标人须知前附表第1.4.1条内容。</w:t>
      </w:r>
    </w:p>
    <w:p w14:paraId="2869BF4E">
      <w:pPr>
        <w:tabs>
          <w:tab w:val="left" w:pos="2060"/>
          <w:tab w:val="left" w:pos="8205"/>
        </w:tabs>
        <w:autoSpaceDE w:val="0"/>
        <w:autoSpaceDN w:val="0"/>
        <w:adjustRightInd w:val="0"/>
        <w:snapToGrid w:val="0"/>
        <w:spacing w:line="45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3.2  你单位</w:t>
      </w:r>
      <w:r>
        <w:rPr>
          <w:rFonts w:hint="eastAsia" w:ascii="宋体" w:hAnsi="宋体"/>
          <w:snapToGrid w:val="0"/>
          <w:color w:val="auto"/>
          <w:kern w:val="0"/>
          <w:szCs w:val="21"/>
          <w:highlight w:val="none"/>
        </w:rPr>
        <w:t>□可以□不可以</w:t>
      </w:r>
      <w:r>
        <w:rPr>
          <w:rFonts w:ascii="宋体" w:hAnsi="宋体"/>
          <w:snapToGrid w:val="0"/>
          <w:color w:val="auto"/>
          <w:kern w:val="0"/>
          <w:szCs w:val="21"/>
          <w:highlight w:val="none"/>
        </w:rPr>
        <w:t>组成联合体投标。联合体投标的，应满足下列要求：</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p>
    <w:p w14:paraId="4DB3B009">
      <w:pPr>
        <w:pStyle w:val="4"/>
        <w:spacing w:before="100" w:after="100" w:line="450" w:lineRule="exact"/>
        <w:rPr>
          <w:rFonts w:ascii="宋体" w:hAnsi="宋体"/>
          <w:snapToGrid w:val="0"/>
          <w:color w:val="auto"/>
          <w:sz w:val="28"/>
          <w:szCs w:val="28"/>
          <w:highlight w:val="none"/>
        </w:rPr>
      </w:pPr>
      <w:bookmarkStart w:id="105" w:name="_Toc287607739"/>
      <w:bookmarkStart w:id="106" w:name="_Toc58860059"/>
      <w:bookmarkStart w:id="107" w:name="_Toc430530427"/>
      <w:bookmarkStart w:id="108" w:name="_Toc277082546"/>
      <w:bookmarkStart w:id="109" w:name="_Toc287620678"/>
      <w:bookmarkStart w:id="110" w:name="_Toc224103310"/>
      <w:bookmarkStart w:id="111" w:name="_Toc509218703"/>
      <w:r>
        <w:rPr>
          <w:rFonts w:ascii="宋体" w:hAnsi="宋体"/>
          <w:snapToGrid w:val="0"/>
          <w:color w:val="auto"/>
          <w:sz w:val="28"/>
          <w:szCs w:val="28"/>
          <w:highlight w:val="none"/>
        </w:rPr>
        <w:t>4.  招标文件的获取</w:t>
      </w:r>
      <w:bookmarkEnd w:id="105"/>
      <w:bookmarkEnd w:id="106"/>
      <w:bookmarkEnd w:id="107"/>
      <w:bookmarkEnd w:id="108"/>
      <w:bookmarkEnd w:id="109"/>
      <w:bookmarkEnd w:id="110"/>
      <w:bookmarkEnd w:id="111"/>
    </w:p>
    <w:p w14:paraId="457BC998">
      <w:pPr>
        <w:tabs>
          <w:tab w:val="left" w:pos="525"/>
          <w:tab w:val="left" w:pos="5080"/>
        </w:tabs>
        <w:autoSpaceDE w:val="0"/>
        <w:autoSpaceDN w:val="0"/>
        <w:adjustRightInd w:val="0"/>
        <w:snapToGrid w:val="0"/>
        <w:spacing w:line="450" w:lineRule="exact"/>
        <w:ind w:firstLine="424" w:firstLineChars="202"/>
        <w:rPr>
          <w:rFonts w:ascii="宋体" w:hAnsi="宋体"/>
          <w:snapToGrid w:val="0"/>
          <w:color w:val="auto"/>
          <w:kern w:val="0"/>
          <w:szCs w:val="21"/>
          <w:highlight w:val="none"/>
        </w:rPr>
      </w:pPr>
      <w:bookmarkStart w:id="112" w:name="_Toc224103311"/>
      <w:bookmarkStart w:id="113" w:name="_Toc287620679"/>
      <w:bookmarkStart w:id="114" w:name="_Toc287607740"/>
      <w:bookmarkStart w:id="115" w:name="_Toc277082547"/>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1  </w:t>
      </w:r>
      <w:r>
        <w:rPr>
          <w:rFonts w:ascii="宋体" w:hAnsi="宋体"/>
          <w:snapToGrid w:val="0"/>
          <w:color w:val="auto"/>
          <w:kern w:val="0"/>
          <w:szCs w:val="21"/>
          <w:highlight w:val="none"/>
        </w:rPr>
        <w:t>本招标项目采用</w:t>
      </w:r>
      <w:r>
        <w:rPr>
          <w:rFonts w:hint="eastAsia" w:ascii="宋体" w:hAnsi="宋体"/>
          <w:snapToGrid w:val="0"/>
          <w:color w:val="auto"/>
          <w:kern w:val="0"/>
          <w:szCs w:val="21"/>
          <w:highlight w:val="none"/>
        </w:rPr>
        <w:t>全流程</w:t>
      </w:r>
      <w:r>
        <w:rPr>
          <w:rFonts w:ascii="宋体" w:hAnsi="宋体"/>
          <w:snapToGrid w:val="0"/>
          <w:color w:val="auto"/>
          <w:kern w:val="0"/>
          <w:szCs w:val="21"/>
          <w:highlight w:val="none"/>
        </w:rPr>
        <w:t>电子招投标，</w:t>
      </w:r>
      <w:r>
        <w:rPr>
          <w:rFonts w:hint="eastAsia" w:ascii="宋体" w:hAnsi="宋体"/>
          <w:snapToGrid w:val="0"/>
          <w:color w:val="auto"/>
          <w:kern w:val="0"/>
          <w:szCs w:val="21"/>
          <w:highlight w:val="none"/>
        </w:rPr>
        <w:t>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w:t>
      </w:r>
      <w:r>
        <w:rPr>
          <w:rFonts w:hint="eastAsia" w:ascii="宋体" w:hAnsi="宋体"/>
          <w:snapToGrid w:val="0"/>
          <w:color w:val="auto"/>
          <w:kern w:val="0"/>
          <w:szCs w:val="21"/>
          <w:highlight w:val="none"/>
        </w:rPr>
        <w:t>（如有）</w:t>
      </w:r>
      <w:r>
        <w:rPr>
          <w:rFonts w:ascii="宋体" w:hAnsi="宋体"/>
          <w:snapToGrid w:val="0"/>
          <w:color w:val="auto"/>
          <w:kern w:val="0"/>
          <w:szCs w:val="21"/>
          <w:highlight w:val="none"/>
        </w:rPr>
        <w:t>、图纸、澄清、修改、补充通知、最高限价通知等全部招标资料</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ascii="宋体" w:hAnsi="宋体"/>
          <w:snapToGrid w:val="0"/>
          <w:color w:val="auto"/>
          <w:kern w:val="0"/>
          <w:szCs w:val="21"/>
          <w:highlight w:val="none"/>
        </w:rPr>
        <w:t>送达所有被邀请投标人。</w:t>
      </w:r>
    </w:p>
    <w:p w14:paraId="61E94093">
      <w:pPr>
        <w:tabs>
          <w:tab w:val="left" w:pos="2420"/>
          <w:tab w:val="left" w:pos="5445"/>
        </w:tabs>
        <w:autoSpaceDE w:val="0"/>
        <w:autoSpaceDN w:val="0"/>
        <w:adjustRightInd w:val="0"/>
        <w:snapToGrid w:val="0"/>
        <w:spacing w:line="450" w:lineRule="exact"/>
        <w:ind w:firstLine="420"/>
        <w:rPr>
          <w:color w:val="auto"/>
          <w:highlight w:val="none"/>
        </w:rPr>
      </w:pPr>
      <w:r>
        <w:rPr>
          <w:rFonts w:hint="eastAsia"/>
          <w:color w:val="auto"/>
          <w:highlight w:val="none"/>
        </w:rPr>
        <w:t>4.</w:t>
      </w:r>
      <w:r>
        <w:rPr>
          <w:color w:val="auto"/>
          <w:highlight w:val="none"/>
        </w:rPr>
        <w:t>2</w:t>
      </w:r>
      <w:r>
        <w:rPr>
          <w:rFonts w:hint="eastAsia"/>
          <w:color w:val="auto"/>
          <w:highlight w:val="none"/>
        </w:rPr>
        <w:t xml:space="preserve"> </w:t>
      </w:r>
      <w:r>
        <w:rPr>
          <w:color w:val="auto"/>
          <w:highlight w:val="none"/>
        </w:rPr>
        <w:t xml:space="preserve"> </w:t>
      </w:r>
      <w:r>
        <w:rPr>
          <w:rFonts w:hint="eastAsia"/>
          <w:color w:val="auto"/>
          <w:highlight w:val="none"/>
        </w:rPr>
        <w:t>投标人应通过</w:t>
      </w:r>
      <w:r>
        <w:rPr>
          <w:rFonts w:hint="eastAsia" w:ascii="宋体" w:hAnsi="宋体"/>
          <w:snapToGrid w:val="0"/>
          <w:color w:val="auto"/>
          <w:kern w:val="0"/>
          <w:szCs w:val="21"/>
          <w:highlight w:val="none"/>
          <w:u w:val="none"/>
        </w:rPr>
        <w:t>重庆市</w:t>
      </w:r>
      <w:r>
        <w:rPr>
          <w:rFonts w:ascii="宋体" w:hAnsi="宋体"/>
          <w:snapToGrid w:val="0"/>
          <w:color w:val="auto"/>
          <w:kern w:val="0"/>
          <w:szCs w:val="21"/>
          <w:highlight w:val="none"/>
          <w:u w:val="none"/>
        </w:rPr>
        <w:t>电子招投标</w:t>
      </w:r>
      <w:r>
        <w:rPr>
          <w:rFonts w:hint="eastAsia" w:ascii="宋体" w:hAnsi="宋体"/>
          <w:snapToGrid w:val="0"/>
          <w:color w:val="auto"/>
          <w:kern w:val="0"/>
          <w:szCs w:val="21"/>
          <w:highlight w:val="none"/>
          <w:u w:val="none"/>
        </w:rPr>
        <w:t>系统</w:t>
      </w:r>
      <w:r>
        <w:rPr>
          <w:rFonts w:hint="eastAsia"/>
          <w:color w:val="auto"/>
          <w:highlight w:val="none"/>
        </w:rPr>
        <w:t>对本</w:t>
      </w:r>
      <w:r>
        <w:rPr>
          <w:color w:val="auto"/>
          <w:highlight w:val="none"/>
        </w:rPr>
        <w:t>项目招标文件</w:t>
      </w:r>
      <w:r>
        <w:rPr>
          <w:rFonts w:hint="eastAsia"/>
          <w:color w:val="auto"/>
          <w:highlight w:val="none"/>
        </w:rPr>
        <w:t>提出疑问，提问时间从收到</w:t>
      </w:r>
      <w:r>
        <w:rPr>
          <w:color w:val="auto"/>
          <w:highlight w:val="none"/>
        </w:rPr>
        <w:t>推送的招标文件起</w:t>
      </w:r>
      <w:r>
        <w:rPr>
          <w:rFonts w:hint="eastAsia"/>
          <w:color w:val="auto"/>
          <w:highlight w:val="none"/>
        </w:rPr>
        <w:t>至</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r>
        <w:rPr>
          <w:rFonts w:hint="eastAsia"/>
          <w:color w:val="auto"/>
          <w:highlight w:val="none"/>
          <w:u w:val="single"/>
        </w:rPr>
        <w:t xml:space="preserve">    </w:t>
      </w:r>
      <w:r>
        <w:rPr>
          <w:rFonts w:hint="eastAsia"/>
          <w:color w:val="auto"/>
          <w:highlight w:val="none"/>
        </w:rPr>
        <w:t>时</w:t>
      </w:r>
      <w:r>
        <w:rPr>
          <w:rFonts w:hint="eastAsia"/>
          <w:color w:val="auto"/>
          <w:highlight w:val="none"/>
          <w:u w:val="single"/>
        </w:rPr>
        <w:t xml:space="preserve">    </w:t>
      </w:r>
      <w:r>
        <w:rPr>
          <w:rFonts w:hint="eastAsia"/>
          <w:color w:val="auto"/>
          <w:highlight w:val="none"/>
        </w:rPr>
        <w:t>分（北京时间）前。</w:t>
      </w:r>
    </w:p>
    <w:p w14:paraId="1B7EA49F">
      <w:pPr>
        <w:tabs>
          <w:tab w:val="left" w:pos="2420"/>
          <w:tab w:val="left" w:pos="5445"/>
        </w:tabs>
        <w:autoSpaceDE w:val="0"/>
        <w:autoSpaceDN w:val="0"/>
        <w:adjustRightInd w:val="0"/>
        <w:snapToGrid w:val="0"/>
        <w:spacing w:line="450" w:lineRule="exact"/>
        <w:ind w:firstLine="420"/>
        <w:rPr>
          <w:color w:val="auto"/>
          <w:highlight w:val="none"/>
        </w:rPr>
      </w:pPr>
      <w:r>
        <w:rPr>
          <w:rFonts w:hint="eastAsia"/>
          <w:color w:val="auto"/>
          <w:highlight w:val="none"/>
        </w:rPr>
        <w:t>4.</w:t>
      </w:r>
      <w:r>
        <w:rPr>
          <w:color w:val="auto"/>
          <w:highlight w:val="none"/>
        </w:rPr>
        <w:t>3</w:t>
      </w:r>
      <w:r>
        <w:rPr>
          <w:rFonts w:hint="eastAsia"/>
          <w:color w:val="auto"/>
          <w:highlight w:val="none"/>
        </w:rPr>
        <w:t xml:space="preserve"> </w:t>
      </w:r>
      <w:r>
        <w:rPr>
          <w:color w:val="auto"/>
          <w:highlight w:val="none"/>
        </w:rPr>
        <w:t xml:space="preserve"> </w:t>
      </w:r>
      <w:r>
        <w:rPr>
          <w:rFonts w:hint="eastAsia"/>
          <w:color w:val="auto"/>
          <w:highlight w:val="none"/>
        </w:rPr>
        <w:t>招标人应于</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月</w:t>
      </w:r>
      <w:r>
        <w:rPr>
          <w:rFonts w:hint="eastAsia"/>
          <w:color w:val="auto"/>
          <w:highlight w:val="none"/>
          <w:u w:val="single"/>
        </w:rPr>
        <w:t xml:space="preserve">    </w:t>
      </w:r>
      <w:r>
        <w:rPr>
          <w:rFonts w:hint="eastAsia"/>
          <w:color w:val="auto"/>
          <w:highlight w:val="none"/>
        </w:rPr>
        <w:t>日</w:t>
      </w:r>
      <w:r>
        <w:rPr>
          <w:rFonts w:hint="eastAsia"/>
          <w:color w:val="auto"/>
          <w:highlight w:val="none"/>
          <w:u w:val="single"/>
        </w:rPr>
        <w:t xml:space="preserve">    </w:t>
      </w:r>
      <w:r>
        <w:rPr>
          <w:rFonts w:hint="eastAsia"/>
          <w:color w:val="auto"/>
          <w:highlight w:val="none"/>
        </w:rPr>
        <w:t>时</w:t>
      </w:r>
      <w:r>
        <w:rPr>
          <w:rFonts w:hint="eastAsia"/>
          <w:color w:val="auto"/>
          <w:highlight w:val="none"/>
          <w:u w:val="single"/>
        </w:rPr>
        <w:t xml:space="preserve">    </w:t>
      </w:r>
      <w:r>
        <w:rPr>
          <w:rFonts w:hint="eastAsia"/>
          <w:color w:val="auto"/>
          <w:highlight w:val="none"/>
        </w:rPr>
        <w:t>分（北京时间）前通过</w:t>
      </w:r>
      <w:r>
        <w:rPr>
          <w:rFonts w:hint="eastAsia" w:ascii="宋体" w:hAnsi="宋体"/>
          <w:snapToGrid w:val="0"/>
          <w:color w:val="auto"/>
          <w:kern w:val="0"/>
          <w:szCs w:val="21"/>
          <w:highlight w:val="none"/>
          <w:u w:val="none"/>
        </w:rPr>
        <w:t>重庆市</w:t>
      </w:r>
      <w:r>
        <w:rPr>
          <w:rFonts w:ascii="宋体" w:hAnsi="宋体"/>
          <w:snapToGrid w:val="0"/>
          <w:color w:val="auto"/>
          <w:kern w:val="0"/>
          <w:szCs w:val="21"/>
          <w:highlight w:val="none"/>
          <w:u w:val="none"/>
        </w:rPr>
        <w:t>电子招投标</w:t>
      </w:r>
      <w:r>
        <w:rPr>
          <w:rFonts w:hint="eastAsia" w:ascii="宋体" w:hAnsi="宋体"/>
          <w:snapToGrid w:val="0"/>
          <w:color w:val="auto"/>
          <w:kern w:val="0"/>
          <w:szCs w:val="21"/>
          <w:highlight w:val="none"/>
          <w:u w:val="none"/>
        </w:rPr>
        <w:t>系统</w:t>
      </w:r>
      <w:r>
        <w:rPr>
          <w:rFonts w:hint="eastAsia"/>
          <w:color w:val="auto"/>
          <w:highlight w:val="none"/>
        </w:rPr>
        <w:t>发布澄清。</w:t>
      </w:r>
    </w:p>
    <w:p w14:paraId="471E5311">
      <w:pPr>
        <w:pStyle w:val="4"/>
        <w:spacing w:before="100" w:after="100" w:line="450" w:lineRule="exact"/>
        <w:rPr>
          <w:rFonts w:ascii="宋体" w:hAnsi="宋体"/>
          <w:snapToGrid w:val="0"/>
          <w:color w:val="auto"/>
          <w:sz w:val="28"/>
          <w:szCs w:val="28"/>
          <w:highlight w:val="none"/>
        </w:rPr>
      </w:pPr>
      <w:bookmarkStart w:id="116" w:name="_Toc509218704"/>
      <w:bookmarkStart w:id="117" w:name="_Toc430530428"/>
      <w:bookmarkStart w:id="118" w:name="_Toc58860060"/>
      <w:r>
        <w:rPr>
          <w:rFonts w:ascii="宋体" w:hAnsi="宋体"/>
          <w:snapToGrid w:val="0"/>
          <w:color w:val="auto"/>
          <w:sz w:val="28"/>
          <w:szCs w:val="28"/>
          <w:highlight w:val="none"/>
        </w:rPr>
        <w:t>5.  投标文件的递交</w:t>
      </w:r>
      <w:bookmarkEnd w:id="112"/>
      <w:bookmarkEnd w:id="113"/>
      <w:bookmarkEnd w:id="114"/>
      <w:bookmarkEnd w:id="115"/>
      <w:bookmarkEnd w:id="116"/>
      <w:bookmarkEnd w:id="117"/>
      <w:bookmarkEnd w:id="118"/>
    </w:p>
    <w:p w14:paraId="141D98EC">
      <w:pPr>
        <w:tabs>
          <w:tab w:val="left" w:pos="1580"/>
          <w:tab w:val="left" w:pos="6000"/>
          <w:tab w:val="left" w:pos="6320"/>
          <w:tab w:val="left" w:pos="6887"/>
          <w:tab w:val="left" w:pos="7475"/>
        </w:tabs>
        <w:autoSpaceDE w:val="0"/>
        <w:autoSpaceDN w:val="0"/>
        <w:adjustRightInd w:val="0"/>
        <w:snapToGrid w:val="0"/>
        <w:spacing w:line="45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5.1  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3F733828">
      <w:pPr>
        <w:autoSpaceDE w:val="0"/>
        <w:autoSpaceDN w:val="0"/>
        <w:adjustRightInd w:val="0"/>
        <w:snapToGrid w:val="0"/>
        <w:spacing w:line="45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5.2  </w:t>
      </w: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，逾期未完成投标文件上传的，视为撤回投标文件。</w:t>
      </w:r>
    </w:p>
    <w:p w14:paraId="0F2B5C36">
      <w:pPr>
        <w:pStyle w:val="4"/>
        <w:spacing w:before="100" w:after="100" w:line="450" w:lineRule="exact"/>
        <w:rPr>
          <w:rFonts w:ascii="宋体" w:hAnsi="宋体"/>
          <w:snapToGrid w:val="0"/>
          <w:color w:val="auto"/>
          <w:sz w:val="28"/>
          <w:szCs w:val="28"/>
          <w:highlight w:val="none"/>
        </w:rPr>
      </w:pPr>
      <w:bookmarkStart w:id="119" w:name="_Toc277082548"/>
      <w:bookmarkStart w:id="120" w:name="_Toc58860061"/>
      <w:bookmarkStart w:id="121" w:name="_Toc224103312"/>
      <w:bookmarkStart w:id="122" w:name="_Toc430530429"/>
      <w:bookmarkStart w:id="123" w:name="_Toc509218705"/>
      <w:bookmarkStart w:id="124" w:name="_Toc287620680"/>
      <w:bookmarkStart w:id="125" w:name="_Toc287607741"/>
      <w:r>
        <w:rPr>
          <w:rFonts w:ascii="宋体" w:hAnsi="宋体"/>
          <w:snapToGrid w:val="0"/>
          <w:color w:val="auto"/>
          <w:sz w:val="28"/>
          <w:szCs w:val="28"/>
          <w:highlight w:val="none"/>
        </w:rPr>
        <w:t>6.  确认</w:t>
      </w:r>
      <w:bookmarkEnd w:id="119"/>
      <w:bookmarkEnd w:id="120"/>
      <w:bookmarkEnd w:id="121"/>
      <w:bookmarkEnd w:id="122"/>
      <w:bookmarkEnd w:id="123"/>
      <w:bookmarkEnd w:id="124"/>
      <w:bookmarkEnd w:id="125"/>
    </w:p>
    <w:p w14:paraId="0D0A6E6A">
      <w:pPr>
        <w:tabs>
          <w:tab w:val="left" w:pos="633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确认。</w:t>
      </w:r>
    </w:p>
    <w:p w14:paraId="213A15EA">
      <w:pPr>
        <w:pStyle w:val="4"/>
        <w:spacing w:before="100" w:after="100" w:line="450" w:lineRule="exact"/>
        <w:rPr>
          <w:rFonts w:ascii="宋体" w:hAnsi="宋体"/>
          <w:snapToGrid w:val="0"/>
          <w:color w:val="auto"/>
          <w:sz w:val="28"/>
          <w:szCs w:val="28"/>
          <w:highlight w:val="none"/>
        </w:rPr>
      </w:pPr>
      <w:bookmarkStart w:id="126" w:name="_Toc287620681"/>
      <w:bookmarkStart w:id="127" w:name="_Toc277082549"/>
      <w:bookmarkStart w:id="128" w:name="_Toc509218706"/>
      <w:bookmarkStart w:id="129" w:name="_Toc430530430"/>
      <w:bookmarkStart w:id="130" w:name="_Toc287607742"/>
      <w:bookmarkStart w:id="131" w:name="_Toc58860062"/>
      <w:bookmarkStart w:id="132" w:name="_Toc224103313"/>
      <w:r>
        <w:rPr>
          <w:rFonts w:hint="eastAsia" w:ascii="宋体" w:hAnsi="宋体"/>
          <w:snapToGrid w:val="0"/>
          <w:color w:val="auto"/>
          <w:sz w:val="28"/>
          <w:szCs w:val="28"/>
          <w:highlight w:val="none"/>
        </w:rPr>
        <w:t>7</w:t>
      </w:r>
      <w:r>
        <w:rPr>
          <w:rFonts w:ascii="宋体" w:hAnsi="宋体"/>
          <w:snapToGrid w:val="0"/>
          <w:color w:val="auto"/>
          <w:sz w:val="28"/>
          <w:szCs w:val="28"/>
          <w:highlight w:val="none"/>
        </w:rPr>
        <w:t>.  联系方式</w:t>
      </w:r>
      <w:bookmarkEnd w:id="126"/>
      <w:bookmarkEnd w:id="127"/>
      <w:bookmarkEnd w:id="128"/>
      <w:bookmarkEnd w:id="129"/>
      <w:bookmarkEnd w:id="130"/>
      <w:bookmarkEnd w:id="131"/>
      <w:bookmarkEnd w:id="132"/>
    </w:p>
    <w:p w14:paraId="3564D4E4">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招 标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招标代理机构：</w:t>
      </w:r>
      <w:r>
        <w:rPr>
          <w:rFonts w:ascii="宋体" w:hAnsi="宋体"/>
          <w:snapToGrid w:val="0"/>
          <w:color w:val="auto"/>
          <w:kern w:val="0"/>
          <w:szCs w:val="21"/>
          <w:highlight w:val="none"/>
          <w:u w:val="single"/>
        </w:rPr>
        <w:t xml:space="preserve">                            </w:t>
      </w:r>
    </w:p>
    <w:p w14:paraId="473B6576">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地    址：</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地    址：  </w:t>
      </w:r>
      <w:r>
        <w:rPr>
          <w:rFonts w:ascii="宋体" w:hAnsi="宋体"/>
          <w:snapToGrid w:val="0"/>
          <w:color w:val="auto"/>
          <w:kern w:val="0"/>
          <w:szCs w:val="21"/>
          <w:highlight w:val="none"/>
          <w:u w:val="single"/>
        </w:rPr>
        <w:t xml:space="preserve">                               </w:t>
      </w:r>
    </w:p>
    <w:p w14:paraId="48ACBAD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3"/>
          <w:szCs w:val="21"/>
          <w:highlight w:val="none"/>
        </w:rPr>
        <w:t>邮    编：</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w:t>
      </w:r>
      <w:r>
        <w:rPr>
          <w:rFonts w:ascii="宋体" w:hAnsi="宋体"/>
          <w:snapToGrid w:val="0"/>
          <w:color w:val="auto"/>
          <w:kern w:val="0"/>
          <w:position w:val="-3"/>
          <w:szCs w:val="21"/>
          <w:highlight w:val="none"/>
        </w:rPr>
        <w:t>邮    编：</w:t>
      </w:r>
      <w:r>
        <w:rPr>
          <w:rFonts w:ascii="宋体" w:hAnsi="宋体"/>
          <w:snapToGrid w:val="0"/>
          <w:color w:val="auto"/>
          <w:kern w:val="0"/>
          <w:position w:val="-3"/>
          <w:szCs w:val="21"/>
          <w:highlight w:val="none"/>
          <w:u w:val="single"/>
        </w:rPr>
        <w:t xml:space="preserve">                                </w:t>
      </w:r>
    </w:p>
    <w:p w14:paraId="1A06A462">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联 系 人：</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联 系 人：</w:t>
      </w:r>
      <w:r>
        <w:rPr>
          <w:rFonts w:ascii="宋体" w:hAnsi="宋体"/>
          <w:snapToGrid w:val="0"/>
          <w:color w:val="auto"/>
          <w:kern w:val="0"/>
          <w:szCs w:val="21"/>
          <w:highlight w:val="none"/>
          <w:u w:val="single"/>
        </w:rPr>
        <w:t xml:space="preserve">                                </w:t>
      </w:r>
    </w:p>
    <w:p w14:paraId="7508CFA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    话：</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    话：</w:t>
      </w:r>
      <w:r>
        <w:rPr>
          <w:rFonts w:ascii="宋体" w:hAnsi="宋体"/>
          <w:snapToGrid w:val="0"/>
          <w:color w:val="auto"/>
          <w:kern w:val="0"/>
          <w:szCs w:val="21"/>
          <w:highlight w:val="none"/>
          <w:u w:val="single"/>
        </w:rPr>
        <w:t xml:space="preserve">                                 </w:t>
      </w:r>
    </w:p>
    <w:p w14:paraId="234AC9F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传    真：</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传    真：</w:t>
      </w:r>
      <w:r>
        <w:rPr>
          <w:rFonts w:ascii="宋体" w:hAnsi="宋体"/>
          <w:snapToGrid w:val="0"/>
          <w:color w:val="auto"/>
          <w:kern w:val="0"/>
          <w:szCs w:val="21"/>
          <w:highlight w:val="none"/>
          <w:u w:val="single"/>
        </w:rPr>
        <w:t xml:space="preserve">                                 </w:t>
      </w:r>
    </w:p>
    <w:p w14:paraId="1E3F10C1">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电子邮件：</w:t>
      </w:r>
      <w:r>
        <w:rPr>
          <w:rFonts w:ascii="宋体" w:hAnsi="宋体"/>
          <w:snapToGrid w:val="0"/>
          <w:color w:val="auto"/>
          <w:kern w:val="0"/>
          <w:szCs w:val="21"/>
          <w:highlight w:val="none"/>
          <w:u w:val="single"/>
        </w:rPr>
        <w:t xml:space="preserve">                                 </w:t>
      </w:r>
    </w:p>
    <w:p w14:paraId="4D1FA609">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开户银行：</w:t>
      </w:r>
      <w:r>
        <w:rPr>
          <w:rFonts w:ascii="宋体" w:hAnsi="宋体"/>
          <w:snapToGrid w:val="0"/>
          <w:color w:val="auto"/>
          <w:kern w:val="0"/>
          <w:szCs w:val="21"/>
          <w:highlight w:val="none"/>
          <w:u w:val="single"/>
        </w:rPr>
        <w:t xml:space="preserve">                                </w:t>
      </w:r>
    </w:p>
    <w:p w14:paraId="0E7CC6B8">
      <w:pPr>
        <w:tabs>
          <w:tab w:val="left" w:pos="5140"/>
          <w:tab w:val="left" w:pos="8420"/>
        </w:tabs>
        <w:autoSpaceDE w:val="0"/>
        <w:autoSpaceDN w:val="0"/>
        <w:adjustRightInd w:val="0"/>
        <w:snapToGrid w:val="0"/>
        <w:spacing w:line="45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     账    号：</w:t>
      </w:r>
      <w:r>
        <w:rPr>
          <w:rFonts w:ascii="宋体" w:hAnsi="宋体"/>
          <w:snapToGrid w:val="0"/>
          <w:color w:val="auto"/>
          <w:kern w:val="0"/>
          <w:szCs w:val="21"/>
          <w:highlight w:val="none"/>
          <w:u w:val="single"/>
        </w:rPr>
        <w:t xml:space="preserve">                                </w:t>
      </w:r>
    </w:p>
    <w:p w14:paraId="21827E53">
      <w:pPr>
        <w:autoSpaceDE w:val="0"/>
        <w:autoSpaceDN w:val="0"/>
        <w:adjustRightInd w:val="0"/>
        <w:snapToGrid w:val="0"/>
        <w:spacing w:line="450" w:lineRule="exact"/>
        <w:jc w:val="right"/>
        <w:rPr>
          <w:rFonts w:ascii="宋体" w:hAnsi="宋体"/>
          <w:snapToGrid w:val="0"/>
          <w:color w:val="auto"/>
          <w:kern w:val="0"/>
          <w:szCs w:val="21"/>
          <w:highlight w:val="none"/>
          <w:u w:val="single"/>
        </w:rPr>
      </w:pPr>
    </w:p>
    <w:p w14:paraId="04F09FFE">
      <w:pPr>
        <w:autoSpaceDE w:val="0"/>
        <w:autoSpaceDN w:val="0"/>
        <w:adjustRightInd w:val="0"/>
        <w:snapToGrid w:val="0"/>
        <w:spacing w:line="450" w:lineRule="exact"/>
        <w:jc w:val="right"/>
        <w:rPr>
          <w:rFonts w:ascii="宋体" w:hAnsi="宋体"/>
          <w:snapToGrid w:val="0"/>
          <w:color w:val="auto"/>
          <w:kern w:val="0"/>
          <w:szCs w:val="21"/>
          <w:highlight w:val="none"/>
          <w:u w:val="single"/>
        </w:rPr>
      </w:pPr>
    </w:p>
    <w:p w14:paraId="49BB1421">
      <w:pPr>
        <w:autoSpaceDE w:val="0"/>
        <w:autoSpaceDN w:val="0"/>
        <w:adjustRightInd w:val="0"/>
        <w:snapToGrid w:val="0"/>
        <w:spacing w:line="450" w:lineRule="exact"/>
        <w:jc w:val="right"/>
        <w:rPr>
          <w:rFonts w:ascii="宋体" w:hAnsi="宋体"/>
          <w:snapToGrid w:val="0"/>
          <w:color w:val="auto"/>
          <w:kern w:val="0"/>
          <w:szCs w:val="21"/>
          <w:highlight w:val="none"/>
        </w:rPr>
      </w:pP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日  </w:t>
      </w:r>
    </w:p>
    <w:p w14:paraId="0DC029BD">
      <w:pPr>
        <w:autoSpaceDE w:val="0"/>
        <w:autoSpaceDN w:val="0"/>
        <w:adjustRightInd w:val="0"/>
        <w:snapToGrid w:val="0"/>
        <w:spacing w:line="200" w:lineRule="exact"/>
        <w:jc w:val="left"/>
        <w:rPr>
          <w:rFonts w:ascii="宋体" w:hAnsi="宋体"/>
          <w:snapToGrid w:val="0"/>
          <w:color w:val="auto"/>
          <w:kern w:val="0"/>
          <w:sz w:val="20"/>
          <w:szCs w:val="20"/>
          <w:highlight w:val="none"/>
        </w:rPr>
      </w:pPr>
      <w:r>
        <w:rPr>
          <w:rFonts w:ascii="宋体" w:hAnsi="宋体"/>
          <w:snapToGrid w:val="0"/>
          <w:color w:val="auto"/>
          <w:kern w:val="0"/>
          <w:szCs w:val="21"/>
          <w:highlight w:val="none"/>
        </w:rPr>
        <w:br w:type="page"/>
      </w:r>
    </w:p>
    <w:p w14:paraId="2955C0A4">
      <w:pPr>
        <w:pStyle w:val="3"/>
        <w:spacing w:line="360" w:lineRule="auto"/>
        <w:rPr>
          <w:rFonts w:ascii="宋体" w:hAnsi="宋体"/>
          <w:snapToGrid w:val="0"/>
          <w:color w:val="auto"/>
          <w:kern w:val="0"/>
          <w:highlight w:val="none"/>
        </w:rPr>
      </w:pPr>
      <w:bookmarkStart w:id="133" w:name="_Toc509218707"/>
      <w:bookmarkStart w:id="134" w:name="_Toc224103314"/>
      <w:bookmarkStart w:id="135" w:name="_Toc430530431"/>
      <w:bookmarkStart w:id="136" w:name="_Toc287620682"/>
      <w:bookmarkStart w:id="137" w:name="_Toc277082550"/>
      <w:bookmarkStart w:id="138" w:name="_Toc58860063"/>
      <w:bookmarkStart w:id="139" w:name="_Toc287607743"/>
      <w:r>
        <w:rPr>
          <w:rFonts w:ascii="宋体" w:hAnsi="宋体"/>
          <w:snapToGrid w:val="0"/>
          <w:color w:val="auto"/>
          <w:kern w:val="0"/>
          <w:highlight w:val="none"/>
        </w:rPr>
        <w:t>第一章  投标邀请书（</w:t>
      </w:r>
      <w:r>
        <w:rPr>
          <w:rFonts w:hint="eastAsia" w:ascii="宋体" w:hAnsi="宋体"/>
          <w:snapToGrid w:val="0"/>
          <w:color w:val="auto"/>
          <w:kern w:val="0"/>
          <w:highlight w:val="none"/>
        </w:rPr>
        <w:t>代资格预审通过通知书</w:t>
      </w:r>
      <w:r>
        <w:rPr>
          <w:rFonts w:ascii="宋体" w:hAnsi="宋体"/>
          <w:snapToGrid w:val="0"/>
          <w:color w:val="auto"/>
          <w:kern w:val="0"/>
          <w:highlight w:val="none"/>
        </w:rPr>
        <w:t>）</w:t>
      </w:r>
      <w:bookmarkEnd w:id="133"/>
      <w:bookmarkEnd w:id="134"/>
      <w:bookmarkEnd w:id="135"/>
      <w:bookmarkEnd w:id="136"/>
      <w:bookmarkEnd w:id="137"/>
      <w:bookmarkEnd w:id="138"/>
      <w:bookmarkEnd w:id="139"/>
    </w:p>
    <w:p w14:paraId="200D71E9">
      <w:pPr>
        <w:tabs>
          <w:tab w:val="left" w:pos="3370"/>
          <w:tab w:val="left" w:pos="5460"/>
        </w:tabs>
        <w:autoSpaceDE w:val="0"/>
        <w:autoSpaceDN w:val="0"/>
        <w:adjustRightInd w:val="0"/>
        <w:snapToGrid w:val="0"/>
        <w:spacing w:line="360" w:lineRule="auto"/>
        <w:jc w:val="center"/>
        <w:rPr>
          <w:rFonts w:ascii="宋体" w:hAnsi="宋体"/>
          <w:color w:val="auto"/>
          <w:w w:val="99"/>
          <w:kern w:val="0"/>
          <w:sz w:val="28"/>
          <w:szCs w:val="28"/>
          <w:highlight w:val="none"/>
        </w:rPr>
      </w:pPr>
      <w:r>
        <w:rPr>
          <w:rFonts w:hint="eastAsia" w:ascii="宋体" w:hAnsi="宋体"/>
          <w:snapToGrid w:val="0"/>
          <w:color w:val="auto"/>
          <w:kern w:val="0"/>
          <w:szCs w:val="21"/>
          <w:highlight w:val="none"/>
          <w:u w:val="single"/>
        </w:rPr>
        <w:t xml:space="preserve">                 </w:t>
      </w:r>
      <w:r>
        <w:rPr>
          <w:rFonts w:hint="eastAsia" w:ascii="宋体" w:hAnsi="宋体"/>
          <w:color w:val="auto"/>
          <w:sz w:val="28"/>
          <w:szCs w:val="28"/>
          <w:highlight w:val="none"/>
          <w:u w:val="single"/>
        </w:rPr>
        <w:t>（项目名称）</w:t>
      </w:r>
      <w:r>
        <w:rPr>
          <w:rFonts w:hint="eastAsia" w:ascii="宋体" w:hAnsi="宋体"/>
          <w:color w:val="auto"/>
          <w:w w:val="99"/>
          <w:kern w:val="0"/>
          <w:sz w:val="28"/>
          <w:szCs w:val="28"/>
          <w:highlight w:val="none"/>
        </w:rPr>
        <w:t>投标邀请书</w:t>
      </w:r>
    </w:p>
    <w:p w14:paraId="0A91E001">
      <w:pPr>
        <w:tabs>
          <w:tab w:val="left" w:pos="3370"/>
          <w:tab w:val="left" w:pos="5460"/>
        </w:tabs>
        <w:autoSpaceDE w:val="0"/>
        <w:autoSpaceDN w:val="0"/>
        <w:adjustRightInd w:val="0"/>
        <w:snapToGrid w:val="0"/>
        <w:spacing w:line="460" w:lineRule="exact"/>
        <w:jc w:val="left"/>
        <w:rPr>
          <w:rFonts w:ascii="宋体" w:hAnsi="宋体"/>
          <w:snapToGrid w:val="0"/>
          <w:color w:val="auto"/>
          <w:kern w:val="0"/>
          <w:szCs w:val="21"/>
          <w:highlight w:val="none"/>
        </w:rPr>
      </w:pP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（被邀请单位名称）</w:t>
      </w:r>
      <w:r>
        <w:rPr>
          <w:rFonts w:ascii="宋体" w:hAnsi="宋体"/>
          <w:snapToGrid w:val="0"/>
          <w:color w:val="auto"/>
          <w:kern w:val="0"/>
          <w:szCs w:val="21"/>
          <w:highlight w:val="none"/>
        </w:rPr>
        <w:t>：</w:t>
      </w:r>
    </w:p>
    <w:p w14:paraId="0DD2E6DD">
      <w:pPr>
        <w:tabs>
          <w:tab w:val="left" w:pos="3370"/>
          <w:tab w:val="left" w:pos="546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你单位已通过资格预审，现邀请你单位按招标文件规定的内容，参加</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（项目名称）</w:t>
      </w:r>
      <w:r>
        <w:rPr>
          <w:rFonts w:hint="eastAsia" w:ascii="宋体" w:hAnsi="宋体"/>
          <w:snapToGrid w:val="0"/>
          <w:color w:val="auto"/>
          <w:kern w:val="0"/>
          <w:szCs w:val="21"/>
          <w:highlight w:val="none"/>
        </w:rPr>
        <w:t>工程总承包</w:t>
      </w:r>
      <w:r>
        <w:rPr>
          <w:rFonts w:ascii="宋体" w:hAnsi="宋体"/>
          <w:snapToGrid w:val="0"/>
          <w:color w:val="auto"/>
          <w:kern w:val="0"/>
          <w:szCs w:val="21"/>
          <w:highlight w:val="none"/>
        </w:rPr>
        <w:t>投标。</w:t>
      </w:r>
    </w:p>
    <w:p w14:paraId="25CC7858">
      <w:pPr>
        <w:tabs>
          <w:tab w:val="left" w:pos="2420"/>
          <w:tab w:val="left" w:pos="5445"/>
        </w:tabs>
        <w:autoSpaceDE w:val="0"/>
        <w:autoSpaceDN w:val="0"/>
        <w:adjustRightInd w:val="0"/>
        <w:snapToGrid w:val="0"/>
        <w:spacing w:line="46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本招标项目采用</w:t>
      </w:r>
      <w:r>
        <w:rPr>
          <w:rFonts w:hint="eastAsia" w:ascii="宋体" w:hAnsi="宋体"/>
          <w:snapToGrid w:val="0"/>
          <w:color w:val="auto"/>
          <w:kern w:val="0"/>
          <w:szCs w:val="21"/>
          <w:highlight w:val="none"/>
        </w:rPr>
        <w:t>全流程</w:t>
      </w:r>
      <w:r>
        <w:rPr>
          <w:rFonts w:ascii="宋体" w:hAnsi="宋体"/>
          <w:snapToGrid w:val="0"/>
          <w:color w:val="auto"/>
          <w:kern w:val="0"/>
          <w:szCs w:val="21"/>
          <w:highlight w:val="none"/>
        </w:rPr>
        <w:t>电子招投标，</w:t>
      </w:r>
      <w:r>
        <w:rPr>
          <w:rFonts w:hint="eastAsia" w:ascii="宋体" w:hAnsi="宋体"/>
          <w:snapToGrid w:val="0"/>
          <w:color w:val="auto"/>
          <w:kern w:val="0"/>
          <w:szCs w:val="21"/>
          <w:highlight w:val="none"/>
        </w:rPr>
        <w:t>招标人</w:t>
      </w:r>
      <w:r>
        <w:rPr>
          <w:rFonts w:ascii="宋体" w:hAnsi="宋体"/>
          <w:snapToGrid w:val="0"/>
          <w:color w:val="auto"/>
          <w:kern w:val="0"/>
          <w:szCs w:val="21"/>
          <w:highlight w:val="none"/>
        </w:rPr>
        <w:t>必须将招标文件</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工程量清单</w:t>
      </w:r>
      <w:r>
        <w:rPr>
          <w:rFonts w:hint="eastAsia" w:ascii="宋体" w:hAnsi="宋体"/>
          <w:snapToGrid w:val="0"/>
          <w:color w:val="auto"/>
          <w:kern w:val="0"/>
          <w:szCs w:val="21"/>
          <w:highlight w:val="none"/>
        </w:rPr>
        <w:t>（如有）</w:t>
      </w:r>
      <w:r>
        <w:rPr>
          <w:rFonts w:ascii="宋体" w:hAnsi="宋体"/>
          <w:snapToGrid w:val="0"/>
          <w:color w:val="auto"/>
          <w:kern w:val="0"/>
          <w:szCs w:val="21"/>
          <w:highlight w:val="none"/>
        </w:rPr>
        <w:t>、图纸、澄清、修改、补充通知、最高限价通知等全部招标资料</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ascii="宋体" w:hAnsi="宋体"/>
          <w:snapToGrid w:val="0"/>
          <w:color w:val="auto"/>
          <w:kern w:val="0"/>
          <w:szCs w:val="21"/>
          <w:highlight w:val="none"/>
        </w:rPr>
        <w:t>送达所有资格预审通过的投标人。</w:t>
      </w:r>
    </w:p>
    <w:p w14:paraId="02CF6BF8">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投标文件递交的截止时间（投标截止时间，下同）为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分，</w:t>
      </w:r>
      <w:r>
        <w:rPr>
          <w:rFonts w:hint="eastAsia" w:ascii="宋体" w:hAnsi="宋体"/>
          <w:snapToGrid w:val="0"/>
          <w:color w:val="auto"/>
          <w:kern w:val="0"/>
          <w:szCs w:val="21"/>
          <w:highlight w:val="none"/>
        </w:rPr>
        <w:t>投标人应当在投标截止时间前，通过互联网使用CA数字证书登录</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，将加密的电子投标文件上传。</w:t>
      </w:r>
    </w:p>
    <w:p w14:paraId="26EF79F6">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，逾期未完成投标文件上传的，视为撤回投标文件。</w:t>
      </w:r>
    </w:p>
    <w:p w14:paraId="5A703B00">
      <w:pPr>
        <w:tabs>
          <w:tab w:val="left" w:pos="2320"/>
          <w:tab w:val="left" w:pos="5780"/>
          <w:tab w:val="left" w:pos="6420"/>
        </w:tabs>
        <w:autoSpaceDE w:val="0"/>
        <w:autoSpaceDN w:val="0"/>
        <w:adjustRightInd w:val="0"/>
        <w:snapToGrid w:val="0"/>
        <w:spacing w:line="460" w:lineRule="exact"/>
        <w:ind w:firstLine="42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本招标项目采用全流程电子招投标，被邀请投标人通过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确认。</w:t>
      </w:r>
    </w:p>
    <w:p w14:paraId="21E859D6">
      <w:pPr>
        <w:tabs>
          <w:tab w:val="left" w:pos="2320"/>
          <w:tab w:val="left" w:pos="5780"/>
          <w:tab w:val="left" w:pos="642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10DC1474">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招</w:t>
      </w:r>
      <w:r>
        <w:rPr>
          <w:rFonts w:hint="eastAsia" w:ascii="宋体" w:hAnsi="宋体"/>
          <w:color w:val="auto"/>
          <w:kern w:val="0"/>
          <w:szCs w:val="21"/>
          <w:highlight w:val="none"/>
        </w:rPr>
        <w:t xml:space="preserve"> </w:t>
      </w:r>
      <w:r>
        <w:rPr>
          <w:rFonts w:ascii="宋体" w:hAnsi="宋体"/>
          <w:color w:val="auto"/>
          <w:kern w:val="0"/>
          <w:szCs w:val="21"/>
          <w:highlight w:val="none"/>
        </w:rPr>
        <w:t>标</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招标代理机构：</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6B156763">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66A6CA5A">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position w:val="-3"/>
          <w:szCs w:val="21"/>
          <w:highlight w:val="none"/>
        </w:rPr>
        <w:t>邮</w:t>
      </w:r>
      <w:r>
        <w:rPr>
          <w:rFonts w:hint="eastAsia" w:ascii="宋体" w:hAnsi="宋体"/>
          <w:color w:val="auto"/>
          <w:kern w:val="0"/>
          <w:position w:val="-3"/>
          <w:szCs w:val="21"/>
          <w:highlight w:val="none"/>
        </w:rPr>
        <w:t xml:space="preserve">    </w:t>
      </w:r>
      <w:r>
        <w:rPr>
          <w:rFonts w:ascii="宋体" w:hAnsi="宋体"/>
          <w:color w:val="auto"/>
          <w:kern w:val="0"/>
          <w:position w:val="-3"/>
          <w:szCs w:val="21"/>
          <w:highlight w:val="none"/>
        </w:rPr>
        <w:t>编：</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455EB3F2">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联</w:t>
      </w:r>
      <w:r>
        <w:rPr>
          <w:rFonts w:hint="eastAsia" w:ascii="宋体" w:hAnsi="宋体"/>
          <w:color w:val="auto"/>
          <w:kern w:val="0"/>
          <w:szCs w:val="21"/>
          <w:highlight w:val="none"/>
        </w:rPr>
        <w:t xml:space="preserve"> </w:t>
      </w:r>
      <w:r>
        <w:rPr>
          <w:rFonts w:ascii="宋体" w:hAnsi="宋体"/>
          <w:color w:val="auto"/>
          <w:kern w:val="0"/>
          <w:szCs w:val="21"/>
          <w:highlight w:val="none"/>
        </w:rPr>
        <w:t>系</w:t>
      </w:r>
      <w:r>
        <w:rPr>
          <w:rFonts w:hint="eastAsia" w:ascii="宋体" w:hAnsi="宋体"/>
          <w:color w:val="auto"/>
          <w:kern w:val="0"/>
          <w:szCs w:val="21"/>
          <w:highlight w:val="none"/>
        </w:rPr>
        <w:t xml:space="preserve"> </w:t>
      </w:r>
      <w:r>
        <w:rPr>
          <w:rFonts w:ascii="宋体" w:hAnsi="宋体"/>
          <w:color w:val="auto"/>
          <w:kern w:val="0"/>
          <w:szCs w:val="21"/>
          <w:highlight w:val="none"/>
        </w:rPr>
        <w:t>人：</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7ABED076">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电</w:t>
      </w:r>
      <w:r>
        <w:rPr>
          <w:rFonts w:hint="eastAsia" w:ascii="宋体" w:hAnsi="宋体"/>
          <w:color w:val="auto"/>
          <w:kern w:val="0"/>
          <w:szCs w:val="21"/>
          <w:highlight w:val="none"/>
        </w:rPr>
        <w:t xml:space="preserve">    </w:t>
      </w:r>
      <w:r>
        <w:rPr>
          <w:rFonts w:ascii="宋体" w:hAnsi="宋体"/>
          <w:color w:val="auto"/>
          <w:kern w:val="0"/>
          <w:szCs w:val="21"/>
          <w:highlight w:val="none"/>
        </w:rPr>
        <w:t>话：</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4EFA6239">
      <w:pPr>
        <w:tabs>
          <w:tab w:val="left" w:pos="5140"/>
          <w:tab w:val="left" w:pos="8420"/>
        </w:tabs>
        <w:autoSpaceDE w:val="0"/>
        <w:autoSpaceDN w:val="0"/>
        <w:adjustRightInd w:val="0"/>
        <w:snapToGrid w:val="0"/>
        <w:spacing w:line="390" w:lineRule="exact"/>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color w:val="auto"/>
          <w:kern w:val="0"/>
          <w:szCs w:val="21"/>
          <w:highlight w:val="none"/>
        </w:rPr>
        <w:t>传</w:t>
      </w:r>
      <w:r>
        <w:rPr>
          <w:rFonts w:hint="eastAsia" w:ascii="宋体" w:hAnsi="宋体"/>
          <w:color w:val="auto"/>
          <w:kern w:val="0"/>
          <w:szCs w:val="21"/>
          <w:highlight w:val="none"/>
        </w:rPr>
        <w:t xml:space="preserve">    </w:t>
      </w:r>
      <w:r>
        <w:rPr>
          <w:rFonts w:ascii="宋体" w:hAnsi="宋体"/>
          <w:color w:val="auto"/>
          <w:kern w:val="0"/>
          <w:szCs w:val="21"/>
          <w:highlight w:val="none"/>
        </w:rPr>
        <w:t>真：</w:t>
      </w:r>
      <w:r>
        <w:rPr>
          <w:rFonts w:ascii="宋体" w:hAnsi="宋体"/>
          <w:color w:val="auto"/>
          <w:kern w:val="0"/>
          <w:position w:val="-3"/>
          <w:szCs w:val="21"/>
          <w:highlight w:val="none"/>
          <w:u w:val="single"/>
        </w:rPr>
        <w:t xml:space="preserve">              </w:t>
      </w:r>
      <w:r>
        <w:rPr>
          <w:rFonts w:hint="eastAsia" w:ascii="宋体" w:hAnsi="宋体"/>
          <w:color w:val="auto"/>
          <w:kern w:val="0"/>
          <w:position w:val="-3"/>
          <w:szCs w:val="21"/>
          <w:highlight w:val="none"/>
          <w:u w:val="single"/>
        </w:rPr>
        <w:t xml:space="preserve">                 </w:t>
      </w:r>
    </w:p>
    <w:p w14:paraId="2F7C6121">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电子邮件：</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电子邮件：</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268AF345">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开户银行：</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开户银行：</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04B973A9">
      <w:pPr>
        <w:tabs>
          <w:tab w:val="left" w:pos="5140"/>
          <w:tab w:val="left" w:pos="8420"/>
        </w:tabs>
        <w:autoSpaceDE w:val="0"/>
        <w:autoSpaceDN w:val="0"/>
        <w:adjustRightInd w:val="0"/>
        <w:snapToGrid w:val="0"/>
        <w:spacing w:line="390" w:lineRule="exact"/>
        <w:ind w:firstLine="420" w:firstLineChars="20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账    号：</w:t>
      </w:r>
      <w:r>
        <w:rPr>
          <w:rFonts w:hint="eastAsia" w:ascii="宋体" w:hAnsi="宋体" w:cs="MingLiU"/>
          <w:snapToGrid w:val="0"/>
          <w:color w:val="auto"/>
          <w:kern w:val="0"/>
          <w:szCs w:val="21"/>
          <w:highlight w:val="none"/>
          <w:u w:val="single"/>
        </w:rPr>
        <w:t xml:space="preserve">                             </w:t>
      </w:r>
      <w:r>
        <w:rPr>
          <w:rFonts w:hint="eastAsia" w:ascii="宋体" w:hAnsi="宋体" w:cs="MingLiU"/>
          <w:snapToGrid w:val="0"/>
          <w:color w:val="auto"/>
          <w:kern w:val="0"/>
          <w:szCs w:val="21"/>
          <w:highlight w:val="none"/>
        </w:rPr>
        <w:t xml:space="preserve">      </w:t>
      </w:r>
      <w:r>
        <w:rPr>
          <w:rFonts w:ascii="宋体" w:hAnsi="宋体"/>
          <w:snapToGrid w:val="0"/>
          <w:color w:val="auto"/>
          <w:kern w:val="0"/>
          <w:szCs w:val="21"/>
          <w:highlight w:val="none"/>
        </w:rPr>
        <w:t>账    号：</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6FF854FF">
      <w:pPr>
        <w:autoSpaceDE w:val="0"/>
        <w:autoSpaceDN w:val="0"/>
        <w:adjustRightInd w:val="0"/>
        <w:snapToGrid w:val="0"/>
        <w:spacing w:before="340" w:after="330" w:line="390" w:lineRule="exact"/>
        <w:jc w:val="right"/>
        <w:rPr>
          <w:rFonts w:ascii="宋体" w:hAnsi="宋体"/>
          <w:snapToGrid w:val="0"/>
          <w:color w:val="auto"/>
          <w:kern w:val="0"/>
          <w:highlight w:val="none"/>
        </w:rPr>
      </w:pPr>
      <w:r>
        <w:rPr>
          <w:rFonts w:ascii="宋体" w:hAnsi="宋体"/>
          <w:snapToGrid w:val="0"/>
          <w:color w:val="auto"/>
          <w:kern w:val="0"/>
          <w:highlight w:val="none"/>
        </w:rPr>
        <w:t xml:space="preserve">                                            </w:t>
      </w:r>
      <w:r>
        <w:rPr>
          <w:rFonts w:ascii="宋体" w:hAnsi="宋体"/>
          <w:snapToGrid w:val="0"/>
          <w:color w:val="auto"/>
          <w:kern w:val="0"/>
          <w:highlight w:val="none"/>
          <w:u w:val="single"/>
        </w:rPr>
        <w:t xml:space="preserve"> </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年</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月</w:t>
      </w:r>
      <w:r>
        <w:rPr>
          <w:rFonts w:hint="eastAsia" w:ascii="宋体" w:hAnsi="宋体"/>
          <w:snapToGrid w:val="0"/>
          <w:color w:val="auto"/>
          <w:kern w:val="0"/>
          <w:highlight w:val="none"/>
          <w:u w:val="single"/>
        </w:rPr>
        <w:t xml:space="preserve">    </w:t>
      </w:r>
      <w:r>
        <w:rPr>
          <w:rFonts w:ascii="宋体" w:hAnsi="宋体"/>
          <w:snapToGrid w:val="0"/>
          <w:color w:val="auto"/>
          <w:kern w:val="0"/>
          <w:highlight w:val="none"/>
          <w:u w:val="single"/>
        </w:rPr>
        <w:t xml:space="preserve">  </w:t>
      </w:r>
      <w:r>
        <w:rPr>
          <w:rFonts w:ascii="宋体" w:hAnsi="宋体"/>
          <w:snapToGrid w:val="0"/>
          <w:color w:val="auto"/>
          <w:kern w:val="0"/>
          <w:highlight w:val="none"/>
        </w:rPr>
        <w:t>日</w:t>
      </w:r>
      <w:bookmarkStart w:id="140" w:name="_Toc287607744"/>
      <w:bookmarkStart w:id="141" w:name="_Toc287620683"/>
      <w:bookmarkStart w:id="142" w:name="_Toc224103315"/>
      <w:bookmarkStart w:id="143" w:name="_Toc430530432"/>
    </w:p>
    <w:p w14:paraId="6F395924">
      <w:pPr>
        <w:pStyle w:val="3"/>
        <w:spacing w:line="360" w:lineRule="auto"/>
        <w:jc w:val="center"/>
        <w:rPr>
          <w:rFonts w:ascii="宋体" w:hAnsi="宋体"/>
          <w:bCs w:val="0"/>
          <w:snapToGrid w:val="0"/>
          <w:color w:val="auto"/>
          <w:kern w:val="0"/>
          <w:highlight w:val="none"/>
        </w:rPr>
      </w:pPr>
      <w:r>
        <w:rPr>
          <w:rFonts w:ascii="宋体" w:hAnsi="宋体"/>
          <w:bCs w:val="0"/>
          <w:snapToGrid w:val="0"/>
          <w:color w:val="auto"/>
          <w:kern w:val="0"/>
          <w:highlight w:val="none"/>
        </w:rPr>
        <w:br w:type="page"/>
      </w:r>
      <w:bookmarkStart w:id="144" w:name="_Toc58860064"/>
      <w:r>
        <w:rPr>
          <w:rFonts w:ascii="宋体" w:hAnsi="宋体"/>
          <w:snapToGrid w:val="0"/>
          <w:color w:val="auto"/>
          <w:kern w:val="0"/>
          <w:highlight w:val="none"/>
        </w:rPr>
        <w:t>第二章  投标人须知</w:t>
      </w:r>
      <w:bookmarkEnd w:id="140"/>
      <w:bookmarkEnd w:id="141"/>
      <w:bookmarkEnd w:id="142"/>
      <w:bookmarkEnd w:id="143"/>
      <w:bookmarkEnd w:id="144"/>
      <w:bookmarkStart w:id="145" w:name="_Toc430530433"/>
      <w:bookmarkStart w:id="146" w:name="_Toc277082551"/>
      <w:bookmarkStart w:id="147" w:name="_Toc287620684"/>
      <w:bookmarkStart w:id="148" w:name="_Toc224103316"/>
      <w:bookmarkStart w:id="149" w:name="_Toc287607745"/>
    </w:p>
    <w:p w14:paraId="6484B594">
      <w:pPr>
        <w:pStyle w:val="4"/>
        <w:spacing w:before="100" w:after="100" w:line="360" w:lineRule="auto"/>
        <w:rPr>
          <w:rFonts w:ascii="宋体" w:hAnsi="宋体"/>
          <w:color w:val="auto"/>
          <w:highlight w:val="none"/>
        </w:rPr>
      </w:pPr>
      <w:bookmarkStart w:id="150" w:name="_Toc58860065"/>
      <w:bookmarkStart w:id="151" w:name="_Toc509218708"/>
      <w:r>
        <w:rPr>
          <w:rFonts w:hint="eastAsia" w:ascii="宋体" w:hAnsi="宋体"/>
          <w:color w:val="auto"/>
          <w:highlight w:val="none"/>
        </w:rPr>
        <w:t>投标人须知前附表</w:t>
      </w:r>
      <w:bookmarkEnd w:id="145"/>
      <w:bookmarkEnd w:id="146"/>
      <w:bookmarkEnd w:id="147"/>
      <w:bookmarkEnd w:id="148"/>
      <w:bookmarkEnd w:id="149"/>
      <w:bookmarkEnd w:id="150"/>
      <w:bookmarkEnd w:id="151"/>
    </w:p>
    <w:p w14:paraId="38DCD3A8">
      <w:pPr>
        <w:spacing w:line="360" w:lineRule="auto"/>
        <w:ind w:firstLine="420" w:firstLineChars="200"/>
        <w:rPr>
          <w:rFonts w:ascii="宋体" w:hAnsi="宋体"/>
          <w:color w:val="auto"/>
          <w:szCs w:val="21"/>
          <w:highlight w:val="none"/>
        </w:rPr>
      </w:pPr>
      <w:r>
        <w:rPr>
          <w:rFonts w:ascii="宋体" w:hAnsi="宋体"/>
          <w:color w:val="auto"/>
          <w:szCs w:val="21"/>
          <w:highlight w:val="none"/>
        </w:rPr>
        <w:t>正文内容不允许修改。若投标人须知前附表与正文不一致的地方，以投标人须知前附表为准。</w:t>
      </w:r>
    </w:p>
    <w:tbl>
      <w:tblPr>
        <w:tblStyle w:val="45"/>
        <w:tblW w:w="9469"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335"/>
        <w:gridCol w:w="1644"/>
        <w:gridCol w:w="6490"/>
      </w:tblGrid>
      <w:tr w14:paraId="2EA96D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335" w:type="dxa"/>
            <w:vAlign w:val="center"/>
          </w:tcPr>
          <w:p w14:paraId="27DC1ECF">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条 款 号</w:t>
            </w:r>
          </w:p>
        </w:tc>
        <w:tc>
          <w:tcPr>
            <w:tcW w:w="1644" w:type="dxa"/>
            <w:vAlign w:val="center"/>
          </w:tcPr>
          <w:p w14:paraId="38E1EDC2">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条款名称</w:t>
            </w:r>
          </w:p>
        </w:tc>
        <w:tc>
          <w:tcPr>
            <w:tcW w:w="6490" w:type="dxa"/>
            <w:vAlign w:val="center"/>
          </w:tcPr>
          <w:p w14:paraId="0AB817FE">
            <w:pPr>
              <w:snapToGrid w:val="0"/>
              <w:spacing w:line="400" w:lineRule="exact"/>
              <w:jc w:val="center"/>
              <w:rPr>
                <w:rFonts w:ascii="宋体" w:hAnsi="宋体"/>
                <w:b/>
                <w:color w:val="auto"/>
                <w:kern w:val="0"/>
                <w:szCs w:val="21"/>
                <w:highlight w:val="none"/>
              </w:rPr>
            </w:pPr>
            <w:r>
              <w:rPr>
                <w:rFonts w:ascii="宋体" w:hAnsi="宋体"/>
                <w:b/>
                <w:color w:val="auto"/>
                <w:kern w:val="0"/>
                <w:szCs w:val="21"/>
                <w:highlight w:val="none"/>
              </w:rPr>
              <w:t>编  列  内  容</w:t>
            </w:r>
          </w:p>
        </w:tc>
      </w:tr>
      <w:tr w14:paraId="122B57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530CA4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1.1.2</w:t>
            </w:r>
          </w:p>
        </w:tc>
        <w:tc>
          <w:tcPr>
            <w:tcW w:w="1644" w:type="dxa"/>
            <w:vAlign w:val="center"/>
          </w:tcPr>
          <w:p w14:paraId="7FBE4E2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招标人</w:t>
            </w:r>
          </w:p>
        </w:tc>
        <w:tc>
          <w:tcPr>
            <w:tcW w:w="6490" w:type="dxa"/>
            <w:vAlign w:val="center"/>
          </w:tcPr>
          <w:p w14:paraId="38091E52">
            <w:pPr>
              <w:snapToGrid w:val="0"/>
              <w:spacing w:line="400" w:lineRule="exact"/>
              <w:rPr>
                <w:rFonts w:ascii="宋体" w:hAnsi="宋体"/>
                <w:color w:val="auto"/>
                <w:kern w:val="0"/>
                <w:szCs w:val="21"/>
                <w:highlight w:val="none"/>
              </w:rPr>
            </w:pPr>
            <w:r>
              <w:rPr>
                <w:rFonts w:ascii="宋体" w:hAnsi="宋体"/>
                <w:color w:val="auto"/>
                <w:kern w:val="0"/>
                <w:szCs w:val="21"/>
                <w:highlight w:val="none"/>
              </w:rPr>
              <w:t>名称：</w:t>
            </w:r>
          </w:p>
          <w:p w14:paraId="00B98F94">
            <w:pPr>
              <w:snapToGrid w:val="0"/>
              <w:spacing w:line="400" w:lineRule="exact"/>
              <w:rPr>
                <w:rFonts w:ascii="宋体" w:hAnsi="宋体"/>
                <w:color w:val="auto"/>
                <w:kern w:val="0"/>
                <w:szCs w:val="21"/>
                <w:highlight w:val="none"/>
              </w:rPr>
            </w:pPr>
            <w:r>
              <w:rPr>
                <w:rFonts w:ascii="宋体" w:hAnsi="宋体"/>
                <w:color w:val="auto"/>
                <w:kern w:val="0"/>
                <w:szCs w:val="21"/>
                <w:highlight w:val="none"/>
              </w:rPr>
              <w:t>地址：</w:t>
            </w:r>
          </w:p>
          <w:p w14:paraId="3BE779EC">
            <w:pPr>
              <w:snapToGrid w:val="0"/>
              <w:spacing w:line="400" w:lineRule="exact"/>
              <w:rPr>
                <w:rFonts w:ascii="宋体" w:hAnsi="宋体"/>
                <w:color w:val="auto"/>
                <w:kern w:val="0"/>
                <w:szCs w:val="21"/>
                <w:highlight w:val="none"/>
              </w:rPr>
            </w:pPr>
            <w:r>
              <w:rPr>
                <w:rFonts w:ascii="宋体" w:hAnsi="宋体"/>
                <w:color w:val="auto"/>
                <w:kern w:val="0"/>
                <w:szCs w:val="21"/>
                <w:highlight w:val="none"/>
              </w:rPr>
              <w:t>联系人：</w:t>
            </w:r>
          </w:p>
          <w:p w14:paraId="1F6471F3">
            <w:pPr>
              <w:snapToGrid w:val="0"/>
              <w:spacing w:line="400" w:lineRule="exact"/>
              <w:rPr>
                <w:rFonts w:ascii="宋体" w:hAnsi="宋体"/>
                <w:color w:val="auto"/>
                <w:kern w:val="0"/>
                <w:szCs w:val="21"/>
                <w:highlight w:val="none"/>
              </w:rPr>
            </w:pPr>
            <w:r>
              <w:rPr>
                <w:rFonts w:ascii="宋体" w:hAnsi="宋体"/>
                <w:color w:val="auto"/>
                <w:kern w:val="0"/>
                <w:szCs w:val="21"/>
                <w:highlight w:val="none"/>
              </w:rPr>
              <w:t>电话：</w:t>
            </w:r>
          </w:p>
        </w:tc>
      </w:tr>
      <w:tr w14:paraId="02B125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7051CB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1.1.3</w:t>
            </w:r>
          </w:p>
        </w:tc>
        <w:tc>
          <w:tcPr>
            <w:tcW w:w="1644" w:type="dxa"/>
            <w:vAlign w:val="center"/>
          </w:tcPr>
          <w:p w14:paraId="3CDFF22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招标代理机构</w:t>
            </w:r>
          </w:p>
        </w:tc>
        <w:tc>
          <w:tcPr>
            <w:tcW w:w="6490" w:type="dxa"/>
            <w:vAlign w:val="center"/>
          </w:tcPr>
          <w:p w14:paraId="0FFAD208">
            <w:pPr>
              <w:snapToGrid w:val="0"/>
              <w:spacing w:line="400" w:lineRule="exact"/>
              <w:rPr>
                <w:rFonts w:ascii="宋体" w:hAnsi="宋体"/>
                <w:color w:val="auto"/>
                <w:kern w:val="0"/>
                <w:szCs w:val="21"/>
                <w:highlight w:val="none"/>
              </w:rPr>
            </w:pPr>
            <w:r>
              <w:rPr>
                <w:rFonts w:ascii="宋体" w:hAnsi="宋体"/>
                <w:color w:val="auto"/>
                <w:kern w:val="0"/>
                <w:szCs w:val="21"/>
                <w:highlight w:val="none"/>
              </w:rPr>
              <w:t>名称：</w:t>
            </w:r>
          </w:p>
          <w:p w14:paraId="570C305A">
            <w:pPr>
              <w:snapToGrid w:val="0"/>
              <w:spacing w:line="400" w:lineRule="exact"/>
              <w:rPr>
                <w:rFonts w:ascii="宋体" w:hAnsi="宋体"/>
                <w:color w:val="auto"/>
                <w:kern w:val="0"/>
                <w:szCs w:val="21"/>
                <w:highlight w:val="none"/>
              </w:rPr>
            </w:pPr>
            <w:r>
              <w:rPr>
                <w:rFonts w:ascii="宋体" w:hAnsi="宋体"/>
                <w:color w:val="auto"/>
                <w:kern w:val="0"/>
                <w:szCs w:val="21"/>
                <w:highlight w:val="none"/>
              </w:rPr>
              <w:t>地址：</w:t>
            </w:r>
          </w:p>
          <w:p w14:paraId="7473AAE8">
            <w:pPr>
              <w:snapToGrid w:val="0"/>
              <w:spacing w:line="400" w:lineRule="exact"/>
              <w:rPr>
                <w:rFonts w:ascii="宋体" w:hAnsi="宋体"/>
                <w:color w:val="auto"/>
                <w:kern w:val="0"/>
                <w:szCs w:val="21"/>
                <w:highlight w:val="none"/>
              </w:rPr>
            </w:pPr>
            <w:r>
              <w:rPr>
                <w:rFonts w:ascii="宋体" w:hAnsi="宋体"/>
                <w:color w:val="auto"/>
                <w:kern w:val="0"/>
                <w:szCs w:val="21"/>
                <w:highlight w:val="none"/>
              </w:rPr>
              <w:t>联系人：</w:t>
            </w:r>
          </w:p>
          <w:p w14:paraId="11521DCE">
            <w:pPr>
              <w:snapToGrid w:val="0"/>
              <w:spacing w:line="400" w:lineRule="exact"/>
              <w:rPr>
                <w:rFonts w:ascii="宋体" w:hAnsi="宋体"/>
                <w:color w:val="auto"/>
                <w:kern w:val="0"/>
                <w:szCs w:val="21"/>
                <w:highlight w:val="none"/>
              </w:rPr>
            </w:pPr>
            <w:r>
              <w:rPr>
                <w:rFonts w:ascii="宋体" w:hAnsi="宋体"/>
                <w:color w:val="auto"/>
                <w:kern w:val="0"/>
                <w:szCs w:val="21"/>
                <w:highlight w:val="none"/>
              </w:rPr>
              <w:t>电话：</w:t>
            </w:r>
          </w:p>
        </w:tc>
      </w:tr>
      <w:tr w14:paraId="27BA02D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0F2B40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1.1.4</w:t>
            </w:r>
          </w:p>
        </w:tc>
        <w:tc>
          <w:tcPr>
            <w:tcW w:w="1644" w:type="dxa"/>
            <w:vAlign w:val="center"/>
          </w:tcPr>
          <w:p w14:paraId="705169E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项目名称</w:t>
            </w:r>
          </w:p>
        </w:tc>
        <w:tc>
          <w:tcPr>
            <w:tcW w:w="6490" w:type="dxa"/>
            <w:vAlign w:val="center"/>
          </w:tcPr>
          <w:p w14:paraId="0191BFAD">
            <w:pPr>
              <w:snapToGrid w:val="0"/>
              <w:spacing w:line="400" w:lineRule="exact"/>
              <w:jc w:val="left"/>
              <w:rPr>
                <w:rFonts w:ascii="宋体" w:hAnsi="宋体"/>
                <w:color w:val="auto"/>
                <w:szCs w:val="21"/>
                <w:highlight w:val="none"/>
              </w:rPr>
            </w:pPr>
          </w:p>
        </w:tc>
      </w:tr>
      <w:tr w14:paraId="241170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354A97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1.1.5</w:t>
            </w:r>
          </w:p>
        </w:tc>
        <w:tc>
          <w:tcPr>
            <w:tcW w:w="1644" w:type="dxa"/>
            <w:vAlign w:val="center"/>
          </w:tcPr>
          <w:p w14:paraId="3C49594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建设地点</w:t>
            </w:r>
          </w:p>
        </w:tc>
        <w:tc>
          <w:tcPr>
            <w:tcW w:w="6490" w:type="dxa"/>
            <w:vAlign w:val="center"/>
          </w:tcPr>
          <w:p w14:paraId="2E5A7531">
            <w:pPr>
              <w:snapToGrid w:val="0"/>
              <w:spacing w:line="400" w:lineRule="exact"/>
              <w:jc w:val="left"/>
              <w:rPr>
                <w:rFonts w:ascii="宋体" w:hAnsi="宋体"/>
                <w:color w:val="auto"/>
                <w:szCs w:val="21"/>
                <w:highlight w:val="none"/>
              </w:rPr>
            </w:pPr>
          </w:p>
        </w:tc>
      </w:tr>
      <w:tr w14:paraId="286093B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335" w:type="dxa"/>
            <w:vAlign w:val="center"/>
          </w:tcPr>
          <w:p w14:paraId="0B70B8E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1.1.6</w:t>
            </w:r>
          </w:p>
        </w:tc>
        <w:tc>
          <w:tcPr>
            <w:tcW w:w="1644" w:type="dxa"/>
            <w:vAlign w:val="center"/>
          </w:tcPr>
          <w:p w14:paraId="69E1DE2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建设规模</w:t>
            </w:r>
          </w:p>
        </w:tc>
        <w:tc>
          <w:tcPr>
            <w:tcW w:w="6490" w:type="dxa"/>
            <w:vAlign w:val="center"/>
          </w:tcPr>
          <w:p w14:paraId="19ED4B87">
            <w:pPr>
              <w:tabs>
                <w:tab w:val="left" w:pos="3840"/>
                <w:tab w:val="left" w:pos="5300"/>
              </w:tabs>
              <w:autoSpaceDE w:val="0"/>
              <w:autoSpaceDN w:val="0"/>
              <w:adjustRightInd w:val="0"/>
              <w:snapToGrid w:val="0"/>
              <w:spacing w:line="46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建设规模：</w:t>
            </w:r>
            <w:r>
              <w:rPr>
                <w:rFonts w:hint="eastAsia" w:ascii="宋体" w:hAnsi="宋体"/>
                <w:snapToGrid w:val="0"/>
                <w:color w:val="auto"/>
                <w:kern w:val="0"/>
                <w:szCs w:val="21"/>
                <w:highlight w:val="none"/>
                <w:u w:val="single"/>
              </w:rPr>
              <w:t xml:space="preserve">        </w:t>
            </w:r>
          </w:p>
          <w:p w14:paraId="11E6F36F">
            <w:pPr>
              <w:tabs>
                <w:tab w:val="left" w:pos="3840"/>
                <w:tab w:val="left" w:pos="5300"/>
              </w:tabs>
              <w:autoSpaceDE w:val="0"/>
              <w:autoSpaceDN w:val="0"/>
              <w:adjustRightInd w:val="0"/>
              <w:snapToGrid w:val="0"/>
              <w:spacing w:line="460" w:lineRule="exact"/>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[提示：与招标公告保持一致。]</w:t>
            </w:r>
          </w:p>
        </w:tc>
      </w:tr>
      <w:tr w14:paraId="769A2E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B5E65F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1.2.1</w:t>
            </w:r>
          </w:p>
        </w:tc>
        <w:tc>
          <w:tcPr>
            <w:tcW w:w="1644" w:type="dxa"/>
            <w:vAlign w:val="center"/>
          </w:tcPr>
          <w:p w14:paraId="6A37423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资金来源</w:t>
            </w:r>
          </w:p>
        </w:tc>
        <w:tc>
          <w:tcPr>
            <w:tcW w:w="6490" w:type="dxa"/>
            <w:vAlign w:val="center"/>
          </w:tcPr>
          <w:p w14:paraId="601BC169">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资金来源为：</w:t>
            </w:r>
            <w:r>
              <w:rPr>
                <w:rFonts w:hint="eastAsia" w:ascii="宋体" w:hAnsi="宋体"/>
                <w:color w:val="auto"/>
                <w:szCs w:val="21"/>
                <w:highlight w:val="none"/>
                <w:u w:val="single"/>
              </w:rPr>
              <w:t xml:space="preserve">    </w:t>
            </w:r>
            <w:r>
              <w:rPr>
                <w:rFonts w:ascii="宋体" w:hAnsi="宋体"/>
                <w:color w:val="auto"/>
                <w:szCs w:val="21"/>
                <w:highlight w:val="none"/>
              </w:rPr>
              <w:t>投资或筹集（或由</w:t>
            </w:r>
            <w:r>
              <w:rPr>
                <w:rFonts w:hint="eastAsia" w:ascii="宋体" w:hAnsi="宋体"/>
                <w:color w:val="auto"/>
                <w:szCs w:val="21"/>
                <w:highlight w:val="none"/>
                <w:u w:val="single"/>
              </w:rPr>
              <w:t xml:space="preserve">    </w:t>
            </w:r>
            <w:r>
              <w:rPr>
                <w:rFonts w:ascii="宋体" w:hAnsi="宋体"/>
                <w:color w:val="auto"/>
                <w:szCs w:val="21"/>
                <w:highlight w:val="none"/>
              </w:rPr>
              <w:t>贷款）。资金性质为：</w:t>
            </w:r>
            <w:r>
              <w:rPr>
                <w:rFonts w:hint="eastAsia" w:ascii="宋体" w:hAnsi="宋体"/>
                <w:color w:val="auto"/>
                <w:szCs w:val="21"/>
                <w:highlight w:val="none"/>
                <w:u w:val="single"/>
              </w:rPr>
              <w:t xml:space="preserve">    </w:t>
            </w:r>
            <w:r>
              <w:rPr>
                <w:rFonts w:ascii="宋体" w:hAnsi="宋体"/>
                <w:color w:val="auto"/>
                <w:szCs w:val="21"/>
                <w:highlight w:val="none"/>
              </w:rPr>
              <w:t>（全部国有/国有控股/国有占主导地位/非国有）。</w:t>
            </w:r>
          </w:p>
        </w:tc>
      </w:tr>
      <w:tr w14:paraId="2BF240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831802D">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1.2.2</w:t>
            </w:r>
          </w:p>
        </w:tc>
        <w:tc>
          <w:tcPr>
            <w:tcW w:w="1644" w:type="dxa"/>
            <w:vAlign w:val="center"/>
          </w:tcPr>
          <w:p w14:paraId="59714B2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出资比例</w:t>
            </w:r>
          </w:p>
        </w:tc>
        <w:tc>
          <w:tcPr>
            <w:tcW w:w="6490" w:type="dxa"/>
            <w:vAlign w:val="center"/>
          </w:tcPr>
          <w:p w14:paraId="131427C0">
            <w:pPr>
              <w:snapToGrid w:val="0"/>
              <w:spacing w:line="400" w:lineRule="exact"/>
              <w:jc w:val="left"/>
              <w:rPr>
                <w:rFonts w:ascii="宋体" w:hAnsi="宋体"/>
                <w:color w:val="auto"/>
                <w:szCs w:val="21"/>
                <w:highlight w:val="none"/>
              </w:rPr>
            </w:pPr>
          </w:p>
        </w:tc>
      </w:tr>
      <w:tr w14:paraId="14225B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5D6B5B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1.2.3</w:t>
            </w:r>
          </w:p>
        </w:tc>
        <w:tc>
          <w:tcPr>
            <w:tcW w:w="1644" w:type="dxa"/>
            <w:vAlign w:val="center"/>
          </w:tcPr>
          <w:p w14:paraId="28393EB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资金落实情况</w:t>
            </w:r>
          </w:p>
        </w:tc>
        <w:tc>
          <w:tcPr>
            <w:tcW w:w="6490" w:type="dxa"/>
            <w:vAlign w:val="center"/>
          </w:tcPr>
          <w:p w14:paraId="6117D1A0">
            <w:pPr>
              <w:snapToGrid w:val="0"/>
              <w:spacing w:line="400" w:lineRule="exact"/>
              <w:jc w:val="left"/>
              <w:rPr>
                <w:rFonts w:ascii="宋体" w:hAnsi="宋体"/>
                <w:color w:val="auto"/>
                <w:szCs w:val="21"/>
                <w:highlight w:val="none"/>
              </w:rPr>
            </w:pPr>
          </w:p>
        </w:tc>
      </w:tr>
      <w:tr w14:paraId="39A5A5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B2CC394">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1.3.1</w:t>
            </w:r>
          </w:p>
        </w:tc>
        <w:tc>
          <w:tcPr>
            <w:tcW w:w="1644" w:type="dxa"/>
            <w:vAlign w:val="center"/>
          </w:tcPr>
          <w:p w14:paraId="5C4D553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招标范围</w:t>
            </w:r>
          </w:p>
        </w:tc>
        <w:tc>
          <w:tcPr>
            <w:tcW w:w="6490" w:type="dxa"/>
            <w:vAlign w:val="center"/>
          </w:tcPr>
          <w:p w14:paraId="729937B0">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主要包括施工图设计</w:t>
            </w:r>
            <w:r>
              <w:rPr>
                <w:rFonts w:hint="eastAsia"/>
                <w:color w:val="auto"/>
                <w:highlight w:val="none"/>
              </w:rPr>
              <w:t>、</w:t>
            </w:r>
            <w:r>
              <w:rPr>
                <w:rFonts w:hint="eastAsia" w:ascii="宋体" w:hAnsi="宋体"/>
                <w:snapToGrid w:val="0"/>
                <w:color w:val="auto"/>
                <w:kern w:val="0"/>
                <w:szCs w:val="21"/>
                <w:highlight w:val="none"/>
              </w:rPr>
              <w:t>工程施工、□专业设备材料采购、□其他</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等内容，具体范围为：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p>
          <w:p w14:paraId="1CF37D60">
            <w:pPr>
              <w:snapToGrid w:val="0"/>
              <w:spacing w:line="400" w:lineRule="exact"/>
              <w:ind w:firstLine="420" w:firstLineChars="200"/>
              <w:rPr>
                <w:rFonts w:ascii="宋体" w:hAnsi="宋体"/>
                <w:i/>
                <w:color w:val="auto"/>
                <w:szCs w:val="21"/>
                <w:highlight w:val="none"/>
              </w:rPr>
            </w:pPr>
            <w:r>
              <w:rPr>
                <w:rFonts w:hint="eastAsia" w:ascii="宋体" w:hAnsi="宋体"/>
                <w:i/>
                <w:snapToGrid w:val="0"/>
                <w:color w:val="auto"/>
                <w:kern w:val="0"/>
                <w:szCs w:val="21"/>
                <w:highlight w:val="none"/>
              </w:rPr>
              <w:t>[提示：与招标公告保持一致</w:t>
            </w:r>
            <w:r>
              <w:rPr>
                <w:rFonts w:hint="eastAsia" w:ascii="宋体" w:hAnsi="宋体"/>
                <w:i/>
                <w:color w:val="auto"/>
                <w:szCs w:val="21"/>
                <w:highlight w:val="none"/>
              </w:rPr>
              <w:t>。</w:t>
            </w:r>
            <w:r>
              <w:rPr>
                <w:rFonts w:hint="eastAsia" w:ascii="宋体" w:hAnsi="宋体"/>
                <w:i/>
                <w:snapToGrid w:val="0"/>
                <w:color w:val="auto"/>
                <w:kern w:val="0"/>
                <w:szCs w:val="21"/>
                <w:highlight w:val="none"/>
              </w:rPr>
              <w:t>]</w:t>
            </w:r>
          </w:p>
        </w:tc>
      </w:tr>
      <w:tr w14:paraId="58E09D6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8A205B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1.3.2</w:t>
            </w:r>
          </w:p>
        </w:tc>
        <w:tc>
          <w:tcPr>
            <w:tcW w:w="1644" w:type="dxa"/>
            <w:vAlign w:val="center"/>
          </w:tcPr>
          <w:p w14:paraId="5EC4662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计划工期</w:t>
            </w:r>
          </w:p>
        </w:tc>
        <w:tc>
          <w:tcPr>
            <w:tcW w:w="6490" w:type="dxa"/>
            <w:vAlign w:val="center"/>
          </w:tcPr>
          <w:p w14:paraId="115BB444">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总工期</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日历天</w:t>
            </w:r>
            <w:r>
              <w:rPr>
                <w:rFonts w:hint="eastAsia" w:ascii="宋体" w:hAnsi="宋体"/>
                <w:snapToGrid w:val="0"/>
                <w:color w:val="auto"/>
                <w:kern w:val="0"/>
                <w:szCs w:val="21"/>
                <w:highlight w:val="none"/>
              </w:rPr>
              <w:t>，缺陷责任期</w:t>
            </w:r>
            <w:r>
              <w:rPr>
                <w:rFonts w:hint="eastAsia" w:ascii="宋体" w:hAnsi="宋体"/>
                <w:snapToGrid w:val="0"/>
                <w:color w:val="auto"/>
                <w:kern w:val="0"/>
                <w:szCs w:val="21"/>
                <w:highlight w:val="none"/>
                <w:u w:val="single"/>
              </w:rPr>
              <w:t xml:space="preserve">  个月</w:t>
            </w:r>
            <w:r>
              <w:rPr>
                <w:rFonts w:hint="eastAsia" w:ascii="宋体" w:hAnsi="宋体"/>
                <w:snapToGrid w:val="0"/>
                <w:color w:val="auto"/>
                <w:kern w:val="0"/>
                <w:szCs w:val="21"/>
                <w:highlight w:val="none"/>
              </w:rPr>
              <w:t>。其中：</w:t>
            </w:r>
          </w:p>
          <w:p w14:paraId="6FB1EA1F">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□设计周期：□施工图设计</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；□其他服务</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w:t>
            </w:r>
          </w:p>
          <w:p w14:paraId="7DD298EA">
            <w:pPr>
              <w:tabs>
                <w:tab w:val="left" w:pos="3840"/>
                <w:tab w:val="left" w:pos="5300"/>
              </w:tabs>
              <w:autoSpaceDE w:val="0"/>
              <w:autoSpaceDN w:val="0"/>
              <w:adjustRightInd w:val="0"/>
              <w:snapToGrid w:val="0"/>
              <w:spacing w:line="460" w:lineRule="exact"/>
              <w:ind w:firstLine="420" w:firstLineChars="200"/>
              <w:jc w:val="left"/>
              <w:rPr>
                <w:rFonts w:ascii="宋体" w:hAnsi="宋体"/>
                <w:snapToGrid w:val="0"/>
                <w:color w:val="auto"/>
                <w:kern w:val="0"/>
                <w:szCs w:val="21"/>
                <w:highlight w:val="none"/>
              </w:rPr>
            </w:pPr>
            <w:r>
              <w:rPr>
                <w:rFonts w:hint="eastAsia" w:ascii="宋体" w:hAnsi="宋体"/>
                <w:snapToGrid w:val="0"/>
                <w:color w:val="auto"/>
                <w:kern w:val="0"/>
                <w:szCs w:val="21"/>
                <w:highlight w:val="none"/>
              </w:rPr>
              <w:t>□专业设备材料到货时间：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w:t>
            </w:r>
          </w:p>
          <w:p w14:paraId="2E77A7B0">
            <w:pPr>
              <w:snapToGrid w:val="0"/>
              <w:spacing w:line="40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□施工工期：</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日历天</w:t>
            </w:r>
            <w:r>
              <w:rPr>
                <w:rFonts w:hint="eastAsia" w:ascii="宋体" w:hAnsi="宋体"/>
                <w:snapToGrid w:val="0"/>
                <w:color w:val="auto"/>
                <w:kern w:val="0"/>
                <w:szCs w:val="21"/>
                <w:highlight w:val="none"/>
              </w:rPr>
              <w:t>；</w:t>
            </w:r>
          </w:p>
          <w:p w14:paraId="6BCCC335">
            <w:pPr>
              <w:tabs>
                <w:tab w:val="left" w:pos="3840"/>
                <w:tab w:val="left" w:pos="5300"/>
              </w:tabs>
              <w:autoSpaceDE w:val="0"/>
              <w:autoSpaceDN w:val="0"/>
              <w:adjustRightInd w:val="0"/>
              <w:snapToGrid w:val="0"/>
              <w:spacing w:line="460" w:lineRule="exact"/>
              <w:ind w:firstLine="420" w:firstLineChars="200"/>
              <w:jc w:val="left"/>
              <w:rPr>
                <w:color w:val="auto"/>
                <w:highlight w:val="none"/>
              </w:rPr>
            </w:pPr>
            <w:r>
              <w:rPr>
                <w:rFonts w:hint="eastAsia"/>
                <w:color w:val="auto"/>
                <w:highlight w:val="none"/>
              </w:rPr>
              <w:t>□节点工期要求：</w:t>
            </w:r>
            <w:r>
              <w:rPr>
                <w:rFonts w:hint="eastAsia"/>
                <w:color w:val="auto"/>
                <w:highlight w:val="none"/>
                <w:u w:val="single"/>
              </w:rPr>
              <w:t xml:space="preserve"> </w:t>
            </w:r>
            <w:r>
              <w:rPr>
                <w:color w:val="auto"/>
                <w:highlight w:val="none"/>
                <w:u w:val="single"/>
              </w:rPr>
              <w:t xml:space="preserve">  </w:t>
            </w:r>
            <w:r>
              <w:rPr>
                <w:rFonts w:hint="eastAsia"/>
                <w:color w:val="auto"/>
                <w:highlight w:val="none"/>
                <w:u w:val="single"/>
              </w:rPr>
              <w:t xml:space="preserve">  </w:t>
            </w:r>
            <w:r>
              <w:rPr>
                <w:color w:val="auto"/>
                <w:highlight w:val="none"/>
                <w:u w:val="single"/>
              </w:rPr>
              <w:t xml:space="preserve">   </w:t>
            </w:r>
          </w:p>
        </w:tc>
      </w:tr>
      <w:tr w14:paraId="79E3F57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F850BE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1.3.3</w:t>
            </w:r>
          </w:p>
        </w:tc>
        <w:tc>
          <w:tcPr>
            <w:tcW w:w="1644" w:type="dxa"/>
            <w:vAlign w:val="center"/>
          </w:tcPr>
          <w:p w14:paraId="11E3D2A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质量</w:t>
            </w:r>
            <w:r>
              <w:rPr>
                <w:rFonts w:hint="eastAsia" w:ascii="宋体" w:hAnsi="宋体"/>
                <w:color w:val="auto"/>
                <w:kern w:val="0"/>
                <w:szCs w:val="21"/>
                <w:highlight w:val="none"/>
              </w:rPr>
              <w:t>标准</w:t>
            </w:r>
          </w:p>
        </w:tc>
        <w:tc>
          <w:tcPr>
            <w:tcW w:w="6490" w:type="dxa"/>
            <w:vAlign w:val="center"/>
          </w:tcPr>
          <w:p w14:paraId="7363B18E">
            <w:pPr>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）设计要求的质量标准：</w:t>
            </w:r>
            <w:r>
              <w:rPr>
                <w:rFonts w:hint="eastAsia" w:ascii="宋体" w:hAnsi="宋体"/>
                <w:color w:val="auto"/>
                <w:szCs w:val="21"/>
                <w:highlight w:val="none"/>
                <w:u w:val="single"/>
              </w:rPr>
              <w:t xml:space="preserve">           </w:t>
            </w:r>
          </w:p>
          <w:p w14:paraId="749FD79B">
            <w:pPr>
              <w:snapToGrid w:val="0"/>
              <w:spacing w:line="400" w:lineRule="exact"/>
              <w:ind w:firstLine="420" w:firstLineChars="200"/>
              <w:rPr>
                <w:rFonts w:ascii="宋体" w:hAnsi="宋体"/>
                <w:color w:val="auto"/>
                <w:szCs w:val="21"/>
                <w:highlight w:val="none"/>
                <w:u w:val="single"/>
              </w:rPr>
            </w:pPr>
            <w:r>
              <w:rPr>
                <w:rFonts w:hint="eastAsia" w:ascii="宋体" w:hAnsi="宋体"/>
                <w:snapToGrid w:val="0"/>
                <w:color w:val="auto"/>
                <w:kern w:val="0"/>
                <w:szCs w:val="21"/>
                <w:highlight w:val="none"/>
              </w:rPr>
              <w:t>□</w:t>
            </w:r>
            <w:r>
              <w:rPr>
                <w:rFonts w:hint="eastAsia" w:ascii="宋体" w:hAnsi="宋体"/>
                <w:color w:val="auto"/>
                <w:szCs w:val="21"/>
                <w:highlight w:val="none"/>
              </w:rPr>
              <w:t>（2）专业设备材料的质量标准：</w:t>
            </w:r>
            <w:r>
              <w:rPr>
                <w:rFonts w:hint="eastAsia" w:ascii="宋体" w:hAnsi="宋体"/>
                <w:color w:val="auto"/>
                <w:szCs w:val="21"/>
                <w:highlight w:val="none"/>
                <w:u w:val="single"/>
              </w:rPr>
              <w:t xml:space="preserve">           </w:t>
            </w:r>
          </w:p>
          <w:p w14:paraId="0820B5DA">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（3）施工要求的质量标准：</w:t>
            </w:r>
            <w:r>
              <w:rPr>
                <w:rFonts w:hint="eastAsia" w:ascii="宋体" w:hAnsi="宋体" w:cs="宋体"/>
                <w:color w:val="auto"/>
                <w:kern w:val="0"/>
                <w:szCs w:val="21"/>
                <w:highlight w:val="none"/>
                <w:u w:val="single"/>
                <w:lang w:bidi="ar"/>
              </w:rPr>
              <w:t>符合国家和重庆市现行有关施工质量验收规范要求，并达到合格标准</w:t>
            </w:r>
            <w:r>
              <w:rPr>
                <w:rFonts w:ascii="宋体" w:hAnsi="宋体"/>
                <w:color w:val="auto"/>
                <w:szCs w:val="21"/>
                <w:highlight w:val="none"/>
              </w:rPr>
              <w:t>。</w:t>
            </w:r>
          </w:p>
          <w:p w14:paraId="0B2F83DF">
            <w:pPr>
              <w:snapToGrid w:val="0"/>
              <w:spacing w:line="400" w:lineRule="exact"/>
              <w:ind w:firstLine="420" w:firstLineChars="200"/>
              <w:rPr>
                <w:rFonts w:ascii="宋体" w:hAnsi="宋体"/>
                <w:color w:val="auto"/>
                <w:szCs w:val="21"/>
                <w:highlight w:val="none"/>
              </w:rPr>
            </w:pPr>
            <w:r>
              <w:rPr>
                <w:rFonts w:hint="eastAsia" w:ascii="宋体" w:hAnsi="宋体"/>
                <w:i/>
                <w:color w:val="auto"/>
                <w:szCs w:val="21"/>
                <w:highlight w:val="none"/>
              </w:rPr>
              <w:t>[提示：根据项目实际情况确定合理的质量标准。]</w:t>
            </w:r>
          </w:p>
        </w:tc>
      </w:tr>
      <w:tr w14:paraId="16D69F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9ED4976">
            <w:pPr>
              <w:snapToGrid w:val="0"/>
              <w:spacing w:line="400" w:lineRule="exact"/>
              <w:jc w:val="center"/>
              <w:rPr>
                <w:rFonts w:ascii="宋体" w:hAnsi="宋体"/>
                <w:color w:val="auto"/>
                <w:kern w:val="0"/>
                <w:szCs w:val="21"/>
                <w:highlight w:val="none"/>
              </w:rPr>
            </w:pPr>
          </w:p>
          <w:p w14:paraId="2C6CADE1">
            <w:pPr>
              <w:snapToGrid w:val="0"/>
              <w:spacing w:line="400" w:lineRule="exact"/>
              <w:jc w:val="center"/>
              <w:rPr>
                <w:rFonts w:ascii="宋体" w:hAnsi="宋体"/>
                <w:color w:val="auto"/>
                <w:kern w:val="0"/>
                <w:szCs w:val="21"/>
                <w:highlight w:val="none"/>
              </w:rPr>
            </w:pPr>
          </w:p>
          <w:p w14:paraId="094ACF2F">
            <w:pPr>
              <w:snapToGrid w:val="0"/>
              <w:spacing w:line="400" w:lineRule="exact"/>
              <w:jc w:val="center"/>
              <w:rPr>
                <w:rFonts w:ascii="宋体" w:hAnsi="宋体"/>
                <w:color w:val="auto"/>
                <w:kern w:val="0"/>
                <w:szCs w:val="21"/>
                <w:highlight w:val="none"/>
              </w:rPr>
            </w:pPr>
          </w:p>
          <w:p w14:paraId="2B2C2840">
            <w:pPr>
              <w:snapToGrid w:val="0"/>
              <w:spacing w:line="400" w:lineRule="exact"/>
              <w:jc w:val="center"/>
              <w:rPr>
                <w:rFonts w:ascii="宋体" w:hAnsi="宋体"/>
                <w:color w:val="auto"/>
                <w:kern w:val="0"/>
                <w:szCs w:val="21"/>
                <w:highlight w:val="none"/>
              </w:rPr>
            </w:pPr>
          </w:p>
          <w:p w14:paraId="5D0819F0">
            <w:pPr>
              <w:snapToGrid w:val="0"/>
              <w:spacing w:line="400" w:lineRule="exact"/>
              <w:jc w:val="center"/>
              <w:rPr>
                <w:rFonts w:ascii="宋体" w:hAnsi="宋体"/>
                <w:color w:val="auto"/>
                <w:kern w:val="0"/>
                <w:szCs w:val="21"/>
                <w:highlight w:val="none"/>
              </w:rPr>
            </w:pPr>
          </w:p>
          <w:p w14:paraId="7DEF33CC">
            <w:pPr>
              <w:snapToGrid w:val="0"/>
              <w:spacing w:line="400" w:lineRule="exact"/>
              <w:jc w:val="center"/>
              <w:rPr>
                <w:rFonts w:ascii="宋体" w:hAnsi="宋体"/>
                <w:color w:val="auto"/>
                <w:kern w:val="0"/>
                <w:szCs w:val="21"/>
                <w:highlight w:val="none"/>
              </w:rPr>
            </w:pPr>
          </w:p>
          <w:p w14:paraId="13DC3D2F">
            <w:pPr>
              <w:snapToGrid w:val="0"/>
              <w:spacing w:line="400" w:lineRule="exact"/>
              <w:jc w:val="center"/>
              <w:rPr>
                <w:rFonts w:ascii="宋体" w:hAnsi="宋体"/>
                <w:color w:val="auto"/>
                <w:kern w:val="0"/>
                <w:szCs w:val="21"/>
                <w:highlight w:val="none"/>
              </w:rPr>
            </w:pPr>
          </w:p>
          <w:p w14:paraId="647E7B8D">
            <w:pPr>
              <w:snapToGrid w:val="0"/>
              <w:spacing w:line="400" w:lineRule="exact"/>
              <w:jc w:val="center"/>
              <w:rPr>
                <w:rFonts w:ascii="宋体" w:hAnsi="宋体"/>
                <w:color w:val="auto"/>
                <w:kern w:val="0"/>
                <w:szCs w:val="21"/>
                <w:highlight w:val="none"/>
              </w:rPr>
            </w:pPr>
          </w:p>
          <w:p w14:paraId="72B3C497">
            <w:pPr>
              <w:snapToGrid w:val="0"/>
              <w:spacing w:line="400" w:lineRule="exact"/>
              <w:jc w:val="center"/>
              <w:rPr>
                <w:rFonts w:ascii="宋体" w:hAnsi="宋体"/>
                <w:color w:val="auto"/>
                <w:kern w:val="0"/>
                <w:szCs w:val="21"/>
                <w:highlight w:val="none"/>
              </w:rPr>
            </w:pPr>
          </w:p>
          <w:p w14:paraId="5FD99AD1">
            <w:pPr>
              <w:snapToGrid w:val="0"/>
              <w:spacing w:line="400" w:lineRule="exact"/>
              <w:jc w:val="center"/>
              <w:rPr>
                <w:rFonts w:ascii="宋体" w:hAnsi="宋体"/>
                <w:color w:val="auto"/>
                <w:kern w:val="0"/>
                <w:szCs w:val="21"/>
                <w:highlight w:val="none"/>
              </w:rPr>
            </w:pPr>
          </w:p>
          <w:p w14:paraId="68812AAE">
            <w:pPr>
              <w:snapToGrid w:val="0"/>
              <w:spacing w:line="400" w:lineRule="exact"/>
              <w:jc w:val="center"/>
              <w:rPr>
                <w:rFonts w:ascii="宋体" w:hAnsi="宋体"/>
                <w:color w:val="auto"/>
                <w:kern w:val="0"/>
                <w:szCs w:val="21"/>
                <w:highlight w:val="none"/>
              </w:rPr>
            </w:pPr>
          </w:p>
          <w:p w14:paraId="35E6A9BD">
            <w:pPr>
              <w:snapToGrid w:val="0"/>
              <w:spacing w:line="400" w:lineRule="exact"/>
              <w:jc w:val="center"/>
              <w:rPr>
                <w:rFonts w:ascii="宋体" w:hAnsi="宋体"/>
                <w:color w:val="auto"/>
                <w:kern w:val="0"/>
                <w:szCs w:val="21"/>
                <w:highlight w:val="none"/>
              </w:rPr>
            </w:pPr>
          </w:p>
          <w:p w14:paraId="0FEC6897">
            <w:pPr>
              <w:snapToGrid w:val="0"/>
              <w:spacing w:line="400" w:lineRule="exact"/>
              <w:jc w:val="center"/>
              <w:rPr>
                <w:rFonts w:ascii="宋体" w:hAnsi="宋体"/>
                <w:color w:val="auto"/>
                <w:kern w:val="0"/>
                <w:szCs w:val="21"/>
                <w:highlight w:val="none"/>
              </w:rPr>
            </w:pPr>
          </w:p>
          <w:p w14:paraId="2E5D8694">
            <w:pPr>
              <w:snapToGrid w:val="0"/>
              <w:spacing w:line="400" w:lineRule="exact"/>
              <w:jc w:val="center"/>
              <w:rPr>
                <w:rFonts w:ascii="宋体" w:hAnsi="宋体"/>
                <w:color w:val="auto"/>
                <w:kern w:val="0"/>
                <w:szCs w:val="21"/>
                <w:highlight w:val="none"/>
              </w:rPr>
            </w:pPr>
          </w:p>
          <w:p w14:paraId="4C9CE752">
            <w:pPr>
              <w:snapToGrid w:val="0"/>
              <w:spacing w:line="400" w:lineRule="exact"/>
              <w:jc w:val="center"/>
              <w:rPr>
                <w:rFonts w:ascii="宋体" w:hAnsi="宋体"/>
                <w:color w:val="auto"/>
                <w:kern w:val="0"/>
                <w:szCs w:val="21"/>
                <w:highlight w:val="none"/>
              </w:rPr>
            </w:pPr>
          </w:p>
          <w:p w14:paraId="3FFC80C2">
            <w:pPr>
              <w:snapToGrid w:val="0"/>
              <w:spacing w:line="400" w:lineRule="exact"/>
              <w:jc w:val="center"/>
              <w:rPr>
                <w:rFonts w:ascii="宋体" w:hAnsi="宋体"/>
                <w:color w:val="auto"/>
                <w:kern w:val="0"/>
                <w:szCs w:val="21"/>
                <w:highlight w:val="none"/>
              </w:rPr>
            </w:pPr>
          </w:p>
          <w:p w14:paraId="40FD8407">
            <w:pPr>
              <w:snapToGrid w:val="0"/>
              <w:spacing w:line="400" w:lineRule="exact"/>
              <w:jc w:val="center"/>
              <w:rPr>
                <w:rFonts w:ascii="宋体" w:hAnsi="宋体"/>
                <w:color w:val="auto"/>
                <w:kern w:val="0"/>
                <w:szCs w:val="21"/>
                <w:highlight w:val="none"/>
              </w:rPr>
            </w:pPr>
          </w:p>
          <w:p w14:paraId="448E8FF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0D984B67">
            <w:pPr>
              <w:snapToGrid w:val="0"/>
              <w:spacing w:line="400" w:lineRule="exact"/>
              <w:jc w:val="center"/>
              <w:rPr>
                <w:rFonts w:ascii="宋体" w:hAnsi="宋体"/>
                <w:color w:val="auto"/>
                <w:kern w:val="0"/>
                <w:szCs w:val="21"/>
                <w:highlight w:val="none"/>
              </w:rPr>
            </w:pPr>
          </w:p>
          <w:p w14:paraId="4E12010B">
            <w:pPr>
              <w:snapToGrid w:val="0"/>
              <w:spacing w:line="400" w:lineRule="exact"/>
              <w:jc w:val="center"/>
              <w:rPr>
                <w:rFonts w:ascii="宋体" w:hAnsi="宋体"/>
                <w:color w:val="auto"/>
                <w:kern w:val="0"/>
                <w:szCs w:val="21"/>
                <w:highlight w:val="none"/>
              </w:rPr>
            </w:pPr>
          </w:p>
          <w:p w14:paraId="3BAC34FC">
            <w:pPr>
              <w:snapToGrid w:val="0"/>
              <w:spacing w:line="400" w:lineRule="exact"/>
              <w:jc w:val="center"/>
              <w:rPr>
                <w:rFonts w:ascii="宋体" w:hAnsi="宋体"/>
                <w:color w:val="auto"/>
                <w:kern w:val="0"/>
                <w:szCs w:val="21"/>
                <w:highlight w:val="none"/>
              </w:rPr>
            </w:pPr>
          </w:p>
          <w:p w14:paraId="090EBC52">
            <w:pPr>
              <w:snapToGrid w:val="0"/>
              <w:spacing w:line="400" w:lineRule="exact"/>
              <w:jc w:val="center"/>
              <w:rPr>
                <w:rFonts w:ascii="宋体" w:hAnsi="宋体"/>
                <w:color w:val="auto"/>
                <w:kern w:val="0"/>
                <w:szCs w:val="21"/>
                <w:highlight w:val="none"/>
              </w:rPr>
            </w:pPr>
          </w:p>
          <w:p w14:paraId="14874879">
            <w:pPr>
              <w:snapToGrid w:val="0"/>
              <w:spacing w:line="400" w:lineRule="exact"/>
              <w:jc w:val="center"/>
              <w:rPr>
                <w:rFonts w:ascii="宋体" w:hAnsi="宋体"/>
                <w:color w:val="auto"/>
                <w:kern w:val="0"/>
                <w:szCs w:val="21"/>
                <w:highlight w:val="none"/>
              </w:rPr>
            </w:pPr>
          </w:p>
          <w:p w14:paraId="157A4CA6">
            <w:pPr>
              <w:snapToGrid w:val="0"/>
              <w:spacing w:line="400" w:lineRule="exact"/>
              <w:jc w:val="center"/>
              <w:rPr>
                <w:rFonts w:ascii="宋体" w:hAnsi="宋体"/>
                <w:color w:val="auto"/>
                <w:kern w:val="0"/>
                <w:szCs w:val="21"/>
                <w:highlight w:val="none"/>
              </w:rPr>
            </w:pPr>
          </w:p>
          <w:p w14:paraId="7C32A440">
            <w:pPr>
              <w:snapToGrid w:val="0"/>
              <w:spacing w:line="400" w:lineRule="exact"/>
              <w:jc w:val="center"/>
              <w:rPr>
                <w:rFonts w:ascii="宋体" w:hAnsi="宋体"/>
                <w:color w:val="auto"/>
                <w:kern w:val="0"/>
                <w:szCs w:val="21"/>
                <w:highlight w:val="none"/>
              </w:rPr>
            </w:pPr>
          </w:p>
          <w:p w14:paraId="16F1D98B">
            <w:pPr>
              <w:snapToGrid w:val="0"/>
              <w:spacing w:line="400" w:lineRule="exact"/>
              <w:jc w:val="center"/>
              <w:rPr>
                <w:rFonts w:ascii="宋体" w:hAnsi="宋体"/>
                <w:color w:val="auto"/>
                <w:kern w:val="0"/>
                <w:szCs w:val="21"/>
                <w:highlight w:val="none"/>
              </w:rPr>
            </w:pPr>
          </w:p>
          <w:p w14:paraId="7676C1C0">
            <w:pPr>
              <w:snapToGrid w:val="0"/>
              <w:spacing w:line="400" w:lineRule="exact"/>
              <w:jc w:val="center"/>
              <w:rPr>
                <w:rFonts w:ascii="宋体" w:hAnsi="宋体"/>
                <w:color w:val="auto"/>
                <w:kern w:val="0"/>
                <w:szCs w:val="21"/>
                <w:highlight w:val="none"/>
              </w:rPr>
            </w:pPr>
          </w:p>
          <w:p w14:paraId="56F65E53">
            <w:pPr>
              <w:snapToGrid w:val="0"/>
              <w:spacing w:line="400" w:lineRule="exact"/>
              <w:jc w:val="center"/>
              <w:rPr>
                <w:rFonts w:ascii="宋体" w:hAnsi="宋体"/>
                <w:color w:val="auto"/>
                <w:kern w:val="0"/>
                <w:szCs w:val="21"/>
                <w:highlight w:val="none"/>
              </w:rPr>
            </w:pPr>
          </w:p>
          <w:p w14:paraId="04599E0C">
            <w:pPr>
              <w:snapToGrid w:val="0"/>
              <w:spacing w:line="400" w:lineRule="exact"/>
              <w:jc w:val="center"/>
              <w:rPr>
                <w:rFonts w:ascii="宋体" w:hAnsi="宋体"/>
                <w:color w:val="auto"/>
                <w:kern w:val="0"/>
                <w:szCs w:val="21"/>
                <w:highlight w:val="none"/>
              </w:rPr>
            </w:pPr>
          </w:p>
          <w:p w14:paraId="6604904D">
            <w:pPr>
              <w:snapToGrid w:val="0"/>
              <w:spacing w:line="400" w:lineRule="exact"/>
              <w:jc w:val="center"/>
              <w:rPr>
                <w:rFonts w:ascii="宋体" w:hAnsi="宋体"/>
                <w:color w:val="auto"/>
                <w:kern w:val="0"/>
                <w:szCs w:val="21"/>
                <w:highlight w:val="none"/>
              </w:rPr>
            </w:pPr>
          </w:p>
          <w:p w14:paraId="6C36C077">
            <w:pPr>
              <w:snapToGrid w:val="0"/>
              <w:spacing w:line="400" w:lineRule="exact"/>
              <w:jc w:val="center"/>
              <w:rPr>
                <w:rFonts w:ascii="宋体" w:hAnsi="宋体"/>
                <w:color w:val="auto"/>
                <w:kern w:val="0"/>
                <w:szCs w:val="21"/>
                <w:highlight w:val="none"/>
              </w:rPr>
            </w:pPr>
          </w:p>
          <w:p w14:paraId="30578BF9">
            <w:pPr>
              <w:snapToGrid w:val="0"/>
              <w:spacing w:line="400" w:lineRule="exact"/>
              <w:jc w:val="center"/>
              <w:rPr>
                <w:rFonts w:ascii="宋体" w:hAnsi="宋体"/>
                <w:color w:val="auto"/>
                <w:kern w:val="0"/>
                <w:szCs w:val="21"/>
                <w:highlight w:val="none"/>
              </w:rPr>
            </w:pPr>
          </w:p>
          <w:p w14:paraId="12B4E234">
            <w:pPr>
              <w:snapToGrid w:val="0"/>
              <w:spacing w:line="400" w:lineRule="exact"/>
              <w:jc w:val="center"/>
              <w:rPr>
                <w:rFonts w:ascii="宋体" w:hAnsi="宋体"/>
                <w:color w:val="auto"/>
                <w:kern w:val="0"/>
                <w:szCs w:val="21"/>
                <w:highlight w:val="none"/>
              </w:rPr>
            </w:pPr>
          </w:p>
          <w:p w14:paraId="046777C9">
            <w:pPr>
              <w:snapToGrid w:val="0"/>
              <w:spacing w:line="400" w:lineRule="exact"/>
              <w:jc w:val="center"/>
              <w:rPr>
                <w:rFonts w:ascii="宋体" w:hAnsi="宋体"/>
                <w:color w:val="auto"/>
                <w:kern w:val="0"/>
                <w:szCs w:val="21"/>
                <w:highlight w:val="none"/>
              </w:rPr>
            </w:pPr>
          </w:p>
          <w:p w14:paraId="5AC38EFD">
            <w:pPr>
              <w:snapToGrid w:val="0"/>
              <w:spacing w:line="400" w:lineRule="exact"/>
              <w:jc w:val="center"/>
              <w:rPr>
                <w:rFonts w:ascii="宋体" w:hAnsi="宋体"/>
                <w:color w:val="auto"/>
                <w:kern w:val="0"/>
                <w:szCs w:val="21"/>
                <w:highlight w:val="none"/>
              </w:rPr>
            </w:pPr>
          </w:p>
          <w:p w14:paraId="5337CBD0">
            <w:pPr>
              <w:snapToGrid w:val="0"/>
              <w:spacing w:line="400" w:lineRule="exact"/>
              <w:jc w:val="center"/>
              <w:rPr>
                <w:rFonts w:ascii="宋体" w:hAnsi="宋体"/>
                <w:color w:val="auto"/>
                <w:kern w:val="0"/>
                <w:szCs w:val="21"/>
                <w:highlight w:val="none"/>
              </w:rPr>
            </w:pPr>
          </w:p>
          <w:p w14:paraId="7B9DE99A">
            <w:pPr>
              <w:snapToGrid w:val="0"/>
              <w:spacing w:line="400" w:lineRule="exact"/>
              <w:jc w:val="center"/>
              <w:rPr>
                <w:rFonts w:ascii="宋体" w:hAnsi="宋体"/>
                <w:color w:val="auto"/>
                <w:kern w:val="0"/>
                <w:szCs w:val="21"/>
                <w:highlight w:val="none"/>
              </w:rPr>
            </w:pPr>
          </w:p>
          <w:p w14:paraId="563D9780">
            <w:pPr>
              <w:snapToGrid w:val="0"/>
              <w:spacing w:line="400" w:lineRule="exact"/>
              <w:jc w:val="center"/>
              <w:rPr>
                <w:rFonts w:ascii="宋体" w:hAnsi="宋体"/>
                <w:color w:val="auto"/>
                <w:kern w:val="0"/>
                <w:szCs w:val="21"/>
                <w:highlight w:val="none"/>
              </w:rPr>
            </w:pPr>
          </w:p>
          <w:p w14:paraId="0E194516">
            <w:pPr>
              <w:snapToGrid w:val="0"/>
              <w:spacing w:line="400" w:lineRule="exact"/>
              <w:jc w:val="center"/>
              <w:rPr>
                <w:rFonts w:ascii="宋体" w:hAnsi="宋体"/>
                <w:color w:val="auto"/>
                <w:kern w:val="0"/>
                <w:szCs w:val="21"/>
                <w:highlight w:val="none"/>
              </w:rPr>
            </w:pPr>
          </w:p>
          <w:p w14:paraId="558F87C4">
            <w:pPr>
              <w:snapToGrid w:val="0"/>
              <w:spacing w:line="400" w:lineRule="exact"/>
              <w:jc w:val="center"/>
              <w:rPr>
                <w:rFonts w:ascii="宋体" w:hAnsi="宋体"/>
                <w:color w:val="auto"/>
                <w:kern w:val="0"/>
                <w:szCs w:val="21"/>
                <w:highlight w:val="none"/>
              </w:rPr>
            </w:pPr>
          </w:p>
          <w:p w14:paraId="554579A3">
            <w:pPr>
              <w:snapToGrid w:val="0"/>
              <w:spacing w:line="400" w:lineRule="exact"/>
              <w:jc w:val="center"/>
              <w:rPr>
                <w:rFonts w:ascii="宋体" w:hAnsi="宋体"/>
                <w:color w:val="auto"/>
                <w:kern w:val="0"/>
                <w:szCs w:val="21"/>
                <w:highlight w:val="none"/>
              </w:rPr>
            </w:pPr>
          </w:p>
          <w:p w14:paraId="5271054E">
            <w:pPr>
              <w:snapToGrid w:val="0"/>
              <w:spacing w:line="400" w:lineRule="exact"/>
              <w:jc w:val="center"/>
              <w:rPr>
                <w:rFonts w:ascii="宋体" w:hAnsi="宋体"/>
                <w:color w:val="auto"/>
                <w:kern w:val="0"/>
                <w:szCs w:val="21"/>
                <w:highlight w:val="none"/>
              </w:rPr>
            </w:pPr>
          </w:p>
          <w:p w14:paraId="479638F0">
            <w:pPr>
              <w:snapToGrid w:val="0"/>
              <w:spacing w:line="400" w:lineRule="exact"/>
              <w:jc w:val="center"/>
              <w:rPr>
                <w:rFonts w:ascii="宋体" w:hAnsi="宋体"/>
                <w:color w:val="auto"/>
                <w:kern w:val="0"/>
                <w:szCs w:val="21"/>
                <w:highlight w:val="none"/>
              </w:rPr>
            </w:pPr>
          </w:p>
          <w:p w14:paraId="7DE2459A">
            <w:pPr>
              <w:snapToGrid w:val="0"/>
              <w:spacing w:line="400" w:lineRule="exact"/>
              <w:jc w:val="center"/>
              <w:rPr>
                <w:rFonts w:ascii="宋体" w:hAnsi="宋体"/>
                <w:color w:val="auto"/>
                <w:kern w:val="0"/>
                <w:szCs w:val="21"/>
                <w:highlight w:val="none"/>
              </w:rPr>
            </w:pPr>
          </w:p>
          <w:p w14:paraId="51E1927C">
            <w:pPr>
              <w:snapToGrid w:val="0"/>
              <w:spacing w:line="400" w:lineRule="exact"/>
              <w:jc w:val="center"/>
              <w:rPr>
                <w:rFonts w:ascii="宋体" w:hAnsi="宋体"/>
                <w:color w:val="auto"/>
                <w:kern w:val="0"/>
                <w:szCs w:val="21"/>
                <w:highlight w:val="none"/>
              </w:rPr>
            </w:pPr>
          </w:p>
          <w:p w14:paraId="31EF2CCA">
            <w:pPr>
              <w:snapToGrid w:val="0"/>
              <w:spacing w:line="400" w:lineRule="exact"/>
              <w:jc w:val="center"/>
              <w:rPr>
                <w:rFonts w:ascii="宋体" w:hAnsi="宋体"/>
                <w:color w:val="auto"/>
                <w:kern w:val="0"/>
                <w:szCs w:val="21"/>
                <w:highlight w:val="none"/>
              </w:rPr>
            </w:pPr>
          </w:p>
          <w:p w14:paraId="553BD176">
            <w:pPr>
              <w:snapToGrid w:val="0"/>
              <w:spacing w:line="400" w:lineRule="exact"/>
              <w:jc w:val="center"/>
              <w:rPr>
                <w:rFonts w:ascii="宋体" w:hAnsi="宋体"/>
                <w:color w:val="auto"/>
                <w:kern w:val="0"/>
                <w:szCs w:val="21"/>
                <w:highlight w:val="none"/>
              </w:rPr>
            </w:pPr>
          </w:p>
          <w:p w14:paraId="597028BC">
            <w:pPr>
              <w:snapToGrid w:val="0"/>
              <w:spacing w:line="400" w:lineRule="exact"/>
              <w:jc w:val="center"/>
              <w:rPr>
                <w:rFonts w:ascii="宋体" w:hAnsi="宋体"/>
                <w:color w:val="auto"/>
                <w:kern w:val="0"/>
                <w:szCs w:val="21"/>
                <w:highlight w:val="none"/>
              </w:rPr>
            </w:pPr>
          </w:p>
          <w:p w14:paraId="194A4E36">
            <w:pPr>
              <w:snapToGrid w:val="0"/>
              <w:spacing w:line="400" w:lineRule="exact"/>
              <w:jc w:val="center"/>
              <w:rPr>
                <w:rFonts w:ascii="宋体" w:hAnsi="宋体"/>
                <w:color w:val="auto"/>
                <w:kern w:val="0"/>
                <w:szCs w:val="21"/>
                <w:highlight w:val="none"/>
              </w:rPr>
            </w:pPr>
          </w:p>
          <w:p w14:paraId="7FE5836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2FD6B1D9">
            <w:pPr>
              <w:snapToGrid w:val="0"/>
              <w:spacing w:line="400" w:lineRule="exact"/>
              <w:jc w:val="center"/>
              <w:rPr>
                <w:rFonts w:ascii="宋体" w:hAnsi="宋体"/>
                <w:color w:val="auto"/>
                <w:kern w:val="0"/>
                <w:szCs w:val="21"/>
                <w:highlight w:val="none"/>
              </w:rPr>
            </w:pPr>
          </w:p>
          <w:p w14:paraId="6037F5C7">
            <w:pPr>
              <w:snapToGrid w:val="0"/>
              <w:spacing w:line="400" w:lineRule="exact"/>
              <w:jc w:val="center"/>
              <w:rPr>
                <w:rFonts w:ascii="宋体" w:hAnsi="宋体"/>
                <w:color w:val="auto"/>
                <w:kern w:val="0"/>
                <w:szCs w:val="21"/>
                <w:highlight w:val="none"/>
              </w:rPr>
            </w:pPr>
          </w:p>
          <w:p w14:paraId="19C4D9FA">
            <w:pPr>
              <w:snapToGrid w:val="0"/>
              <w:spacing w:line="400" w:lineRule="exact"/>
              <w:jc w:val="center"/>
              <w:rPr>
                <w:rFonts w:ascii="宋体" w:hAnsi="宋体"/>
                <w:color w:val="auto"/>
                <w:kern w:val="0"/>
                <w:szCs w:val="21"/>
                <w:highlight w:val="none"/>
              </w:rPr>
            </w:pPr>
          </w:p>
          <w:p w14:paraId="718719DB">
            <w:pPr>
              <w:snapToGrid w:val="0"/>
              <w:spacing w:line="400" w:lineRule="exact"/>
              <w:jc w:val="center"/>
              <w:rPr>
                <w:rFonts w:ascii="宋体" w:hAnsi="宋体"/>
                <w:color w:val="auto"/>
                <w:kern w:val="0"/>
                <w:szCs w:val="21"/>
                <w:highlight w:val="none"/>
              </w:rPr>
            </w:pPr>
          </w:p>
          <w:p w14:paraId="0FD9F460">
            <w:pPr>
              <w:snapToGrid w:val="0"/>
              <w:spacing w:line="400" w:lineRule="exact"/>
              <w:jc w:val="center"/>
              <w:rPr>
                <w:rFonts w:ascii="宋体" w:hAnsi="宋体"/>
                <w:color w:val="auto"/>
                <w:kern w:val="0"/>
                <w:szCs w:val="21"/>
                <w:highlight w:val="none"/>
              </w:rPr>
            </w:pPr>
          </w:p>
          <w:p w14:paraId="6D62C8A0">
            <w:pPr>
              <w:snapToGrid w:val="0"/>
              <w:spacing w:line="400" w:lineRule="exact"/>
              <w:jc w:val="center"/>
              <w:rPr>
                <w:rFonts w:ascii="宋体" w:hAnsi="宋体"/>
                <w:color w:val="auto"/>
                <w:kern w:val="0"/>
                <w:szCs w:val="21"/>
                <w:highlight w:val="none"/>
              </w:rPr>
            </w:pPr>
          </w:p>
          <w:p w14:paraId="318944DC">
            <w:pPr>
              <w:snapToGrid w:val="0"/>
              <w:spacing w:line="400" w:lineRule="exact"/>
              <w:jc w:val="center"/>
              <w:rPr>
                <w:rFonts w:ascii="宋体" w:hAnsi="宋体"/>
                <w:color w:val="auto"/>
                <w:kern w:val="0"/>
                <w:szCs w:val="21"/>
                <w:highlight w:val="none"/>
              </w:rPr>
            </w:pPr>
          </w:p>
          <w:p w14:paraId="15288081">
            <w:pPr>
              <w:snapToGrid w:val="0"/>
              <w:spacing w:line="400" w:lineRule="exact"/>
              <w:jc w:val="center"/>
              <w:rPr>
                <w:rFonts w:ascii="宋体" w:hAnsi="宋体"/>
                <w:color w:val="auto"/>
                <w:kern w:val="0"/>
                <w:szCs w:val="21"/>
                <w:highlight w:val="none"/>
              </w:rPr>
            </w:pPr>
          </w:p>
          <w:p w14:paraId="14ED85FD">
            <w:pPr>
              <w:snapToGrid w:val="0"/>
              <w:spacing w:line="400" w:lineRule="exact"/>
              <w:jc w:val="center"/>
              <w:rPr>
                <w:rFonts w:ascii="宋体" w:hAnsi="宋体"/>
                <w:color w:val="auto"/>
                <w:kern w:val="0"/>
                <w:szCs w:val="21"/>
                <w:highlight w:val="none"/>
              </w:rPr>
            </w:pPr>
          </w:p>
          <w:p w14:paraId="319F7B76">
            <w:pPr>
              <w:snapToGrid w:val="0"/>
              <w:spacing w:line="400" w:lineRule="exact"/>
              <w:jc w:val="center"/>
              <w:rPr>
                <w:rFonts w:ascii="宋体" w:hAnsi="宋体"/>
                <w:color w:val="auto"/>
                <w:kern w:val="0"/>
                <w:szCs w:val="21"/>
                <w:highlight w:val="none"/>
              </w:rPr>
            </w:pPr>
          </w:p>
          <w:p w14:paraId="0446E505">
            <w:pPr>
              <w:snapToGrid w:val="0"/>
              <w:spacing w:line="400" w:lineRule="exact"/>
              <w:jc w:val="center"/>
              <w:rPr>
                <w:rFonts w:ascii="宋体" w:hAnsi="宋体"/>
                <w:color w:val="auto"/>
                <w:kern w:val="0"/>
                <w:szCs w:val="21"/>
                <w:highlight w:val="none"/>
              </w:rPr>
            </w:pPr>
          </w:p>
          <w:p w14:paraId="38AF3664">
            <w:pPr>
              <w:snapToGrid w:val="0"/>
              <w:spacing w:line="400" w:lineRule="exact"/>
              <w:jc w:val="center"/>
              <w:rPr>
                <w:rFonts w:ascii="宋体" w:hAnsi="宋体"/>
                <w:color w:val="auto"/>
                <w:kern w:val="0"/>
                <w:szCs w:val="21"/>
                <w:highlight w:val="none"/>
              </w:rPr>
            </w:pPr>
          </w:p>
          <w:p w14:paraId="6E802480">
            <w:pPr>
              <w:snapToGrid w:val="0"/>
              <w:spacing w:line="400" w:lineRule="exact"/>
              <w:jc w:val="center"/>
              <w:rPr>
                <w:rFonts w:ascii="宋体" w:hAnsi="宋体"/>
                <w:color w:val="auto"/>
                <w:kern w:val="0"/>
                <w:szCs w:val="21"/>
                <w:highlight w:val="none"/>
              </w:rPr>
            </w:pPr>
          </w:p>
          <w:p w14:paraId="7BC6A357">
            <w:pPr>
              <w:snapToGrid w:val="0"/>
              <w:spacing w:line="400" w:lineRule="exact"/>
              <w:jc w:val="center"/>
              <w:rPr>
                <w:rFonts w:ascii="宋体" w:hAnsi="宋体"/>
                <w:color w:val="auto"/>
                <w:kern w:val="0"/>
                <w:szCs w:val="21"/>
                <w:highlight w:val="none"/>
              </w:rPr>
            </w:pPr>
          </w:p>
          <w:p w14:paraId="47B24196">
            <w:pPr>
              <w:snapToGrid w:val="0"/>
              <w:spacing w:line="400" w:lineRule="exact"/>
              <w:jc w:val="center"/>
              <w:rPr>
                <w:rFonts w:ascii="宋体" w:hAnsi="宋体"/>
                <w:color w:val="auto"/>
                <w:kern w:val="0"/>
                <w:szCs w:val="21"/>
                <w:highlight w:val="none"/>
              </w:rPr>
            </w:pPr>
          </w:p>
          <w:p w14:paraId="3C46DEA1">
            <w:pPr>
              <w:snapToGrid w:val="0"/>
              <w:spacing w:line="400" w:lineRule="exact"/>
              <w:jc w:val="center"/>
              <w:rPr>
                <w:rFonts w:ascii="宋体" w:hAnsi="宋体"/>
                <w:color w:val="auto"/>
                <w:kern w:val="0"/>
                <w:szCs w:val="21"/>
                <w:highlight w:val="none"/>
              </w:rPr>
            </w:pPr>
          </w:p>
          <w:p w14:paraId="64C9AA7E">
            <w:pPr>
              <w:snapToGrid w:val="0"/>
              <w:spacing w:line="400" w:lineRule="exact"/>
              <w:jc w:val="center"/>
              <w:rPr>
                <w:rFonts w:ascii="宋体" w:hAnsi="宋体"/>
                <w:color w:val="auto"/>
                <w:kern w:val="0"/>
                <w:szCs w:val="21"/>
                <w:highlight w:val="none"/>
              </w:rPr>
            </w:pPr>
          </w:p>
          <w:p w14:paraId="51CC5CAB">
            <w:pPr>
              <w:snapToGrid w:val="0"/>
              <w:spacing w:line="400" w:lineRule="exact"/>
              <w:jc w:val="center"/>
              <w:rPr>
                <w:rFonts w:ascii="宋体" w:hAnsi="宋体"/>
                <w:color w:val="auto"/>
                <w:kern w:val="0"/>
                <w:szCs w:val="21"/>
                <w:highlight w:val="none"/>
              </w:rPr>
            </w:pPr>
          </w:p>
          <w:p w14:paraId="275320D4">
            <w:pPr>
              <w:snapToGrid w:val="0"/>
              <w:spacing w:line="400" w:lineRule="exact"/>
              <w:jc w:val="center"/>
              <w:rPr>
                <w:rFonts w:ascii="宋体" w:hAnsi="宋体"/>
                <w:color w:val="auto"/>
                <w:kern w:val="0"/>
                <w:szCs w:val="21"/>
                <w:highlight w:val="none"/>
              </w:rPr>
            </w:pPr>
          </w:p>
          <w:p w14:paraId="4E5EF296">
            <w:pPr>
              <w:snapToGrid w:val="0"/>
              <w:spacing w:line="400" w:lineRule="exact"/>
              <w:jc w:val="center"/>
              <w:rPr>
                <w:rFonts w:ascii="宋体" w:hAnsi="宋体"/>
                <w:color w:val="auto"/>
                <w:kern w:val="0"/>
                <w:szCs w:val="21"/>
                <w:highlight w:val="none"/>
              </w:rPr>
            </w:pPr>
          </w:p>
          <w:p w14:paraId="2535F011">
            <w:pPr>
              <w:snapToGrid w:val="0"/>
              <w:spacing w:line="400" w:lineRule="exact"/>
              <w:jc w:val="center"/>
              <w:rPr>
                <w:rFonts w:ascii="宋体" w:hAnsi="宋体"/>
                <w:color w:val="auto"/>
                <w:kern w:val="0"/>
                <w:szCs w:val="21"/>
                <w:highlight w:val="none"/>
              </w:rPr>
            </w:pPr>
          </w:p>
          <w:p w14:paraId="68E707CA">
            <w:pPr>
              <w:snapToGrid w:val="0"/>
              <w:spacing w:line="400" w:lineRule="exact"/>
              <w:jc w:val="center"/>
              <w:rPr>
                <w:rFonts w:ascii="宋体" w:hAnsi="宋体"/>
                <w:color w:val="auto"/>
                <w:kern w:val="0"/>
                <w:szCs w:val="21"/>
                <w:highlight w:val="none"/>
              </w:rPr>
            </w:pPr>
          </w:p>
          <w:p w14:paraId="28C6E4E0">
            <w:pPr>
              <w:snapToGrid w:val="0"/>
              <w:spacing w:line="400" w:lineRule="exact"/>
              <w:jc w:val="center"/>
              <w:rPr>
                <w:rFonts w:ascii="宋体" w:hAnsi="宋体"/>
                <w:color w:val="auto"/>
                <w:kern w:val="0"/>
                <w:szCs w:val="21"/>
                <w:highlight w:val="none"/>
              </w:rPr>
            </w:pPr>
          </w:p>
          <w:p w14:paraId="413CE0F6">
            <w:pPr>
              <w:snapToGrid w:val="0"/>
              <w:spacing w:line="400" w:lineRule="exact"/>
              <w:jc w:val="center"/>
              <w:rPr>
                <w:rFonts w:ascii="宋体" w:hAnsi="宋体"/>
                <w:color w:val="auto"/>
                <w:kern w:val="0"/>
                <w:szCs w:val="21"/>
                <w:highlight w:val="none"/>
              </w:rPr>
            </w:pPr>
          </w:p>
          <w:p w14:paraId="05625373">
            <w:pPr>
              <w:snapToGrid w:val="0"/>
              <w:spacing w:line="400" w:lineRule="exact"/>
              <w:jc w:val="center"/>
              <w:rPr>
                <w:rFonts w:ascii="宋体" w:hAnsi="宋体"/>
                <w:color w:val="auto"/>
                <w:kern w:val="0"/>
                <w:szCs w:val="21"/>
                <w:highlight w:val="none"/>
              </w:rPr>
            </w:pPr>
          </w:p>
          <w:p w14:paraId="21A1C35A">
            <w:pPr>
              <w:snapToGrid w:val="0"/>
              <w:spacing w:line="400" w:lineRule="exact"/>
              <w:jc w:val="center"/>
              <w:rPr>
                <w:rFonts w:ascii="宋体" w:hAnsi="宋体"/>
                <w:color w:val="auto"/>
                <w:kern w:val="0"/>
                <w:szCs w:val="21"/>
                <w:highlight w:val="none"/>
              </w:rPr>
            </w:pPr>
          </w:p>
          <w:p w14:paraId="38086CC9">
            <w:pPr>
              <w:snapToGrid w:val="0"/>
              <w:spacing w:line="400" w:lineRule="exact"/>
              <w:jc w:val="center"/>
              <w:rPr>
                <w:rFonts w:ascii="宋体" w:hAnsi="宋体"/>
                <w:color w:val="auto"/>
                <w:kern w:val="0"/>
                <w:szCs w:val="21"/>
                <w:highlight w:val="none"/>
              </w:rPr>
            </w:pPr>
          </w:p>
          <w:p w14:paraId="2D5EC37C">
            <w:pPr>
              <w:snapToGrid w:val="0"/>
              <w:spacing w:line="400" w:lineRule="exact"/>
              <w:jc w:val="center"/>
              <w:rPr>
                <w:rFonts w:ascii="宋体" w:hAnsi="宋体"/>
                <w:color w:val="auto"/>
                <w:kern w:val="0"/>
                <w:szCs w:val="21"/>
                <w:highlight w:val="none"/>
              </w:rPr>
            </w:pPr>
          </w:p>
          <w:p w14:paraId="3AACDF40">
            <w:pPr>
              <w:snapToGrid w:val="0"/>
              <w:spacing w:line="400" w:lineRule="exact"/>
              <w:jc w:val="center"/>
              <w:rPr>
                <w:rFonts w:ascii="宋体" w:hAnsi="宋体"/>
                <w:color w:val="auto"/>
                <w:kern w:val="0"/>
                <w:szCs w:val="21"/>
                <w:highlight w:val="none"/>
              </w:rPr>
            </w:pPr>
          </w:p>
          <w:p w14:paraId="3A000C1F">
            <w:pPr>
              <w:snapToGrid w:val="0"/>
              <w:spacing w:line="400" w:lineRule="exact"/>
              <w:jc w:val="center"/>
              <w:rPr>
                <w:rFonts w:ascii="宋体" w:hAnsi="宋体"/>
                <w:color w:val="auto"/>
                <w:kern w:val="0"/>
                <w:szCs w:val="21"/>
                <w:highlight w:val="none"/>
              </w:rPr>
            </w:pPr>
          </w:p>
          <w:p w14:paraId="6E76CBEA">
            <w:pPr>
              <w:snapToGrid w:val="0"/>
              <w:spacing w:line="400" w:lineRule="exact"/>
              <w:jc w:val="center"/>
              <w:rPr>
                <w:rFonts w:ascii="宋体" w:hAnsi="宋体"/>
                <w:color w:val="auto"/>
                <w:kern w:val="0"/>
                <w:szCs w:val="21"/>
                <w:highlight w:val="none"/>
              </w:rPr>
            </w:pPr>
          </w:p>
          <w:p w14:paraId="61342426">
            <w:pPr>
              <w:snapToGrid w:val="0"/>
              <w:spacing w:line="400" w:lineRule="exact"/>
              <w:jc w:val="center"/>
              <w:rPr>
                <w:rFonts w:ascii="宋体" w:hAnsi="宋体"/>
                <w:color w:val="auto"/>
                <w:kern w:val="0"/>
                <w:szCs w:val="21"/>
                <w:highlight w:val="none"/>
              </w:rPr>
            </w:pPr>
          </w:p>
          <w:p w14:paraId="68EFB3B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46AC3E36">
            <w:pPr>
              <w:snapToGrid w:val="0"/>
              <w:spacing w:line="400" w:lineRule="exact"/>
              <w:jc w:val="center"/>
              <w:rPr>
                <w:rFonts w:ascii="宋体" w:hAnsi="宋体"/>
                <w:color w:val="auto"/>
                <w:kern w:val="0"/>
                <w:szCs w:val="21"/>
                <w:highlight w:val="none"/>
              </w:rPr>
            </w:pPr>
          </w:p>
          <w:p w14:paraId="16B140A8">
            <w:pPr>
              <w:snapToGrid w:val="0"/>
              <w:spacing w:line="400" w:lineRule="exact"/>
              <w:jc w:val="center"/>
              <w:rPr>
                <w:rFonts w:ascii="宋体" w:hAnsi="宋体"/>
                <w:color w:val="auto"/>
                <w:kern w:val="0"/>
                <w:szCs w:val="21"/>
                <w:highlight w:val="none"/>
              </w:rPr>
            </w:pPr>
          </w:p>
          <w:p w14:paraId="17F2332F">
            <w:pPr>
              <w:snapToGrid w:val="0"/>
              <w:spacing w:line="400" w:lineRule="exact"/>
              <w:jc w:val="center"/>
              <w:rPr>
                <w:rFonts w:ascii="宋体" w:hAnsi="宋体"/>
                <w:color w:val="auto"/>
                <w:kern w:val="0"/>
                <w:szCs w:val="21"/>
                <w:highlight w:val="none"/>
              </w:rPr>
            </w:pPr>
          </w:p>
          <w:p w14:paraId="5704C9F8">
            <w:pPr>
              <w:snapToGrid w:val="0"/>
              <w:spacing w:line="400" w:lineRule="exact"/>
              <w:jc w:val="center"/>
              <w:rPr>
                <w:rFonts w:ascii="宋体" w:hAnsi="宋体"/>
                <w:color w:val="auto"/>
                <w:kern w:val="0"/>
                <w:szCs w:val="21"/>
                <w:highlight w:val="none"/>
              </w:rPr>
            </w:pPr>
          </w:p>
          <w:p w14:paraId="61E201FA">
            <w:pPr>
              <w:snapToGrid w:val="0"/>
              <w:spacing w:line="400" w:lineRule="exact"/>
              <w:jc w:val="center"/>
              <w:rPr>
                <w:rFonts w:ascii="宋体" w:hAnsi="宋体"/>
                <w:color w:val="auto"/>
                <w:kern w:val="0"/>
                <w:szCs w:val="21"/>
                <w:highlight w:val="none"/>
              </w:rPr>
            </w:pPr>
          </w:p>
          <w:p w14:paraId="3451737E">
            <w:pPr>
              <w:snapToGrid w:val="0"/>
              <w:spacing w:line="400" w:lineRule="exact"/>
              <w:jc w:val="center"/>
              <w:rPr>
                <w:rFonts w:ascii="宋体" w:hAnsi="宋体"/>
                <w:color w:val="auto"/>
                <w:kern w:val="0"/>
                <w:szCs w:val="21"/>
                <w:highlight w:val="none"/>
              </w:rPr>
            </w:pPr>
          </w:p>
          <w:p w14:paraId="1995B191">
            <w:pPr>
              <w:snapToGrid w:val="0"/>
              <w:spacing w:line="400" w:lineRule="exact"/>
              <w:jc w:val="center"/>
              <w:rPr>
                <w:rFonts w:ascii="宋体" w:hAnsi="宋体"/>
                <w:color w:val="auto"/>
                <w:kern w:val="0"/>
                <w:szCs w:val="21"/>
                <w:highlight w:val="none"/>
              </w:rPr>
            </w:pPr>
          </w:p>
          <w:p w14:paraId="5E1F3F9E">
            <w:pPr>
              <w:snapToGrid w:val="0"/>
              <w:spacing w:line="400" w:lineRule="exact"/>
              <w:jc w:val="center"/>
              <w:rPr>
                <w:rFonts w:ascii="宋体" w:hAnsi="宋体"/>
                <w:color w:val="auto"/>
                <w:kern w:val="0"/>
                <w:szCs w:val="21"/>
                <w:highlight w:val="none"/>
              </w:rPr>
            </w:pPr>
          </w:p>
          <w:p w14:paraId="27C48F50">
            <w:pPr>
              <w:snapToGrid w:val="0"/>
              <w:spacing w:line="400" w:lineRule="exact"/>
              <w:jc w:val="center"/>
              <w:rPr>
                <w:rFonts w:ascii="宋体" w:hAnsi="宋体"/>
                <w:color w:val="auto"/>
                <w:kern w:val="0"/>
                <w:szCs w:val="21"/>
                <w:highlight w:val="none"/>
              </w:rPr>
            </w:pPr>
          </w:p>
          <w:p w14:paraId="33D4C58E">
            <w:pPr>
              <w:snapToGrid w:val="0"/>
              <w:spacing w:line="400" w:lineRule="exact"/>
              <w:jc w:val="center"/>
              <w:rPr>
                <w:rFonts w:ascii="宋体" w:hAnsi="宋体"/>
                <w:color w:val="auto"/>
                <w:kern w:val="0"/>
                <w:szCs w:val="21"/>
                <w:highlight w:val="none"/>
              </w:rPr>
            </w:pPr>
          </w:p>
          <w:p w14:paraId="4AF6428C">
            <w:pPr>
              <w:snapToGrid w:val="0"/>
              <w:spacing w:line="400" w:lineRule="exact"/>
              <w:jc w:val="center"/>
              <w:rPr>
                <w:rFonts w:ascii="宋体" w:hAnsi="宋体"/>
                <w:color w:val="auto"/>
                <w:kern w:val="0"/>
                <w:szCs w:val="21"/>
                <w:highlight w:val="none"/>
              </w:rPr>
            </w:pPr>
          </w:p>
          <w:p w14:paraId="3EBEF6C2">
            <w:pPr>
              <w:snapToGrid w:val="0"/>
              <w:spacing w:line="400" w:lineRule="exact"/>
              <w:jc w:val="center"/>
              <w:rPr>
                <w:rFonts w:ascii="宋体" w:hAnsi="宋体"/>
                <w:color w:val="auto"/>
                <w:kern w:val="0"/>
                <w:szCs w:val="21"/>
                <w:highlight w:val="none"/>
              </w:rPr>
            </w:pPr>
          </w:p>
          <w:p w14:paraId="1F913841">
            <w:pPr>
              <w:snapToGrid w:val="0"/>
              <w:spacing w:line="400" w:lineRule="exact"/>
              <w:jc w:val="center"/>
              <w:rPr>
                <w:rFonts w:ascii="宋体" w:hAnsi="宋体"/>
                <w:color w:val="auto"/>
                <w:kern w:val="0"/>
                <w:szCs w:val="21"/>
                <w:highlight w:val="none"/>
              </w:rPr>
            </w:pPr>
          </w:p>
          <w:p w14:paraId="7A8FE59F">
            <w:pPr>
              <w:snapToGrid w:val="0"/>
              <w:spacing w:line="400" w:lineRule="exact"/>
              <w:jc w:val="center"/>
              <w:rPr>
                <w:rFonts w:ascii="宋体" w:hAnsi="宋体"/>
                <w:color w:val="auto"/>
                <w:kern w:val="0"/>
                <w:szCs w:val="21"/>
                <w:highlight w:val="none"/>
              </w:rPr>
            </w:pPr>
          </w:p>
          <w:p w14:paraId="72F0E9E6">
            <w:pPr>
              <w:snapToGrid w:val="0"/>
              <w:spacing w:line="400" w:lineRule="exact"/>
              <w:jc w:val="center"/>
              <w:rPr>
                <w:rFonts w:ascii="宋体" w:hAnsi="宋体"/>
                <w:color w:val="auto"/>
                <w:kern w:val="0"/>
                <w:szCs w:val="21"/>
                <w:highlight w:val="none"/>
              </w:rPr>
            </w:pPr>
          </w:p>
          <w:p w14:paraId="23DDF156">
            <w:pPr>
              <w:snapToGrid w:val="0"/>
              <w:spacing w:line="400" w:lineRule="exact"/>
              <w:jc w:val="center"/>
              <w:rPr>
                <w:rFonts w:ascii="宋体" w:hAnsi="宋体"/>
                <w:color w:val="auto"/>
                <w:kern w:val="0"/>
                <w:szCs w:val="21"/>
                <w:highlight w:val="none"/>
              </w:rPr>
            </w:pPr>
          </w:p>
          <w:p w14:paraId="5C6138B2">
            <w:pPr>
              <w:snapToGrid w:val="0"/>
              <w:spacing w:line="400" w:lineRule="exact"/>
              <w:jc w:val="center"/>
              <w:rPr>
                <w:rFonts w:ascii="宋体" w:hAnsi="宋体"/>
                <w:color w:val="auto"/>
                <w:kern w:val="0"/>
                <w:szCs w:val="21"/>
                <w:highlight w:val="none"/>
              </w:rPr>
            </w:pPr>
          </w:p>
          <w:p w14:paraId="11F6C1C8">
            <w:pPr>
              <w:snapToGrid w:val="0"/>
              <w:spacing w:line="400" w:lineRule="exact"/>
              <w:jc w:val="center"/>
              <w:rPr>
                <w:rFonts w:ascii="宋体" w:hAnsi="宋体"/>
                <w:color w:val="auto"/>
                <w:kern w:val="0"/>
                <w:szCs w:val="21"/>
                <w:highlight w:val="none"/>
              </w:rPr>
            </w:pPr>
          </w:p>
          <w:p w14:paraId="31D1345F">
            <w:pPr>
              <w:snapToGrid w:val="0"/>
              <w:spacing w:line="400" w:lineRule="exact"/>
              <w:jc w:val="center"/>
              <w:rPr>
                <w:rFonts w:ascii="宋体" w:hAnsi="宋体"/>
                <w:color w:val="auto"/>
                <w:kern w:val="0"/>
                <w:szCs w:val="21"/>
                <w:highlight w:val="none"/>
              </w:rPr>
            </w:pPr>
          </w:p>
          <w:p w14:paraId="69DCF901">
            <w:pPr>
              <w:snapToGrid w:val="0"/>
              <w:spacing w:line="400" w:lineRule="exact"/>
              <w:jc w:val="center"/>
              <w:rPr>
                <w:rFonts w:ascii="宋体" w:hAnsi="宋体"/>
                <w:color w:val="auto"/>
                <w:kern w:val="0"/>
                <w:szCs w:val="21"/>
                <w:highlight w:val="none"/>
              </w:rPr>
            </w:pPr>
          </w:p>
          <w:p w14:paraId="7D4E7EAB">
            <w:pPr>
              <w:snapToGrid w:val="0"/>
              <w:spacing w:line="400" w:lineRule="exact"/>
              <w:jc w:val="center"/>
              <w:rPr>
                <w:rFonts w:ascii="宋体" w:hAnsi="宋体"/>
                <w:color w:val="auto"/>
                <w:kern w:val="0"/>
                <w:szCs w:val="21"/>
                <w:highlight w:val="none"/>
              </w:rPr>
            </w:pPr>
          </w:p>
          <w:p w14:paraId="33ADDB6F">
            <w:pPr>
              <w:snapToGrid w:val="0"/>
              <w:spacing w:line="400" w:lineRule="exact"/>
              <w:jc w:val="center"/>
              <w:rPr>
                <w:rFonts w:ascii="宋体" w:hAnsi="宋体"/>
                <w:color w:val="auto"/>
                <w:kern w:val="0"/>
                <w:szCs w:val="21"/>
                <w:highlight w:val="none"/>
              </w:rPr>
            </w:pPr>
          </w:p>
          <w:p w14:paraId="52DAF393">
            <w:pPr>
              <w:snapToGrid w:val="0"/>
              <w:spacing w:line="400" w:lineRule="exact"/>
              <w:jc w:val="center"/>
              <w:rPr>
                <w:rFonts w:ascii="宋体" w:hAnsi="宋体"/>
                <w:color w:val="auto"/>
                <w:kern w:val="0"/>
                <w:szCs w:val="21"/>
                <w:highlight w:val="none"/>
              </w:rPr>
            </w:pPr>
          </w:p>
          <w:p w14:paraId="29042F73">
            <w:pPr>
              <w:snapToGrid w:val="0"/>
              <w:spacing w:line="400" w:lineRule="exact"/>
              <w:jc w:val="center"/>
              <w:rPr>
                <w:rFonts w:ascii="宋体" w:hAnsi="宋体"/>
                <w:color w:val="auto"/>
                <w:kern w:val="0"/>
                <w:szCs w:val="21"/>
                <w:highlight w:val="none"/>
              </w:rPr>
            </w:pPr>
          </w:p>
          <w:p w14:paraId="2D948810">
            <w:pPr>
              <w:snapToGrid w:val="0"/>
              <w:spacing w:line="400" w:lineRule="exact"/>
              <w:jc w:val="center"/>
              <w:rPr>
                <w:rFonts w:ascii="宋体" w:hAnsi="宋体"/>
                <w:color w:val="auto"/>
                <w:kern w:val="0"/>
                <w:szCs w:val="21"/>
                <w:highlight w:val="none"/>
              </w:rPr>
            </w:pPr>
          </w:p>
          <w:p w14:paraId="29CDDEC7">
            <w:pPr>
              <w:snapToGrid w:val="0"/>
              <w:spacing w:line="400" w:lineRule="exact"/>
              <w:jc w:val="center"/>
              <w:rPr>
                <w:rFonts w:ascii="宋体" w:hAnsi="宋体"/>
                <w:color w:val="auto"/>
                <w:kern w:val="0"/>
                <w:szCs w:val="21"/>
                <w:highlight w:val="none"/>
              </w:rPr>
            </w:pPr>
          </w:p>
          <w:p w14:paraId="0C6D474D">
            <w:pPr>
              <w:snapToGrid w:val="0"/>
              <w:spacing w:line="400" w:lineRule="exact"/>
              <w:jc w:val="center"/>
              <w:rPr>
                <w:rFonts w:ascii="宋体" w:hAnsi="宋体"/>
                <w:color w:val="auto"/>
                <w:kern w:val="0"/>
                <w:szCs w:val="21"/>
                <w:highlight w:val="none"/>
              </w:rPr>
            </w:pPr>
          </w:p>
          <w:p w14:paraId="1429C970">
            <w:pPr>
              <w:snapToGrid w:val="0"/>
              <w:spacing w:line="400" w:lineRule="exact"/>
              <w:jc w:val="center"/>
              <w:rPr>
                <w:rFonts w:ascii="宋体" w:hAnsi="宋体"/>
                <w:color w:val="auto"/>
                <w:kern w:val="0"/>
                <w:szCs w:val="21"/>
                <w:highlight w:val="none"/>
              </w:rPr>
            </w:pPr>
          </w:p>
          <w:p w14:paraId="0C2F5C8C">
            <w:pPr>
              <w:snapToGrid w:val="0"/>
              <w:spacing w:line="400" w:lineRule="exact"/>
              <w:jc w:val="center"/>
              <w:rPr>
                <w:rFonts w:ascii="宋体" w:hAnsi="宋体"/>
                <w:color w:val="auto"/>
                <w:kern w:val="0"/>
                <w:szCs w:val="21"/>
                <w:highlight w:val="none"/>
              </w:rPr>
            </w:pPr>
          </w:p>
          <w:p w14:paraId="2C62E927">
            <w:pPr>
              <w:snapToGrid w:val="0"/>
              <w:spacing w:line="400" w:lineRule="exact"/>
              <w:jc w:val="center"/>
              <w:rPr>
                <w:rFonts w:ascii="宋体" w:hAnsi="宋体"/>
                <w:color w:val="auto"/>
                <w:kern w:val="0"/>
                <w:szCs w:val="21"/>
                <w:highlight w:val="none"/>
              </w:rPr>
            </w:pPr>
          </w:p>
          <w:p w14:paraId="236736DC">
            <w:pPr>
              <w:snapToGrid w:val="0"/>
              <w:spacing w:line="400" w:lineRule="exact"/>
              <w:jc w:val="center"/>
              <w:rPr>
                <w:rFonts w:ascii="宋体" w:hAnsi="宋体"/>
                <w:color w:val="auto"/>
                <w:kern w:val="0"/>
                <w:szCs w:val="21"/>
                <w:highlight w:val="none"/>
              </w:rPr>
            </w:pPr>
          </w:p>
          <w:p w14:paraId="3D838EB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1.4.1</w:t>
            </w:r>
          </w:p>
          <w:p w14:paraId="109022D9">
            <w:pPr>
              <w:snapToGrid w:val="0"/>
              <w:spacing w:line="400" w:lineRule="exact"/>
              <w:jc w:val="center"/>
              <w:rPr>
                <w:rFonts w:ascii="宋体" w:hAnsi="宋体"/>
                <w:color w:val="auto"/>
                <w:kern w:val="0"/>
                <w:szCs w:val="21"/>
                <w:highlight w:val="none"/>
              </w:rPr>
            </w:pPr>
          </w:p>
          <w:p w14:paraId="70E387A6">
            <w:pPr>
              <w:snapToGrid w:val="0"/>
              <w:spacing w:line="400" w:lineRule="exact"/>
              <w:jc w:val="center"/>
              <w:rPr>
                <w:rFonts w:ascii="宋体" w:hAnsi="宋体"/>
                <w:color w:val="auto"/>
                <w:kern w:val="0"/>
                <w:szCs w:val="21"/>
                <w:highlight w:val="none"/>
              </w:rPr>
            </w:pPr>
          </w:p>
          <w:p w14:paraId="5F1B10A4">
            <w:pPr>
              <w:snapToGrid w:val="0"/>
              <w:spacing w:line="400" w:lineRule="exact"/>
              <w:jc w:val="center"/>
              <w:rPr>
                <w:rFonts w:ascii="宋体" w:hAnsi="宋体"/>
                <w:color w:val="auto"/>
                <w:kern w:val="0"/>
                <w:szCs w:val="21"/>
                <w:highlight w:val="none"/>
              </w:rPr>
            </w:pPr>
          </w:p>
          <w:p w14:paraId="5F15AD8D">
            <w:pPr>
              <w:snapToGrid w:val="0"/>
              <w:spacing w:line="400" w:lineRule="exact"/>
              <w:jc w:val="center"/>
              <w:rPr>
                <w:rFonts w:ascii="宋体" w:hAnsi="宋体"/>
                <w:color w:val="auto"/>
                <w:kern w:val="0"/>
                <w:szCs w:val="21"/>
                <w:highlight w:val="none"/>
              </w:rPr>
            </w:pPr>
          </w:p>
          <w:p w14:paraId="03006AC3">
            <w:pPr>
              <w:snapToGrid w:val="0"/>
              <w:spacing w:line="400" w:lineRule="exact"/>
              <w:jc w:val="center"/>
              <w:rPr>
                <w:rFonts w:ascii="宋体" w:hAnsi="宋体"/>
                <w:color w:val="auto"/>
                <w:kern w:val="0"/>
                <w:szCs w:val="21"/>
                <w:highlight w:val="none"/>
              </w:rPr>
            </w:pPr>
          </w:p>
          <w:p w14:paraId="583A9E1D">
            <w:pPr>
              <w:snapToGrid w:val="0"/>
              <w:spacing w:line="400" w:lineRule="exact"/>
              <w:jc w:val="center"/>
              <w:rPr>
                <w:rFonts w:ascii="宋体" w:hAnsi="宋体"/>
                <w:color w:val="auto"/>
                <w:kern w:val="0"/>
                <w:szCs w:val="21"/>
                <w:highlight w:val="none"/>
              </w:rPr>
            </w:pPr>
          </w:p>
          <w:p w14:paraId="63E0B40F">
            <w:pPr>
              <w:snapToGrid w:val="0"/>
              <w:spacing w:line="400" w:lineRule="exact"/>
              <w:jc w:val="center"/>
              <w:rPr>
                <w:rFonts w:ascii="宋体" w:hAnsi="宋体"/>
                <w:color w:val="auto"/>
                <w:kern w:val="0"/>
                <w:szCs w:val="21"/>
                <w:highlight w:val="none"/>
              </w:rPr>
            </w:pPr>
          </w:p>
          <w:p w14:paraId="2E6F2B96">
            <w:pPr>
              <w:snapToGrid w:val="0"/>
              <w:spacing w:line="400" w:lineRule="exact"/>
              <w:jc w:val="center"/>
              <w:rPr>
                <w:rFonts w:ascii="宋体" w:hAnsi="宋体"/>
                <w:color w:val="auto"/>
                <w:kern w:val="0"/>
                <w:szCs w:val="21"/>
                <w:highlight w:val="none"/>
              </w:rPr>
            </w:pPr>
          </w:p>
          <w:p w14:paraId="6501994C">
            <w:pPr>
              <w:snapToGrid w:val="0"/>
              <w:spacing w:line="400" w:lineRule="exact"/>
              <w:jc w:val="center"/>
              <w:rPr>
                <w:rFonts w:ascii="宋体" w:hAnsi="宋体"/>
                <w:color w:val="auto"/>
                <w:kern w:val="0"/>
                <w:szCs w:val="21"/>
                <w:highlight w:val="none"/>
              </w:rPr>
            </w:pPr>
          </w:p>
          <w:p w14:paraId="7560D74F">
            <w:pPr>
              <w:snapToGrid w:val="0"/>
              <w:spacing w:line="400" w:lineRule="exact"/>
              <w:jc w:val="center"/>
              <w:rPr>
                <w:rFonts w:ascii="宋体" w:hAnsi="宋体"/>
                <w:color w:val="auto"/>
                <w:kern w:val="0"/>
                <w:szCs w:val="21"/>
                <w:highlight w:val="none"/>
              </w:rPr>
            </w:pPr>
          </w:p>
          <w:p w14:paraId="247F4294">
            <w:pPr>
              <w:snapToGrid w:val="0"/>
              <w:spacing w:line="400" w:lineRule="exact"/>
              <w:jc w:val="center"/>
              <w:rPr>
                <w:rFonts w:ascii="宋体" w:hAnsi="宋体"/>
                <w:color w:val="auto"/>
                <w:kern w:val="0"/>
                <w:szCs w:val="21"/>
                <w:highlight w:val="none"/>
              </w:rPr>
            </w:pPr>
          </w:p>
          <w:p w14:paraId="22839799">
            <w:pPr>
              <w:snapToGrid w:val="0"/>
              <w:spacing w:line="400" w:lineRule="exact"/>
              <w:jc w:val="center"/>
              <w:rPr>
                <w:rFonts w:ascii="宋体" w:hAnsi="宋体"/>
                <w:color w:val="auto"/>
                <w:kern w:val="0"/>
                <w:szCs w:val="21"/>
                <w:highlight w:val="none"/>
              </w:rPr>
            </w:pPr>
          </w:p>
          <w:p w14:paraId="04683F34">
            <w:pPr>
              <w:snapToGrid w:val="0"/>
              <w:spacing w:line="400" w:lineRule="exact"/>
              <w:jc w:val="center"/>
              <w:rPr>
                <w:rFonts w:ascii="宋体" w:hAnsi="宋体"/>
                <w:color w:val="auto"/>
                <w:kern w:val="0"/>
                <w:szCs w:val="21"/>
                <w:highlight w:val="none"/>
              </w:rPr>
            </w:pPr>
          </w:p>
          <w:p w14:paraId="01E11B4C">
            <w:pPr>
              <w:snapToGrid w:val="0"/>
              <w:spacing w:line="400" w:lineRule="exact"/>
              <w:jc w:val="center"/>
              <w:rPr>
                <w:rFonts w:ascii="宋体" w:hAnsi="宋体"/>
                <w:color w:val="auto"/>
                <w:kern w:val="0"/>
                <w:szCs w:val="21"/>
                <w:highlight w:val="none"/>
              </w:rPr>
            </w:pPr>
          </w:p>
          <w:p w14:paraId="51E35918">
            <w:pPr>
              <w:snapToGrid w:val="0"/>
              <w:spacing w:line="400" w:lineRule="exact"/>
              <w:jc w:val="center"/>
              <w:rPr>
                <w:rFonts w:ascii="宋体" w:hAnsi="宋体"/>
                <w:color w:val="auto"/>
                <w:kern w:val="0"/>
                <w:szCs w:val="21"/>
                <w:highlight w:val="none"/>
              </w:rPr>
            </w:pPr>
          </w:p>
          <w:p w14:paraId="0B2E8DA0">
            <w:pPr>
              <w:snapToGrid w:val="0"/>
              <w:spacing w:line="400" w:lineRule="exact"/>
              <w:jc w:val="center"/>
              <w:rPr>
                <w:rFonts w:ascii="宋体" w:hAnsi="宋体"/>
                <w:color w:val="auto"/>
                <w:kern w:val="0"/>
                <w:szCs w:val="21"/>
                <w:highlight w:val="none"/>
              </w:rPr>
            </w:pPr>
          </w:p>
          <w:p w14:paraId="74B87A9B">
            <w:pPr>
              <w:snapToGrid w:val="0"/>
              <w:spacing w:line="400" w:lineRule="exact"/>
              <w:jc w:val="center"/>
              <w:rPr>
                <w:rFonts w:ascii="宋体" w:hAnsi="宋体"/>
                <w:color w:val="auto"/>
                <w:kern w:val="0"/>
                <w:szCs w:val="21"/>
                <w:highlight w:val="none"/>
              </w:rPr>
            </w:pPr>
          </w:p>
          <w:p w14:paraId="71209251">
            <w:pPr>
              <w:snapToGrid w:val="0"/>
              <w:spacing w:line="400" w:lineRule="exact"/>
              <w:jc w:val="center"/>
              <w:rPr>
                <w:rFonts w:ascii="宋体" w:hAnsi="宋体"/>
                <w:color w:val="auto"/>
                <w:kern w:val="0"/>
                <w:szCs w:val="21"/>
                <w:highlight w:val="none"/>
              </w:rPr>
            </w:pPr>
          </w:p>
          <w:p w14:paraId="6D32683C">
            <w:pPr>
              <w:snapToGrid w:val="0"/>
              <w:spacing w:line="400" w:lineRule="exact"/>
              <w:jc w:val="center"/>
              <w:rPr>
                <w:rFonts w:ascii="宋体" w:hAnsi="宋体"/>
                <w:color w:val="auto"/>
                <w:kern w:val="0"/>
                <w:szCs w:val="21"/>
                <w:highlight w:val="none"/>
              </w:rPr>
            </w:pPr>
          </w:p>
          <w:p w14:paraId="32D94BAB">
            <w:pPr>
              <w:snapToGrid w:val="0"/>
              <w:spacing w:line="400" w:lineRule="exact"/>
              <w:jc w:val="center"/>
              <w:rPr>
                <w:rFonts w:ascii="宋体" w:hAnsi="宋体"/>
                <w:color w:val="auto"/>
                <w:kern w:val="0"/>
                <w:szCs w:val="21"/>
                <w:highlight w:val="none"/>
              </w:rPr>
            </w:pPr>
          </w:p>
          <w:p w14:paraId="247D72CC">
            <w:pPr>
              <w:snapToGrid w:val="0"/>
              <w:spacing w:line="400" w:lineRule="exact"/>
              <w:jc w:val="center"/>
              <w:rPr>
                <w:rFonts w:ascii="宋体" w:hAnsi="宋体"/>
                <w:color w:val="auto"/>
                <w:kern w:val="0"/>
                <w:szCs w:val="21"/>
                <w:highlight w:val="none"/>
              </w:rPr>
            </w:pPr>
          </w:p>
        </w:tc>
        <w:tc>
          <w:tcPr>
            <w:tcW w:w="1644" w:type="dxa"/>
            <w:vAlign w:val="center"/>
          </w:tcPr>
          <w:p w14:paraId="0E327810">
            <w:pPr>
              <w:snapToGrid w:val="0"/>
              <w:spacing w:line="400" w:lineRule="exact"/>
              <w:jc w:val="center"/>
              <w:rPr>
                <w:rFonts w:ascii="宋体" w:hAnsi="宋体"/>
                <w:color w:val="auto"/>
                <w:kern w:val="0"/>
                <w:szCs w:val="21"/>
                <w:highlight w:val="none"/>
              </w:rPr>
            </w:pPr>
          </w:p>
          <w:p w14:paraId="79DF59CC">
            <w:pPr>
              <w:snapToGrid w:val="0"/>
              <w:spacing w:line="400" w:lineRule="exact"/>
              <w:jc w:val="center"/>
              <w:rPr>
                <w:rFonts w:ascii="宋体" w:hAnsi="宋体"/>
                <w:color w:val="auto"/>
                <w:kern w:val="0"/>
                <w:szCs w:val="21"/>
                <w:highlight w:val="none"/>
              </w:rPr>
            </w:pPr>
          </w:p>
          <w:p w14:paraId="250A6A82">
            <w:pPr>
              <w:snapToGrid w:val="0"/>
              <w:spacing w:line="400" w:lineRule="exact"/>
              <w:jc w:val="center"/>
              <w:rPr>
                <w:rFonts w:ascii="宋体" w:hAnsi="宋体"/>
                <w:color w:val="auto"/>
                <w:kern w:val="0"/>
                <w:szCs w:val="21"/>
                <w:highlight w:val="none"/>
              </w:rPr>
            </w:pPr>
          </w:p>
          <w:p w14:paraId="761C62A6">
            <w:pPr>
              <w:snapToGrid w:val="0"/>
              <w:spacing w:line="400" w:lineRule="exact"/>
              <w:jc w:val="center"/>
              <w:rPr>
                <w:rFonts w:ascii="宋体" w:hAnsi="宋体"/>
                <w:color w:val="auto"/>
                <w:kern w:val="0"/>
                <w:szCs w:val="21"/>
                <w:highlight w:val="none"/>
              </w:rPr>
            </w:pPr>
          </w:p>
          <w:p w14:paraId="593758F2">
            <w:pPr>
              <w:snapToGrid w:val="0"/>
              <w:spacing w:line="400" w:lineRule="exact"/>
              <w:jc w:val="center"/>
              <w:rPr>
                <w:rFonts w:ascii="宋体" w:hAnsi="宋体"/>
                <w:color w:val="auto"/>
                <w:kern w:val="0"/>
                <w:szCs w:val="21"/>
                <w:highlight w:val="none"/>
              </w:rPr>
            </w:pPr>
          </w:p>
          <w:p w14:paraId="4C861E84">
            <w:pPr>
              <w:snapToGrid w:val="0"/>
              <w:spacing w:line="400" w:lineRule="exact"/>
              <w:jc w:val="center"/>
              <w:rPr>
                <w:rFonts w:ascii="宋体" w:hAnsi="宋体"/>
                <w:color w:val="auto"/>
                <w:kern w:val="0"/>
                <w:szCs w:val="21"/>
                <w:highlight w:val="none"/>
              </w:rPr>
            </w:pPr>
          </w:p>
          <w:p w14:paraId="140C19ED">
            <w:pPr>
              <w:snapToGrid w:val="0"/>
              <w:spacing w:line="400" w:lineRule="exact"/>
              <w:jc w:val="center"/>
              <w:rPr>
                <w:rFonts w:ascii="宋体" w:hAnsi="宋体"/>
                <w:color w:val="auto"/>
                <w:kern w:val="0"/>
                <w:szCs w:val="21"/>
                <w:highlight w:val="none"/>
              </w:rPr>
            </w:pPr>
          </w:p>
          <w:p w14:paraId="6C570E4E">
            <w:pPr>
              <w:snapToGrid w:val="0"/>
              <w:spacing w:line="400" w:lineRule="exact"/>
              <w:jc w:val="center"/>
              <w:rPr>
                <w:rFonts w:ascii="宋体" w:hAnsi="宋体"/>
                <w:color w:val="auto"/>
                <w:kern w:val="0"/>
                <w:szCs w:val="21"/>
                <w:highlight w:val="none"/>
              </w:rPr>
            </w:pPr>
          </w:p>
          <w:p w14:paraId="4B82D8A2">
            <w:pPr>
              <w:snapToGrid w:val="0"/>
              <w:spacing w:line="400" w:lineRule="exact"/>
              <w:jc w:val="center"/>
              <w:rPr>
                <w:rFonts w:ascii="宋体" w:hAnsi="宋体"/>
                <w:color w:val="auto"/>
                <w:kern w:val="0"/>
                <w:szCs w:val="21"/>
                <w:highlight w:val="none"/>
              </w:rPr>
            </w:pPr>
          </w:p>
          <w:p w14:paraId="3FC03A54">
            <w:pPr>
              <w:snapToGrid w:val="0"/>
              <w:spacing w:line="400" w:lineRule="exact"/>
              <w:jc w:val="center"/>
              <w:rPr>
                <w:rFonts w:ascii="宋体" w:hAnsi="宋体"/>
                <w:color w:val="auto"/>
                <w:kern w:val="0"/>
                <w:szCs w:val="21"/>
                <w:highlight w:val="none"/>
              </w:rPr>
            </w:pPr>
          </w:p>
          <w:p w14:paraId="5804AD46">
            <w:pPr>
              <w:snapToGrid w:val="0"/>
              <w:spacing w:line="400" w:lineRule="exact"/>
              <w:jc w:val="center"/>
              <w:rPr>
                <w:rFonts w:ascii="宋体" w:hAnsi="宋体"/>
                <w:color w:val="auto"/>
                <w:kern w:val="0"/>
                <w:szCs w:val="21"/>
                <w:highlight w:val="none"/>
              </w:rPr>
            </w:pPr>
          </w:p>
          <w:p w14:paraId="73BA1AA6">
            <w:pPr>
              <w:snapToGrid w:val="0"/>
              <w:spacing w:line="400" w:lineRule="exact"/>
              <w:jc w:val="center"/>
              <w:rPr>
                <w:rFonts w:ascii="宋体" w:hAnsi="宋体"/>
                <w:color w:val="auto"/>
                <w:kern w:val="0"/>
                <w:szCs w:val="21"/>
                <w:highlight w:val="none"/>
              </w:rPr>
            </w:pPr>
          </w:p>
          <w:p w14:paraId="319E6793">
            <w:pPr>
              <w:snapToGrid w:val="0"/>
              <w:spacing w:line="400" w:lineRule="exact"/>
              <w:jc w:val="center"/>
              <w:rPr>
                <w:rFonts w:ascii="宋体" w:hAnsi="宋体"/>
                <w:color w:val="auto"/>
                <w:kern w:val="0"/>
                <w:szCs w:val="21"/>
                <w:highlight w:val="none"/>
              </w:rPr>
            </w:pPr>
          </w:p>
          <w:p w14:paraId="21604799">
            <w:pPr>
              <w:snapToGrid w:val="0"/>
              <w:spacing w:line="400" w:lineRule="exact"/>
              <w:jc w:val="center"/>
              <w:rPr>
                <w:rFonts w:ascii="宋体" w:hAnsi="宋体"/>
                <w:color w:val="auto"/>
                <w:kern w:val="0"/>
                <w:szCs w:val="21"/>
                <w:highlight w:val="none"/>
              </w:rPr>
            </w:pPr>
          </w:p>
          <w:p w14:paraId="0C29F9E1">
            <w:pPr>
              <w:snapToGrid w:val="0"/>
              <w:spacing w:line="400" w:lineRule="exact"/>
              <w:jc w:val="center"/>
              <w:rPr>
                <w:rFonts w:ascii="宋体" w:hAnsi="宋体"/>
                <w:color w:val="auto"/>
                <w:kern w:val="0"/>
                <w:szCs w:val="21"/>
                <w:highlight w:val="none"/>
              </w:rPr>
            </w:pPr>
          </w:p>
          <w:p w14:paraId="25D86F35">
            <w:pPr>
              <w:snapToGrid w:val="0"/>
              <w:spacing w:line="400" w:lineRule="exact"/>
              <w:jc w:val="center"/>
              <w:rPr>
                <w:rFonts w:ascii="宋体" w:hAnsi="宋体"/>
                <w:color w:val="auto"/>
                <w:kern w:val="0"/>
                <w:szCs w:val="21"/>
                <w:highlight w:val="none"/>
              </w:rPr>
            </w:pPr>
          </w:p>
          <w:p w14:paraId="183C6320">
            <w:pPr>
              <w:snapToGrid w:val="0"/>
              <w:spacing w:line="400" w:lineRule="exact"/>
              <w:jc w:val="center"/>
              <w:rPr>
                <w:rFonts w:ascii="宋体" w:hAnsi="宋体"/>
                <w:color w:val="auto"/>
                <w:kern w:val="0"/>
                <w:szCs w:val="21"/>
                <w:highlight w:val="none"/>
              </w:rPr>
            </w:pPr>
          </w:p>
          <w:p w14:paraId="1CF3AD5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52C29744">
            <w:pPr>
              <w:snapToGrid w:val="0"/>
              <w:spacing w:line="400" w:lineRule="exact"/>
              <w:jc w:val="center"/>
              <w:rPr>
                <w:rFonts w:ascii="宋体" w:hAnsi="宋体"/>
                <w:color w:val="auto"/>
                <w:kern w:val="0"/>
                <w:szCs w:val="21"/>
                <w:highlight w:val="none"/>
              </w:rPr>
            </w:pPr>
          </w:p>
          <w:p w14:paraId="615FC20F">
            <w:pPr>
              <w:snapToGrid w:val="0"/>
              <w:spacing w:line="400" w:lineRule="exact"/>
              <w:jc w:val="center"/>
              <w:rPr>
                <w:rFonts w:ascii="宋体" w:hAnsi="宋体"/>
                <w:color w:val="auto"/>
                <w:kern w:val="0"/>
                <w:szCs w:val="21"/>
                <w:highlight w:val="none"/>
              </w:rPr>
            </w:pPr>
          </w:p>
          <w:p w14:paraId="2246669C">
            <w:pPr>
              <w:snapToGrid w:val="0"/>
              <w:spacing w:line="400" w:lineRule="exact"/>
              <w:jc w:val="center"/>
              <w:rPr>
                <w:rFonts w:ascii="宋体" w:hAnsi="宋体"/>
                <w:color w:val="auto"/>
                <w:kern w:val="0"/>
                <w:szCs w:val="21"/>
                <w:highlight w:val="none"/>
              </w:rPr>
            </w:pPr>
          </w:p>
          <w:p w14:paraId="15857C6A">
            <w:pPr>
              <w:snapToGrid w:val="0"/>
              <w:spacing w:line="400" w:lineRule="exact"/>
              <w:jc w:val="center"/>
              <w:rPr>
                <w:rFonts w:ascii="宋体" w:hAnsi="宋体"/>
                <w:color w:val="auto"/>
                <w:kern w:val="0"/>
                <w:szCs w:val="21"/>
                <w:highlight w:val="none"/>
              </w:rPr>
            </w:pPr>
          </w:p>
          <w:p w14:paraId="09870457">
            <w:pPr>
              <w:snapToGrid w:val="0"/>
              <w:spacing w:line="400" w:lineRule="exact"/>
              <w:jc w:val="center"/>
              <w:rPr>
                <w:rFonts w:ascii="宋体" w:hAnsi="宋体"/>
                <w:color w:val="auto"/>
                <w:kern w:val="0"/>
                <w:szCs w:val="21"/>
                <w:highlight w:val="none"/>
              </w:rPr>
            </w:pPr>
          </w:p>
          <w:p w14:paraId="460B790D">
            <w:pPr>
              <w:snapToGrid w:val="0"/>
              <w:spacing w:line="400" w:lineRule="exact"/>
              <w:jc w:val="center"/>
              <w:rPr>
                <w:rFonts w:ascii="宋体" w:hAnsi="宋体"/>
                <w:color w:val="auto"/>
                <w:kern w:val="0"/>
                <w:szCs w:val="21"/>
                <w:highlight w:val="none"/>
              </w:rPr>
            </w:pPr>
          </w:p>
          <w:p w14:paraId="7593A85C">
            <w:pPr>
              <w:snapToGrid w:val="0"/>
              <w:spacing w:line="400" w:lineRule="exact"/>
              <w:jc w:val="center"/>
              <w:rPr>
                <w:rFonts w:ascii="宋体" w:hAnsi="宋体"/>
                <w:color w:val="auto"/>
                <w:kern w:val="0"/>
                <w:szCs w:val="21"/>
                <w:highlight w:val="none"/>
              </w:rPr>
            </w:pPr>
          </w:p>
          <w:p w14:paraId="1423A3A4">
            <w:pPr>
              <w:snapToGrid w:val="0"/>
              <w:spacing w:line="400" w:lineRule="exact"/>
              <w:jc w:val="center"/>
              <w:rPr>
                <w:rFonts w:ascii="宋体" w:hAnsi="宋体"/>
                <w:color w:val="auto"/>
                <w:kern w:val="0"/>
                <w:szCs w:val="21"/>
                <w:highlight w:val="none"/>
              </w:rPr>
            </w:pPr>
          </w:p>
          <w:p w14:paraId="0672F675">
            <w:pPr>
              <w:snapToGrid w:val="0"/>
              <w:spacing w:line="400" w:lineRule="exact"/>
              <w:jc w:val="center"/>
              <w:rPr>
                <w:rFonts w:ascii="宋体" w:hAnsi="宋体"/>
                <w:color w:val="auto"/>
                <w:kern w:val="0"/>
                <w:szCs w:val="21"/>
                <w:highlight w:val="none"/>
              </w:rPr>
            </w:pPr>
          </w:p>
          <w:p w14:paraId="10B531BA">
            <w:pPr>
              <w:snapToGrid w:val="0"/>
              <w:spacing w:line="400" w:lineRule="exact"/>
              <w:jc w:val="center"/>
              <w:rPr>
                <w:rFonts w:ascii="宋体" w:hAnsi="宋体"/>
                <w:color w:val="auto"/>
                <w:kern w:val="0"/>
                <w:szCs w:val="21"/>
                <w:highlight w:val="none"/>
              </w:rPr>
            </w:pPr>
          </w:p>
          <w:p w14:paraId="61045D79">
            <w:pPr>
              <w:snapToGrid w:val="0"/>
              <w:spacing w:line="400" w:lineRule="exact"/>
              <w:jc w:val="center"/>
              <w:rPr>
                <w:rFonts w:ascii="宋体" w:hAnsi="宋体"/>
                <w:color w:val="auto"/>
                <w:kern w:val="0"/>
                <w:szCs w:val="21"/>
                <w:highlight w:val="none"/>
              </w:rPr>
            </w:pPr>
          </w:p>
          <w:p w14:paraId="33F5C1D0">
            <w:pPr>
              <w:snapToGrid w:val="0"/>
              <w:spacing w:line="400" w:lineRule="exact"/>
              <w:jc w:val="center"/>
              <w:rPr>
                <w:rFonts w:ascii="宋体" w:hAnsi="宋体"/>
                <w:color w:val="auto"/>
                <w:kern w:val="0"/>
                <w:szCs w:val="21"/>
                <w:highlight w:val="none"/>
              </w:rPr>
            </w:pPr>
          </w:p>
          <w:p w14:paraId="77862034">
            <w:pPr>
              <w:snapToGrid w:val="0"/>
              <w:spacing w:line="400" w:lineRule="exact"/>
              <w:jc w:val="center"/>
              <w:rPr>
                <w:rFonts w:ascii="宋体" w:hAnsi="宋体"/>
                <w:color w:val="auto"/>
                <w:kern w:val="0"/>
                <w:szCs w:val="21"/>
                <w:highlight w:val="none"/>
              </w:rPr>
            </w:pPr>
          </w:p>
          <w:p w14:paraId="4E91E154">
            <w:pPr>
              <w:snapToGrid w:val="0"/>
              <w:spacing w:line="400" w:lineRule="exact"/>
              <w:jc w:val="center"/>
              <w:rPr>
                <w:rFonts w:ascii="宋体" w:hAnsi="宋体"/>
                <w:color w:val="auto"/>
                <w:kern w:val="0"/>
                <w:szCs w:val="21"/>
                <w:highlight w:val="none"/>
              </w:rPr>
            </w:pPr>
          </w:p>
          <w:p w14:paraId="6EE4ABE6">
            <w:pPr>
              <w:snapToGrid w:val="0"/>
              <w:spacing w:line="400" w:lineRule="exact"/>
              <w:jc w:val="center"/>
              <w:rPr>
                <w:rFonts w:ascii="宋体" w:hAnsi="宋体"/>
                <w:color w:val="auto"/>
                <w:kern w:val="0"/>
                <w:szCs w:val="21"/>
                <w:highlight w:val="none"/>
              </w:rPr>
            </w:pPr>
          </w:p>
          <w:p w14:paraId="36CDAD63">
            <w:pPr>
              <w:snapToGrid w:val="0"/>
              <w:spacing w:line="400" w:lineRule="exact"/>
              <w:jc w:val="center"/>
              <w:rPr>
                <w:rFonts w:ascii="宋体" w:hAnsi="宋体"/>
                <w:color w:val="auto"/>
                <w:kern w:val="0"/>
                <w:szCs w:val="21"/>
                <w:highlight w:val="none"/>
              </w:rPr>
            </w:pPr>
          </w:p>
          <w:p w14:paraId="4008D4FF">
            <w:pPr>
              <w:snapToGrid w:val="0"/>
              <w:spacing w:line="400" w:lineRule="exact"/>
              <w:jc w:val="center"/>
              <w:rPr>
                <w:rFonts w:ascii="宋体" w:hAnsi="宋体"/>
                <w:color w:val="auto"/>
                <w:kern w:val="0"/>
                <w:szCs w:val="21"/>
                <w:highlight w:val="none"/>
              </w:rPr>
            </w:pPr>
          </w:p>
          <w:p w14:paraId="27E51FA9">
            <w:pPr>
              <w:snapToGrid w:val="0"/>
              <w:spacing w:line="400" w:lineRule="exact"/>
              <w:jc w:val="center"/>
              <w:rPr>
                <w:rFonts w:ascii="宋体" w:hAnsi="宋体"/>
                <w:color w:val="auto"/>
                <w:kern w:val="0"/>
                <w:szCs w:val="21"/>
                <w:highlight w:val="none"/>
              </w:rPr>
            </w:pPr>
          </w:p>
          <w:p w14:paraId="31DB6BF4">
            <w:pPr>
              <w:snapToGrid w:val="0"/>
              <w:spacing w:line="400" w:lineRule="exact"/>
              <w:jc w:val="center"/>
              <w:rPr>
                <w:rFonts w:ascii="宋体" w:hAnsi="宋体"/>
                <w:color w:val="auto"/>
                <w:kern w:val="0"/>
                <w:szCs w:val="21"/>
                <w:highlight w:val="none"/>
              </w:rPr>
            </w:pPr>
          </w:p>
          <w:p w14:paraId="4AB608FF">
            <w:pPr>
              <w:snapToGrid w:val="0"/>
              <w:spacing w:line="400" w:lineRule="exact"/>
              <w:jc w:val="center"/>
              <w:rPr>
                <w:rFonts w:ascii="宋体" w:hAnsi="宋体"/>
                <w:color w:val="auto"/>
                <w:kern w:val="0"/>
                <w:szCs w:val="21"/>
                <w:highlight w:val="none"/>
              </w:rPr>
            </w:pPr>
          </w:p>
          <w:p w14:paraId="498EAB35">
            <w:pPr>
              <w:snapToGrid w:val="0"/>
              <w:spacing w:line="400" w:lineRule="exact"/>
              <w:jc w:val="center"/>
              <w:rPr>
                <w:rFonts w:ascii="宋体" w:hAnsi="宋体"/>
                <w:color w:val="auto"/>
                <w:kern w:val="0"/>
                <w:szCs w:val="21"/>
                <w:highlight w:val="none"/>
              </w:rPr>
            </w:pPr>
          </w:p>
          <w:p w14:paraId="66E6A771">
            <w:pPr>
              <w:snapToGrid w:val="0"/>
              <w:spacing w:line="400" w:lineRule="exact"/>
              <w:jc w:val="center"/>
              <w:rPr>
                <w:rFonts w:ascii="宋体" w:hAnsi="宋体"/>
                <w:color w:val="auto"/>
                <w:kern w:val="0"/>
                <w:szCs w:val="21"/>
                <w:highlight w:val="none"/>
              </w:rPr>
            </w:pPr>
          </w:p>
          <w:p w14:paraId="1A7DD2AF">
            <w:pPr>
              <w:snapToGrid w:val="0"/>
              <w:spacing w:line="400" w:lineRule="exact"/>
              <w:jc w:val="center"/>
              <w:rPr>
                <w:rFonts w:ascii="宋体" w:hAnsi="宋体"/>
                <w:color w:val="auto"/>
                <w:kern w:val="0"/>
                <w:szCs w:val="21"/>
                <w:highlight w:val="none"/>
              </w:rPr>
            </w:pPr>
          </w:p>
          <w:p w14:paraId="65BF597F">
            <w:pPr>
              <w:snapToGrid w:val="0"/>
              <w:spacing w:line="400" w:lineRule="exact"/>
              <w:jc w:val="center"/>
              <w:rPr>
                <w:rFonts w:ascii="宋体" w:hAnsi="宋体"/>
                <w:color w:val="auto"/>
                <w:kern w:val="0"/>
                <w:szCs w:val="21"/>
                <w:highlight w:val="none"/>
              </w:rPr>
            </w:pPr>
          </w:p>
          <w:p w14:paraId="14BC441A">
            <w:pPr>
              <w:snapToGrid w:val="0"/>
              <w:spacing w:line="400" w:lineRule="exact"/>
              <w:jc w:val="center"/>
              <w:rPr>
                <w:rFonts w:ascii="宋体" w:hAnsi="宋体"/>
                <w:color w:val="auto"/>
                <w:kern w:val="0"/>
                <w:szCs w:val="21"/>
                <w:highlight w:val="none"/>
              </w:rPr>
            </w:pPr>
          </w:p>
          <w:p w14:paraId="476ABAFC">
            <w:pPr>
              <w:snapToGrid w:val="0"/>
              <w:spacing w:line="400" w:lineRule="exact"/>
              <w:jc w:val="center"/>
              <w:rPr>
                <w:rFonts w:ascii="宋体" w:hAnsi="宋体"/>
                <w:color w:val="auto"/>
                <w:kern w:val="0"/>
                <w:szCs w:val="21"/>
                <w:highlight w:val="none"/>
              </w:rPr>
            </w:pPr>
          </w:p>
          <w:p w14:paraId="4CDF5448">
            <w:pPr>
              <w:snapToGrid w:val="0"/>
              <w:spacing w:line="400" w:lineRule="exact"/>
              <w:jc w:val="center"/>
              <w:rPr>
                <w:rFonts w:ascii="宋体" w:hAnsi="宋体"/>
                <w:color w:val="auto"/>
                <w:kern w:val="0"/>
                <w:szCs w:val="21"/>
                <w:highlight w:val="none"/>
              </w:rPr>
            </w:pPr>
          </w:p>
          <w:p w14:paraId="2E56FE98">
            <w:pPr>
              <w:snapToGrid w:val="0"/>
              <w:spacing w:line="400" w:lineRule="exact"/>
              <w:jc w:val="center"/>
              <w:rPr>
                <w:rFonts w:ascii="宋体" w:hAnsi="宋体"/>
                <w:color w:val="auto"/>
                <w:kern w:val="0"/>
                <w:szCs w:val="21"/>
                <w:highlight w:val="none"/>
              </w:rPr>
            </w:pPr>
          </w:p>
          <w:p w14:paraId="3C159FBE">
            <w:pPr>
              <w:snapToGrid w:val="0"/>
              <w:spacing w:line="400" w:lineRule="exact"/>
              <w:jc w:val="center"/>
              <w:rPr>
                <w:rFonts w:ascii="宋体" w:hAnsi="宋体"/>
                <w:color w:val="auto"/>
                <w:kern w:val="0"/>
                <w:szCs w:val="21"/>
                <w:highlight w:val="none"/>
              </w:rPr>
            </w:pPr>
          </w:p>
          <w:p w14:paraId="003CCA37">
            <w:pPr>
              <w:snapToGrid w:val="0"/>
              <w:spacing w:line="400" w:lineRule="exact"/>
              <w:jc w:val="center"/>
              <w:rPr>
                <w:rFonts w:ascii="宋体" w:hAnsi="宋体"/>
                <w:color w:val="auto"/>
                <w:kern w:val="0"/>
                <w:szCs w:val="21"/>
                <w:highlight w:val="none"/>
              </w:rPr>
            </w:pPr>
          </w:p>
          <w:p w14:paraId="0B8D3F9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1DCD0BE0">
            <w:pPr>
              <w:snapToGrid w:val="0"/>
              <w:spacing w:line="400" w:lineRule="exact"/>
              <w:jc w:val="center"/>
              <w:rPr>
                <w:rFonts w:ascii="宋体" w:hAnsi="宋体"/>
                <w:color w:val="auto"/>
                <w:kern w:val="0"/>
                <w:szCs w:val="21"/>
                <w:highlight w:val="none"/>
              </w:rPr>
            </w:pPr>
          </w:p>
          <w:p w14:paraId="4DC1C216">
            <w:pPr>
              <w:snapToGrid w:val="0"/>
              <w:spacing w:line="400" w:lineRule="exact"/>
              <w:jc w:val="center"/>
              <w:rPr>
                <w:rFonts w:ascii="宋体" w:hAnsi="宋体"/>
                <w:color w:val="auto"/>
                <w:kern w:val="0"/>
                <w:szCs w:val="21"/>
                <w:highlight w:val="none"/>
              </w:rPr>
            </w:pPr>
          </w:p>
          <w:p w14:paraId="668403C3">
            <w:pPr>
              <w:snapToGrid w:val="0"/>
              <w:spacing w:line="400" w:lineRule="exact"/>
              <w:jc w:val="center"/>
              <w:rPr>
                <w:rFonts w:ascii="宋体" w:hAnsi="宋体"/>
                <w:color w:val="auto"/>
                <w:kern w:val="0"/>
                <w:szCs w:val="21"/>
                <w:highlight w:val="none"/>
              </w:rPr>
            </w:pPr>
          </w:p>
          <w:p w14:paraId="01453C6E">
            <w:pPr>
              <w:snapToGrid w:val="0"/>
              <w:spacing w:line="400" w:lineRule="exact"/>
              <w:jc w:val="center"/>
              <w:rPr>
                <w:rFonts w:ascii="宋体" w:hAnsi="宋体"/>
                <w:color w:val="auto"/>
                <w:kern w:val="0"/>
                <w:szCs w:val="21"/>
                <w:highlight w:val="none"/>
              </w:rPr>
            </w:pPr>
          </w:p>
          <w:p w14:paraId="5E18CD99">
            <w:pPr>
              <w:snapToGrid w:val="0"/>
              <w:spacing w:line="400" w:lineRule="exact"/>
              <w:jc w:val="center"/>
              <w:rPr>
                <w:rFonts w:ascii="宋体" w:hAnsi="宋体"/>
                <w:color w:val="auto"/>
                <w:kern w:val="0"/>
                <w:szCs w:val="21"/>
                <w:highlight w:val="none"/>
              </w:rPr>
            </w:pPr>
          </w:p>
          <w:p w14:paraId="5FA946A7">
            <w:pPr>
              <w:snapToGrid w:val="0"/>
              <w:spacing w:line="400" w:lineRule="exact"/>
              <w:jc w:val="center"/>
              <w:rPr>
                <w:rFonts w:ascii="宋体" w:hAnsi="宋体"/>
                <w:color w:val="auto"/>
                <w:kern w:val="0"/>
                <w:szCs w:val="21"/>
                <w:highlight w:val="none"/>
              </w:rPr>
            </w:pPr>
          </w:p>
          <w:p w14:paraId="11BDE8C8">
            <w:pPr>
              <w:snapToGrid w:val="0"/>
              <w:spacing w:line="400" w:lineRule="exact"/>
              <w:jc w:val="center"/>
              <w:rPr>
                <w:rFonts w:ascii="宋体" w:hAnsi="宋体"/>
                <w:color w:val="auto"/>
                <w:kern w:val="0"/>
                <w:szCs w:val="21"/>
                <w:highlight w:val="none"/>
              </w:rPr>
            </w:pPr>
          </w:p>
          <w:p w14:paraId="702AF07F">
            <w:pPr>
              <w:snapToGrid w:val="0"/>
              <w:spacing w:line="400" w:lineRule="exact"/>
              <w:jc w:val="center"/>
              <w:rPr>
                <w:rFonts w:ascii="宋体" w:hAnsi="宋体"/>
                <w:color w:val="auto"/>
                <w:kern w:val="0"/>
                <w:szCs w:val="21"/>
                <w:highlight w:val="none"/>
              </w:rPr>
            </w:pPr>
          </w:p>
          <w:p w14:paraId="5D72B157">
            <w:pPr>
              <w:snapToGrid w:val="0"/>
              <w:spacing w:line="400" w:lineRule="exact"/>
              <w:jc w:val="center"/>
              <w:rPr>
                <w:rFonts w:ascii="宋体" w:hAnsi="宋体"/>
                <w:color w:val="auto"/>
                <w:kern w:val="0"/>
                <w:szCs w:val="21"/>
                <w:highlight w:val="none"/>
              </w:rPr>
            </w:pPr>
          </w:p>
          <w:p w14:paraId="5C3BE548">
            <w:pPr>
              <w:snapToGrid w:val="0"/>
              <w:spacing w:line="400" w:lineRule="exact"/>
              <w:jc w:val="center"/>
              <w:rPr>
                <w:rFonts w:ascii="宋体" w:hAnsi="宋体"/>
                <w:color w:val="auto"/>
                <w:kern w:val="0"/>
                <w:szCs w:val="21"/>
                <w:highlight w:val="none"/>
              </w:rPr>
            </w:pPr>
          </w:p>
          <w:p w14:paraId="69DE3EC8">
            <w:pPr>
              <w:snapToGrid w:val="0"/>
              <w:spacing w:line="400" w:lineRule="exact"/>
              <w:jc w:val="center"/>
              <w:rPr>
                <w:rFonts w:ascii="宋体" w:hAnsi="宋体"/>
                <w:color w:val="auto"/>
                <w:kern w:val="0"/>
                <w:szCs w:val="21"/>
                <w:highlight w:val="none"/>
              </w:rPr>
            </w:pPr>
          </w:p>
          <w:p w14:paraId="2493AAB4">
            <w:pPr>
              <w:snapToGrid w:val="0"/>
              <w:spacing w:line="400" w:lineRule="exact"/>
              <w:jc w:val="center"/>
              <w:rPr>
                <w:rFonts w:ascii="宋体" w:hAnsi="宋体"/>
                <w:color w:val="auto"/>
                <w:kern w:val="0"/>
                <w:szCs w:val="21"/>
                <w:highlight w:val="none"/>
              </w:rPr>
            </w:pPr>
          </w:p>
          <w:p w14:paraId="2C1DDAD6">
            <w:pPr>
              <w:snapToGrid w:val="0"/>
              <w:spacing w:line="400" w:lineRule="exact"/>
              <w:jc w:val="center"/>
              <w:rPr>
                <w:rFonts w:ascii="宋体" w:hAnsi="宋体"/>
                <w:color w:val="auto"/>
                <w:kern w:val="0"/>
                <w:szCs w:val="21"/>
                <w:highlight w:val="none"/>
              </w:rPr>
            </w:pPr>
          </w:p>
          <w:p w14:paraId="7B80D448">
            <w:pPr>
              <w:snapToGrid w:val="0"/>
              <w:spacing w:line="400" w:lineRule="exact"/>
              <w:jc w:val="center"/>
              <w:rPr>
                <w:rFonts w:ascii="宋体" w:hAnsi="宋体"/>
                <w:color w:val="auto"/>
                <w:kern w:val="0"/>
                <w:szCs w:val="21"/>
                <w:highlight w:val="none"/>
              </w:rPr>
            </w:pPr>
          </w:p>
          <w:p w14:paraId="0C085309">
            <w:pPr>
              <w:snapToGrid w:val="0"/>
              <w:spacing w:line="400" w:lineRule="exact"/>
              <w:jc w:val="center"/>
              <w:rPr>
                <w:rFonts w:ascii="宋体" w:hAnsi="宋体"/>
                <w:color w:val="auto"/>
                <w:kern w:val="0"/>
                <w:szCs w:val="21"/>
                <w:highlight w:val="none"/>
              </w:rPr>
            </w:pPr>
          </w:p>
          <w:p w14:paraId="39973DF1">
            <w:pPr>
              <w:snapToGrid w:val="0"/>
              <w:spacing w:line="400" w:lineRule="exact"/>
              <w:jc w:val="center"/>
              <w:rPr>
                <w:rFonts w:ascii="宋体" w:hAnsi="宋体"/>
                <w:color w:val="auto"/>
                <w:kern w:val="0"/>
                <w:szCs w:val="21"/>
                <w:highlight w:val="none"/>
              </w:rPr>
            </w:pPr>
          </w:p>
          <w:p w14:paraId="1DDC0C38">
            <w:pPr>
              <w:snapToGrid w:val="0"/>
              <w:spacing w:line="400" w:lineRule="exact"/>
              <w:jc w:val="center"/>
              <w:rPr>
                <w:rFonts w:ascii="宋体" w:hAnsi="宋体"/>
                <w:color w:val="auto"/>
                <w:kern w:val="0"/>
                <w:szCs w:val="21"/>
                <w:highlight w:val="none"/>
              </w:rPr>
            </w:pPr>
          </w:p>
          <w:p w14:paraId="4B3621ED">
            <w:pPr>
              <w:snapToGrid w:val="0"/>
              <w:spacing w:line="400" w:lineRule="exact"/>
              <w:jc w:val="center"/>
              <w:rPr>
                <w:rFonts w:ascii="宋体" w:hAnsi="宋体"/>
                <w:color w:val="auto"/>
                <w:kern w:val="0"/>
                <w:szCs w:val="21"/>
                <w:highlight w:val="none"/>
              </w:rPr>
            </w:pPr>
          </w:p>
          <w:p w14:paraId="06F44A1A">
            <w:pPr>
              <w:snapToGrid w:val="0"/>
              <w:spacing w:line="400" w:lineRule="exact"/>
              <w:jc w:val="center"/>
              <w:rPr>
                <w:rFonts w:ascii="宋体" w:hAnsi="宋体"/>
                <w:color w:val="auto"/>
                <w:kern w:val="0"/>
                <w:szCs w:val="21"/>
                <w:highlight w:val="none"/>
              </w:rPr>
            </w:pPr>
          </w:p>
          <w:p w14:paraId="5DCB6F72">
            <w:pPr>
              <w:snapToGrid w:val="0"/>
              <w:spacing w:line="400" w:lineRule="exact"/>
              <w:jc w:val="center"/>
              <w:rPr>
                <w:rFonts w:ascii="宋体" w:hAnsi="宋体"/>
                <w:color w:val="auto"/>
                <w:kern w:val="0"/>
                <w:szCs w:val="21"/>
                <w:highlight w:val="none"/>
              </w:rPr>
            </w:pPr>
          </w:p>
          <w:p w14:paraId="344B5F52">
            <w:pPr>
              <w:snapToGrid w:val="0"/>
              <w:spacing w:line="400" w:lineRule="exact"/>
              <w:jc w:val="center"/>
              <w:rPr>
                <w:rFonts w:ascii="宋体" w:hAnsi="宋体"/>
                <w:color w:val="auto"/>
                <w:kern w:val="0"/>
                <w:szCs w:val="21"/>
                <w:highlight w:val="none"/>
              </w:rPr>
            </w:pPr>
          </w:p>
          <w:p w14:paraId="605E9567">
            <w:pPr>
              <w:snapToGrid w:val="0"/>
              <w:spacing w:line="400" w:lineRule="exact"/>
              <w:jc w:val="center"/>
              <w:rPr>
                <w:rFonts w:ascii="宋体" w:hAnsi="宋体"/>
                <w:color w:val="auto"/>
                <w:kern w:val="0"/>
                <w:szCs w:val="21"/>
                <w:highlight w:val="none"/>
              </w:rPr>
            </w:pPr>
          </w:p>
          <w:p w14:paraId="21C8267D">
            <w:pPr>
              <w:snapToGrid w:val="0"/>
              <w:spacing w:line="400" w:lineRule="exact"/>
              <w:jc w:val="center"/>
              <w:rPr>
                <w:rFonts w:ascii="宋体" w:hAnsi="宋体"/>
                <w:color w:val="auto"/>
                <w:kern w:val="0"/>
                <w:szCs w:val="21"/>
                <w:highlight w:val="none"/>
              </w:rPr>
            </w:pPr>
          </w:p>
          <w:p w14:paraId="7482EA92">
            <w:pPr>
              <w:snapToGrid w:val="0"/>
              <w:spacing w:line="400" w:lineRule="exact"/>
              <w:jc w:val="center"/>
              <w:rPr>
                <w:rFonts w:ascii="宋体" w:hAnsi="宋体"/>
                <w:color w:val="auto"/>
                <w:kern w:val="0"/>
                <w:szCs w:val="21"/>
                <w:highlight w:val="none"/>
              </w:rPr>
            </w:pPr>
          </w:p>
          <w:p w14:paraId="10EA5EA9">
            <w:pPr>
              <w:snapToGrid w:val="0"/>
              <w:spacing w:line="400" w:lineRule="exact"/>
              <w:jc w:val="center"/>
              <w:rPr>
                <w:rFonts w:ascii="宋体" w:hAnsi="宋体"/>
                <w:color w:val="auto"/>
                <w:kern w:val="0"/>
                <w:szCs w:val="21"/>
                <w:highlight w:val="none"/>
              </w:rPr>
            </w:pPr>
          </w:p>
          <w:p w14:paraId="4535063E">
            <w:pPr>
              <w:snapToGrid w:val="0"/>
              <w:spacing w:line="400" w:lineRule="exact"/>
              <w:jc w:val="center"/>
              <w:rPr>
                <w:rFonts w:ascii="宋体" w:hAnsi="宋体"/>
                <w:color w:val="auto"/>
                <w:kern w:val="0"/>
                <w:szCs w:val="21"/>
                <w:highlight w:val="none"/>
              </w:rPr>
            </w:pPr>
          </w:p>
          <w:p w14:paraId="3C2374EB">
            <w:pPr>
              <w:snapToGrid w:val="0"/>
              <w:spacing w:line="400" w:lineRule="exact"/>
              <w:jc w:val="center"/>
              <w:rPr>
                <w:rFonts w:ascii="宋体" w:hAnsi="宋体"/>
                <w:color w:val="auto"/>
                <w:kern w:val="0"/>
                <w:szCs w:val="21"/>
                <w:highlight w:val="none"/>
              </w:rPr>
            </w:pPr>
          </w:p>
          <w:p w14:paraId="5C2CE389">
            <w:pPr>
              <w:snapToGrid w:val="0"/>
              <w:spacing w:line="400" w:lineRule="exact"/>
              <w:jc w:val="center"/>
              <w:rPr>
                <w:rFonts w:ascii="宋体" w:hAnsi="宋体"/>
                <w:color w:val="auto"/>
                <w:kern w:val="0"/>
                <w:szCs w:val="21"/>
                <w:highlight w:val="none"/>
              </w:rPr>
            </w:pPr>
          </w:p>
          <w:p w14:paraId="6A049ACF">
            <w:pPr>
              <w:snapToGrid w:val="0"/>
              <w:spacing w:line="400" w:lineRule="exact"/>
              <w:jc w:val="center"/>
              <w:rPr>
                <w:rFonts w:ascii="宋体" w:hAnsi="宋体"/>
                <w:color w:val="auto"/>
                <w:kern w:val="0"/>
                <w:szCs w:val="21"/>
                <w:highlight w:val="none"/>
              </w:rPr>
            </w:pPr>
          </w:p>
          <w:p w14:paraId="286C9535">
            <w:pPr>
              <w:snapToGrid w:val="0"/>
              <w:spacing w:line="400" w:lineRule="exact"/>
              <w:jc w:val="center"/>
              <w:rPr>
                <w:rFonts w:ascii="宋体" w:hAnsi="宋体"/>
                <w:color w:val="auto"/>
                <w:kern w:val="0"/>
                <w:szCs w:val="21"/>
                <w:highlight w:val="none"/>
              </w:rPr>
            </w:pPr>
          </w:p>
          <w:p w14:paraId="30457B67">
            <w:pPr>
              <w:snapToGrid w:val="0"/>
              <w:spacing w:line="400" w:lineRule="exact"/>
              <w:jc w:val="center"/>
              <w:rPr>
                <w:rFonts w:ascii="宋体" w:hAnsi="宋体"/>
                <w:color w:val="auto"/>
                <w:kern w:val="0"/>
                <w:szCs w:val="21"/>
                <w:highlight w:val="none"/>
              </w:rPr>
            </w:pPr>
          </w:p>
          <w:p w14:paraId="3394A0D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698E3738">
            <w:pPr>
              <w:snapToGrid w:val="0"/>
              <w:spacing w:line="400" w:lineRule="exact"/>
              <w:jc w:val="center"/>
              <w:rPr>
                <w:rFonts w:ascii="宋体" w:hAnsi="宋体"/>
                <w:color w:val="auto"/>
                <w:kern w:val="0"/>
                <w:szCs w:val="21"/>
                <w:highlight w:val="none"/>
              </w:rPr>
            </w:pPr>
          </w:p>
          <w:p w14:paraId="2DB83A1D">
            <w:pPr>
              <w:snapToGrid w:val="0"/>
              <w:spacing w:line="400" w:lineRule="exact"/>
              <w:jc w:val="center"/>
              <w:rPr>
                <w:rFonts w:ascii="宋体" w:hAnsi="宋体"/>
                <w:color w:val="auto"/>
                <w:kern w:val="0"/>
                <w:szCs w:val="21"/>
                <w:highlight w:val="none"/>
              </w:rPr>
            </w:pPr>
          </w:p>
          <w:p w14:paraId="0D06C57F">
            <w:pPr>
              <w:snapToGrid w:val="0"/>
              <w:spacing w:line="400" w:lineRule="exact"/>
              <w:jc w:val="center"/>
              <w:rPr>
                <w:rFonts w:ascii="宋体" w:hAnsi="宋体"/>
                <w:color w:val="auto"/>
                <w:kern w:val="0"/>
                <w:szCs w:val="21"/>
                <w:highlight w:val="none"/>
              </w:rPr>
            </w:pPr>
          </w:p>
          <w:p w14:paraId="4EE9DDCB">
            <w:pPr>
              <w:snapToGrid w:val="0"/>
              <w:spacing w:line="400" w:lineRule="exact"/>
              <w:jc w:val="center"/>
              <w:rPr>
                <w:rFonts w:ascii="宋体" w:hAnsi="宋体"/>
                <w:color w:val="auto"/>
                <w:kern w:val="0"/>
                <w:szCs w:val="21"/>
                <w:highlight w:val="none"/>
              </w:rPr>
            </w:pPr>
          </w:p>
          <w:p w14:paraId="5B2701B3">
            <w:pPr>
              <w:snapToGrid w:val="0"/>
              <w:spacing w:line="400" w:lineRule="exact"/>
              <w:jc w:val="center"/>
              <w:rPr>
                <w:rFonts w:ascii="宋体" w:hAnsi="宋体"/>
                <w:color w:val="auto"/>
                <w:kern w:val="0"/>
                <w:szCs w:val="21"/>
                <w:highlight w:val="none"/>
              </w:rPr>
            </w:pPr>
          </w:p>
          <w:p w14:paraId="7B427703">
            <w:pPr>
              <w:snapToGrid w:val="0"/>
              <w:spacing w:line="400" w:lineRule="exact"/>
              <w:jc w:val="center"/>
              <w:rPr>
                <w:rFonts w:ascii="宋体" w:hAnsi="宋体"/>
                <w:color w:val="auto"/>
                <w:kern w:val="0"/>
                <w:szCs w:val="21"/>
                <w:highlight w:val="none"/>
              </w:rPr>
            </w:pPr>
          </w:p>
          <w:p w14:paraId="74C24226">
            <w:pPr>
              <w:snapToGrid w:val="0"/>
              <w:spacing w:line="400" w:lineRule="exact"/>
              <w:jc w:val="center"/>
              <w:rPr>
                <w:rFonts w:ascii="宋体" w:hAnsi="宋体"/>
                <w:color w:val="auto"/>
                <w:kern w:val="0"/>
                <w:szCs w:val="21"/>
                <w:highlight w:val="none"/>
              </w:rPr>
            </w:pPr>
          </w:p>
          <w:p w14:paraId="1CF9B0F6">
            <w:pPr>
              <w:snapToGrid w:val="0"/>
              <w:spacing w:line="400" w:lineRule="exact"/>
              <w:jc w:val="center"/>
              <w:rPr>
                <w:rFonts w:ascii="宋体" w:hAnsi="宋体"/>
                <w:color w:val="auto"/>
                <w:kern w:val="0"/>
                <w:szCs w:val="21"/>
                <w:highlight w:val="none"/>
              </w:rPr>
            </w:pPr>
          </w:p>
          <w:p w14:paraId="5970EE06">
            <w:pPr>
              <w:snapToGrid w:val="0"/>
              <w:spacing w:line="400" w:lineRule="exact"/>
              <w:jc w:val="center"/>
              <w:rPr>
                <w:rFonts w:ascii="宋体" w:hAnsi="宋体"/>
                <w:color w:val="auto"/>
                <w:kern w:val="0"/>
                <w:szCs w:val="21"/>
                <w:highlight w:val="none"/>
              </w:rPr>
            </w:pPr>
          </w:p>
          <w:p w14:paraId="3FE41DE4">
            <w:pPr>
              <w:snapToGrid w:val="0"/>
              <w:spacing w:line="400" w:lineRule="exact"/>
              <w:jc w:val="center"/>
              <w:rPr>
                <w:rFonts w:ascii="宋体" w:hAnsi="宋体"/>
                <w:color w:val="auto"/>
                <w:kern w:val="0"/>
                <w:szCs w:val="21"/>
                <w:highlight w:val="none"/>
              </w:rPr>
            </w:pPr>
          </w:p>
          <w:p w14:paraId="698102BD">
            <w:pPr>
              <w:snapToGrid w:val="0"/>
              <w:spacing w:line="400" w:lineRule="exact"/>
              <w:jc w:val="center"/>
              <w:rPr>
                <w:rFonts w:ascii="宋体" w:hAnsi="宋体"/>
                <w:color w:val="auto"/>
                <w:kern w:val="0"/>
                <w:szCs w:val="21"/>
                <w:highlight w:val="none"/>
              </w:rPr>
            </w:pPr>
          </w:p>
          <w:p w14:paraId="7F32975C">
            <w:pPr>
              <w:snapToGrid w:val="0"/>
              <w:spacing w:line="400" w:lineRule="exact"/>
              <w:jc w:val="center"/>
              <w:rPr>
                <w:rFonts w:ascii="宋体" w:hAnsi="宋体"/>
                <w:color w:val="auto"/>
                <w:kern w:val="0"/>
                <w:szCs w:val="21"/>
                <w:highlight w:val="none"/>
              </w:rPr>
            </w:pPr>
          </w:p>
          <w:p w14:paraId="0EFA1EA3">
            <w:pPr>
              <w:snapToGrid w:val="0"/>
              <w:spacing w:line="400" w:lineRule="exact"/>
              <w:jc w:val="center"/>
              <w:rPr>
                <w:rFonts w:ascii="宋体" w:hAnsi="宋体"/>
                <w:color w:val="auto"/>
                <w:kern w:val="0"/>
                <w:szCs w:val="21"/>
                <w:highlight w:val="none"/>
              </w:rPr>
            </w:pPr>
          </w:p>
          <w:p w14:paraId="212FDFDD">
            <w:pPr>
              <w:snapToGrid w:val="0"/>
              <w:spacing w:line="400" w:lineRule="exact"/>
              <w:jc w:val="center"/>
              <w:rPr>
                <w:rFonts w:ascii="宋体" w:hAnsi="宋体"/>
                <w:color w:val="auto"/>
                <w:kern w:val="0"/>
                <w:szCs w:val="21"/>
                <w:highlight w:val="none"/>
              </w:rPr>
            </w:pPr>
          </w:p>
          <w:p w14:paraId="21B7DD97">
            <w:pPr>
              <w:snapToGrid w:val="0"/>
              <w:spacing w:line="400" w:lineRule="exact"/>
              <w:jc w:val="center"/>
              <w:rPr>
                <w:rFonts w:ascii="宋体" w:hAnsi="宋体"/>
                <w:color w:val="auto"/>
                <w:kern w:val="0"/>
                <w:szCs w:val="21"/>
                <w:highlight w:val="none"/>
              </w:rPr>
            </w:pPr>
          </w:p>
          <w:p w14:paraId="41F26060">
            <w:pPr>
              <w:snapToGrid w:val="0"/>
              <w:spacing w:line="400" w:lineRule="exact"/>
              <w:jc w:val="center"/>
              <w:rPr>
                <w:rFonts w:ascii="宋体" w:hAnsi="宋体"/>
                <w:color w:val="auto"/>
                <w:kern w:val="0"/>
                <w:szCs w:val="21"/>
                <w:highlight w:val="none"/>
              </w:rPr>
            </w:pPr>
          </w:p>
          <w:p w14:paraId="2C1660E2">
            <w:pPr>
              <w:snapToGrid w:val="0"/>
              <w:spacing w:line="400" w:lineRule="exact"/>
              <w:jc w:val="center"/>
              <w:rPr>
                <w:rFonts w:ascii="宋体" w:hAnsi="宋体"/>
                <w:color w:val="auto"/>
                <w:kern w:val="0"/>
                <w:szCs w:val="21"/>
                <w:highlight w:val="none"/>
              </w:rPr>
            </w:pPr>
          </w:p>
          <w:p w14:paraId="19C2DBA3">
            <w:pPr>
              <w:snapToGrid w:val="0"/>
              <w:spacing w:line="400" w:lineRule="exact"/>
              <w:jc w:val="center"/>
              <w:rPr>
                <w:rFonts w:ascii="宋体" w:hAnsi="宋体"/>
                <w:color w:val="auto"/>
                <w:kern w:val="0"/>
                <w:szCs w:val="21"/>
                <w:highlight w:val="none"/>
              </w:rPr>
            </w:pPr>
          </w:p>
          <w:p w14:paraId="6BF0D957">
            <w:pPr>
              <w:snapToGrid w:val="0"/>
              <w:spacing w:line="400" w:lineRule="exact"/>
              <w:jc w:val="center"/>
              <w:rPr>
                <w:rFonts w:ascii="宋体" w:hAnsi="宋体"/>
                <w:color w:val="auto"/>
                <w:kern w:val="0"/>
                <w:szCs w:val="21"/>
                <w:highlight w:val="none"/>
              </w:rPr>
            </w:pPr>
          </w:p>
          <w:p w14:paraId="12971671">
            <w:pPr>
              <w:snapToGrid w:val="0"/>
              <w:spacing w:line="400" w:lineRule="exact"/>
              <w:jc w:val="center"/>
              <w:rPr>
                <w:rFonts w:ascii="宋体" w:hAnsi="宋体"/>
                <w:color w:val="auto"/>
                <w:kern w:val="0"/>
                <w:szCs w:val="21"/>
                <w:highlight w:val="none"/>
              </w:rPr>
            </w:pPr>
          </w:p>
          <w:p w14:paraId="2265F514">
            <w:pPr>
              <w:snapToGrid w:val="0"/>
              <w:spacing w:line="400" w:lineRule="exact"/>
              <w:jc w:val="center"/>
              <w:rPr>
                <w:rFonts w:ascii="宋体" w:hAnsi="宋体"/>
                <w:color w:val="auto"/>
                <w:kern w:val="0"/>
                <w:szCs w:val="21"/>
                <w:highlight w:val="none"/>
              </w:rPr>
            </w:pPr>
          </w:p>
          <w:p w14:paraId="777F7C6D">
            <w:pPr>
              <w:snapToGrid w:val="0"/>
              <w:spacing w:line="400" w:lineRule="exact"/>
              <w:jc w:val="center"/>
              <w:rPr>
                <w:rFonts w:ascii="宋体" w:hAnsi="宋体"/>
                <w:color w:val="auto"/>
                <w:kern w:val="0"/>
                <w:szCs w:val="21"/>
                <w:highlight w:val="none"/>
              </w:rPr>
            </w:pPr>
          </w:p>
          <w:p w14:paraId="61C6F232">
            <w:pPr>
              <w:snapToGrid w:val="0"/>
              <w:spacing w:line="400" w:lineRule="exact"/>
              <w:jc w:val="center"/>
              <w:rPr>
                <w:rFonts w:ascii="宋体" w:hAnsi="宋体"/>
                <w:color w:val="auto"/>
                <w:kern w:val="0"/>
                <w:szCs w:val="21"/>
                <w:highlight w:val="none"/>
              </w:rPr>
            </w:pPr>
          </w:p>
          <w:p w14:paraId="4D5521F5">
            <w:pPr>
              <w:snapToGrid w:val="0"/>
              <w:spacing w:line="400" w:lineRule="exact"/>
              <w:jc w:val="center"/>
              <w:rPr>
                <w:rFonts w:ascii="宋体" w:hAnsi="宋体"/>
                <w:color w:val="auto"/>
                <w:kern w:val="0"/>
                <w:szCs w:val="21"/>
                <w:highlight w:val="none"/>
              </w:rPr>
            </w:pPr>
          </w:p>
          <w:p w14:paraId="5CF9F8EF">
            <w:pPr>
              <w:snapToGrid w:val="0"/>
              <w:spacing w:line="400" w:lineRule="exact"/>
              <w:jc w:val="center"/>
              <w:rPr>
                <w:rFonts w:ascii="宋体" w:hAnsi="宋体"/>
                <w:color w:val="auto"/>
                <w:kern w:val="0"/>
                <w:szCs w:val="21"/>
                <w:highlight w:val="none"/>
              </w:rPr>
            </w:pPr>
          </w:p>
          <w:p w14:paraId="3BF28857">
            <w:pPr>
              <w:snapToGrid w:val="0"/>
              <w:spacing w:line="400" w:lineRule="exact"/>
              <w:jc w:val="center"/>
              <w:rPr>
                <w:rFonts w:ascii="宋体" w:hAnsi="宋体"/>
                <w:color w:val="auto"/>
                <w:kern w:val="0"/>
                <w:szCs w:val="21"/>
                <w:highlight w:val="none"/>
              </w:rPr>
            </w:pPr>
          </w:p>
          <w:p w14:paraId="0E724F71">
            <w:pPr>
              <w:snapToGrid w:val="0"/>
              <w:spacing w:line="400" w:lineRule="exact"/>
              <w:jc w:val="center"/>
              <w:rPr>
                <w:rFonts w:ascii="宋体" w:hAnsi="宋体"/>
                <w:color w:val="auto"/>
                <w:kern w:val="0"/>
                <w:szCs w:val="21"/>
                <w:highlight w:val="none"/>
              </w:rPr>
            </w:pPr>
          </w:p>
          <w:p w14:paraId="05F4FFB5">
            <w:pPr>
              <w:snapToGrid w:val="0"/>
              <w:spacing w:line="400" w:lineRule="exact"/>
              <w:jc w:val="center"/>
              <w:rPr>
                <w:rFonts w:ascii="宋体" w:hAnsi="宋体"/>
                <w:color w:val="auto"/>
                <w:kern w:val="0"/>
                <w:szCs w:val="21"/>
                <w:highlight w:val="none"/>
              </w:rPr>
            </w:pPr>
          </w:p>
          <w:p w14:paraId="64B89BEF">
            <w:pPr>
              <w:snapToGrid w:val="0"/>
              <w:spacing w:line="400" w:lineRule="exact"/>
              <w:jc w:val="center"/>
              <w:rPr>
                <w:rFonts w:ascii="宋体" w:hAnsi="宋体"/>
                <w:color w:val="auto"/>
                <w:kern w:val="0"/>
                <w:szCs w:val="21"/>
                <w:highlight w:val="none"/>
              </w:rPr>
            </w:pPr>
          </w:p>
          <w:p w14:paraId="4A1412C0">
            <w:pPr>
              <w:snapToGrid w:val="0"/>
              <w:spacing w:line="400" w:lineRule="exact"/>
              <w:jc w:val="center"/>
              <w:rPr>
                <w:rFonts w:ascii="宋体" w:hAnsi="宋体"/>
                <w:color w:val="auto"/>
                <w:kern w:val="0"/>
                <w:szCs w:val="21"/>
                <w:highlight w:val="none"/>
              </w:rPr>
            </w:pPr>
          </w:p>
          <w:p w14:paraId="42AB135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投标人资质条件、能力和信誉</w:t>
            </w:r>
          </w:p>
          <w:p w14:paraId="324D4035">
            <w:pPr>
              <w:snapToGrid w:val="0"/>
              <w:spacing w:line="400" w:lineRule="exact"/>
              <w:jc w:val="center"/>
              <w:rPr>
                <w:rFonts w:ascii="宋体" w:hAnsi="宋体"/>
                <w:color w:val="auto"/>
                <w:kern w:val="0"/>
                <w:szCs w:val="21"/>
                <w:highlight w:val="none"/>
              </w:rPr>
            </w:pPr>
          </w:p>
          <w:p w14:paraId="754BC466">
            <w:pPr>
              <w:snapToGrid w:val="0"/>
              <w:spacing w:line="400" w:lineRule="exact"/>
              <w:jc w:val="center"/>
              <w:rPr>
                <w:rFonts w:ascii="宋体" w:hAnsi="宋体"/>
                <w:color w:val="auto"/>
                <w:kern w:val="0"/>
                <w:szCs w:val="21"/>
                <w:highlight w:val="none"/>
              </w:rPr>
            </w:pPr>
          </w:p>
          <w:p w14:paraId="2F3328BF">
            <w:pPr>
              <w:snapToGrid w:val="0"/>
              <w:spacing w:line="400" w:lineRule="exact"/>
              <w:jc w:val="center"/>
              <w:rPr>
                <w:rFonts w:ascii="宋体" w:hAnsi="宋体"/>
                <w:color w:val="auto"/>
                <w:kern w:val="0"/>
                <w:szCs w:val="21"/>
                <w:highlight w:val="none"/>
              </w:rPr>
            </w:pPr>
          </w:p>
          <w:p w14:paraId="6EC47909">
            <w:pPr>
              <w:snapToGrid w:val="0"/>
              <w:spacing w:line="400" w:lineRule="exact"/>
              <w:jc w:val="center"/>
              <w:rPr>
                <w:rFonts w:ascii="宋体" w:hAnsi="宋体"/>
                <w:color w:val="auto"/>
                <w:kern w:val="0"/>
                <w:szCs w:val="21"/>
                <w:highlight w:val="none"/>
              </w:rPr>
            </w:pPr>
          </w:p>
          <w:p w14:paraId="79DCA926">
            <w:pPr>
              <w:snapToGrid w:val="0"/>
              <w:spacing w:line="400" w:lineRule="exact"/>
              <w:jc w:val="center"/>
              <w:rPr>
                <w:rFonts w:ascii="宋体" w:hAnsi="宋体"/>
                <w:color w:val="auto"/>
                <w:kern w:val="0"/>
                <w:szCs w:val="21"/>
                <w:highlight w:val="none"/>
              </w:rPr>
            </w:pPr>
          </w:p>
          <w:p w14:paraId="49260E0C">
            <w:pPr>
              <w:snapToGrid w:val="0"/>
              <w:spacing w:line="400" w:lineRule="exact"/>
              <w:jc w:val="center"/>
              <w:rPr>
                <w:rFonts w:ascii="宋体" w:hAnsi="宋体"/>
                <w:color w:val="auto"/>
                <w:kern w:val="0"/>
                <w:szCs w:val="21"/>
                <w:highlight w:val="none"/>
              </w:rPr>
            </w:pPr>
          </w:p>
          <w:p w14:paraId="628348C7">
            <w:pPr>
              <w:snapToGrid w:val="0"/>
              <w:spacing w:line="400" w:lineRule="exact"/>
              <w:jc w:val="center"/>
              <w:rPr>
                <w:rFonts w:ascii="宋体" w:hAnsi="宋体"/>
                <w:color w:val="auto"/>
                <w:kern w:val="0"/>
                <w:szCs w:val="21"/>
                <w:highlight w:val="none"/>
              </w:rPr>
            </w:pPr>
          </w:p>
          <w:p w14:paraId="6B2BD7D9">
            <w:pPr>
              <w:snapToGrid w:val="0"/>
              <w:spacing w:line="400" w:lineRule="exact"/>
              <w:jc w:val="center"/>
              <w:rPr>
                <w:rFonts w:ascii="宋体" w:hAnsi="宋体"/>
                <w:color w:val="auto"/>
                <w:kern w:val="0"/>
                <w:szCs w:val="21"/>
                <w:highlight w:val="none"/>
              </w:rPr>
            </w:pPr>
          </w:p>
          <w:p w14:paraId="7D5DA9F1">
            <w:pPr>
              <w:snapToGrid w:val="0"/>
              <w:spacing w:line="400" w:lineRule="exact"/>
              <w:jc w:val="center"/>
              <w:rPr>
                <w:rFonts w:ascii="宋体" w:hAnsi="宋体"/>
                <w:color w:val="auto"/>
                <w:kern w:val="0"/>
                <w:szCs w:val="21"/>
                <w:highlight w:val="none"/>
              </w:rPr>
            </w:pPr>
          </w:p>
          <w:p w14:paraId="5EFFF81B">
            <w:pPr>
              <w:snapToGrid w:val="0"/>
              <w:spacing w:line="400" w:lineRule="exact"/>
              <w:jc w:val="center"/>
              <w:rPr>
                <w:rFonts w:ascii="宋体" w:hAnsi="宋体"/>
                <w:color w:val="auto"/>
                <w:kern w:val="0"/>
                <w:szCs w:val="21"/>
                <w:highlight w:val="none"/>
              </w:rPr>
            </w:pPr>
          </w:p>
          <w:p w14:paraId="664CC152">
            <w:pPr>
              <w:snapToGrid w:val="0"/>
              <w:spacing w:line="400" w:lineRule="exact"/>
              <w:jc w:val="center"/>
              <w:rPr>
                <w:rFonts w:ascii="宋体" w:hAnsi="宋体"/>
                <w:color w:val="auto"/>
                <w:kern w:val="0"/>
                <w:szCs w:val="21"/>
                <w:highlight w:val="none"/>
              </w:rPr>
            </w:pPr>
          </w:p>
          <w:p w14:paraId="114063BB">
            <w:pPr>
              <w:snapToGrid w:val="0"/>
              <w:spacing w:line="400" w:lineRule="exact"/>
              <w:jc w:val="center"/>
              <w:rPr>
                <w:rFonts w:ascii="宋体" w:hAnsi="宋体"/>
                <w:color w:val="auto"/>
                <w:kern w:val="0"/>
                <w:szCs w:val="21"/>
                <w:highlight w:val="none"/>
              </w:rPr>
            </w:pPr>
          </w:p>
          <w:p w14:paraId="19D8CE3F">
            <w:pPr>
              <w:snapToGrid w:val="0"/>
              <w:spacing w:line="400" w:lineRule="exact"/>
              <w:jc w:val="center"/>
              <w:rPr>
                <w:rFonts w:ascii="宋体" w:hAnsi="宋体"/>
                <w:color w:val="auto"/>
                <w:kern w:val="0"/>
                <w:szCs w:val="21"/>
                <w:highlight w:val="none"/>
              </w:rPr>
            </w:pPr>
          </w:p>
          <w:p w14:paraId="250A421B">
            <w:pPr>
              <w:snapToGrid w:val="0"/>
              <w:spacing w:line="400" w:lineRule="exact"/>
              <w:jc w:val="center"/>
              <w:rPr>
                <w:rFonts w:ascii="宋体" w:hAnsi="宋体"/>
                <w:color w:val="auto"/>
                <w:kern w:val="0"/>
                <w:szCs w:val="21"/>
                <w:highlight w:val="none"/>
              </w:rPr>
            </w:pPr>
          </w:p>
          <w:p w14:paraId="4DB3CB56">
            <w:pPr>
              <w:snapToGrid w:val="0"/>
              <w:spacing w:line="400" w:lineRule="exact"/>
              <w:jc w:val="center"/>
              <w:rPr>
                <w:rFonts w:ascii="宋体" w:hAnsi="宋体"/>
                <w:color w:val="auto"/>
                <w:kern w:val="0"/>
                <w:szCs w:val="21"/>
                <w:highlight w:val="none"/>
              </w:rPr>
            </w:pPr>
          </w:p>
          <w:p w14:paraId="31F12242">
            <w:pPr>
              <w:snapToGrid w:val="0"/>
              <w:spacing w:line="400" w:lineRule="exact"/>
              <w:jc w:val="center"/>
              <w:rPr>
                <w:rFonts w:ascii="宋体" w:hAnsi="宋体"/>
                <w:color w:val="auto"/>
                <w:kern w:val="0"/>
                <w:szCs w:val="21"/>
                <w:highlight w:val="none"/>
              </w:rPr>
            </w:pPr>
          </w:p>
          <w:p w14:paraId="75FF49E2">
            <w:pPr>
              <w:snapToGrid w:val="0"/>
              <w:spacing w:line="400" w:lineRule="exact"/>
              <w:jc w:val="center"/>
              <w:rPr>
                <w:rFonts w:ascii="宋体" w:hAnsi="宋体"/>
                <w:color w:val="auto"/>
                <w:kern w:val="0"/>
                <w:szCs w:val="21"/>
                <w:highlight w:val="none"/>
              </w:rPr>
            </w:pPr>
          </w:p>
          <w:p w14:paraId="4E2D9A24">
            <w:pPr>
              <w:snapToGrid w:val="0"/>
              <w:spacing w:line="400" w:lineRule="exact"/>
              <w:jc w:val="center"/>
              <w:rPr>
                <w:rFonts w:ascii="宋体" w:hAnsi="宋体"/>
                <w:color w:val="auto"/>
                <w:kern w:val="0"/>
                <w:szCs w:val="21"/>
                <w:highlight w:val="none"/>
              </w:rPr>
            </w:pPr>
          </w:p>
        </w:tc>
        <w:tc>
          <w:tcPr>
            <w:tcW w:w="6490" w:type="dxa"/>
            <w:vAlign w:val="center"/>
          </w:tcPr>
          <w:p w14:paraId="2EA115AB">
            <w:pPr>
              <w:autoSpaceDE w:val="0"/>
              <w:autoSpaceDN w:val="0"/>
              <w:adjustRightInd w:val="0"/>
              <w:snapToGrid w:val="0"/>
              <w:spacing w:before="62" w:beforeLines="20" w:line="400" w:lineRule="exact"/>
              <w:ind w:firstLine="420" w:firstLineChars="200"/>
              <w:rPr>
                <w:rFonts w:ascii="宋体" w:hAnsi="宋体"/>
                <w:i/>
                <w:color w:val="auto"/>
                <w:szCs w:val="21"/>
                <w:highlight w:val="none"/>
              </w:rPr>
            </w:pPr>
            <w:r>
              <w:rPr>
                <w:rFonts w:ascii="宋体" w:hAnsi="宋体"/>
                <w:i/>
                <w:color w:val="auto"/>
                <w:szCs w:val="21"/>
                <w:highlight w:val="none"/>
              </w:rPr>
              <w:t>[提示：适用于</w:t>
            </w:r>
            <w:r>
              <w:rPr>
                <w:rFonts w:hint="eastAsia" w:ascii="宋体" w:hAnsi="宋体"/>
                <w:i/>
                <w:color w:val="auto"/>
                <w:szCs w:val="21"/>
                <w:highlight w:val="none"/>
              </w:rPr>
              <w:t>未进行资格预审</w:t>
            </w:r>
            <w:r>
              <w:rPr>
                <w:rFonts w:ascii="宋体" w:hAnsi="宋体"/>
                <w:i/>
                <w:color w:val="auto"/>
                <w:szCs w:val="21"/>
                <w:highlight w:val="none"/>
              </w:rPr>
              <w:t>的项目，</w:t>
            </w:r>
            <w:r>
              <w:rPr>
                <w:rFonts w:hint="eastAsia" w:ascii="宋体" w:hAnsi="宋体"/>
                <w:i/>
                <w:color w:val="auto"/>
                <w:szCs w:val="21"/>
                <w:highlight w:val="none"/>
              </w:rPr>
              <w:t>第1、5、6、7项必须具备；</w:t>
            </w:r>
            <w:r>
              <w:rPr>
                <w:rFonts w:ascii="宋体" w:hAnsi="宋体"/>
                <w:i/>
                <w:color w:val="auto"/>
                <w:szCs w:val="21"/>
                <w:highlight w:val="none"/>
              </w:rPr>
              <w:t>第2</w:t>
            </w:r>
            <w:r>
              <w:rPr>
                <w:rFonts w:hint="eastAsia" w:ascii="宋体" w:hAnsi="宋体"/>
                <w:i/>
                <w:color w:val="auto"/>
                <w:szCs w:val="21"/>
                <w:highlight w:val="none"/>
              </w:rPr>
              <w:t>、3、4</w:t>
            </w:r>
            <w:r>
              <w:rPr>
                <w:rFonts w:ascii="宋体" w:hAnsi="宋体"/>
                <w:i/>
                <w:color w:val="auto"/>
                <w:szCs w:val="21"/>
                <w:highlight w:val="none"/>
              </w:rPr>
              <w:t>项由招标人根据项目情况选设</w:t>
            </w:r>
            <w:r>
              <w:rPr>
                <w:rFonts w:hint="eastAsia" w:ascii="宋体" w:hAnsi="宋体"/>
                <w:i/>
                <w:color w:val="auto"/>
                <w:szCs w:val="21"/>
                <w:highlight w:val="none"/>
              </w:rPr>
              <w:t>。</w:t>
            </w:r>
            <w:r>
              <w:rPr>
                <w:rFonts w:ascii="宋体" w:hAnsi="宋体"/>
                <w:i/>
                <w:color w:val="auto"/>
                <w:szCs w:val="21"/>
                <w:highlight w:val="none"/>
              </w:rPr>
              <w:t>]</w:t>
            </w:r>
          </w:p>
          <w:p w14:paraId="5C076877">
            <w:pPr>
              <w:autoSpaceDE w:val="0"/>
              <w:autoSpaceDN w:val="0"/>
              <w:adjustRightInd w:val="0"/>
              <w:snapToGrid w:val="0"/>
              <w:spacing w:line="400" w:lineRule="exact"/>
              <w:ind w:firstLine="420" w:firstLineChars="200"/>
              <w:rPr>
                <w:rFonts w:ascii="宋体" w:hAnsi="宋体"/>
                <w:color w:val="auto"/>
                <w:szCs w:val="21"/>
                <w:highlight w:val="none"/>
              </w:rPr>
            </w:pPr>
            <w:bookmarkStart w:id="152" w:name="OLE_LINK1"/>
            <w:r>
              <w:rPr>
                <w:rFonts w:ascii="宋体" w:hAnsi="宋体"/>
                <w:color w:val="auto"/>
                <w:szCs w:val="21"/>
                <w:highlight w:val="none"/>
              </w:rPr>
              <w:t>本工程招标实行资格后审，投标人应</w:t>
            </w:r>
            <w:bookmarkStart w:id="153" w:name="一是"/>
            <w:bookmarkEnd w:id="153"/>
            <w:r>
              <w:rPr>
                <w:rFonts w:ascii="宋体" w:hAnsi="宋体"/>
                <w:color w:val="auto"/>
                <w:szCs w:val="21"/>
                <w:highlight w:val="none"/>
              </w:rPr>
              <w:t>具备以下资格条件：</w:t>
            </w:r>
          </w:p>
          <w:bookmarkEnd w:id="152"/>
          <w:p w14:paraId="2D8955D8">
            <w:pPr>
              <w:autoSpaceDE w:val="0"/>
              <w:autoSpaceDN w:val="0"/>
              <w:adjustRightInd w:val="0"/>
              <w:snapToGrid w:val="0"/>
              <w:spacing w:line="400" w:lineRule="exact"/>
              <w:ind w:firstLine="422" w:firstLineChars="200"/>
              <w:rPr>
                <w:rFonts w:ascii="宋体" w:hAnsi="宋体"/>
                <w:b/>
                <w:color w:val="auto"/>
                <w:szCs w:val="21"/>
                <w:highlight w:val="none"/>
              </w:rPr>
            </w:pPr>
            <w:r>
              <w:rPr>
                <w:rFonts w:ascii="宋体" w:hAnsi="宋体"/>
                <w:b/>
                <w:color w:val="auto"/>
                <w:szCs w:val="21"/>
                <w:highlight w:val="none"/>
              </w:rPr>
              <w:t>1.资质条件、营业执照及安全生产条件</w:t>
            </w:r>
          </w:p>
          <w:p w14:paraId="11CA03D1">
            <w:pPr>
              <w:autoSpaceDE w:val="0"/>
              <w:autoSpaceDN w:val="0"/>
              <w:adjustRightInd w:val="0"/>
              <w:snapToGrid w:val="0"/>
              <w:spacing w:line="400" w:lineRule="exact"/>
              <w:ind w:firstLine="420" w:firstLineChars="200"/>
              <w:rPr>
                <w:rFonts w:ascii="宋体" w:hAnsi="宋体"/>
                <w:i/>
                <w:iCs/>
                <w:color w:val="auto"/>
                <w:szCs w:val="21"/>
                <w:highlight w:val="none"/>
              </w:rPr>
            </w:pPr>
            <w:r>
              <w:rPr>
                <w:rFonts w:ascii="宋体" w:hAnsi="宋体"/>
                <w:i/>
                <w:iCs/>
                <w:color w:val="auto"/>
                <w:szCs w:val="21"/>
                <w:highlight w:val="none"/>
              </w:rPr>
              <w:t>[</w:t>
            </w:r>
            <w:r>
              <w:rPr>
                <w:rFonts w:hint="eastAsia" w:ascii="宋体" w:hAnsi="宋体"/>
                <w:i/>
                <w:iCs/>
                <w:color w:val="auto"/>
                <w:szCs w:val="21"/>
                <w:highlight w:val="none"/>
              </w:rPr>
              <w:t>提示：</w:t>
            </w:r>
            <w:r>
              <w:rPr>
                <w:rFonts w:ascii="宋体" w:hAnsi="宋体"/>
                <w:i/>
                <w:iCs/>
                <w:color w:val="auto"/>
                <w:szCs w:val="21"/>
                <w:highlight w:val="none"/>
              </w:rPr>
              <w:t>本</w:t>
            </w:r>
            <w:r>
              <w:rPr>
                <w:rFonts w:hint="eastAsia" w:ascii="宋体" w:hAnsi="宋体"/>
                <w:i/>
                <w:iCs/>
                <w:color w:val="auto"/>
                <w:szCs w:val="21"/>
                <w:highlight w:val="none"/>
              </w:rPr>
              <w:t>项目</w:t>
            </w:r>
            <w:r>
              <w:rPr>
                <w:rFonts w:ascii="宋体" w:hAnsi="宋体"/>
                <w:i/>
                <w:iCs/>
                <w:color w:val="auto"/>
                <w:szCs w:val="21"/>
                <w:highlight w:val="none"/>
              </w:rPr>
              <w:t>资质设置严格按照</w:t>
            </w:r>
            <w:r>
              <w:rPr>
                <w:rFonts w:hint="eastAsia" w:ascii="宋体" w:hAnsi="宋体"/>
                <w:i/>
                <w:iCs/>
                <w:color w:val="auto"/>
                <w:szCs w:val="21"/>
                <w:highlight w:val="none"/>
              </w:rPr>
              <w:t>《</w:t>
            </w:r>
            <w:r>
              <w:rPr>
                <w:rFonts w:ascii="宋体" w:hAnsi="宋体"/>
                <w:i/>
                <w:iCs/>
                <w:color w:val="auto"/>
                <w:szCs w:val="21"/>
                <w:highlight w:val="none"/>
              </w:rPr>
              <w:t>建设工程勘察设计管理条例</w:t>
            </w:r>
            <w:r>
              <w:rPr>
                <w:rFonts w:hint="eastAsia" w:ascii="宋体" w:hAnsi="宋体"/>
                <w:i/>
                <w:iCs/>
                <w:color w:val="auto"/>
                <w:szCs w:val="21"/>
                <w:highlight w:val="none"/>
              </w:rPr>
              <w:t>》（</w:t>
            </w:r>
            <w:r>
              <w:rPr>
                <w:rFonts w:ascii="宋体" w:hAnsi="宋体"/>
                <w:i/>
                <w:iCs/>
                <w:color w:val="auto"/>
                <w:szCs w:val="21"/>
                <w:highlight w:val="none"/>
              </w:rPr>
              <w:t xml:space="preserve">国务院令第293号 </w:t>
            </w:r>
            <w:r>
              <w:rPr>
                <w:rFonts w:hint="eastAsia" w:ascii="宋体" w:hAnsi="宋体"/>
                <w:i/>
                <w:iCs/>
                <w:color w:val="auto"/>
                <w:szCs w:val="21"/>
                <w:highlight w:val="none"/>
              </w:rPr>
              <w:t>）、《</w:t>
            </w:r>
            <w:r>
              <w:rPr>
                <w:rFonts w:hint="eastAsia" w:ascii="Arial" w:hAnsi="Arial" w:cs="Arial"/>
                <w:i/>
                <w:iCs/>
                <w:color w:val="auto"/>
                <w:szCs w:val="21"/>
                <w:highlight w:val="none"/>
                <w:shd w:val="clear" w:color="auto" w:fill="FFFFFF"/>
              </w:rPr>
              <w:t>建设工程勘察设计资质管理规定</w:t>
            </w:r>
            <w:r>
              <w:rPr>
                <w:rFonts w:hint="eastAsia" w:ascii="宋体" w:hAnsi="宋体"/>
                <w:i/>
                <w:iCs/>
                <w:color w:val="auto"/>
                <w:szCs w:val="21"/>
                <w:highlight w:val="none"/>
              </w:rPr>
              <w:t>》</w:t>
            </w:r>
            <w:r>
              <w:rPr>
                <w:rFonts w:hint="eastAsia" w:ascii="Arial" w:hAnsi="Arial" w:cs="Arial"/>
                <w:i/>
                <w:iCs/>
                <w:color w:val="auto"/>
                <w:szCs w:val="21"/>
                <w:highlight w:val="none"/>
                <w:shd w:val="clear" w:color="auto" w:fill="FFFFFF"/>
              </w:rPr>
              <w:t>（建设部令第</w:t>
            </w:r>
            <w:r>
              <w:rPr>
                <w:rFonts w:ascii="宋体" w:hAnsi="宋体"/>
                <w:i/>
                <w:iCs/>
                <w:color w:val="auto"/>
                <w:szCs w:val="21"/>
                <w:highlight w:val="none"/>
              </w:rPr>
              <w:t>160</w:t>
            </w:r>
            <w:r>
              <w:rPr>
                <w:rFonts w:hint="eastAsia" w:ascii="Arial" w:hAnsi="Arial" w:cs="Arial"/>
                <w:i/>
                <w:iCs/>
                <w:color w:val="auto"/>
                <w:szCs w:val="21"/>
                <w:highlight w:val="none"/>
                <w:shd w:val="clear" w:color="auto" w:fill="FFFFFF"/>
              </w:rPr>
              <w:t>号）、</w:t>
            </w:r>
            <w:r>
              <w:rPr>
                <w:rFonts w:hint="eastAsia" w:ascii="宋体" w:hAnsi="宋体"/>
                <w:i/>
                <w:iCs/>
                <w:color w:val="auto"/>
                <w:szCs w:val="21"/>
                <w:highlight w:val="none"/>
              </w:rPr>
              <w:t>《工程设计资质标准》、</w:t>
            </w:r>
            <w:r>
              <w:rPr>
                <w:rFonts w:ascii="宋体" w:hAnsi="宋体"/>
                <w:i/>
                <w:iCs/>
                <w:color w:val="auto"/>
                <w:szCs w:val="21"/>
                <w:highlight w:val="none"/>
              </w:rPr>
              <w:t>《建筑业企业资质管理规定》（住房城乡建设部第22号令）、《住房城乡建设部关于印发《建筑业企业资质标准》的通知》（建市﹝2014﹞159号文）、住房城乡建设部关于印发《建筑业企业资质管理规定和资质标准实施意见》的通知（建市﹝2015﹞20号）、《住房城</w:t>
            </w:r>
            <w:r>
              <w:rPr>
                <w:rFonts w:ascii="宋体" w:hAnsi="宋体"/>
                <w:i/>
                <w:iCs/>
                <w:color w:val="auto"/>
                <w:spacing w:val="2"/>
                <w:szCs w:val="21"/>
                <w:highlight w:val="none"/>
              </w:rPr>
              <w:t>乡建设部关于建筑业企业资质管理有关问题的</w:t>
            </w:r>
            <w:r>
              <w:rPr>
                <w:rFonts w:ascii="宋体" w:hAnsi="宋体"/>
                <w:i/>
                <w:iCs/>
                <w:color w:val="auto"/>
                <w:szCs w:val="21"/>
                <w:highlight w:val="none"/>
              </w:rPr>
              <w:t>通知》（建市﹝2015﹞154号）</w:t>
            </w:r>
            <w:r>
              <w:rPr>
                <w:rFonts w:hint="eastAsia" w:ascii="宋体" w:hAnsi="宋体"/>
                <w:i/>
                <w:iCs/>
                <w:color w:val="auto"/>
                <w:szCs w:val="21"/>
                <w:highlight w:val="none"/>
              </w:rPr>
              <w:t>、《住房城乡建设部关于取消建筑智能化等</w:t>
            </w:r>
            <w:r>
              <w:rPr>
                <w:rFonts w:ascii="宋体" w:hAnsi="宋体"/>
                <w:i/>
                <w:iCs/>
                <w:color w:val="auto"/>
                <w:szCs w:val="21"/>
                <w:highlight w:val="none"/>
              </w:rPr>
              <w:t>4个工程设计与施工资质有关事项的通知》（建市﹝2015﹞102号）、《住房城乡建设部关于简化建筑业企业资质标准部分指标的通知》（建市﹝2016﹞226号）、《房屋建筑和市政基础设施项目工程总承包管理办法》（建市规〔2019〕12号）等相关</w:t>
            </w:r>
            <w:r>
              <w:rPr>
                <w:rFonts w:hint="eastAsia" w:ascii="宋体" w:hAnsi="宋体"/>
                <w:i/>
                <w:iCs/>
                <w:color w:val="auto"/>
                <w:szCs w:val="21"/>
                <w:highlight w:val="none"/>
              </w:rPr>
              <w:t>行业主管部门现行</w:t>
            </w:r>
            <w:r>
              <w:rPr>
                <w:rFonts w:ascii="宋体" w:hAnsi="宋体"/>
                <w:i/>
                <w:iCs/>
                <w:color w:val="auto"/>
                <w:szCs w:val="21"/>
                <w:highlight w:val="none"/>
              </w:rPr>
              <w:t>规定执行。</w:t>
            </w:r>
          </w:p>
          <w:p w14:paraId="43B3BCE2">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i/>
                <w:color w:val="auto"/>
                <w:szCs w:val="21"/>
                <w:highlight w:val="none"/>
              </w:rPr>
              <w:t>工程总承包项目应设定与工程规模相适应的工程设计资质和施工资质。施工资质应设定相应的施工总承包资质，不得再设置施工总承包资质已涵盖的任何专业承包资质。工程总承包项目中有设定的资质不能涵盖的工作内容的，应当允许分包。]</w:t>
            </w:r>
          </w:p>
          <w:p w14:paraId="565AFB99">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（1）</w:t>
            </w:r>
            <w:r>
              <w:rPr>
                <w:rFonts w:hint="eastAsia" w:ascii="宋体" w:hAnsi="宋体"/>
                <w:color w:val="auto"/>
                <w:szCs w:val="21"/>
                <w:highlight w:val="none"/>
              </w:rPr>
              <w:t>同时</w:t>
            </w:r>
            <w:r>
              <w:rPr>
                <w:rFonts w:ascii="宋体" w:hAnsi="宋体"/>
                <w:color w:val="auto"/>
                <w:szCs w:val="21"/>
                <w:highlight w:val="none"/>
              </w:rPr>
              <w:t>具备建设行政主管部门颁发的有效的</w:t>
            </w:r>
            <w:r>
              <w:rPr>
                <w:rFonts w:hint="eastAsia" w:ascii="宋体" w:hAnsi="宋体"/>
                <w:color w:val="auto"/>
                <w:szCs w:val="21"/>
                <w:highlight w:val="none"/>
              </w:rPr>
              <w:t>以下资质</w:t>
            </w:r>
            <w:r>
              <w:rPr>
                <w:rFonts w:ascii="宋体" w:hAnsi="宋体"/>
                <w:color w:val="auto"/>
                <w:szCs w:val="21"/>
                <w:highlight w:val="none"/>
              </w:rPr>
              <w:t>。</w:t>
            </w:r>
          </w:p>
          <w:p w14:paraId="7A78BB74">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设计资质：</w:t>
            </w:r>
            <w:r>
              <w:rPr>
                <w:rFonts w:hint="eastAsia" w:ascii="宋体" w:hAnsi="宋体"/>
                <w:color w:val="auto"/>
                <w:szCs w:val="21"/>
                <w:highlight w:val="none"/>
                <w:u w:val="single"/>
              </w:rPr>
              <w:t xml:space="preserve">           </w:t>
            </w:r>
          </w:p>
          <w:p w14:paraId="649DEA0E">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施工资质：</w:t>
            </w:r>
            <w:r>
              <w:rPr>
                <w:rFonts w:hint="eastAsia" w:ascii="宋体" w:hAnsi="宋体"/>
                <w:color w:val="auto"/>
                <w:szCs w:val="21"/>
                <w:highlight w:val="none"/>
                <w:u w:val="single"/>
              </w:rPr>
              <w:t xml:space="preserve">           </w:t>
            </w:r>
          </w:p>
          <w:p w14:paraId="337876E2">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w:t>
            </w:r>
            <w:r>
              <w:rPr>
                <w:rFonts w:ascii="宋体" w:hAnsi="宋体"/>
                <w:color w:val="auto"/>
                <w:szCs w:val="21"/>
                <w:highlight w:val="none"/>
              </w:rPr>
              <w:t>须</w:t>
            </w:r>
            <w:r>
              <w:rPr>
                <w:rFonts w:hint="eastAsia" w:ascii="宋体" w:hAnsi="宋体"/>
                <w:color w:val="auto"/>
                <w:szCs w:val="21"/>
                <w:highlight w:val="none"/>
              </w:rPr>
              <w:t>在投标文件资格审查部分</w:t>
            </w:r>
            <w:r>
              <w:rPr>
                <w:rFonts w:ascii="宋体" w:hAnsi="宋体"/>
                <w:color w:val="auto"/>
                <w:szCs w:val="21"/>
                <w:highlight w:val="none"/>
              </w:rPr>
              <w:t>提供</w:t>
            </w:r>
            <w:r>
              <w:rPr>
                <w:rFonts w:hint="eastAsia" w:ascii="宋体" w:hAnsi="宋体"/>
                <w:color w:val="auto"/>
                <w:szCs w:val="21"/>
                <w:highlight w:val="none"/>
              </w:rPr>
              <w:t>有效的资质证书（施工资质证书应带二维码标识）</w:t>
            </w:r>
            <w:r>
              <w:rPr>
                <w:rFonts w:ascii="宋体" w:hAnsi="宋体"/>
                <w:color w:val="auto"/>
                <w:szCs w:val="21"/>
                <w:highlight w:val="none"/>
              </w:rPr>
              <w:t>。</w:t>
            </w:r>
          </w:p>
          <w:p w14:paraId="74A8A6B4">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bCs/>
                <w:color w:val="auto"/>
                <w:szCs w:val="21"/>
                <w:highlight w:val="none"/>
              </w:rPr>
              <w:t>□</w:t>
            </w:r>
            <w:r>
              <w:rPr>
                <w:rFonts w:hint="eastAsia" w:ascii="宋体" w:hAnsi="宋体"/>
                <w:color w:val="auto"/>
                <w:szCs w:val="21"/>
                <w:highlight w:val="none"/>
              </w:rPr>
              <w:t>联合体投标的，按联合体协议约定的分工分别提供相应的资质证书。</w:t>
            </w:r>
          </w:p>
          <w:p w14:paraId="04E21825">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（2）具备有效的营业执照。</w:t>
            </w:r>
          </w:p>
          <w:p w14:paraId="4C609482">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w:t>
            </w:r>
            <w:r>
              <w:rPr>
                <w:rFonts w:ascii="宋体" w:hAnsi="宋体"/>
                <w:color w:val="auto"/>
                <w:szCs w:val="21"/>
                <w:highlight w:val="none"/>
              </w:rPr>
              <w:t>须</w:t>
            </w:r>
            <w:r>
              <w:rPr>
                <w:rFonts w:hint="eastAsia" w:ascii="宋体" w:hAnsi="宋体"/>
                <w:color w:val="auto"/>
                <w:szCs w:val="21"/>
                <w:highlight w:val="none"/>
              </w:rPr>
              <w:t>在投标文件资格审查部分</w:t>
            </w:r>
            <w:r>
              <w:rPr>
                <w:rFonts w:ascii="宋体" w:hAnsi="宋体"/>
                <w:color w:val="auto"/>
                <w:szCs w:val="21"/>
                <w:highlight w:val="none"/>
              </w:rPr>
              <w:t>提供有效的带二维码</w:t>
            </w:r>
            <w:r>
              <w:rPr>
                <w:rFonts w:hint="eastAsia" w:ascii="宋体" w:hAnsi="宋体"/>
                <w:color w:val="auto"/>
                <w:szCs w:val="21"/>
                <w:highlight w:val="none"/>
              </w:rPr>
              <w:t>标识</w:t>
            </w:r>
            <w:r>
              <w:rPr>
                <w:rFonts w:ascii="宋体" w:hAnsi="宋体"/>
                <w:color w:val="auto"/>
                <w:szCs w:val="21"/>
                <w:highlight w:val="none"/>
              </w:rPr>
              <w:t>的营业执照。</w:t>
            </w:r>
          </w:p>
          <w:p w14:paraId="7D70D7E4">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bCs/>
                <w:color w:val="auto"/>
                <w:szCs w:val="21"/>
                <w:highlight w:val="none"/>
              </w:rPr>
              <w:t>□</w:t>
            </w:r>
            <w:r>
              <w:rPr>
                <w:rFonts w:hint="eastAsia" w:ascii="宋体" w:hAnsi="宋体"/>
                <w:color w:val="auto"/>
                <w:szCs w:val="21"/>
                <w:highlight w:val="none"/>
              </w:rPr>
              <w:t>联合体投标的，联合体各方均需提供营业执照。</w:t>
            </w:r>
          </w:p>
          <w:p w14:paraId="44B9046E">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（3）具备建设行政主管部门颁发的有效的安全生产许可证，企业</w:t>
            </w:r>
            <w:r>
              <w:rPr>
                <w:rFonts w:hint="eastAsia" w:ascii="宋体" w:hAnsi="宋体"/>
                <w:color w:val="auto"/>
                <w:szCs w:val="21"/>
                <w:highlight w:val="none"/>
              </w:rPr>
              <w:t>主要</w:t>
            </w:r>
            <w:r>
              <w:rPr>
                <w:rFonts w:ascii="宋体" w:hAnsi="宋体"/>
                <w:color w:val="auto"/>
                <w:szCs w:val="21"/>
                <w:highlight w:val="none"/>
              </w:rPr>
              <w:t>负责人、拟担任该项目</w:t>
            </w:r>
            <w:r>
              <w:rPr>
                <w:rFonts w:hint="eastAsia" w:ascii="宋体" w:hAnsi="宋体"/>
                <w:color w:val="auto"/>
                <w:szCs w:val="21"/>
                <w:highlight w:val="none"/>
              </w:rPr>
              <w:t>施工负责人</w:t>
            </w:r>
            <w:r>
              <w:rPr>
                <w:rFonts w:ascii="宋体" w:hAnsi="宋体"/>
                <w:color w:val="auto"/>
                <w:szCs w:val="21"/>
                <w:highlight w:val="none"/>
              </w:rPr>
              <w:t>具备相应的由建设行政主管部门颁发的有效的安全生产考核合格证书</w:t>
            </w:r>
            <w:r>
              <w:rPr>
                <w:rFonts w:hint="eastAsia" w:ascii="宋体" w:hAnsi="宋体"/>
                <w:color w:val="auto"/>
                <w:szCs w:val="21"/>
                <w:highlight w:val="none"/>
              </w:rPr>
              <w:t>。</w:t>
            </w:r>
          </w:p>
          <w:p w14:paraId="2D09DF9F">
            <w:pPr>
              <w:autoSpaceDE w:val="0"/>
              <w:autoSpaceDN w:val="0"/>
              <w:adjustRightInd w:val="0"/>
              <w:snapToGrid w:val="0"/>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[提示：按建质〔2015〕206号文规定执行</w:t>
            </w:r>
            <w:r>
              <w:rPr>
                <w:rFonts w:ascii="宋体" w:hAnsi="宋体"/>
                <w:i/>
                <w:color w:val="auto"/>
                <w:szCs w:val="21"/>
                <w:highlight w:val="none"/>
              </w:rPr>
              <w:t>。</w:t>
            </w:r>
            <w:r>
              <w:rPr>
                <w:rFonts w:hint="eastAsia" w:ascii="宋体" w:hAnsi="宋体"/>
                <w:i/>
                <w:color w:val="auto"/>
                <w:szCs w:val="21"/>
                <w:highlight w:val="none"/>
              </w:rPr>
              <w:t>]</w:t>
            </w:r>
          </w:p>
          <w:p w14:paraId="4EAFCACA">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投标人须在投标文件资格审查部分提供有效的安全生产许可证</w:t>
            </w:r>
            <w:r>
              <w:rPr>
                <w:rFonts w:ascii="宋体" w:hAnsi="宋体"/>
                <w:color w:val="auto"/>
                <w:szCs w:val="21"/>
                <w:highlight w:val="none"/>
              </w:rPr>
              <w:t>及安全生产考核合格证书。</w:t>
            </w:r>
          </w:p>
          <w:p w14:paraId="62DAE819">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bCs/>
                <w:color w:val="auto"/>
                <w:szCs w:val="21"/>
                <w:highlight w:val="none"/>
              </w:rPr>
              <w:t>□</w:t>
            </w:r>
            <w:r>
              <w:rPr>
                <w:rFonts w:hint="eastAsia" w:ascii="宋体" w:hAnsi="宋体"/>
                <w:color w:val="auto"/>
                <w:szCs w:val="21"/>
                <w:highlight w:val="none"/>
              </w:rPr>
              <w:t>联合体投标的，由负责施工的联合体成员提供。</w:t>
            </w:r>
          </w:p>
          <w:p w14:paraId="6406B1FE">
            <w:pPr>
              <w:autoSpaceDE w:val="0"/>
              <w:autoSpaceDN w:val="0"/>
              <w:adjustRightInd w:val="0"/>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w:t>
            </w:r>
            <w:r>
              <w:rPr>
                <w:rFonts w:ascii="宋体" w:hAnsi="宋体"/>
                <w:b/>
                <w:color w:val="auto"/>
                <w:szCs w:val="21"/>
                <w:highlight w:val="none"/>
              </w:rPr>
              <w:t>2.财务要求</w:t>
            </w:r>
          </w:p>
          <w:p w14:paraId="6D62472D">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年的年度财务状况不亏损。</w:t>
            </w:r>
          </w:p>
          <w:p w14:paraId="31E7C55B">
            <w:pPr>
              <w:snapToGrid w:val="0"/>
              <w:spacing w:line="400" w:lineRule="exact"/>
              <w:ind w:firstLine="420" w:firstLineChars="200"/>
              <w:rPr>
                <w:rFonts w:ascii="宋体" w:hAnsi="宋体"/>
                <w:color w:val="auto"/>
                <w:kern w:val="0"/>
                <w:szCs w:val="21"/>
                <w:highlight w:val="none"/>
              </w:rPr>
            </w:pPr>
            <w:r>
              <w:rPr>
                <w:rFonts w:hint="eastAsia" w:ascii="宋体" w:hAnsi="宋体"/>
                <w:i/>
                <w:color w:val="auto"/>
                <w:kern w:val="0"/>
                <w:szCs w:val="21"/>
                <w:highlight w:val="none"/>
              </w:rPr>
              <w:t>[提示：招标人可要求提供1至3年的年度财务要求。]</w:t>
            </w:r>
          </w:p>
          <w:p w14:paraId="1F5BDC6D">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投标人须在投标文件资格审查部分提供经会计师事务所或审计机构出具的合法有效的财务审计报告及财务报表，财务报表须至少包括现金流量表、资产负债表、利润表。</w:t>
            </w:r>
          </w:p>
          <w:p w14:paraId="26A84204">
            <w:pPr>
              <w:snapToGrid w:val="0"/>
              <w:spacing w:line="400" w:lineRule="exact"/>
              <w:ind w:firstLine="420" w:firstLineChars="200"/>
              <w:rPr>
                <w:rFonts w:ascii="宋体" w:hAnsi="宋体"/>
                <w:color w:val="auto"/>
                <w:kern w:val="0"/>
                <w:szCs w:val="21"/>
                <w:highlight w:val="none"/>
              </w:rPr>
            </w:pPr>
            <w:r>
              <w:rPr>
                <w:rFonts w:hint="eastAsia" w:ascii="宋体" w:hAnsi="宋体"/>
                <w:bCs/>
                <w:color w:val="auto"/>
                <w:szCs w:val="21"/>
                <w:highlight w:val="none"/>
              </w:rPr>
              <w:t>□</w:t>
            </w:r>
            <w:r>
              <w:rPr>
                <w:rFonts w:hint="eastAsia" w:ascii="宋体" w:hAnsi="宋体"/>
                <w:color w:val="auto"/>
                <w:kern w:val="0"/>
                <w:szCs w:val="21"/>
                <w:highlight w:val="none"/>
              </w:rPr>
              <w:t>联合体投标的，联合体各方均需满足上述财务要求。</w:t>
            </w:r>
          </w:p>
          <w:p w14:paraId="47733077">
            <w:pPr>
              <w:autoSpaceDE w:val="0"/>
              <w:autoSpaceDN w:val="0"/>
              <w:adjustRightInd w:val="0"/>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w:t>
            </w:r>
            <w:r>
              <w:rPr>
                <w:rFonts w:ascii="宋体" w:hAnsi="宋体"/>
                <w:b/>
                <w:color w:val="auto"/>
                <w:szCs w:val="21"/>
                <w:highlight w:val="none"/>
              </w:rPr>
              <w:t>3.业绩要求</w:t>
            </w:r>
          </w:p>
          <w:p w14:paraId="1444F3B1">
            <w:pPr>
              <w:adjustRightInd w:val="0"/>
              <w:snapToGrid w:val="0"/>
              <w:spacing w:line="400" w:lineRule="exact"/>
              <w:ind w:firstLine="420" w:firstLineChars="200"/>
              <w:rPr>
                <w:color w:val="auto"/>
                <w:highlight w:val="none"/>
              </w:rPr>
            </w:pPr>
            <w:r>
              <w:rPr>
                <w:rFonts w:hint="eastAsia" w:ascii="宋体" w:hAnsi="宋体"/>
                <w:i/>
                <w:color w:val="auto"/>
                <w:szCs w:val="21"/>
                <w:highlight w:val="none"/>
              </w:rPr>
              <w:t>[提示：1、工程类别的设定原则上应当满足《建设工程分类标准》（GB/T 50841-2013）的要求，其具体要求使用至三级目录为止，具体详见《建设工程分类标准》（GB/T 50841-2013）附录A、附录B、附录C；</w:t>
            </w:r>
            <w:r>
              <w:rPr>
                <w:rFonts w:ascii="宋体" w:hAnsi="宋体"/>
                <w:i/>
                <w:color w:val="auto"/>
                <w:szCs w:val="21"/>
                <w:highlight w:val="none"/>
              </w:rPr>
              <w:t>2</w:t>
            </w:r>
            <w:r>
              <w:rPr>
                <w:rFonts w:hint="eastAsia" w:ascii="宋体" w:hAnsi="宋体"/>
                <w:i/>
                <w:color w:val="auto"/>
                <w:szCs w:val="21"/>
                <w:highlight w:val="none"/>
              </w:rPr>
              <w:t>、采用金额为业绩条件的，其类似业绩金额的设定原则上不高于该招标项目估算价或经批准的概算中工程费用金额或最高限价的四分之三；</w:t>
            </w:r>
            <w:r>
              <w:rPr>
                <w:rFonts w:ascii="宋体" w:hAnsi="宋体"/>
                <w:i/>
                <w:color w:val="auto"/>
                <w:szCs w:val="21"/>
                <w:highlight w:val="none"/>
              </w:rPr>
              <w:t>3</w:t>
            </w:r>
            <w:r>
              <w:rPr>
                <w:rFonts w:hint="eastAsia" w:ascii="宋体" w:hAnsi="宋体"/>
                <w:i/>
                <w:color w:val="auto"/>
                <w:szCs w:val="21"/>
                <w:highlight w:val="none"/>
              </w:rPr>
              <w:t>、采用工程规模的具体参数为业绩条件的，工程规模的类别设定原则上应当采用《建筑业企业资质标准》（建市〔2014〕159号）中“承包工程范围”中明确设立了的工程规模类别，且工程规模的具体参数原则上不高于招标项目工程规模数值的四分之三（但降低了相关规模标准等级的除外），投标人提供的业绩其具体参数应大于等于该业绩条件。后文中工程总承包项目经理、设计负责人、施工负责人等人员类似业绩按此要求设置。]</w:t>
            </w:r>
          </w:p>
          <w:p w14:paraId="012EF744">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投标人提供的类似业绩应同时满足以下要求：</w:t>
            </w:r>
          </w:p>
          <w:p w14:paraId="63C8166C">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3.1业绩时间要求：</w:t>
            </w:r>
            <w:r>
              <w:rPr>
                <w:rFonts w:ascii="宋体" w:hAnsi="宋体"/>
                <w:color w:val="auto"/>
                <w:kern w:val="0"/>
                <w:szCs w:val="21"/>
                <w:highlight w:val="none"/>
              </w:rPr>
              <w:t>投标截止日前</w:t>
            </w:r>
            <w:r>
              <w:rPr>
                <w:rFonts w:hint="eastAsia" w:ascii="宋体" w:hAnsi="宋体"/>
                <w:color w:val="auto"/>
                <w:kern w:val="0"/>
                <w:szCs w:val="21"/>
                <w:highlight w:val="none"/>
              </w:rPr>
              <w:t>□3□5□8</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ascii="宋体" w:hAnsi="宋体"/>
                <w:color w:val="auto"/>
                <w:szCs w:val="21"/>
                <w:highlight w:val="none"/>
              </w:rPr>
              <w:t>年</w:t>
            </w:r>
            <w:r>
              <w:rPr>
                <w:rFonts w:hint="eastAsia" w:ascii="宋体" w:hAnsi="宋体"/>
                <w:i/>
                <w:iCs/>
                <w:color w:val="auto"/>
                <w:szCs w:val="21"/>
                <w:highlight w:val="none"/>
              </w:rPr>
              <w:t>[提示：8年以上选填]</w:t>
            </w:r>
            <w:r>
              <w:rPr>
                <w:rFonts w:ascii="宋体" w:hAnsi="宋体"/>
                <w:color w:val="auto"/>
                <w:szCs w:val="21"/>
                <w:highlight w:val="none"/>
              </w:rPr>
              <w:t>内</w:t>
            </w:r>
            <w:r>
              <w:rPr>
                <w:rFonts w:hint="eastAsia" w:ascii="宋体" w:hAnsi="宋体"/>
                <w:color w:val="auto"/>
                <w:szCs w:val="21"/>
                <w:highlight w:val="none"/>
              </w:rPr>
              <w:t>，指</w:t>
            </w:r>
            <w:r>
              <w:rPr>
                <w:rFonts w:hint="eastAsia" w:ascii="宋体" w:hAnsi="宋体"/>
                <w:color w:val="auto"/>
                <w:szCs w:val="21"/>
                <w:highlight w:val="none"/>
                <w:u w:val="single"/>
              </w:rPr>
              <w:t xml:space="preserve">    </w:t>
            </w:r>
            <w:r>
              <w:rPr>
                <w:rFonts w:hint="eastAsia" w:ascii="宋体" w:hAnsi="宋体"/>
                <w:color w:val="auto"/>
                <w:szCs w:val="21"/>
                <w:highlight w:val="none"/>
              </w:rPr>
              <w:t>年1月1日起至投标截止日止（工程总承包业绩或施工业绩以工程竣工时间为准，设计业绩以施工图审查合格时间为准）。</w:t>
            </w:r>
          </w:p>
          <w:p w14:paraId="03B84ECF">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3.2业绩类型要求：只须符合下列（1）、（2）情形之一</w:t>
            </w:r>
          </w:p>
          <w:p w14:paraId="39BA79ED">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（1）1个工程总承包业绩；</w:t>
            </w:r>
          </w:p>
          <w:p w14:paraId="7999DC32">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（2）具有□</w:t>
            </w:r>
            <w:r>
              <w:rPr>
                <w:rFonts w:ascii="宋体" w:hAnsi="宋体"/>
                <w:color w:val="auto"/>
                <w:szCs w:val="21"/>
                <w:highlight w:val="none"/>
              </w:rPr>
              <w:t>1</w:t>
            </w:r>
            <w:r>
              <w:rPr>
                <w:rFonts w:hint="eastAsia" w:ascii="宋体" w:hAnsi="宋体"/>
                <w:color w:val="auto"/>
                <w:szCs w:val="21"/>
                <w:highlight w:val="none"/>
              </w:rPr>
              <w:t>个设计业绩、□</w:t>
            </w:r>
            <w:r>
              <w:rPr>
                <w:rFonts w:ascii="宋体" w:hAnsi="宋体"/>
                <w:color w:val="auto"/>
                <w:szCs w:val="21"/>
                <w:highlight w:val="none"/>
              </w:rPr>
              <w:t>1</w:t>
            </w:r>
            <w:r>
              <w:rPr>
                <w:rFonts w:hint="eastAsia" w:ascii="宋体" w:hAnsi="宋体"/>
                <w:color w:val="auto"/>
                <w:szCs w:val="21"/>
                <w:highlight w:val="none"/>
              </w:rPr>
              <w:t>个施工业绩。</w:t>
            </w:r>
            <w:r>
              <w:rPr>
                <w:rFonts w:hint="eastAsia" w:ascii="宋体" w:hAnsi="宋体"/>
                <w:i/>
                <w:iCs/>
                <w:color w:val="auto"/>
                <w:szCs w:val="21"/>
                <w:highlight w:val="none"/>
              </w:rPr>
              <w:t>[提示：第（2）项由招标人根据项目实际情况确定，至少选择其中一项。]</w:t>
            </w:r>
          </w:p>
          <w:p w14:paraId="138E2F3F">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3.3业绩规模要求：</w:t>
            </w:r>
          </w:p>
          <w:p w14:paraId="130D44DC">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6FEA71CB">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若同时设置了工程造价和工程规模要求，则只须满足其中之一</w:t>
            </w:r>
          </w:p>
          <w:p w14:paraId="639D2286">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□工程造价（设计业绩对应为工程投资额）：</w:t>
            </w:r>
            <w:r>
              <w:rPr>
                <w:rFonts w:hint="eastAsia" w:ascii="宋体" w:hAnsi="宋体"/>
                <w:color w:val="auto"/>
                <w:szCs w:val="21"/>
                <w:highlight w:val="none"/>
                <w:u w:val="single"/>
              </w:rPr>
              <w:t xml:space="preserve">        </w:t>
            </w:r>
          </w:p>
          <w:p w14:paraId="66B64BB6">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7E1953C5">
            <w:pPr>
              <w:autoSpaceDE w:val="0"/>
              <w:autoSpaceDN w:val="0"/>
              <w:adjustRightInd w:val="0"/>
              <w:snapToGrid w:val="0"/>
              <w:spacing w:line="400" w:lineRule="exact"/>
              <w:ind w:firstLine="420" w:firstLineChars="200"/>
              <w:rPr>
                <w:color w:val="auto"/>
                <w:highlight w:val="none"/>
              </w:rPr>
            </w:pPr>
            <w:r>
              <w:rPr>
                <w:rFonts w:hint="eastAsia" w:ascii="宋体" w:hAnsi="宋体"/>
                <w:i/>
                <w:color w:val="auto"/>
                <w:szCs w:val="21"/>
                <w:highlight w:val="none"/>
              </w:rPr>
              <w:t>[提示：根据招标项目实际情况选用。]</w:t>
            </w:r>
          </w:p>
          <w:p w14:paraId="11912428">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□联合体投标的，按联合体协议约定的分工分别提供相应的设计、施工业绩；</w:t>
            </w:r>
          </w:p>
          <w:p w14:paraId="4CDFE309">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3.4业绩证明材料要求：</w:t>
            </w:r>
          </w:p>
          <w:p w14:paraId="4EC25AC5">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提供施工业绩的：投标人须在投标文件资格审查部分提供该业绩在“全国建筑市场监管公共服务平台”的网页截图，截图数量不限但须能反映完整的网站名称、工程名称、中标单位名称（或承包单位名称或施工企业名称），每张截图需清晰并显示完整的网址方为有效。若截图能反映业绩要求对应的业绩信息（如竣工时间、工程类别、工程造价、工程规模等）的，则无需提供其他证明材料；若截图不能反映业绩要求对应的业绩信息（如竣工时间、工程类别、工程造价、工程规模等）的，应提供中标通知书（直接发包的项目可提供项目发包人出具的项目直接发包情况说明或证明文书代替）、合同协议书、工程竣工验收合格证明材料中的一种或几种作为证明材料。</w:t>
            </w:r>
          </w:p>
          <w:p w14:paraId="6432E2E6">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提供工程总承包业绩的：投标人须在投标文件资格审查部分提供该业绩的中标通知书（直接发包的项目可提供项目发包人出具的项目直接发包情况说明或证明文书代替）、合同协议书和工程竣工验收合格证明材料。</w:t>
            </w:r>
          </w:p>
          <w:p w14:paraId="0098610E">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提供设计业绩的：投标人须在投标文件资格审查部分提供该业绩的中标通知书（直接发包的项目可提供项目发包人出具的项目直接发包情况说明或证明文书代替）、合同协议书和施工图审查合格证明材料。</w:t>
            </w:r>
          </w:p>
          <w:p w14:paraId="79926D37">
            <w:pPr>
              <w:autoSpaceDE w:val="0"/>
              <w:autoSpaceDN w:val="0"/>
              <w:adjustRightInd w:val="0"/>
              <w:snapToGrid w:val="0"/>
              <w:spacing w:line="400" w:lineRule="exact"/>
              <w:ind w:firstLine="415" w:firstLineChars="198"/>
              <w:rPr>
                <w:color w:val="auto"/>
                <w:highlight w:val="none"/>
              </w:rPr>
            </w:pPr>
            <w:r>
              <w:rPr>
                <w:rFonts w:hint="eastAsia" w:ascii="宋体" w:hAnsi="宋体"/>
                <w:color w:val="auto"/>
                <w:szCs w:val="21"/>
                <w:highlight w:val="none"/>
              </w:rPr>
              <w:t>若提供的上述业绩证明材料不能体现工程类别、工程规模信息的，应提供业主证明。</w:t>
            </w:r>
          </w:p>
          <w:p w14:paraId="439A735B">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注：</w:t>
            </w:r>
          </w:p>
          <w:p w14:paraId="67CCEDA7">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1）投标人应对其提供的业绩证明材料（含截图）的真实性负责。当以上业绩证明材料体现的竣工时间（设计业绩为施工图审查合格时间）、工程造价（设计业绩为工程投资额）、工程类别、工程规模等信息不一致时，按不利于投标人的原则进行解释。</w:t>
            </w:r>
          </w:p>
          <w:p w14:paraId="090D211E">
            <w:pPr>
              <w:autoSpaceDE w:val="0"/>
              <w:autoSpaceDN w:val="0"/>
              <w:adjustRightInd w:val="0"/>
              <w:snapToGrid w:val="0"/>
              <w:spacing w:line="400" w:lineRule="exact"/>
              <w:ind w:firstLine="415" w:firstLineChars="198"/>
              <w:rPr>
                <w:color w:val="auto"/>
                <w:highlight w:val="none"/>
              </w:rPr>
            </w:pPr>
            <w:r>
              <w:rPr>
                <w:rFonts w:hint="eastAsia"/>
                <w:color w:val="auto"/>
                <w:highlight w:val="none"/>
              </w:rPr>
              <w:t>（</w:t>
            </w:r>
            <w:r>
              <w:rPr>
                <w:color w:val="auto"/>
                <w:highlight w:val="none"/>
              </w:rPr>
              <w:t>2</w:t>
            </w:r>
            <w:r>
              <w:rPr>
                <w:rFonts w:hint="eastAsia"/>
                <w:color w:val="auto"/>
                <w:highlight w:val="none"/>
              </w:rPr>
              <w:t>）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14:paraId="63CCAE41">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不满足上述业绩要求的业绩无效。</w:t>
            </w:r>
          </w:p>
          <w:p w14:paraId="3E650B82">
            <w:pPr>
              <w:adjustRightInd w:val="0"/>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w:t>
            </w:r>
            <w:r>
              <w:rPr>
                <w:rFonts w:ascii="宋体" w:hAnsi="宋体"/>
                <w:b/>
                <w:color w:val="auto"/>
                <w:szCs w:val="21"/>
                <w:highlight w:val="none"/>
              </w:rPr>
              <w:t>4.</w:t>
            </w:r>
            <w:r>
              <w:rPr>
                <w:rFonts w:hint="eastAsia" w:ascii="宋体" w:hAnsi="宋体"/>
                <w:b/>
                <w:color w:val="auto"/>
                <w:szCs w:val="21"/>
                <w:highlight w:val="none"/>
              </w:rPr>
              <w:t>专业设备材料供货资格</w:t>
            </w:r>
          </w:p>
          <w:p w14:paraId="620EFFA0">
            <w:pPr>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bCs/>
                <w:color w:val="auto"/>
                <w:szCs w:val="21"/>
                <w:highlight w:val="none"/>
              </w:rPr>
              <w:t>□</w:t>
            </w:r>
            <w:r>
              <w:rPr>
                <w:rFonts w:hint="eastAsia" w:ascii="宋体" w:hAnsi="宋体"/>
                <w:color w:val="auto"/>
                <w:szCs w:val="21"/>
                <w:highlight w:val="none"/>
              </w:rPr>
              <w:t>（1）专业设备材料供应商资质要求：</w:t>
            </w:r>
            <w:r>
              <w:rPr>
                <w:rFonts w:hint="eastAsia" w:ascii="宋体" w:hAnsi="宋体"/>
                <w:color w:val="auto"/>
                <w:szCs w:val="21"/>
                <w:highlight w:val="none"/>
                <w:u w:val="single"/>
              </w:rPr>
              <w:t xml:space="preserve">                    ；</w:t>
            </w:r>
          </w:p>
          <w:p w14:paraId="67192A53">
            <w:pPr>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bCs/>
                <w:color w:val="auto"/>
                <w:szCs w:val="21"/>
                <w:highlight w:val="none"/>
              </w:rPr>
              <w:t>□</w:t>
            </w:r>
            <w:r>
              <w:rPr>
                <w:rFonts w:hint="eastAsia" w:ascii="宋体" w:hAnsi="宋体"/>
                <w:color w:val="auto"/>
                <w:szCs w:val="21"/>
                <w:highlight w:val="none"/>
              </w:rPr>
              <w:t>（2）专业设备材料供应商供货能力：</w:t>
            </w:r>
            <w:r>
              <w:rPr>
                <w:rFonts w:hint="eastAsia" w:ascii="宋体" w:hAnsi="宋体"/>
                <w:color w:val="auto"/>
                <w:szCs w:val="21"/>
                <w:highlight w:val="none"/>
                <w:u w:val="single"/>
              </w:rPr>
              <w:t xml:space="preserve">                    ；</w:t>
            </w:r>
          </w:p>
          <w:p w14:paraId="5A2E51D6">
            <w:pPr>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bCs/>
                <w:color w:val="auto"/>
                <w:szCs w:val="21"/>
                <w:highlight w:val="none"/>
              </w:rPr>
              <w:t>□</w:t>
            </w:r>
            <w:r>
              <w:rPr>
                <w:rFonts w:hint="eastAsia" w:ascii="宋体" w:hAnsi="宋体"/>
                <w:color w:val="auto"/>
                <w:szCs w:val="21"/>
                <w:highlight w:val="none"/>
              </w:rPr>
              <w:t>（3）专业设备材料质量等级要求：</w:t>
            </w:r>
            <w:r>
              <w:rPr>
                <w:rFonts w:hint="eastAsia" w:ascii="宋体" w:hAnsi="宋体"/>
                <w:color w:val="auto"/>
                <w:szCs w:val="21"/>
                <w:highlight w:val="none"/>
                <w:u w:val="single"/>
              </w:rPr>
              <w:t xml:space="preserve">                    ；</w:t>
            </w:r>
          </w:p>
          <w:p w14:paraId="2134E90F">
            <w:pPr>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bCs/>
                <w:color w:val="auto"/>
                <w:szCs w:val="21"/>
                <w:highlight w:val="none"/>
              </w:rPr>
              <w:t>□</w:t>
            </w:r>
            <w:r>
              <w:rPr>
                <w:rFonts w:hint="eastAsia" w:ascii="宋体" w:hAnsi="宋体"/>
                <w:color w:val="auto"/>
                <w:szCs w:val="21"/>
                <w:highlight w:val="none"/>
              </w:rPr>
              <w:t>（4）专业设备材料售后服务承诺：</w:t>
            </w:r>
            <w:r>
              <w:rPr>
                <w:rFonts w:hint="eastAsia" w:ascii="宋体" w:hAnsi="宋体"/>
                <w:color w:val="auto"/>
                <w:szCs w:val="21"/>
                <w:highlight w:val="none"/>
                <w:u w:val="single"/>
              </w:rPr>
              <w:t xml:space="preserve">                    ；</w:t>
            </w:r>
          </w:p>
          <w:p w14:paraId="7F8827D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kern w:val="0"/>
                <w:szCs w:val="21"/>
                <w:highlight w:val="none"/>
              </w:rPr>
              <w:t>投标人须在投标文件资格审查部分根据上述勾选的要求相应提供</w:t>
            </w:r>
            <w:r>
              <w:rPr>
                <w:rFonts w:hint="eastAsia" w:ascii="宋体" w:hAnsi="宋体"/>
                <w:color w:val="auto"/>
                <w:szCs w:val="21"/>
                <w:highlight w:val="none"/>
              </w:rPr>
              <w:t>专业设备材料供应商的资质证书、供货能力证明材料、售后服务承诺以及证明拟采购设备材料质量等级的检验报告等材料。</w:t>
            </w:r>
          </w:p>
          <w:p w14:paraId="0B120DD4">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i/>
                <w:color w:val="auto"/>
                <w:szCs w:val="21"/>
                <w:highlight w:val="none"/>
              </w:rPr>
              <w:t>[提示：根据项目特点合理设置专业设备材料采购资格要求。]</w:t>
            </w:r>
          </w:p>
          <w:p w14:paraId="1F5A6136">
            <w:pPr>
              <w:adjustRightInd w:val="0"/>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5</w:t>
            </w:r>
            <w:r>
              <w:rPr>
                <w:rFonts w:ascii="宋体" w:hAnsi="宋体"/>
                <w:b/>
                <w:color w:val="auto"/>
                <w:szCs w:val="21"/>
                <w:highlight w:val="none"/>
              </w:rPr>
              <w:t>.投标截止日投标资格情况</w:t>
            </w:r>
          </w:p>
          <w:p w14:paraId="77BB6251">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投标人自行承诺（格式见第八章投标文件格式）不得存在下列情形之一：</w:t>
            </w:r>
          </w:p>
          <w:p w14:paraId="327F2168">
            <w:pPr>
              <w:snapToGrid w:val="0"/>
              <w:spacing w:line="400" w:lineRule="exact"/>
              <w:ind w:firstLine="420" w:firstLineChars="200"/>
              <w:jc w:val="left"/>
              <w:rPr>
                <w:rFonts w:ascii="宋体" w:hAnsi="宋体"/>
                <w:color w:val="auto"/>
                <w:szCs w:val="21"/>
                <w:highlight w:val="none"/>
              </w:rPr>
            </w:pPr>
            <w:r>
              <w:rPr>
                <w:rFonts w:hint="eastAsia" w:ascii="宋体" w:hAnsi="宋体"/>
                <w:color w:val="auto"/>
                <w:szCs w:val="21"/>
                <w:highlight w:val="none"/>
              </w:rPr>
              <w:t>（1）被人民法院在“信用中国”网站（www.creditchina.gov.cn）列入失信被执行人名单且在被执行期内；</w:t>
            </w:r>
          </w:p>
          <w:p w14:paraId="61A59077">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6AEF5EF6">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（3）被列入《重庆市工程建设领域招标投标信用管理暂行办法》规定的重庆市工程建设领域招标投标失信惩戒对象名单（以下称黑名单）且在有效期内；</w:t>
            </w:r>
          </w:p>
          <w:p w14:paraId="39863A57">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21D34B50">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（5）被重庆市住房和城乡建设主管部门暂停在渝承揽新业务</w:t>
            </w:r>
            <w:bookmarkStart w:id="154" w:name="_Hlk45899808"/>
            <w:r>
              <w:rPr>
                <w:rFonts w:hint="eastAsia" w:ascii="宋体" w:hAnsi="宋体"/>
                <w:color w:val="auto"/>
                <w:szCs w:val="21"/>
                <w:highlight w:val="none"/>
              </w:rPr>
              <w:t>且在暂停期内</w:t>
            </w:r>
            <w:bookmarkEnd w:id="154"/>
            <w:r>
              <w:rPr>
                <w:rFonts w:hint="eastAsia" w:ascii="宋体" w:hAnsi="宋体"/>
                <w:color w:val="auto"/>
                <w:szCs w:val="21"/>
                <w:highlight w:val="none"/>
              </w:rPr>
              <w:t>。</w:t>
            </w:r>
          </w:p>
          <w:p w14:paraId="037CB3BD">
            <w:pPr>
              <w:snapToGrid w:val="0"/>
              <w:spacing w:line="400" w:lineRule="exact"/>
              <w:ind w:firstLine="420" w:firstLineChars="200"/>
              <w:rPr>
                <w:rFonts w:ascii="宋体" w:hAnsi="宋体"/>
                <w:color w:val="auto"/>
                <w:szCs w:val="21"/>
                <w:highlight w:val="none"/>
              </w:rPr>
            </w:pPr>
            <w:r>
              <w:rPr>
                <w:rFonts w:hint="eastAsia" w:ascii="宋体" w:hAnsi="宋体"/>
                <w:bCs/>
                <w:color w:val="auto"/>
                <w:szCs w:val="21"/>
                <w:highlight w:val="none"/>
              </w:rPr>
              <w:t>□</w:t>
            </w:r>
            <w:r>
              <w:rPr>
                <w:rFonts w:hint="eastAsia" w:ascii="宋体" w:hAnsi="宋体"/>
                <w:color w:val="auto"/>
                <w:szCs w:val="21"/>
                <w:highlight w:val="none"/>
              </w:rPr>
              <w:t>联合体投标的，联合体各成员均不得存在以上情形之一，由联合体牵头人代表联合体各成员进行承诺。</w:t>
            </w:r>
          </w:p>
          <w:p w14:paraId="4FA265F9">
            <w:pPr>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6</w:t>
            </w:r>
            <w:r>
              <w:rPr>
                <w:rFonts w:ascii="宋体" w:hAnsi="宋体"/>
                <w:b/>
                <w:color w:val="auto"/>
                <w:szCs w:val="21"/>
                <w:highlight w:val="none"/>
              </w:rPr>
              <w:t>.</w:t>
            </w:r>
            <w:r>
              <w:rPr>
                <w:rFonts w:hint="eastAsia" w:ascii="宋体" w:hAnsi="宋体"/>
                <w:b/>
                <w:color w:val="auto"/>
                <w:szCs w:val="21"/>
                <w:highlight w:val="none"/>
              </w:rPr>
              <w:t>工程总承包项目经理</w:t>
            </w:r>
            <w:r>
              <w:rPr>
                <w:rFonts w:ascii="宋体" w:hAnsi="宋体"/>
                <w:b/>
                <w:color w:val="auto"/>
                <w:szCs w:val="21"/>
                <w:highlight w:val="none"/>
              </w:rPr>
              <w:t>资格要求</w:t>
            </w:r>
          </w:p>
          <w:p w14:paraId="751AE0D6">
            <w:pPr>
              <w:snapToGrid w:val="0"/>
              <w:spacing w:line="400" w:lineRule="exact"/>
              <w:ind w:firstLine="420" w:firstLineChars="200"/>
              <w:rPr>
                <w:rFonts w:ascii="宋体" w:hAnsi="宋体"/>
                <w:color w:val="auto"/>
                <w:szCs w:val="21"/>
                <w:highlight w:val="none"/>
              </w:rPr>
            </w:pPr>
            <w:r>
              <w:rPr>
                <w:rFonts w:hint="eastAsia"/>
                <w:color w:val="auto"/>
                <w:szCs w:val="21"/>
                <w:highlight w:val="none"/>
              </w:rPr>
              <w:t>（1）投标人拟派的工程总承包项目经理</w:t>
            </w:r>
            <w:r>
              <w:rPr>
                <w:color w:val="auto"/>
                <w:szCs w:val="21"/>
                <w:highlight w:val="none"/>
              </w:rPr>
              <w:t>必须已在</w:t>
            </w:r>
            <w:r>
              <w:rPr>
                <w:rFonts w:hint="eastAsia"/>
                <w:color w:val="auto"/>
                <w:szCs w:val="21"/>
                <w:highlight w:val="none"/>
              </w:rPr>
              <w:t>投标人</w:t>
            </w:r>
            <w:r>
              <w:rPr>
                <w:color w:val="auto"/>
                <w:szCs w:val="21"/>
                <w:highlight w:val="none"/>
              </w:rPr>
              <w:t>单位注册并应具有</w:t>
            </w:r>
            <w:r>
              <w:rPr>
                <w:color w:val="auto"/>
                <w:szCs w:val="21"/>
                <w:highlight w:val="none"/>
                <w:u w:val="single"/>
              </w:rPr>
              <w:t xml:space="preserve">     </w:t>
            </w:r>
            <w:r>
              <w:rPr>
                <w:rFonts w:hint="eastAsia"/>
                <w:i/>
                <w:color w:val="auto"/>
                <w:szCs w:val="21"/>
                <w:highlight w:val="none"/>
                <w:u w:val="single"/>
              </w:rPr>
              <w:t>[提示：按最新修订的</w:t>
            </w:r>
            <w:r>
              <w:rPr>
                <w:rFonts w:hint="eastAsia"/>
                <w:i/>
                <w:color w:val="auto"/>
                <w:szCs w:val="21"/>
                <w:highlight w:val="none"/>
                <w:u w:val="single"/>
                <w:lang w:bidi="ar"/>
              </w:rPr>
              <w:t>《中华人民共和国注册建筑师条例》</w:t>
            </w:r>
            <w:r>
              <w:rPr>
                <w:rFonts w:hint="eastAsia"/>
                <w:i/>
                <w:color w:val="auto"/>
                <w:szCs w:val="21"/>
                <w:highlight w:val="none"/>
                <w:u w:val="single"/>
              </w:rPr>
              <w:t>或《勘察设计注册工程师管理规定》</w:t>
            </w:r>
            <w:r>
              <w:rPr>
                <w:rFonts w:hint="eastAsia"/>
                <w:i/>
                <w:color w:val="auto"/>
                <w:szCs w:val="21"/>
                <w:highlight w:val="none"/>
                <w:u w:val="single"/>
                <w:lang w:bidi="ar"/>
              </w:rPr>
              <w:t>或</w:t>
            </w:r>
            <w:r>
              <w:rPr>
                <w:rFonts w:hint="eastAsia"/>
                <w:i/>
                <w:color w:val="auto"/>
                <w:szCs w:val="21"/>
                <w:highlight w:val="none"/>
                <w:u w:val="single"/>
              </w:rPr>
              <w:t>《注册建造师执业管理办法》或</w:t>
            </w:r>
            <w:r>
              <w:rPr>
                <w:rFonts w:hint="eastAsia"/>
                <w:i/>
                <w:color w:val="auto"/>
                <w:szCs w:val="21"/>
                <w:highlight w:val="none"/>
                <w:u w:val="single"/>
                <w:shd w:val="clear" w:color="auto" w:fill="FFFFFF"/>
                <w:lang w:bidi="ar"/>
              </w:rPr>
              <w:t>《注册监理工程师管理规定》</w:t>
            </w:r>
            <w:r>
              <w:rPr>
                <w:rFonts w:hint="eastAsia"/>
                <w:i/>
                <w:color w:val="auto"/>
                <w:szCs w:val="21"/>
                <w:highlight w:val="none"/>
                <w:u w:val="single"/>
              </w:rPr>
              <w:t>设置的专业类别和等级规范填写。]</w:t>
            </w:r>
            <w:r>
              <w:rPr>
                <w:color w:val="auto"/>
                <w:szCs w:val="21"/>
                <w:highlight w:val="none"/>
              </w:rPr>
              <w:t>注册</w:t>
            </w:r>
            <w:r>
              <w:rPr>
                <w:rFonts w:ascii="宋体" w:hAnsi="宋体"/>
                <w:color w:val="auto"/>
                <w:szCs w:val="21"/>
                <w:highlight w:val="none"/>
              </w:rPr>
              <w:t>资格</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及以上技术职称，应为投标人单位人员，并做出工程总承包项目经理到岗履职的承诺（自行承诺拟派工程总承包项目经理中标后按照合同约定到岗履职，到岗后不得</w:t>
            </w:r>
            <w:r>
              <w:rPr>
                <w:color w:val="auto"/>
                <w:highlight w:val="none"/>
              </w:rPr>
              <w:t>在两个或者两个以上工程项目担任工程总承包项目经理、施工项目负责人</w:t>
            </w:r>
            <w:r>
              <w:rPr>
                <w:rFonts w:hint="eastAsia"/>
                <w:color w:val="auto"/>
                <w:highlight w:val="none"/>
              </w:rPr>
              <w:t>，</w:t>
            </w:r>
            <w:r>
              <w:rPr>
                <w:rFonts w:hint="eastAsia" w:ascii="宋体" w:hAnsi="宋体"/>
                <w:color w:val="auto"/>
                <w:szCs w:val="21"/>
                <w:highlight w:val="none"/>
              </w:rPr>
              <w:t>签订合同时拟派的工程总承包项目经理必须与投标文件中的工程总承包项目经理一致，并满足办理相关手续的要求。不能按承诺到岗履职的，按合同相关条款处罚并上报行政主管部门，给招标人造成损失的，投标人依法承担违约赔偿责任）和未被禁止参与投标的承诺（自行承诺拟派工程总承包项目经理未被重庆市住房和城乡建设主管部门暂停在渝承揽新业务，若被暂停但仍参加投标的，将被否决投标；</w:t>
            </w:r>
            <w:bookmarkStart w:id="155" w:name="_Hlk51748742"/>
            <w:r>
              <w:rPr>
                <w:rFonts w:hint="eastAsia" w:ascii="宋体" w:hAnsi="宋体"/>
                <w:color w:val="auto"/>
                <w:szCs w:val="21"/>
                <w:highlight w:val="none"/>
              </w:rPr>
              <w:t>已取得中标候选人资格或中标资格的，招标人有权取消其中标候选人资格或中标资格</w:t>
            </w:r>
            <w:bookmarkEnd w:id="155"/>
            <w:r>
              <w:rPr>
                <w:rFonts w:hint="eastAsia" w:ascii="宋体" w:hAnsi="宋体"/>
                <w:color w:val="auto"/>
                <w:szCs w:val="21"/>
                <w:highlight w:val="none"/>
              </w:rPr>
              <w:t>；给招标人造成损失的，投标人依法承担违约赔偿责任），未提供上述承诺或承诺内容不符合要求的，由评标委员会作否决投标处理。</w:t>
            </w:r>
          </w:p>
          <w:p w14:paraId="00C7BA33">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拟派工程总承包项目经理中标后不得随意更换。</w:t>
            </w:r>
          </w:p>
          <w:p w14:paraId="5AF9CAD9">
            <w:pPr>
              <w:snapToGrid w:val="0"/>
              <w:spacing w:line="400" w:lineRule="exact"/>
              <w:ind w:firstLine="420" w:firstLineChars="200"/>
              <w:rPr>
                <w:rFonts w:ascii="宋体" w:hAnsi="宋体"/>
                <w:iCs/>
                <w:color w:val="auto"/>
                <w:szCs w:val="21"/>
                <w:highlight w:val="none"/>
              </w:rPr>
            </w:pPr>
            <w:r>
              <w:rPr>
                <w:rFonts w:hint="eastAsia" w:ascii="宋体" w:hAnsi="宋体"/>
                <w:color w:val="auto"/>
                <w:szCs w:val="21"/>
                <w:highlight w:val="none"/>
              </w:rPr>
              <w:t>□联合体投标的，工程总承包项目经理由联合体牵头人提供。</w:t>
            </w:r>
            <w:r>
              <w:rPr>
                <w:rFonts w:hint="eastAsia" w:ascii="宋体" w:hAnsi="宋体"/>
                <w:iCs/>
                <w:color w:val="auto"/>
                <w:szCs w:val="21"/>
                <w:highlight w:val="none"/>
              </w:rPr>
              <w:t>工程总承包项目经理可以兼任设计负责人或施工负责人。</w:t>
            </w:r>
          </w:p>
          <w:p w14:paraId="57A92996">
            <w:pPr>
              <w:snapToGrid w:val="0"/>
              <w:spacing w:line="400" w:lineRule="exact"/>
              <w:ind w:firstLine="420" w:firstLineChars="200"/>
              <w:rPr>
                <w:color w:val="auto"/>
                <w:highlight w:val="none"/>
              </w:rPr>
            </w:pPr>
            <w:r>
              <w:rPr>
                <w:rFonts w:hint="eastAsia"/>
                <w:color w:val="auto"/>
                <w:highlight w:val="none"/>
              </w:rPr>
              <w:t>投标人须在投标文件资格审查部分提供在有效期内的拟派工程总承包项目经理注册证、身份证、职称证、投标人为其缴纳的养老保险证明材料，拟派工程总承包项目经理到岗履职和未被禁止参与投标的承诺原件（承诺格式见第八章投标文件格式）。</w:t>
            </w:r>
          </w:p>
          <w:p w14:paraId="27071463">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w:t>
            </w:r>
            <w:r>
              <w:rPr>
                <w:rFonts w:ascii="宋体" w:hAnsi="宋体"/>
                <w:color w:val="auto"/>
                <w:szCs w:val="21"/>
                <w:highlight w:val="none"/>
              </w:rPr>
              <w:t>（2）投标截止日前</w:t>
            </w:r>
            <w:r>
              <w:rPr>
                <w:rFonts w:hint="eastAsia" w:ascii="宋体" w:hAnsi="宋体"/>
                <w:color w:val="auto"/>
                <w:szCs w:val="21"/>
                <w:highlight w:val="none"/>
              </w:rPr>
              <w:t>□3□5□8□</w:t>
            </w:r>
            <w:r>
              <w:rPr>
                <w:rFonts w:hint="eastAsia" w:ascii="宋体" w:hAnsi="宋体"/>
                <w:color w:val="auto"/>
                <w:szCs w:val="21"/>
                <w:highlight w:val="none"/>
                <w:u w:val="single"/>
              </w:rPr>
              <w:t xml:space="preserve">  </w:t>
            </w:r>
            <w:r>
              <w:rPr>
                <w:rFonts w:ascii="宋体" w:hAnsi="宋体"/>
                <w:color w:val="auto"/>
                <w:szCs w:val="21"/>
                <w:highlight w:val="none"/>
              </w:rPr>
              <w:t>年</w:t>
            </w:r>
            <w:r>
              <w:rPr>
                <w:rFonts w:hint="eastAsia" w:ascii="宋体" w:hAnsi="宋体"/>
                <w:i/>
                <w:iCs/>
                <w:color w:val="auto"/>
                <w:szCs w:val="21"/>
                <w:highlight w:val="none"/>
              </w:rPr>
              <w:t>[提示：8年以上选填]</w:t>
            </w:r>
            <w:r>
              <w:rPr>
                <w:rFonts w:ascii="宋体" w:hAnsi="宋体"/>
                <w:color w:val="auto"/>
                <w:szCs w:val="21"/>
                <w:highlight w:val="none"/>
              </w:rPr>
              <w:t>内</w:t>
            </w:r>
            <w:r>
              <w:rPr>
                <w:rFonts w:hint="eastAsia" w:ascii="宋体" w:hAnsi="宋体"/>
                <w:color w:val="auto"/>
                <w:szCs w:val="21"/>
                <w:highlight w:val="none"/>
              </w:rPr>
              <w:t>，</w:t>
            </w:r>
            <w:r>
              <w:rPr>
                <w:rFonts w:hint="eastAsia" w:ascii="宋体" w:hAnsi="宋体" w:cs="宋体"/>
                <w:color w:val="auto"/>
                <w:kern w:val="0"/>
                <w:szCs w:val="21"/>
                <w:highlight w:val="none"/>
              </w:rPr>
              <w:t>指</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color w:val="auto"/>
                <w:kern w:val="0"/>
                <w:szCs w:val="21"/>
                <w:highlight w:val="none"/>
              </w:rPr>
              <w:t>年1月1日起至</w:t>
            </w:r>
            <w:r>
              <w:rPr>
                <w:rFonts w:hint="eastAsia" w:ascii="宋体" w:hAnsi="宋体"/>
                <w:color w:val="auto"/>
                <w:kern w:val="0"/>
                <w:szCs w:val="21"/>
                <w:highlight w:val="none"/>
              </w:rPr>
              <w:t>投标截止日止</w:t>
            </w:r>
            <w:r>
              <w:rPr>
                <w:rFonts w:hint="eastAsia" w:ascii="宋体" w:hAnsi="宋体"/>
                <w:color w:val="auto"/>
                <w:szCs w:val="21"/>
                <w:highlight w:val="none"/>
              </w:rPr>
              <w:t>（工程总承包业绩或施工业绩或监理业绩以工程竣工时间为准，设计业绩以施工图审查合格时间为准）在至少1个</w:t>
            </w:r>
            <w:r>
              <w:rPr>
                <w:rFonts w:ascii="宋体" w:hAnsi="宋体"/>
                <w:color w:val="auto"/>
                <w:szCs w:val="21"/>
                <w:highlight w:val="none"/>
              </w:rPr>
              <w:t>与招标项目</w:t>
            </w:r>
            <w:r>
              <w:rPr>
                <w:rFonts w:hint="eastAsia" w:ascii="宋体" w:hAnsi="宋体"/>
                <w:color w:val="auto"/>
                <w:szCs w:val="21"/>
                <w:highlight w:val="none"/>
              </w:rPr>
              <w:t>工程造价、工程类别、工程规模等具体技术参数相同或相似的项目中</w:t>
            </w:r>
            <w:r>
              <w:rPr>
                <w:rFonts w:ascii="宋体" w:hAnsi="宋体"/>
                <w:color w:val="auto"/>
                <w:szCs w:val="21"/>
                <w:highlight w:val="none"/>
              </w:rPr>
              <w:t>担任</w:t>
            </w:r>
            <w:r>
              <w:rPr>
                <w:rFonts w:hint="eastAsia" w:ascii="宋体" w:hAnsi="宋体"/>
                <w:color w:val="auto"/>
                <w:szCs w:val="21"/>
                <w:highlight w:val="none"/>
              </w:rPr>
              <w:t>过</w:t>
            </w:r>
            <w:r>
              <w:rPr>
                <w:rFonts w:hint="eastAsia" w:ascii="宋体 ，Arial" w:hAnsi="宋体" w:eastAsia="宋体 ，Arial" w:cs="宋体"/>
                <w:color w:val="auto"/>
                <w:kern w:val="0"/>
                <w:szCs w:val="21"/>
                <w:highlight w:val="none"/>
              </w:rPr>
              <w:t>工程总承包项目经理或设计项目负责人或施工项目负责人或总监理工程师</w:t>
            </w:r>
            <w:r>
              <w:rPr>
                <w:rFonts w:hint="eastAsia" w:ascii="宋体" w:hAnsi="宋体"/>
                <w:color w:val="auto"/>
                <w:szCs w:val="21"/>
                <w:highlight w:val="none"/>
              </w:rPr>
              <w:t>。</w:t>
            </w:r>
          </w:p>
          <w:p w14:paraId="6332A12D">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类似业绩应满足以下要求：</w:t>
            </w:r>
          </w:p>
          <w:p w14:paraId="142196AC">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6AF48E08">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若同时设置了工程造价和工程规模要求，则只须满足其中之一</w:t>
            </w:r>
          </w:p>
          <w:p w14:paraId="263E6EC7">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□工程造价（设计业绩对应为工程投资额）：</w:t>
            </w:r>
            <w:r>
              <w:rPr>
                <w:rFonts w:hint="eastAsia" w:ascii="宋体" w:hAnsi="宋体"/>
                <w:color w:val="auto"/>
                <w:szCs w:val="21"/>
                <w:highlight w:val="none"/>
                <w:u w:val="single"/>
              </w:rPr>
              <w:t xml:space="preserve">        </w:t>
            </w:r>
          </w:p>
          <w:p w14:paraId="347F5150">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4F4EF3CD">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i/>
                <w:color w:val="auto"/>
                <w:szCs w:val="21"/>
                <w:highlight w:val="none"/>
              </w:rPr>
              <w:t>[提示：根据招标项目实际情况选用。]</w:t>
            </w:r>
          </w:p>
          <w:p w14:paraId="7825C88E">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提供施工业绩的：投标人须在投标文件资格审查部分提供该业绩在“全国建筑市场监管公共服务平台”的网页截图，截图数量不限但须能反映完整的网站名称、工程名称、中标单位名称（或承包单位名称或施工企业名称），每张截图需清晰并显示完整的网址方为有效。若截图能反映业绩要求对应的业绩信息（如竣工时间、工程类别、工程造价、工程规模、人员姓名职务等）的，则无需提供其他证明材料；若截图不能反映业绩要求对应的业绩信息（如竣工时间、工程类别、工程造价、工程规模、人员姓名职务等）的，应提供中标通知书（直接发包的项目可提供项目发包人出具的项目直接发包情况说明或证明文书代替）、合同协议书、工程竣工验收合格证明材料中的一种或几种作为证明材料。</w:t>
            </w:r>
          </w:p>
          <w:p w14:paraId="4F81F82F">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提供工程总承包业绩的：投标人须在投标文件资格审查部分提供该业绩的中标通知书（直接发包的项目可提供项目发包人出具的项目直接发包情况说明或证明文书代替）、合同协议书和工程竣工验收合格证明材料。</w:t>
            </w:r>
          </w:p>
          <w:p w14:paraId="170244C7">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提供设计业绩的：投标人须在投标文件资格审查部分提供该业绩的中标通知书（直接发包的项目可提供项目发包人出具的项目直接发包情况说明或证明文书代替）、合同协议书和施工图审查合格证明材料。</w:t>
            </w:r>
          </w:p>
          <w:p w14:paraId="3F4260A3">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提供监理业绩的：投标人须在投标文件资格审查部分提供该业绩的中标通知书（直接发包的项目可提供项目发包人出具的项目直接发包情况说明或证明文书代替）、合同协议书、监理业务手册（或工程竣工验收合格证明）；</w:t>
            </w:r>
          </w:p>
          <w:p w14:paraId="214CE82E">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若提供的上述业绩证明材料不能体现工程类别、工程规模、人员姓名职务等信息的，应提供业主证明。</w:t>
            </w:r>
          </w:p>
          <w:p w14:paraId="214E4736">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注：</w:t>
            </w:r>
          </w:p>
          <w:p w14:paraId="4619DD83">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1）投标人应对其提供的业绩证明材料（含截图）的真实性负责。当以上业绩证明材料体现的竣工时间（设计业绩为施工图审查合格时间）、工程造价（设计业绩为工程投资额）、工程类别、工程规模等信息不一致时，按不利于投标人的原则进行解释。</w:t>
            </w:r>
          </w:p>
          <w:p w14:paraId="1DFF1289">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2）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14:paraId="16293DB7">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不满足上述业绩要求的业绩无效。</w:t>
            </w:r>
          </w:p>
          <w:p w14:paraId="07C2D377">
            <w:pPr>
              <w:autoSpaceDE w:val="0"/>
              <w:autoSpaceDN w:val="0"/>
              <w:adjustRightInd w:val="0"/>
              <w:snapToGrid w:val="0"/>
              <w:spacing w:line="400" w:lineRule="exact"/>
              <w:ind w:firstLine="422" w:firstLineChars="200"/>
              <w:rPr>
                <w:rFonts w:ascii="宋体" w:hAnsi="宋体"/>
                <w:b/>
                <w:color w:val="auto"/>
                <w:szCs w:val="21"/>
                <w:highlight w:val="none"/>
              </w:rPr>
            </w:pPr>
            <w:r>
              <w:rPr>
                <w:rFonts w:hint="eastAsia" w:ascii="宋体" w:hAnsi="宋体"/>
                <w:b/>
                <w:color w:val="auto"/>
                <w:szCs w:val="21"/>
                <w:highlight w:val="none"/>
              </w:rPr>
              <w:t>7</w:t>
            </w:r>
            <w:r>
              <w:rPr>
                <w:rFonts w:ascii="宋体" w:hAnsi="宋体"/>
                <w:b/>
                <w:color w:val="auto"/>
                <w:szCs w:val="21"/>
                <w:highlight w:val="none"/>
              </w:rPr>
              <w:t>.其他要求</w:t>
            </w:r>
          </w:p>
          <w:p w14:paraId="78F868E3">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rPr>
              <w:t>□</w:t>
            </w:r>
            <w:r>
              <w:rPr>
                <w:rFonts w:hint="eastAsia" w:ascii="宋体" w:hAnsi="宋体"/>
                <w:color w:val="auto"/>
                <w:kern w:val="0"/>
                <w:szCs w:val="21"/>
                <w:highlight w:val="none"/>
              </w:rPr>
              <w:t>（1）设计负责人：</w:t>
            </w:r>
          </w:p>
          <w:p w14:paraId="62A2BC24">
            <w:pPr>
              <w:snapToGrid w:val="0"/>
              <w:spacing w:line="400" w:lineRule="exact"/>
              <w:ind w:firstLine="420" w:firstLineChars="200"/>
              <w:rPr>
                <w:rFonts w:ascii="宋体" w:hAnsi="宋体"/>
                <w:color w:val="auto"/>
                <w:szCs w:val="21"/>
                <w:highlight w:val="none"/>
              </w:rPr>
            </w:pPr>
            <w:r>
              <w:rPr>
                <w:rFonts w:hint="eastAsia"/>
                <w:color w:val="auto"/>
                <w:szCs w:val="21"/>
                <w:highlight w:val="none"/>
              </w:rPr>
              <w:t>投标人拟派的设计负责人</w:t>
            </w:r>
            <w:r>
              <w:rPr>
                <w:color w:val="auto"/>
                <w:szCs w:val="21"/>
                <w:highlight w:val="none"/>
              </w:rPr>
              <w:t>必须已在</w:t>
            </w:r>
            <w:r>
              <w:rPr>
                <w:rFonts w:hint="eastAsia"/>
                <w:color w:val="auto"/>
                <w:szCs w:val="21"/>
                <w:highlight w:val="none"/>
              </w:rPr>
              <w:t>投标人</w:t>
            </w:r>
            <w:r>
              <w:rPr>
                <w:color w:val="auto"/>
                <w:szCs w:val="21"/>
                <w:highlight w:val="none"/>
              </w:rPr>
              <w:t>单位注册并应具有</w:t>
            </w:r>
            <w:r>
              <w:rPr>
                <w:color w:val="auto"/>
                <w:szCs w:val="21"/>
                <w:highlight w:val="none"/>
                <w:u w:val="single"/>
              </w:rPr>
              <w:t xml:space="preserve"> </w:t>
            </w:r>
            <w:r>
              <w:rPr>
                <w:rFonts w:hint="eastAsia"/>
                <w:i/>
                <w:color w:val="auto"/>
                <w:szCs w:val="21"/>
                <w:highlight w:val="none"/>
                <w:u w:val="single"/>
              </w:rPr>
              <w:t>[提示：按最新修订的</w:t>
            </w:r>
            <w:r>
              <w:rPr>
                <w:rFonts w:hint="eastAsia"/>
                <w:i/>
                <w:color w:val="auto"/>
                <w:szCs w:val="21"/>
                <w:highlight w:val="none"/>
                <w:u w:val="single"/>
                <w:lang w:bidi="ar"/>
              </w:rPr>
              <w:t>《中华人民共和国注册建筑师条例》</w:t>
            </w:r>
            <w:r>
              <w:rPr>
                <w:rFonts w:hint="eastAsia"/>
                <w:i/>
                <w:color w:val="auto"/>
                <w:szCs w:val="21"/>
                <w:highlight w:val="none"/>
                <w:u w:val="single"/>
              </w:rPr>
              <w:t>或《勘察设计注册工程师管理规定》设置的专业类别和等级规范填写。]</w:t>
            </w:r>
            <w:r>
              <w:rPr>
                <w:color w:val="auto"/>
                <w:szCs w:val="21"/>
                <w:highlight w:val="none"/>
              </w:rPr>
              <w:t>注册</w:t>
            </w:r>
            <w:r>
              <w:rPr>
                <w:rFonts w:ascii="宋体" w:hAnsi="宋体"/>
                <w:color w:val="auto"/>
                <w:szCs w:val="21"/>
                <w:highlight w:val="none"/>
              </w:rPr>
              <w:t>资格</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及以上技术职称，应为投标人单位人员，并做出设计负责人到岗履职的承诺（自行承诺拟派设计负责人中标后按照合同约定到岗履职，签订合同时拟派的设计负责人必须与投标文件中的设计负责人一致，并满足办理相关手续的要求。不能按承诺到岗履职的，按合同相关条款处罚并上报行政主管部门，给招标人造成损失的，投标人依法承担违约赔偿责任）和未被禁止参与投标的承诺（自行承诺拟派设计负责人未被重庆市住房和城乡建设主管部门暂停在渝承揽新业务，若被暂停但仍参加投标的，将被否决投标；已取得中标候选人资格或中标资格的，招标人有权取消其中标候选人资格或中标资格；给招标人造成损失的，投标人依法承担违约赔偿责任），未提供上述承诺或承诺内容不符合要求的，由评标委员会作否决投标处理。</w:t>
            </w:r>
          </w:p>
          <w:p w14:paraId="1BB0411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拟派设计负责人中标后不得随意更换。</w:t>
            </w:r>
          </w:p>
          <w:p w14:paraId="63026F7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□联合体投标的，由负责设计的联合体成员提供设计负责人。</w:t>
            </w:r>
          </w:p>
          <w:p w14:paraId="2F4E703D">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投标人须在投标文件资格审查部分提供在有效期内的拟派</w:t>
            </w:r>
            <w:r>
              <w:rPr>
                <w:rFonts w:hint="eastAsia" w:ascii="宋体" w:hAnsi="宋体"/>
                <w:color w:val="auto"/>
                <w:szCs w:val="21"/>
                <w:highlight w:val="none"/>
              </w:rPr>
              <w:t>设计负责人</w:t>
            </w:r>
            <w:r>
              <w:rPr>
                <w:rFonts w:hint="eastAsia" w:ascii="宋体" w:hAnsi="宋体"/>
                <w:color w:val="auto"/>
                <w:kern w:val="0"/>
                <w:szCs w:val="21"/>
                <w:highlight w:val="none"/>
              </w:rPr>
              <w:t>注册证、身份证、职称证、投标人为其缴纳的养老保险证明材料，拟派</w:t>
            </w:r>
            <w:r>
              <w:rPr>
                <w:rFonts w:hint="eastAsia" w:ascii="宋体" w:hAnsi="宋体"/>
                <w:color w:val="auto"/>
                <w:szCs w:val="21"/>
                <w:highlight w:val="none"/>
              </w:rPr>
              <w:t>设计负责人</w:t>
            </w:r>
            <w:r>
              <w:rPr>
                <w:rFonts w:hint="eastAsia" w:ascii="宋体" w:hAnsi="宋体"/>
                <w:color w:val="auto"/>
                <w:kern w:val="0"/>
                <w:szCs w:val="21"/>
                <w:highlight w:val="none"/>
              </w:rPr>
              <w:t>到岗履职和未被禁止参与投标的承诺原件</w:t>
            </w:r>
            <w:r>
              <w:rPr>
                <w:rFonts w:hint="eastAsia" w:ascii="宋体" w:hAnsi="宋体"/>
                <w:color w:val="auto"/>
                <w:szCs w:val="21"/>
                <w:highlight w:val="none"/>
              </w:rPr>
              <w:t>（承诺格式见第八章投标文件格式）</w:t>
            </w:r>
            <w:r>
              <w:rPr>
                <w:rFonts w:hint="eastAsia" w:ascii="宋体" w:hAnsi="宋体"/>
                <w:color w:val="auto"/>
                <w:kern w:val="0"/>
                <w:szCs w:val="21"/>
                <w:highlight w:val="none"/>
              </w:rPr>
              <w:t>。</w:t>
            </w:r>
          </w:p>
          <w:p w14:paraId="33A2C8C7">
            <w:pPr>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rPr>
              <w:t>□</w:t>
            </w:r>
            <w:r>
              <w:rPr>
                <w:rFonts w:hint="eastAsia" w:ascii="宋体" w:hAnsi="宋体"/>
                <w:color w:val="auto"/>
                <w:kern w:val="0"/>
                <w:szCs w:val="21"/>
                <w:highlight w:val="none"/>
              </w:rPr>
              <w:t>设计负责人业绩要求：</w:t>
            </w:r>
          </w:p>
          <w:p w14:paraId="515430ED">
            <w:pPr>
              <w:spacing w:line="400" w:lineRule="exact"/>
              <w:ind w:firstLine="420" w:firstLineChars="200"/>
              <w:rPr>
                <w:rFonts w:ascii="宋体" w:hAnsi="宋体"/>
                <w:color w:val="auto"/>
                <w:kern w:val="0"/>
                <w:szCs w:val="21"/>
                <w:highlight w:val="none"/>
                <w:u w:val="single"/>
              </w:rPr>
            </w:pPr>
            <w:r>
              <w:rPr>
                <w:rFonts w:ascii="宋体" w:hAnsi="宋体"/>
                <w:color w:val="auto"/>
                <w:kern w:val="0"/>
                <w:szCs w:val="21"/>
                <w:highlight w:val="none"/>
              </w:rPr>
              <w:t>投标截止日前</w:t>
            </w:r>
            <w:r>
              <w:rPr>
                <w:rFonts w:hint="eastAsia" w:ascii="宋体" w:hAnsi="宋体"/>
                <w:color w:val="auto"/>
                <w:kern w:val="0"/>
                <w:szCs w:val="21"/>
                <w:highlight w:val="none"/>
              </w:rPr>
              <w:t>□3□5□8□</w:t>
            </w: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i/>
                <w:iCs/>
                <w:color w:val="auto"/>
                <w:kern w:val="0"/>
                <w:szCs w:val="21"/>
                <w:highlight w:val="none"/>
              </w:rPr>
              <w:t>[提示：8年以上选填]</w:t>
            </w:r>
            <w:r>
              <w:rPr>
                <w:rFonts w:ascii="宋体" w:hAnsi="宋体"/>
                <w:color w:val="auto"/>
                <w:kern w:val="0"/>
                <w:szCs w:val="21"/>
                <w:highlight w:val="none"/>
              </w:rPr>
              <w:t>内</w:t>
            </w:r>
            <w:r>
              <w:rPr>
                <w:rFonts w:hint="eastAsia" w:ascii="宋体" w:hAnsi="宋体"/>
                <w:color w:val="auto"/>
                <w:kern w:val="0"/>
                <w:szCs w:val="21"/>
                <w:highlight w:val="none"/>
              </w:rPr>
              <w:t>，指</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rPr>
              <w:t>年1月1日起至投标截止日止（</w:t>
            </w:r>
            <w:r>
              <w:rPr>
                <w:rFonts w:hint="eastAsia" w:ascii="宋体" w:hAnsi="宋体"/>
                <w:color w:val="auto"/>
                <w:szCs w:val="21"/>
                <w:highlight w:val="none"/>
              </w:rPr>
              <w:t>工程总承包业绩以工程竣工时间为准，设计业绩以施工图审查合格时间为准</w:t>
            </w:r>
            <w:r>
              <w:rPr>
                <w:rFonts w:hint="eastAsia" w:ascii="宋体" w:hAnsi="宋体"/>
                <w:color w:val="auto"/>
                <w:kern w:val="0"/>
                <w:szCs w:val="21"/>
                <w:highlight w:val="none"/>
              </w:rPr>
              <w:t>）</w:t>
            </w:r>
            <w:r>
              <w:rPr>
                <w:rFonts w:hint="eastAsia" w:ascii="宋体" w:hAnsi="宋体"/>
                <w:color w:val="auto"/>
                <w:szCs w:val="21"/>
                <w:highlight w:val="none"/>
              </w:rPr>
              <w:t>在至少1个</w:t>
            </w:r>
            <w:r>
              <w:rPr>
                <w:rFonts w:ascii="宋体" w:hAnsi="宋体"/>
                <w:color w:val="auto"/>
                <w:szCs w:val="21"/>
                <w:highlight w:val="none"/>
              </w:rPr>
              <w:t>与招标项目</w:t>
            </w:r>
            <w:r>
              <w:rPr>
                <w:rFonts w:hint="eastAsia" w:ascii="宋体" w:hAnsi="宋体"/>
                <w:color w:val="auto"/>
                <w:szCs w:val="21"/>
                <w:highlight w:val="none"/>
              </w:rPr>
              <w:t>工程造价、工程类别、工程规模等具体技术参数相同或相似的项目中</w:t>
            </w:r>
            <w:r>
              <w:rPr>
                <w:rFonts w:ascii="宋体" w:hAnsi="宋体"/>
                <w:color w:val="auto"/>
                <w:kern w:val="0"/>
                <w:szCs w:val="21"/>
                <w:highlight w:val="none"/>
              </w:rPr>
              <w:t>担任</w:t>
            </w:r>
            <w:r>
              <w:rPr>
                <w:rFonts w:hint="eastAsia" w:ascii="宋体" w:hAnsi="宋体"/>
                <w:color w:val="auto"/>
                <w:kern w:val="0"/>
                <w:szCs w:val="21"/>
                <w:highlight w:val="none"/>
              </w:rPr>
              <w:t>过设计项目负责人或工程</w:t>
            </w:r>
            <w:r>
              <w:rPr>
                <w:rFonts w:ascii="宋体" w:hAnsi="宋体"/>
                <w:color w:val="auto"/>
                <w:kern w:val="0"/>
                <w:szCs w:val="21"/>
                <w:highlight w:val="none"/>
              </w:rPr>
              <w:t>总承包设计负责人</w:t>
            </w:r>
            <w:r>
              <w:rPr>
                <w:rFonts w:hint="eastAsia" w:ascii="宋体" w:hAnsi="宋体"/>
                <w:color w:val="auto"/>
                <w:kern w:val="0"/>
                <w:szCs w:val="21"/>
                <w:highlight w:val="none"/>
              </w:rPr>
              <w:t>或工程总承包项目经理。</w:t>
            </w:r>
          </w:p>
          <w:p w14:paraId="4C221C49">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类似业绩应满足以下要求：</w:t>
            </w:r>
          </w:p>
          <w:p w14:paraId="09518F7C">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1833DD06">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若同时设置了工程造价和工程规模要求，则只须满足其中之一</w:t>
            </w:r>
          </w:p>
          <w:p w14:paraId="31B2476A">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□工程造价（设计业绩对应为工程投资额）：</w:t>
            </w:r>
            <w:r>
              <w:rPr>
                <w:rFonts w:hint="eastAsia" w:ascii="宋体" w:hAnsi="宋体"/>
                <w:color w:val="auto"/>
                <w:szCs w:val="21"/>
                <w:highlight w:val="none"/>
                <w:u w:val="single"/>
              </w:rPr>
              <w:t xml:space="preserve">        </w:t>
            </w:r>
          </w:p>
          <w:p w14:paraId="420A8C14">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2DAF7D03">
            <w:pPr>
              <w:autoSpaceDE w:val="0"/>
              <w:autoSpaceDN w:val="0"/>
              <w:adjustRightInd w:val="0"/>
              <w:snapToGrid w:val="0"/>
              <w:spacing w:line="400" w:lineRule="exact"/>
              <w:ind w:firstLine="420" w:firstLineChars="200"/>
              <w:rPr>
                <w:color w:val="auto"/>
                <w:highlight w:val="none"/>
              </w:rPr>
            </w:pPr>
            <w:r>
              <w:rPr>
                <w:rFonts w:hint="eastAsia" w:ascii="宋体" w:hAnsi="宋体"/>
                <w:i/>
                <w:color w:val="auto"/>
                <w:szCs w:val="21"/>
                <w:highlight w:val="none"/>
              </w:rPr>
              <w:t>[提示：根据招标项目实际情况选用。]</w:t>
            </w:r>
          </w:p>
          <w:p w14:paraId="524B003C">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提供工程总承包业绩的：投标人须在投标文件资格审查部分提供该业绩的中标通知书（直接发包的项目可提供项目发包人出具的项目直接发包情况说明或证明文书代替）、合同协议书和工程竣工验收合格证明材料。</w:t>
            </w:r>
          </w:p>
          <w:p w14:paraId="240F3484">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提供设计业绩的：投标人须在投标文件资格审查部分提供该业绩的中标通知书（直接发包的项目可提供项目发包人出具的项目直接发包情况说明或证明文书代替）、合同协议书和施工图审查合格证明材料。</w:t>
            </w:r>
          </w:p>
          <w:p w14:paraId="74E6E8D7">
            <w:pPr>
              <w:autoSpaceDE w:val="0"/>
              <w:autoSpaceDN w:val="0"/>
              <w:adjustRightInd w:val="0"/>
              <w:snapToGrid w:val="0"/>
              <w:spacing w:line="400" w:lineRule="exact"/>
              <w:ind w:firstLine="415" w:firstLineChars="198"/>
              <w:rPr>
                <w:color w:val="auto"/>
                <w:highlight w:val="none"/>
              </w:rPr>
            </w:pPr>
            <w:r>
              <w:rPr>
                <w:rFonts w:hint="eastAsia" w:ascii="宋体" w:hAnsi="宋体"/>
                <w:color w:val="auto"/>
                <w:szCs w:val="21"/>
                <w:highlight w:val="none"/>
              </w:rPr>
              <w:t>若提供的上述业绩证明材料不能体现工程类别、工程规模、人员姓名职务信息的，应提供业主证明。</w:t>
            </w:r>
          </w:p>
          <w:p w14:paraId="09002767">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注：</w:t>
            </w:r>
          </w:p>
          <w:p w14:paraId="01F55DCB">
            <w:pPr>
              <w:autoSpaceDE w:val="0"/>
              <w:autoSpaceDN w:val="0"/>
              <w:adjustRightInd w:val="0"/>
              <w:snapToGrid w:val="0"/>
              <w:spacing w:line="400" w:lineRule="exact"/>
              <w:ind w:firstLine="415" w:firstLineChars="198"/>
              <w:rPr>
                <w:rFonts w:ascii="宋体" w:hAnsi="宋体"/>
                <w:color w:val="auto"/>
                <w:szCs w:val="21"/>
                <w:highlight w:val="none"/>
              </w:rPr>
            </w:pPr>
            <w:r>
              <w:rPr>
                <w:rFonts w:hint="eastAsia" w:ascii="宋体" w:hAnsi="宋体"/>
                <w:color w:val="auto"/>
                <w:szCs w:val="21"/>
                <w:highlight w:val="none"/>
              </w:rPr>
              <w:t>（1）投标人应对其提供的业绩证明材料的真实性负责。当以上业绩证明材料体现的竣工时间（设计业绩为施工图审查合格时间）、工程造价（设计业绩为工程投资额）、工程类别、工程规模等信息不一致时，按不利于投标人的原则进行解释。</w:t>
            </w:r>
          </w:p>
          <w:p w14:paraId="273D0458">
            <w:pPr>
              <w:autoSpaceDE w:val="0"/>
              <w:autoSpaceDN w:val="0"/>
              <w:adjustRightInd w:val="0"/>
              <w:snapToGrid w:val="0"/>
              <w:spacing w:line="400" w:lineRule="exact"/>
              <w:ind w:firstLine="415" w:firstLineChars="198"/>
              <w:rPr>
                <w:color w:val="auto"/>
                <w:highlight w:val="none"/>
              </w:rPr>
            </w:pPr>
            <w:r>
              <w:rPr>
                <w:rFonts w:hint="eastAsia"/>
                <w:color w:val="auto"/>
                <w:highlight w:val="none"/>
              </w:rPr>
              <w:t>（2）已取消施工图审查的地区，若业绩完成时间在取消施工图审查的文件实施之后的，应提供业绩所在地行业主管部门取消施工图审查的文件和证明设计合格的业主证明，设计业绩的时间以业主证明中显示的设计合格时间为准。</w:t>
            </w:r>
          </w:p>
          <w:p w14:paraId="241B40B6">
            <w:pPr>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rPr>
              <w:t>不满足上述业绩要求的业绩无效。</w:t>
            </w:r>
          </w:p>
          <w:p w14:paraId="04D6689D">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rPr>
              <w:t>□</w:t>
            </w:r>
            <w:r>
              <w:rPr>
                <w:rFonts w:hint="eastAsia" w:ascii="宋体" w:hAnsi="宋体"/>
                <w:color w:val="auto"/>
                <w:kern w:val="0"/>
                <w:szCs w:val="21"/>
                <w:highlight w:val="none"/>
              </w:rPr>
              <w:t>（2）施工负责人：</w:t>
            </w:r>
          </w:p>
          <w:p w14:paraId="35BAEF83">
            <w:pPr>
              <w:snapToGrid w:val="0"/>
              <w:spacing w:line="400" w:lineRule="exact"/>
              <w:ind w:firstLine="420" w:firstLineChars="200"/>
              <w:rPr>
                <w:rFonts w:ascii="宋体" w:hAnsi="宋体"/>
                <w:color w:val="auto"/>
                <w:szCs w:val="21"/>
                <w:highlight w:val="none"/>
              </w:rPr>
            </w:pPr>
            <w:r>
              <w:rPr>
                <w:rFonts w:hint="eastAsia"/>
                <w:color w:val="auto"/>
                <w:szCs w:val="21"/>
                <w:highlight w:val="none"/>
              </w:rPr>
              <w:t>投标人拟派的施工负责人</w:t>
            </w:r>
            <w:r>
              <w:rPr>
                <w:color w:val="auto"/>
                <w:szCs w:val="21"/>
                <w:highlight w:val="none"/>
              </w:rPr>
              <w:t>必须已在</w:t>
            </w:r>
            <w:r>
              <w:rPr>
                <w:rFonts w:hint="eastAsia"/>
                <w:color w:val="auto"/>
                <w:szCs w:val="21"/>
                <w:highlight w:val="none"/>
              </w:rPr>
              <w:t>投标人</w:t>
            </w:r>
            <w:r>
              <w:rPr>
                <w:color w:val="auto"/>
                <w:szCs w:val="21"/>
                <w:highlight w:val="none"/>
              </w:rPr>
              <w:t>单位注册并应具有</w:t>
            </w:r>
            <w:r>
              <w:rPr>
                <w:color w:val="auto"/>
                <w:szCs w:val="21"/>
                <w:highlight w:val="none"/>
                <w:u w:val="single"/>
              </w:rPr>
              <w:t xml:space="preserve"> </w:t>
            </w:r>
            <w:r>
              <w:rPr>
                <w:rFonts w:hint="eastAsia"/>
                <w:i/>
                <w:color w:val="auto"/>
                <w:szCs w:val="21"/>
                <w:highlight w:val="none"/>
                <w:u w:val="single"/>
              </w:rPr>
              <w:t>[提示：按最新修订的《注册建造师执业管理办法》设置的专业类别和等级规范填写。]</w:t>
            </w:r>
            <w:r>
              <w:rPr>
                <w:color w:val="auto"/>
                <w:szCs w:val="21"/>
                <w:highlight w:val="none"/>
              </w:rPr>
              <w:t>注册</w:t>
            </w:r>
            <w:r>
              <w:rPr>
                <w:rFonts w:ascii="宋体" w:hAnsi="宋体"/>
                <w:color w:val="auto"/>
                <w:szCs w:val="21"/>
                <w:highlight w:val="none"/>
              </w:rPr>
              <w:t>资格</w:t>
            </w:r>
            <w:r>
              <w:rPr>
                <w:rFonts w:hint="eastAsia" w:ascii="宋体" w:hAnsi="宋体"/>
                <w:color w:val="auto"/>
                <w:szCs w:val="21"/>
                <w:highlight w:val="none"/>
              </w:rPr>
              <w:t>，□</w:t>
            </w:r>
            <w:r>
              <w:rPr>
                <w:rFonts w:hint="eastAsia" w:ascii="宋体" w:hAnsi="宋体"/>
                <w:color w:val="auto"/>
                <w:szCs w:val="21"/>
                <w:highlight w:val="none"/>
                <w:u w:val="single"/>
              </w:rPr>
              <w:t xml:space="preserve">     </w:t>
            </w:r>
            <w:r>
              <w:rPr>
                <w:rFonts w:hint="eastAsia" w:ascii="宋体" w:hAnsi="宋体"/>
                <w:color w:val="auto"/>
                <w:szCs w:val="21"/>
                <w:highlight w:val="none"/>
              </w:rPr>
              <w:t>及以上技术职称，应为投标人单位人员，并做出施工负责人到岗履职的承诺（自行承诺拟派施工负责人中标后按照合同约定到岗履职，且只能在本项目任职，签订合同时拟派的施工负责人必须与投标文件中的施工负责人一致，并满足办理相关手续的要求。不能按承诺到岗履职的，按合同相关条款处罚并上报行政主管部门，给招标人造成损失的，投标人依法承担违约赔偿责任）和未被禁止参与投标的承诺（自行承诺拟派施工负责人未被重庆市住房和城乡建设主管部门暂停在渝承揽新业务，若被暂停但仍参加投标的，将被否决投标；已取得中标候选人资格或中标资格的，招标人有权取消其中标候选人资格或中标资格；给招标人造成损失的，投标人依法承担违约赔偿责任），未提供上述承诺或承诺内容不符合要求的，由评标委员会作否决投标处理。</w:t>
            </w:r>
          </w:p>
          <w:p w14:paraId="1E946C0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拟派施工负责人中标后不得随意更换。</w:t>
            </w:r>
          </w:p>
          <w:p w14:paraId="1ECADF3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□联合体投标的，由负责施工的联合体成员提供施工负责人。</w:t>
            </w:r>
          </w:p>
          <w:p w14:paraId="39FDCC0F">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投标人须在投标文件资格审查部分提供在有效期内的拟派</w:t>
            </w:r>
            <w:r>
              <w:rPr>
                <w:rFonts w:hint="eastAsia" w:ascii="宋体" w:hAnsi="宋体"/>
                <w:color w:val="auto"/>
                <w:szCs w:val="21"/>
                <w:highlight w:val="none"/>
              </w:rPr>
              <w:t>施工负责人</w:t>
            </w:r>
            <w:r>
              <w:rPr>
                <w:rFonts w:hint="eastAsia" w:ascii="宋体" w:hAnsi="宋体"/>
                <w:color w:val="auto"/>
                <w:kern w:val="0"/>
                <w:szCs w:val="21"/>
                <w:highlight w:val="none"/>
              </w:rPr>
              <w:t>注册证、身份证、职称证、投标人为其缴纳的养老保险证明材料，拟派</w:t>
            </w:r>
            <w:r>
              <w:rPr>
                <w:rFonts w:hint="eastAsia" w:ascii="宋体" w:hAnsi="宋体"/>
                <w:color w:val="auto"/>
                <w:szCs w:val="21"/>
                <w:highlight w:val="none"/>
              </w:rPr>
              <w:t>施工负责人</w:t>
            </w:r>
            <w:r>
              <w:rPr>
                <w:rFonts w:hint="eastAsia" w:ascii="宋体" w:hAnsi="宋体"/>
                <w:color w:val="auto"/>
                <w:kern w:val="0"/>
                <w:szCs w:val="21"/>
                <w:highlight w:val="none"/>
              </w:rPr>
              <w:t>到岗履职和未被禁止参与投标的承诺原件</w:t>
            </w:r>
            <w:r>
              <w:rPr>
                <w:rFonts w:hint="eastAsia" w:ascii="宋体" w:hAnsi="宋体"/>
                <w:color w:val="auto"/>
                <w:szCs w:val="21"/>
                <w:highlight w:val="none"/>
              </w:rPr>
              <w:t>（承诺格式见第八章投标文件格式）</w:t>
            </w:r>
            <w:r>
              <w:rPr>
                <w:rFonts w:hint="eastAsia" w:ascii="宋体" w:hAnsi="宋体"/>
                <w:color w:val="auto"/>
                <w:kern w:val="0"/>
                <w:szCs w:val="21"/>
                <w:highlight w:val="none"/>
              </w:rPr>
              <w:t>。</w:t>
            </w:r>
          </w:p>
          <w:p w14:paraId="44CBD15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□施工负责人业绩要求：</w:t>
            </w:r>
          </w:p>
          <w:p w14:paraId="6B618E7A">
            <w:pPr>
              <w:spacing w:line="400" w:lineRule="exact"/>
              <w:ind w:firstLine="420" w:firstLineChars="200"/>
              <w:rPr>
                <w:rFonts w:ascii="宋体" w:hAnsi="宋体"/>
                <w:color w:val="auto"/>
                <w:szCs w:val="21"/>
                <w:highlight w:val="none"/>
                <w:u w:val="single"/>
              </w:rPr>
            </w:pPr>
            <w:r>
              <w:rPr>
                <w:rFonts w:ascii="宋体" w:hAnsi="宋体"/>
                <w:color w:val="auto"/>
                <w:szCs w:val="21"/>
                <w:highlight w:val="none"/>
              </w:rPr>
              <w:t>投标截止日前</w:t>
            </w:r>
            <w:r>
              <w:rPr>
                <w:rFonts w:hint="eastAsia" w:ascii="宋体" w:hAnsi="宋体"/>
                <w:color w:val="auto"/>
                <w:szCs w:val="21"/>
                <w:highlight w:val="none"/>
              </w:rPr>
              <w:t>□3□5□8□</w:t>
            </w:r>
            <w:r>
              <w:rPr>
                <w:rFonts w:hint="eastAsia" w:ascii="宋体" w:hAnsi="宋体"/>
                <w:color w:val="auto"/>
                <w:szCs w:val="21"/>
                <w:highlight w:val="none"/>
                <w:u w:val="single"/>
              </w:rPr>
              <w:t xml:space="preserve">  </w:t>
            </w:r>
            <w:r>
              <w:rPr>
                <w:rFonts w:ascii="宋体" w:hAnsi="宋体"/>
                <w:color w:val="auto"/>
                <w:szCs w:val="21"/>
                <w:highlight w:val="none"/>
              </w:rPr>
              <w:t>年</w:t>
            </w:r>
            <w:r>
              <w:rPr>
                <w:rFonts w:hint="eastAsia" w:ascii="宋体" w:hAnsi="宋体"/>
                <w:i/>
                <w:iCs/>
                <w:color w:val="auto"/>
                <w:szCs w:val="21"/>
                <w:highlight w:val="none"/>
              </w:rPr>
              <w:t>[提示：8年以上选填]</w:t>
            </w:r>
            <w:r>
              <w:rPr>
                <w:rFonts w:ascii="宋体" w:hAnsi="宋体"/>
                <w:color w:val="auto"/>
                <w:szCs w:val="21"/>
                <w:highlight w:val="none"/>
              </w:rPr>
              <w:t>内</w:t>
            </w:r>
            <w:r>
              <w:rPr>
                <w:rFonts w:hint="eastAsia" w:ascii="宋体" w:hAnsi="宋体"/>
                <w:color w:val="auto"/>
                <w:szCs w:val="21"/>
                <w:highlight w:val="none"/>
              </w:rPr>
              <w:t>，指</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年1月1日起至投标截止日止（以工程竣工时间为准）在至少1个</w:t>
            </w:r>
            <w:r>
              <w:rPr>
                <w:rFonts w:ascii="宋体" w:hAnsi="宋体"/>
                <w:color w:val="auto"/>
                <w:szCs w:val="21"/>
                <w:highlight w:val="none"/>
              </w:rPr>
              <w:t>与招标项目</w:t>
            </w:r>
            <w:r>
              <w:rPr>
                <w:rFonts w:hint="eastAsia" w:ascii="宋体" w:hAnsi="宋体"/>
                <w:color w:val="auto"/>
                <w:szCs w:val="21"/>
                <w:highlight w:val="none"/>
              </w:rPr>
              <w:t>工程造价、工程类别、工程规模等具体技术参数相同或相似的项目中</w:t>
            </w:r>
            <w:r>
              <w:rPr>
                <w:rFonts w:ascii="宋体" w:hAnsi="宋体"/>
                <w:color w:val="auto"/>
                <w:kern w:val="0"/>
                <w:szCs w:val="21"/>
                <w:highlight w:val="none"/>
              </w:rPr>
              <w:t>担任</w:t>
            </w:r>
            <w:r>
              <w:rPr>
                <w:rFonts w:hint="eastAsia" w:ascii="宋体" w:hAnsi="宋体"/>
                <w:color w:val="auto"/>
                <w:kern w:val="0"/>
                <w:szCs w:val="21"/>
                <w:highlight w:val="none"/>
              </w:rPr>
              <w:t>过施工项目项目经理或工程总承包施工负责人或工程总承包项目经理</w:t>
            </w:r>
            <w:r>
              <w:rPr>
                <w:rFonts w:hint="eastAsia" w:ascii="宋体" w:hAnsi="宋体"/>
                <w:color w:val="auto"/>
                <w:szCs w:val="21"/>
                <w:highlight w:val="none"/>
              </w:rPr>
              <w:t>。</w:t>
            </w:r>
          </w:p>
          <w:p w14:paraId="19D5E39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类似业绩应满足以下要求：</w:t>
            </w:r>
          </w:p>
          <w:p w14:paraId="2E1B495E">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工程类别：</w:t>
            </w:r>
            <w:r>
              <w:rPr>
                <w:rFonts w:hint="eastAsia" w:ascii="宋体" w:hAnsi="宋体"/>
                <w:color w:val="auto"/>
                <w:szCs w:val="21"/>
                <w:highlight w:val="none"/>
                <w:u w:val="single"/>
              </w:rPr>
              <w:t xml:space="preserve">        </w:t>
            </w:r>
          </w:p>
          <w:p w14:paraId="7EEF4AAE">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若同时设置了工程造价和工程规模要求，则只须满足其中之一</w:t>
            </w:r>
          </w:p>
          <w:p w14:paraId="1436897D">
            <w:pPr>
              <w:autoSpaceDE w:val="0"/>
              <w:autoSpaceDN w:val="0"/>
              <w:adjustRightInd w:val="0"/>
              <w:snapToGrid w:val="0"/>
              <w:spacing w:line="400" w:lineRule="exact"/>
              <w:ind w:firstLine="420" w:firstLineChars="200"/>
              <w:rPr>
                <w:color w:val="auto"/>
                <w:highlight w:val="none"/>
              </w:rPr>
            </w:pPr>
            <w:r>
              <w:rPr>
                <w:rFonts w:hint="eastAsia" w:ascii="宋体" w:hAnsi="宋体"/>
                <w:color w:val="auto"/>
                <w:szCs w:val="21"/>
                <w:highlight w:val="none"/>
              </w:rPr>
              <w:t>□工程造价：</w:t>
            </w:r>
            <w:r>
              <w:rPr>
                <w:rFonts w:hint="eastAsia" w:ascii="宋体" w:hAnsi="宋体"/>
                <w:color w:val="auto"/>
                <w:szCs w:val="21"/>
                <w:highlight w:val="none"/>
                <w:u w:val="single"/>
              </w:rPr>
              <w:t xml:space="preserve">        </w:t>
            </w:r>
          </w:p>
          <w:p w14:paraId="000446BC">
            <w:pPr>
              <w:autoSpaceDE w:val="0"/>
              <w:autoSpaceDN w:val="0"/>
              <w:adjustRightInd w:val="0"/>
              <w:snapToGrid w:val="0"/>
              <w:spacing w:line="400" w:lineRule="exact"/>
              <w:ind w:firstLine="420" w:firstLineChars="200"/>
              <w:rPr>
                <w:rFonts w:ascii="宋体" w:hAnsi="宋体"/>
                <w:color w:val="auto"/>
                <w:szCs w:val="21"/>
                <w:highlight w:val="none"/>
                <w:u w:val="single"/>
              </w:rPr>
            </w:pPr>
            <w:r>
              <w:rPr>
                <w:rFonts w:hint="eastAsia" w:ascii="宋体" w:hAnsi="宋体"/>
                <w:color w:val="auto"/>
                <w:szCs w:val="21"/>
                <w:highlight w:val="none"/>
              </w:rPr>
              <w:t>□工程规模：</w:t>
            </w:r>
            <w:r>
              <w:rPr>
                <w:rFonts w:hint="eastAsia" w:ascii="宋体" w:hAnsi="宋体"/>
                <w:color w:val="auto"/>
                <w:szCs w:val="21"/>
                <w:highlight w:val="none"/>
                <w:u w:val="single"/>
              </w:rPr>
              <w:t xml:space="preserve">        </w:t>
            </w:r>
          </w:p>
          <w:p w14:paraId="1FD89AB9">
            <w:pPr>
              <w:autoSpaceDE w:val="0"/>
              <w:autoSpaceDN w:val="0"/>
              <w:adjustRightInd w:val="0"/>
              <w:snapToGrid w:val="0"/>
              <w:spacing w:line="400" w:lineRule="exact"/>
              <w:ind w:firstLine="420" w:firstLineChars="200"/>
              <w:rPr>
                <w:color w:val="auto"/>
                <w:highlight w:val="none"/>
              </w:rPr>
            </w:pPr>
            <w:r>
              <w:rPr>
                <w:rFonts w:hint="eastAsia" w:ascii="宋体" w:hAnsi="宋体"/>
                <w:i/>
                <w:color w:val="auto"/>
                <w:szCs w:val="21"/>
                <w:highlight w:val="none"/>
              </w:rPr>
              <w:t>[提示：根据招标项目实际情况选用]</w:t>
            </w:r>
          </w:p>
          <w:p w14:paraId="1C6C89C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提供施工业绩的：投标人须在投标文件资格审查部分提供该业绩在“全国建筑市场监管公共服务平台”的网页截图，截图数量不限但须能反映完整的网站名称、工程名称、中标单位名称（或承包单位名称或施工企业名称），每张截图需清晰并显示完整的网址方为有效。若截图能反映业绩要求对应的业绩信息（如竣工时间、工程类别、工程造价、工程规模、人员姓名职务等）的，则无需提供其他证明材料；若截图不能反映业绩要求对应的业绩信息（如竣工时间、工程类别、工程造价、工程规模、人员姓名职务等）的，应提供中标通知书（直接发包的项目可提供项目发包人出具的项目直接发包情况说明或证明文书代替）、合同协议书、工程竣工验收合格证明材料中的一种或几种作为证明材料。</w:t>
            </w:r>
          </w:p>
          <w:p w14:paraId="0FA7F99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提供工程总承包业绩的：投标人须在投标文件资格审查部分提供该业绩的中标通知书（直接发包的项目可提供项目发包人出具的项目直接发包情况说明或证明文书代替）、合同协议书和工程竣工验收合格证明材料。</w:t>
            </w:r>
          </w:p>
          <w:p w14:paraId="1505FF2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若提供的上述业绩证明材料不能体现工程类别、工程规模、人员姓名职务信息的，应提供业主证明。</w:t>
            </w:r>
          </w:p>
          <w:p w14:paraId="2844D73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注：投标人应对其提供的业绩证明材料（含截图）的真实性负责。当以上业绩证明材料体现的竣工时间、工程造价、工程类别、工程规模等信息不一致时，按不利于投标人的原则进行解释。</w:t>
            </w:r>
          </w:p>
          <w:p w14:paraId="35936A1F">
            <w:pPr>
              <w:spacing w:line="400" w:lineRule="exact"/>
              <w:ind w:firstLine="420" w:firstLineChars="200"/>
              <w:rPr>
                <w:color w:val="auto"/>
                <w:highlight w:val="none"/>
              </w:rPr>
            </w:pPr>
            <w:r>
              <w:rPr>
                <w:rFonts w:hint="eastAsia"/>
                <w:color w:val="auto"/>
                <w:highlight w:val="none"/>
              </w:rPr>
              <w:t>不满足上述业绩要求的业绩无效。</w:t>
            </w:r>
          </w:p>
          <w:p w14:paraId="3EA3CC9C">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rPr>
              <w:t>□</w:t>
            </w:r>
            <w:r>
              <w:rPr>
                <w:rFonts w:hint="eastAsia" w:ascii="宋体" w:hAnsi="宋体"/>
                <w:color w:val="auto"/>
                <w:kern w:val="0"/>
                <w:szCs w:val="21"/>
                <w:highlight w:val="none"/>
              </w:rPr>
              <w:t>（</w:t>
            </w:r>
            <w:r>
              <w:rPr>
                <w:rFonts w:ascii="宋体" w:hAnsi="宋体"/>
                <w:color w:val="auto"/>
                <w:kern w:val="0"/>
                <w:szCs w:val="21"/>
                <w:highlight w:val="none"/>
              </w:rPr>
              <w:t>3</w:t>
            </w:r>
            <w:r>
              <w:rPr>
                <w:rFonts w:hint="eastAsia" w:ascii="宋体" w:hAnsi="宋体"/>
                <w:color w:val="auto"/>
                <w:kern w:val="0"/>
                <w:szCs w:val="21"/>
                <w:highlight w:val="none"/>
              </w:rPr>
              <w:t>）施工技术负责人：</w:t>
            </w:r>
          </w:p>
          <w:p w14:paraId="11C69D1B">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应具有</w:t>
            </w:r>
            <w:r>
              <w:rPr>
                <w:rFonts w:hint="eastAsia" w:ascii="宋体" w:hAnsi="宋体"/>
                <w:color w:val="auto"/>
                <w:szCs w:val="21"/>
                <w:highlight w:val="none"/>
              </w:rPr>
              <w:t>工程类</w:t>
            </w:r>
            <w:r>
              <w:rPr>
                <w:rFonts w:hint="eastAsia" w:ascii="宋体" w:hAnsi="宋体"/>
                <w:color w:val="auto"/>
                <w:szCs w:val="21"/>
                <w:highlight w:val="none"/>
                <w:u w:val="single"/>
              </w:rPr>
              <w:t xml:space="preserve">    </w:t>
            </w:r>
            <w:r>
              <w:rPr>
                <w:rFonts w:ascii="宋体" w:hAnsi="宋体"/>
                <w:color w:val="auto"/>
                <w:szCs w:val="21"/>
                <w:highlight w:val="none"/>
              </w:rPr>
              <w:t>级及以上职称；</w:t>
            </w:r>
          </w:p>
          <w:p w14:paraId="44558E82">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投标人须在投标文件资格审查部分附拟派施工技术负责人身份证、职称证及投标人为其缴纳的养老保险证明材料。</w:t>
            </w:r>
          </w:p>
          <w:p w14:paraId="353C939F">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（4）</w:t>
            </w:r>
            <w:r>
              <w:rPr>
                <w:rFonts w:ascii="宋体" w:hAnsi="宋体"/>
                <w:color w:val="auto"/>
                <w:szCs w:val="21"/>
                <w:highlight w:val="none"/>
              </w:rPr>
              <w:t>主要管理人员：</w:t>
            </w:r>
          </w:p>
          <w:p w14:paraId="288076A9">
            <w:pPr>
              <w:autoSpaceDE w:val="0"/>
              <w:autoSpaceDN w:val="0"/>
              <w:adjustRightIn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自行承诺中标后在签订合同之前，须按照实际工作需要和建设行政主管部门的要求组建项目部，配置项目管理班子，出具任命文件。任命文件应当明确项目部的职责、岗位设置、人员配备，并书面通知建设单位。主要管理人员应持有建设行政主管部门要求的岗位证书或注册证书或职称证书，并提供投标人为其缴纳的养老保险证明材料。中标后不能满足该要求的，取消其中标资格，给招标人造成损失的，投标人依法承担违约赔偿责任。投标人须在投标文件资格审查部分附承诺函（格式见第八章投标文件格式）。</w:t>
            </w:r>
          </w:p>
          <w:p w14:paraId="575EAAC8">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（5）委托代理人</w:t>
            </w:r>
            <w:r>
              <w:rPr>
                <w:rFonts w:hint="eastAsia" w:ascii="宋体" w:hAnsi="宋体"/>
                <w:color w:val="auto"/>
                <w:kern w:val="0"/>
                <w:szCs w:val="21"/>
                <w:highlight w:val="none"/>
              </w:rPr>
              <w:t>：</w:t>
            </w:r>
          </w:p>
          <w:p w14:paraId="1A513A01">
            <w:pPr>
              <w:autoSpaceDE w:val="0"/>
              <w:autoSpaceDN w:val="0"/>
              <w:adjustRightInd w:val="0"/>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[提示：根据授权委托书的授权范围，委托代理人可以以投标人的名义签署、澄清、说明、补正、递交、撤回、修改本项目投标文件、签订合同和处理有关事宜，其法律后果由投标人承担。]</w:t>
            </w:r>
          </w:p>
          <w:p w14:paraId="18959F53">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本</w:t>
            </w:r>
            <w:r>
              <w:rPr>
                <w:rFonts w:hint="eastAsia" w:ascii="宋体" w:hAnsi="宋体"/>
                <w:color w:val="auto"/>
                <w:kern w:val="0"/>
                <w:szCs w:val="21"/>
                <w:highlight w:val="none"/>
              </w:rPr>
              <w:t>项目</w:t>
            </w:r>
            <w:r>
              <w:rPr>
                <w:rFonts w:ascii="宋体" w:hAnsi="宋体"/>
                <w:color w:val="auto"/>
                <w:kern w:val="0"/>
                <w:szCs w:val="21"/>
                <w:highlight w:val="none"/>
              </w:rPr>
              <w:t>委托代理人必须为投标人单位职工。</w:t>
            </w:r>
            <w:r>
              <w:rPr>
                <w:rFonts w:hint="eastAsia" w:ascii="宋体" w:hAnsi="宋体"/>
                <w:color w:val="auto"/>
                <w:kern w:val="0"/>
                <w:szCs w:val="21"/>
                <w:highlight w:val="none"/>
              </w:rPr>
              <w:t>投标人</w:t>
            </w:r>
            <w:r>
              <w:rPr>
                <w:rFonts w:ascii="宋体" w:hAnsi="宋体"/>
                <w:color w:val="auto"/>
                <w:kern w:val="0"/>
                <w:szCs w:val="21"/>
                <w:highlight w:val="none"/>
              </w:rPr>
              <w:t>须</w:t>
            </w:r>
            <w:r>
              <w:rPr>
                <w:rFonts w:hint="eastAsia" w:ascii="宋体" w:hAnsi="宋体"/>
                <w:color w:val="auto"/>
                <w:kern w:val="0"/>
                <w:szCs w:val="21"/>
                <w:highlight w:val="none"/>
              </w:rPr>
              <w:t>在投标文件资格审查部分</w:t>
            </w:r>
            <w:r>
              <w:rPr>
                <w:rFonts w:ascii="宋体" w:hAnsi="宋体"/>
                <w:color w:val="auto"/>
                <w:kern w:val="0"/>
                <w:szCs w:val="21"/>
                <w:highlight w:val="none"/>
              </w:rPr>
              <w:t>提供</w:t>
            </w:r>
            <w:r>
              <w:rPr>
                <w:rFonts w:hint="eastAsia" w:ascii="宋体" w:hAnsi="宋体"/>
                <w:color w:val="auto"/>
                <w:kern w:val="0"/>
                <w:szCs w:val="21"/>
                <w:highlight w:val="none"/>
              </w:rPr>
              <w:t>投标人为该</w:t>
            </w:r>
            <w:r>
              <w:rPr>
                <w:rFonts w:ascii="宋体" w:hAnsi="宋体"/>
                <w:color w:val="auto"/>
                <w:kern w:val="0"/>
                <w:szCs w:val="21"/>
                <w:highlight w:val="none"/>
              </w:rPr>
              <w:t>委托代理人</w:t>
            </w:r>
            <w:r>
              <w:rPr>
                <w:rFonts w:hint="eastAsia" w:ascii="宋体" w:hAnsi="宋体"/>
                <w:color w:val="auto"/>
                <w:kern w:val="0"/>
                <w:szCs w:val="21"/>
                <w:highlight w:val="none"/>
              </w:rPr>
              <w:t>缴纳的养老保险证明。否则，将由评标委员会作否决投标处理。</w:t>
            </w:r>
          </w:p>
          <w:p w14:paraId="4DF9702C">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若投标单位为联合体，则由联合体牵头人委派委托代理人，并在联合体协议中明确。</w:t>
            </w:r>
          </w:p>
          <w:p w14:paraId="495FEC07">
            <w:pPr>
              <w:autoSpaceDE w:val="0"/>
              <w:autoSpaceDN w:val="0"/>
              <w:adjustRightInd w:val="0"/>
              <w:snapToGrid w:val="0"/>
              <w:spacing w:line="400" w:lineRule="exact"/>
              <w:ind w:firstLine="417" w:firstLineChars="198"/>
              <w:rPr>
                <w:rFonts w:ascii="宋体" w:hAnsi="宋体" w:cs="宋体"/>
                <w:b/>
                <w:color w:val="auto"/>
                <w:szCs w:val="21"/>
                <w:highlight w:val="none"/>
              </w:rPr>
            </w:pPr>
            <w:r>
              <w:rPr>
                <w:rFonts w:hint="eastAsia" w:ascii="宋体" w:hAnsi="宋体" w:cs="宋体"/>
                <w:b/>
                <w:color w:val="auto"/>
                <w:szCs w:val="21"/>
                <w:highlight w:val="none"/>
              </w:rPr>
              <w:t>特别说明：</w:t>
            </w:r>
          </w:p>
          <w:p w14:paraId="78C6C991">
            <w:pPr>
              <w:autoSpaceDE w:val="0"/>
              <w:autoSpaceDN w:val="0"/>
              <w:adjustRightInd w:val="0"/>
              <w:snapToGrid w:val="0"/>
              <w:spacing w:line="400" w:lineRule="exact"/>
              <w:ind w:firstLine="415" w:firstLineChars="198"/>
              <w:rPr>
                <w:rFonts w:ascii="宋体" w:hAnsi="宋体" w:cs="宋体"/>
                <w:color w:val="auto"/>
                <w:kern w:val="0"/>
                <w:szCs w:val="21"/>
                <w:highlight w:val="none"/>
              </w:rPr>
            </w:pPr>
            <w:r>
              <w:rPr>
                <w:rFonts w:hint="eastAsia" w:ascii="宋体" w:hAnsi="宋体" w:cs="宋体"/>
                <w:color w:val="auto"/>
                <w:szCs w:val="21"/>
                <w:highlight w:val="none"/>
              </w:rPr>
              <w:t>（</w:t>
            </w:r>
            <w:r>
              <w:rPr>
                <w:rFonts w:ascii="宋体" w:hAnsi="宋体" w:cs="宋体"/>
                <w:color w:val="auto"/>
                <w:szCs w:val="21"/>
                <w:highlight w:val="none"/>
              </w:rPr>
              <w:t>1）上述1～</w:t>
            </w:r>
            <w:r>
              <w:rPr>
                <w:rFonts w:hint="eastAsia" w:ascii="宋体" w:hAnsi="宋体" w:cs="宋体"/>
                <w:color w:val="auto"/>
                <w:szCs w:val="21"/>
                <w:highlight w:val="none"/>
              </w:rPr>
              <w:t>7条所须提交的相关证明材料均为扫描件（扫描件须清晰可辨），且均应加盖投标人合法电子印章并编入投标文件资格审查部分中。上述</w:t>
            </w:r>
            <w:r>
              <w:rPr>
                <w:rFonts w:hint="eastAsia" w:ascii="宋体" w:hAnsi="宋体" w:cs="宋体"/>
                <w:color w:val="auto"/>
                <w:kern w:val="0"/>
                <w:szCs w:val="21"/>
                <w:highlight w:val="none"/>
              </w:rPr>
              <w:t>1</w:t>
            </w:r>
            <w:r>
              <w:rPr>
                <w:rFonts w:hint="eastAsia" w:ascii="宋体" w:hAnsi="宋体" w:cs="宋体"/>
                <w:color w:val="auto"/>
                <w:szCs w:val="21"/>
                <w:highlight w:val="none"/>
              </w:rPr>
              <w:t>～</w:t>
            </w:r>
            <w:r>
              <w:rPr>
                <w:rFonts w:hint="eastAsia" w:ascii="宋体" w:hAnsi="宋体" w:cs="宋体"/>
                <w:color w:val="auto"/>
                <w:kern w:val="0"/>
                <w:szCs w:val="21"/>
                <w:highlight w:val="none"/>
              </w:rPr>
              <w:t>7条，有一条不满足，则投标文件由评标委员会</w:t>
            </w:r>
            <w:r>
              <w:rPr>
                <w:rFonts w:hint="eastAsia" w:ascii="宋体" w:hAnsi="宋体" w:cs="宋体"/>
                <w:color w:val="auto"/>
                <w:szCs w:val="21"/>
                <w:highlight w:val="none"/>
              </w:rPr>
              <w:t>作否决投标处理</w:t>
            </w:r>
            <w:r>
              <w:rPr>
                <w:rFonts w:hint="eastAsia" w:ascii="宋体" w:hAnsi="宋体" w:cs="宋体"/>
                <w:color w:val="auto"/>
                <w:kern w:val="0"/>
                <w:szCs w:val="21"/>
                <w:highlight w:val="none"/>
              </w:rPr>
              <w:t>。</w:t>
            </w:r>
          </w:p>
          <w:p w14:paraId="7B2C4852">
            <w:pPr>
              <w:autoSpaceDE w:val="0"/>
              <w:autoSpaceDN w:val="0"/>
              <w:adjustRightInd w:val="0"/>
              <w:snapToGrid w:val="0"/>
              <w:spacing w:line="400" w:lineRule="exact"/>
              <w:ind w:firstLine="415" w:firstLineChars="198"/>
              <w:rPr>
                <w:rFonts w:ascii="宋体" w:hAnsi="宋体" w:cs="宋体"/>
                <w:color w:val="auto"/>
                <w:szCs w:val="21"/>
                <w:highlight w:val="none"/>
              </w:rPr>
            </w:pPr>
            <w:r>
              <w:rPr>
                <w:rFonts w:hint="eastAsia" w:ascii="宋体" w:hAnsi="宋体" w:cs="宋体"/>
                <w:color w:val="auto"/>
                <w:szCs w:val="21"/>
                <w:highlight w:val="none"/>
              </w:rPr>
              <w:t>（2A）</w:t>
            </w:r>
            <w:bookmarkStart w:id="156" w:name="_Hlk57992060"/>
            <w:r>
              <w:rPr>
                <w:rFonts w:hint="eastAsia" w:ascii="宋体" w:hAnsi="宋体" w:cs="宋体"/>
                <w:color w:val="auto"/>
                <w:szCs w:val="21"/>
                <w:highlight w:val="none"/>
              </w:rPr>
              <w:t>投标人须</w:t>
            </w:r>
            <w:r>
              <w:rPr>
                <w:rFonts w:hint="eastAsia" w:ascii="宋体" w:hAnsi="宋体"/>
                <w:color w:val="auto"/>
                <w:szCs w:val="21"/>
                <w:highlight w:val="none"/>
              </w:rPr>
              <w:t>自行承诺其提供的</w:t>
            </w:r>
            <w:r>
              <w:rPr>
                <w:rFonts w:hint="eastAsia" w:ascii="宋体" w:hAnsi="宋体" w:cs="宋体"/>
                <w:color w:val="auto"/>
                <w:szCs w:val="21"/>
                <w:highlight w:val="none"/>
              </w:rPr>
              <w:t>上述相关证明材料</w:t>
            </w:r>
            <w:r>
              <w:rPr>
                <w:rFonts w:hint="eastAsia" w:ascii="宋体" w:hAnsi="宋体"/>
                <w:color w:val="auto"/>
                <w:szCs w:val="21"/>
                <w:highlight w:val="none"/>
              </w:rPr>
              <w:t>真实有效，不存在弄虚作假情形</w:t>
            </w:r>
            <w:r>
              <w:rPr>
                <w:rFonts w:hint="eastAsia" w:ascii="宋体" w:hAnsi="宋体" w:cs="宋体"/>
                <w:color w:val="auto"/>
                <w:szCs w:val="21"/>
                <w:highlight w:val="none"/>
              </w:rPr>
              <w:t>（格式见第八章投标文件格式）。</w:t>
            </w:r>
            <w:r>
              <w:rPr>
                <w:rFonts w:ascii="宋体" w:hAnsi="宋体" w:cs="宋体"/>
                <w:color w:val="auto"/>
                <w:szCs w:val="21"/>
                <w:highlight w:val="none"/>
              </w:rPr>
              <w:t>招标人在</w:t>
            </w:r>
            <w:r>
              <w:rPr>
                <w:rFonts w:hint="eastAsia" w:ascii="宋体" w:hAnsi="宋体" w:cs="宋体"/>
                <w:color w:val="auto"/>
                <w:szCs w:val="21"/>
                <w:highlight w:val="none"/>
              </w:rPr>
              <w:t>合同签订前</w:t>
            </w:r>
            <w:r>
              <w:rPr>
                <w:rFonts w:ascii="宋体" w:hAnsi="宋体" w:cs="宋体"/>
                <w:color w:val="auto"/>
                <w:szCs w:val="21"/>
                <w:highlight w:val="none"/>
              </w:rPr>
              <w:t>均有权对投标人提供的</w:t>
            </w:r>
            <w:r>
              <w:rPr>
                <w:rFonts w:hint="eastAsia" w:ascii="宋体" w:hAnsi="宋体" w:cs="宋体"/>
                <w:color w:val="auto"/>
                <w:szCs w:val="21"/>
                <w:highlight w:val="none"/>
              </w:rPr>
              <w:t>资料（如业绩截图信息等相关证明材料）</w:t>
            </w:r>
            <w:r>
              <w:rPr>
                <w:rFonts w:ascii="宋体" w:hAnsi="宋体" w:cs="宋体"/>
                <w:color w:val="auto"/>
                <w:szCs w:val="21"/>
                <w:highlight w:val="none"/>
              </w:rPr>
              <w:t>进行核实，</w:t>
            </w:r>
            <w:r>
              <w:rPr>
                <w:rFonts w:hint="eastAsia" w:ascii="宋体" w:hAnsi="宋体" w:cs="宋体"/>
                <w:color w:val="auto"/>
                <w:szCs w:val="21"/>
                <w:highlight w:val="none"/>
              </w:rPr>
              <w:t>若发现弄虚作假，取消其中标资格，并按相关法律法规报招标投标监督部门处理，其投标保证金不予退还，投标人承担因此造成的相关责任并赔偿相应损失。</w:t>
            </w:r>
          </w:p>
          <w:bookmarkEnd w:id="156"/>
          <w:p w14:paraId="2B436D7C">
            <w:pPr>
              <w:autoSpaceDE w:val="0"/>
              <w:autoSpaceDN w:val="0"/>
              <w:adjustRightInd w:val="0"/>
              <w:snapToGrid w:val="0"/>
              <w:spacing w:line="400" w:lineRule="exact"/>
              <w:ind w:firstLine="415" w:firstLineChars="198"/>
              <w:rPr>
                <w:rFonts w:ascii="宋体" w:hAnsi="宋体" w:cs="宋体"/>
                <w:color w:val="auto"/>
                <w:kern w:val="0"/>
                <w:szCs w:val="21"/>
                <w:highlight w:val="none"/>
              </w:rPr>
            </w:pPr>
            <w:r>
              <w:rPr>
                <w:rFonts w:hint="eastAsia" w:ascii="宋体" w:hAnsi="宋体" w:cs="宋体"/>
                <w:i/>
                <w:color w:val="auto"/>
                <w:kern w:val="0"/>
                <w:szCs w:val="21"/>
                <w:highlight w:val="none"/>
              </w:rPr>
              <w:t>[提示：适用于未进行资格预审的项目。]</w:t>
            </w:r>
          </w:p>
          <w:p w14:paraId="518359F8">
            <w:pPr>
              <w:autoSpaceDE w:val="0"/>
              <w:autoSpaceDN w:val="0"/>
              <w:adjustRightInd w:val="0"/>
              <w:snapToGrid w:val="0"/>
              <w:spacing w:line="400" w:lineRule="exact"/>
              <w:ind w:firstLine="415" w:firstLineChars="198"/>
              <w:rPr>
                <w:rFonts w:ascii="宋体" w:hAnsi="宋体" w:cs="宋体"/>
                <w:color w:val="auto"/>
                <w:kern w:val="0"/>
                <w:szCs w:val="21"/>
                <w:highlight w:val="none"/>
              </w:rPr>
            </w:pPr>
            <w:r>
              <w:rPr>
                <w:rFonts w:hint="eastAsia" w:ascii="宋体" w:hAnsi="宋体" w:cs="宋体"/>
                <w:color w:val="auto"/>
                <w:kern w:val="0"/>
                <w:szCs w:val="21"/>
                <w:highlight w:val="none"/>
              </w:rPr>
              <w:t>（2B）本工程已进行资格预审，投标人应是收到招标人发出投标邀请书的单位。投标人在编制投标文件时，如其涉及资格审查部分的有关情况发生变化，则应按本标段资格预审文件第三章“资格审查办法”详细评审标准，更新或补充其在申请资格预审时提供的资料。要求：</w:t>
            </w:r>
          </w:p>
          <w:p w14:paraId="0A9BF5EC">
            <w:pPr>
              <w:autoSpaceDE w:val="0"/>
              <w:autoSpaceDN w:val="0"/>
              <w:adjustRightInd w:val="0"/>
              <w:snapToGrid w:val="0"/>
              <w:spacing w:line="400" w:lineRule="exact"/>
              <w:ind w:firstLine="415" w:firstLineChars="198"/>
              <w:rPr>
                <w:rFonts w:ascii="宋体" w:hAnsi="宋体" w:cs="宋体"/>
                <w:color w:val="auto"/>
                <w:kern w:val="0"/>
                <w:szCs w:val="21"/>
                <w:highlight w:val="none"/>
              </w:rPr>
            </w:pPr>
            <w:r>
              <w:rPr>
                <w:rFonts w:hint="eastAsia" w:ascii="宋体" w:hAnsi="宋体" w:cs="宋体"/>
                <w:color w:val="auto"/>
                <w:kern w:val="0"/>
                <w:szCs w:val="21"/>
                <w:highlight w:val="none"/>
              </w:rPr>
              <w:t>①通过资格预审后，投标人发生合法重组等变更名称的，应提供相关部门的合法批件及企业法人营业执照和资质证书的副本变更记录。</w:t>
            </w:r>
          </w:p>
          <w:p w14:paraId="2C6A848E">
            <w:pPr>
              <w:autoSpaceDE w:val="0"/>
              <w:autoSpaceDN w:val="0"/>
              <w:adjustRightInd w:val="0"/>
              <w:snapToGrid w:val="0"/>
              <w:spacing w:line="400" w:lineRule="exact"/>
              <w:ind w:firstLine="415" w:firstLineChars="198"/>
              <w:rPr>
                <w:rFonts w:ascii="宋体" w:hAnsi="宋体" w:cs="宋体"/>
                <w:color w:val="auto"/>
                <w:kern w:val="0"/>
                <w:szCs w:val="21"/>
                <w:highlight w:val="none"/>
              </w:rPr>
            </w:pPr>
            <w:r>
              <w:rPr>
                <w:rFonts w:hint="eastAsia" w:ascii="宋体" w:hAnsi="宋体" w:cs="宋体"/>
                <w:color w:val="auto"/>
                <w:kern w:val="0"/>
                <w:szCs w:val="21"/>
                <w:highlight w:val="none"/>
              </w:rPr>
              <w:t>②投标人投标时的资格条件相比资格预审时应没有实质性下降，投标文件仍然满足资格预审中的强制性标准。</w:t>
            </w:r>
          </w:p>
          <w:p w14:paraId="3A9AAD91">
            <w:pPr>
              <w:autoSpaceDE w:val="0"/>
              <w:autoSpaceDN w:val="0"/>
              <w:adjustRightInd w:val="0"/>
              <w:snapToGrid w:val="0"/>
              <w:spacing w:line="400" w:lineRule="exact"/>
              <w:ind w:firstLine="415" w:firstLineChars="198"/>
              <w:rPr>
                <w:rFonts w:ascii="宋体" w:hAnsi="宋体" w:cs="宋体"/>
                <w:i/>
                <w:color w:val="auto"/>
                <w:kern w:val="0"/>
                <w:szCs w:val="21"/>
                <w:highlight w:val="none"/>
              </w:rPr>
            </w:pPr>
            <w:r>
              <w:rPr>
                <w:rFonts w:hint="eastAsia" w:ascii="宋体" w:hAnsi="宋体" w:cs="宋体"/>
                <w:i/>
                <w:color w:val="auto"/>
                <w:kern w:val="0"/>
                <w:szCs w:val="21"/>
                <w:highlight w:val="none"/>
              </w:rPr>
              <w:t>[提示：适用于已进行资格预审的项目，没有变化的不提供。]</w:t>
            </w:r>
          </w:p>
          <w:p w14:paraId="3EF97F83">
            <w:pPr>
              <w:autoSpaceDE w:val="0"/>
              <w:autoSpaceDN w:val="0"/>
              <w:adjustRightInd w:val="0"/>
              <w:snapToGrid w:val="0"/>
              <w:spacing w:line="400" w:lineRule="exact"/>
              <w:ind w:firstLine="415" w:firstLineChars="198"/>
              <w:rPr>
                <w:rFonts w:ascii="宋体" w:hAnsi="宋体" w:cs="宋体"/>
                <w:iCs/>
                <w:color w:val="auto"/>
                <w:kern w:val="0"/>
                <w:szCs w:val="21"/>
                <w:highlight w:val="none"/>
              </w:rPr>
            </w:pPr>
            <w:r>
              <w:rPr>
                <w:rFonts w:hint="eastAsia" w:ascii="宋体" w:hAnsi="宋体" w:cs="宋体"/>
                <w:iCs/>
                <w:color w:val="auto"/>
                <w:kern w:val="0"/>
                <w:szCs w:val="21"/>
                <w:highlight w:val="none"/>
              </w:rPr>
              <w:t>（3）</w:t>
            </w:r>
            <w:r>
              <w:rPr>
                <w:rFonts w:hint="eastAsia" w:ascii="宋体" w:hAnsi="宋体"/>
                <w:color w:val="auto"/>
                <w:szCs w:val="21"/>
                <w:highlight w:val="none"/>
              </w:rPr>
              <w:t>工程总承包项目经理、设计负责人、施工负责人的业绩不限定为投标单位的个人业绩。</w:t>
            </w:r>
          </w:p>
          <w:p w14:paraId="24C2B4FC">
            <w:pPr>
              <w:autoSpaceDE w:val="0"/>
              <w:autoSpaceDN w:val="0"/>
              <w:adjustRightInd w:val="0"/>
              <w:snapToGrid w:val="0"/>
              <w:spacing w:line="400" w:lineRule="exact"/>
              <w:ind w:firstLine="415" w:firstLineChars="198"/>
              <w:rPr>
                <w:rFonts w:ascii="宋体" w:hAnsi="宋体"/>
                <w:bCs/>
                <w:color w:val="auto"/>
                <w:kern w:val="0"/>
                <w:szCs w:val="21"/>
                <w:highlight w:val="none"/>
              </w:rPr>
            </w:pPr>
            <w:r>
              <w:rPr>
                <w:rFonts w:hint="eastAsia" w:ascii="宋体" w:hAnsi="宋体"/>
                <w:bCs/>
                <w:color w:val="auto"/>
                <w:kern w:val="0"/>
                <w:szCs w:val="21"/>
                <w:highlight w:val="none"/>
              </w:rPr>
              <w:t>（</w:t>
            </w:r>
            <w:r>
              <w:rPr>
                <w:rFonts w:ascii="宋体" w:hAnsi="宋体"/>
                <w:bCs/>
                <w:color w:val="auto"/>
                <w:kern w:val="0"/>
                <w:szCs w:val="21"/>
                <w:highlight w:val="none"/>
              </w:rPr>
              <w:t>4</w:t>
            </w:r>
            <w:r>
              <w:rPr>
                <w:rFonts w:hint="eastAsia" w:ascii="宋体" w:hAnsi="宋体"/>
                <w:bCs/>
                <w:color w:val="auto"/>
                <w:kern w:val="0"/>
                <w:szCs w:val="21"/>
                <w:highlight w:val="none"/>
              </w:rPr>
              <w:t>）</w:t>
            </w:r>
            <w:r>
              <w:rPr>
                <w:rFonts w:ascii="宋体" w:hAnsi="宋体"/>
                <w:bCs/>
                <w:color w:val="auto"/>
                <w:kern w:val="0"/>
                <w:szCs w:val="21"/>
                <w:highlight w:val="none"/>
              </w:rPr>
              <w:t>本招标文件中所要求的人员</w:t>
            </w:r>
            <w:r>
              <w:rPr>
                <w:rFonts w:hint="eastAsia" w:ascii="宋体" w:hAnsi="宋体"/>
                <w:bCs/>
                <w:color w:val="auto"/>
                <w:kern w:val="0"/>
                <w:szCs w:val="21"/>
                <w:highlight w:val="none"/>
              </w:rPr>
              <w:t>养老保险</w:t>
            </w:r>
            <w:r>
              <w:rPr>
                <w:rFonts w:ascii="宋体" w:hAnsi="宋体"/>
                <w:bCs/>
                <w:color w:val="auto"/>
                <w:kern w:val="0"/>
                <w:szCs w:val="21"/>
                <w:highlight w:val="none"/>
              </w:rPr>
              <w:t>证明要求如下：</w:t>
            </w:r>
          </w:p>
          <w:p w14:paraId="11A616B9">
            <w:pPr>
              <w:spacing w:line="400" w:lineRule="exact"/>
              <w:ind w:firstLine="420" w:firstLineChars="200"/>
              <w:rPr>
                <w:rFonts w:ascii="宋体" w:hAnsi="宋体"/>
                <w:bCs/>
                <w:color w:val="auto"/>
                <w:kern w:val="0"/>
                <w:szCs w:val="21"/>
                <w:highlight w:val="none"/>
              </w:rPr>
            </w:pPr>
            <w:r>
              <w:rPr>
                <w:rFonts w:ascii="宋体" w:hAnsi="宋体"/>
                <w:bCs/>
                <w:color w:val="auto"/>
                <w:kern w:val="0"/>
                <w:szCs w:val="21"/>
                <w:highlight w:val="none"/>
              </w:rPr>
              <w:t>①社会单位提供</w:t>
            </w:r>
            <w:r>
              <w:rPr>
                <w:rFonts w:hint="eastAsia" w:ascii="宋体" w:hAnsi="宋体"/>
                <w:bCs/>
                <w:color w:val="auto"/>
                <w:kern w:val="0"/>
                <w:szCs w:val="21"/>
                <w:highlight w:val="none"/>
              </w:rPr>
              <w:t>养老保险</w:t>
            </w:r>
            <w:r>
              <w:rPr>
                <w:rFonts w:ascii="宋体" w:hAnsi="宋体"/>
                <w:bCs/>
                <w:color w:val="auto"/>
                <w:kern w:val="0"/>
                <w:szCs w:val="21"/>
                <w:highlight w:val="none"/>
              </w:rPr>
              <w:t>证明，事业单位提供</w:t>
            </w:r>
            <w:r>
              <w:rPr>
                <w:rFonts w:hint="eastAsia" w:ascii="宋体" w:hAnsi="宋体"/>
                <w:bCs/>
                <w:color w:val="auto"/>
                <w:kern w:val="0"/>
                <w:szCs w:val="21"/>
                <w:highlight w:val="none"/>
              </w:rPr>
              <w:t>养老保险</w:t>
            </w:r>
            <w:r>
              <w:rPr>
                <w:rFonts w:ascii="宋体" w:hAnsi="宋体"/>
                <w:bCs/>
                <w:color w:val="auto"/>
                <w:kern w:val="0"/>
                <w:szCs w:val="21"/>
                <w:highlight w:val="none"/>
              </w:rPr>
              <w:t>证明或行政主管部门在编证明。</w:t>
            </w:r>
          </w:p>
          <w:p w14:paraId="7248A2B3">
            <w:pPr>
              <w:spacing w:line="400" w:lineRule="exact"/>
              <w:ind w:firstLine="420" w:firstLineChars="200"/>
              <w:rPr>
                <w:rFonts w:ascii="宋体" w:hAnsi="宋体"/>
                <w:bCs/>
                <w:color w:val="auto"/>
                <w:szCs w:val="21"/>
                <w:highlight w:val="none"/>
              </w:rPr>
            </w:pPr>
            <w:r>
              <w:rPr>
                <w:rFonts w:ascii="宋体" w:hAnsi="宋体"/>
                <w:bCs/>
                <w:color w:val="auto"/>
                <w:kern w:val="0"/>
                <w:szCs w:val="21"/>
                <w:highlight w:val="none"/>
              </w:rPr>
              <w:t>②</w:t>
            </w:r>
            <w:r>
              <w:rPr>
                <w:rFonts w:ascii="宋体" w:hAnsi="宋体"/>
                <w:bCs/>
                <w:snapToGrid w:val="0"/>
                <w:color w:val="auto"/>
                <w:kern w:val="0"/>
                <w:szCs w:val="21"/>
                <w:highlight w:val="none"/>
              </w:rPr>
              <w:t>投标文件中对</w:t>
            </w:r>
            <w:r>
              <w:rPr>
                <w:rFonts w:hint="eastAsia" w:ascii="宋体" w:hAnsi="宋体"/>
                <w:bCs/>
                <w:snapToGrid w:val="0"/>
                <w:color w:val="auto"/>
                <w:kern w:val="0"/>
                <w:szCs w:val="21"/>
                <w:highlight w:val="none"/>
              </w:rPr>
              <w:t>养老保险</w:t>
            </w:r>
            <w:r>
              <w:rPr>
                <w:rFonts w:ascii="宋体" w:hAnsi="宋体"/>
                <w:bCs/>
                <w:snapToGrid w:val="0"/>
                <w:color w:val="auto"/>
                <w:kern w:val="0"/>
                <w:szCs w:val="21"/>
                <w:highlight w:val="none"/>
              </w:rPr>
              <w:t>的要求为</w:t>
            </w:r>
            <w:r>
              <w:rPr>
                <w:rFonts w:hint="eastAsia" w:ascii="宋体" w:hAnsi="宋体"/>
                <w:bCs/>
                <w:snapToGrid w:val="0"/>
                <w:color w:val="auto"/>
                <w:kern w:val="0"/>
                <w:szCs w:val="21"/>
                <w:highlight w:val="none"/>
              </w:rPr>
              <w:t>：工程总承包项目经理、设计负责人、施工</w:t>
            </w:r>
            <w:r>
              <w:rPr>
                <w:rFonts w:ascii="宋体" w:hAnsi="宋体"/>
                <w:bCs/>
                <w:snapToGrid w:val="0"/>
                <w:color w:val="auto"/>
                <w:kern w:val="0"/>
                <w:szCs w:val="21"/>
                <w:highlight w:val="none"/>
              </w:rPr>
              <w:t>负责人</w:t>
            </w:r>
            <w:r>
              <w:rPr>
                <w:rFonts w:hint="eastAsia" w:ascii="宋体" w:hAnsi="宋体"/>
                <w:bCs/>
                <w:snapToGrid w:val="0"/>
                <w:color w:val="auto"/>
                <w:kern w:val="0"/>
                <w:szCs w:val="21"/>
                <w:highlight w:val="none"/>
              </w:rPr>
              <w:t>、施工技术负责人</w:t>
            </w:r>
            <w:r>
              <w:rPr>
                <w:rFonts w:ascii="宋体" w:hAnsi="宋体"/>
                <w:bCs/>
                <w:snapToGrid w:val="0"/>
                <w:color w:val="auto"/>
                <w:kern w:val="0"/>
                <w:szCs w:val="21"/>
                <w:highlight w:val="none"/>
              </w:rPr>
              <w:t>和委托代理人的</w:t>
            </w:r>
            <w:r>
              <w:rPr>
                <w:rFonts w:hint="eastAsia" w:ascii="宋体" w:hAnsi="宋体"/>
                <w:bCs/>
                <w:snapToGrid w:val="0"/>
                <w:color w:val="auto"/>
                <w:kern w:val="0"/>
                <w:szCs w:val="21"/>
                <w:highlight w:val="none"/>
              </w:rPr>
              <w:t>养老保险</w:t>
            </w:r>
            <w:r>
              <w:rPr>
                <w:rFonts w:ascii="宋体" w:hAnsi="宋体"/>
                <w:bCs/>
                <w:snapToGrid w:val="0"/>
                <w:color w:val="auto"/>
                <w:kern w:val="0"/>
                <w:szCs w:val="21"/>
                <w:highlight w:val="none"/>
              </w:rPr>
              <w:t>证明期限为</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年</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月至</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年</w:t>
            </w:r>
            <w:r>
              <w:rPr>
                <w:rFonts w:hint="eastAsia" w:ascii="宋体" w:hAnsi="宋体"/>
                <w:bCs/>
                <w:snapToGrid w:val="0"/>
                <w:color w:val="auto"/>
                <w:kern w:val="0"/>
                <w:szCs w:val="21"/>
                <w:highlight w:val="none"/>
                <w:u w:val="single"/>
              </w:rPr>
              <w:t xml:space="preserve">    </w:t>
            </w:r>
            <w:r>
              <w:rPr>
                <w:rFonts w:ascii="宋体" w:hAnsi="宋体"/>
                <w:bCs/>
                <w:snapToGrid w:val="0"/>
                <w:color w:val="auto"/>
                <w:kern w:val="0"/>
                <w:szCs w:val="21"/>
                <w:highlight w:val="none"/>
              </w:rPr>
              <w:t>月的</w:t>
            </w:r>
            <w:r>
              <w:rPr>
                <w:rFonts w:ascii="宋体" w:hAnsi="宋体"/>
                <w:bCs/>
                <w:color w:val="auto"/>
                <w:szCs w:val="21"/>
                <w:highlight w:val="none"/>
              </w:rPr>
              <w:t>连续</w:t>
            </w:r>
            <w:r>
              <w:rPr>
                <w:rFonts w:hint="eastAsia" w:ascii="宋体" w:hAnsi="宋体"/>
                <w:bCs/>
                <w:color w:val="auto"/>
                <w:szCs w:val="21"/>
                <w:highlight w:val="none"/>
              </w:rPr>
              <w:t>养老保险。提供的养老保险参保证明（个人），必须包含身份证号（或社保号）和参保基本情况、参保缴费明细（养老保险），并带有社保部门公章或社保部门的有效电子印章）。</w:t>
            </w:r>
          </w:p>
          <w:p w14:paraId="1F69892B">
            <w:pPr>
              <w:spacing w:line="400" w:lineRule="exact"/>
              <w:ind w:firstLine="420" w:firstLineChars="200"/>
              <w:rPr>
                <w:rFonts w:ascii="宋体" w:hAnsi="宋体"/>
                <w:bCs/>
                <w:snapToGrid w:val="0"/>
                <w:color w:val="auto"/>
                <w:kern w:val="0"/>
                <w:szCs w:val="21"/>
                <w:highlight w:val="none"/>
              </w:rPr>
            </w:pPr>
            <w:r>
              <w:rPr>
                <w:rFonts w:hint="eastAsia" w:ascii="宋体" w:hAnsi="宋体"/>
                <w:bCs/>
                <w:i/>
                <w:color w:val="auto"/>
                <w:szCs w:val="21"/>
                <w:highlight w:val="none"/>
              </w:rPr>
              <w:t xml:space="preserve">[提示：工程总承包项目经理、设计负责人、施工负责人、施工技术负责人和委托代理人提交的养老保险时间段必须一致；从招标公告发布之日前一月起算，养老保险时间段不少于6个月。]  </w:t>
            </w:r>
          </w:p>
        </w:tc>
      </w:tr>
      <w:tr w14:paraId="309B59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A1D2708">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1.4.2</w:t>
            </w:r>
          </w:p>
        </w:tc>
        <w:tc>
          <w:tcPr>
            <w:tcW w:w="1644" w:type="dxa"/>
            <w:vAlign w:val="center"/>
          </w:tcPr>
          <w:p w14:paraId="2EB06CF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联合体投标</w:t>
            </w:r>
          </w:p>
        </w:tc>
        <w:tc>
          <w:tcPr>
            <w:tcW w:w="6490" w:type="dxa"/>
            <w:vAlign w:val="center"/>
          </w:tcPr>
          <w:p w14:paraId="20622B76">
            <w:pPr>
              <w:snapToGrid w:val="0"/>
              <w:spacing w:after="15" w:afterLines="5"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不接受</w:t>
            </w:r>
          </w:p>
          <w:p w14:paraId="1AE75A4B">
            <w:pPr>
              <w:snapToGrid w:val="0"/>
              <w:spacing w:after="15" w:afterLines="5"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接受，应满足下列要求：</w:t>
            </w:r>
          </w:p>
        </w:tc>
      </w:tr>
      <w:tr w14:paraId="1D93A8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B1FE9E9">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1.5</w:t>
            </w:r>
          </w:p>
        </w:tc>
        <w:tc>
          <w:tcPr>
            <w:tcW w:w="1644" w:type="dxa"/>
            <w:vAlign w:val="center"/>
          </w:tcPr>
          <w:p w14:paraId="5ED693DB">
            <w:pPr>
              <w:spacing w:line="440" w:lineRule="exact"/>
              <w:jc w:val="center"/>
              <w:rPr>
                <w:color w:val="auto"/>
                <w:szCs w:val="21"/>
                <w:highlight w:val="none"/>
              </w:rPr>
            </w:pPr>
            <w:r>
              <w:rPr>
                <w:rFonts w:hint="eastAsia"/>
                <w:color w:val="auto"/>
                <w:szCs w:val="21"/>
                <w:highlight w:val="none"/>
              </w:rPr>
              <w:t>费用承担和设计成果补偿</w:t>
            </w:r>
          </w:p>
        </w:tc>
        <w:tc>
          <w:tcPr>
            <w:tcW w:w="6490" w:type="dxa"/>
            <w:vAlign w:val="center"/>
          </w:tcPr>
          <w:p w14:paraId="0517FA2D">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w:t>
            </w:r>
            <w:r>
              <w:rPr>
                <w:rFonts w:hint="eastAsia" w:ascii="宋体" w:hAnsi="宋体"/>
                <w:color w:val="auto"/>
                <w:kern w:val="0"/>
                <w:szCs w:val="21"/>
                <w:highlight w:val="none"/>
              </w:rPr>
              <w:t>补偿</w:t>
            </w:r>
          </w:p>
          <w:p w14:paraId="1D4334B1">
            <w:pPr>
              <w:snapToGrid w:val="0"/>
              <w:spacing w:line="400" w:lineRule="exact"/>
              <w:ind w:firstLine="420" w:firstLineChars="200"/>
              <w:rPr>
                <w:color w:val="auto"/>
                <w:sz w:val="32"/>
                <w:szCs w:val="32"/>
                <w:highlight w:val="none"/>
              </w:rPr>
            </w:pPr>
            <w:r>
              <w:rPr>
                <w:rFonts w:hint="eastAsia" w:ascii="宋体" w:hAnsi="宋体"/>
                <w:color w:val="auto"/>
                <w:kern w:val="0"/>
                <w:szCs w:val="21"/>
                <w:highlight w:val="none"/>
              </w:rPr>
              <w:t>□补偿</w:t>
            </w:r>
            <w:r>
              <w:rPr>
                <w:rFonts w:ascii="宋体" w:hAnsi="宋体"/>
                <w:color w:val="auto"/>
                <w:kern w:val="0"/>
                <w:szCs w:val="21"/>
                <w:highlight w:val="none"/>
              </w:rPr>
              <w:t>，</w:t>
            </w:r>
            <w:r>
              <w:rPr>
                <w:rFonts w:hint="eastAsia" w:ascii="宋体" w:hAnsi="宋体"/>
                <w:color w:val="auto"/>
                <w:kern w:val="0"/>
                <w:szCs w:val="21"/>
                <w:highlight w:val="none"/>
              </w:rPr>
              <w:t>补偿标准</w:t>
            </w:r>
            <w:r>
              <w:rPr>
                <w:rFonts w:ascii="宋体" w:hAnsi="宋体"/>
                <w:color w:val="auto"/>
                <w:kern w:val="0"/>
                <w:szCs w:val="21"/>
                <w:highlight w:val="none"/>
              </w:rPr>
              <w:t>：</w:t>
            </w:r>
          </w:p>
        </w:tc>
      </w:tr>
      <w:tr w14:paraId="172671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2C7F62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1.9.1</w:t>
            </w:r>
          </w:p>
        </w:tc>
        <w:tc>
          <w:tcPr>
            <w:tcW w:w="1644" w:type="dxa"/>
            <w:vAlign w:val="center"/>
          </w:tcPr>
          <w:p w14:paraId="2B45091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踏勘现场</w:t>
            </w:r>
          </w:p>
        </w:tc>
        <w:tc>
          <w:tcPr>
            <w:tcW w:w="6490" w:type="dxa"/>
            <w:vAlign w:val="center"/>
          </w:tcPr>
          <w:p w14:paraId="360582C1">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不组织</w:t>
            </w:r>
          </w:p>
          <w:p w14:paraId="595A7577">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组织，</w:t>
            </w:r>
            <w:r>
              <w:rPr>
                <w:rFonts w:hint="eastAsia" w:ascii="宋体" w:hAnsi="宋体"/>
                <w:color w:val="auto"/>
                <w:kern w:val="0"/>
                <w:szCs w:val="21"/>
                <w:highlight w:val="none"/>
              </w:rPr>
              <w:t>集中</w:t>
            </w:r>
            <w:r>
              <w:rPr>
                <w:rFonts w:ascii="宋体" w:hAnsi="宋体"/>
                <w:color w:val="auto"/>
                <w:kern w:val="0"/>
                <w:szCs w:val="21"/>
                <w:highlight w:val="none"/>
              </w:rPr>
              <w:t>踏勘时间：</w:t>
            </w:r>
          </w:p>
          <w:p w14:paraId="7188CA95">
            <w:pPr>
              <w:snapToGrid w:val="0"/>
              <w:spacing w:line="400" w:lineRule="exact"/>
              <w:ind w:firstLine="1260" w:firstLineChars="600"/>
              <w:rPr>
                <w:rFonts w:ascii="宋体" w:hAnsi="宋体"/>
                <w:color w:val="auto"/>
                <w:kern w:val="0"/>
                <w:szCs w:val="21"/>
                <w:highlight w:val="none"/>
              </w:rPr>
            </w:pPr>
            <w:r>
              <w:rPr>
                <w:rFonts w:ascii="宋体" w:hAnsi="宋体"/>
                <w:color w:val="auto"/>
                <w:kern w:val="0"/>
                <w:szCs w:val="21"/>
                <w:highlight w:val="none"/>
              </w:rPr>
              <w:t>集中踏勘地点：</w:t>
            </w:r>
          </w:p>
        </w:tc>
      </w:tr>
      <w:tr w14:paraId="67B41F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EA17DA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1.10.1</w:t>
            </w:r>
          </w:p>
        </w:tc>
        <w:tc>
          <w:tcPr>
            <w:tcW w:w="1644" w:type="dxa"/>
            <w:vAlign w:val="center"/>
          </w:tcPr>
          <w:p w14:paraId="444D074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投标预备会</w:t>
            </w:r>
          </w:p>
        </w:tc>
        <w:tc>
          <w:tcPr>
            <w:tcW w:w="6490" w:type="dxa"/>
            <w:vAlign w:val="center"/>
          </w:tcPr>
          <w:p w14:paraId="3AEF1108">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不召开</w:t>
            </w:r>
          </w:p>
          <w:p w14:paraId="0C90CBEE">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召开，召开时间：</w:t>
            </w:r>
          </w:p>
          <w:p w14:paraId="599455A0">
            <w:pPr>
              <w:snapToGrid w:val="0"/>
              <w:spacing w:after="15" w:afterLines="5" w:line="400" w:lineRule="exact"/>
              <w:ind w:firstLine="1260" w:firstLineChars="600"/>
              <w:rPr>
                <w:rFonts w:ascii="宋体" w:hAnsi="宋体"/>
                <w:color w:val="auto"/>
                <w:kern w:val="0"/>
                <w:szCs w:val="21"/>
                <w:highlight w:val="none"/>
              </w:rPr>
            </w:pPr>
            <w:r>
              <w:rPr>
                <w:rFonts w:ascii="宋体" w:hAnsi="宋体"/>
                <w:color w:val="auto"/>
                <w:kern w:val="0"/>
                <w:szCs w:val="21"/>
                <w:highlight w:val="none"/>
              </w:rPr>
              <w:t>召开地点：</w:t>
            </w:r>
          </w:p>
        </w:tc>
      </w:tr>
      <w:tr w14:paraId="1F6E8C8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DCFA89E">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1.11.1</w:t>
            </w:r>
          </w:p>
        </w:tc>
        <w:tc>
          <w:tcPr>
            <w:tcW w:w="1644" w:type="dxa"/>
            <w:vAlign w:val="center"/>
          </w:tcPr>
          <w:p w14:paraId="3B9EAE70">
            <w:pPr>
              <w:snapToGrid w:val="0"/>
              <w:spacing w:line="400" w:lineRule="exact"/>
              <w:jc w:val="center"/>
              <w:rPr>
                <w:rFonts w:ascii="宋体" w:hAnsi="宋体"/>
                <w:color w:val="auto"/>
                <w:kern w:val="0"/>
                <w:szCs w:val="21"/>
                <w:highlight w:val="none"/>
              </w:rPr>
            </w:pPr>
            <w:r>
              <w:rPr>
                <w:rFonts w:hint="eastAsia"/>
                <w:color w:val="auto"/>
                <w:szCs w:val="21"/>
                <w:highlight w:val="none"/>
              </w:rPr>
              <w:t>招标人规定由分包人承担的工作</w:t>
            </w:r>
          </w:p>
        </w:tc>
        <w:tc>
          <w:tcPr>
            <w:tcW w:w="6490" w:type="dxa"/>
            <w:vAlign w:val="center"/>
          </w:tcPr>
          <w:p w14:paraId="29067AE5">
            <w:pPr>
              <w:snapToGrid w:val="0"/>
              <w:spacing w:after="15" w:afterLines="5" w:line="400" w:lineRule="exact"/>
              <w:ind w:firstLine="1260" w:firstLineChars="600"/>
              <w:rPr>
                <w:rFonts w:ascii="宋体" w:hAnsi="宋体"/>
                <w:color w:val="auto"/>
                <w:kern w:val="0"/>
                <w:szCs w:val="21"/>
                <w:highlight w:val="none"/>
              </w:rPr>
            </w:pPr>
          </w:p>
        </w:tc>
      </w:tr>
      <w:tr w14:paraId="7FE4FA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329F60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1.11</w:t>
            </w:r>
            <w:r>
              <w:rPr>
                <w:rFonts w:hint="eastAsia" w:ascii="宋体" w:hAnsi="宋体"/>
                <w:color w:val="auto"/>
                <w:kern w:val="0"/>
                <w:szCs w:val="21"/>
                <w:highlight w:val="none"/>
              </w:rPr>
              <w:t>.2</w:t>
            </w:r>
          </w:p>
        </w:tc>
        <w:tc>
          <w:tcPr>
            <w:tcW w:w="1644" w:type="dxa"/>
            <w:vAlign w:val="center"/>
          </w:tcPr>
          <w:p w14:paraId="1FDC5E47">
            <w:pPr>
              <w:snapToGrid w:val="0"/>
              <w:spacing w:line="400" w:lineRule="exact"/>
              <w:jc w:val="center"/>
              <w:rPr>
                <w:rFonts w:ascii="宋体" w:hAnsi="宋体"/>
                <w:color w:val="auto"/>
                <w:kern w:val="0"/>
                <w:szCs w:val="21"/>
                <w:highlight w:val="none"/>
              </w:rPr>
            </w:pPr>
            <w:r>
              <w:rPr>
                <w:color w:val="auto"/>
                <w:szCs w:val="21"/>
                <w:highlight w:val="none"/>
              </w:rPr>
              <w:t>投标人拟分包的工作</w:t>
            </w:r>
          </w:p>
        </w:tc>
        <w:tc>
          <w:tcPr>
            <w:tcW w:w="6490" w:type="dxa"/>
            <w:vAlign w:val="center"/>
          </w:tcPr>
          <w:p w14:paraId="4B2389A8">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不允许</w:t>
            </w:r>
          </w:p>
          <w:p w14:paraId="4F76B28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允许，分包内容要求：</w:t>
            </w:r>
          </w:p>
          <w:p w14:paraId="297601AD">
            <w:pPr>
              <w:snapToGrid w:val="0"/>
              <w:spacing w:line="400" w:lineRule="exact"/>
              <w:ind w:firstLine="1260" w:firstLineChars="600"/>
              <w:rPr>
                <w:rFonts w:ascii="宋体" w:hAnsi="宋体"/>
                <w:color w:val="auto"/>
                <w:kern w:val="0"/>
                <w:szCs w:val="21"/>
                <w:highlight w:val="none"/>
              </w:rPr>
            </w:pPr>
            <w:r>
              <w:rPr>
                <w:rFonts w:ascii="宋体" w:hAnsi="宋体"/>
                <w:color w:val="auto"/>
                <w:kern w:val="0"/>
                <w:szCs w:val="21"/>
                <w:highlight w:val="none"/>
              </w:rPr>
              <w:t>分包金额要求：</w:t>
            </w:r>
          </w:p>
          <w:p w14:paraId="3787B47F">
            <w:pPr>
              <w:snapToGrid w:val="0"/>
              <w:spacing w:after="15" w:afterLines="5" w:line="400" w:lineRule="exact"/>
              <w:rPr>
                <w:rFonts w:ascii="宋体" w:hAnsi="宋体"/>
                <w:color w:val="auto"/>
                <w:kern w:val="0"/>
                <w:szCs w:val="21"/>
                <w:highlight w:val="none"/>
              </w:rPr>
            </w:pPr>
            <w:r>
              <w:rPr>
                <w:rFonts w:ascii="宋体" w:hAnsi="宋体"/>
                <w:color w:val="auto"/>
                <w:kern w:val="0"/>
                <w:szCs w:val="21"/>
                <w:highlight w:val="none"/>
              </w:rPr>
              <w:t>接受分包的第三人资质要求：</w:t>
            </w:r>
          </w:p>
        </w:tc>
      </w:tr>
      <w:tr w14:paraId="17662A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0D7AC4C">
            <w:pPr>
              <w:spacing w:line="440" w:lineRule="exact"/>
              <w:jc w:val="center"/>
              <w:rPr>
                <w:color w:val="auto"/>
                <w:szCs w:val="21"/>
                <w:highlight w:val="none"/>
              </w:rPr>
            </w:pPr>
            <w:r>
              <w:rPr>
                <w:rFonts w:ascii="宋体" w:hAnsi="宋体"/>
                <w:color w:val="auto"/>
                <w:kern w:val="0"/>
                <w:szCs w:val="21"/>
                <w:highlight w:val="none"/>
              </w:rPr>
              <w:t>1.12</w:t>
            </w:r>
          </w:p>
        </w:tc>
        <w:tc>
          <w:tcPr>
            <w:tcW w:w="1644" w:type="dxa"/>
            <w:vAlign w:val="center"/>
          </w:tcPr>
          <w:p w14:paraId="23DF9793">
            <w:pPr>
              <w:spacing w:line="440" w:lineRule="exact"/>
              <w:jc w:val="center"/>
              <w:rPr>
                <w:color w:val="auto"/>
                <w:szCs w:val="21"/>
                <w:highlight w:val="none"/>
              </w:rPr>
            </w:pPr>
            <w:r>
              <w:rPr>
                <w:rFonts w:hint="eastAsia"/>
                <w:color w:val="auto"/>
                <w:szCs w:val="21"/>
                <w:highlight w:val="none"/>
              </w:rPr>
              <w:t>偏离</w:t>
            </w:r>
          </w:p>
        </w:tc>
        <w:tc>
          <w:tcPr>
            <w:tcW w:w="6490" w:type="dxa"/>
            <w:vAlign w:val="center"/>
          </w:tcPr>
          <w:p w14:paraId="7A8C68D4">
            <w:pPr>
              <w:topLinePunct/>
              <w:snapToGrid w:val="0"/>
              <w:spacing w:line="400" w:lineRule="exact"/>
              <w:ind w:firstLine="640" w:firstLineChars="200"/>
              <w:rPr>
                <w:rFonts w:ascii="宋体" w:hAnsi="宋体"/>
                <w:color w:val="auto"/>
                <w:kern w:val="0"/>
                <w:szCs w:val="21"/>
                <w:highlight w:val="none"/>
              </w:rPr>
            </w:pPr>
            <w:r>
              <w:rPr>
                <w:rFonts w:hint="eastAsia" w:ascii="宋体" w:hAnsi="宋体"/>
                <w:color w:val="auto"/>
                <w:kern w:val="0"/>
                <w:sz w:val="32"/>
                <w:szCs w:val="21"/>
                <w:highlight w:val="none"/>
              </w:rPr>
              <w:t>□</w:t>
            </w:r>
            <w:r>
              <w:rPr>
                <w:rFonts w:hint="eastAsia" w:ascii="宋体" w:hAnsi="宋体"/>
                <w:color w:val="auto"/>
                <w:kern w:val="0"/>
                <w:szCs w:val="21"/>
                <w:highlight w:val="none"/>
              </w:rPr>
              <w:t>不允许</w:t>
            </w:r>
          </w:p>
          <w:p w14:paraId="2BF8B4F4">
            <w:pPr>
              <w:topLinePunct/>
              <w:snapToGrid w:val="0"/>
              <w:spacing w:line="400" w:lineRule="exact"/>
              <w:ind w:firstLine="640" w:firstLineChars="200"/>
              <w:rPr>
                <w:color w:val="auto"/>
                <w:szCs w:val="21"/>
                <w:highlight w:val="none"/>
              </w:rPr>
            </w:pPr>
            <w:r>
              <w:rPr>
                <w:rFonts w:hint="eastAsia" w:ascii="宋体" w:hAnsi="宋体"/>
                <w:color w:val="auto"/>
                <w:kern w:val="0"/>
                <w:sz w:val="32"/>
                <w:szCs w:val="21"/>
                <w:highlight w:val="none"/>
              </w:rPr>
              <w:t>□</w:t>
            </w:r>
            <w:r>
              <w:rPr>
                <w:rFonts w:hint="eastAsia" w:ascii="宋体" w:hAnsi="宋体"/>
                <w:color w:val="auto"/>
                <w:kern w:val="0"/>
                <w:szCs w:val="21"/>
                <w:highlight w:val="none"/>
              </w:rPr>
              <w:t>允许，允许偏离的内容、偏离范围和幅度：</w:t>
            </w:r>
          </w:p>
        </w:tc>
      </w:tr>
      <w:tr w14:paraId="5FA894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64FEC5A">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2.1</w:t>
            </w:r>
          </w:p>
        </w:tc>
        <w:tc>
          <w:tcPr>
            <w:tcW w:w="1644" w:type="dxa"/>
            <w:vAlign w:val="center"/>
          </w:tcPr>
          <w:p w14:paraId="52ECDC2B">
            <w:pPr>
              <w:snapToGrid w:val="0"/>
              <w:spacing w:after="15" w:afterLines="5" w:line="400" w:lineRule="exact"/>
              <w:jc w:val="center"/>
              <w:rPr>
                <w:rFonts w:ascii="宋体" w:hAnsi="宋体"/>
                <w:color w:val="auto"/>
                <w:kern w:val="0"/>
                <w:szCs w:val="21"/>
                <w:highlight w:val="none"/>
              </w:rPr>
            </w:pPr>
            <w:r>
              <w:rPr>
                <w:rFonts w:ascii="宋体" w:hAnsi="宋体"/>
                <w:color w:val="auto"/>
                <w:kern w:val="0"/>
                <w:szCs w:val="21"/>
                <w:highlight w:val="none"/>
              </w:rPr>
              <w:t>构成招标文件的其他材料</w:t>
            </w:r>
          </w:p>
        </w:tc>
        <w:tc>
          <w:tcPr>
            <w:tcW w:w="6490" w:type="dxa"/>
            <w:vAlign w:val="center"/>
          </w:tcPr>
          <w:p w14:paraId="2B9AC8F6">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招标人发出的澄清及修改</w:t>
            </w:r>
            <w:r>
              <w:rPr>
                <w:rFonts w:hint="eastAsia" w:ascii="宋体" w:hAnsi="宋体"/>
                <w:color w:val="auto"/>
                <w:szCs w:val="21"/>
                <w:highlight w:val="none"/>
              </w:rPr>
              <w:t>。</w:t>
            </w:r>
          </w:p>
        </w:tc>
      </w:tr>
      <w:tr w14:paraId="54189E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73317D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1</w:t>
            </w:r>
          </w:p>
        </w:tc>
        <w:tc>
          <w:tcPr>
            <w:tcW w:w="1644" w:type="dxa"/>
            <w:tcBorders>
              <w:bottom w:val="single" w:color="auto" w:sz="4" w:space="0"/>
            </w:tcBorders>
            <w:vAlign w:val="center"/>
          </w:tcPr>
          <w:p w14:paraId="481EBD2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投标人对招标文件提出</w:t>
            </w:r>
            <w:r>
              <w:rPr>
                <w:rFonts w:hint="eastAsia" w:ascii="宋体" w:hAnsi="宋体"/>
                <w:color w:val="auto"/>
                <w:kern w:val="0"/>
                <w:szCs w:val="21"/>
                <w:highlight w:val="none"/>
              </w:rPr>
              <w:t>疑问</w:t>
            </w:r>
            <w:r>
              <w:rPr>
                <w:rFonts w:ascii="宋体" w:hAnsi="宋体"/>
                <w:color w:val="auto"/>
                <w:kern w:val="0"/>
                <w:szCs w:val="21"/>
                <w:highlight w:val="none"/>
              </w:rPr>
              <w:t>的截止时间</w:t>
            </w:r>
          </w:p>
        </w:tc>
        <w:tc>
          <w:tcPr>
            <w:tcW w:w="6490" w:type="dxa"/>
            <w:vAlign w:val="center"/>
          </w:tcPr>
          <w:p w14:paraId="7E20DC86">
            <w:pPr>
              <w:snapToGrid w:val="0"/>
              <w:spacing w:line="400" w:lineRule="exact"/>
              <w:rPr>
                <w:rFonts w:ascii="宋体" w:hAnsi="宋体"/>
                <w:color w:val="auto"/>
                <w:kern w:val="0"/>
                <w:szCs w:val="21"/>
                <w:highlight w:val="none"/>
              </w:rPr>
            </w:pPr>
            <w:r>
              <w:rPr>
                <w:rFonts w:ascii="宋体" w:hAnsi="宋体"/>
                <w:color w:val="auto"/>
                <w:kern w:val="0"/>
                <w:szCs w:val="21"/>
                <w:highlight w:val="none"/>
              </w:rPr>
              <w:t>投标人在收到招标文件后，应仔细检查招标文件的所有内容，如有残缺或文字表述不清，图纸尺寸标注不明以及存在错、碰、漏、缺、概念模糊和有可能出现歧义或理解上的偏差的内容等应</w:t>
            </w:r>
            <w:r>
              <w:rPr>
                <w:rFonts w:hint="eastAsia" w:ascii="宋体" w:hAnsi="宋体" w:cs="宋体"/>
                <w:color w:val="auto"/>
                <w:kern w:val="0"/>
                <w:szCs w:val="21"/>
                <w:highlight w:val="none"/>
              </w:rPr>
              <w:t>在招标公告规定的时间前在本项目招标公告网页下方“我要提问”栏提交。</w:t>
            </w:r>
          </w:p>
        </w:tc>
      </w:tr>
      <w:tr w14:paraId="369CC1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75" w:hRule="atLeast"/>
          <w:jc w:val="center"/>
        </w:trPr>
        <w:tc>
          <w:tcPr>
            <w:tcW w:w="1335" w:type="dxa"/>
            <w:vMerge w:val="restart"/>
            <w:vAlign w:val="center"/>
          </w:tcPr>
          <w:p w14:paraId="74E2492B">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2.2.2</w:t>
            </w:r>
          </w:p>
        </w:tc>
        <w:tc>
          <w:tcPr>
            <w:tcW w:w="1644" w:type="dxa"/>
            <w:tcBorders>
              <w:top w:val="single" w:color="auto" w:sz="4" w:space="0"/>
            </w:tcBorders>
            <w:vAlign w:val="center"/>
          </w:tcPr>
          <w:p w14:paraId="36963AB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招标人对招标文件澄清的截止时间</w:t>
            </w:r>
          </w:p>
        </w:tc>
        <w:tc>
          <w:tcPr>
            <w:tcW w:w="6490" w:type="dxa"/>
            <w:vAlign w:val="center"/>
          </w:tcPr>
          <w:p w14:paraId="7854E58F">
            <w:pPr>
              <w:snapToGrid w:val="0"/>
              <w:spacing w:line="400" w:lineRule="exact"/>
              <w:ind w:firstLine="420" w:firstLineChars="200"/>
              <w:rPr>
                <w:rFonts w:ascii="宋体" w:hAnsi="宋体"/>
                <w:snapToGrid w:val="0"/>
                <w:color w:val="auto"/>
                <w:kern w:val="0"/>
                <w:szCs w:val="21"/>
                <w:highlight w:val="none"/>
              </w:rPr>
            </w:pPr>
            <w:r>
              <w:rPr>
                <w:rFonts w:hint="eastAsia" w:ascii="宋体" w:hAnsi="宋体"/>
                <w:color w:val="auto"/>
                <w:szCs w:val="21"/>
                <w:highlight w:val="none"/>
              </w:rPr>
              <w:t>招标人应在招标公告规定的时间前</w:t>
            </w:r>
            <w:r>
              <w:rPr>
                <w:rFonts w:ascii="宋体" w:hAnsi="宋体"/>
                <w:color w:val="auto"/>
                <w:szCs w:val="21"/>
                <w:highlight w:val="none"/>
              </w:rPr>
              <w:t>，</w:t>
            </w:r>
            <w:r>
              <w:rPr>
                <w:rFonts w:ascii="宋体" w:hAnsi="宋体"/>
                <w:color w:val="auto"/>
                <w:kern w:val="0"/>
                <w:szCs w:val="21"/>
                <w:highlight w:val="none"/>
              </w:rPr>
              <w:t>在</w:t>
            </w:r>
            <w:r>
              <w:rPr>
                <w:rFonts w:hint="eastAsia" w:ascii="宋体" w:hAnsi="宋体"/>
                <w:color w:val="auto"/>
                <w:kern w:val="0"/>
                <w:szCs w:val="21"/>
                <w:highlight w:val="none"/>
                <w:u w:val="single"/>
              </w:rPr>
              <w:t>重庆市公共资源交易网（www.cqggzy.com）</w:t>
            </w:r>
            <w:r>
              <w:rPr>
                <w:rFonts w:ascii="宋体" w:hAnsi="宋体"/>
                <w:color w:val="auto"/>
                <w:kern w:val="0"/>
                <w:szCs w:val="21"/>
                <w:highlight w:val="none"/>
              </w:rPr>
              <w:t>发布澄清。</w:t>
            </w:r>
          </w:p>
        </w:tc>
      </w:tr>
      <w:tr w14:paraId="0975E76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1335" w:type="dxa"/>
            <w:vMerge w:val="continue"/>
            <w:vAlign w:val="center"/>
          </w:tcPr>
          <w:p w14:paraId="5154B2BA">
            <w:pPr>
              <w:snapToGrid w:val="0"/>
              <w:spacing w:line="400" w:lineRule="exact"/>
              <w:jc w:val="center"/>
              <w:rPr>
                <w:rFonts w:ascii="宋体" w:hAnsi="宋体"/>
                <w:color w:val="auto"/>
                <w:kern w:val="0"/>
                <w:szCs w:val="21"/>
                <w:highlight w:val="none"/>
              </w:rPr>
            </w:pPr>
          </w:p>
        </w:tc>
        <w:tc>
          <w:tcPr>
            <w:tcW w:w="1644" w:type="dxa"/>
            <w:vAlign w:val="center"/>
          </w:tcPr>
          <w:p w14:paraId="25EA80F0">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投标截止时间</w:t>
            </w:r>
          </w:p>
        </w:tc>
        <w:tc>
          <w:tcPr>
            <w:tcW w:w="6490" w:type="dxa"/>
            <w:vAlign w:val="center"/>
          </w:tcPr>
          <w:p w14:paraId="257D282E">
            <w:pPr>
              <w:snapToGrid w:val="0"/>
              <w:spacing w:line="400" w:lineRule="exact"/>
              <w:ind w:firstLine="420" w:firstLineChars="200"/>
              <w:rPr>
                <w:rFonts w:ascii="宋体" w:hAnsi="宋体"/>
                <w:color w:val="auto"/>
                <w:szCs w:val="21"/>
                <w:highlight w:val="none"/>
                <w:u w:val="none"/>
              </w:rPr>
            </w:pPr>
            <w:r>
              <w:rPr>
                <w:rFonts w:hint="eastAsia" w:ascii="宋体" w:hAnsi="宋体"/>
                <w:color w:val="auto"/>
                <w:szCs w:val="21"/>
                <w:highlight w:val="none"/>
                <w:u w:val="none"/>
              </w:rPr>
              <w:t>详见招标公告中规定的投标文件递交截止时间。</w:t>
            </w:r>
          </w:p>
        </w:tc>
      </w:tr>
      <w:tr w14:paraId="3DA6C2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AFD50D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2.2.3</w:t>
            </w:r>
          </w:p>
        </w:tc>
        <w:tc>
          <w:tcPr>
            <w:tcW w:w="1644" w:type="dxa"/>
            <w:vAlign w:val="center"/>
          </w:tcPr>
          <w:p w14:paraId="142B5EB5">
            <w:pPr>
              <w:snapToGrid w:val="0"/>
              <w:spacing w:after="15" w:afterLines="5" w:line="400" w:lineRule="exact"/>
              <w:jc w:val="center"/>
              <w:rPr>
                <w:rFonts w:ascii="宋体" w:hAnsi="宋体"/>
                <w:color w:val="auto"/>
                <w:kern w:val="0"/>
                <w:szCs w:val="21"/>
                <w:highlight w:val="none"/>
              </w:rPr>
            </w:pPr>
            <w:r>
              <w:rPr>
                <w:rFonts w:ascii="宋体" w:hAnsi="宋体"/>
                <w:color w:val="auto"/>
                <w:kern w:val="0"/>
                <w:szCs w:val="21"/>
                <w:highlight w:val="none"/>
              </w:rPr>
              <w:t>招标人对招标文件进行修改的时间</w:t>
            </w:r>
          </w:p>
        </w:tc>
        <w:tc>
          <w:tcPr>
            <w:tcW w:w="6490" w:type="dxa"/>
            <w:vAlign w:val="center"/>
          </w:tcPr>
          <w:p w14:paraId="14C03B69">
            <w:pPr>
              <w:snapToGrid w:val="0"/>
              <w:spacing w:line="400" w:lineRule="exact"/>
              <w:ind w:firstLine="420" w:firstLineChars="200"/>
              <w:rPr>
                <w:rFonts w:ascii="宋体" w:hAnsi="宋体"/>
                <w:color w:val="auto"/>
                <w:szCs w:val="21"/>
                <w:highlight w:val="none"/>
              </w:rPr>
            </w:pPr>
            <w:r>
              <w:rPr>
                <w:rFonts w:ascii="宋体" w:hAnsi="宋体"/>
                <w:snapToGrid w:val="0"/>
                <w:color w:val="auto"/>
                <w:kern w:val="0"/>
                <w:szCs w:val="21"/>
                <w:highlight w:val="none"/>
              </w:rPr>
              <w:t>修改内容可能影响投标文件编制的，须在投标截止时间15日前发布，发布时间至投标截止时间不足15日的，须相应延后投标截止时间。</w:t>
            </w:r>
          </w:p>
        </w:tc>
      </w:tr>
      <w:tr w14:paraId="1F23A1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3E94A0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2.2.4</w:t>
            </w:r>
          </w:p>
        </w:tc>
        <w:tc>
          <w:tcPr>
            <w:tcW w:w="1644" w:type="dxa"/>
            <w:vAlign w:val="center"/>
          </w:tcPr>
          <w:p w14:paraId="45455CA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投标人对招标文件及澄清修改提出异议的截止时间</w:t>
            </w:r>
          </w:p>
        </w:tc>
        <w:tc>
          <w:tcPr>
            <w:tcW w:w="6490" w:type="dxa"/>
            <w:vAlign w:val="center"/>
          </w:tcPr>
          <w:p w14:paraId="27909EF5">
            <w:pPr>
              <w:snapToGrid w:val="0"/>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投标人对招标文件和澄清修改有异议的，应当在投标截止时间10日前，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提出</w:t>
            </w:r>
            <w:r>
              <w:rPr>
                <w:rFonts w:ascii="宋体" w:hAnsi="宋体"/>
                <w:snapToGrid w:val="0"/>
                <w:color w:val="auto"/>
                <w:kern w:val="0"/>
                <w:szCs w:val="21"/>
                <w:highlight w:val="none"/>
              </w:rPr>
              <w:t>。招标人应当自收到异议之日起3日内做出答复，并将</w:t>
            </w:r>
            <w:r>
              <w:rPr>
                <w:rFonts w:hint="eastAsia" w:ascii="宋体" w:hAnsi="宋体"/>
                <w:snapToGrid w:val="0"/>
                <w:color w:val="auto"/>
                <w:kern w:val="0"/>
                <w:szCs w:val="21"/>
                <w:highlight w:val="none"/>
              </w:rPr>
              <w:t>最终实质性</w:t>
            </w:r>
            <w:r>
              <w:rPr>
                <w:rFonts w:ascii="宋体" w:hAnsi="宋体"/>
                <w:snapToGrid w:val="0"/>
                <w:color w:val="auto"/>
                <w:kern w:val="0"/>
                <w:szCs w:val="21"/>
                <w:highlight w:val="none"/>
              </w:rPr>
              <w:t>答复内容以修改的形式在</w:t>
            </w:r>
            <w:r>
              <w:rPr>
                <w:rFonts w:hint="eastAsia" w:ascii="宋体" w:hAnsi="宋体"/>
                <w:snapToGrid w:val="0"/>
                <w:color w:val="auto"/>
                <w:kern w:val="0"/>
                <w:szCs w:val="21"/>
                <w:highlight w:val="none"/>
                <w:u w:val="single"/>
              </w:rPr>
              <w:t>重庆市公共资源交易网（www.cqggzy.com）</w:t>
            </w:r>
            <w:r>
              <w:rPr>
                <w:color w:val="auto"/>
                <w:highlight w:val="none"/>
              </w:rPr>
              <w:fldChar w:fldCharType="begin"/>
            </w:r>
            <w:r>
              <w:rPr>
                <w:color w:val="auto"/>
                <w:highlight w:val="none"/>
              </w:rPr>
              <w:instrText xml:space="preserve"> HYPERLINK "http://www.cpcb.com.cn/Front.aspx/Zydy" </w:instrText>
            </w:r>
            <w:r>
              <w:rPr>
                <w:color w:val="auto"/>
                <w:highlight w:val="none"/>
              </w:rPr>
              <w:fldChar w:fldCharType="separate"/>
            </w:r>
            <w:r>
              <w:rPr>
                <w:rFonts w:ascii="宋体" w:hAnsi="宋体"/>
                <w:snapToGrid w:val="0"/>
                <w:color w:val="auto"/>
                <w:kern w:val="0"/>
                <w:szCs w:val="21"/>
                <w:highlight w:val="none"/>
              </w:rPr>
              <w:t>澄清修改区</w:t>
            </w:r>
            <w:r>
              <w:rPr>
                <w:rFonts w:ascii="宋体" w:hAnsi="宋体"/>
                <w:snapToGrid w:val="0"/>
                <w:color w:val="auto"/>
                <w:kern w:val="0"/>
                <w:szCs w:val="21"/>
                <w:highlight w:val="none"/>
              </w:rPr>
              <w:fldChar w:fldCharType="end"/>
            </w:r>
            <w:r>
              <w:rPr>
                <w:rFonts w:ascii="宋体" w:hAnsi="宋体"/>
                <w:snapToGrid w:val="0"/>
                <w:color w:val="auto"/>
                <w:kern w:val="0"/>
                <w:szCs w:val="21"/>
                <w:highlight w:val="none"/>
              </w:rPr>
              <w:t>发布。修改内容可能影响投标文件编制的，须在投标截止时间15日前发布，发布时间至投标截止时间不足15日的，须相应延后投标截止时间。</w:t>
            </w:r>
          </w:p>
        </w:tc>
      </w:tr>
      <w:tr w14:paraId="6B12EE8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70C14C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3.1.1</w:t>
            </w:r>
          </w:p>
        </w:tc>
        <w:tc>
          <w:tcPr>
            <w:tcW w:w="1644" w:type="dxa"/>
            <w:vAlign w:val="center"/>
          </w:tcPr>
          <w:p w14:paraId="7B90F92D">
            <w:pPr>
              <w:snapToGrid w:val="0"/>
              <w:spacing w:after="31" w:afterLines="10" w:line="400" w:lineRule="exact"/>
              <w:jc w:val="center"/>
              <w:rPr>
                <w:rFonts w:ascii="宋体" w:hAnsi="宋体"/>
                <w:color w:val="auto"/>
                <w:kern w:val="0"/>
                <w:szCs w:val="21"/>
                <w:highlight w:val="none"/>
              </w:rPr>
            </w:pPr>
            <w:r>
              <w:rPr>
                <w:rFonts w:ascii="宋体" w:hAnsi="宋体"/>
                <w:color w:val="auto"/>
                <w:kern w:val="0"/>
                <w:szCs w:val="21"/>
                <w:highlight w:val="none"/>
              </w:rPr>
              <w:t>构成投标文件的其他材料</w:t>
            </w:r>
          </w:p>
        </w:tc>
        <w:tc>
          <w:tcPr>
            <w:tcW w:w="6490" w:type="dxa"/>
            <w:vAlign w:val="center"/>
          </w:tcPr>
          <w:p w14:paraId="141308CA">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投标人的书面澄清、说明和补正（但不得改变投标文件的实质性内容）</w:t>
            </w:r>
          </w:p>
        </w:tc>
      </w:tr>
      <w:tr w14:paraId="4D81BE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889B181">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3.2</w:t>
            </w:r>
          </w:p>
        </w:tc>
        <w:tc>
          <w:tcPr>
            <w:tcW w:w="1644" w:type="dxa"/>
            <w:vAlign w:val="center"/>
          </w:tcPr>
          <w:p w14:paraId="73FEDFF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投标报价</w:t>
            </w:r>
          </w:p>
        </w:tc>
        <w:tc>
          <w:tcPr>
            <w:tcW w:w="6490" w:type="dxa"/>
            <w:vAlign w:val="center"/>
          </w:tcPr>
          <w:p w14:paraId="2FC08F27">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bCs/>
                <w:i/>
                <w:iCs/>
                <w:color w:val="auto"/>
                <w:szCs w:val="21"/>
                <w:highlight w:val="none"/>
              </w:rPr>
              <w:t>方案一：固定总价报价</w:t>
            </w:r>
            <w:r>
              <w:rPr>
                <w:rFonts w:hint="eastAsia" w:ascii="宋体" w:hAnsi="宋体" w:cs="宋体"/>
                <w:i/>
                <w:color w:val="auto"/>
                <w:szCs w:val="21"/>
                <w:highlight w:val="none"/>
              </w:rPr>
              <w:t>[提示:</w:t>
            </w:r>
            <w:r>
              <w:rPr>
                <w:rFonts w:hint="eastAsia"/>
                <w:color w:val="auto"/>
                <w:highlight w:val="none"/>
              </w:rPr>
              <w:t xml:space="preserve"> </w:t>
            </w:r>
            <w:r>
              <w:rPr>
                <w:rFonts w:hint="eastAsia"/>
                <w:i/>
                <w:color w:val="auto"/>
                <w:highlight w:val="none"/>
              </w:rPr>
              <w:t>初步设计审批完成后发包的工程总承包项目，</w:t>
            </w:r>
            <w:r>
              <w:rPr>
                <w:rFonts w:hint="eastAsia" w:ascii="宋体" w:hAnsi="宋体" w:cs="宋体"/>
                <w:i/>
                <w:color w:val="auto"/>
                <w:szCs w:val="21"/>
                <w:highlight w:val="none"/>
              </w:rPr>
              <w:t>合同计价形式鼓励采用固定总价形式。]</w:t>
            </w:r>
          </w:p>
          <w:p w14:paraId="5B42413F">
            <w:pPr>
              <w:tabs>
                <w:tab w:val="left" w:pos="546"/>
                <w:tab w:val="left" w:pos="711"/>
              </w:tabs>
              <w:snapToGrid w:val="0"/>
              <w:spacing w:line="400" w:lineRule="exact"/>
              <w:ind w:firstLine="420" w:firstLineChars="200"/>
              <w:rPr>
                <w:rFonts w:ascii="宋体" w:hAnsi="宋体" w:cs="宋体"/>
                <w:color w:val="auto"/>
                <w:highlight w:val="none"/>
              </w:rPr>
            </w:pPr>
            <w:r>
              <w:rPr>
                <w:rFonts w:ascii="宋体" w:hAnsi="宋体"/>
                <w:bCs/>
                <w:color w:val="auto"/>
                <w:szCs w:val="21"/>
                <w:highlight w:val="none"/>
              </w:rPr>
              <w:t>1</w:t>
            </w:r>
            <w:r>
              <w:rPr>
                <w:rFonts w:hint="eastAsia" w:ascii="宋体" w:hAnsi="宋体"/>
                <w:bCs/>
                <w:color w:val="auto"/>
                <w:szCs w:val="21"/>
                <w:highlight w:val="none"/>
              </w:rPr>
              <w:t>.本项目的总承包费用由设计费、</w:t>
            </w:r>
            <w:r>
              <w:rPr>
                <w:rFonts w:hint="eastAsia" w:ascii="宋体" w:hAnsi="宋体"/>
                <w:color w:val="auto"/>
                <w:kern w:val="0"/>
                <w:szCs w:val="21"/>
                <w:highlight w:val="none"/>
              </w:rPr>
              <w:t>□</w:t>
            </w:r>
            <w:r>
              <w:rPr>
                <w:rFonts w:hint="eastAsia" w:ascii="宋体" w:hAnsi="宋体"/>
                <w:bCs/>
                <w:color w:val="auto"/>
                <w:szCs w:val="21"/>
                <w:highlight w:val="none"/>
              </w:rPr>
              <w:t>专业设备材料费、建筑安装工程费及其他费用组成，</w:t>
            </w:r>
            <w:r>
              <w:rPr>
                <w:rFonts w:hint="eastAsia" w:ascii="宋体" w:hAnsi="宋体" w:cs="宋体"/>
                <w:color w:val="auto"/>
                <w:highlight w:val="none"/>
              </w:rPr>
              <w:t>投标报价应为完成投标人须知前附表1</w:t>
            </w:r>
            <w:r>
              <w:rPr>
                <w:rFonts w:ascii="宋体" w:hAnsi="宋体" w:cs="宋体"/>
                <w:color w:val="auto"/>
                <w:highlight w:val="none"/>
              </w:rPr>
              <w:t>.3.1</w:t>
            </w:r>
            <w:r>
              <w:rPr>
                <w:rFonts w:hint="eastAsia" w:ascii="宋体" w:hAnsi="宋体" w:cs="宋体"/>
                <w:color w:val="auto"/>
                <w:highlight w:val="none"/>
              </w:rPr>
              <w:t>条规定的招标范围内所有工作以及按合同约定</w:t>
            </w:r>
            <w:r>
              <w:rPr>
                <w:rFonts w:hint="eastAsia" w:ascii="宋体" w:hAnsi="宋体"/>
                <w:bCs/>
                <w:color w:val="auto"/>
                <w:szCs w:val="21"/>
                <w:highlight w:val="none"/>
              </w:rPr>
              <w:t>交付招标人项目成果</w:t>
            </w:r>
            <w:r>
              <w:rPr>
                <w:rFonts w:hint="eastAsia" w:ascii="宋体" w:hAnsi="宋体" w:cs="宋体"/>
                <w:color w:val="auto"/>
                <w:highlight w:val="none"/>
              </w:rPr>
              <w:t>所需的全部费用（包括施工图设计阶段、施工阶段、缺陷责任期全过程）。</w:t>
            </w:r>
          </w:p>
          <w:p w14:paraId="5552188E">
            <w:pPr>
              <w:tabs>
                <w:tab w:val="left" w:pos="546"/>
                <w:tab w:val="left" w:pos="711"/>
              </w:tabs>
              <w:snapToGrid w:val="0"/>
              <w:spacing w:line="400" w:lineRule="exact"/>
              <w:ind w:firstLine="420" w:firstLineChars="200"/>
              <w:rPr>
                <w:color w:val="auto"/>
                <w:highlight w:val="none"/>
              </w:rPr>
            </w:pPr>
            <w:r>
              <w:rPr>
                <w:rFonts w:hint="eastAsia" w:ascii="宋体" w:hAnsi="宋体"/>
                <w:color w:val="auto"/>
                <w:szCs w:val="21"/>
                <w:highlight w:val="none"/>
              </w:rPr>
              <w:t>具体包括为实施和完成本项目招标范围（包括但不限于初步设计文件及发包人要求等）全部工作所需的设计费（含资料费等）、总承包管理费（含协调费等）、技术服务费（包括编制BIM模型）、</w:t>
            </w:r>
            <w:r>
              <w:rPr>
                <w:rFonts w:hint="eastAsia" w:ascii="宋体" w:hAnsi="宋体"/>
                <w:color w:val="auto"/>
                <w:kern w:val="0"/>
                <w:szCs w:val="21"/>
                <w:highlight w:val="none"/>
              </w:rPr>
              <w:t>□</w:t>
            </w:r>
            <w:r>
              <w:rPr>
                <w:rFonts w:hint="eastAsia" w:ascii="宋体" w:hAnsi="宋体"/>
                <w:color w:val="auto"/>
                <w:szCs w:val="21"/>
                <w:highlight w:val="none"/>
              </w:rPr>
              <w:t>专业设备材料费、</w:t>
            </w:r>
            <w:r>
              <w:rPr>
                <w:rFonts w:hint="eastAsia" w:ascii="宋体" w:hAnsi="宋体"/>
                <w:bCs/>
                <w:color w:val="auto"/>
                <w:szCs w:val="21"/>
                <w:highlight w:val="none"/>
              </w:rPr>
              <w:t>人工费、建筑设备材料费、施工机具使用费、企业管理费、利润、一般风险费、措施项目费（含临时设施费、检验检测费、系统集成费、安全文明施工费）、其他项目费、规费、税金、招标文件及合同约定的相关费用、政策性文件规定的全部费用。</w:t>
            </w:r>
          </w:p>
          <w:p w14:paraId="3CDB446C">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2.报价方式</w:t>
            </w:r>
          </w:p>
          <w:p w14:paraId="3A7F0AA7">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color w:val="auto"/>
                <w:kern w:val="0"/>
                <w:szCs w:val="21"/>
                <w:highlight w:val="none"/>
              </w:rPr>
              <w:t>本项目采用总价包干的方式，</w:t>
            </w:r>
            <w:r>
              <w:rPr>
                <w:rFonts w:hint="eastAsia" w:ascii="宋体" w:hAnsi="宋体"/>
                <w:bCs/>
                <w:color w:val="auto"/>
                <w:kern w:val="0"/>
                <w:szCs w:val="21"/>
                <w:highlight w:val="none"/>
              </w:rPr>
              <w:t>投标人根据项目情况、自身实力、市场行情自行填报投标总价</w:t>
            </w:r>
            <w:r>
              <w:rPr>
                <w:rFonts w:hint="eastAsia" w:ascii="宋体" w:hAnsi="宋体"/>
                <w:color w:val="auto"/>
                <w:kern w:val="0"/>
                <w:szCs w:val="21"/>
                <w:highlight w:val="none"/>
              </w:rPr>
              <w:t>，</w:t>
            </w:r>
            <w:r>
              <w:rPr>
                <w:rFonts w:hint="eastAsia" w:ascii="宋体" w:hAnsi="宋体"/>
                <w:bCs/>
                <w:color w:val="auto"/>
                <w:szCs w:val="21"/>
                <w:highlight w:val="none"/>
              </w:rPr>
              <w:t>投标报价单位为元，保留两位小数，小数点后第三位四舍五入。在工程总承包全过程中，</w:t>
            </w:r>
            <w:r>
              <w:rPr>
                <w:rFonts w:hint="eastAsia" w:ascii="宋体 ，Arial" w:hAnsi="宋体" w:eastAsia="宋体 ，Arial" w:cs="宋体"/>
                <w:color w:val="auto"/>
                <w:kern w:val="0"/>
                <w:szCs w:val="21"/>
                <w:highlight w:val="none"/>
              </w:rPr>
              <w:t>除合同约定可以调整的情形外，总价固定不予调整。</w:t>
            </w:r>
            <w:r>
              <w:rPr>
                <w:rFonts w:hint="eastAsia" w:ascii="宋体" w:hAnsi="宋体"/>
                <w:bCs/>
                <w:color w:val="auto"/>
                <w:szCs w:val="21"/>
                <w:highlight w:val="none"/>
              </w:rPr>
              <w:t>投标总报价=设计费投标报价+</w:t>
            </w:r>
            <w:r>
              <w:rPr>
                <w:rFonts w:hint="eastAsia" w:ascii="宋体" w:hAnsi="宋体"/>
                <w:color w:val="auto"/>
                <w:kern w:val="0"/>
                <w:szCs w:val="21"/>
                <w:highlight w:val="none"/>
              </w:rPr>
              <w:t>□</w:t>
            </w:r>
            <w:r>
              <w:rPr>
                <w:rFonts w:hint="eastAsia" w:ascii="宋体" w:hAnsi="宋体"/>
                <w:bCs/>
                <w:color w:val="auto"/>
                <w:szCs w:val="21"/>
                <w:highlight w:val="none"/>
              </w:rPr>
              <w:t>专业设备材料费投标报价+建筑安装工程费投标报价+其他费用投标报价。</w:t>
            </w:r>
          </w:p>
          <w:p w14:paraId="2CA67541">
            <w:pPr>
              <w:tabs>
                <w:tab w:val="left" w:pos="546"/>
                <w:tab w:val="left" w:pos="711"/>
              </w:tabs>
              <w:snapToGrid w:val="0"/>
              <w:spacing w:line="400" w:lineRule="exact"/>
              <w:ind w:firstLine="420" w:firstLineChars="200"/>
              <w:rPr>
                <w:color w:val="auto"/>
                <w:highlight w:val="none"/>
              </w:rPr>
            </w:pPr>
            <w:r>
              <w:rPr>
                <w:i/>
                <w:iCs/>
                <w:color w:val="auto"/>
                <w:highlight w:val="none"/>
              </w:rPr>
              <w:t>[</w:t>
            </w:r>
            <w:r>
              <w:rPr>
                <w:rFonts w:hint="eastAsia"/>
                <w:i/>
                <w:iCs/>
                <w:color w:val="auto"/>
                <w:highlight w:val="none"/>
              </w:rPr>
              <w:t>提示：报价中含有专业设备材料费的，</w:t>
            </w:r>
            <w:r>
              <w:rPr>
                <w:rFonts w:hint="eastAsia" w:ascii="宋体" w:hAnsi="宋体" w:cs="宋体"/>
                <w:i/>
                <w:color w:val="auto"/>
                <w:szCs w:val="21"/>
                <w:highlight w:val="none"/>
              </w:rPr>
              <w:t>招标人可</w:t>
            </w:r>
            <w:r>
              <w:rPr>
                <w:rFonts w:hint="eastAsia"/>
                <w:i/>
                <w:iCs/>
                <w:color w:val="auto"/>
                <w:highlight w:val="none"/>
              </w:rPr>
              <w:t>根据项目具体特点和实际需要编制专业设备材料清单。设备材料技术标准和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加上“参照”或“相当于”字样。</w:t>
            </w:r>
            <w:r>
              <w:rPr>
                <w:i/>
                <w:iCs/>
                <w:color w:val="auto"/>
                <w:highlight w:val="none"/>
              </w:rPr>
              <w:t>]</w:t>
            </w:r>
          </w:p>
          <w:p w14:paraId="13A88782">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3.最高限价</w:t>
            </w:r>
          </w:p>
          <w:p w14:paraId="06FC2754">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s="宋体"/>
                <w:color w:val="auto"/>
                <w:szCs w:val="21"/>
                <w:highlight w:val="none"/>
              </w:rPr>
              <w:t>本工程招标将设置投标总报价最高限价，投标总报价最高限价最迟应于投标截止日15日前发布，投标人的投标总报价不得超过投标总报价最高限价，否则由评标委员会作</w:t>
            </w:r>
            <w:r>
              <w:rPr>
                <w:rFonts w:hint="eastAsia" w:ascii="宋体" w:hAnsi="宋体"/>
                <w:color w:val="auto"/>
                <w:szCs w:val="21"/>
                <w:highlight w:val="none"/>
              </w:rPr>
              <w:t>否决投标处理。</w:t>
            </w:r>
          </w:p>
          <w:p w14:paraId="50722F18">
            <w:pPr>
              <w:tabs>
                <w:tab w:val="left" w:pos="546"/>
                <w:tab w:val="left" w:pos="711"/>
              </w:tabs>
              <w:snapToGrid w:val="0"/>
              <w:spacing w:line="400" w:lineRule="exact"/>
              <w:ind w:firstLine="420" w:firstLineChars="200"/>
              <w:rPr>
                <w:rFonts w:ascii="宋体" w:hAnsi="宋体" w:cs="宋体"/>
                <w:color w:val="auto"/>
                <w:szCs w:val="21"/>
                <w:highlight w:val="none"/>
              </w:rPr>
            </w:pPr>
            <w:r>
              <w:rPr>
                <w:rFonts w:hint="eastAsia" w:ascii="宋体" w:hAnsi="宋体"/>
                <w:color w:val="auto"/>
                <w:kern w:val="0"/>
                <w:szCs w:val="21"/>
                <w:highlight w:val="none"/>
              </w:rPr>
              <w:t>□</w:t>
            </w:r>
            <w:r>
              <w:rPr>
                <w:rFonts w:hint="eastAsia" w:ascii="宋体" w:hAnsi="宋体" w:cs="宋体"/>
                <w:color w:val="auto"/>
                <w:szCs w:val="21"/>
                <w:highlight w:val="none"/>
              </w:rPr>
              <w:t>本工程招标将设置设计费、</w:t>
            </w:r>
            <w:r>
              <w:rPr>
                <w:rFonts w:hint="eastAsia" w:ascii="宋体" w:hAnsi="宋体"/>
                <w:color w:val="auto"/>
                <w:kern w:val="0"/>
                <w:szCs w:val="21"/>
                <w:highlight w:val="none"/>
              </w:rPr>
              <w:t>□</w:t>
            </w:r>
            <w:r>
              <w:rPr>
                <w:rFonts w:hint="eastAsia" w:ascii="宋体" w:hAnsi="宋体"/>
                <w:bCs/>
                <w:color w:val="auto"/>
                <w:szCs w:val="21"/>
                <w:highlight w:val="none"/>
              </w:rPr>
              <w:t>专业设备材料费、</w:t>
            </w:r>
            <w:r>
              <w:rPr>
                <w:rFonts w:hint="eastAsia" w:ascii="宋体" w:hAnsi="宋体" w:cs="宋体"/>
                <w:color w:val="auto"/>
                <w:szCs w:val="21"/>
                <w:highlight w:val="none"/>
              </w:rPr>
              <w:t>建筑安装工程费、其他费用分项报价最高限价，全部分项报价最高限价最迟应于投标截止日15日前发布，投标人的各分项报价不得超过其最高限价，否则由评标委员会作否决投标处理。</w:t>
            </w:r>
          </w:p>
          <w:p w14:paraId="1D0A9F43">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hint="eastAsia" w:ascii="宋体" w:hAnsi="宋体" w:cs="宋体"/>
                <w:i/>
                <w:color w:val="auto"/>
                <w:szCs w:val="21"/>
                <w:highlight w:val="none"/>
              </w:rPr>
              <w:t>[提示：国有资金投资的建设工程招标，招标人必须编制最高限价。]</w:t>
            </w:r>
          </w:p>
          <w:p w14:paraId="772E0979">
            <w:pPr>
              <w:tabs>
                <w:tab w:val="left" w:pos="546"/>
                <w:tab w:val="left" w:pos="711"/>
              </w:tabs>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投标总报价最高限价为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元。 </w:t>
            </w:r>
          </w:p>
          <w:p w14:paraId="648CC042">
            <w:pPr>
              <w:tabs>
                <w:tab w:val="left" w:pos="546"/>
                <w:tab w:val="left" w:pos="711"/>
              </w:tabs>
              <w:snapToGrid w:val="0"/>
              <w:spacing w:line="400" w:lineRule="exact"/>
              <w:ind w:firstLine="420" w:firstLineChars="200"/>
              <w:rPr>
                <w:rFonts w:ascii="宋体" w:hAnsi="宋体" w:cs="宋体"/>
                <w:color w:val="auto"/>
                <w:szCs w:val="21"/>
                <w:highlight w:val="none"/>
              </w:rPr>
            </w:pPr>
            <w:r>
              <w:rPr>
                <w:rFonts w:hint="eastAsia" w:ascii="宋体" w:hAnsi="宋体"/>
                <w:color w:val="auto"/>
                <w:kern w:val="0"/>
                <w:szCs w:val="21"/>
                <w:highlight w:val="none"/>
              </w:rPr>
              <w:t>□</w:t>
            </w:r>
            <w:r>
              <w:rPr>
                <w:rFonts w:hint="eastAsia" w:ascii="宋体" w:hAnsi="宋体" w:cs="宋体"/>
                <w:color w:val="auto"/>
                <w:szCs w:val="21"/>
                <w:highlight w:val="none"/>
              </w:rPr>
              <w:t>（</w:t>
            </w:r>
            <w:r>
              <w:rPr>
                <w:rFonts w:ascii="宋体" w:hAnsi="宋体" w:cs="宋体"/>
                <w:color w:val="auto"/>
                <w:szCs w:val="21"/>
                <w:highlight w:val="none"/>
              </w:rPr>
              <w:t>1</w:t>
            </w:r>
            <w:r>
              <w:rPr>
                <w:rFonts w:hint="eastAsia" w:ascii="宋体" w:hAnsi="宋体" w:cs="宋体"/>
                <w:color w:val="auto"/>
                <w:szCs w:val="21"/>
                <w:highlight w:val="none"/>
              </w:rPr>
              <w:t>）设计费报价最高限价为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19DAC7B0">
            <w:pPr>
              <w:tabs>
                <w:tab w:val="left" w:pos="546"/>
                <w:tab w:val="left" w:pos="711"/>
              </w:tabs>
              <w:snapToGrid w:val="0"/>
              <w:spacing w:line="400" w:lineRule="exact"/>
              <w:ind w:firstLine="420" w:firstLineChars="200"/>
              <w:rPr>
                <w:rFonts w:ascii="宋体" w:hAnsi="宋体" w:cs="宋体"/>
                <w:color w:val="auto"/>
                <w:szCs w:val="21"/>
                <w:highlight w:val="none"/>
              </w:rPr>
            </w:pPr>
            <w:r>
              <w:rPr>
                <w:rFonts w:hint="eastAsia" w:ascii="宋体" w:hAnsi="宋体"/>
                <w:color w:val="auto"/>
                <w:kern w:val="0"/>
                <w:szCs w:val="21"/>
                <w:highlight w:val="none"/>
              </w:rPr>
              <w:t>□</w:t>
            </w:r>
            <w:r>
              <w:rPr>
                <w:rFonts w:hint="eastAsia" w:ascii="宋体" w:hAnsi="宋体" w:cs="宋体"/>
                <w:color w:val="auto"/>
                <w:szCs w:val="21"/>
                <w:highlight w:val="none"/>
              </w:rPr>
              <w:t>（2）专业设备材料费报价最高限价为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07E2D087">
            <w:pPr>
              <w:tabs>
                <w:tab w:val="left" w:pos="546"/>
                <w:tab w:val="left" w:pos="711"/>
              </w:tabs>
              <w:snapToGrid w:val="0"/>
              <w:spacing w:line="400" w:lineRule="exact"/>
              <w:ind w:firstLine="420" w:firstLineChars="200"/>
              <w:rPr>
                <w:rFonts w:ascii="宋体" w:hAnsi="宋体" w:cs="宋体"/>
                <w:color w:val="auto"/>
                <w:szCs w:val="21"/>
                <w:highlight w:val="none"/>
              </w:rPr>
            </w:pPr>
            <w:r>
              <w:rPr>
                <w:rFonts w:hint="eastAsia" w:ascii="宋体" w:hAnsi="宋体"/>
                <w:color w:val="auto"/>
                <w:kern w:val="0"/>
                <w:szCs w:val="21"/>
                <w:highlight w:val="none"/>
              </w:rPr>
              <w:t>□（3）建筑安装工程费报价</w:t>
            </w:r>
            <w:r>
              <w:rPr>
                <w:rFonts w:hint="eastAsia" w:ascii="宋体" w:hAnsi="宋体" w:cs="宋体"/>
                <w:color w:val="auto"/>
                <w:szCs w:val="21"/>
                <w:highlight w:val="none"/>
              </w:rPr>
              <w:t>最高限价为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70BBB4BC">
            <w:pPr>
              <w:tabs>
                <w:tab w:val="left" w:pos="546"/>
                <w:tab w:val="left" w:pos="711"/>
              </w:tabs>
              <w:snapToGrid w:val="0"/>
              <w:spacing w:line="400" w:lineRule="exact"/>
              <w:ind w:firstLine="420" w:firstLineChars="200"/>
              <w:rPr>
                <w:rFonts w:ascii="宋体" w:hAnsi="宋体" w:cs="宋体"/>
                <w:color w:val="auto"/>
                <w:szCs w:val="21"/>
                <w:highlight w:val="none"/>
              </w:rPr>
            </w:pPr>
            <w:r>
              <w:rPr>
                <w:rFonts w:hint="eastAsia" w:ascii="宋体" w:hAnsi="宋体"/>
                <w:color w:val="auto"/>
                <w:kern w:val="0"/>
                <w:szCs w:val="21"/>
                <w:highlight w:val="none"/>
              </w:rPr>
              <w:t>□（4）其他费用</w:t>
            </w:r>
            <w:r>
              <w:rPr>
                <w:rFonts w:hint="eastAsia" w:ascii="宋体" w:hAnsi="宋体" w:cs="宋体"/>
                <w:color w:val="auto"/>
                <w:szCs w:val="21"/>
                <w:highlight w:val="none"/>
              </w:rPr>
              <w:t>最高限价为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13BABD08">
            <w:pPr>
              <w:tabs>
                <w:tab w:val="left" w:pos="546"/>
                <w:tab w:val="left" w:pos="711"/>
              </w:tabs>
              <w:snapToGrid w:val="0"/>
              <w:spacing w:line="400" w:lineRule="exact"/>
              <w:ind w:firstLine="420" w:firstLineChars="200"/>
              <w:rPr>
                <w:rFonts w:ascii="宋体" w:hAnsi="宋体" w:cs="宋体"/>
                <w:i/>
                <w:color w:val="auto"/>
                <w:kern w:val="0"/>
                <w:szCs w:val="21"/>
                <w:highlight w:val="none"/>
                <w:lang w:bidi="ar"/>
              </w:rPr>
            </w:pPr>
            <w:r>
              <w:rPr>
                <w:rFonts w:hint="eastAsia" w:ascii="宋体" w:hAnsi="宋体" w:cs="宋体"/>
                <w:i/>
                <w:color w:val="auto"/>
                <w:kern w:val="0"/>
                <w:szCs w:val="21"/>
                <w:highlight w:val="none"/>
                <w:lang w:bidi="ar"/>
              </w:rPr>
              <w:t>[提示：招标人在编制招标文件时，可根据实际情况在本款中予以增加相关内容，但增加的内容不得违背法律、法规及规范性文件的规定。]</w:t>
            </w:r>
          </w:p>
          <w:p w14:paraId="3F3FCC36">
            <w:pPr>
              <w:pStyle w:val="2"/>
              <w:tabs>
                <w:tab w:val="left" w:pos="546"/>
                <w:tab w:val="left" w:pos="711"/>
              </w:tabs>
              <w:snapToGrid w:val="0"/>
              <w:spacing w:after="0" w:line="400" w:lineRule="exact"/>
              <w:ind w:firstLine="420" w:firstLineChars="200"/>
              <w:rPr>
                <w:color w:val="auto"/>
                <w:highlight w:val="none"/>
                <w:lang w:bidi="ar"/>
              </w:rPr>
            </w:pPr>
          </w:p>
          <w:p w14:paraId="5B92812A">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bCs/>
                <w:i/>
                <w:iCs/>
                <w:color w:val="auto"/>
                <w:szCs w:val="21"/>
                <w:highlight w:val="none"/>
              </w:rPr>
              <w:t>方案二：固定单价/费率报价</w:t>
            </w:r>
            <w:r>
              <w:rPr>
                <w:rFonts w:hint="eastAsia" w:ascii="宋体" w:hAnsi="宋体" w:cs="宋体"/>
                <w:i/>
                <w:color w:val="auto"/>
                <w:szCs w:val="21"/>
                <w:highlight w:val="none"/>
              </w:rPr>
              <w:t>[提示:</w:t>
            </w:r>
            <w:r>
              <w:rPr>
                <w:rFonts w:hint="eastAsia"/>
                <w:color w:val="auto"/>
                <w:highlight w:val="none"/>
              </w:rPr>
              <w:t xml:space="preserve"> </w:t>
            </w:r>
            <w:r>
              <w:rPr>
                <w:rFonts w:hint="eastAsia" w:ascii="宋体" w:hAnsi="宋体" w:cs="宋体"/>
                <w:i/>
                <w:color w:val="auto"/>
                <w:szCs w:val="21"/>
                <w:highlight w:val="none"/>
              </w:rPr>
              <w:t>由于该报价方式属于开口合同，存在</w:t>
            </w:r>
            <w:r>
              <w:rPr>
                <w:rFonts w:hint="eastAsia" w:ascii="宋体" w:hAnsi="宋体"/>
                <w:i/>
                <w:color w:val="auto"/>
                <w:kern w:val="0"/>
                <w:szCs w:val="21"/>
                <w:highlight w:val="none"/>
                <w:lang w:val="zh-CN"/>
              </w:rPr>
              <w:t>项目措施费用难以定价、中标人在设计时偏好采用利润率高的材料或无法定价的设备、中标人存在不当谋利的可能等</w:t>
            </w:r>
            <w:r>
              <w:rPr>
                <w:rFonts w:hint="eastAsia" w:ascii="宋体" w:hAnsi="宋体" w:cs="宋体"/>
                <w:i/>
                <w:color w:val="auto"/>
                <w:szCs w:val="21"/>
                <w:highlight w:val="none"/>
              </w:rPr>
              <w:t>，请招标人慎重使用。]</w:t>
            </w:r>
          </w:p>
          <w:p w14:paraId="2FB55D85">
            <w:pPr>
              <w:tabs>
                <w:tab w:val="left" w:pos="546"/>
                <w:tab w:val="left" w:pos="711"/>
              </w:tabs>
              <w:snapToGrid w:val="0"/>
              <w:spacing w:line="400" w:lineRule="exact"/>
              <w:ind w:firstLine="420" w:firstLineChars="200"/>
              <w:rPr>
                <w:rFonts w:ascii="宋体" w:hAnsi="宋体" w:cs="宋体"/>
                <w:color w:val="auto"/>
                <w:highlight w:val="none"/>
              </w:rPr>
            </w:pPr>
            <w:r>
              <w:rPr>
                <w:rFonts w:ascii="宋体" w:hAnsi="宋体"/>
                <w:bCs/>
                <w:color w:val="auto"/>
                <w:szCs w:val="21"/>
                <w:highlight w:val="none"/>
              </w:rPr>
              <w:t>1</w:t>
            </w:r>
            <w:r>
              <w:rPr>
                <w:rFonts w:hint="eastAsia" w:ascii="宋体" w:hAnsi="宋体"/>
                <w:bCs/>
                <w:color w:val="auto"/>
                <w:szCs w:val="21"/>
                <w:highlight w:val="none"/>
              </w:rPr>
              <w:t>.本项目的总承包费用由设计费、□专业设备材料费、建筑安装工程费及其他费用组成，</w:t>
            </w:r>
            <w:r>
              <w:rPr>
                <w:rFonts w:hint="eastAsia" w:ascii="宋体" w:hAnsi="宋体" w:cs="宋体"/>
                <w:color w:val="auto"/>
                <w:highlight w:val="none"/>
              </w:rPr>
              <w:t>投标报价应为完成投标人须知前附表1</w:t>
            </w:r>
            <w:r>
              <w:rPr>
                <w:rFonts w:ascii="宋体" w:hAnsi="宋体" w:cs="宋体"/>
                <w:color w:val="auto"/>
                <w:highlight w:val="none"/>
              </w:rPr>
              <w:t>.3.1</w:t>
            </w:r>
            <w:r>
              <w:rPr>
                <w:rFonts w:hint="eastAsia" w:ascii="宋体" w:hAnsi="宋体" w:cs="宋体"/>
                <w:color w:val="auto"/>
                <w:highlight w:val="none"/>
              </w:rPr>
              <w:t>条规定的招标范围内所有工作以及按合同约定</w:t>
            </w:r>
            <w:r>
              <w:rPr>
                <w:rFonts w:hint="eastAsia" w:ascii="宋体" w:hAnsi="宋体"/>
                <w:bCs/>
                <w:color w:val="auto"/>
                <w:szCs w:val="21"/>
                <w:highlight w:val="none"/>
              </w:rPr>
              <w:t>交付招标人项目成果</w:t>
            </w:r>
            <w:r>
              <w:rPr>
                <w:rFonts w:hint="eastAsia" w:ascii="宋体" w:hAnsi="宋体" w:cs="宋体"/>
                <w:color w:val="auto"/>
                <w:highlight w:val="none"/>
              </w:rPr>
              <w:t>所需的全部费用（包括施工图设计阶段、施工阶段、缺陷责任期全过程）。</w:t>
            </w:r>
          </w:p>
          <w:p w14:paraId="1859AD39">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color w:val="auto"/>
                <w:szCs w:val="21"/>
                <w:highlight w:val="none"/>
              </w:rPr>
              <w:t>具体包括为实施和完成本项目招标范围（包括但不限于初步设计文件及发包人要求等）全部工作所需的设计费（含资料费等）、总承包管理费（含协调费等）、技术服务费（包括编制BIM模型）、</w:t>
            </w:r>
            <w:r>
              <w:rPr>
                <w:rFonts w:hint="eastAsia" w:ascii="宋体" w:hAnsi="宋体"/>
                <w:color w:val="auto"/>
                <w:kern w:val="0"/>
                <w:szCs w:val="21"/>
                <w:highlight w:val="none"/>
              </w:rPr>
              <w:t>□</w:t>
            </w:r>
            <w:r>
              <w:rPr>
                <w:rFonts w:hint="eastAsia" w:ascii="宋体" w:hAnsi="宋体"/>
                <w:color w:val="auto"/>
                <w:szCs w:val="21"/>
                <w:highlight w:val="none"/>
              </w:rPr>
              <w:t>专业设备材料费、</w:t>
            </w:r>
            <w:r>
              <w:rPr>
                <w:rFonts w:hint="eastAsia" w:ascii="宋体" w:hAnsi="宋体"/>
                <w:bCs/>
                <w:color w:val="auto"/>
                <w:szCs w:val="21"/>
                <w:highlight w:val="none"/>
              </w:rPr>
              <w:t>人工费、建筑设备材料费、施工机具使用费、企业管理费、利润、一般风险费、措施项目费（含临时设施费、检验检测费、系统集成费、安全文明施工费）、其他项目费、规费、税金、招标文件及合同约定的相关费用、政策性文件规定的全部费用。</w:t>
            </w:r>
          </w:p>
          <w:p w14:paraId="3F005D9F">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2.报价方式</w:t>
            </w:r>
          </w:p>
          <w:p w14:paraId="36664D6C">
            <w:pPr>
              <w:tabs>
                <w:tab w:val="left" w:pos="546"/>
                <w:tab w:val="left" w:pos="711"/>
              </w:tabs>
              <w:snapToGrid w:val="0"/>
              <w:spacing w:line="400" w:lineRule="exact"/>
              <w:ind w:firstLine="420" w:firstLineChars="200"/>
              <w:rPr>
                <w:color w:val="auto"/>
                <w:highlight w:val="none"/>
              </w:rPr>
            </w:pPr>
            <w:r>
              <w:rPr>
                <w:rFonts w:hint="eastAsia" w:ascii="宋体" w:hAnsi="宋体"/>
                <w:color w:val="auto"/>
                <w:kern w:val="0"/>
                <w:szCs w:val="21"/>
                <w:highlight w:val="none"/>
              </w:rPr>
              <w:t>本项目采用固定单价/费率包干的方式，</w:t>
            </w:r>
            <w:r>
              <w:rPr>
                <w:rFonts w:hint="eastAsia" w:ascii="宋体" w:hAnsi="宋体"/>
                <w:bCs/>
                <w:color w:val="auto"/>
                <w:kern w:val="0"/>
                <w:szCs w:val="21"/>
                <w:highlight w:val="none"/>
              </w:rPr>
              <w:t>投标人根据项目情况、自身实力、市场行情分别填报</w:t>
            </w:r>
            <w:r>
              <w:rPr>
                <w:rFonts w:hint="eastAsia" w:ascii="宋体" w:hAnsi="宋体"/>
                <w:bCs/>
                <w:color w:val="auto"/>
                <w:szCs w:val="21"/>
                <w:highlight w:val="none"/>
              </w:rPr>
              <w:t>设计费投标报价、建筑安装工程费投标报价、其他费用投标报价。投标报价保留两位小数，小数点后第三位四舍五入。在工程总承包全过程中，</w:t>
            </w:r>
            <w:r>
              <w:rPr>
                <w:rFonts w:hint="eastAsia" w:ascii="宋体 ，Arial" w:hAnsi="宋体" w:eastAsia="宋体 ，Arial" w:cs="宋体"/>
                <w:color w:val="auto"/>
                <w:kern w:val="0"/>
                <w:szCs w:val="21"/>
                <w:highlight w:val="none"/>
              </w:rPr>
              <w:t>除合同约定可以调整的情形外，</w:t>
            </w:r>
            <w:r>
              <w:rPr>
                <w:rFonts w:hint="eastAsia" w:ascii="宋体" w:hAnsi="宋体"/>
                <w:color w:val="auto"/>
                <w:kern w:val="0"/>
                <w:szCs w:val="21"/>
                <w:highlight w:val="none"/>
              </w:rPr>
              <w:t>固定单价/费率</w:t>
            </w:r>
            <w:r>
              <w:rPr>
                <w:rFonts w:hint="eastAsia" w:ascii="宋体 ，Arial" w:hAnsi="宋体" w:eastAsia="宋体 ，Arial" w:cs="宋体"/>
                <w:color w:val="auto"/>
                <w:kern w:val="0"/>
                <w:szCs w:val="21"/>
                <w:highlight w:val="none"/>
              </w:rPr>
              <w:t>不予调整。</w:t>
            </w:r>
            <w:r>
              <w:rPr>
                <w:rFonts w:hint="eastAsia" w:ascii="宋体" w:hAnsi="宋体"/>
                <w:bCs/>
                <w:color w:val="auto"/>
                <w:szCs w:val="21"/>
                <w:highlight w:val="none"/>
              </w:rPr>
              <w:t>投标总报价=设计费投标报价+□专业设备材料费投标报价+建筑安装工程费投标报价+其他费用投标报价。</w:t>
            </w:r>
          </w:p>
          <w:p w14:paraId="156FF260">
            <w:pPr>
              <w:tabs>
                <w:tab w:val="left" w:pos="546"/>
                <w:tab w:val="left" w:pos="711"/>
              </w:tabs>
              <w:snapToGrid w:val="0"/>
              <w:spacing w:line="400" w:lineRule="exact"/>
              <w:ind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1</w:t>
            </w:r>
            <w:r>
              <w:rPr>
                <w:rFonts w:hint="eastAsia" w:ascii="宋体" w:hAnsi="宋体"/>
                <w:color w:val="auto"/>
                <w:highlight w:val="none"/>
              </w:rPr>
              <w:t>设计费</w:t>
            </w:r>
          </w:p>
          <w:p w14:paraId="0276D661">
            <w:pPr>
              <w:tabs>
                <w:tab w:val="left" w:pos="546"/>
                <w:tab w:val="left" w:pos="711"/>
              </w:tabs>
              <w:snapToGrid w:val="0"/>
              <w:spacing w:line="400" w:lineRule="exact"/>
              <w:ind w:firstLine="420" w:firstLineChars="200"/>
              <w:rPr>
                <w:color w:val="auto"/>
                <w:highlight w:val="none"/>
              </w:rPr>
            </w:pPr>
            <w:r>
              <w:rPr>
                <w:rFonts w:hint="eastAsia" w:ascii="宋体" w:hAnsi="宋体"/>
                <w:color w:val="auto"/>
                <w:szCs w:val="21"/>
                <w:highlight w:val="none"/>
              </w:rPr>
              <w:t>设计费投标报价应为完成招标文件所确定的委托设计的范围和设计业务所需的全部费用（包含施工图设计阶段、施工阶段、缺陷责任全阶段）。具体包括为实施和完成本项目全部设计工作所需的管理费、资料费、劳务费、技术服务费、办公家具、办公设施、通讯工具、通讯费用、交通工具、编制BIM模型、保险、税费、利润及协调费等实施工程设计所产生的一切费用。</w:t>
            </w:r>
          </w:p>
          <w:p w14:paraId="51AD22B5">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□暂定设计费投标报价=估算建筑安装工程费</w:t>
            </w:r>
            <w:r>
              <w:rPr>
                <w:rFonts w:hint="eastAsia" w:ascii="宋体" w:hAnsi="宋体"/>
                <w:color w:val="auto"/>
                <w:szCs w:val="21"/>
                <w:highlight w:val="none"/>
                <w:u w:val="single"/>
              </w:rPr>
              <w:t xml:space="preserve">   </w:t>
            </w:r>
            <w:r>
              <w:rPr>
                <w:rFonts w:hint="eastAsia" w:ascii="宋体" w:hAnsi="宋体"/>
                <w:color w:val="auto"/>
                <w:szCs w:val="21"/>
                <w:highlight w:val="none"/>
              </w:rPr>
              <w:t>元×固定费率报价。</w:t>
            </w:r>
          </w:p>
          <w:p w14:paraId="57B23EBC">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□暂定设计费投标报价=</w:t>
            </w:r>
            <w:r>
              <w:rPr>
                <w:rFonts w:hint="eastAsia" w:ascii="宋体" w:hAnsi="宋体"/>
                <w:bCs/>
                <w:color w:val="auto"/>
                <w:szCs w:val="21"/>
                <w:highlight w:val="none"/>
              </w:rPr>
              <w:t>∑</w:t>
            </w:r>
            <w:r>
              <w:rPr>
                <w:rFonts w:hint="eastAsia" w:ascii="宋体" w:hAnsi="宋体"/>
                <w:color w:val="auto"/>
                <w:szCs w:val="21"/>
                <w:highlight w:val="none"/>
              </w:rPr>
              <w:t>暂定工作量×</w:t>
            </w:r>
            <w:r>
              <w:rPr>
                <w:rFonts w:hint="eastAsia" w:ascii="宋体" w:hAnsi="宋体"/>
                <w:bCs/>
                <w:color w:val="auto"/>
                <w:szCs w:val="21"/>
                <w:highlight w:val="none"/>
              </w:rPr>
              <w:t>固定综合单价报价</w:t>
            </w:r>
            <w:r>
              <w:rPr>
                <w:rFonts w:hint="eastAsia" w:ascii="宋体" w:hAnsi="宋体"/>
                <w:color w:val="auto"/>
                <w:szCs w:val="21"/>
                <w:highlight w:val="none"/>
              </w:rPr>
              <w:t>。</w:t>
            </w:r>
          </w:p>
          <w:p w14:paraId="04AF0A3F">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□其他报价方式：</w:t>
            </w:r>
            <w:r>
              <w:rPr>
                <w:rFonts w:hint="eastAsia" w:ascii="宋体" w:hAnsi="宋体"/>
                <w:color w:val="auto"/>
                <w:szCs w:val="21"/>
                <w:highlight w:val="none"/>
                <w:u w:val="single"/>
              </w:rPr>
              <w:t xml:space="preserve"> （固定总价或设计费用清单等） </w:t>
            </w:r>
            <w:r>
              <w:rPr>
                <w:rFonts w:hint="eastAsia" w:ascii="宋体" w:hAnsi="宋体"/>
                <w:color w:val="auto"/>
                <w:szCs w:val="21"/>
                <w:highlight w:val="none"/>
              </w:rPr>
              <w:t>。</w:t>
            </w:r>
          </w:p>
          <w:p w14:paraId="45C303A1">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color w:val="auto"/>
                <w:szCs w:val="21"/>
                <w:highlight w:val="none"/>
              </w:rPr>
              <w:t>□</w:t>
            </w:r>
            <w:r>
              <w:rPr>
                <w:rFonts w:hint="eastAsia" w:ascii="宋体" w:hAnsi="宋体"/>
                <w:bCs/>
                <w:color w:val="auto"/>
                <w:szCs w:val="21"/>
                <w:highlight w:val="none"/>
              </w:rPr>
              <w:t>2.2专业设备材料费</w:t>
            </w:r>
          </w:p>
          <w:p w14:paraId="730F4462">
            <w:pPr>
              <w:tabs>
                <w:tab w:val="left" w:pos="546"/>
                <w:tab w:val="left" w:pos="711"/>
              </w:tabs>
              <w:snapToGrid w:val="0"/>
              <w:spacing w:line="400" w:lineRule="exact"/>
              <w:ind w:firstLine="420" w:firstLineChars="200"/>
              <w:rPr>
                <w:color w:val="auto"/>
                <w:szCs w:val="21"/>
                <w:highlight w:val="none"/>
              </w:rPr>
            </w:pPr>
            <w:r>
              <w:rPr>
                <w:rFonts w:hint="eastAsia" w:ascii="宋体" w:hAnsi="宋体"/>
                <w:bCs/>
                <w:color w:val="auto"/>
                <w:szCs w:val="21"/>
                <w:highlight w:val="none"/>
              </w:rPr>
              <w:t>专业设备材料费</w:t>
            </w:r>
            <w:r>
              <w:rPr>
                <w:rFonts w:hint="eastAsia" w:ascii="宋体" w:hAnsi="宋体"/>
                <w:color w:val="auto"/>
                <w:szCs w:val="21"/>
                <w:highlight w:val="none"/>
              </w:rPr>
              <w:t>报价应为完成满足</w:t>
            </w:r>
            <w:r>
              <w:rPr>
                <w:rFonts w:hint="eastAsia" w:ascii="宋体" w:hAnsi="宋体"/>
                <w:bCs/>
                <w:color w:val="auto"/>
                <w:szCs w:val="21"/>
                <w:highlight w:val="none"/>
              </w:rPr>
              <w:t>招标文件要求的专业设备材料的</w:t>
            </w:r>
            <w:r>
              <w:rPr>
                <w:rFonts w:hint="eastAsia"/>
                <w:color w:val="auto"/>
                <w:szCs w:val="21"/>
                <w:highlight w:val="none"/>
              </w:rPr>
              <w:t>供货（含备品、备件、专用工器具等）、装配（如有）、检验检测、包装、运输和保险、装卸、安全保证、安装、调试（如有）、税费、质保期服务（含维修、维护、保养、人员培训）以及其它相关伴随服务等所需的全部费用。</w:t>
            </w:r>
          </w:p>
          <w:p w14:paraId="6E81B7BC">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□暂定</w:t>
            </w:r>
            <w:r>
              <w:rPr>
                <w:rFonts w:hint="eastAsia" w:ascii="宋体" w:hAnsi="宋体"/>
                <w:bCs/>
                <w:color w:val="auto"/>
                <w:szCs w:val="21"/>
                <w:highlight w:val="none"/>
              </w:rPr>
              <w:t>专业设备材料费</w:t>
            </w:r>
            <w:r>
              <w:rPr>
                <w:rFonts w:hint="eastAsia" w:ascii="宋体" w:hAnsi="宋体"/>
                <w:color w:val="auto"/>
                <w:szCs w:val="21"/>
                <w:highlight w:val="none"/>
              </w:rPr>
              <w:t>投标报价=</w:t>
            </w:r>
            <w:r>
              <w:rPr>
                <w:rFonts w:hint="eastAsia" w:ascii="宋体" w:hAnsi="宋体"/>
                <w:bCs/>
                <w:color w:val="auto"/>
                <w:szCs w:val="21"/>
                <w:highlight w:val="none"/>
              </w:rPr>
              <w:t>∑</w:t>
            </w:r>
            <w:r>
              <w:rPr>
                <w:rFonts w:hint="eastAsia" w:ascii="宋体" w:hAnsi="宋体"/>
                <w:color w:val="auto"/>
                <w:szCs w:val="21"/>
                <w:highlight w:val="none"/>
              </w:rPr>
              <w:t>暂定采购量×</w:t>
            </w:r>
            <w:r>
              <w:rPr>
                <w:rFonts w:hint="eastAsia" w:ascii="宋体" w:hAnsi="宋体"/>
                <w:bCs/>
                <w:color w:val="auto"/>
                <w:szCs w:val="21"/>
                <w:highlight w:val="none"/>
              </w:rPr>
              <w:t>固定综合单价报价</w:t>
            </w:r>
            <w:r>
              <w:rPr>
                <w:rFonts w:hint="eastAsia" w:ascii="宋体" w:hAnsi="宋体"/>
                <w:color w:val="auto"/>
                <w:szCs w:val="21"/>
                <w:highlight w:val="none"/>
              </w:rPr>
              <w:t>。</w:t>
            </w:r>
          </w:p>
          <w:p w14:paraId="2CEF7E25">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□其他报价方式：</w:t>
            </w:r>
            <w:r>
              <w:rPr>
                <w:rFonts w:hint="eastAsia" w:ascii="宋体" w:hAnsi="宋体"/>
                <w:color w:val="auto"/>
                <w:szCs w:val="21"/>
                <w:highlight w:val="none"/>
                <w:u w:val="single"/>
              </w:rPr>
              <w:t xml:space="preserve"> （固定总价等） </w:t>
            </w:r>
            <w:r>
              <w:rPr>
                <w:rFonts w:hint="eastAsia" w:ascii="宋体" w:hAnsi="宋体"/>
                <w:color w:val="auto"/>
                <w:szCs w:val="21"/>
                <w:highlight w:val="none"/>
              </w:rPr>
              <w:t>。</w:t>
            </w:r>
          </w:p>
          <w:p w14:paraId="7FE60C40">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s="宋体"/>
                <w:i/>
                <w:color w:val="auto"/>
                <w:szCs w:val="21"/>
                <w:highlight w:val="none"/>
              </w:rPr>
              <w:t>[提示:</w:t>
            </w:r>
            <w:r>
              <w:rPr>
                <w:rFonts w:hint="eastAsia"/>
                <w:color w:val="auto"/>
                <w:highlight w:val="none"/>
              </w:rPr>
              <w:t xml:space="preserve"> </w:t>
            </w:r>
            <w:r>
              <w:rPr>
                <w:rFonts w:hint="eastAsia"/>
                <w:i/>
                <w:iCs/>
                <w:color w:val="auto"/>
                <w:highlight w:val="none"/>
              </w:rPr>
              <w:t>报价中含有专业设备材料费的，</w:t>
            </w:r>
            <w:r>
              <w:rPr>
                <w:rFonts w:hint="eastAsia" w:ascii="宋体" w:hAnsi="宋体" w:cs="宋体"/>
                <w:i/>
                <w:color w:val="auto"/>
                <w:szCs w:val="21"/>
                <w:highlight w:val="none"/>
              </w:rPr>
              <w:t>招标人可</w:t>
            </w:r>
            <w:r>
              <w:rPr>
                <w:rFonts w:hint="eastAsia"/>
                <w:i/>
                <w:iCs/>
                <w:color w:val="auto"/>
                <w:highlight w:val="none"/>
              </w:rPr>
              <w:t>根据项目具体特点和实际需要编制专业设备材料清单，采用固定综合单价报价方式。设备材料技术标准和要求中的各项技术标准应符合国家强制性标准，不得要求或标明某一特定的专利、商标、名称、设计、原产地或生产供应者，不得含有倾向或者排斥潜在投标人的其他内容。如果必须引用某一生产供应者的技术标准才能准确或清楚地说明拟招标项目的技术标准时，则应当加上“参照”或“相当于”字样。</w:t>
            </w:r>
            <w:r>
              <w:rPr>
                <w:rFonts w:hint="eastAsia" w:ascii="宋体" w:hAnsi="宋体" w:cs="宋体"/>
                <w:i/>
                <w:color w:val="auto"/>
                <w:szCs w:val="21"/>
                <w:highlight w:val="none"/>
              </w:rPr>
              <w:t>]</w:t>
            </w:r>
          </w:p>
          <w:p w14:paraId="6E2DA5B8">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2.3建筑安装工程费</w:t>
            </w:r>
          </w:p>
          <w:p w14:paraId="4F80F108">
            <w:pPr>
              <w:tabs>
                <w:tab w:val="left" w:pos="546"/>
                <w:tab w:val="left" w:pos="711"/>
              </w:tabs>
              <w:snapToGrid w:val="0"/>
              <w:spacing w:line="400" w:lineRule="exact"/>
              <w:ind w:firstLine="420" w:firstLineChars="200"/>
              <w:rPr>
                <w:color w:val="auto"/>
                <w:highlight w:val="none"/>
              </w:rPr>
            </w:pPr>
            <w:r>
              <w:rPr>
                <w:rFonts w:hint="eastAsia" w:ascii="宋体" w:hAnsi="宋体"/>
                <w:bCs/>
                <w:color w:val="auto"/>
                <w:szCs w:val="21"/>
                <w:highlight w:val="none"/>
              </w:rPr>
              <w:t>建筑安装工程费投标报价包括完成招标范围内工程项目的人工费、建筑设备材料费、施工机具使用费、企业管理费、利润、一般风险费、措施项目费（含临时设施费、检验检测费、系统集成费、安全文明施工费）、其他项目费、规费、税金、招标文件及合同约定的相关费用、政策性文件规定的所有费用。</w:t>
            </w:r>
          </w:p>
          <w:p w14:paraId="450C6AFC">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color w:val="auto"/>
                <w:szCs w:val="21"/>
                <w:highlight w:val="none"/>
              </w:rPr>
              <w:t>□暂定</w:t>
            </w:r>
            <w:r>
              <w:rPr>
                <w:rFonts w:hint="eastAsia" w:ascii="宋体" w:hAnsi="宋体"/>
                <w:bCs/>
                <w:color w:val="auto"/>
                <w:szCs w:val="21"/>
                <w:highlight w:val="none"/>
              </w:rPr>
              <w:t>建筑安装工程费投标报价=估算建筑安装工程费</w:t>
            </w:r>
            <w:r>
              <w:rPr>
                <w:rFonts w:hint="eastAsia" w:ascii="宋体" w:hAnsi="宋体"/>
                <w:bCs/>
                <w:color w:val="auto"/>
                <w:szCs w:val="21"/>
                <w:highlight w:val="none"/>
                <w:u w:val="single"/>
              </w:rPr>
              <w:t xml:space="preserve">   </w:t>
            </w:r>
            <w:r>
              <w:rPr>
                <w:rFonts w:hint="eastAsia" w:ascii="宋体" w:hAnsi="宋体"/>
                <w:bCs/>
                <w:color w:val="auto"/>
                <w:szCs w:val="21"/>
                <w:highlight w:val="none"/>
              </w:rPr>
              <w:t>元×固定费率报价。</w:t>
            </w:r>
          </w:p>
          <w:p w14:paraId="517C2823">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color w:val="auto"/>
                <w:szCs w:val="21"/>
                <w:highlight w:val="none"/>
              </w:rPr>
              <w:t>□</w:t>
            </w:r>
            <w:r>
              <w:rPr>
                <w:rFonts w:hint="eastAsia" w:ascii="宋体" w:hAnsi="宋体"/>
                <w:bCs/>
                <w:color w:val="auto"/>
                <w:szCs w:val="21"/>
                <w:highlight w:val="none"/>
              </w:rPr>
              <w:t>其他报价方式：</w:t>
            </w:r>
            <w:r>
              <w:rPr>
                <w:rFonts w:hint="eastAsia" w:ascii="宋体" w:hAnsi="宋体"/>
                <w:bCs/>
                <w:color w:val="auto"/>
                <w:szCs w:val="21"/>
                <w:highlight w:val="none"/>
                <w:u w:val="single"/>
              </w:rPr>
              <w:t xml:space="preserve">  </w:t>
            </w:r>
            <w:r>
              <w:rPr>
                <w:rFonts w:ascii="宋体" w:hAnsi="宋体"/>
                <w:bCs/>
                <w:color w:val="auto"/>
                <w:szCs w:val="21"/>
                <w:highlight w:val="none"/>
                <w:u w:val="single"/>
              </w:rPr>
              <w:t xml:space="preserve">           </w:t>
            </w:r>
            <w:r>
              <w:rPr>
                <w:rFonts w:hint="eastAsia" w:ascii="宋体" w:hAnsi="宋体"/>
                <w:bCs/>
                <w:color w:val="auto"/>
                <w:szCs w:val="21"/>
                <w:highlight w:val="none"/>
                <w:u w:val="single"/>
              </w:rPr>
              <w:t xml:space="preserve"> </w:t>
            </w:r>
            <w:r>
              <w:rPr>
                <w:rFonts w:hint="eastAsia" w:ascii="宋体" w:hAnsi="宋体"/>
                <w:bCs/>
                <w:color w:val="auto"/>
                <w:szCs w:val="21"/>
                <w:highlight w:val="none"/>
              </w:rPr>
              <w:t>。</w:t>
            </w:r>
          </w:p>
          <w:p w14:paraId="7365BCD4">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2.3.1</w:t>
            </w:r>
            <w:r>
              <w:rPr>
                <w:rFonts w:hint="eastAsia" w:ascii="宋体" w:hAnsi="宋体"/>
                <w:color w:val="auto"/>
                <w:szCs w:val="21"/>
                <w:highlight w:val="none"/>
              </w:rPr>
              <w:t>建筑安装工程费计价原则</w:t>
            </w:r>
          </w:p>
          <w:p w14:paraId="2C9A3592">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hint="eastAsia" w:ascii="宋体" w:hAnsi="宋体"/>
                <w:color w:val="auto"/>
                <w:szCs w:val="21"/>
                <w:highlight w:val="none"/>
              </w:rPr>
              <w:t>（1）</w:t>
            </w:r>
            <w:r>
              <w:rPr>
                <w:rFonts w:hint="eastAsia" w:ascii="宋体" w:hAnsi="宋体" w:cs="宋体"/>
                <w:color w:val="auto"/>
                <w:szCs w:val="21"/>
                <w:highlight w:val="none"/>
              </w:rPr>
              <w:t>使用国有资金投资的建设工程发承包，必须采用工程量清单计价。工程量清单应采用综合单价计价。</w:t>
            </w:r>
          </w:p>
          <w:p w14:paraId="7E2ECDC5">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hint="eastAsia" w:ascii="宋体" w:hAnsi="宋体" w:cs="宋体"/>
                <w:color w:val="auto"/>
                <w:szCs w:val="21"/>
                <w:highlight w:val="none"/>
              </w:rPr>
              <w:t>（2）以《建设工程工程量清单计价规范》（GB50500-2013）</w:t>
            </w:r>
            <w:r>
              <w:rPr>
                <w:rFonts w:hint="eastAsia" w:ascii="宋体" w:hAnsi="宋体"/>
                <w:bCs/>
                <w:color w:val="auto"/>
                <w:szCs w:val="21"/>
                <w:highlight w:val="none"/>
              </w:rPr>
              <w:t>、《重庆市建设工程工程量清单计价规则》（CQ</w:t>
            </w:r>
            <w:r>
              <w:rPr>
                <w:rFonts w:ascii="宋体" w:hAnsi="宋体"/>
                <w:bCs/>
                <w:color w:val="auto"/>
                <w:szCs w:val="21"/>
                <w:highlight w:val="none"/>
              </w:rPr>
              <w:t>JJ</w:t>
            </w:r>
            <w:r>
              <w:rPr>
                <w:rFonts w:hint="eastAsia" w:ascii="宋体" w:hAnsi="宋体"/>
                <w:bCs/>
                <w:color w:val="auto"/>
                <w:szCs w:val="21"/>
                <w:highlight w:val="none"/>
              </w:rPr>
              <w:t>GZ-2013）、</w:t>
            </w:r>
            <w:r>
              <w:rPr>
                <w:rFonts w:hint="eastAsia" w:ascii="宋体" w:hAnsi="宋体" w:cs="宋体"/>
                <w:color w:val="auto"/>
                <w:szCs w:val="21"/>
                <w:highlight w:val="none"/>
              </w:rPr>
              <w:t>《重庆市建设工程费用定额》（CQFYDE-2018）、《重庆市城乡建设委员会关于适用增值税新税率调整建设工程计价依据的通知》（渝建〔2019〕143号）</w:t>
            </w:r>
            <w:r>
              <w:rPr>
                <w:rFonts w:hint="eastAsia" w:ascii="宋体" w:hAnsi="宋体"/>
                <w:bCs/>
                <w:color w:val="auto"/>
                <w:szCs w:val="21"/>
                <w:highlight w:val="none"/>
              </w:rPr>
              <w:t>等相关配套定额及文件为依据。</w:t>
            </w:r>
          </w:p>
          <w:p w14:paraId="677D4F95">
            <w:pPr>
              <w:adjustRightInd w:val="0"/>
              <w:snapToGrid w:val="0"/>
              <w:spacing w:line="380" w:lineRule="exact"/>
              <w:ind w:firstLine="420"/>
              <w:rPr>
                <w:rFonts w:ascii="宋体" w:hAnsi="宋体"/>
                <w:bCs/>
                <w:color w:val="auto"/>
                <w:szCs w:val="21"/>
                <w:highlight w:val="none"/>
              </w:rPr>
            </w:pPr>
            <w:r>
              <w:rPr>
                <w:rFonts w:hint="eastAsia" w:ascii="宋体" w:hAnsi="宋体"/>
                <w:bCs/>
                <w:color w:val="auto"/>
                <w:szCs w:val="21"/>
                <w:highlight w:val="none"/>
              </w:rPr>
              <w:t>（3）人工单价的确定原则</w:t>
            </w:r>
          </w:p>
          <w:p w14:paraId="32007D1F">
            <w:pPr>
              <w:pStyle w:val="2"/>
              <w:tabs>
                <w:tab w:val="left" w:pos="546"/>
                <w:tab w:val="left" w:pos="711"/>
              </w:tabs>
              <w:snapToGrid w:val="0"/>
              <w:spacing w:after="0"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按</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年第</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期《重庆工程造价信息》发布的人工信息价执行。</w:t>
            </w:r>
          </w:p>
          <w:p w14:paraId="7602BA6E">
            <w:pPr>
              <w:pStyle w:val="2"/>
              <w:tabs>
                <w:tab w:val="left" w:pos="546"/>
                <w:tab w:val="left" w:pos="711"/>
              </w:tabs>
              <w:snapToGrid w:val="0"/>
              <w:spacing w:after="0" w:line="400" w:lineRule="exact"/>
              <w:ind w:firstLine="420" w:firstLineChars="200"/>
              <w:rPr>
                <w:rFonts w:ascii="宋体" w:hAnsi="宋体" w:cs="宋体"/>
                <w:i/>
                <w:color w:val="auto"/>
                <w:szCs w:val="21"/>
                <w:highlight w:val="none"/>
              </w:rPr>
            </w:pPr>
            <w:r>
              <w:rPr>
                <w:rFonts w:hint="eastAsia" w:ascii="宋体" w:hAnsi="宋体" w:cs="宋体"/>
                <w:i/>
                <w:color w:val="auto"/>
                <w:szCs w:val="21"/>
                <w:highlight w:val="none"/>
              </w:rPr>
              <w:t>[提示:</w:t>
            </w:r>
            <w:r>
              <w:rPr>
                <w:rFonts w:hint="eastAsia"/>
                <w:color w:val="auto"/>
                <w:highlight w:val="none"/>
              </w:rPr>
              <w:t xml:space="preserve"> </w:t>
            </w:r>
            <w:r>
              <w:rPr>
                <w:rFonts w:hint="eastAsia" w:ascii="宋体" w:hAnsi="宋体" w:cs="宋体"/>
                <w:i/>
                <w:color w:val="auto"/>
                <w:szCs w:val="21"/>
                <w:highlight w:val="none"/>
              </w:rPr>
              <w:t>造价信息引用时限可以是招标公告发布日期前一期或计划施工进场日期前一期。]</w:t>
            </w:r>
          </w:p>
          <w:p w14:paraId="7639E6D1">
            <w:pPr>
              <w:adjustRightInd w:val="0"/>
              <w:snapToGrid w:val="0"/>
              <w:spacing w:line="380" w:lineRule="exact"/>
              <w:ind w:firstLine="420"/>
              <w:rPr>
                <w:rFonts w:ascii="宋体" w:hAnsi="宋体"/>
                <w:bCs/>
                <w:color w:val="auto"/>
                <w:szCs w:val="21"/>
                <w:highlight w:val="none"/>
              </w:rPr>
            </w:pPr>
            <w:r>
              <w:rPr>
                <w:rFonts w:hint="eastAsia" w:ascii="宋体" w:hAnsi="宋体"/>
                <w:bCs/>
                <w:color w:val="auto"/>
                <w:szCs w:val="21"/>
                <w:highlight w:val="none"/>
              </w:rPr>
              <w:t>（4）材料和设备（不包括专业设备材料）</w:t>
            </w:r>
          </w:p>
          <w:p w14:paraId="78888377">
            <w:pPr>
              <w:pStyle w:val="2"/>
              <w:tabs>
                <w:tab w:val="left" w:pos="546"/>
                <w:tab w:val="left" w:pos="711"/>
              </w:tabs>
              <w:snapToGrid w:val="0"/>
              <w:spacing w:after="0"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a.按</w:t>
            </w:r>
            <w:r>
              <w:rPr>
                <w:rFonts w:hint="eastAsia" w:ascii="宋体" w:hAnsi="宋体"/>
                <w:bCs/>
                <w:color w:val="auto"/>
                <w:szCs w:val="21"/>
                <w:highlight w:val="none"/>
                <w:u w:val="single"/>
              </w:rPr>
              <w:t xml:space="preserve">   </w:t>
            </w:r>
            <w:r>
              <w:rPr>
                <w:rFonts w:hint="eastAsia" w:ascii="宋体" w:hAnsi="宋体"/>
                <w:bCs/>
                <w:color w:val="auto"/>
                <w:szCs w:val="21"/>
                <w:highlight w:val="none"/>
              </w:rPr>
              <w:t>年第</w:t>
            </w:r>
            <w:r>
              <w:rPr>
                <w:rFonts w:hint="eastAsia" w:ascii="宋体" w:hAnsi="宋体"/>
                <w:bCs/>
                <w:color w:val="auto"/>
                <w:szCs w:val="21"/>
                <w:highlight w:val="none"/>
                <w:u w:val="single"/>
              </w:rPr>
              <w:t xml:space="preserve">   </w:t>
            </w:r>
            <w:r>
              <w:rPr>
                <w:rFonts w:hint="eastAsia" w:ascii="宋体" w:hAnsi="宋体"/>
                <w:bCs/>
                <w:color w:val="auto"/>
                <w:szCs w:val="21"/>
                <w:highlight w:val="none"/>
              </w:rPr>
              <w:t>期《重庆工程造价信息》发布的信息价执行。</w:t>
            </w:r>
          </w:p>
          <w:p w14:paraId="451EBF7D">
            <w:pPr>
              <w:pStyle w:val="2"/>
              <w:tabs>
                <w:tab w:val="left" w:pos="546"/>
                <w:tab w:val="left" w:pos="711"/>
              </w:tabs>
              <w:snapToGrid w:val="0"/>
              <w:spacing w:after="0" w:line="400" w:lineRule="exact"/>
              <w:ind w:firstLine="420" w:firstLineChars="200"/>
              <w:rPr>
                <w:rFonts w:ascii="宋体" w:hAnsi="宋体" w:cs="宋体"/>
                <w:i/>
                <w:color w:val="auto"/>
                <w:szCs w:val="21"/>
                <w:highlight w:val="none"/>
              </w:rPr>
            </w:pPr>
            <w:r>
              <w:rPr>
                <w:rFonts w:hint="eastAsia" w:ascii="宋体" w:hAnsi="宋体" w:cs="宋体"/>
                <w:i/>
                <w:color w:val="auto"/>
                <w:szCs w:val="21"/>
                <w:highlight w:val="none"/>
              </w:rPr>
              <w:t>[提示:</w:t>
            </w:r>
            <w:r>
              <w:rPr>
                <w:rFonts w:hint="eastAsia"/>
                <w:color w:val="auto"/>
                <w:highlight w:val="none"/>
              </w:rPr>
              <w:t xml:space="preserve"> </w:t>
            </w:r>
            <w:r>
              <w:rPr>
                <w:rFonts w:hint="eastAsia" w:ascii="宋体" w:hAnsi="宋体" w:cs="宋体"/>
                <w:i/>
                <w:color w:val="auto"/>
                <w:szCs w:val="21"/>
                <w:highlight w:val="none"/>
              </w:rPr>
              <w:t>造价信息引用时限可以是招标公告发布日期前一期或计划施工进场日期前一期。]</w:t>
            </w:r>
          </w:p>
          <w:p w14:paraId="4A69D9D7">
            <w:pPr>
              <w:pStyle w:val="2"/>
              <w:tabs>
                <w:tab w:val="left" w:pos="546"/>
                <w:tab w:val="left" w:pos="711"/>
              </w:tabs>
              <w:snapToGrid w:val="0"/>
              <w:spacing w:after="0" w:line="400" w:lineRule="exact"/>
              <w:ind w:left="6" w:leftChars="3" w:firstLine="420" w:firstLineChars="200"/>
              <w:rPr>
                <w:rFonts w:ascii="宋体" w:hAnsi="宋体"/>
                <w:bCs/>
                <w:color w:val="auto"/>
                <w:szCs w:val="21"/>
                <w:highlight w:val="none"/>
              </w:rPr>
            </w:pPr>
            <w:r>
              <w:rPr>
                <w:rFonts w:hint="eastAsia" w:ascii="宋体" w:hAnsi="宋体"/>
                <w:bCs/>
                <w:color w:val="auto"/>
                <w:szCs w:val="21"/>
                <w:highlight w:val="none"/>
              </w:rPr>
              <w:t>b.《重庆工程造价信息》无相应指导价的材料和设备价格确定方法：</w:t>
            </w:r>
            <w:r>
              <w:rPr>
                <w:rFonts w:hint="eastAsia" w:ascii="宋体" w:hAnsi="宋体"/>
                <w:bCs/>
                <w:color w:val="auto"/>
                <w:szCs w:val="21"/>
                <w:highlight w:val="none"/>
                <w:u w:val="single"/>
              </w:rPr>
              <w:t xml:space="preserve">                                 </w:t>
            </w:r>
            <w:r>
              <w:rPr>
                <w:rFonts w:hint="eastAsia" w:ascii="宋体" w:hAnsi="宋体"/>
                <w:bCs/>
                <w:color w:val="auto"/>
                <w:szCs w:val="21"/>
                <w:highlight w:val="none"/>
              </w:rPr>
              <w:t>。</w:t>
            </w:r>
          </w:p>
          <w:p w14:paraId="543A25D6">
            <w:pPr>
              <w:pStyle w:val="2"/>
              <w:tabs>
                <w:tab w:val="left" w:pos="546"/>
                <w:tab w:val="left" w:pos="711"/>
              </w:tabs>
              <w:snapToGrid w:val="0"/>
              <w:spacing w:after="0" w:line="400" w:lineRule="exact"/>
              <w:ind w:left="6" w:leftChars="3" w:firstLine="420" w:firstLineChars="200"/>
              <w:rPr>
                <w:rFonts w:ascii="宋体" w:hAnsi="宋体"/>
                <w:bCs/>
                <w:color w:val="auto"/>
                <w:szCs w:val="21"/>
                <w:highlight w:val="none"/>
              </w:rPr>
            </w:pPr>
            <w:r>
              <w:rPr>
                <w:rFonts w:hint="eastAsia" w:ascii="宋体" w:hAnsi="宋体" w:cs="宋体"/>
                <w:color w:val="auto"/>
                <w:szCs w:val="21"/>
                <w:highlight w:val="none"/>
              </w:rPr>
              <w:t>c.</w:t>
            </w:r>
            <w:r>
              <w:rPr>
                <w:rFonts w:hint="eastAsia" w:ascii="宋体" w:hAnsi="宋体"/>
                <w:bCs/>
                <w:color w:val="auto"/>
                <w:szCs w:val="21"/>
                <w:highlight w:val="none"/>
              </w:rPr>
              <w:t>材料调差调整范围和计算方法：</w:t>
            </w:r>
            <w:r>
              <w:rPr>
                <w:rFonts w:hint="eastAsia" w:ascii="宋体" w:hAnsi="宋体"/>
                <w:bCs/>
                <w:color w:val="auto"/>
                <w:szCs w:val="21"/>
                <w:highlight w:val="none"/>
                <w:u w:val="single"/>
              </w:rPr>
              <w:t xml:space="preserve">                      </w:t>
            </w:r>
            <w:r>
              <w:rPr>
                <w:rFonts w:hint="eastAsia" w:ascii="宋体" w:hAnsi="宋体"/>
                <w:bCs/>
                <w:color w:val="auto"/>
                <w:szCs w:val="21"/>
                <w:highlight w:val="none"/>
              </w:rPr>
              <w:t>。</w:t>
            </w:r>
          </w:p>
          <w:p w14:paraId="5461FEFD">
            <w:pPr>
              <w:pStyle w:val="2"/>
              <w:tabs>
                <w:tab w:val="left" w:pos="546"/>
                <w:tab w:val="left" w:pos="711"/>
              </w:tabs>
              <w:snapToGrid w:val="0"/>
              <w:spacing w:after="0" w:line="400" w:lineRule="exact"/>
              <w:ind w:left="6" w:leftChars="3" w:firstLine="420" w:firstLineChars="200"/>
              <w:rPr>
                <w:rFonts w:ascii="宋体" w:hAnsi="宋体"/>
                <w:bCs/>
                <w:color w:val="auto"/>
                <w:szCs w:val="21"/>
                <w:highlight w:val="none"/>
              </w:rPr>
            </w:pPr>
            <w:r>
              <w:rPr>
                <w:rFonts w:hint="eastAsia" w:ascii="宋体" w:hAnsi="宋体"/>
                <w:bCs/>
                <w:color w:val="auto"/>
                <w:szCs w:val="21"/>
                <w:highlight w:val="none"/>
              </w:rPr>
              <w:t>d.材料和设备的其他约定：</w:t>
            </w:r>
            <w:r>
              <w:rPr>
                <w:rFonts w:hint="eastAsia" w:ascii="宋体" w:hAnsi="宋体"/>
                <w:bCs/>
                <w:color w:val="auto"/>
                <w:szCs w:val="21"/>
                <w:highlight w:val="none"/>
                <w:u w:val="single"/>
              </w:rPr>
              <w:t xml:space="preserve">                       </w:t>
            </w:r>
            <w:r>
              <w:rPr>
                <w:rFonts w:hint="eastAsia" w:ascii="宋体" w:hAnsi="宋体"/>
                <w:bCs/>
                <w:color w:val="auto"/>
                <w:szCs w:val="21"/>
                <w:highlight w:val="none"/>
              </w:rPr>
              <w:t>。</w:t>
            </w:r>
          </w:p>
          <w:p w14:paraId="0106A45C">
            <w:pPr>
              <w:pStyle w:val="2"/>
              <w:spacing w:after="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（5）</w:t>
            </w:r>
            <w:r>
              <w:rPr>
                <w:rFonts w:ascii="宋体" w:hAnsi="宋体" w:cs="宋体"/>
                <w:color w:val="auto"/>
                <w:szCs w:val="21"/>
                <w:highlight w:val="none"/>
              </w:rPr>
              <w:t>安全文明施工费：</w:t>
            </w:r>
          </w:p>
          <w:p w14:paraId="1B48B62B">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a.根据《关于印发</w:t>
            </w:r>
            <w:r>
              <w:rPr>
                <w:rFonts w:ascii="宋体" w:hAnsi="宋体" w:cs="宋体"/>
                <w:color w:val="auto"/>
                <w:szCs w:val="21"/>
                <w:highlight w:val="none"/>
              </w:rPr>
              <w:t>&lt;</w:t>
            </w:r>
            <w:r>
              <w:rPr>
                <w:rFonts w:hint="eastAsia" w:ascii="宋体" w:hAnsi="宋体" w:cs="宋体"/>
                <w:color w:val="auto"/>
                <w:szCs w:val="21"/>
                <w:highlight w:val="none"/>
              </w:rPr>
              <w:t>重庆市建设工程安全文明施工费计取及使用管理规定</w:t>
            </w:r>
            <w:r>
              <w:rPr>
                <w:rFonts w:ascii="宋体" w:hAnsi="宋体" w:cs="宋体"/>
                <w:color w:val="auto"/>
                <w:szCs w:val="21"/>
                <w:highlight w:val="none"/>
              </w:rPr>
              <w:t>&gt;</w:t>
            </w:r>
            <w:r>
              <w:rPr>
                <w:rFonts w:hint="eastAsia" w:ascii="宋体" w:hAnsi="宋体" w:cs="宋体"/>
                <w:color w:val="auto"/>
                <w:szCs w:val="21"/>
                <w:highlight w:val="none"/>
              </w:rPr>
              <w:t>的通知》（渝建发〔2014〕25号）规定，安全文明施工费由安全施工费、文明施工费、环境保护费及临时设施费组成。</w:t>
            </w:r>
          </w:p>
          <w:p w14:paraId="64C62CDE">
            <w:pPr>
              <w:pStyle w:val="304"/>
              <w:spacing w:line="400" w:lineRule="exact"/>
              <w:ind w:firstLineChars="200"/>
              <w:rPr>
                <w:color w:val="auto"/>
                <w:sz w:val="21"/>
                <w:szCs w:val="21"/>
                <w:highlight w:val="none"/>
              </w:rPr>
            </w:pPr>
            <w:r>
              <w:rPr>
                <w:rFonts w:hint="eastAsia"/>
                <w:color w:val="auto"/>
                <w:sz w:val="21"/>
                <w:szCs w:val="21"/>
                <w:highlight w:val="none"/>
              </w:rPr>
              <w:t>b.</w:t>
            </w:r>
            <w:r>
              <w:rPr>
                <w:color w:val="auto"/>
                <w:sz w:val="21"/>
                <w:szCs w:val="21"/>
                <w:highlight w:val="none"/>
              </w:rPr>
              <w:t>本工程安全文明施工费根据《建设工程工程量清单计价规范》（GB50500-2013）、《重庆市建设工程工程量清单计价规则》（CQJJGZ-2013）、《关于印发&lt;重庆市建设工程安全文明施工费计取及使用管理规定&gt;的通知》（渝建发</w:t>
            </w:r>
            <w:r>
              <w:rPr>
                <w:rFonts w:hint="eastAsia"/>
                <w:color w:val="auto"/>
                <w:sz w:val="21"/>
                <w:szCs w:val="21"/>
                <w:highlight w:val="none"/>
              </w:rPr>
              <w:t>〔</w:t>
            </w:r>
            <w:r>
              <w:rPr>
                <w:color w:val="auto"/>
                <w:sz w:val="21"/>
                <w:szCs w:val="21"/>
                <w:highlight w:val="none"/>
              </w:rPr>
              <w:t>2014</w:t>
            </w:r>
            <w:r>
              <w:rPr>
                <w:rFonts w:hint="eastAsia"/>
                <w:color w:val="auto"/>
                <w:sz w:val="21"/>
                <w:szCs w:val="21"/>
                <w:highlight w:val="none"/>
              </w:rPr>
              <w:t>〕</w:t>
            </w:r>
            <w:r>
              <w:rPr>
                <w:color w:val="auto"/>
                <w:sz w:val="21"/>
                <w:szCs w:val="21"/>
                <w:highlight w:val="none"/>
              </w:rPr>
              <w:t>25号）、</w:t>
            </w:r>
            <w:r>
              <w:rPr>
                <w:rFonts w:hint="eastAsia"/>
                <w:color w:val="auto"/>
                <w:sz w:val="21"/>
                <w:szCs w:val="21"/>
                <w:highlight w:val="none"/>
              </w:rPr>
              <w:t>《重庆市住房和城乡建设委员会关于调整建设施工现场形象品质提升安全文明施工费计取的通知》（渝建管〔2020〕97号）、《重庆市建设工程费用定额》（CQFYDE-2018）、《重庆市城乡建设委员会关于适用增值税新税率调整建设工程计价依据的通知》（渝建〔2019〕143号）</w:t>
            </w:r>
            <w:r>
              <w:rPr>
                <w:color w:val="auto"/>
                <w:sz w:val="21"/>
                <w:szCs w:val="21"/>
                <w:highlight w:val="none"/>
              </w:rPr>
              <w:t>的相关规定和费用标准单列计算。</w:t>
            </w:r>
          </w:p>
          <w:p w14:paraId="0A35CE2E">
            <w:pPr>
              <w:pStyle w:val="2"/>
              <w:tabs>
                <w:tab w:val="left" w:pos="546"/>
                <w:tab w:val="left" w:pos="711"/>
              </w:tabs>
              <w:snapToGrid w:val="0"/>
              <w:spacing w:after="0" w:line="400" w:lineRule="exact"/>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（6）本项目建筑安装材料价格风险按照《重庆市城乡建设委员会关于进一步加强建筑安装材料价格风险管控的指导意见》（渝建〔2018〕61号）执行。本项目主要材料及设备价格风险内容、范围及调整方法为：</w:t>
            </w:r>
            <w:r>
              <w:rPr>
                <w:rFonts w:hint="eastAsia" w:ascii="宋体" w:hAnsi="宋体" w:cs="宋体"/>
                <w:color w:val="auto"/>
                <w:szCs w:val="21"/>
                <w:highlight w:val="none"/>
                <w:u w:val="single"/>
              </w:rPr>
              <w:t xml:space="preserve">        </w:t>
            </w:r>
          </w:p>
          <w:p w14:paraId="7A36FA29">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（7）本项目所采用技术、工艺和产品等必须执行重庆市住房和城乡建设委员会关于发布《重庆市建设领域禁止、限制使用落后技术通告（2019年版）（渝建发〔2019〕25号）的规定。</w:t>
            </w:r>
          </w:p>
          <w:p w14:paraId="6C870DD9">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hint="eastAsia" w:ascii="宋体" w:hAnsi="宋体" w:cs="宋体"/>
                <w:color w:val="auto"/>
                <w:szCs w:val="21"/>
                <w:highlight w:val="none"/>
              </w:rPr>
              <w:t>（8）增值税计税方法由招标人依据国家税法规定选择：</w:t>
            </w:r>
          </w:p>
          <w:p w14:paraId="15DF0FDE">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hint="eastAsia" w:ascii="宋体" w:hAnsi="宋体" w:cs="宋体"/>
                <w:color w:val="auto"/>
                <w:szCs w:val="21"/>
                <w:highlight w:val="none"/>
              </w:rPr>
              <w:t>□一般计税法</w:t>
            </w:r>
          </w:p>
          <w:p w14:paraId="0E1F1D6E">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hint="eastAsia" w:ascii="宋体" w:hAnsi="宋体" w:cs="宋体"/>
                <w:color w:val="auto"/>
                <w:szCs w:val="21"/>
                <w:highlight w:val="none"/>
              </w:rPr>
              <w:t>□简易计税法</w:t>
            </w:r>
          </w:p>
          <w:p w14:paraId="7199079E">
            <w:pPr>
              <w:pStyle w:val="2"/>
              <w:tabs>
                <w:tab w:val="left" w:pos="546"/>
                <w:tab w:val="left" w:pos="711"/>
              </w:tabs>
              <w:snapToGrid w:val="0"/>
              <w:spacing w:after="0" w:line="400" w:lineRule="exact"/>
              <w:ind w:left="6" w:leftChars="3" w:firstLine="420" w:firstLineChars="200"/>
              <w:rPr>
                <w:rFonts w:ascii="宋体" w:hAnsi="宋体" w:cs="宋体"/>
                <w:color w:val="auto"/>
                <w:szCs w:val="21"/>
                <w:highlight w:val="none"/>
              </w:rPr>
            </w:pPr>
            <w:r>
              <w:rPr>
                <w:rFonts w:hint="eastAsia" w:ascii="宋体" w:hAnsi="宋体" w:cs="宋体"/>
                <w:i/>
                <w:color w:val="auto"/>
                <w:szCs w:val="21"/>
                <w:highlight w:val="none"/>
              </w:rPr>
              <w:t>[提示：招标人在编制招标文件时增值税计算方法选其一。]</w:t>
            </w:r>
          </w:p>
          <w:p w14:paraId="6CFA3546">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（9）本工程主体结构若需混凝土，则必须使用商品混凝土，不得自建搅拌站。</w:t>
            </w:r>
          </w:p>
          <w:p w14:paraId="67512F37">
            <w:pPr>
              <w:pStyle w:val="2"/>
              <w:tabs>
                <w:tab w:val="left" w:pos="546"/>
                <w:tab w:val="left" w:pos="711"/>
              </w:tabs>
              <w:snapToGrid w:val="0"/>
              <w:spacing w:after="0"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（10）本工程存在跨越既有城市道路的桥梁施工，要求采用无支架施工技术，其技术方案和投标报价按照无支架施工编、报。</w:t>
            </w:r>
          </w:p>
          <w:p w14:paraId="22FA1916">
            <w:pPr>
              <w:pStyle w:val="2"/>
              <w:tabs>
                <w:tab w:val="left" w:pos="546"/>
                <w:tab w:val="left" w:pos="711"/>
              </w:tabs>
              <w:snapToGrid w:val="0"/>
              <w:spacing w:after="0" w:line="400" w:lineRule="exact"/>
              <w:ind w:firstLine="420" w:firstLineChars="200"/>
              <w:rPr>
                <w:rFonts w:ascii="宋体" w:hAnsi="宋体" w:cs="宋体"/>
                <w:i/>
                <w:color w:val="auto"/>
                <w:szCs w:val="21"/>
                <w:highlight w:val="none"/>
              </w:rPr>
            </w:pPr>
            <w:r>
              <w:rPr>
                <w:rFonts w:hint="eastAsia" w:ascii="宋体" w:hAnsi="宋体" w:cs="宋体"/>
                <w:i/>
                <w:color w:val="auto"/>
                <w:szCs w:val="21"/>
                <w:highlight w:val="none"/>
              </w:rPr>
              <w:t>[提示：存在跨越既有城市道路的桥梁施工项目招标必须使用此条]</w:t>
            </w:r>
          </w:p>
          <w:p w14:paraId="057C7BD7">
            <w:pPr>
              <w:pStyle w:val="2"/>
              <w:tabs>
                <w:tab w:val="left" w:pos="546"/>
                <w:tab w:val="left" w:pos="711"/>
              </w:tabs>
              <w:snapToGrid w:val="0"/>
              <w:spacing w:after="0" w:line="400" w:lineRule="exact"/>
              <w:ind w:firstLine="420" w:firstLineChars="200"/>
              <w:rPr>
                <w:rFonts w:ascii="宋体" w:hAnsi="宋体"/>
                <w:color w:val="auto"/>
                <w:szCs w:val="21"/>
                <w:highlight w:val="none"/>
              </w:rPr>
            </w:pPr>
            <w:r>
              <w:rPr>
                <w:rFonts w:hint="eastAsia" w:ascii="宋体" w:hAnsi="宋体"/>
                <w:bCs/>
                <w:color w:val="auto"/>
                <w:szCs w:val="21"/>
                <w:highlight w:val="none"/>
              </w:rPr>
              <w:t>2.4</w:t>
            </w:r>
            <w:r>
              <w:rPr>
                <w:rFonts w:hint="eastAsia" w:ascii="宋体" w:hAnsi="宋体"/>
                <w:color w:val="auto"/>
                <w:szCs w:val="21"/>
                <w:highlight w:val="none"/>
              </w:rPr>
              <w:t>其他费用</w:t>
            </w:r>
            <w:r>
              <w:rPr>
                <w:rFonts w:hint="eastAsia" w:ascii="宋体" w:hAnsi="宋体"/>
                <w:color w:val="auto"/>
                <w:highlight w:val="none"/>
              </w:rPr>
              <w:t>投标报价</w:t>
            </w:r>
            <w:r>
              <w:rPr>
                <w:rFonts w:hint="eastAsia" w:ascii="宋体" w:hAnsi="宋体"/>
                <w:color w:val="auto"/>
                <w:szCs w:val="21"/>
                <w:highlight w:val="none"/>
              </w:rPr>
              <w:t>（如有）</w:t>
            </w:r>
          </w:p>
          <w:p w14:paraId="03DC5E1A">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color w:val="auto"/>
                <w:highlight w:val="none"/>
                <w:u w:val="single"/>
              </w:rPr>
              <w:t xml:space="preserve">                                          </w:t>
            </w:r>
            <w:r>
              <w:rPr>
                <w:rFonts w:hint="eastAsia"/>
                <w:color w:val="auto"/>
                <w:highlight w:val="none"/>
              </w:rPr>
              <w:t>。</w:t>
            </w:r>
          </w:p>
          <w:p w14:paraId="60864FFC">
            <w:pPr>
              <w:tabs>
                <w:tab w:val="left" w:pos="546"/>
                <w:tab w:val="left" w:pos="711"/>
              </w:tabs>
              <w:snapToGrid w:val="0"/>
              <w:spacing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3.最高限价</w:t>
            </w:r>
          </w:p>
          <w:p w14:paraId="4207089D">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s="宋体"/>
                <w:color w:val="auto"/>
                <w:szCs w:val="21"/>
                <w:highlight w:val="none"/>
              </w:rPr>
              <w:t>本工程招标将设置投标总报价最高限价，投标总报价最高限价最迟应于投标截止日15日前发布，投标人的投标总报价不得超过投标总报价最高限价，否则由评标委员会作</w:t>
            </w:r>
            <w:r>
              <w:rPr>
                <w:rFonts w:hint="eastAsia" w:ascii="宋体" w:hAnsi="宋体"/>
                <w:color w:val="auto"/>
                <w:szCs w:val="21"/>
                <w:highlight w:val="none"/>
              </w:rPr>
              <w:t>否决投标处理。</w:t>
            </w:r>
          </w:p>
          <w:p w14:paraId="5CD963DB">
            <w:pPr>
              <w:tabs>
                <w:tab w:val="left" w:pos="546"/>
                <w:tab w:val="left" w:pos="711"/>
              </w:tabs>
              <w:snapToGrid w:val="0"/>
              <w:spacing w:line="40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本工程招标将设置设计费、</w:t>
            </w:r>
            <w:r>
              <w:rPr>
                <w:rFonts w:hint="eastAsia" w:ascii="宋体" w:hAnsi="宋体"/>
                <w:color w:val="auto"/>
                <w:szCs w:val="21"/>
                <w:highlight w:val="none"/>
              </w:rPr>
              <w:t>□专业设备材料费、</w:t>
            </w:r>
            <w:r>
              <w:rPr>
                <w:rFonts w:hint="eastAsia" w:ascii="宋体" w:hAnsi="宋体" w:cs="宋体"/>
                <w:color w:val="auto"/>
                <w:szCs w:val="21"/>
                <w:highlight w:val="none"/>
              </w:rPr>
              <w:t>建筑安装工程费、其他费用分项报价最高限价，全部分项报价最高限价最迟应于投标截止日15日前发布，投标人的各分项报价不得超过其最高限价，否则由评标委员会作否决投标处理。</w:t>
            </w:r>
          </w:p>
          <w:p w14:paraId="27D7799E">
            <w:pPr>
              <w:pStyle w:val="2"/>
              <w:tabs>
                <w:tab w:val="left" w:pos="546"/>
                <w:tab w:val="left" w:pos="711"/>
              </w:tabs>
              <w:snapToGrid w:val="0"/>
              <w:spacing w:after="0" w:line="400" w:lineRule="exact"/>
              <w:ind w:firstLine="420" w:firstLineChars="200"/>
              <w:rPr>
                <w:rFonts w:ascii="宋体" w:hAnsi="宋体" w:cs="宋体"/>
                <w:i/>
                <w:color w:val="auto"/>
                <w:szCs w:val="21"/>
                <w:highlight w:val="none"/>
              </w:rPr>
            </w:pPr>
            <w:r>
              <w:rPr>
                <w:rFonts w:hint="eastAsia" w:ascii="宋体" w:hAnsi="宋体" w:cs="宋体"/>
                <w:i/>
                <w:color w:val="auto"/>
                <w:szCs w:val="21"/>
                <w:highlight w:val="none"/>
              </w:rPr>
              <w:t>[提示：国有资金投资的建设工程招标，招标人必须编制最高限价。]</w:t>
            </w:r>
          </w:p>
          <w:p w14:paraId="5E6F7DB4">
            <w:pPr>
              <w:pStyle w:val="2"/>
              <w:tabs>
                <w:tab w:val="left" w:pos="546"/>
                <w:tab w:val="left" w:pos="711"/>
              </w:tabs>
              <w:snapToGrid w:val="0"/>
              <w:spacing w:after="0" w:line="400" w:lineRule="exact"/>
              <w:ind w:firstLine="420" w:firstLineChars="200"/>
              <w:rPr>
                <w:rFonts w:ascii="宋体" w:hAnsi="宋体"/>
                <w:color w:val="auto"/>
                <w:szCs w:val="21"/>
                <w:highlight w:val="none"/>
                <w:u w:val="single"/>
              </w:rPr>
            </w:pPr>
            <w:r>
              <w:rPr>
                <w:rFonts w:hint="eastAsia" w:ascii="宋体" w:hAnsi="宋体" w:cs="宋体"/>
                <w:color w:val="auto"/>
                <w:szCs w:val="21"/>
                <w:highlight w:val="none"/>
              </w:rPr>
              <w:t>3</w:t>
            </w:r>
            <w:r>
              <w:rPr>
                <w:rFonts w:ascii="宋体" w:hAnsi="宋体" w:cs="宋体"/>
                <w:color w:val="auto"/>
                <w:szCs w:val="21"/>
                <w:highlight w:val="none"/>
              </w:rPr>
              <w:t>.1</w:t>
            </w:r>
            <w:r>
              <w:rPr>
                <w:rFonts w:hint="eastAsia" w:ascii="宋体" w:hAnsi="宋体"/>
                <w:color w:val="auto"/>
                <w:szCs w:val="21"/>
                <w:highlight w:val="none"/>
              </w:rPr>
              <w:t>设计费</w:t>
            </w:r>
            <w:r>
              <w:rPr>
                <w:rFonts w:hint="eastAsia" w:ascii="宋体" w:hAnsi="宋体"/>
                <w:bCs/>
                <w:color w:val="auto"/>
                <w:szCs w:val="21"/>
                <w:highlight w:val="none"/>
              </w:rPr>
              <w:t>最高限价：</w:t>
            </w:r>
          </w:p>
          <w:p w14:paraId="252C87C0">
            <w:pPr>
              <w:pStyle w:val="2"/>
              <w:tabs>
                <w:tab w:val="left" w:pos="546"/>
                <w:tab w:val="left" w:pos="711"/>
              </w:tabs>
              <w:snapToGrid w:val="0"/>
              <w:spacing w:after="0" w:line="400" w:lineRule="exact"/>
              <w:ind w:firstLine="420" w:firstLineChars="200"/>
              <w:rPr>
                <w:rFonts w:ascii="宋体" w:hAnsi="宋体"/>
                <w:color w:val="auto"/>
                <w:szCs w:val="21"/>
                <w:highlight w:val="none"/>
              </w:rPr>
            </w:pPr>
            <w:r>
              <w:rPr>
                <w:rFonts w:hint="eastAsia" w:ascii="宋体" w:hAnsi="宋体" w:cs="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）固定费率最高限价为</w:t>
            </w:r>
            <w:r>
              <w:rPr>
                <w:rFonts w:hint="eastAsia" w:ascii="宋体" w:hAnsi="宋体"/>
                <w:color w:val="auto"/>
                <w:szCs w:val="21"/>
                <w:highlight w:val="none"/>
                <w:u w:val="single"/>
              </w:rPr>
              <w:t xml:space="preserve">        </w:t>
            </w:r>
            <w:r>
              <w:rPr>
                <w:rFonts w:hint="eastAsia" w:ascii="宋体" w:hAnsi="宋体"/>
                <w:color w:val="auto"/>
                <w:szCs w:val="21"/>
                <w:highlight w:val="none"/>
              </w:rPr>
              <w:t>%，暂定设计费投标报价最高限价为</w:t>
            </w:r>
            <w:r>
              <w:rPr>
                <w:rFonts w:hint="eastAsia" w:ascii="宋体" w:hAnsi="宋体"/>
                <w:color w:val="auto"/>
                <w:szCs w:val="21"/>
                <w:highlight w:val="none"/>
                <w:u w:val="single"/>
              </w:rPr>
              <w:t xml:space="preserve">       </w:t>
            </w:r>
            <w:r>
              <w:rPr>
                <w:rFonts w:hint="eastAsia" w:ascii="宋体" w:hAnsi="宋体"/>
                <w:color w:val="auto"/>
                <w:szCs w:val="21"/>
                <w:highlight w:val="none"/>
              </w:rPr>
              <w:t>元；</w:t>
            </w:r>
          </w:p>
          <w:p w14:paraId="6A93226D">
            <w:pPr>
              <w:pStyle w:val="2"/>
              <w:tabs>
                <w:tab w:val="left" w:pos="546"/>
                <w:tab w:val="left" w:pos="711"/>
              </w:tabs>
              <w:snapToGrid w:val="0"/>
              <w:spacing w:after="0" w:line="400" w:lineRule="exact"/>
              <w:ind w:firstLine="420" w:firstLineChars="200"/>
              <w:rPr>
                <w:rFonts w:ascii="宋体" w:hAnsi="宋体"/>
                <w:color w:val="auto"/>
                <w:szCs w:val="21"/>
                <w:highlight w:val="none"/>
              </w:rPr>
            </w:pPr>
            <w:r>
              <w:rPr>
                <w:rFonts w:hint="eastAsia" w:ascii="宋体" w:hAnsi="宋体" w:cs="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）固定综合单价最高限价为</w:t>
            </w:r>
            <w:r>
              <w:rPr>
                <w:rFonts w:hint="eastAsia" w:ascii="宋体" w:hAnsi="宋体"/>
                <w:color w:val="auto"/>
                <w:szCs w:val="21"/>
                <w:highlight w:val="none"/>
                <w:u w:val="single"/>
              </w:rPr>
              <w:t xml:space="preserve">       </w:t>
            </w:r>
            <w:r>
              <w:rPr>
                <w:rFonts w:hint="eastAsia" w:ascii="宋体" w:hAnsi="宋体"/>
                <w:color w:val="auto"/>
                <w:szCs w:val="21"/>
                <w:highlight w:val="none"/>
              </w:rPr>
              <w:t>，暂定设计费投标报价最高限价为</w:t>
            </w:r>
            <w:r>
              <w:rPr>
                <w:rFonts w:hint="eastAsia" w:ascii="宋体" w:hAnsi="宋体"/>
                <w:color w:val="auto"/>
                <w:szCs w:val="21"/>
                <w:highlight w:val="none"/>
                <w:u w:val="single"/>
              </w:rPr>
              <w:t xml:space="preserve">       </w:t>
            </w:r>
            <w:r>
              <w:rPr>
                <w:rFonts w:hint="eastAsia" w:ascii="宋体" w:hAnsi="宋体"/>
                <w:color w:val="auto"/>
                <w:szCs w:val="21"/>
                <w:highlight w:val="none"/>
              </w:rPr>
              <w:t>元；</w:t>
            </w:r>
          </w:p>
          <w:p w14:paraId="70257424">
            <w:pPr>
              <w:pStyle w:val="2"/>
              <w:tabs>
                <w:tab w:val="left" w:pos="546"/>
                <w:tab w:val="left" w:pos="711"/>
              </w:tabs>
              <w:snapToGrid w:val="0"/>
              <w:spacing w:after="0" w:line="400" w:lineRule="exact"/>
              <w:ind w:firstLine="420" w:firstLineChars="200"/>
              <w:rPr>
                <w:rFonts w:ascii="宋体" w:hAnsi="宋体"/>
                <w:color w:val="auto"/>
                <w:szCs w:val="21"/>
                <w:highlight w:val="none"/>
              </w:rPr>
            </w:pPr>
            <w:r>
              <w:rPr>
                <w:rFonts w:hint="eastAsia" w:ascii="宋体" w:hAnsi="宋体" w:cs="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3</w:t>
            </w:r>
            <w:r>
              <w:rPr>
                <w:rFonts w:hint="eastAsia" w:ascii="宋体" w:hAnsi="宋体"/>
                <w:color w:val="auto"/>
                <w:szCs w:val="21"/>
                <w:highlight w:val="none"/>
              </w:rPr>
              <w:t>）其他报价方式最高限价为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6047C9A">
            <w:pPr>
              <w:pStyle w:val="2"/>
              <w:tabs>
                <w:tab w:val="left" w:pos="546"/>
                <w:tab w:val="left" w:pos="711"/>
              </w:tabs>
              <w:snapToGrid w:val="0"/>
              <w:spacing w:after="0" w:line="400" w:lineRule="exact"/>
              <w:ind w:firstLine="420" w:firstLineChars="200"/>
              <w:rPr>
                <w:rFonts w:ascii="宋体" w:hAnsi="宋体"/>
                <w:bCs/>
                <w:color w:val="auto"/>
                <w:szCs w:val="21"/>
                <w:highlight w:val="none"/>
              </w:rPr>
            </w:pPr>
            <w:r>
              <w:rPr>
                <w:rFonts w:hint="eastAsia" w:ascii="宋体" w:hAnsi="宋体"/>
                <w:color w:val="auto"/>
                <w:szCs w:val="21"/>
                <w:highlight w:val="none"/>
              </w:rPr>
              <w:t>□</w:t>
            </w:r>
            <w:r>
              <w:rPr>
                <w:rFonts w:hint="eastAsia" w:ascii="宋体" w:hAnsi="宋体" w:cs="宋体"/>
                <w:color w:val="auto"/>
                <w:szCs w:val="21"/>
                <w:highlight w:val="none"/>
              </w:rPr>
              <w:t>3</w:t>
            </w:r>
            <w:r>
              <w:rPr>
                <w:rFonts w:ascii="宋体" w:hAnsi="宋体" w:cs="宋体"/>
                <w:color w:val="auto"/>
                <w:szCs w:val="21"/>
                <w:highlight w:val="none"/>
              </w:rPr>
              <w:t>.</w:t>
            </w:r>
            <w:r>
              <w:rPr>
                <w:rFonts w:hint="eastAsia" w:ascii="宋体" w:hAnsi="宋体" w:cs="宋体"/>
                <w:color w:val="auto"/>
                <w:szCs w:val="21"/>
                <w:highlight w:val="none"/>
              </w:rPr>
              <w:t>2</w:t>
            </w:r>
            <w:r>
              <w:rPr>
                <w:rFonts w:hint="eastAsia" w:ascii="宋体" w:hAnsi="宋体"/>
                <w:color w:val="auto"/>
                <w:szCs w:val="21"/>
                <w:highlight w:val="none"/>
              </w:rPr>
              <w:t>专业设备材料费</w:t>
            </w:r>
            <w:r>
              <w:rPr>
                <w:rFonts w:hint="eastAsia" w:ascii="宋体" w:hAnsi="宋体"/>
                <w:bCs/>
                <w:color w:val="auto"/>
                <w:szCs w:val="21"/>
                <w:highlight w:val="none"/>
              </w:rPr>
              <w:t>最高限价：</w:t>
            </w:r>
          </w:p>
          <w:p w14:paraId="01FC574A">
            <w:pPr>
              <w:pStyle w:val="2"/>
              <w:tabs>
                <w:tab w:val="left" w:pos="546"/>
                <w:tab w:val="left" w:pos="711"/>
              </w:tabs>
              <w:snapToGrid w:val="0"/>
              <w:spacing w:after="0" w:line="400" w:lineRule="exact"/>
              <w:ind w:firstLine="420" w:firstLineChars="200"/>
              <w:rPr>
                <w:rFonts w:ascii="宋体" w:hAnsi="宋体"/>
                <w:color w:val="auto"/>
                <w:szCs w:val="21"/>
                <w:highlight w:val="none"/>
              </w:rPr>
            </w:pPr>
            <w:r>
              <w:rPr>
                <w:rFonts w:hint="eastAsia" w:ascii="宋体" w:hAnsi="宋体" w:cs="宋体"/>
                <w:color w:val="auto"/>
                <w:szCs w:val="21"/>
                <w:highlight w:val="none"/>
              </w:rPr>
              <w:t>□</w:t>
            </w:r>
            <w:r>
              <w:rPr>
                <w:rFonts w:hint="eastAsia" w:ascii="宋体" w:hAnsi="宋体"/>
                <w:color w:val="auto"/>
                <w:szCs w:val="21"/>
                <w:highlight w:val="none"/>
              </w:rPr>
              <w:t>（1）固定综合单价最高限价见设备材料最高限价清单，暂定专业设备材料费投标报价最高限价为</w:t>
            </w:r>
            <w:r>
              <w:rPr>
                <w:rFonts w:hint="eastAsia" w:ascii="宋体" w:hAnsi="宋体"/>
                <w:color w:val="auto"/>
                <w:szCs w:val="21"/>
                <w:highlight w:val="none"/>
                <w:u w:val="single"/>
              </w:rPr>
              <w:t xml:space="preserve">       </w:t>
            </w:r>
            <w:r>
              <w:rPr>
                <w:rFonts w:hint="eastAsia" w:ascii="宋体" w:hAnsi="宋体"/>
                <w:color w:val="auto"/>
                <w:szCs w:val="21"/>
                <w:highlight w:val="none"/>
              </w:rPr>
              <w:t>元；</w:t>
            </w:r>
          </w:p>
          <w:p w14:paraId="71121B51">
            <w:pPr>
              <w:pStyle w:val="2"/>
              <w:tabs>
                <w:tab w:val="left" w:pos="546"/>
                <w:tab w:val="left" w:pos="711"/>
              </w:tabs>
              <w:snapToGrid w:val="0"/>
              <w:spacing w:after="0" w:line="400" w:lineRule="exact"/>
              <w:ind w:firstLine="420" w:firstLineChars="200"/>
              <w:rPr>
                <w:rFonts w:ascii="宋体" w:hAnsi="宋体"/>
                <w:color w:val="auto"/>
                <w:szCs w:val="21"/>
                <w:highlight w:val="none"/>
              </w:rPr>
            </w:pPr>
            <w:r>
              <w:rPr>
                <w:rFonts w:hint="eastAsia" w:ascii="宋体" w:hAnsi="宋体" w:cs="宋体"/>
                <w:color w:val="auto"/>
                <w:szCs w:val="21"/>
                <w:highlight w:val="none"/>
              </w:rPr>
              <w:t>□</w:t>
            </w:r>
            <w:r>
              <w:rPr>
                <w:rFonts w:hint="eastAsia" w:ascii="宋体" w:hAnsi="宋体"/>
                <w:color w:val="auto"/>
                <w:szCs w:val="21"/>
                <w:highlight w:val="none"/>
              </w:rPr>
              <w:t>（2）其他报价方式最高限价为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4EF7F2B6">
            <w:pPr>
              <w:pStyle w:val="2"/>
              <w:tabs>
                <w:tab w:val="left" w:pos="546"/>
                <w:tab w:val="left" w:pos="711"/>
              </w:tabs>
              <w:snapToGrid w:val="0"/>
              <w:spacing w:after="0" w:line="400" w:lineRule="exact"/>
              <w:ind w:firstLine="420" w:firstLineChars="200"/>
              <w:rPr>
                <w:rFonts w:ascii="宋体" w:hAnsi="宋体"/>
                <w:bCs/>
                <w:color w:val="auto"/>
                <w:szCs w:val="21"/>
                <w:highlight w:val="none"/>
              </w:rPr>
            </w:pPr>
            <w:r>
              <w:rPr>
                <w:rFonts w:hint="eastAsia" w:ascii="宋体" w:hAnsi="宋体" w:cs="宋体"/>
                <w:color w:val="auto"/>
                <w:szCs w:val="21"/>
                <w:highlight w:val="none"/>
              </w:rPr>
              <w:t>3</w:t>
            </w:r>
            <w:r>
              <w:rPr>
                <w:rFonts w:ascii="宋体" w:hAnsi="宋体" w:cs="宋体"/>
                <w:color w:val="auto"/>
                <w:szCs w:val="21"/>
                <w:highlight w:val="none"/>
              </w:rPr>
              <w:t>.</w:t>
            </w:r>
            <w:r>
              <w:rPr>
                <w:rFonts w:hint="eastAsia" w:ascii="宋体" w:hAnsi="宋体" w:cs="宋体"/>
                <w:color w:val="auto"/>
                <w:szCs w:val="21"/>
                <w:highlight w:val="none"/>
              </w:rPr>
              <w:t>3</w:t>
            </w:r>
            <w:r>
              <w:rPr>
                <w:rFonts w:hint="eastAsia" w:ascii="宋体" w:hAnsi="宋体"/>
                <w:color w:val="auto"/>
                <w:szCs w:val="21"/>
                <w:highlight w:val="none"/>
              </w:rPr>
              <w:t>建筑安装工程费</w:t>
            </w:r>
            <w:r>
              <w:rPr>
                <w:rFonts w:hint="eastAsia" w:ascii="宋体" w:hAnsi="宋体"/>
                <w:bCs/>
                <w:color w:val="auto"/>
                <w:szCs w:val="21"/>
                <w:highlight w:val="none"/>
              </w:rPr>
              <w:t>最高限价：</w:t>
            </w:r>
          </w:p>
          <w:p w14:paraId="1FFE01E0">
            <w:pPr>
              <w:pStyle w:val="2"/>
              <w:tabs>
                <w:tab w:val="left" w:pos="546"/>
                <w:tab w:val="left" w:pos="711"/>
              </w:tabs>
              <w:snapToGrid w:val="0"/>
              <w:spacing w:after="0" w:line="400" w:lineRule="exact"/>
              <w:ind w:firstLine="420" w:firstLineChars="200"/>
              <w:rPr>
                <w:rFonts w:ascii="宋体" w:hAnsi="宋体"/>
                <w:color w:val="auto"/>
                <w:szCs w:val="21"/>
                <w:highlight w:val="none"/>
              </w:rPr>
            </w:pPr>
            <w:r>
              <w:rPr>
                <w:rFonts w:hint="eastAsia" w:ascii="宋体" w:hAnsi="宋体" w:cs="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1</w:t>
            </w:r>
            <w:r>
              <w:rPr>
                <w:rFonts w:hint="eastAsia" w:ascii="宋体" w:hAnsi="宋体"/>
                <w:color w:val="auto"/>
                <w:szCs w:val="21"/>
                <w:highlight w:val="none"/>
              </w:rPr>
              <w:t>）固定费率最高限价为</w:t>
            </w:r>
            <w:r>
              <w:rPr>
                <w:rFonts w:hint="eastAsia" w:ascii="宋体" w:hAnsi="宋体"/>
                <w:color w:val="auto"/>
                <w:szCs w:val="21"/>
                <w:highlight w:val="none"/>
                <w:u w:val="single"/>
              </w:rPr>
              <w:t xml:space="preserve">        </w:t>
            </w:r>
            <w:r>
              <w:rPr>
                <w:rFonts w:hint="eastAsia" w:ascii="宋体" w:hAnsi="宋体"/>
                <w:color w:val="auto"/>
                <w:szCs w:val="21"/>
                <w:highlight w:val="none"/>
              </w:rPr>
              <w:t>%，暂定建筑安装工程费投标报价最高限价为</w:t>
            </w:r>
            <w:r>
              <w:rPr>
                <w:rFonts w:hint="eastAsia" w:ascii="宋体" w:hAnsi="宋体"/>
                <w:color w:val="auto"/>
                <w:szCs w:val="21"/>
                <w:highlight w:val="none"/>
                <w:u w:val="single"/>
              </w:rPr>
              <w:t xml:space="preserve">       </w:t>
            </w:r>
            <w:r>
              <w:rPr>
                <w:rFonts w:hint="eastAsia" w:ascii="宋体" w:hAnsi="宋体"/>
                <w:color w:val="auto"/>
                <w:szCs w:val="21"/>
                <w:highlight w:val="none"/>
              </w:rPr>
              <w:t>元；</w:t>
            </w:r>
          </w:p>
          <w:p w14:paraId="14330D78">
            <w:pPr>
              <w:pStyle w:val="2"/>
              <w:tabs>
                <w:tab w:val="left" w:pos="546"/>
                <w:tab w:val="left" w:pos="711"/>
              </w:tabs>
              <w:snapToGrid w:val="0"/>
              <w:spacing w:after="0" w:line="400" w:lineRule="exact"/>
              <w:ind w:firstLine="420" w:firstLineChars="200"/>
              <w:rPr>
                <w:color w:val="auto"/>
                <w:highlight w:val="none"/>
              </w:rPr>
            </w:pPr>
            <w:r>
              <w:rPr>
                <w:rFonts w:hint="eastAsia" w:ascii="宋体" w:hAnsi="宋体" w:cs="宋体"/>
                <w:color w:val="auto"/>
                <w:szCs w:val="21"/>
                <w:highlight w:val="none"/>
              </w:rPr>
              <w:t>□</w:t>
            </w:r>
            <w:r>
              <w:rPr>
                <w:rFonts w:hint="eastAsia" w:ascii="宋体" w:hAnsi="宋体"/>
                <w:color w:val="auto"/>
                <w:szCs w:val="21"/>
                <w:highlight w:val="none"/>
              </w:rPr>
              <w:t>（</w:t>
            </w:r>
            <w:r>
              <w:rPr>
                <w:rFonts w:ascii="宋体" w:hAnsi="宋体"/>
                <w:color w:val="auto"/>
                <w:szCs w:val="21"/>
                <w:highlight w:val="none"/>
              </w:rPr>
              <w:t>2</w:t>
            </w:r>
            <w:r>
              <w:rPr>
                <w:rFonts w:hint="eastAsia" w:ascii="宋体" w:hAnsi="宋体"/>
                <w:color w:val="auto"/>
                <w:szCs w:val="21"/>
                <w:highlight w:val="none"/>
              </w:rPr>
              <w:t>）其他报价方式最高限价为</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0C1CB03A">
            <w:pPr>
              <w:tabs>
                <w:tab w:val="left" w:pos="546"/>
                <w:tab w:val="left" w:pos="711"/>
              </w:tabs>
              <w:snapToGrid w:val="0"/>
              <w:spacing w:line="400" w:lineRule="exact"/>
              <w:ind w:firstLine="420" w:firstLineChars="200"/>
              <w:rPr>
                <w:rFonts w:ascii="宋体" w:hAnsi="宋体"/>
                <w:color w:val="auto"/>
                <w:szCs w:val="21"/>
                <w:highlight w:val="none"/>
              </w:rPr>
            </w:pPr>
            <w:r>
              <w:rPr>
                <w:rFonts w:hint="eastAsia" w:ascii="宋体" w:hAnsi="宋体" w:cs="宋体"/>
                <w:color w:val="auto"/>
                <w:szCs w:val="21"/>
                <w:highlight w:val="none"/>
              </w:rPr>
              <w:t>□3</w:t>
            </w:r>
            <w:r>
              <w:rPr>
                <w:rFonts w:ascii="宋体" w:hAnsi="宋体" w:cs="宋体"/>
                <w:color w:val="auto"/>
                <w:szCs w:val="21"/>
                <w:highlight w:val="none"/>
              </w:rPr>
              <w:t>.</w:t>
            </w:r>
            <w:r>
              <w:rPr>
                <w:rFonts w:hint="eastAsia" w:ascii="宋体" w:hAnsi="宋体" w:cs="宋体"/>
                <w:color w:val="auto"/>
                <w:szCs w:val="21"/>
                <w:highlight w:val="none"/>
              </w:rPr>
              <w:t>4</w:t>
            </w:r>
            <w:r>
              <w:rPr>
                <w:rFonts w:hint="eastAsia" w:ascii="宋体" w:hAnsi="宋体"/>
                <w:color w:val="auto"/>
                <w:szCs w:val="21"/>
                <w:highlight w:val="none"/>
              </w:rPr>
              <w:t>其他费用</w:t>
            </w:r>
            <w:r>
              <w:rPr>
                <w:rFonts w:hint="eastAsia" w:ascii="宋体" w:hAnsi="宋体"/>
                <w:bCs/>
                <w:color w:val="auto"/>
                <w:szCs w:val="21"/>
                <w:highlight w:val="none"/>
              </w:rPr>
              <w:t>最高限价</w:t>
            </w:r>
            <w:r>
              <w:rPr>
                <w:rFonts w:hint="eastAsia" w:ascii="宋体" w:hAnsi="宋体"/>
                <w:color w:val="auto"/>
                <w:szCs w:val="21"/>
                <w:highlight w:val="none"/>
              </w:rPr>
              <w:t>：</w:t>
            </w:r>
          </w:p>
          <w:p w14:paraId="67A9CD69">
            <w:pPr>
              <w:pStyle w:val="2"/>
              <w:tabs>
                <w:tab w:val="left" w:pos="546"/>
                <w:tab w:val="left" w:pos="711"/>
              </w:tabs>
              <w:snapToGrid w:val="0"/>
              <w:spacing w:after="0" w:line="400" w:lineRule="exact"/>
              <w:ind w:firstLine="420" w:firstLineChars="200"/>
              <w:rPr>
                <w:color w:val="auto"/>
                <w:highlight w:val="none"/>
              </w:rPr>
            </w:pPr>
            <w:r>
              <w:rPr>
                <w:rFonts w:hint="eastAsia"/>
                <w:color w:val="auto"/>
                <w:highlight w:val="none"/>
                <w:u w:val="single"/>
              </w:rPr>
              <w:t xml:space="preserve">                                          </w:t>
            </w:r>
            <w:r>
              <w:rPr>
                <w:rFonts w:hint="eastAsia"/>
                <w:color w:val="auto"/>
                <w:highlight w:val="none"/>
              </w:rPr>
              <w:t>。</w:t>
            </w:r>
          </w:p>
          <w:p w14:paraId="116ADB96">
            <w:pPr>
              <w:pStyle w:val="2"/>
              <w:tabs>
                <w:tab w:val="left" w:pos="546"/>
                <w:tab w:val="left" w:pos="711"/>
              </w:tabs>
              <w:snapToGrid w:val="0"/>
              <w:spacing w:after="0" w:line="400" w:lineRule="exact"/>
              <w:ind w:firstLine="420" w:firstLineChars="200"/>
              <w:rPr>
                <w:color w:val="auto"/>
                <w:highlight w:val="none"/>
              </w:rPr>
            </w:pPr>
            <w:r>
              <w:rPr>
                <w:rFonts w:hint="eastAsia"/>
                <w:color w:val="auto"/>
                <w:highlight w:val="none"/>
              </w:rPr>
              <w:t>4</w:t>
            </w:r>
            <w:r>
              <w:rPr>
                <w:color w:val="auto"/>
                <w:highlight w:val="none"/>
              </w:rPr>
              <w:t>.</w:t>
            </w:r>
            <w:r>
              <w:rPr>
                <w:rFonts w:hint="eastAsia"/>
                <w:color w:val="auto"/>
                <w:highlight w:val="none"/>
              </w:rPr>
              <w:t>限额设计和结算</w:t>
            </w:r>
          </w:p>
          <w:p w14:paraId="65ED3AFA">
            <w:pPr>
              <w:pStyle w:val="2"/>
              <w:tabs>
                <w:tab w:val="left" w:pos="546"/>
                <w:tab w:val="left" w:pos="711"/>
              </w:tabs>
              <w:snapToGrid w:val="0"/>
              <w:spacing w:after="0" w:line="400" w:lineRule="exact"/>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本项目施工图设计应按照初步设计文件和发包人要求进行编制。除发生重大设计变更外，施工图设计对应的预算审核建筑安装工程费不能超过初设批复中的概算建筑安装工程费，否则应调整设计直至满足限额要求，由此增加的设计费不计取；除发生重大设计变更外，按合同约定的结算原则计算出的合同工程竣工结算价超过批准概算金额的，原则上以经批准的概算金额为限价进行结算。</w:t>
            </w:r>
          </w:p>
          <w:p w14:paraId="7F2ABC19">
            <w:pPr>
              <w:pStyle w:val="2"/>
              <w:tabs>
                <w:tab w:val="left" w:pos="546"/>
                <w:tab w:val="left" w:pos="711"/>
              </w:tabs>
              <w:snapToGrid w:val="0"/>
              <w:spacing w:after="0" w:line="400" w:lineRule="exact"/>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工程总承包项目超过限额设计和结算产生的风险，投标人应在投标报价时综合考虑，合同履行阶段不得以此为由向招标人索赔。</w:t>
            </w:r>
          </w:p>
          <w:p w14:paraId="7714646B">
            <w:pPr>
              <w:pStyle w:val="2"/>
              <w:tabs>
                <w:tab w:val="left" w:pos="546"/>
                <w:tab w:val="left" w:pos="711"/>
              </w:tabs>
              <w:snapToGrid w:val="0"/>
              <w:spacing w:after="0" w:line="400" w:lineRule="exact"/>
              <w:ind w:firstLine="420" w:firstLineChars="200"/>
              <w:rPr>
                <w:rFonts w:ascii="宋体" w:hAnsi="宋体" w:cs="宋体"/>
                <w:color w:val="auto"/>
                <w:kern w:val="0"/>
                <w:szCs w:val="21"/>
                <w:highlight w:val="none"/>
                <w:lang w:bidi="ar"/>
              </w:rPr>
            </w:pPr>
            <w:r>
              <w:rPr>
                <w:rFonts w:hint="eastAsia" w:ascii="宋体" w:hAnsi="宋体" w:cs="宋体"/>
                <w:i/>
                <w:color w:val="auto"/>
                <w:kern w:val="0"/>
                <w:szCs w:val="21"/>
                <w:highlight w:val="none"/>
                <w:lang w:bidi="ar"/>
              </w:rPr>
              <w:t>[提示：招标人在编制招标文件时，可根据实际情况在本款中予以增加相关内容，但增加的内容不得违背法律、法规及规范性文件的规定。]</w:t>
            </w:r>
          </w:p>
        </w:tc>
      </w:tr>
      <w:tr w14:paraId="37F845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AE83E3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3.3.1</w:t>
            </w:r>
          </w:p>
        </w:tc>
        <w:tc>
          <w:tcPr>
            <w:tcW w:w="1644" w:type="dxa"/>
            <w:vAlign w:val="center"/>
          </w:tcPr>
          <w:p w14:paraId="4D680B5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投标有效期</w:t>
            </w:r>
          </w:p>
        </w:tc>
        <w:tc>
          <w:tcPr>
            <w:tcW w:w="6490" w:type="dxa"/>
            <w:vAlign w:val="center"/>
          </w:tcPr>
          <w:p w14:paraId="3DBA5551">
            <w:pPr>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u w:val="single"/>
              </w:rPr>
              <w:t xml:space="preserve">       </w:t>
            </w:r>
            <w:r>
              <w:rPr>
                <w:rFonts w:ascii="宋体" w:hAnsi="宋体"/>
                <w:color w:val="auto"/>
                <w:szCs w:val="21"/>
                <w:highlight w:val="none"/>
              </w:rPr>
              <w:t>日历天（从提交投标文件截止日起计算）</w:t>
            </w:r>
          </w:p>
        </w:tc>
      </w:tr>
      <w:tr w14:paraId="01E84D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C4FE52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3.4</w:t>
            </w:r>
          </w:p>
        </w:tc>
        <w:tc>
          <w:tcPr>
            <w:tcW w:w="1644" w:type="dxa"/>
            <w:vAlign w:val="center"/>
          </w:tcPr>
          <w:p w14:paraId="79FA2B15">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投标保证金</w:t>
            </w:r>
          </w:p>
        </w:tc>
        <w:tc>
          <w:tcPr>
            <w:tcW w:w="6490" w:type="dxa"/>
            <w:vAlign w:val="center"/>
          </w:tcPr>
          <w:p w14:paraId="4B9467AD">
            <w:pPr>
              <w:snapToGrid w:val="0"/>
              <w:spacing w:line="400" w:lineRule="exact"/>
              <w:ind w:firstLine="420" w:firstLineChars="200"/>
              <w:rPr>
                <w:color w:val="auto"/>
                <w:highlight w:val="none"/>
              </w:rPr>
            </w:pPr>
            <w:r>
              <w:rPr>
                <w:rFonts w:hint="eastAsia"/>
                <w:color w:val="auto"/>
                <w:highlight w:val="none"/>
              </w:rPr>
              <w:t>投标保证金的交纳方式：投标人可选择以下</w:t>
            </w:r>
            <w:r>
              <w:rPr>
                <w:rFonts w:hint="eastAsia"/>
                <w:color w:val="auto"/>
                <w:highlight w:val="none"/>
                <w:lang w:val="en-US" w:eastAsia="zh-CN"/>
              </w:rPr>
              <w:t>三</w:t>
            </w:r>
            <w:r>
              <w:rPr>
                <w:rFonts w:hint="eastAsia"/>
                <w:color w:val="auto"/>
                <w:highlight w:val="none"/>
              </w:rPr>
              <w:t>种方式之一。</w:t>
            </w:r>
          </w:p>
          <w:p w14:paraId="78923443">
            <w:pPr>
              <w:snapToGrid w:val="0"/>
              <w:spacing w:line="400" w:lineRule="exact"/>
              <w:ind w:firstLine="420" w:firstLineChars="200"/>
              <w:rPr>
                <w:color w:val="auto"/>
                <w:highlight w:val="none"/>
              </w:rPr>
            </w:pPr>
            <w:r>
              <w:rPr>
                <w:rFonts w:hint="eastAsia"/>
                <w:color w:val="auto"/>
                <w:highlight w:val="none"/>
              </w:rPr>
              <w:t>方式一</w:t>
            </w:r>
          </w:p>
          <w:p w14:paraId="1B6A0535">
            <w:pPr>
              <w:snapToGrid w:val="0"/>
              <w:spacing w:line="400" w:lineRule="exact"/>
              <w:ind w:firstLine="420" w:firstLineChars="200"/>
              <w:rPr>
                <w:color w:val="auto"/>
                <w:highlight w:val="none"/>
              </w:rPr>
            </w:pPr>
            <w:r>
              <w:rPr>
                <w:color w:val="auto"/>
                <w:highlight w:val="none"/>
              </w:rPr>
              <w:t>一、</w:t>
            </w:r>
            <w:r>
              <w:rPr>
                <w:rFonts w:hint="eastAsia"/>
                <w:color w:val="auto"/>
                <w:highlight w:val="none"/>
              </w:rPr>
              <w:t>以电子投标保函形式交纳投标保证金</w:t>
            </w:r>
          </w:p>
          <w:p w14:paraId="5C51EA66">
            <w:pPr>
              <w:snapToGrid w:val="0"/>
              <w:spacing w:line="400" w:lineRule="exact"/>
              <w:ind w:firstLine="420" w:firstLineChars="200"/>
              <w:rPr>
                <w:rFonts w:hint="eastAsia"/>
                <w:color w:val="auto"/>
                <w:highlight w:val="none"/>
              </w:rPr>
            </w:pPr>
            <w:r>
              <w:rPr>
                <w:rFonts w:hint="eastAsia"/>
                <w:color w:val="auto"/>
                <w:highlight w:val="none"/>
              </w:rPr>
              <w:t xml:space="preserve">1. </w:t>
            </w:r>
            <w:r>
              <w:rPr>
                <w:rFonts w:hint="eastAsia"/>
                <w:color w:val="auto"/>
                <w:highlight w:val="none"/>
                <w:lang w:val="en-US" w:eastAsia="zh-CN"/>
              </w:rPr>
              <w:t>电子投标保函</w:t>
            </w:r>
            <w:r>
              <w:rPr>
                <w:rFonts w:hint="eastAsia"/>
                <w:color w:val="auto"/>
                <w:highlight w:val="none"/>
              </w:rPr>
              <w:t>交纳形式及要求：投标人在投标截止时间前通过重庆市公共资源交易金融服务平台</w:t>
            </w:r>
            <w:r>
              <w:rPr>
                <w:rFonts w:hint="eastAsia"/>
                <w:color w:val="auto"/>
                <w:highlight w:val="none"/>
                <w:lang w:val="en-US" w:eastAsia="zh-CN"/>
              </w:rPr>
              <w:t>电子投标保函系统</w:t>
            </w:r>
            <w:r>
              <w:rPr>
                <w:rFonts w:hint="eastAsia"/>
                <w:color w:val="auto"/>
                <w:highlight w:val="none"/>
              </w:rPr>
              <w:t>向金融机构申请开具电子投标保函，电子投标保函应至少体现如下内容：①担保项目必须为本项目；②受益人必须为本项目招标人；③保函担保金额必须满足本项目要求；④保函生效时间必须在投标截止时间前，有效期限必须至少包含整个投标有效期；⑤保函须不可撤销且见索即付。</w:t>
            </w:r>
          </w:p>
          <w:p w14:paraId="204B6CED">
            <w:pPr>
              <w:snapToGrid w:val="0"/>
              <w:spacing w:line="400" w:lineRule="exact"/>
              <w:ind w:firstLine="420" w:firstLineChars="200"/>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电子投标保函</w:t>
            </w:r>
            <w:r>
              <w:rPr>
                <w:rFonts w:hint="eastAsia"/>
                <w:color w:val="auto"/>
                <w:highlight w:val="none"/>
              </w:rPr>
              <w:t>提交的截止时间和投标截止时间</w:t>
            </w:r>
            <w:r>
              <w:rPr>
                <w:rFonts w:hint="eastAsia"/>
                <w:color w:val="auto"/>
                <w:highlight w:val="none"/>
                <w:lang w:val="en-US" w:eastAsia="zh-CN"/>
              </w:rPr>
              <w:t>应当</w:t>
            </w:r>
            <w:r>
              <w:rPr>
                <w:rFonts w:hint="eastAsia"/>
                <w:color w:val="auto"/>
                <w:highlight w:val="none"/>
              </w:rPr>
              <w:t>保持一致。</w:t>
            </w:r>
          </w:p>
          <w:p w14:paraId="17571AA1">
            <w:pPr>
              <w:snapToGrid w:val="0"/>
              <w:spacing w:line="400" w:lineRule="exact"/>
              <w:ind w:firstLine="420" w:firstLineChars="200"/>
              <w:rPr>
                <w:color w:val="auto"/>
                <w:highlight w:val="none"/>
              </w:rPr>
            </w:pPr>
            <w:r>
              <w:rPr>
                <w:rFonts w:hint="eastAsia" w:ascii="宋体" w:hAnsi="宋体"/>
                <w:color w:val="auto"/>
                <w:kern w:val="0"/>
                <w:szCs w:val="21"/>
                <w:highlight w:val="none"/>
                <w:lang w:val="en-US" w:eastAsia="zh-CN"/>
              </w:rPr>
              <w:t>不满足上述要求的电子</w:t>
            </w:r>
            <w:r>
              <w:rPr>
                <w:rFonts w:ascii="宋体" w:hAnsi="宋体"/>
                <w:color w:val="auto"/>
                <w:kern w:val="0"/>
                <w:szCs w:val="21"/>
                <w:highlight w:val="none"/>
              </w:rPr>
              <w:t>投标保函无效。</w:t>
            </w:r>
          </w:p>
          <w:p w14:paraId="6E2CB55C">
            <w:pPr>
              <w:snapToGrid w:val="0"/>
              <w:spacing w:line="400" w:lineRule="exact"/>
              <w:ind w:firstLine="420" w:firstLineChars="200"/>
              <w:rPr>
                <w:color w:val="auto"/>
                <w:highlight w:val="none"/>
              </w:rPr>
            </w:pPr>
            <w:r>
              <w:rPr>
                <w:color w:val="auto"/>
                <w:highlight w:val="none"/>
              </w:rPr>
              <w:t>2</w:t>
            </w:r>
            <w:r>
              <w:rPr>
                <w:rFonts w:hint="eastAsia"/>
                <w:color w:val="auto"/>
                <w:highlight w:val="none"/>
              </w:rPr>
              <w:t>. 以</w:t>
            </w:r>
            <w:r>
              <w:rPr>
                <w:rFonts w:hint="eastAsia"/>
                <w:color w:val="auto"/>
                <w:highlight w:val="none"/>
                <w:lang w:val="en-US" w:eastAsia="zh-CN"/>
              </w:rPr>
              <w:t>电子投标</w:t>
            </w:r>
            <w:r>
              <w:rPr>
                <w:rFonts w:hint="eastAsia"/>
                <w:color w:val="auto"/>
                <w:highlight w:val="none"/>
              </w:rPr>
              <w:t>保函形式担保的</w:t>
            </w:r>
            <w:r>
              <w:rPr>
                <w:color w:val="auto"/>
                <w:highlight w:val="none"/>
              </w:rPr>
              <w:t>投标保证金的金额：</w:t>
            </w:r>
            <w:r>
              <w:rPr>
                <w:color w:val="auto"/>
                <w:highlight w:val="none"/>
                <w:u w:val="single"/>
              </w:rPr>
              <w:t xml:space="preserve">    </w:t>
            </w:r>
            <w:r>
              <w:rPr>
                <w:rFonts w:hint="eastAsia"/>
                <w:color w:val="auto"/>
                <w:highlight w:val="none"/>
                <w:u w:val="single"/>
                <w:lang w:val="en-US" w:eastAsia="zh-CN"/>
              </w:rPr>
              <w:t xml:space="preserve">  </w:t>
            </w:r>
            <w:r>
              <w:rPr>
                <w:color w:val="auto"/>
                <w:highlight w:val="none"/>
              </w:rPr>
              <w:t>万元整（人民币）</w:t>
            </w:r>
          </w:p>
          <w:p w14:paraId="0BC1D287">
            <w:pPr>
              <w:snapToGrid w:val="0"/>
              <w:spacing w:line="400" w:lineRule="exact"/>
              <w:ind w:firstLine="420" w:firstLineChars="200"/>
              <w:rPr>
                <w:color w:val="auto"/>
                <w:highlight w:val="none"/>
              </w:rPr>
            </w:pPr>
            <w:r>
              <w:rPr>
                <w:rFonts w:hint="eastAsia"/>
                <w:i/>
                <w:iCs/>
                <w:color w:val="auto"/>
                <w:highlight w:val="none"/>
              </w:rPr>
              <w:t>[提示：投标保证金金额不超过该招标项目估算价或经批准的概算金额或最高限价的2%，重庆市工程建设领域招标投标守信激励对象名单（以下称红名单）中的投标人投标保证金金额可减半</w:t>
            </w:r>
            <w:r>
              <w:rPr>
                <w:rFonts w:hint="default" w:ascii="Times New Roman" w:hAnsi="Times New Roman"/>
                <w:i/>
                <w:iCs/>
                <w:color w:val="auto"/>
                <w:kern w:val="2"/>
                <w:szCs w:val="24"/>
                <w:highlight w:val="none"/>
                <w:u w:val="none"/>
              </w:rPr>
              <w:t>（红名单建立完善后使用；联合体投标的，须联合体牵头人在红名单中）</w:t>
            </w:r>
            <w:r>
              <w:rPr>
                <w:rFonts w:hint="eastAsia"/>
                <w:i/>
                <w:iCs/>
                <w:color w:val="auto"/>
                <w:highlight w:val="none"/>
              </w:rPr>
              <w:t>。]</w:t>
            </w:r>
          </w:p>
          <w:p w14:paraId="090F01DA">
            <w:pPr>
              <w:snapToGrid w:val="0"/>
              <w:spacing w:line="400" w:lineRule="exact"/>
              <w:ind w:firstLine="420" w:firstLineChars="200"/>
              <w:rPr>
                <w:color w:val="auto"/>
                <w:highlight w:val="none"/>
              </w:rPr>
            </w:pPr>
            <w:r>
              <w:rPr>
                <w:rFonts w:hint="eastAsia"/>
                <w:color w:val="auto"/>
                <w:highlight w:val="none"/>
              </w:rPr>
              <w:t xml:space="preserve">3. </w:t>
            </w:r>
            <w:r>
              <w:rPr>
                <w:rFonts w:hint="eastAsia"/>
                <w:color w:val="auto"/>
                <w:highlight w:val="none"/>
                <w:lang w:val="en-US" w:eastAsia="zh-CN"/>
              </w:rPr>
              <w:t>电子</w:t>
            </w:r>
            <w:r>
              <w:rPr>
                <w:rFonts w:hint="eastAsia"/>
                <w:color w:val="auto"/>
                <w:highlight w:val="none"/>
              </w:rPr>
              <w:t>投标保函以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w:t>
            </w:r>
            <w:r>
              <w:rPr>
                <w:rFonts w:hint="eastAsia"/>
                <w:color w:val="auto"/>
                <w:highlight w:val="none"/>
                <w:lang w:val="en-US" w:eastAsia="zh-CN"/>
              </w:rPr>
              <w:t>电子</w:t>
            </w:r>
            <w:r>
              <w:rPr>
                <w:rFonts w:hint="eastAsia"/>
                <w:color w:val="auto"/>
                <w:highlight w:val="none"/>
              </w:rPr>
              <w:t>投标保函交纳情况为准。</w:t>
            </w:r>
          </w:p>
          <w:p w14:paraId="0DC900C7">
            <w:pPr>
              <w:snapToGrid w:val="0"/>
              <w:spacing w:line="400" w:lineRule="exact"/>
              <w:ind w:firstLine="420" w:firstLineChars="200"/>
              <w:rPr>
                <w:color w:val="auto"/>
                <w:highlight w:val="none"/>
              </w:rPr>
            </w:pPr>
            <w:r>
              <w:rPr>
                <w:rFonts w:hint="eastAsia"/>
                <w:color w:val="auto"/>
                <w:highlight w:val="none"/>
              </w:rPr>
              <w:t>4.</w:t>
            </w:r>
            <w:r>
              <w:rPr>
                <w:color w:val="auto"/>
                <w:highlight w:val="none"/>
              </w:rPr>
              <w:t xml:space="preserve"> </w:t>
            </w:r>
            <w:r>
              <w:rPr>
                <w:rFonts w:hint="eastAsia"/>
                <w:color w:val="auto"/>
                <w:highlight w:val="none"/>
              </w:rPr>
              <w:t>若投标人为联合体，则由联合体牵头人提供</w:t>
            </w:r>
            <w:r>
              <w:rPr>
                <w:rFonts w:hint="eastAsia"/>
                <w:color w:val="auto"/>
                <w:highlight w:val="none"/>
                <w:lang w:val="en-US" w:eastAsia="zh-CN"/>
              </w:rPr>
              <w:t>电子</w:t>
            </w:r>
            <w:r>
              <w:rPr>
                <w:rFonts w:hint="eastAsia"/>
                <w:color w:val="auto"/>
                <w:highlight w:val="none"/>
              </w:rPr>
              <w:t>投标保函。</w:t>
            </w:r>
          </w:p>
          <w:p w14:paraId="55B6A44B">
            <w:pPr>
              <w:snapToGrid w:val="0"/>
              <w:spacing w:line="400" w:lineRule="exact"/>
              <w:ind w:firstLine="420" w:firstLineChars="200"/>
              <w:rPr>
                <w:color w:val="auto"/>
                <w:highlight w:val="none"/>
              </w:rPr>
            </w:pPr>
            <w:r>
              <w:rPr>
                <w:color w:val="auto"/>
                <w:highlight w:val="none"/>
              </w:rPr>
              <w:t>二、</w:t>
            </w:r>
            <w:r>
              <w:rPr>
                <w:rFonts w:hint="eastAsia"/>
                <w:color w:val="auto"/>
                <w:highlight w:val="none"/>
                <w:lang w:val="en-US" w:eastAsia="zh-CN"/>
              </w:rPr>
              <w:t>电子</w:t>
            </w:r>
            <w:r>
              <w:rPr>
                <w:color w:val="auto"/>
                <w:highlight w:val="none"/>
              </w:rPr>
              <w:t>投标保函的</w:t>
            </w:r>
            <w:r>
              <w:rPr>
                <w:rFonts w:hint="eastAsia"/>
                <w:color w:val="auto"/>
                <w:highlight w:val="none"/>
              </w:rPr>
              <w:t>注销</w:t>
            </w:r>
          </w:p>
          <w:p w14:paraId="0D0BA61D">
            <w:pPr>
              <w:snapToGrid w:val="0"/>
              <w:spacing w:line="400" w:lineRule="exact"/>
              <w:ind w:firstLine="420" w:firstLineChars="200"/>
              <w:rPr>
                <w:color w:val="auto"/>
                <w:highlight w:val="none"/>
              </w:rPr>
            </w:pPr>
            <w:r>
              <w:rPr>
                <w:rFonts w:hint="eastAsia"/>
                <w:color w:val="auto"/>
                <w:highlight w:val="none"/>
              </w:rPr>
              <w:t>招标人应当在法定时间内确定中标人。招标人应当在中标通知书发出后2个工作日内将中标通知书和</w:t>
            </w:r>
            <w:r>
              <w:rPr>
                <w:rFonts w:hint="eastAsia"/>
                <w:color w:val="auto"/>
                <w:highlight w:val="none"/>
                <w:lang w:eastAsia="zh-CN"/>
              </w:rPr>
              <w:t>电子投标保函</w:t>
            </w:r>
            <w:r>
              <w:rPr>
                <w:rFonts w:hint="eastAsia"/>
                <w:color w:val="auto"/>
                <w:highlight w:val="none"/>
              </w:rPr>
              <w:t>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w:t>
            </w:r>
            <w:r>
              <w:rPr>
                <w:rFonts w:hint="eastAsia"/>
                <w:color w:val="auto"/>
                <w:highlight w:val="none"/>
                <w:lang w:eastAsia="zh-CN"/>
              </w:rPr>
              <w:t>电子投标保函</w:t>
            </w:r>
            <w:r>
              <w:rPr>
                <w:rFonts w:hint="eastAsia"/>
                <w:color w:val="auto"/>
                <w:highlight w:val="none"/>
              </w:rPr>
              <w:t>退还通知后2个工作日内，将保函注销信息推送给重庆市公共资源交易金融服务平台，由保函出具机构注销除中标人和中标候选人以外的投标人电子投标保函。</w:t>
            </w:r>
          </w:p>
          <w:p w14:paraId="1FF611F2">
            <w:pPr>
              <w:spacing w:line="400" w:lineRule="exact"/>
              <w:ind w:firstLine="420" w:firstLineChars="200"/>
              <w:rPr>
                <w:color w:val="auto"/>
                <w:highlight w:val="none"/>
              </w:rPr>
            </w:pPr>
            <w:r>
              <w:rPr>
                <w:rFonts w:hint="eastAsia"/>
                <w:color w:val="auto"/>
                <w:highlight w:val="none"/>
              </w:rPr>
              <w:t>招标人应当在法定时间内和中标人签订合同。招标人应当在合同生效后2个工作日内将签订的合同和</w:t>
            </w:r>
            <w:r>
              <w:rPr>
                <w:rFonts w:hint="eastAsia"/>
                <w:color w:val="auto"/>
                <w:highlight w:val="none"/>
                <w:lang w:eastAsia="zh-CN"/>
              </w:rPr>
              <w:t>电子投标保函</w:t>
            </w:r>
            <w:r>
              <w:rPr>
                <w:rFonts w:hint="eastAsia"/>
                <w:color w:val="auto"/>
                <w:highlight w:val="none"/>
              </w:rPr>
              <w:t>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w:t>
            </w:r>
            <w:r>
              <w:rPr>
                <w:rFonts w:hint="eastAsia"/>
                <w:color w:val="auto"/>
                <w:highlight w:val="none"/>
                <w:lang w:eastAsia="zh-CN"/>
              </w:rPr>
              <w:t>电子投标保函</w:t>
            </w:r>
            <w:r>
              <w:rPr>
                <w:rFonts w:hint="eastAsia"/>
                <w:color w:val="auto"/>
                <w:highlight w:val="none"/>
              </w:rPr>
              <w:t>退还通知后2个工作日内，将保函注销信息推送给重庆市公共资源交易金融服务平台，由保函出具机构注销中标人和中标候选人</w:t>
            </w:r>
            <w:r>
              <w:rPr>
                <w:rFonts w:hint="eastAsia"/>
                <w:color w:val="auto"/>
                <w:highlight w:val="none"/>
                <w:lang w:val="en-US" w:eastAsia="zh-CN"/>
              </w:rPr>
              <w:t>的</w:t>
            </w:r>
            <w:r>
              <w:rPr>
                <w:rFonts w:hint="eastAsia"/>
                <w:color w:val="auto"/>
                <w:highlight w:val="none"/>
              </w:rPr>
              <w:t>电子投标保函。</w:t>
            </w:r>
          </w:p>
          <w:p w14:paraId="23733D86">
            <w:pPr>
              <w:snapToGrid w:val="0"/>
              <w:spacing w:line="400" w:lineRule="exact"/>
              <w:ind w:firstLine="420" w:firstLineChars="200"/>
              <w:rPr>
                <w:color w:val="auto"/>
                <w:highlight w:val="none"/>
              </w:rPr>
            </w:pPr>
          </w:p>
          <w:p w14:paraId="03185416">
            <w:pPr>
              <w:snapToGrid w:val="0"/>
              <w:spacing w:line="400" w:lineRule="exact"/>
              <w:ind w:firstLine="420" w:firstLineChars="200"/>
              <w:rPr>
                <w:color w:val="auto"/>
                <w:highlight w:val="none"/>
              </w:rPr>
            </w:pPr>
            <w:r>
              <w:rPr>
                <w:rFonts w:hint="eastAsia"/>
                <w:color w:val="auto"/>
                <w:highlight w:val="none"/>
              </w:rPr>
              <w:t>方式二</w:t>
            </w:r>
          </w:p>
          <w:p w14:paraId="46FE77AF">
            <w:pPr>
              <w:snapToGrid w:val="0"/>
              <w:spacing w:line="400" w:lineRule="exact"/>
              <w:ind w:firstLine="420" w:firstLineChars="200"/>
              <w:rPr>
                <w:color w:val="auto"/>
                <w:highlight w:val="none"/>
              </w:rPr>
            </w:pPr>
            <w:r>
              <w:rPr>
                <w:rFonts w:hint="eastAsia"/>
                <w:color w:val="auto"/>
                <w:highlight w:val="none"/>
              </w:rPr>
              <w:t>一、以转账支票或电汇形式交纳投标保证金</w:t>
            </w:r>
          </w:p>
          <w:p w14:paraId="2F145504">
            <w:pPr>
              <w:snapToGrid w:val="0"/>
              <w:spacing w:line="400" w:lineRule="exact"/>
              <w:ind w:firstLine="420" w:firstLineChars="200"/>
              <w:rPr>
                <w:color w:val="auto"/>
                <w:highlight w:val="none"/>
              </w:rPr>
            </w:pPr>
            <w:r>
              <w:rPr>
                <w:rFonts w:hint="eastAsia"/>
                <w:color w:val="auto"/>
                <w:highlight w:val="none"/>
              </w:rPr>
              <w:t>1、投标保证金交款形式及要求：投标人从企业的基本账户（开户行）在投标截止时间前通过转账支票直接划付或以电汇方式直接划付至下面指定的投标保证金账户。若投标截止时间延期，则投标保证金提交的截止时间和投标截止时间</w:t>
            </w:r>
            <w:r>
              <w:rPr>
                <w:rFonts w:hint="eastAsia"/>
                <w:color w:val="auto"/>
                <w:highlight w:val="none"/>
                <w:lang w:val="en-US" w:eastAsia="zh-CN"/>
              </w:rPr>
              <w:t>应当</w:t>
            </w:r>
            <w:r>
              <w:rPr>
                <w:rFonts w:hint="eastAsia"/>
                <w:color w:val="auto"/>
                <w:highlight w:val="none"/>
              </w:rPr>
              <w:t>保持一致。</w:t>
            </w:r>
            <w:r>
              <w:rPr>
                <w:rFonts w:hint="eastAsia" w:ascii="宋体" w:hAnsi="宋体"/>
                <w:color w:val="auto"/>
                <w:kern w:val="0"/>
                <w:szCs w:val="21"/>
                <w:highlight w:val="none"/>
                <w:lang w:val="en-US" w:eastAsia="zh-CN"/>
              </w:rPr>
              <w:t>不满足上述要求的投标保证金</w:t>
            </w:r>
            <w:r>
              <w:rPr>
                <w:rFonts w:ascii="宋体" w:hAnsi="宋体"/>
                <w:color w:val="auto"/>
                <w:kern w:val="0"/>
                <w:szCs w:val="21"/>
                <w:highlight w:val="none"/>
              </w:rPr>
              <w:t>无效。</w:t>
            </w:r>
          </w:p>
          <w:p w14:paraId="4C2D743C">
            <w:pPr>
              <w:snapToGrid w:val="0"/>
              <w:spacing w:line="400" w:lineRule="exact"/>
              <w:ind w:firstLine="420" w:firstLineChars="200"/>
              <w:rPr>
                <w:color w:val="auto"/>
                <w:highlight w:val="none"/>
              </w:rPr>
            </w:pPr>
            <w:r>
              <w:rPr>
                <w:rFonts w:hint="eastAsia"/>
                <w:color w:val="auto"/>
                <w:highlight w:val="none"/>
              </w:rPr>
              <w:t>投标人自行考虑汇入时间风险，如同城汇入、异地汇入、跨行汇入的时间要求。</w:t>
            </w:r>
          </w:p>
          <w:p w14:paraId="1E544BEF">
            <w:pPr>
              <w:snapToGrid w:val="0"/>
              <w:spacing w:line="400" w:lineRule="exact"/>
              <w:ind w:firstLine="420" w:firstLineChars="200"/>
              <w:rPr>
                <w:color w:val="auto"/>
                <w:highlight w:val="none"/>
              </w:rPr>
            </w:pPr>
            <w:r>
              <w:rPr>
                <w:rFonts w:hint="eastAsia"/>
                <w:color w:val="auto"/>
                <w:highlight w:val="none"/>
              </w:rPr>
              <w:t>2、以转账支票或电汇形式提交投标保证金的金额：</w:t>
            </w:r>
            <w:r>
              <w:rPr>
                <w:rFonts w:hint="eastAsia"/>
                <w:color w:val="auto"/>
                <w:highlight w:val="none"/>
                <w:u w:val="single"/>
              </w:rPr>
              <w:t xml:space="preserve">    </w:t>
            </w:r>
            <w:r>
              <w:rPr>
                <w:rFonts w:hint="eastAsia"/>
                <w:color w:val="auto"/>
                <w:highlight w:val="none"/>
              </w:rPr>
              <w:t>万元整（人民币）</w:t>
            </w:r>
          </w:p>
          <w:p w14:paraId="12F9B71B">
            <w:pPr>
              <w:snapToGrid w:val="0"/>
              <w:spacing w:line="400" w:lineRule="exact"/>
              <w:ind w:firstLine="420" w:firstLineChars="200"/>
              <w:rPr>
                <w:i/>
                <w:iCs/>
                <w:color w:val="auto"/>
                <w:highlight w:val="none"/>
              </w:rPr>
            </w:pPr>
            <w:bookmarkStart w:id="157" w:name="_Hlk45893164"/>
            <w:r>
              <w:rPr>
                <w:rFonts w:hint="eastAsia"/>
                <w:i/>
                <w:iCs/>
                <w:color w:val="auto"/>
                <w:highlight w:val="none"/>
              </w:rPr>
              <w:t>[提示：投标保证金金额不超过该招标项目估算价或经批准的概算金额或最高限价的2%，红名单中的投标人投标保证金金额可减半</w:t>
            </w:r>
            <w:r>
              <w:rPr>
                <w:rFonts w:hint="default" w:ascii="Times New Roman" w:hAnsi="Times New Roman"/>
                <w:i/>
                <w:iCs/>
                <w:color w:val="auto"/>
                <w:kern w:val="2"/>
                <w:szCs w:val="24"/>
                <w:highlight w:val="none"/>
                <w:u w:val="none"/>
              </w:rPr>
              <w:t>（红名单建立完善后使用；联合体投标的，须联合体牵头人在红名单中）</w:t>
            </w:r>
            <w:r>
              <w:rPr>
                <w:rFonts w:hint="eastAsia"/>
                <w:i/>
                <w:iCs/>
                <w:color w:val="auto"/>
                <w:highlight w:val="none"/>
              </w:rPr>
              <w:t>。]</w:t>
            </w:r>
          </w:p>
          <w:bookmarkEnd w:id="157"/>
          <w:p w14:paraId="79E5D9EF">
            <w:pPr>
              <w:snapToGrid w:val="0"/>
              <w:spacing w:line="400" w:lineRule="exact"/>
              <w:ind w:firstLine="420" w:firstLineChars="200"/>
              <w:rPr>
                <w:color w:val="auto"/>
                <w:highlight w:val="none"/>
              </w:rPr>
            </w:pPr>
            <w:r>
              <w:rPr>
                <w:rFonts w:hint="eastAsia"/>
                <w:color w:val="auto"/>
                <w:highlight w:val="none"/>
              </w:rPr>
              <w:t>3、投标保证金账户及账号（任选其一）：</w:t>
            </w:r>
          </w:p>
          <w:p w14:paraId="7FDCA50D">
            <w:pPr>
              <w:snapToGrid w:val="0"/>
              <w:spacing w:line="400" w:lineRule="exact"/>
              <w:ind w:firstLine="420" w:firstLineChars="200"/>
              <w:rPr>
                <w:color w:val="auto"/>
                <w:highlight w:val="none"/>
              </w:rPr>
            </w:pPr>
            <w:r>
              <w:rPr>
                <w:rFonts w:hint="eastAsia"/>
                <w:color w:val="auto"/>
                <w:highlight w:val="none"/>
              </w:rPr>
              <w:t>详见</w:t>
            </w:r>
            <w:r>
              <w:rPr>
                <w:rFonts w:hint="eastAsia"/>
                <w:color w:val="auto"/>
                <w:highlight w:val="none"/>
                <w:u w:val="single"/>
              </w:rPr>
              <w:t>重庆市公共资源交易网（www.cqggzy.com）</w:t>
            </w:r>
            <w:r>
              <w:rPr>
                <w:rFonts w:hint="eastAsia"/>
                <w:color w:val="auto"/>
                <w:highlight w:val="none"/>
              </w:rPr>
              <w:t>对应本项目招标公告信息栏中的保证金信息。</w:t>
            </w:r>
          </w:p>
          <w:p w14:paraId="2386572A">
            <w:pPr>
              <w:snapToGrid w:val="0"/>
              <w:spacing w:line="400" w:lineRule="exact"/>
              <w:ind w:firstLine="420" w:firstLineChars="200"/>
              <w:rPr>
                <w:color w:val="auto"/>
                <w:highlight w:val="none"/>
              </w:rPr>
            </w:pPr>
            <w:r>
              <w:rPr>
                <w:rFonts w:hint="eastAsia"/>
                <w:color w:val="auto"/>
                <w:highlight w:val="none"/>
              </w:rPr>
              <w:t>投标保证金以</w:t>
            </w:r>
            <w:r>
              <w:rPr>
                <w:rFonts w:hint="eastAsia"/>
                <w:color w:val="auto"/>
                <w:highlight w:val="none"/>
                <w:u w:val="single"/>
              </w:rPr>
              <w:t>重庆市公共资源交易中心</w:t>
            </w:r>
            <w:r>
              <w:rPr>
                <w:rFonts w:hint="eastAsia"/>
                <w:color w:val="auto"/>
                <w:highlight w:val="none"/>
              </w:rPr>
              <w:t>开标现场</w:t>
            </w:r>
            <w:r>
              <w:rPr>
                <w:rFonts w:hint="eastAsia"/>
                <w:color w:val="auto"/>
                <w:highlight w:val="none"/>
                <w:lang w:val="en-US" w:eastAsia="zh-CN"/>
              </w:rPr>
              <w:t>展示</w:t>
            </w:r>
            <w:r>
              <w:rPr>
                <w:rFonts w:hint="eastAsia"/>
                <w:color w:val="auto"/>
                <w:highlight w:val="none"/>
              </w:rPr>
              <w:t>的保证金交纳情况为准。投标人须在投标文件资格审查部分</w:t>
            </w:r>
            <w:r>
              <w:rPr>
                <w:rFonts w:hint="eastAsia" w:ascii="宋体" w:hAnsi="宋体"/>
                <w:color w:val="auto"/>
                <w:kern w:val="0"/>
                <w:szCs w:val="21"/>
                <w:highlight w:val="none"/>
                <w:lang w:val="en-US" w:eastAsia="zh-CN"/>
              </w:rPr>
              <w:t>“（八）其他资料”中</w:t>
            </w:r>
            <w:r>
              <w:rPr>
                <w:rFonts w:hint="eastAsia"/>
                <w:color w:val="auto"/>
                <w:highlight w:val="none"/>
              </w:rPr>
              <w:t>提供企业基本账户开户证明文件。</w:t>
            </w:r>
          </w:p>
          <w:p w14:paraId="1C194D4C">
            <w:pPr>
              <w:snapToGrid w:val="0"/>
              <w:spacing w:line="400" w:lineRule="exact"/>
              <w:ind w:firstLine="420" w:firstLineChars="200"/>
              <w:rPr>
                <w:rFonts w:hint="eastAsia"/>
                <w:color w:val="auto"/>
                <w:highlight w:val="none"/>
                <w:u w:val="single"/>
              </w:rPr>
            </w:pPr>
            <w:r>
              <w:rPr>
                <w:rFonts w:hint="eastAsia"/>
                <w:color w:val="auto"/>
                <w:highlight w:val="none"/>
              </w:rPr>
              <w:t>4、投标人必须在付款凭证备注栏中注明是“</w:t>
            </w:r>
            <w:r>
              <w:rPr>
                <w:rFonts w:hint="eastAsia"/>
                <w:color w:val="auto"/>
                <w:highlight w:val="none"/>
                <w:u w:val="single"/>
              </w:rPr>
              <w:t xml:space="preserve">        </w:t>
            </w:r>
            <w:r>
              <w:rPr>
                <w:rFonts w:hint="eastAsia"/>
                <w:color w:val="auto"/>
                <w:highlight w:val="none"/>
              </w:rPr>
              <w:t>项目投标保证金”。项目名称可简写成：</w:t>
            </w:r>
            <w:r>
              <w:rPr>
                <w:rFonts w:hint="eastAsia"/>
                <w:color w:val="auto"/>
                <w:highlight w:val="none"/>
                <w:u w:val="single"/>
              </w:rPr>
              <w:t xml:space="preserve">        </w:t>
            </w:r>
            <w:r>
              <w:rPr>
                <w:rFonts w:hint="eastAsia"/>
                <w:color w:val="auto"/>
                <w:highlight w:val="none"/>
                <w:u w:val="none"/>
                <w:lang w:eastAsia="zh-CN"/>
              </w:rPr>
              <w:t>。</w:t>
            </w:r>
          </w:p>
          <w:p w14:paraId="265701F8">
            <w:pPr>
              <w:snapToGrid w:val="0"/>
              <w:spacing w:line="400" w:lineRule="exact"/>
              <w:ind w:firstLine="420" w:firstLineChars="200"/>
              <w:rPr>
                <w:color w:val="auto"/>
                <w:highlight w:val="none"/>
              </w:rPr>
            </w:pPr>
            <w:r>
              <w:rPr>
                <w:rFonts w:hint="eastAsia"/>
                <w:color w:val="auto"/>
                <w:highlight w:val="none"/>
              </w:rPr>
              <w:t>5、投标保证金有效期与投标有效期一致。</w:t>
            </w:r>
          </w:p>
          <w:p w14:paraId="354CC436">
            <w:pPr>
              <w:snapToGrid w:val="0"/>
              <w:spacing w:line="400" w:lineRule="exact"/>
              <w:ind w:firstLine="420" w:firstLineChars="200"/>
              <w:rPr>
                <w:color w:val="auto"/>
                <w:highlight w:val="none"/>
              </w:rPr>
            </w:pPr>
            <w:r>
              <w:rPr>
                <w:rFonts w:hint="eastAsia"/>
                <w:color w:val="auto"/>
                <w:highlight w:val="none"/>
                <w:u w:val="none"/>
              </w:rPr>
              <w:t>6、根据重庆市公共资源交易中心《关于开展公共资源交易市场主体信息登记工作的公告》的要求，投标人在开标前</w:t>
            </w:r>
            <w:r>
              <w:rPr>
                <w:rFonts w:hint="eastAsia"/>
                <w:color w:val="auto"/>
                <w:highlight w:val="none"/>
                <w:u w:val="none"/>
                <w:lang w:val="en-US" w:eastAsia="zh-CN"/>
              </w:rPr>
              <w:t>需</w:t>
            </w:r>
            <w:r>
              <w:rPr>
                <w:rFonts w:hint="eastAsia"/>
                <w:color w:val="auto"/>
                <w:highlight w:val="none"/>
                <w:u w:val="none"/>
              </w:rPr>
              <w:t>在重庆市公共资源交易网（www.cqggzy.com）办理市场主体信息登记手续。</w:t>
            </w:r>
          </w:p>
          <w:p w14:paraId="79589571">
            <w:pPr>
              <w:snapToGrid w:val="0"/>
              <w:spacing w:line="400" w:lineRule="exact"/>
              <w:ind w:firstLine="420" w:firstLineChars="200"/>
              <w:rPr>
                <w:color w:val="auto"/>
                <w:highlight w:val="none"/>
              </w:rPr>
            </w:pPr>
            <w:r>
              <w:rPr>
                <w:rFonts w:hint="eastAsia"/>
                <w:color w:val="auto"/>
                <w:highlight w:val="none"/>
              </w:rPr>
              <w:t>7、若投标人为联合体，则由联合体牵头人提交投标保证金。</w:t>
            </w:r>
          </w:p>
          <w:p w14:paraId="41DB560E">
            <w:pPr>
              <w:snapToGrid w:val="0"/>
              <w:spacing w:line="400" w:lineRule="exact"/>
              <w:ind w:firstLine="420" w:firstLineChars="200"/>
              <w:rPr>
                <w:color w:val="auto"/>
                <w:highlight w:val="none"/>
              </w:rPr>
            </w:pPr>
            <w:r>
              <w:rPr>
                <w:rFonts w:hint="eastAsia"/>
                <w:color w:val="auto"/>
                <w:highlight w:val="none"/>
              </w:rPr>
              <w:t>二、投标保证金的退还</w:t>
            </w:r>
          </w:p>
          <w:p w14:paraId="32D1BB61">
            <w:pPr>
              <w:snapToGrid w:val="0"/>
              <w:spacing w:line="400" w:lineRule="exact"/>
              <w:ind w:firstLine="420" w:firstLineChars="200"/>
              <w:rPr>
                <w:color w:val="auto"/>
                <w:highlight w:val="none"/>
              </w:rPr>
            </w:pPr>
            <w:r>
              <w:rPr>
                <w:rFonts w:hint="eastAsia"/>
                <w:color w:val="auto"/>
                <w:highlight w:val="none"/>
              </w:rPr>
              <w:t>招标人应当在法定时间内确定中标人。招标人应当在中标通知书发出后2个工作日内将中标通知书和保证金退还通知抄告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在收到保证金退还通知后2个工作日内，向除中标人和中标候选人以外的投标人，退还投标保证金及银行同期活期存款利息。</w:t>
            </w:r>
          </w:p>
          <w:p w14:paraId="766BBBEA">
            <w:pPr>
              <w:snapToGrid w:val="0"/>
              <w:spacing w:line="400" w:lineRule="exact"/>
              <w:ind w:firstLine="420" w:firstLineChars="200"/>
              <w:rPr>
                <w:color w:val="auto"/>
                <w:highlight w:val="none"/>
              </w:rPr>
            </w:pPr>
            <w:r>
              <w:rPr>
                <w:rFonts w:hint="eastAsia"/>
                <w:color w:val="auto"/>
                <w:highlight w:val="none"/>
              </w:rPr>
              <w:t>招标人应当在法定时间内和中标人签订合同。招标人应当在合同生效后2个工作日内将签订的合同和保证金退还通知抄告</w:t>
            </w:r>
            <w:r>
              <w:rPr>
                <w:rFonts w:hint="eastAsia"/>
                <w:color w:val="auto"/>
                <w:highlight w:val="none"/>
                <w:u w:val="single"/>
              </w:rPr>
              <w:t>重庆市公共资源交易中心</w:t>
            </w:r>
            <w:r>
              <w:rPr>
                <w:rFonts w:hint="eastAsia"/>
                <w:color w:val="auto"/>
                <w:highlight w:val="none"/>
              </w:rPr>
              <w:t>，</w:t>
            </w:r>
            <w:r>
              <w:rPr>
                <w:rFonts w:hint="eastAsia"/>
                <w:color w:val="auto"/>
                <w:highlight w:val="none"/>
                <w:u w:val="single"/>
              </w:rPr>
              <w:t>重庆市公共资源交易中心</w:t>
            </w:r>
            <w:r>
              <w:rPr>
                <w:rFonts w:hint="eastAsia"/>
                <w:color w:val="auto"/>
                <w:highlight w:val="none"/>
              </w:rPr>
              <w:t>在收到保证金退还通知后2个工作日内，向中标人和中标候选人退还投标保证金及银行同期活期存款利息。</w:t>
            </w:r>
          </w:p>
          <w:p w14:paraId="1C92A6CA">
            <w:pPr>
              <w:snapToGrid w:val="0"/>
              <w:spacing w:line="400" w:lineRule="exact"/>
              <w:ind w:firstLine="420" w:firstLineChars="200"/>
              <w:jc w:val="left"/>
              <w:rPr>
                <w:rFonts w:hint="eastAsia"/>
                <w:color w:val="auto"/>
                <w:highlight w:val="none"/>
              </w:rPr>
            </w:pPr>
            <w:r>
              <w:rPr>
                <w:rFonts w:hint="eastAsia"/>
                <w:color w:val="auto"/>
                <w:highlight w:val="none"/>
              </w:rPr>
              <w:t>投标保证金专用账户由</w:t>
            </w:r>
            <w:r>
              <w:rPr>
                <w:rFonts w:hint="eastAsia"/>
                <w:color w:val="auto"/>
                <w:highlight w:val="none"/>
                <w:u w:val="single"/>
              </w:rPr>
              <w:t>重庆市公共资源交易中心</w:t>
            </w:r>
            <w:r>
              <w:rPr>
                <w:rFonts w:hint="eastAsia"/>
                <w:color w:val="auto"/>
                <w:highlight w:val="none"/>
              </w:rPr>
              <w:t>制定，关于保证金相关情况的问题请咨询</w:t>
            </w:r>
            <w:r>
              <w:rPr>
                <w:rFonts w:hint="eastAsia"/>
                <w:color w:val="auto"/>
                <w:highlight w:val="none"/>
                <w:u w:val="single"/>
              </w:rPr>
              <w:t>重庆市公共资源交易中心</w:t>
            </w:r>
            <w:r>
              <w:rPr>
                <w:rFonts w:hint="eastAsia"/>
                <w:color w:val="auto"/>
                <w:highlight w:val="none"/>
              </w:rPr>
              <w:t>，联系电话023-</w:t>
            </w:r>
            <w:r>
              <w:rPr>
                <w:rFonts w:hint="eastAsia"/>
                <w:color w:val="auto"/>
                <w:highlight w:val="none"/>
                <w:u w:val="single"/>
              </w:rPr>
              <w:t xml:space="preserve">     </w:t>
            </w:r>
            <w:r>
              <w:rPr>
                <w:rFonts w:hint="eastAsia"/>
                <w:color w:val="auto"/>
                <w:highlight w:val="none"/>
              </w:rPr>
              <w:t>。</w:t>
            </w:r>
          </w:p>
          <w:p w14:paraId="16F4DA36">
            <w:pPr>
              <w:snapToGrid w:val="0"/>
              <w:spacing w:line="400" w:lineRule="exact"/>
              <w:ind w:firstLine="420" w:firstLineChars="200"/>
              <w:rPr>
                <w:rFonts w:hint="eastAsia" w:ascii="宋体" w:hAnsi="宋体" w:cs="MingLiU"/>
                <w:b w:val="0"/>
                <w:bCs/>
                <w:color w:val="auto"/>
                <w:kern w:val="0"/>
                <w:szCs w:val="21"/>
                <w:highlight w:val="none"/>
              </w:rPr>
            </w:pPr>
          </w:p>
          <w:p w14:paraId="4A6C453A">
            <w:pPr>
              <w:snapToGrid w:val="0"/>
              <w:spacing w:line="400" w:lineRule="exact"/>
              <w:ind w:firstLine="420" w:firstLineChars="200"/>
              <w:rPr>
                <w:rFonts w:ascii="宋体" w:hAnsi="宋体" w:cs="MingLiU"/>
                <w:b w:val="0"/>
                <w:bCs/>
                <w:color w:val="auto"/>
                <w:kern w:val="0"/>
                <w:szCs w:val="21"/>
                <w:highlight w:val="none"/>
              </w:rPr>
            </w:pPr>
            <w:r>
              <w:rPr>
                <w:rFonts w:hint="eastAsia" w:ascii="宋体" w:hAnsi="宋体" w:cs="MingLiU"/>
                <w:b w:val="0"/>
                <w:bCs/>
                <w:color w:val="auto"/>
                <w:kern w:val="0"/>
                <w:szCs w:val="21"/>
                <w:highlight w:val="none"/>
              </w:rPr>
              <w:t>方式三</w:t>
            </w:r>
          </w:p>
          <w:p w14:paraId="244A6FA1">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一、</w:t>
            </w:r>
            <w:r>
              <w:rPr>
                <w:rFonts w:hint="eastAsia" w:ascii="宋体" w:hAnsi="宋体"/>
                <w:color w:val="auto"/>
                <w:kern w:val="0"/>
                <w:szCs w:val="21"/>
                <w:highlight w:val="none"/>
              </w:rPr>
              <w:t>以纸质投标保函形式交纳投标保证金</w:t>
            </w:r>
          </w:p>
          <w:p w14:paraId="68DEF0FD">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hint="eastAsia" w:ascii="宋体" w:hAnsi="宋体"/>
                <w:color w:val="auto"/>
                <w:kern w:val="0"/>
                <w:szCs w:val="21"/>
                <w:highlight w:val="none"/>
                <w:lang w:val="en-US" w:eastAsia="zh-CN"/>
              </w:rPr>
              <w:t>纸质投标保函</w:t>
            </w:r>
            <w:r>
              <w:rPr>
                <w:rFonts w:ascii="宋体" w:hAnsi="宋体"/>
                <w:color w:val="auto"/>
                <w:kern w:val="0"/>
                <w:szCs w:val="21"/>
                <w:highlight w:val="none"/>
              </w:rPr>
              <w:t>交纳形式及要求：</w:t>
            </w:r>
          </w:p>
          <w:p w14:paraId="4FE04E99">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（1）缴纳形式：投标人提供</w:t>
            </w:r>
            <w:r>
              <w:rPr>
                <w:rFonts w:hint="eastAsia"/>
                <w:color w:val="auto"/>
                <w:highlight w:val="none"/>
              </w:rPr>
              <w:t>不可撤销且见索即付</w:t>
            </w:r>
            <w:r>
              <w:rPr>
                <w:rFonts w:ascii="宋体" w:hAnsi="宋体"/>
                <w:color w:val="auto"/>
                <w:kern w:val="0"/>
                <w:szCs w:val="21"/>
                <w:highlight w:val="none"/>
              </w:rPr>
              <w:t>的</w:t>
            </w:r>
            <w:r>
              <w:rPr>
                <w:rFonts w:hint="eastAsia" w:ascii="宋体" w:hAnsi="宋体"/>
                <w:color w:val="auto"/>
                <w:kern w:val="0"/>
                <w:szCs w:val="21"/>
                <w:highlight w:val="none"/>
                <w:lang w:val="en-US" w:eastAsia="zh-CN"/>
              </w:rPr>
              <w:t>银行</w:t>
            </w:r>
            <w:r>
              <w:rPr>
                <w:rFonts w:ascii="宋体" w:hAnsi="宋体"/>
                <w:color w:val="auto"/>
                <w:kern w:val="0"/>
                <w:szCs w:val="21"/>
                <w:highlight w:val="none"/>
              </w:rPr>
              <w:t>保函；</w:t>
            </w:r>
          </w:p>
          <w:p w14:paraId="63A34ECC">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（2）具体要求：投标人</w:t>
            </w:r>
            <w:r>
              <w:rPr>
                <w:rFonts w:hint="eastAsia" w:ascii="宋体" w:hAnsi="宋体"/>
                <w:color w:val="auto"/>
                <w:kern w:val="0"/>
                <w:szCs w:val="21"/>
                <w:highlight w:val="none"/>
              </w:rPr>
              <w:t>须在投标文件</w:t>
            </w:r>
            <w:r>
              <w:rPr>
                <w:rFonts w:hint="eastAsia" w:ascii="宋体" w:hAnsi="宋体"/>
                <w:color w:val="auto"/>
                <w:kern w:val="0"/>
                <w:szCs w:val="21"/>
                <w:highlight w:val="none"/>
                <w:lang w:val="en-US" w:eastAsia="zh-CN"/>
              </w:rPr>
              <w:t>资格审查部分“（八）其他资料”中</w:t>
            </w:r>
            <w:r>
              <w:rPr>
                <w:rFonts w:ascii="宋体" w:hAnsi="宋体"/>
                <w:color w:val="auto"/>
                <w:kern w:val="0"/>
                <w:szCs w:val="21"/>
                <w:highlight w:val="none"/>
              </w:rPr>
              <w:t>提供银行开具的</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w:t>
            </w:r>
            <w:r>
              <w:rPr>
                <w:rFonts w:hint="eastAsia" w:ascii="宋体" w:hAnsi="宋体"/>
                <w:color w:val="auto"/>
                <w:kern w:val="0"/>
                <w:szCs w:val="21"/>
                <w:highlight w:val="none"/>
                <w:lang w:val="en-US" w:eastAsia="zh-CN"/>
              </w:rPr>
              <w:t>扫描件</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w:t>
            </w:r>
            <w:r>
              <w:rPr>
                <w:rFonts w:hint="eastAsia" w:ascii="宋体" w:hAnsi="宋体"/>
                <w:color w:val="auto"/>
                <w:kern w:val="0"/>
                <w:szCs w:val="21"/>
                <w:highlight w:val="none"/>
                <w:lang w:val="en-US" w:eastAsia="zh-CN"/>
              </w:rPr>
              <w:t>原件应当于投标截止时间前在开标现场</w:t>
            </w:r>
            <w:r>
              <w:rPr>
                <w:rFonts w:hint="eastAsia" w:ascii="宋体" w:hAnsi="宋体"/>
                <w:color w:val="auto"/>
                <w:kern w:val="0"/>
                <w:szCs w:val="21"/>
                <w:highlight w:val="none"/>
              </w:rPr>
              <w:t>递交招标人保管。</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投标保函应至少体现如下内容：①担保项目必须为本项目；②受益人必须为本项目招标人；③保函担保金额必须满足本项目要求；④保函生效</w:t>
            </w:r>
            <w:r>
              <w:rPr>
                <w:rFonts w:hint="eastAsia" w:ascii="宋体" w:hAnsi="宋体"/>
                <w:color w:val="auto"/>
                <w:kern w:val="0"/>
                <w:szCs w:val="21"/>
                <w:highlight w:val="none"/>
              </w:rPr>
              <w:t>时间</w:t>
            </w:r>
            <w:r>
              <w:rPr>
                <w:rFonts w:ascii="宋体" w:hAnsi="宋体"/>
                <w:color w:val="auto"/>
                <w:kern w:val="0"/>
                <w:szCs w:val="21"/>
                <w:highlight w:val="none"/>
              </w:rPr>
              <w:t>必须在投标截止时间前，有效期限必须至少包含整个投标有效期</w:t>
            </w:r>
            <w:r>
              <w:rPr>
                <w:rFonts w:hint="eastAsia" w:ascii="宋体" w:hAnsi="宋体"/>
                <w:color w:val="auto"/>
                <w:kern w:val="0"/>
                <w:szCs w:val="21"/>
                <w:highlight w:val="none"/>
              </w:rPr>
              <w:t>；⑤保函须不可撤销且见索即付</w:t>
            </w:r>
            <w:r>
              <w:rPr>
                <w:rFonts w:ascii="宋体" w:hAnsi="宋体"/>
                <w:color w:val="auto"/>
                <w:kern w:val="0"/>
                <w:szCs w:val="21"/>
                <w:highlight w:val="none"/>
              </w:rPr>
              <w:t>。</w:t>
            </w:r>
          </w:p>
          <w:p w14:paraId="21B5AFDF">
            <w:pPr>
              <w:snapToGrid w:val="0"/>
              <w:spacing w:line="400" w:lineRule="exact"/>
              <w:ind w:firstLine="420" w:firstLineChars="200"/>
              <w:rPr>
                <w:rFonts w:hint="eastAsia"/>
                <w:color w:val="auto"/>
                <w:highlight w:val="none"/>
              </w:rPr>
            </w:pPr>
            <w:r>
              <w:rPr>
                <w:rFonts w:hint="eastAsia"/>
                <w:color w:val="auto"/>
                <w:highlight w:val="none"/>
              </w:rPr>
              <w:t>若投标截止时间延期，则</w:t>
            </w:r>
            <w:r>
              <w:rPr>
                <w:rFonts w:hint="eastAsia"/>
                <w:color w:val="auto"/>
                <w:highlight w:val="none"/>
                <w:lang w:val="en-US" w:eastAsia="zh-CN"/>
              </w:rPr>
              <w:t>纸质投标保函递</w:t>
            </w:r>
            <w:r>
              <w:rPr>
                <w:rFonts w:hint="eastAsia"/>
                <w:color w:val="auto"/>
                <w:highlight w:val="none"/>
              </w:rPr>
              <w:t>交的截止时间和投标截止时间保持一致。</w:t>
            </w:r>
          </w:p>
          <w:p w14:paraId="273DDB22">
            <w:pPr>
              <w:snapToGrid w:val="0"/>
              <w:spacing w:line="400" w:lineRule="exact"/>
              <w:ind w:firstLine="420" w:firstLineChars="200"/>
              <w:rPr>
                <w:color w:val="auto"/>
                <w:highlight w:val="none"/>
              </w:rPr>
            </w:pPr>
            <w:r>
              <w:rPr>
                <w:rFonts w:hint="eastAsia" w:ascii="宋体" w:hAnsi="宋体"/>
                <w:color w:val="auto"/>
                <w:kern w:val="0"/>
                <w:szCs w:val="21"/>
                <w:highlight w:val="none"/>
                <w:lang w:val="en-US" w:eastAsia="zh-CN"/>
              </w:rPr>
              <w:t>不满足上述要求的纸质</w:t>
            </w:r>
            <w:r>
              <w:rPr>
                <w:rFonts w:ascii="宋体" w:hAnsi="宋体"/>
                <w:color w:val="auto"/>
                <w:kern w:val="0"/>
                <w:szCs w:val="21"/>
                <w:highlight w:val="none"/>
              </w:rPr>
              <w:t>投标保函无效。</w:t>
            </w:r>
          </w:p>
          <w:p w14:paraId="2B76B42B">
            <w:pPr>
              <w:snapToGrid w:val="0"/>
              <w:spacing w:line="400" w:lineRule="exact"/>
              <w:ind w:firstLine="420" w:firstLineChars="200"/>
              <w:rPr>
                <w:rFonts w:hint="eastAsia"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hint="eastAsia"/>
                <w:color w:val="auto"/>
                <w:highlight w:val="none"/>
              </w:rPr>
              <w:t>以</w:t>
            </w:r>
            <w:r>
              <w:rPr>
                <w:rFonts w:hint="eastAsia"/>
                <w:color w:val="auto"/>
                <w:highlight w:val="none"/>
                <w:lang w:val="en-US" w:eastAsia="zh-CN"/>
              </w:rPr>
              <w:t>纸质投标</w:t>
            </w:r>
            <w:r>
              <w:rPr>
                <w:rFonts w:hint="eastAsia"/>
                <w:color w:val="auto"/>
                <w:highlight w:val="none"/>
              </w:rPr>
              <w:t>保函形式担保的</w:t>
            </w:r>
            <w:r>
              <w:rPr>
                <w:color w:val="auto"/>
                <w:highlight w:val="none"/>
              </w:rPr>
              <w:t>投标保证金的金额</w:t>
            </w:r>
            <w:r>
              <w:rPr>
                <w:rFonts w:ascii="宋体" w:hAnsi="宋体"/>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万元整（人民币）</w:t>
            </w:r>
          </w:p>
          <w:p w14:paraId="02ABA2DA">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[提示：投标保证金金额不超过该招标项目估算价或经批准</w:t>
            </w:r>
            <w:r>
              <w:rPr>
                <w:rFonts w:hint="eastAsia" w:ascii="宋体" w:hAnsi="宋体"/>
                <w:i/>
                <w:color w:val="auto"/>
                <w:kern w:val="0"/>
                <w:szCs w:val="21"/>
                <w:highlight w:val="none"/>
                <w:lang w:eastAsia="zh-CN"/>
              </w:rPr>
              <w:t>的</w:t>
            </w:r>
            <w:r>
              <w:rPr>
                <w:rFonts w:hint="eastAsia" w:ascii="宋体" w:hAnsi="宋体"/>
                <w:i/>
                <w:color w:val="auto"/>
                <w:kern w:val="0"/>
                <w:szCs w:val="21"/>
                <w:highlight w:val="none"/>
              </w:rPr>
              <w:t>概算金额或最高限价的2%，红名单中的投标人投标保证金金额可减半（红名单建立完善后使用；联合体投标的，须联合体牵头人在红名单中）。]</w:t>
            </w:r>
          </w:p>
          <w:p w14:paraId="415A3F05">
            <w:pPr>
              <w:snapToGrid w:val="0"/>
              <w:spacing w:line="400" w:lineRule="exact"/>
              <w:ind w:firstLine="420" w:firstLineChars="200"/>
              <w:rPr>
                <w:rFonts w:hint="eastAsia" w:ascii="宋体" w:hAnsi="宋体"/>
                <w:color w:val="auto"/>
                <w:kern w:val="0"/>
                <w:szCs w:val="21"/>
                <w:highlight w:val="none"/>
                <w:lang w:eastAsia="zh-CN"/>
              </w:rPr>
            </w:pPr>
            <w:r>
              <w:rPr>
                <w:rFonts w:hint="eastAsia" w:ascii="宋体" w:hAnsi="宋体"/>
                <w:color w:val="auto"/>
                <w:kern w:val="0"/>
                <w:szCs w:val="21"/>
                <w:highlight w:val="none"/>
                <w:lang w:val="en-US" w:eastAsia="zh-CN"/>
              </w:rPr>
              <w:t xml:space="preserve">3. </w:t>
            </w:r>
            <w:r>
              <w:rPr>
                <w:rFonts w:ascii="宋体" w:hAnsi="宋体"/>
                <w:color w:val="auto"/>
                <w:kern w:val="0"/>
                <w:szCs w:val="21"/>
                <w:highlight w:val="none"/>
              </w:rPr>
              <w:t>投标人</w:t>
            </w:r>
            <w:r>
              <w:rPr>
                <w:rFonts w:ascii="宋体" w:hAnsi="宋体"/>
                <w:strike w:val="0"/>
                <w:color w:val="auto"/>
                <w:kern w:val="0"/>
                <w:szCs w:val="21"/>
                <w:highlight w:val="none"/>
              </w:rPr>
              <w:t>须</w:t>
            </w:r>
            <w:r>
              <w:rPr>
                <w:rFonts w:hint="eastAsia" w:ascii="宋体" w:hAnsi="宋体"/>
                <w:strike w:val="0"/>
                <w:color w:val="auto"/>
                <w:kern w:val="0"/>
                <w:szCs w:val="21"/>
                <w:highlight w:val="none"/>
                <w:lang w:val="en-US" w:eastAsia="zh-CN"/>
              </w:rPr>
              <w:t>确保其递交的纸质</w:t>
            </w:r>
            <w:r>
              <w:rPr>
                <w:rFonts w:ascii="宋体" w:hAnsi="宋体"/>
                <w:strike w:val="0"/>
                <w:color w:val="auto"/>
                <w:kern w:val="0"/>
                <w:szCs w:val="21"/>
                <w:highlight w:val="none"/>
              </w:rPr>
              <w:t>投标保函能在重庆市</w:t>
            </w:r>
            <w:r>
              <w:rPr>
                <w:rFonts w:hint="eastAsia" w:ascii="宋体" w:hAnsi="宋体"/>
                <w:strike w:val="0"/>
                <w:color w:val="auto"/>
                <w:kern w:val="0"/>
                <w:szCs w:val="21"/>
                <w:highlight w:val="none"/>
                <w:lang w:val="en-US" w:eastAsia="zh-CN"/>
              </w:rPr>
              <w:t>中心城区</w:t>
            </w:r>
            <w:r>
              <w:rPr>
                <w:rFonts w:hint="eastAsia" w:ascii="宋体" w:hAnsi="宋体"/>
                <w:strike w:val="0"/>
                <w:color w:val="auto"/>
                <w:kern w:val="0"/>
                <w:szCs w:val="21"/>
                <w:highlight w:val="none"/>
              </w:rPr>
              <w:t>（区县项目应在重庆市</w:t>
            </w:r>
            <w:r>
              <w:rPr>
                <w:rFonts w:hint="eastAsia" w:ascii="宋体" w:hAnsi="宋体"/>
                <w:strike w:val="0"/>
                <w:color w:val="auto"/>
                <w:kern w:val="0"/>
                <w:szCs w:val="21"/>
                <w:highlight w:val="none"/>
                <w:lang w:val="en-US" w:eastAsia="zh-CN"/>
              </w:rPr>
              <w:t>中心城区</w:t>
            </w:r>
            <w:r>
              <w:rPr>
                <w:rFonts w:hint="eastAsia" w:ascii="宋体" w:hAnsi="宋体"/>
                <w:strike w:val="0"/>
                <w:color w:val="auto"/>
                <w:kern w:val="0"/>
                <w:szCs w:val="21"/>
                <w:highlight w:val="none"/>
              </w:rPr>
              <w:t>或项目所在区县）</w:t>
            </w:r>
            <w:r>
              <w:rPr>
                <w:rFonts w:ascii="宋体" w:hAnsi="宋体"/>
                <w:strike w:val="0"/>
                <w:color w:val="auto"/>
                <w:kern w:val="0"/>
                <w:szCs w:val="21"/>
                <w:highlight w:val="none"/>
              </w:rPr>
              <w:t>相关银行</w:t>
            </w:r>
            <w:r>
              <w:rPr>
                <w:rFonts w:hint="eastAsia" w:ascii="宋体" w:hAnsi="宋体"/>
                <w:strike w:val="0"/>
                <w:color w:val="auto"/>
                <w:kern w:val="0"/>
                <w:szCs w:val="21"/>
                <w:highlight w:val="none"/>
                <w:lang w:eastAsia="zh-CN"/>
              </w:rPr>
              <w:t>核验</w:t>
            </w:r>
            <w:r>
              <w:rPr>
                <w:rFonts w:ascii="宋体" w:hAnsi="宋体"/>
                <w:strike w:val="0"/>
                <w:color w:val="auto"/>
                <w:kern w:val="0"/>
                <w:szCs w:val="21"/>
                <w:highlight w:val="none"/>
              </w:rPr>
              <w:t>真伪</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并</w:t>
            </w:r>
            <w:r>
              <w:rPr>
                <w:rFonts w:hint="eastAsia"/>
                <w:color w:val="auto"/>
                <w:highlight w:val="none"/>
              </w:rPr>
              <w:t>在投标文件资格审查部分</w:t>
            </w:r>
            <w:r>
              <w:rPr>
                <w:rFonts w:hint="eastAsia" w:ascii="宋体" w:hAnsi="宋体"/>
                <w:color w:val="auto"/>
                <w:kern w:val="0"/>
                <w:szCs w:val="21"/>
                <w:highlight w:val="none"/>
                <w:lang w:val="en-US" w:eastAsia="zh-CN"/>
              </w:rPr>
              <w:t>“（八）其他资料”中</w:t>
            </w:r>
            <w:r>
              <w:rPr>
                <w:rFonts w:ascii="宋体" w:hAnsi="宋体"/>
                <w:color w:val="auto"/>
                <w:kern w:val="0"/>
                <w:szCs w:val="21"/>
                <w:highlight w:val="none"/>
              </w:rPr>
              <w:t>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投标保函的</w:t>
            </w:r>
            <w:r>
              <w:rPr>
                <w:rFonts w:hint="eastAsia" w:ascii="宋体" w:hAnsi="宋体"/>
                <w:color w:val="auto"/>
                <w:kern w:val="0"/>
                <w:szCs w:val="21"/>
                <w:highlight w:val="none"/>
                <w:lang w:eastAsia="zh-CN"/>
              </w:rPr>
              <w:t>核验</w:t>
            </w:r>
            <w:r>
              <w:rPr>
                <w:rFonts w:hint="eastAsia" w:ascii="宋体" w:hAnsi="宋体"/>
                <w:color w:val="auto"/>
                <w:kern w:val="0"/>
                <w:szCs w:val="21"/>
                <w:highlight w:val="none"/>
              </w:rPr>
              <w:t>地点、方式和联系人</w:t>
            </w:r>
            <w:r>
              <w:rPr>
                <w:rFonts w:hint="eastAsia" w:ascii="宋体" w:hAnsi="宋体"/>
                <w:color w:val="auto"/>
                <w:kern w:val="0"/>
                <w:szCs w:val="21"/>
                <w:highlight w:val="none"/>
                <w:lang w:eastAsia="zh-CN"/>
              </w:rPr>
              <w:t>，</w:t>
            </w:r>
            <w:r>
              <w:rPr>
                <w:rFonts w:ascii="宋体" w:hAnsi="宋体"/>
                <w:color w:val="auto"/>
                <w:kern w:val="0"/>
                <w:szCs w:val="21"/>
                <w:highlight w:val="none"/>
              </w:rPr>
              <w:t>否则</w:t>
            </w:r>
            <w:r>
              <w:rPr>
                <w:rFonts w:hint="eastAsia" w:ascii="宋体" w:hAnsi="宋体"/>
                <w:color w:val="auto"/>
                <w:kern w:val="0"/>
                <w:szCs w:val="21"/>
                <w:highlight w:val="none"/>
                <w:lang w:val="en-US" w:eastAsia="zh-CN"/>
              </w:rPr>
              <w:t>该纸质投标保函视为无效</w:t>
            </w:r>
            <w:r>
              <w:rPr>
                <w:rFonts w:hint="eastAsia" w:ascii="宋体" w:hAnsi="宋体"/>
                <w:color w:val="auto"/>
                <w:kern w:val="0"/>
                <w:szCs w:val="21"/>
                <w:highlight w:val="none"/>
                <w:lang w:eastAsia="zh-CN"/>
              </w:rPr>
              <w:t>。</w:t>
            </w:r>
          </w:p>
          <w:p w14:paraId="5DB12737">
            <w:pPr>
              <w:snapToGrid w:val="0"/>
              <w:spacing w:line="400" w:lineRule="exact"/>
              <w:ind w:firstLine="420" w:firstLineChars="200"/>
              <w:rPr>
                <w:rFonts w:hint="default" w:ascii="宋体" w:hAnsi="宋体"/>
                <w:color w:val="auto"/>
                <w:kern w:val="0"/>
                <w:szCs w:val="21"/>
                <w:highlight w:val="none"/>
                <w:lang w:val="en-US" w:eastAsia="zh-CN"/>
              </w:rPr>
            </w:pPr>
            <w:r>
              <w:rPr>
                <w:rFonts w:hint="eastAsia" w:ascii="宋体" w:hAnsi="宋体"/>
                <w:color w:val="auto"/>
                <w:kern w:val="0"/>
                <w:szCs w:val="21"/>
                <w:highlight w:val="none"/>
                <w:lang w:val="en-US" w:eastAsia="zh-CN"/>
              </w:rPr>
              <w:t>4. 投标人在开标现场递交的纸质投标保函原件应与投标文件中提供的纸质投标保函扫描件一致，否则由评标委员会作否决投标处理。</w:t>
            </w:r>
          </w:p>
          <w:p w14:paraId="4C41D2F9">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 xml:space="preserve">5. </w:t>
            </w:r>
            <w:r>
              <w:rPr>
                <w:rFonts w:hint="eastAsia" w:ascii="宋体" w:hAnsi="宋体"/>
                <w:color w:val="auto"/>
                <w:kern w:val="0"/>
                <w:szCs w:val="21"/>
                <w:highlight w:val="none"/>
              </w:rPr>
              <w:t>在</w:t>
            </w:r>
            <w:r>
              <w:rPr>
                <w:rFonts w:hint="eastAsia" w:ascii="宋体" w:hAnsi="宋体"/>
                <w:color w:val="auto"/>
                <w:kern w:val="0"/>
                <w:szCs w:val="21"/>
                <w:highlight w:val="none"/>
                <w:lang w:val="en-US" w:eastAsia="zh-CN"/>
              </w:rPr>
              <w:t>发出中标通知书前</w:t>
            </w:r>
            <w:r>
              <w:rPr>
                <w:rFonts w:hint="eastAsia" w:ascii="宋体" w:hAnsi="宋体"/>
                <w:color w:val="auto"/>
                <w:kern w:val="0"/>
                <w:szCs w:val="21"/>
                <w:highlight w:val="none"/>
              </w:rPr>
              <w:t>，</w:t>
            </w:r>
            <w:r>
              <w:rPr>
                <w:rFonts w:hint="eastAsia" w:ascii="宋体" w:hAnsi="宋体"/>
                <w:color w:val="auto"/>
                <w:kern w:val="0"/>
                <w:szCs w:val="21"/>
                <w:highlight w:val="none"/>
                <w:lang w:eastAsia="zh-CN"/>
              </w:rPr>
              <w:t>招标人</w:t>
            </w:r>
            <w:r>
              <w:rPr>
                <w:rFonts w:hint="eastAsia" w:ascii="宋体" w:hAnsi="宋体"/>
                <w:color w:val="auto"/>
                <w:kern w:val="0"/>
                <w:szCs w:val="21"/>
                <w:highlight w:val="none"/>
                <w:lang w:val="en-US" w:eastAsia="zh-CN"/>
              </w:rPr>
              <w:t>应当</w:t>
            </w:r>
            <w:r>
              <w:rPr>
                <w:rFonts w:hint="eastAsia" w:ascii="宋体" w:hAnsi="宋体"/>
                <w:color w:val="auto"/>
                <w:kern w:val="0"/>
                <w:szCs w:val="21"/>
                <w:highlight w:val="none"/>
                <w:lang w:eastAsia="zh-CN"/>
              </w:rPr>
              <w:t>对投标人（至少中标候选人或中标人）的纸质投标保函开展核验</w:t>
            </w:r>
            <w:r>
              <w:rPr>
                <w:rFonts w:hint="eastAsia" w:ascii="宋体" w:hAnsi="宋体"/>
                <w:color w:val="auto"/>
                <w:kern w:val="0"/>
                <w:szCs w:val="21"/>
                <w:highlight w:val="none"/>
                <w:lang w:val="en-US" w:eastAsia="zh-CN"/>
              </w:rPr>
              <w:t>。招标人按照投标人提供的</w:t>
            </w:r>
            <w:r>
              <w:rPr>
                <w:rFonts w:hint="eastAsia" w:ascii="宋体" w:hAnsi="宋体"/>
                <w:color w:val="auto"/>
                <w:kern w:val="0"/>
                <w:szCs w:val="21"/>
                <w:highlight w:val="none"/>
                <w:lang w:eastAsia="zh-CN"/>
              </w:rPr>
              <w:t>核验</w:t>
            </w:r>
            <w:r>
              <w:rPr>
                <w:rFonts w:hint="eastAsia" w:ascii="宋体" w:hAnsi="宋体"/>
                <w:color w:val="auto"/>
                <w:kern w:val="0"/>
                <w:szCs w:val="21"/>
                <w:highlight w:val="none"/>
              </w:rPr>
              <w:t>地点、方式和联系人</w:t>
            </w:r>
            <w:r>
              <w:rPr>
                <w:rFonts w:hint="eastAsia" w:ascii="宋体" w:hAnsi="宋体"/>
                <w:color w:val="auto"/>
                <w:kern w:val="0"/>
                <w:szCs w:val="21"/>
                <w:highlight w:val="none"/>
                <w:lang w:val="en-US" w:eastAsia="zh-CN"/>
              </w:rPr>
              <w:t>等信息无法对该纸质投标保函进行核验的，或发现投标人递交的纸质投标保函弄虚作假的，对</w:t>
            </w:r>
            <w:r>
              <w:rPr>
                <w:rFonts w:hint="eastAsia" w:ascii="宋体" w:hAnsi="宋体"/>
                <w:color w:val="auto"/>
                <w:szCs w:val="21"/>
                <w:highlight w:val="none"/>
              </w:rPr>
              <w:t>已取得中标候选人资格或中标资格的</w:t>
            </w:r>
            <w:r>
              <w:rPr>
                <w:rFonts w:hint="eastAsia" w:ascii="宋体" w:hAnsi="宋体"/>
                <w:color w:val="auto"/>
                <w:szCs w:val="21"/>
                <w:highlight w:val="none"/>
                <w:lang w:val="en-US" w:eastAsia="zh-CN"/>
              </w:rPr>
              <w:t>投标人</w:t>
            </w:r>
            <w:r>
              <w:rPr>
                <w:rFonts w:hint="eastAsia" w:ascii="宋体" w:hAnsi="宋体"/>
                <w:color w:val="auto"/>
                <w:szCs w:val="21"/>
                <w:highlight w:val="none"/>
              </w:rPr>
              <w:t>，取消中标候选人资格或中标资格</w:t>
            </w:r>
            <w:r>
              <w:rPr>
                <w:rFonts w:hint="eastAsia" w:ascii="宋体" w:hAnsi="宋体"/>
                <w:color w:val="auto"/>
                <w:kern w:val="0"/>
                <w:szCs w:val="21"/>
                <w:highlight w:val="none"/>
                <w:lang w:eastAsia="zh-CN"/>
              </w:rPr>
              <w:t>，</w:t>
            </w:r>
            <w:r>
              <w:rPr>
                <w:rFonts w:hint="eastAsia" w:ascii="宋体" w:hAnsi="宋体"/>
                <w:color w:val="auto"/>
                <w:szCs w:val="21"/>
                <w:highlight w:val="none"/>
              </w:rPr>
              <w:t>给招标人造成损失的，投标人依法承担赔偿责任</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招标人对纸质投标保函无法核验的，</w:t>
            </w:r>
            <w:r>
              <w:rPr>
                <w:rFonts w:hint="eastAsia" w:ascii="宋体" w:hAnsi="宋体"/>
                <w:color w:val="auto"/>
                <w:kern w:val="0"/>
                <w:szCs w:val="21"/>
                <w:highlight w:val="none"/>
                <w:lang w:val="en-US" w:eastAsia="zh-CN"/>
              </w:rPr>
              <w:t>应当</w:t>
            </w:r>
            <w:r>
              <w:rPr>
                <w:rFonts w:ascii="宋体" w:hAnsi="宋体"/>
                <w:color w:val="auto"/>
                <w:kern w:val="0"/>
                <w:szCs w:val="21"/>
                <w:highlight w:val="none"/>
              </w:rPr>
              <w:t>报行政</w:t>
            </w:r>
            <w:r>
              <w:rPr>
                <w:rFonts w:hint="eastAsia" w:ascii="宋体" w:hAnsi="宋体"/>
                <w:color w:val="auto"/>
                <w:kern w:val="0"/>
                <w:szCs w:val="21"/>
                <w:highlight w:val="none"/>
                <w:lang w:val="en-US" w:eastAsia="zh-CN"/>
              </w:rPr>
              <w:t>监管</w:t>
            </w:r>
            <w:r>
              <w:rPr>
                <w:rFonts w:ascii="宋体" w:hAnsi="宋体"/>
                <w:color w:val="auto"/>
                <w:kern w:val="0"/>
                <w:szCs w:val="21"/>
                <w:highlight w:val="none"/>
              </w:rPr>
              <w:t>部门</w:t>
            </w:r>
            <w:r>
              <w:rPr>
                <w:rFonts w:hint="eastAsia" w:ascii="宋体" w:hAnsi="宋体"/>
                <w:color w:val="auto"/>
                <w:kern w:val="0"/>
                <w:szCs w:val="21"/>
                <w:highlight w:val="none"/>
                <w:lang w:val="en-US" w:eastAsia="zh-CN"/>
              </w:rPr>
              <w:t>依法依规处理</w:t>
            </w:r>
            <w:r>
              <w:rPr>
                <w:rFonts w:hint="eastAsia" w:ascii="宋体" w:hAnsi="宋体"/>
                <w:color w:val="auto"/>
                <w:kern w:val="0"/>
                <w:szCs w:val="21"/>
                <w:highlight w:val="none"/>
                <w:lang w:eastAsia="zh-CN"/>
              </w:rPr>
              <w:t>；</w:t>
            </w:r>
            <w:r>
              <w:rPr>
                <w:rFonts w:hint="eastAsia" w:ascii="宋体" w:hAnsi="宋体"/>
                <w:color w:val="auto"/>
                <w:kern w:val="0"/>
                <w:szCs w:val="21"/>
                <w:highlight w:val="none"/>
                <w:lang w:val="en-US" w:eastAsia="zh-CN"/>
              </w:rPr>
              <w:t>对纸质投标保函</w:t>
            </w:r>
            <w:r>
              <w:rPr>
                <w:rFonts w:hint="eastAsia" w:ascii="宋体" w:hAnsi="宋体"/>
                <w:color w:val="auto"/>
                <w:szCs w:val="21"/>
                <w:highlight w:val="none"/>
                <w:lang w:val="en-US" w:eastAsia="zh-CN"/>
              </w:rPr>
              <w:t>弄虚作假的，</w:t>
            </w:r>
            <w:r>
              <w:rPr>
                <w:rFonts w:hint="eastAsia" w:ascii="宋体" w:hAnsi="宋体"/>
                <w:color w:val="auto"/>
                <w:kern w:val="0"/>
                <w:szCs w:val="21"/>
                <w:highlight w:val="none"/>
                <w:lang w:val="en-US" w:eastAsia="zh-CN"/>
              </w:rPr>
              <w:t>应当</w:t>
            </w:r>
            <w:r>
              <w:rPr>
                <w:rFonts w:ascii="宋体" w:hAnsi="宋体"/>
                <w:color w:val="auto"/>
                <w:kern w:val="0"/>
                <w:szCs w:val="21"/>
                <w:highlight w:val="none"/>
              </w:rPr>
              <w:t>报行政</w:t>
            </w:r>
            <w:r>
              <w:rPr>
                <w:rFonts w:hint="eastAsia" w:ascii="宋体" w:hAnsi="宋体"/>
                <w:color w:val="auto"/>
                <w:kern w:val="0"/>
                <w:szCs w:val="21"/>
                <w:highlight w:val="none"/>
                <w:lang w:val="en-US" w:eastAsia="zh-CN"/>
              </w:rPr>
              <w:t>监管</w:t>
            </w:r>
            <w:r>
              <w:rPr>
                <w:rFonts w:ascii="宋体" w:hAnsi="宋体"/>
                <w:color w:val="auto"/>
                <w:kern w:val="0"/>
                <w:szCs w:val="21"/>
                <w:highlight w:val="none"/>
              </w:rPr>
              <w:t>部门</w:t>
            </w:r>
            <w:r>
              <w:rPr>
                <w:rFonts w:hint="eastAsia" w:ascii="宋体" w:hAnsi="宋体"/>
                <w:color w:val="auto"/>
                <w:kern w:val="0"/>
                <w:szCs w:val="21"/>
                <w:highlight w:val="none"/>
                <w:lang w:val="en-US" w:eastAsia="zh-CN"/>
              </w:rPr>
              <w:t>和公安机关依法依规处理</w:t>
            </w:r>
            <w:r>
              <w:rPr>
                <w:rFonts w:ascii="宋体" w:hAnsi="宋体"/>
                <w:color w:val="auto"/>
                <w:kern w:val="0"/>
                <w:szCs w:val="21"/>
                <w:highlight w:val="none"/>
              </w:rPr>
              <w:t>。</w:t>
            </w:r>
          </w:p>
          <w:p w14:paraId="35F31ABE">
            <w:pPr>
              <w:snapToGrid w:val="0"/>
              <w:spacing w:line="400" w:lineRule="exact"/>
              <w:ind w:firstLine="420" w:firstLineChars="200"/>
              <w:rPr>
                <w:rFonts w:hint="eastAsia" w:ascii="宋体" w:hAnsi="宋体"/>
                <w:color w:val="auto"/>
                <w:kern w:val="0"/>
                <w:szCs w:val="21"/>
                <w:highlight w:val="none"/>
              </w:rPr>
            </w:pPr>
            <w:r>
              <w:rPr>
                <w:rFonts w:hint="eastAsia" w:ascii="宋体" w:hAnsi="宋体"/>
                <w:color w:val="auto"/>
                <w:kern w:val="0"/>
                <w:szCs w:val="21"/>
                <w:highlight w:val="none"/>
                <w:lang w:val="en-US" w:eastAsia="zh-CN"/>
              </w:rPr>
              <w:t>6</w:t>
            </w:r>
            <w:r>
              <w:rPr>
                <w:rFonts w:hint="eastAsia" w:ascii="宋体" w:hAnsi="宋体"/>
                <w:color w:val="auto"/>
                <w:kern w:val="0"/>
                <w:szCs w:val="21"/>
                <w:highlight w:val="none"/>
              </w:rPr>
              <w:t>.</w:t>
            </w:r>
            <w:r>
              <w:rPr>
                <w:rFonts w:hint="eastAsia" w:ascii="宋体" w:hAnsi="宋体"/>
                <w:color w:val="auto"/>
                <w:kern w:val="0"/>
                <w:szCs w:val="21"/>
                <w:highlight w:val="none"/>
                <w:lang w:val="en-US" w:eastAsia="zh-CN"/>
              </w:rPr>
              <w:t xml:space="preserve"> </w:t>
            </w:r>
            <w:r>
              <w:rPr>
                <w:rFonts w:hint="eastAsia" w:ascii="宋体" w:hAnsi="宋体"/>
                <w:color w:val="auto"/>
                <w:kern w:val="0"/>
                <w:szCs w:val="21"/>
                <w:highlight w:val="none"/>
              </w:rPr>
              <w:t>若投标人为联合体，则由联合体牵头人提供</w:t>
            </w:r>
            <w:r>
              <w:rPr>
                <w:rFonts w:hint="eastAsia" w:ascii="宋体" w:hAnsi="宋体"/>
                <w:color w:val="auto"/>
                <w:kern w:val="0"/>
                <w:szCs w:val="21"/>
                <w:highlight w:val="none"/>
                <w:lang w:val="en-US" w:eastAsia="zh-CN"/>
              </w:rPr>
              <w:t>纸质</w:t>
            </w:r>
            <w:r>
              <w:rPr>
                <w:rFonts w:hint="eastAsia" w:ascii="宋体" w:hAnsi="宋体"/>
                <w:color w:val="auto"/>
                <w:kern w:val="0"/>
                <w:szCs w:val="21"/>
                <w:highlight w:val="none"/>
              </w:rPr>
              <w:t>投标保函。</w:t>
            </w:r>
          </w:p>
          <w:p w14:paraId="08ED5B87">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二、</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投标保函的</w:t>
            </w:r>
            <w:r>
              <w:rPr>
                <w:rFonts w:hint="eastAsia" w:ascii="宋体" w:hAnsi="宋体"/>
                <w:color w:val="auto"/>
                <w:kern w:val="0"/>
                <w:szCs w:val="21"/>
                <w:highlight w:val="none"/>
              </w:rPr>
              <w:t>退还、注销</w:t>
            </w:r>
          </w:p>
          <w:p w14:paraId="219F191C">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招标人应当在法定时间内确定中标人，向中标人发出中标通知书，同时向除中标候选人以外的其他投标人退还</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投标保函正本并书面通知相关银行本项目准予提前注销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投标保函。具体注销事宜由投标人与银行协商。</w:t>
            </w:r>
          </w:p>
          <w:p w14:paraId="1A930215">
            <w:pPr>
              <w:snapToGrid w:val="0"/>
              <w:spacing w:line="400" w:lineRule="exact"/>
              <w:ind w:firstLine="420" w:firstLineChars="200"/>
              <w:rPr>
                <w:color w:val="auto"/>
                <w:highlight w:val="none"/>
              </w:rPr>
            </w:pPr>
            <w:r>
              <w:rPr>
                <w:rFonts w:ascii="宋体" w:hAnsi="宋体"/>
                <w:color w:val="auto"/>
                <w:kern w:val="0"/>
                <w:szCs w:val="21"/>
                <w:highlight w:val="none"/>
              </w:rPr>
              <w:t>招标人应在法定时间内和中标人</w:t>
            </w:r>
            <w:r>
              <w:rPr>
                <w:rFonts w:hint="eastAsia" w:ascii="宋体" w:hAnsi="宋体"/>
                <w:color w:val="auto"/>
                <w:kern w:val="0"/>
                <w:szCs w:val="21"/>
                <w:highlight w:val="none"/>
              </w:rPr>
              <w:t>签订</w:t>
            </w:r>
            <w:r>
              <w:rPr>
                <w:rFonts w:ascii="宋体" w:hAnsi="宋体"/>
                <w:color w:val="auto"/>
                <w:kern w:val="0"/>
                <w:szCs w:val="21"/>
                <w:highlight w:val="none"/>
              </w:rPr>
              <w:t>合同，并同时书面通知相关银行向中标人和其他中标候选人注销</w:t>
            </w:r>
            <w:r>
              <w:rPr>
                <w:rFonts w:hint="eastAsia" w:ascii="宋体" w:hAnsi="宋体"/>
                <w:color w:val="auto"/>
                <w:kern w:val="0"/>
                <w:szCs w:val="21"/>
                <w:highlight w:val="none"/>
                <w:lang w:val="en-US" w:eastAsia="zh-CN"/>
              </w:rPr>
              <w:t>纸质</w:t>
            </w:r>
            <w:r>
              <w:rPr>
                <w:rFonts w:ascii="宋体" w:hAnsi="宋体"/>
                <w:color w:val="auto"/>
                <w:kern w:val="0"/>
                <w:szCs w:val="21"/>
                <w:highlight w:val="none"/>
              </w:rPr>
              <w:t>投标保函。具体注销事宜由投标人与银行协商。</w:t>
            </w:r>
          </w:p>
        </w:tc>
      </w:tr>
      <w:tr w14:paraId="6EFB01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DAC347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3.6</w:t>
            </w:r>
          </w:p>
        </w:tc>
        <w:tc>
          <w:tcPr>
            <w:tcW w:w="1644" w:type="dxa"/>
            <w:vAlign w:val="center"/>
          </w:tcPr>
          <w:p w14:paraId="25CD7F9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是否允许递交</w:t>
            </w:r>
          </w:p>
          <w:p w14:paraId="49769352">
            <w:pPr>
              <w:snapToGrid w:val="0"/>
              <w:spacing w:after="93" w:afterLines="30" w:line="400" w:lineRule="exact"/>
              <w:jc w:val="center"/>
              <w:rPr>
                <w:rFonts w:ascii="宋体" w:hAnsi="宋体"/>
                <w:color w:val="auto"/>
                <w:kern w:val="0"/>
                <w:szCs w:val="21"/>
                <w:highlight w:val="none"/>
              </w:rPr>
            </w:pPr>
            <w:r>
              <w:rPr>
                <w:rFonts w:ascii="宋体" w:hAnsi="宋体"/>
                <w:color w:val="auto"/>
                <w:kern w:val="0"/>
                <w:szCs w:val="21"/>
                <w:highlight w:val="none"/>
              </w:rPr>
              <w:t>备选投标方案</w:t>
            </w:r>
          </w:p>
        </w:tc>
        <w:tc>
          <w:tcPr>
            <w:tcW w:w="6490" w:type="dxa"/>
            <w:vAlign w:val="center"/>
          </w:tcPr>
          <w:p w14:paraId="24D687A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口不允许</w:t>
            </w:r>
          </w:p>
          <w:p w14:paraId="2E1CBCDC">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口允许</w:t>
            </w:r>
          </w:p>
        </w:tc>
      </w:tr>
      <w:tr w14:paraId="05D2FF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761F014">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3</w:t>
            </w:r>
            <w:r>
              <w:rPr>
                <w:rFonts w:ascii="宋体" w:hAnsi="宋体"/>
                <w:color w:val="auto"/>
                <w:kern w:val="0"/>
                <w:szCs w:val="21"/>
                <w:highlight w:val="none"/>
              </w:rPr>
              <w:t>.7.1</w:t>
            </w:r>
          </w:p>
        </w:tc>
        <w:tc>
          <w:tcPr>
            <w:tcW w:w="1644" w:type="dxa"/>
            <w:vAlign w:val="center"/>
          </w:tcPr>
          <w:p w14:paraId="589195F6">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投标文件格式要求</w:t>
            </w:r>
          </w:p>
        </w:tc>
        <w:tc>
          <w:tcPr>
            <w:tcW w:w="6490" w:type="dxa"/>
            <w:vAlign w:val="center"/>
          </w:tcPr>
          <w:p w14:paraId="22882AE7">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编制投标文件时不得对第八章“投标文件格式”的相应要素作实质性修改，否则视为重大偏差，由评标委员会作否决投标处理。</w:t>
            </w:r>
          </w:p>
        </w:tc>
      </w:tr>
      <w:tr w14:paraId="41F544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A172F1E">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3.7.3</w:t>
            </w:r>
          </w:p>
        </w:tc>
        <w:tc>
          <w:tcPr>
            <w:tcW w:w="1644" w:type="dxa"/>
            <w:vAlign w:val="center"/>
          </w:tcPr>
          <w:p w14:paraId="0F12D39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签字盖章要求</w:t>
            </w:r>
          </w:p>
        </w:tc>
        <w:tc>
          <w:tcPr>
            <w:tcW w:w="6490" w:type="dxa"/>
            <w:vAlign w:val="center"/>
          </w:tcPr>
          <w:p w14:paraId="6E8D6D09">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投标文件应使用专用的“新点投标文件制作软件（重庆版）”编制而成。第八章投标文件格式要求法定代表人或其委托代理人签字（或盖章）的须齐全，</w:t>
            </w:r>
            <w:r>
              <w:rPr>
                <w:rFonts w:hint="eastAsia" w:ascii="宋体" w:hAnsi="宋体" w:cs="宋体"/>
                <w:color w:val="auto"/>
                <w:kern w:val="0"/>
                <w:highlight w:val="none"/>
              </w:rPr>
              <w:t>要求加盖单位法人章的，应使用 CA 数字证书加盖投标人的单位电子印章。</w:t>
            </w:r>
          </w:p>
          <w:p w14:paraId="7F639469">
            <w:pPr>
              <w:snapToGrid w:val="0"/>
              <w:spacing w:line="400" w:lineRule="exact"/>
              <w:ind w:firstLine="420" w:firstLineChars="200"/>
              <w:rPr>
                <w:rFonts w:ascii="宋体" w:hAnsi="宋体"/>
                <w:color w:val="auto"/>
                <w:szCs w:val="21"/>
                <w:highlight w:val="none"/>
              </w:rPr>
            </w:pPr>
            <w:r>
              <w:rPr>
                <w:rFonts w:hint="eastAsia" w:ascii="宋体" w:hAnsi="宋体" w:cs="宋体"/>
                <w:snapToGrid w:val="0"/>
                <w:color w:val="auto"/>
                <w:kern w:val="0"/>
                <w:szCs w:val="21"/>
                <w:highlight w:val="none"/>
              </w:rPr>
              <w:t>若投标单位为联合体，则联合体协议书中各联合体成员单位签字（或盖章）须齐全，要求各联合体成员盖单位法人章的，各联合体成员盖章须齐全；联合体协议书以外的</w:t>
            </w:r>
            <w:r>
              <w:rPr>
                <w:rFonts w:hint="eastAsia" w:ascii="宋体" w:hAnsi="宋体" w:cs="宋体"/>
                <w:color w:val="auto"/>
                <w:kern w:val="0"/>
                <w:highlight w:val="none"/>
              </w:rPr>
              <w:t>投标文件格式中，要求法定代表人或其委托代理人签字（或盖章）的均由</w:t>
            </w:r>
            <w:r>
              <w:rPr>
                <w:rFonts w:hint="eastAsia" w:ascii="宋体" w:hAnsi="宋体" w:cs="宋体"/>
                <w:snapToGrid w:val="0"/>
                <w:color w:val="auto"/>
                <w:kern w:val="0"/>
                <w:szCs w:val="21"/>
                <w:highlight w:val="none"/>
              </w:rPr>
              <w:t>联合体牵头人</w:t>
            </w:r>
            <w:r>
              <w:rPr>
                <w:rFonts w:hint="eastAsia" w:ascii="宋体" w:hAnsi="宋体" w:cs="宋体"/>
                <w:color w:val="auto"/>
                <w:kern w:val="0"/>
                <w:highlight w:val="none"/>
              </w:rPr>
              <w:t>法定代表人或其委托代理人签字（或盖章），</w:t>
            </w:r>
            <w:r>
              <w:rPr>
                <w:rFonts w:hint="eastAsia" w:ascii="宋体" w:hAnsi="宋体" w:cs="宋体"/>
                <w:snapToGrid w:val="0"/>
                <w:color w:val="auto"/>
                <w:kern w:val="0"/>
                <w:szCs w:val="21"/>
                <w:highlight w:val="none"/>
              </w:rPr>
              <w:t>要求投标人加盖单位法人章的，均由联合体牵头人使用 CA 数字证书加盖其单位电子印章。</w:t>
            </w:r>
          </w:p>
          <w:p w14:paraId="76D4BEFE">
            <w:pPr>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未按上述规定执行的，交由评标委员会作否决投标处理。</w:t>
            </w:r>
          </w:p>
        </w:tc>
      </w:tr>
      <w:tr w14:paraId="67528D0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6C16C7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3.7.4</w:t>
            </w:r>
          </w:p>
        </w:tc>
        <w:tc>
          <w:tcPr>
            <w:tcW w:w="1644" w:type="dxa"/>
            <w:vAlign w:val="center"/>
          </w:tcPr>
          <w:p w14:paraId="6A80DB75">
            <w:pPr>
              <w:snapToGrid w:val="0"/>
              <w:spacing w:line="400" w:lineRule="exact"/>
              <w:rPr>
                <w:rFonts w:ascii="宋体" w:hAnsi="宋体"/>
                <w:color w:val="auto"/>
                <w:spacing w:val="-6"/>
                <w:kern w:val="0"/>
                <w:szCs w:val="21"/>
                <w:highlight w:val="none"/>
              </w:rPr>
            </w:pPr>
            <w:r>
              <w:rPr>
                <w:rFonts w:ascii="宋体" w:hAnsi="宋体"/>
                <w:color w:val="auto"/>
                <w:spacing w:val="-6"/>
                <w:kern w:val="0"/>
                <w:szCs w:val="21"/>
                <w:highlight w:val="none"/>
              </w:rPr>
              <w:t>投标文件的份数</w:t>
            </w:r>
          </w:p>
        </w:tc>
        <w:tc>
          <w:tcPr>
            <w:tcW w:w="6490" w:type="dxa"/>
            <w:vAlign w:val="center"/>
          </w:tcPr>
          <w:p w14:paraId="7A4C719E">
            <w:pPr>
              <w:autoSpaceDE w:val="0"/>
              <w:autoSpaceDN w:val="0"/>
              <w:adjustRightInd w:val="0"/>
              <w:snapToGrid w:val="0"/>
              <w:spacing w:after="93" w:afterLines="30" w:line="400" w:lineRule="exact"/>
              <w:ind w:firstLine="420" w:firstLineChars="200"/>
              <w:rPr>
                <w:rFonts w:ascii="宋体" w:hAnsi="宋体"/>
                <w:i/>
                <w:color w:val="auto"/>
                <w:kern w:val="0"/>
                <w:szCs w:val="21"/>
                <w:highlight w:val="none"/>
              </w:rPr>
            </w:pPr>
            <w:r>
              <w:rPr>
                <w:rFonts w:hint="eastAsia" w:ascii="宋体" w:hAnsi="宋体"/>
                <w:color w:val="auto"/>
                <w:kern w:val="0"/>
                <w:szCs w:val="21"/>
                <w:highlight w:val="none"/>
              </w:rPr>
              <w:t>本工程采用全流程电子招标投标，投标人提供的投标文件为：加密电子投标文件（网上递交）一份。</w:t>
            </w:r>
          </w:p>
        </w:tc>
      </w:tr>
      <w:tr w14:paraId="03C5682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335" w:type="dxa"/>
            <w:vAlign w:val="center"/>
          </w:tcPr>
          <w:p w14:paraId="238E7E3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3.7.5</w:t>
            </w:r>
          </w:p>
        </w:tc>
        <w:tc>
          <w:tcPr>
            <w:tcW w:w="1644" w:type="dxa"/>
            <w:vAlign w:val="center"/>
          </w:tcPr>
          <w:p w14:paraId="215F944F">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编制</w:t>
            </w:r>
            <w:r>
              <w:rPr>
                <w:rFonts w:ascii="宋体" w:hAnsi="宋体"/>
                <w:color w:val="auto"/>
                <w:kern w:val="0"/>
                <w:szCs w:val="21"/>
                <w:highlight w:val="none"/>
              </w:rPr>
              <w:t>要求</w:t>
            </w:r>
          </w:p>
        </w:tc>
        <w:tc>
          <w:tcPr>
            <w:tcW w:w="6490" w:type="dxa"/>
            <w:vAlign w:val="center"/>
          </w:tcPr>
          <w:p w14:paraId="1FC7E41E">
            <w:pPr>
              <w:adjustRightInd w:val="0"/>
              <w:snapToGrid w:val="0"/>
              <w:spacing w:line="400" w:lineRule="exact"/>
              <w:ind w:firstLine="420" w:firstLineChars="200"/>
              <w:rPr>
                <w:rFonts w:ascii="宋体" w:hAnsi="宋体"/>
                <w:i/>
                <w:color w:val="auto"/>
                <w:szCs w:val="21"/>
                <w:highlight w:val="none"/>
              </w:rPr>
            </w:pPr>
            <w:r>
              <w:rPr>
                <w:rFonts w:ascii="宋体" w:hAnsi="宋体"/>
                <w:i/>
                <w:color w:val="auto"/>
                <w:szCs w:val="21"/>
                <w:highlight w:val="none"/>
              </w:rPr>
              <w:t>[提示：适用于电子标暗标编制要求]</w:t>
            </w:r>
          </w:p>
          <w:p w14:paraId="27C3FEE0">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（1）电子投标文件由投标人使用专用的“新点投标文件制作软件（重庆版）”制作生成。</w:t>
            </w:r>
          </w:p>
          <w:p w14:paraId="5349B9C9">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（2）投标人在编制电子投标文件时应当建立分级目录，并按照标签提示导入相关内容。</w:t>
            </w:r>
          </w:p>
          <w:p w14:paraId="0BDFB7E7">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（3）按本章前附表第3</w:t>
            </w:r>
            <w:r>
              <w:rPr>
                <w:rFonts w:ascii="宋体" w:hAnsi="宋体"/>
                <w:color w:val="auto"/>
                <w:szCs w:val="21"/>
                <w:highlight w:val="none"/>
              </w:rPr>
              <w:t>.7.3</w:t>
            </w:r>
            <w:r>
              <w:rPr>
                <w:rFonts w:hint="eastAsia" w:ascii="宋体" w:hAnsi="宋体"/>
                <w:color w:val="auto"/>
                <w:szCs w:val="21"/>
                <w:highlight w:val="none"/>
              </w:rPr>
              <w:t>项签字盖章要求进行投标文件的签署。</w:t>
            </w:r>
          </w:p>
          <w:p w14:paraId="10FA85A5">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（4）电子投标文件制作完成后，将生成一份加密的电子投标文件（后缀名为. CQTF）和一份不加密的电子投标文件（后缀名为. nCQTF）。</w:t>
            </w:r>
          </w:p>
          <w:p w14:paraId="5359D8D2">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（5）投标人如需递交不加密的电子投标文件的，应将不加密的电子投标文件复制到一张光盘中</w:t>
            </w:r>
            <w:r>
              <w:rPr>
                <w:rFonts w:hint="eastAsia"/>
                <w:color w:val="auto"/>
                <w:highlight w:val="none"/>
              </w:rPr>
              <w:t>（光盘备份，仅作为非投标人原因造成的未解密情况补救使用，下同）</w:t>
            </w:r>
            <w:r>
              <w:rPr>
                <w:rFonts w:hint="eastAsia" w:ascii="宋体" w:hAnsi="宋体"/>
                <w:color w:val="auto"/>
                <w:szCs w:val="21"/>
                <w:highlight w:val="none"/>
              </w:rPr>
              <w:t>，光盘表面粘贴标签贴加盖单位法人章，并将招标项目名称、投标人名称等信息填写在标签贴上。</w:t>
            </w:r>
          </w:p>
          <w:p w14:paraId="77A8A867">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（6）电子投标文件制作的具体方法详见“新点投标文件制作软件（重庆版）”中的帮助文档。</w:t>
            </w:r>
          </w:p>
          <w:p w14:paraId="11DCBF0E">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具体要求：</w:t>
            </w:r>
          </w:p>
          <w:p w14:paraId="3EE9D48D">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（1）投标函部分</w:t>
            </w:r>
          </w:p>
          <w:p w14:paraId="3D78B699">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2828C16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（2）资格审查部分</w:t>
            </w:r>
          </w:p>
          <w:p w14:paraId="03AA3F06">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663D52E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（3）经济部分</w:t>
            </w:r>
          </w:p>
          <w:p w14:paraId="71253E3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5FB1858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（4）商务部分（如有）</w:t>
            </w:r>
          </w:p>
          <w:p w14:paraId="2867E05E">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3471B993">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（5）技术部分（如有）</w:t>
            </w:r>
          </w:p>
          <w:p w14:paraId="3E41DBD6">
            <w:pPr>
              <w:adjustRightInd w:val="0"/>
              <w:snapToGrid w:val="0"/>
              <w:spacing w:line="400" w:lineRule="exact"/>
              <w:ind w:firstLine="420" w:firstLineChars="200"/>
              <w:rPr>
                <w:i/>
                <w:iCs/>
                <w:color w:val="auto"/>
                <w:highlight w:val="none"/>
              </w:rPr>
            </w:pPr>
            <w:r>
              <w:rPr>
                <w:rFonts w:ascii="宋体" w:hAnsi="宋体"/>
                <w:i/>
                <w:iCs/>
                <w:color w:val="auto"/>
                <w:szCs w:val="21"/>
                <w:highlight w:val="none"/>
              </w:rPr>
              <w:t>[</w:t>
            </w:r>
            <w:r>
              <w:rPr>
                <w:rFonts w:hint="eastAsia" w:ascii="宋体" w:hAnsi="宋体"/>
                <w:i/>
                <w:iCs/>
                <w:color w:val="auto"/>
                <w:szCs w:val="21"/>
                <w:highlight w:val="none"/>
              </w:rPr>
              <w:t>提示：技术部分包括《</w:t>
            </w:r>
            <w:r>
              <w:rPr>
                <w:rFonts w:hint="eastAsia" w:ascii="宋体" w:hAnsi="宋体"/>
                <w:i/>
                <w:iCs/>
                <w:color w:val="auto"/>
                <w:kern w:val="0"/>
                <w:highlight w:val="none"/>
              </w:rPr>
              <w:t>总承包管理及设计方案</w:t>
            </w:r>
            <w:r>
              <w:rPr>
                <w:rFonts w:hint="eastAsia" w:ascii="宋体" w:hAnsi="宋体"/>
                <w:i/>
                <w:iCs/>
                <w:color w:val="auto"/>
                <w:szCs w:val="21"/>
                <w:highlight w:val="none"/>
              </w:rPr>
              <w:t>》《</w:t>
            </w:r>
            <w:r>
              <w:rPr>
                <w:rFonts w:hint="eastAsia" w:ascii="宋体" w:hAnsi="宋体" w:cs="宋体"/>
                <w:i/>
                <w:iCs/>
                <w:color w:val="auto"/>
                <w:kern w:val="0"/>
                <w:highlight w:val="none"/>
              </w:rPr>
              <w:t>施工组织设计</w:t>
            </w:r>
            <w:r>
              <w:rPr>
                <w:rFonts w:hint="eastAsia" w:ascii="宋体" w:hAnsi="宋体"/>
                <w:i/>
                <w:iCs/>
                <w:color w:val="auto"/>
                <w:szCs w:val="21"/>
                <w:highlight w:val="none"/>
              </w:rPr>
              <w:t>》《</w:t>
            </w:r>
            <w:r>
              <w:rPr>
                <w:rFonts w:hint="eastAsia" w:ascii="宋体" w:hAnsi="宋体" w:cs="宋体"/>
                <w:i/>
                <w:iCs/>
                <w:color w:val="auto"/>
                <w:kern w:val="0"/>
                <w:highlight w:val="none"/>
              </w:rPr>
              <w:t>设备材料技术性能</w:t>
            </w:r>
            <w:r>
              <w:rPr>
                <w:rFonts w:hint="eastAsia" w:ascii="宋体" w:hAnsi="宋体"/>
                <w:i/>
                <w:iCs/>
                <w:color w:val="auto"/>
                <w:szCs w:val="21"/>
                <w:highlight w:val="none"/>
              </w:rPr>
              <w:t>》和“</w:t>
            </w:r>
            <w:r>
              <w:rPr>
                <w:rFonts w:hint="eastAsia" w:ascii="宋体" w:hAnsi="宋体" w:cs="宋体"/>
                <w:i/>
                <w:iCs/>
                <w:color w:val="auto"/>
                <w:kern w:val="0"/>
                <w:highlight w:val="none"/>
              </w:rPr>
              <w:t>投标人答辩</w:t>
            </w:r>
            <w:r>
              <w:rPr>
                <w:rFonts w:hint="eastAsia" w:ascii="宋体" w:hAnsi="宋体"/>
                <w:i/>
                <w:iCs/>
                <w:color w:val="auto"/>
                <w:szCs w:val="21"/>
                <w:highlight w:val="none"/>
              </w:rPr>
              <w:t>”四个部分，本项目根据项目特点和实际需求选择其中的一个或几个部分进行评审，选择的部分和评审内容详见第三章评标办法。除《</w:t>
            </w:r>
            <w:r>
              <w:rPr>
                <w:rFonts w:hint="eastAsia" w:ascii="宋体" w:hAnsi="宋体" w:cs="宋体"/>
                <w:i/>
                <w:iCs/>
                <w:color w:val="auto"/>
                <w:kern w:val="0"/>
                <w:highlight w:val="none"/>
              </w:rPr>
              <w:t>设备材料技术性能</w:t>
            </w:r>
            <w:r>
              <w:rPr>
                <w:rFonts w:hint="eastAsia" w:ascii="宋体" w:hAnsi="宋体"/>
                <w:i/>
                <w:iCs/>
                <w:color w:val="auto"/>
                <w:szCs w:val="21"/>
                <w:highlight w:val="none"/>
              </w:rPr>
              <w:t>》部分外，技术部分其他部分均采用暗标评审。</w:t>
            </w:r>
            <w:r>
              <w:rPr>
                <w:rFonts w:hint="eastAsia"/>
                <w:i/>
                <w:iCs/>
                <w:color w:val="auto"/>
                <w:highlight w:val="none"/>
              </w:rPr>
              <w:t>“投标人答辩”原则上为口头答辩，具体以招标文件的约定为准。</w:t>
            </w:r>
            <w:r>
              <w:rPr>
                <w:i/>
                <w:iCs/>
                <w:color w:val="auto"/>
                <w:highlight w:val="none"/>
              </w:rPr>
              <w:t>]</w:t>
            </w:r>
          </w:p>
          <w:p w14:paraId="5DA8689E">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电子投标文件技术暗标不设封面，整个技术暗标均不得出现白页和倒页；不得出现与本工程无关的内容；不得显示与投标人企业有关的任何信息；技术暗标的文字部分采用四号仿宋字体；图表内的字体、字号大小不限；文字、图表不得使用彩色（效果图除外）和不得编制页码。违反上述任何一项，采用经评审的最低投标价法的其投标文件技术部分符合性评审不合格，由评标委员会作否决投标处理；采用综合评估法的其投标文件技术部分为零分。</w:t>
            </w:r>
          </w:p>
          <w:p w14:paraId="0BFDCE2A">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w:t>
            </w:r>
            <w:r>
              <w:rPr>
                <w:rFonts w:hint="eastAsia" w:ascii="宋体" w:hAnsi="宋体" w:cs="宋体"/>
                <w:color w:val="auto"/>
                <w:kern w:val="0"/>
                <w:highlight w:val="none"/>
              </w:rPr>
              <w:t>设备材料技术性能</w:t>
            </w:r>
            <w:r>
              <w:rPr>
                <w:rFonts w:hint="eastAsia" w:ascii="宋体" w:hAnsi="宋体"/>
                <w:color w:val="auto"/>
                <w:szCs w:val="21"/>
                <w:highlight w:val="none"/>
              </w:rPr>
              <w:t>》部分采用明标评审，电子投标文件技术明标不设封面，应按照第八章规定格式排版，并应编制目录，标注页码。</w:t>
            </w:r>
          </w:p>
        </w:tc>
      </w:tr>
      <w:tr w14:paraId="021884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1EBC08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3.7.5</w:t>
            </w:r>
          </w:p>
        </w:tc>
        <w:tc>
          <w:tcPr>
            <w:tcW w:w="1644" w:type="dxa"/>
            <w:vAlign w:val="center"/>
          </w:tcPr>
          <w:p w14:paraId="15B17CC2">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编制要求</w:t>
            </w:r>
          </w:p>
        </w:tc>
        <w:tc>
          <w:tcPr>
            <w:tcW w:w="6490" w:type="dxa"/>
            <w:vAlign w:val="center"/>
          </w:tcPr>
          <w:p w14:paraId="2B1AFACD">
            <w:pPr>
              <w:adjustRightInd w:val="0"/>
              <w:snapToGrid w:val="0"/>
              <w:spacing w:line="400" w:lineRule="exact"/>
              <w:ind w:firstLine="420" w:firstLineChars="200"/>
              <w:rPr>
                <w:rFonts w:ascii="宋体" w:hAnsi="宋体"/>
                <w:i/>
                <w:color w:val="auto"/>
                <w:szCs w:val="21"/>
                <w:highlight w:val="none"/>
              </w:rPr>
            </w:pPr>
            <w:r>
              <w:rPr>
                <w:rFonts w:ascii="宋体" w:hAnsi="宋体"/>
                <w:i/>
                <w:color w:val="auto"/>
                <w:szCs w:val="21"/>
                <w:highlight w:val="none"/>
              </w:rPr>
              <w:t>[提示：适用于电子标明标编制要求]</w:t>
            </w:r>
          </w:p>
          <w:p w14:paraId="20570C4B">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（1）电子投标文件由投标人使用专用的“新点投标文件制作软件（重庆版）”制作生成。</w:t>
            </w:r>
          </w:p>
          <w:p w14:paraId="032520D7">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（2）投标人在编制电子投标文件时应当建立分级目录，并按照标签提示导入相关内容。</w:t>
            </w:r>
          </w:p>
          <w:p w14:paraId="223C8D8E">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（3）按本章前附表第3</w:t>
            </w:r>
            <w:r>
              <w:rPr>
                <w:rFonts w:ascii="宋体" w:hAnsi="宋体"/>
                <w:color w:val="auto"/>
                <w:szCs w:val="21"/>
                <w:highlight w:val="none"/>
              </w:rPr>
              <w:t>.7.3</w:t>
            </w:r>
            <w:r>
              <w:rPr>
                <w:rFonts w:hint="eastAsia" w:ascii="宋体" w:hAnsi="宋体"/>
                <w:color w:val="auto"/>
                <w:szCs w:val="21"/>
                <w:highlight w:val="none"/>
              </w:rPr>
              <w:t>项签字盖章要求进行投标文件的签署。</w:t>
            </w:r>
          </w:p>
          <w:p w14:paraId="157CC472">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（4）电子投标文件制作完成后，将生成一份加密的电子投标文件（后缀名为.CQTF）和一份不加密的电子投标文件（后缀名为.nCQTF）。</w:t>
            </w:r>
          </w:p>
          <w:p w14:paraId="4079BF33">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（5）投标人如需递交不加密的电子投标文件的，应将不加密的电子投标文件复制到一张光盘中</w:t>
            </w:r>
            <w:r>
              <w:rPr>
                <w:rFonts w:hint="eastAsia"/>
                <w:color w:val="auto"/>
                <w:highlight w:val="none"/>
              </w:rPr>
              <w:t>（光盘备份，仅作为非投标人原因造成的未解密情况补救使用，下同）</w:t>
            </w:r>
            <w:r>
              <w:rPr>
                <w:rFonts w:hint="eastAsia" w:ascii="宋体" w:hAnsi="宋体"/>
                <w:color w:val="auto"/>
                <w:szCs w:val="21"/>
                <w:highlight w:val="none"/>
              </w:rPr>
              <w:t>，光盘表面粘贴标签贴，并将招标项目名称、投标人名称等信息填写在标签贴上。</w:t>
            </w:r>
          </w:p>
          <w:p w14:paraId="10BEEDEF">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（6）电子投标文件制作的具体方法详见“新点投标文件制作软件（重庆版）”中的帮助文档。</w:t>
            </w:r>
          </w:p>
          <w:p w14:paraId="63F1E676">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具体要求：</w:t>
            </w:r>
          </w:p>
          <w:p w14:paraId="2A554D3B">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（1）投标函部分</w:t>
            </w:r>
          </w:p>
          <w:p w14:paraId="1DEA3784">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33968A5C">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（2）资格审查部分</w:t>
            </w:r>
          </w:p>
          <w:p w14:paraId="14393457">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07FD9EA3">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（3）经济部分</w:t>
            </w:r>
          </w:p>
          <w:p w14:paraId="1787EE5E">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62D32274">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（4）商务部分</w:t>
            </w:r>
          </w:p>
          <w:p w14:paraId="10C54D9F">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应按照第八章规定格式排版，并应编制目录。</w:t>
            </w:r>
          </w:p>
          <w:p w14:paraId="03CC07D5">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（5）技术部分（如有）</w:t>
            </w:r>
          </w:p>
          <w:p w14:paraId="544E4965">
            <w:pPr>
              <w:adjustRightInd w:val="0"/>
              <w:snapToGrid w:val="0"/>
              <w:spacing w:line="400" w:lineRule="exact"/>
              <w:ind w:firstLine="420" w:firstLineChars="200"/>
              <w:rPr>
                <w:rFonts w:ascii="宋体" w:hAnsi="宋体"/>
                <w:i/>
                <w:iCs/>
                <w:color w:val="auto"/>
                <w:szCs w:val="21"/>
                <w:highlight w:val="none"/>
              </w:rPr>
            </w:pPr>
            <w:r>
              <w:rPr>
                <w:rFonts w:ascii="宋体" w:hAnsi="宋体"/>
                <w:i/>
                <w:iCs/>
                <w:color w:val="auto"/>
                <w:szCs w:val="21"/>
                <w:highlight w:val="none"/>
              </w:rPr>
              <w:t>[</w:t>
            </w:r>
            <w:r>
              <w:rPr>
                <w:rFonts w:hint="eastAsia" w:ascii="宋体" w:hAnsi="宋体"/>
                <w:i/>
                <w:iCs/>
                <w:color w:val="auto"/>
                <w:szCs w:val="21"/>
                <w:highlight w:val="none"/>
              </w:rPr>
              <w:t>提示：技术部分包括《总承包管理及设计方案》《施工组织设计》《设备材料技术性能》和“投标人答辩”四个部分，本项目根据项目特点和实际需求选择其中的一个或几个部分进行评审，选择的部分和评审内容详见第三章评标办法。“投标人答辩”原则上为口头答辩，具体以招标文件的约定为准。</w:t>
            </w:r>
            <w:r>
              <w:rPr>
                <w:rFonts w:ascii="宋体" w:hAnsi="宋体"/>
                <w:i/>
                <w:iCs/>
                <w:color w:val="auto"/>
                <w:szCs w:val="21"/>
                <w:highlight w:val="none"/>
              </w:rPr>
              <w:t>]</w:t>
            </w:r>
          </w:p>
          <w:p w14:paraId="0A9E7C80">
            <w:pPr>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电子投标文件技术明标不设封面，应按照第八章规定格式排版，并应编制目录，标注页码。</w:t>
            </w:r>
          </w:p>
        </w:tc>
      </w:tr>
      <w:tr w14:paraId="587339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B0D3A29">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4.1.1</w:t>
            </w:r>
          </w:p>
        </w:tc>
        <w:tc>
          <w:tcPr>
            <w:tcW w:w="1644" w:type="dxa"/>
            <w:vAlign w:val="center"/>
          </w:tcPr>
          <w:p w14:paraId="11E0C087">
            <w:pPr>
              <w:snapToGrid w:val="0"/>
              <w:spacing w:line="400" w:lineRule="exact"/>
              <w:jc w:val="center"/>
              <w:rPr>
                <w:rFonts w:ascii="宋体" w:hAnsi="宋体"/>
                <w:color w:val="auto"/>
                <w:spacing w:val="-6"/>
                <w:kern w:val="0"/>
                <w:szCs w:val="21"/>
                <w:highlight w:val="none"/>
              </w:rPr>
            </w:pPr>
            <w:r>
              <w:rPr>
                <w:rFonts w:ascii="宋体" w:hAnsi="宋体"/>
                <w:color w:val="auto"/>
                <w:spacing w:val="-6"/>
                <w:kern w:val="0"/>
                <w:szCs w:val="21"/>
                <w:highlight w:val="none"/>
              </w:rPr>
              <w:t>投标文件的密封</w:t>
            </w:r>
          </w:p>
        </w:tc>
        <w:tc>
          <w:tcPr>
            <w:tcW w:w="6490" w:type="dxa"/>
            <w:vAlign w:val="center"/>
          </w:tcPr>
          <w:p w14:paraId="7F99EB61">
            <w:pPr>
              <w:spacing w:line="400" w:lineRule="exact"/>
              <w:ind w:firstLine="420" w:firstLineChars="200"/>
              <w:rPr>
                <w:color w:val="auto"/>
                <w:highlight w:val="none"/>
              </w:rPr>
            </w:pPr>
            <w:r>
              <w:rPr>
                <w:rFonts w:hint="eastAsia"/>
                <w:color w:val="auto"/>
                <w:highlight w:val="none"/>
              </w:rPr>
              <w:t>电子投标文件的加密</w:t>
            </w:r>
          </w:p>
          <w:p w14:paraId="6876D2BE">
            <w:pPr>
              <w:spacing w:line="400" w:lineRule="exact"/>
              <w:ind w:firstLine="420" w:firstLineChars="200"/>
              <w:rPr>
                <w:color w:val="auto"/>
                <w:highlight w:val="none"/>
              </w:rPr>
            </w:pPr>
            <w:r>
              <w:rPr>
                <w:rFonts w:hint="eastAsia"/>
                <w:color w:val="auto"/>
                <w:highlight w:val="none"/>
              </w:rPr>
              <w:t>加密的电子投标文件应按照本章第4.1.3项要求制作并加密，未按要求加密的电子投标文件，将无法上传至</w:t>
            </w:r>
            <w:r>
              <w:rPr>
                <w:rFonts w:hint="eastAsia"/>
                <w:color w:val="auto"/>
                <w:highlight w:val="none"/>
                <w:u w:val="none"/>
              </w:rPr>
              <w:t>重庆市电子招投标系统</w:t>
            </w:r>
            <w:r>
              <w:rPr>
                <w:rFonts w:hint="eastAsia"/>
                <w:color w:val="auto"/>
                <w:highlight w:val="none"/>
              </w:rPr>
              <w:t>，逾期未完成投标文件上传的，视为撤回投标文件。</w:t>
            </w:r>
          </w:p>
          <w:p w14:paraId="2D3F5DB6">
            <w:pPr>
              <w:adjustRightInd w:val="0"/>
              <w:snapToGrid w:val="0"/>
              <w:spacing w:line="400" w:lineRule="exact"/>
              <w:ind w:firstLine="420" w:firstLineChars="200"/>
              <w:rPr>
                <w:color w:val="auto"/>
                <w:highlight w:val="none"/>
              </w:rPr>
            </w:pPr>
            <w:r>
              <w:rPr>
                <w:rFonts w:hint="eastAsia"/>
                <w:color w:val="auto"/>
                <w:highlight w:val="none"/>
              </w:rPr>
              <w:t>投标人如需递交不加密电子投标文件，应用“投标文件”袋单独封装，并在封口处加盖投标人单位法人章，同时“投标文件”袋应按本表第4.1.2项的规定写明相应内容。“投标文件”袋未按要求密封的，招标人或代理机构应该拒收。</w:t>
            </w:r>
          </w:p>
        </w:tc>
      </w:tr>
      <w:tr w14:paraId="463F73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1F59EF43">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4.1.2</w:t>
            </w:r>
          </w:p>
        </w:tc>
        <w:tc>
          <w:tcPr>
            <w:tcW w:w="1644" w:type="dxa"/>
            <w:vAlign w:val="center"/>
          </w:tcPr>
          <w:p w14:paraId="5DF20A4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封套上写明</w:t>
            </w:r>
          </w:p>
        </w:tc>
        <w:tc>
          <w:tcPr>
            <w:tcW w:w="6490" w:type="dxa"/>
            <w:vAlign w:val="center"/>
          </w:tcPr>
          <w:p w14:paraId="02F39186">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应在</w:t>
            </w:r>
            <w:r>
              <w:rPr>
                <w:rFonts w:ascii="宋体" w:hAnsi="宋体"/>
                <w:color w:val="auto"/>
                <w:szCs w:val="21"/>
                <w:highlight w:val="none"/>
              </w:rPr>
              <w:t xml:space="preserve"> </w:t>
            </w:r>
            <w:r>
              <w:rPr>
                <w:rFonts w:ascii="宋体" w:hAnsi="宋体"/>
                <w:color w:val="auto"/>
                <w:kern w:val="0"/>
                <w:szCs w:val="21"/>
                <w:highlight w:val="none"/>
              </w:rPr>
              <w:t>“投标文件”袋封套上写明如下内容：</w:t>
            </w:r>
          </w:p>
          <w:p w14:paraId="0B6DF091">
            <w:pPr>
              <w:snapToGrid w:val="0"/>
              <w:spacing w:line="400" w:lineRule="exact"/>
              <w:ind w:firstLine="420" w:firstLineChars="200"/>
              <w:rPr>
                <w:rFonts w:ascii="宋体" w:hAnsi="宋体"/>
                <w:color w:val="auto"/>
                <w:kern w:val="0"/>
                <w:szCs w:val="21"/>
                <w:highlight w:val="none"/>
                <w:u w:val="single"/>
              </w:rPr>
            </w:pPr>
            <w:r>
              <w:rPr>
                <w:rFonts w:ascii="宋体" w:hAnsi="宋体"/>
                <w:color w:val="auto"/>
                <w:kern w:val="0"/>
                <w:szCs w:val="21"/>
                <w:highlight w:val="none"/>
              </w:rPr>
              <w:t>招标人名称：</w:t>
            </w:r>
            <w:r>
              <w:rPr>
                <w:rFonts w:hint="eastAsia" w:ascii="宋体" w:hAnsi="宋体"/>
                <w:color w:val="auto"/>
                <w:kern w:val="0"/>
                <w:szCs w:val="21"/>
                <w:highlight w:val="none"/>
                <w:u w:val="single"/>
              </w:rPr>
              <w:t xml:space="preserve">            </w:t>
            </w:r>
          </w:p>
          <w:p w14:paraId="2B511E97">
            <w:pPr>
              <w:snapToGrid w:val="0"/>
              <w:spacing w:line="400" w:lineRule="exact"/>
              <w:ind w:firstLine="420" w:firstLineChars="200"/>
              <w:rPr>
                <w:rFonts w:ascii="宋体" w:hAnsi="宋体"/>
                <w:color w:val="auto"/>
                <w:kern w:val="0"/>
                <w:szCs w:val="21"/>
                <w:highlight w:val="none"/>
                <w:u w:val="single"/>
              </w:rPr>
            </w:pPr>
            <w:r>
              <w:rPr>
                <w:rFonts w:hint="eastAsia" w:ascii="宋体" w:hAnsi="宋体"/>
                <w:color w:val="auto"/>
                <w:kern w:val="0"/>
                <w:szCs w:val="21"/>
                <w:highlight w:val="none"/>
              </w:rPr>
              <w:t>投标人名称：</w:t>
            </w:r>
            <w:r>
              <w:rPr>
                <w:rFonts w:hint="eastAsia" w:ascii="宋体" w:hAnsi="宋体"/>
                <w:color w:val="auto"/>
                <w:kern w:val="0"/>
                <w:szCs w:val="21"/>
                <w:highlight w:val="none"/>
                <w:u w:val="single"/>
              </w:rPr>
              <w:t xml:space="preserve">            </w:t>
            </w:r>
          </w:p>
          <w:p w14:paraId="37234C0B">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u w:val="single"/>
              </w:rPr>
              <w:t xml:space="preserve">                （项目名称）</w:t>
            </w:r>
            <w:r>
              <w:rPr>
                <w:rFonts w:ascii="宋体" w:hAnsi="宋体"/>
                <w:color w:val="auto"/>
                <w:kern w:val="0"/>
                <w:szCs w:val="21"/>
                <w:highlight w:val="none"/>
              </w:rPr>
              <w:t>投标文件</w:t>
            </w:r>
          </w:p>
          <w:p w14:paraId="5E1B39D0">
            <w:pPr>
              <w:snapToGrid w:val="0"/>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在</w:t>
            </w: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时</w:t>
            </w:r>
            <w:r>
              <w:rPr>
                <w:rFonts w:hint="eastAsia" w:ascii="宋体" w:hAnsi="宋体"/>
                <w:color w:val="auto"/>
                <w:kern w:val="0"/>
                <w:szCs w:val="21"/>
                <w:highlight w:val="none"/>
                <w:u w:val="single"/>
              </w:rPr>
              <w:t xml:space="preserve">    </w:t>
            </w:r>
            <w:r>
              <w:rPr>
                <w:rFonts w:ascii="宋体" w:hAnsi="宋体"/>
                <w:color w:val="auto"/>
                <w:kern w:val="0"/>
                <w:szCs w:val="21"/>
                <w:highlight w:val="none"/>
              </w:rPr>
              <w:t>分前不得开启</w:t>
            </w:r>
          </w:p>
        </w:tc>
      </w:tr>
      <w:tr w14:paraId="29A74F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D7EFE2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4.2.2</w:t>
            </w:r>
          </w:p>
        </w:tc>
        <w:tc>
          <w:tcPr>
            <w:tcW w:w="1644" w:type="dxa"/>
            <w:vAlign w:val="center"/>
          </w:tcPr>
          <w:p w14:paraId="3966020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递交投标文件地点</w:t>
            </w:r>
          </w:p>
        </w:tc>
        <w:tc>
          <w:tcPr>
            <w:tcW w:w="6490" w:type="dxa"/>
            <w:vAlign w:val="center"/>
          </w:tcPr>
          <w:p w14:paraId="56479602">
            <w:pPr>
              <w:snapToGrid w:val="0"/>
              <w:spacing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投标人应当在投标截止时间前，通过互联网使用CA数字证书登录“</w:t>
            </w:r>
            <w:r>
              <w:rPr>
                <w:rFonts w:hint="eastAsia" w:ascii="宋体" w:hAnsi="宋体"/>
                <w:bCs/>
                <w:color w:val="auto"/>
                <w:szCs w:val="21"/>
                <w:highlight w:val="none"/>
                <w:u w:val="none"/>
              </w:rPr>
              <w:t>重庆市电子招投标系统</w:t>
            </w:r>
            <w:r>
              <w:rPr>
                <w:rFonts w:hint="eastAsia" w:ascii="宋体" w:hAnsi="宋体"/>
                <w:bCs/>
                <w:color w:val="auto"/>
                <w:szCs w:val="21"/>
                <w:highlight w:val="none"/>
              </w:rPr>
              <w:t>”，将加密的电子投标文件上传。</w:t>
            </w:r>
          </w:p>
          <w:p w14:paraId="4E10F970">
            <w:pPr>
              <w:snapToGrid w:val="0"/>
              <w:spacing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特别注意：投标人如需现场递交不加密电子投标文件（光盘备份）等备用资料，则须在投标截止时间前递交，递交地点为</w:t>
            </w:r>
            <w:r>
              <w:rPr>
                <w:rFonts w:hint="eastAsia" w:ascii="宋体" w:hAnsi="宋体"/>
                <w:bCs/>
                <w:color w:val="auto"/>
                <w:szCs w:val="21"/>
                <w:highlight w:val="none"/>
                <w:u w:val="single"/>
              </w:rPr>
              <w:t>重庆市公共资源交易中心开标区</w:t>
            </w:r>
            <w:r>
              <w:rPr>
                <w:rFonts w:hint="eastAsia" w:ascii="宋体" w:hAnsi="宋体"/>
                <w:bCs/>
                <w:color w:val="auto"/>
                <w:szCs w:val="21"/>
                <w:highlight w:val="none"/>
              </w:rPr>
              <w:t>（具体</w:t>
            </w:r>
            <w:r>
              <w:rPr>
                <w:rFonts w:hint="eastAsia" w:ascii="宋体" w:hAnsi="宋体"/>
                <w:bCs/>
                <w:color w:val="auto"/>
                <w:szCs w:val="21"/>
                <w:highlight w:val="none"/>
                <w:lang w:eastAsia="zh-CN"/>
              </w:rPr>
              <w:t>请登录</w:t>
            </w:r>
            <w:r>
              <w:rPr>
                <w:rFonts w:hint="eastAsia" w:ascii="宋体" w:hAnsi="宋体"/>
                <w:bCs/>
                <w:color w:val="auto"/>
                <w:szCs w:val="21"/>
                <w:highlight w:val="none"/>
                <w:u w:val="single"/>
              </w:rPr>
              <w:t>重庆市公共资源交易网（www.cqggzy.com）</w:t>
            </w:r>
            <w:r>
              <w:rPr>
                <w:rFonts w:hint="eastAsia" w:ascii="宋体" w:hAnsi="宋体"/>
                <w:bCs/>
                <w:color w:val="auto"/>
                <w:szCs w:val="21"/>
                <w:highlight w:val="none"/>
              </w:rPr>
              <w:t>查询或递交文件当日见交易中心大厅电子显示屏）。</w:t>
            </w:r>
          </w:p>
        </w:tc>
      </w:tr>
      <w:tr w14:paraId="730752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D914846">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4.2.3</w:t>
            </w:r>
          </w:p>
        </w:tc>
        <w:tc>
          <w:tcPr>
            <w:tcW w:w="1644" w:type="dxa"/>
            <w:vAlign w:val="center"/>
          </w:tcPr>
          <w:p w14:paraId="552F55E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是否退还投标文件</w:t>
            </w:r>
          </w:p>
        </w:tc>
        <w:tc>
          <w:tcPr>
            <w:tcW w:w="6490" w:type="dxa"/>
            <w:vAlign w:val="center"/>
          </w:tcPr>
          <w:p w14:paraId="7F5A2671">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否</w:t>
            </w:r>
          </w:p>
        </w:tc>
      </w:tr>
      <w:tr w14:paraId="1ECDFB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6AABB4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5.1</w:t>
            </w:r>
            <w:r>
              <w:rPr>
                <w:rFonts w:hint="eastAsia" w:ascii="宋体" w:hAnsi="宋体"/>
                <w:color w:val="auto"/>
                <w:kern w:val="0"/>
                <w:szCs w:val="21"/>
                <w:highlight w:val="none"/>
              </w:rPr>
              <w:t>.1</w:t>
            </w:r>
          </w:p>
        </w:tc>
        <w:tc>
          <w:tcPr>
            <w:tcW w:w="1644" w:type="dxa"/>
            <w:vAlign w:val="center"/>
          </w:tcPr>
          <w:p w14:paraId="6CA0A690">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开标时间和</w:t>
            </w:r>
          </w:p>
          <w:p w14:paraId="3E74BEC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地点</w:t>
            </w:r>
          </w:p>
        </w:tc>
        <w:tc>
          <w:tcPr>
            <w:tcW w:w="6490" w:type="dxa"/>
            <w:vAlign w:val="center"/>
          </w:tcPr>
          <w:p w14:paraId="4BF30787">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开标时间：同投标截止时间</w:t>
            </w:r>
          </w:p>
          <w:p w14:paraId="02F867EB">
            <w:pPr>
              <w:snapToGrid w:val="0"/>
              <w:spacing w:line="400" w:lineRule="exact"/>
              <w:ind w:firstLine="420" w:firstLineChars="200"/>
              <w:rPr>
                <w:rFonts w:ascii="宋体" w:hAnsi="宋体"/>
                <w:bCs/>
                <w:color w:val="auto"/>
                <w:szCs w:val="21"/>
                <w:highlight w:val="none"/>
              </w:rPr>
            </w:pPr>
            <w:r>
              <w:rPr>
                <w:rFonts w:ascii="宋体" w:hAnsi="宋体"/>
                <w:color w:val="auto"/>
                <w:kern w:val="0"/>
                <w:szCs w:val="21"/>
                <w:highlight w:val="none"/>
              </w:rPr>
              <w:t>开标地点：</w:t>
            </w:r>
            <w:r>
              <w:rPr>
                <w:rFonts w:ascii="宋体" w:hAnsi="宋体"/>
                <w:bCs/>
                <w:color w:val="auto"/>
                <w:szCs w:val="21"/>
                <w:highlight w:val="none"/>
                <w:u w:val="single"/>
              </w:rPr>
              <w:t>重庆市</w:t>
            </w:r>
            <w:r>
              <w:rPr>
                <w:rFonts w:hint="eastAsia" w:ascii="宋体" w:hAnsi="宋体"/>
                <w:bCs/>
                <w:color w:val="auto"/>
                <w:szCs w:val="21"/>
                <w:highlight w:val="none"/>
                <w:u w:val="single"/>
              </w:rPr>
              <w:t>公共资源</w:t>
            </w:r>
            <w:r>
              <w:rPr>
                <w:rFonts w:ascii="宋体" w:hAnsi="宋体"/>
                <w:bCs/>
                <w:color w:val="auto"/>
                <w:szCs w:val="21"/>
                <w:highlight w:val="none"/>
                <w:u w:val="single"/>
              </w:rPr>
              <w:t>交易中心开标室</w:t>
            </w:r>
            <w:r>
              <w:rPr>
                <w:rFonts w:ascii="宋体" w:hAnsi="宋体"/>
                <w:bCs/>
                <w:color w:val="auto"/>
                <w:szCs w:val="21"/>
                <w:highlight w:val="none"/>
              </w:rPr>
              <w:t>（具体</w:t>
            </w:r>
            <w:r>
              <w:rPr>
                <w:rFonts w:hint="eastAsia" w:ascii="宋体" w:hAnsi="宋体"/>
                <w:bCs/>
                <w:color w:val="auto"/>
                <w:szCs w:val="21"/>
                <w:highlight w:val="none"/>
                <w:lang w:eastAsia="zh-CN"/>
              </w:rPr>
              <w:t>请登录</w:t>
            </w:r>
            <w:r>
              <w:rPr>
                <w:rFonts w:hint="eastAsia" w:ascii="宋体" w:hAnsi="宋体"/>
                <w:bCs/>
                <w:color w:val="auto"/>
                <w:szCs w:val="21"/>
                <w:highlight w:val="none"/>
                <w:u w:val="single"/>
              </w:rPr>
              <w:t>重庆市公共资源交易网（www.cqggzy.com）</w:t>
            </w:r>
            <w:r>
              <w:rPr>
                <w:rFonts w:ascii="宋体" w:hAnsi="宋体"/>
                <w:bCs/>
                <w:color w:val="auto"/>
                <w:szCs w:val="21"/>
                <w:highlight w:val="none"/>
              </w:rPr>
              <w:t>查询或递交文件当日见交易中心大厅电子显示屏）。</w:t>
            </w:r>
          </w:p>
          <w:p w14:paraId="490B9DE2">
            <w:pPr>
              <w:snapToGrid w:val="0"/>
              <w:spacing w:line="400" w:lineRule="exact"/>
              <w:ind w:firstLine="420" w:firstLineChars="200"/>
              <w:rPr>
                <w:rFonts w:ascii="宋体" w:hAnsi="宋体"/>
                <w:bCs/>
                <w:color w:val="auto"/>
                <w:szCs w:val="21"/>
                <w:highlight w:val="none"/>
              </w:rPr>
            </w:pPr>
            <w:r>
              <w:rPr>
                <w:rFonts w:hint="eastAsia" w:ascii="宋体" w:hAnsi="宋体"/>
                <w:bCs/>
                <w:color w:val="auto"/>
                <w:szCs w:val="21"/>
                <w:highlight w:val="none"/>
              </w:rPr>
              <w:t>特别注意：解密投标文件需使用加密电子投标文件的CA数字证书。投标人代表可携带该CA数字证书到开标现场完成投标文件解密工作，或通过互联网使用该CA数字证书登录</w:t>
            </w:r>
            <w:r>
              <w:rPr>
                <w:rFonts w:hint="eastAsia" w:ascii="宋体" w:hAnsi="宋体"/>
                <w:bCs/>
                <w:color w:val="auto"/>
                <w:szCs w:val="21"/>
                <w:highlight w:val="none"/>
                <w:u w:val="none"/>
              </w:rPr>
              <w:t>重庆市电子招投标系统</w:t>
            </w:r>
            <w:r>
              <w:rPr>
                <w:rFonts w:hint="eastAsia" w:ascii="宋体" w:hAnsi="宋体"/>
                <w:bCs/>
                <w:color w:val="auto"/>
                <w:szCs w:val="21"/>
                <w:highlight w:val="none"/>
              </w:rPr>
              <w:t>，采用远程解密的方式在投标须知前附表规定的时间内完成投标文件解密工作。</w:t>
            </w:r>
          </w:p>
        </w:tc>
      </w:tr>
      <w:tr w14:paraId="6BDA8D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6B1DFC5">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5.1.2</w:t>
            </w:r>
          </w:p>
        </w:tc>
        <w:tc>
          <w:tcPr>
            <w:tcW w:w="1644" w:type="dxa"/>
            <w:vAlign w:val="center"/>
          </w:tcPr>
          <w:p w14:paraId="1A853AE8">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解密时间</w:t>
            </w:r>
          </w:p>
        </w:tc>
        <w:tc>
          <w:tcPr>
            <w:tcW w:w="6490" w:type="dxa"/>
            <w:vAlign w:val="center"/>
          </w:tcPr>
          <w:p w14:paraId="52470CEA">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投标截止时间后 30 分钟内</w:t>
            </w:r>
          </w:p>
          <w:p w14:paraId="292AB318">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特别注意：因非投标人原因影响解密时间的，招标人可根据现场实际情况</w:t>
            </w:r>
            <w:r>
              <w:rPr>
                <w:rFonts w:hint="eastAsia" w:ascii="宋体" w:hAnsi="宋体"/>
                <w:bCs/>
                <w:color w:val="auto"/>
                <w:szCs w:val="21"/>
                <w:highlight w:val="none"/>
              </w:rPr>
              <w:t>延长解密时间；</w:t>
            </w:r>
            <w:r>
              <w:rPr>
                <w:rFonts w:hint="eastAsia" w:ascii="宋体" w:hAnsi="宋体"/>
                <w:color w:val="auto"/>
                <w:kern w:val="0"/>
                <w:szCs w:val="21"/>
                <w:highlight w:val="none"/>
              </w:rPr>
              <w:t>因投标人原因未完成解密工作的，视为撤销其投标文件，其投标保证金不予退还。</w:t>
            </w:r>
          </w:p>
        </w:tc>
      </w:tr>
      <w:tr w14:paraId="29A391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13F4227">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5.2</w:t>
            </w:r>
          </w:p>
        </w:tc>
        <w:tc>
          <w:tcPr>
            <w:tcW w:w="1644" w:type="dxa"/>
            <w:vAlign w:val="center"/>
          </w:tcPr>
          <w:p w14:paraId="6FF20444">
            <w:pPr>
              <w:snapToGrid w:val="0"/>
              <w:spacing w:line="400" w:lineRule="exact"/>
              <w:jc w:val="center"/>
              <w:rPr>
                <w:rFonts w:ascii="宋体" w:hAnsi="宋体"/>
                <w:color w:val="auto"/>
                <w:szCs w:val="21"/>
                <w:highlight w:val="none"/>
              </w:rPr>
            </w:pPr>
            <w:r>
              <w:rPr>
                <w:rFonts w:hint="eastAsia" w:ascii="宋体" w:hAnsi="宋体"/>
                <w:color w:val="auto"/>
                <w:szCs w:val="21"/>
                <w:highlight w:val="none"/>
              </w:rPr>
              <w:t>开标程序</w:t>
            </w:r>
          </w:p>
        </w:tc>
        <w:tc>
          <w:tcPr>
            <w:tcW w:w="6490" w:type="dxa"/>
            <w:vAlign w:val="center"/>
          </w:tcPr>
          <w:p w14:paraId="42FA598C">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主持人按下列程序进行开标：</w:t>
            </w:r>
          </w:p>
          <w:p w14:paraId="758BD888">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 开标时间（应与投标截止时间一致），交易系统自动提取所有在投标截止时间前成功投递的投标文件。经招标人或代理机构确认开标开始后，系统进入开标环节，公布投标人名单。</w:t>
            </w:r>
          </w:p>
          <w:p w14:paraId="4303AD5D">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 投标文件提取完成，经招标人或代理机构确认开始解密环节，系统提示投标人在招标文件规定的时间内自行解密其经加密的电子投标文件。</w:t>
            </w:r>
          </w:p>
          <w:p w14:paraId="6C843F95">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在规定的时间内未成功解密的投标文件处理方式：①对电子招投标系统等非投标人原因造成的未解密情况，采取导入由相应投标人提供的不加密的电子投标文件（光盘备份）作为补救措施；②对因未提供不加密的电子投标文件（光盘备份）等投标人自身原因造成的未解密情况，视为投标人撤销投标文件。</w:t>
            </w:r>
          </w:p>
          <w:p w14:paraId="76292B00">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 解密全部完成或招标文件规定的解密时间截止后，经招标人或代理机构确认，进入唱标环节。交易系统展示最终解密结果，公布成功解密投标人名单，并备注投标文件未成功解密的原因（若有）。</w:t>
            </w:r>
          </w:p>
          <w:p w14:paraId="343E1A9D">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 汇总投标保证金交纳情况</w:t>
            </w:r>
          </w:p>
          <w:p w14:paraId="1FF6AFFE">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4.1 展示以</w:t>
            </w:r>
            <w:r>
              <w:rPr>
                <w:rFonts w:hint="eastAsia" w:ascii="宋体" w:hAnsi="宋体"/>
                <w:color w:val="auto"/>
                <w:szCs w:val="21"/>
                <w:highlight w:val="none"/>
                <w:lang w:val="en-US" w:eastAsia="zh-CN"/>
              </w:rPr>
              <w:t>电子</w:t>
            </w:r>
            <w:r>
              <w:rPr>
                <w:rFonts w:hint="eastAsia" w:ascii="宋体" w:hAnsi="宋体"/>
                <w:color w:val="auto"/>
                <w:szCs w:val="21"/>
                <w:highlight w:val="none"/>
              </w:rPr>
              <w:t>投标保函方式递交投标保证金的保证金交纳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rPr>
              <w:t>，应至少包含投标人名称、金额、投标保函提交时间等。电子投标保函应在投标截止时间前提交至指定系统，异常情况在开标记录表</w:t>
            </w:r>
            <w:r>
              <w:rPr>
                <w:rFonts w:hint="eastAsia" w:ascii="宋体" w:hAnsi="宋体"/>
                <w:color w:val="auto"/>
                <w:szCs w:val="21"/>
                <w:highlight w:val="none"/>
                <w:lang w:val="en-US" w:eastAsia="zh-CN"/>
              </w:rPr>
              <w:t>“异常情况”栏中</w:t>
            </w:r>
            <w:r>
              <w:rPr>
                <w:rFonts w:hint="eastAsia" w:ascii="宋体" w:hAnsi="宋体"/>
                <w:color w:val="auto"/>
                <w:szCs w:val="21"/>
                <w:highlight w:val="none"/>
              </w:rPr>
              <w:t>记录并交由评标委员会评审。</w:t>
            </w:r>
          </w:p>
          <w:p w14:paraId="1D9A3387">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4.2 展示以电子转账方式递交投标保证金的保证金交纳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rPr>
              <w:t>，应至少包含投标人名称、金额、投标保证金打入指定账户的时间等，异常情况在开标记录表</w:t>
            </w:r>
            <w:r>
              <w:rPr>
                <w:rFonts w:hint="eastAsia" w:ascii="宋体" w:hAnsi="宋体"/>
                <w:color w:val="auto"/>
                <w:szCs w:val="21"/>
                <w:highlight w:val="none"/>
                <w:lang w:val="en-US" w:eastAsia="zh-CN"/>
              </w:rPr>
              <w:t>“异常情况”栏中</w:t>
            </w:r>
            <w:r>
              <w:rPr>
                <w:rFonts w:hint="eastAsia" w:ascii="宋体" w:hAnsi="宋体"/>
                <w:color w:val="auto"/>
                <w:szCs w:val="21"/>
                <w:highlight w:val="none"/>
              </w:rPr>
              <w:t>记录并交由评标委员会评审。保证金来款账户非基本账户的，交由评标委员会作否决投标处理。</w:t>
            </w:r>
          </w:p>
          <w:p w14:paraId="5FFD0AEE">
            <w:pPr>
              <w:autoSpaceDE w:val="0"/>
              <w:autoSpaceDN w:val="0"/>
              <w:adjustRightInd w:val="0"/>
              <w:snapToGrid w:val="0"/>
              <w:spacing w:line="400" w:lineRule="exact"/>
              <w:ind w:firstLine="420" w:firstLineChars="200"/>
              <w:rPr>
                <w:rFonts w:hint="eastAsia"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3</w:t>
            </w:r>
            <w:r>
              <w:rPr>
                <w:rFonts w:hint="eastAsia" w:ascii="宋体" w:hAnsi="宋体"/>
                <w:color w:val="auto"/>
                <w:szCs w:val="21"/>
                <w:highlight w:val="none"/>
              </w:rPr>
              <w:t xml:space="preserve"> 展示以</w:t>
            </w:r>
            <w:r>
              <w:rPr>
                <w:rFonts w:hint="eastAsia" w:ascii="宋体" w:hAnsi="宋体"/>
                <w:color w:val="auto"/>
                <w:szCs w:val="21"/>
                <w:highlight w:val="none"/>
                <w:lang w:val="en-US" w:eastAsia="zh-CN"/>
              </w:rPr>
              <w:t>纸质投标保函</w:t>
            </w:r>
            <w:r>
              <w:rPr>
                <w:rFonts w:hint="eastAsia" w:ascii="宋体" w:hAnsi="宋体"/>
                <w:color w:val="auto"/>
                <w:szCs w:val="21"/>
                <w:highlight w:val="none"/>
              </w:rPr>
              <w:t>方式递交投标保证金的保证金交纳</w:t>
            </w:r>
            <w:r>
              <w:rPr>
                <w:rFonts w:hint="eastAsia" w:ascii="宋体" w:hAnsi="宋体"/>
                <w:color w:val="auto"/>
                <w:szCs w:val="21"/>
                <w:highlight w:val="none"/>
                <w:lang w:val="en-US" w:eastAsia="zh-CN"/>
              </w:rPr>
              <w:t>情况</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并记录在“纸质投标保函递交情况一览表”中</w:t>
            </w:r>
            <w:r>
              <w:rPr>
                <w:rFonts w:hint="eastAsia" w:ascii="宋体" w:hAnsi="宋体"/>
                <w:color w:val="auto"/>
                <w:szCs w:val="21"/>
                <w:highlight w:val="none"/>
                <w:lang w:eastAsia="zh-CN"/>
              </w:rPr>
              <w:t>，</w:t>
            </w:r>
            <w:r>
              <w:rPr>
                <w:rFonts w:hint="eastAsia" w:ascii="宋体" w:hAnsi="宋体"/>
                <w:color w:val="auto"/>
                <w:szCs w:val="21"/>
                <w:highlight w:val="none"/>
              </w:rPr>
              <w:t>异常情况在开标记录表</w:t>
            </w:r>
            <w:r>
              <w:rPr>
                <w:rFonts w:hint="eastAsia" w:ascii="宋体" w:hAnsi="宋体"/>
                <w:color w:val="auto"/>
                <w:szCs w:val="21"/>
                <w:highlight w:val="none"/>
                <w:lang w:val="en-US" w:eastAsia="zh-CN"/>
              </w:rPr>
              <w:t>“异常情况”栏中记录。纸质投标保函原件与纸质投标保函递交情况一览表、</w:t>
            </w:r>
            <w:r>
              <w:rPr>
                <w:rFonts w:hint="eastAsia" w:ascii="宋体" w:hAnsi="宋体"/>
                <w:color w:val="auto"/>
                <w:szCs w:val="21"/>
                <w:highlight w:val="none"/>
              </w:rPr>
              <w:t>开标记录表</w:t>
            </w:r>
            <w:r>
              <w:rPr>
                <w:rFonts w:hint="eastAsia" w:ascii="宋体" w:hAnsi="宋体"/>
                <w:color w:val="auto"/>
                <w:szCs w:val="21"/>
                <w:highlight w:val="none"/>
                <w:lang w:val="en-US" w:eastAsia="zh-CN"/>
              </w:rPr>
              <w:t>一并</w:t>
            </w:r>
            <w:r>
              <w:rPr>
                <w:rFonts w:hint="eastAsia" w:ascii="宋体" w:hAnsi="宋体"/>
                <w:color w:val="auto"/>
                <w:szCs w:val="21"/>
                <w:highlight w:val="none"/>
              </w:rPr>
              <w:t>交由评标委员会评审</w:t>
            </w:r>
            <w:r>
              <w:rPr>
                <w:rFonts w:hint="eastAsia" w:ascii="宋体" w:hAnsi="宋体"/>
                <w:color w:val="auto"/>
                <w:szCs w:val="21"/>
                <w:highlight w:val="none"/>
                <w:lang w:eastAsia="zh-CN"/>
              </w:rPr>
              <w:t>。</w:t>
            </w:r>
          </w:p>
          <w:p w14:paraId="43C4828A">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w:t>
            </w:r>
            <w:r>
              <w:rPr>
                <w:rFonts w:hint="eastAsia" w:ascii="宋体" w:hAnsi="宋体"/>
                <w:color w:val="auto"/>
                <w:szCs w:val="21"/>
                <w:highlight w:val="none"/>
                <w:lang w:val="en-US" w:eastAsia="zh-CN"/>
              </w:rPr>
              <w:t>4</w:t>
            </w:r>
            <w:r>
              <w:rPr>
                <w:rFonts w:hint="eastAsia" w:ascii="宋体" w:hAnsi="宋体"/>
                <w:color w:val="auto"/>
                <w:szCs w:val="21"/>
                <w:highlight w:val="none"/>
              </w:rPr>
              <w:t xml:space="preserve"> 打印所有投标人的投标保证金交纳情況，</w:t>
            </w:r>
            <w:r>
              <w:rPr>
                <w:rFonts w:hint="eastAsia" w:ascii="宋体" w:hAnsi="宋体"/>
                <w:color w:val="auto"/>
                <w:szCs w:val="21"/>
                <w:highlight w:val="none"/>
                <w:lang w:val="en-US" w:eastAsia="zh-CN"/>
              </w:rPr>
              <w:t>并由</w:t>
            </w:r>
            <w:r>
              <w:rPr>
                <w:rFonts w:hint="eastAsia" w:ascii="宋体" w:hAnsi="宋体"/>
                <w:color w:val="auto"/>
                <w:szCs w:val="21"/>
                <w:highlight w:val="none"/>
              </w:rPr>
              <w:t>招标人代表、监标人、记录人签字确认。</w:t>
            </w:r>
          </w:p>
          <w:p w14:paraId="542F8A5E">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5. 公布最高限价，采用经评审最低投标价法的还需计算最高限价的85%数值，以便评标委员会评审。</w:t>
            </w:r>
          </w:p>
          <w:p w14:paraId="56864CD3">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 公布投标人名称、投标报价、质量目标、工期及其他内容。</w:t>
            </w:r>
          </w:p>
          <w:p w14:paraId="303740E0">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7. 对经批准采用综合评估法的项目，需要抽取评标基准价浮动值或下浮比例的，在开标现场完成抽取。</w:t>
            </w:r>
          </w:p>
          <w:p w14:paraId="29279FEC">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8. 投标人对开标有异议的，应当场或在线提出，由招标人或代理机构当场或在线答复，并记录到开标记录表中。异议处理完毕后，汇总开标情况，打印开标记录表。</w:t>
            </w:r>
          </w:p>
          <w:p w14:paraId="023E4955">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9. 投标人代表、招标人代表、监标人、主持人、记录人等有关人员在开标记录上签字确认。因其他原因未能签字的，视为默认开标结果。</w:t>
            </w:r>
          </w:p>
          <w:p w14:paraId="396F57A2">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10. 开标结束。</w:t>
            </w:r>
          </w:p>
        </w:tc>
      </w:tr>
      <w:tr w14:paraId="03FC28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2E6C18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6.1.1</w:t>
            </w:r>
          </w:p>
        </w:tc>
        <w:tc>
          <w:tcPr>
            <w:tcW w:w="1644" w:type="dxa"/>
            <w:vAlign w:val="center"/>
          </w:tcPr>
          <w:p w14:paraId="4C561121">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评标委员会的组建</w:t>
            </w:r>
          </w:p>
        </w:tc>
        <w:tc>
          <w:tcPr>
            <w:tcW w:w="6490" w:type="dxa"/>
            <w:vAlign w:val="center"/>
          </w:tcPr>
          <w:p w14:paraId="3B2DFD8E">
            <w:pPr>
              <w:autoSpaceDE w:val="0"/>
              <w:autoSpaceDN w:val="0"/>
              <w:adjustRightInd w:val="0"/>
              <w:snapToGrid w:val="0"/>
              <w:spacing w:line="400" w:lineRule="exact"/>
              <w:ind w:firstLine="436" w:firstLineChars="200"/>
              <w:rPr>
                <w:rFonts w:ascii="宋体" w:hAnsi="宋体"/>
                <w:color w:val="auto"/>
                <w:kern w:val="0"/>
                <w:szCs w:val="21"/>
                <w:highlight w:val="none"/>
              </w:rPr>
            </w:pPr>
            <w:r>
              <w:rPr>
                <w:rFonts w:hint="eastAsia" w:ascii="宋体" w:hAnsi="宋体"/>
                <w:color w:val="auto"/>
                <w:spacing w:val="4"/>
                <w:kern w:val="0"/>
                <w:szCs w:val="21"/>
                <w:highlight w:val="none"/>
              </w:rPr>
              <w:t>由招标人按法律法规及相关规定依法组建评标委员会</w:t>
            </w:r>
            <w:r>
              <w:rPr>
                <w:rFonts w:hint="eastAsia" w:ascii="宋体" w:hAnsi="宋体"/>
                <w:color w:val="auto"/>
                <w:kern w:val="0"/>
                <w:szCs w:val="21"/>
                <w:highlight w:val="none"/>
              </w:rPr>
              <w:t>。</w:t>
            </w:r>
          </w:p>
        </w:tc>
      </w:tr>
      <w:tr w14:paraId="74005F3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71D9C5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7.1</w:t>
            </w:r>
          </w:p>
        </w:tc>
        <w:tc>
          <w:tcPr>
            <w:tcW w:w="1644" w:type="dxa"/>
            <w:vAlign w:val="center"/>
          </w:tcPr>
          <w:p w14:paraId="7A820DEA">
            <w:pPr>
              <w:snapToGrid w:val="0"/>
              <w:spacing w:after="62" w:afterLines="20" w:line="400" w:lineRule="exact"/>
              <w:jc w:val="center"/>
              <w:rPr>
                <w:rFonts w:ascii="宋体" w:hAnsi="宋体"/>
                <w:color w:val="auto"/>
                <w:kern w:val="0"/>
                <w:szCs w:val="21"/>
                <w:highlight w:val="none"/>
              </w:rPr>
            </w:pPr>
            <w:r>
              <w:rPr>
                <w:rFonts w:ascii="宋体" w:hAnsi="宋体"/>
                <w:color w:val="auto"/>
                <w:kern w:val="0"/>
                <w:szCs w:val="21"/>
                <w:highlight w:val="none"/>
              </w:rPr>
              <w:t>是否授权评标委员会确定中标人</w:t>
            </w:r>
          </w:p>
        </w:tc>
        <w:tc>
          <w:tcPr>
            <w:tcW w:w="6490" w:type="dxa"/>
            <w:vAlign w:val="center"/>
          </w:tcPr>
          <w:p w14:paraId="4B239320">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是</w:t>
            </w:r>
          </w:p>
          <w:p w14:paraId="4EC72946">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□A</w:t>
            </w:r>
            <w:r>
              <w:rPr>
                <w:rFonts w:ascii="宋体" w:hAnsi="宋体"/>
                <w:color w:val="auto"/>
                <w:kern w:val="0"/>
                <w:szCs w:val="21"/>
                <w:highlight w:val="none"/>
              </w:rPr>
              <w:t>否，推荐经评审合格的</w:t>
            </w:r>
            <w:r>
              <w:rPr>
                <w:rFonts w:hint="eastAsia" w:ascii="宋体" w:hAnsi="宋体"/>
                <w:color w:val="auto"/>
                <w:kern w:val="0"/>
                <w:szCs w:val="21"/>
                <w:highlight w:val="none"/>
              </w:rPr>
              <w:t>报价</w:t>
            </w:r>
            <w:r>
              <w:rPr>
                <w:rFonts w:ascii="宋体" w:hAnsi="宋体"/>
                <w:color w:val="auto"/>
                <w:kern w:val="0"/>
                <w:szCs w:val="21"/>
                <w:highlight w:val="none"/>
              </w:rPr>
              <w:t>由低到高排名前三名为中标候选人。</w:t>
            </w:r>
          </w:p>
          <w:p w14:paraId="30900B15">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[提示：经评审的最低投标价法适用]</w:t>
            </w:r>
          </w:p>
          <w:p w14:paraId="688327F1">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□B</w:t>
            </w:r>
            <w:r>
              <w:rPr>
                <w:rFonts w:ascii="宋体" w:hAnsi="宋体"/>
                <w:color w:val="auto"/>
                <w:kern w:val="0"/>
                <w:szCs w:val="21"/>
                <w:highlight w:val="none"/>
              </w:rPr>
              <w:t>否，推荐经评审综合得分由高到低排名前三名为中标候选人。</w:t>
            </w:r>
          </w:p>
          <w:p w14:paraId="1419B10D">
            <w:pPr>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[提示：综合评估法适用]</w:t>
            </w:r>
            <w:r>
              <w:rPr>
                <w:rFonts w:ascii="宋体" w:hAnsi="宋体"/>
                <w:i/>
                <w:color w:val="auto"/>
                <w:kern w:val="0"/>
                <w:szCs w:val="21"/>
                <w:highlight w:val="none"/>
              </w:rPr>
              <w:t xml:space="preserve"> </w:t>
            </w:r>
          </w:p>
        </w:tc>
      </w:tr>
      <w:tr w14:paraId="4EBFFB3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78E4FD6">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7.2</w:t>
            </w:r>
          </w:p>
        </w:tc>
        <w:tc>
          <w:tcPr>
            <w:tcW w:w="1644" w:type="dxa"/>
            <w:vAlign w:val="center"/>
          </w:tcPr>
          <w:p w14:paraId="78A71226">
            <w:pPr>
              <w:snapToGrid w:val="0"/>
              <w:spacing w:after="62" w:afterLines="20" w:line="400" w:lineRule="exact"/>
              <w:jc w:val="center"/>
              <w:rPr>
                <w:rFonts w:ascii="宋体" w:hAnsi="宋体"/>
                <w:color w:val="auto"/>
                <w:kern w:val="0"/>
                <w:szCs w:val="21"/>
                <w:highlight w:val="none"/>
              </w:rPr>
            </w:pPr>
            <w:r>
              <w:rPr>
                <w:rFonts w:ascii="宋体" w:hAnsi="宋体"/>
                <w:color w:val="auto"/>
                <w:kern w:val="0"/>
                <w:szCs w:val="21"/>
                <w:highlight w:val="none"/>
              </w:rPr>
              <w:t>中标公示</w:t>
            </w:r>
          </w:p>
        </w:tc>
        <w:tc>
          <w:tcPr>
            <w:tcW w:w="6490" w:type="dxa"/>
            <w:vAlign w:val="center"/>
          </w:tcPr>
          <w:p w14:paraId="5EAB0F49">
            <w:pPr>
              <w:snapToGrid w:val="0"/>
              <w:spacing w:line="400" w:lineRule="exact"/>
              <w:ind w:firstLine="420" w:firstLineChars="200"/>
              <w:rPr>
                <w:rFonts w:ascii="宋体" w:hAnsi="宋体"/>
                <w:color w:val="auto"/>
                <w:kern w:val="0"/>
                <w:szCs w:val="21"/>
                <w:highlight w:val="none"/>
                <w:u w:val="single"/>
              </w:rPr>
            </w:pPr>
            <w:r>
              <w:rPr>
                <w:rFonts w:hint="eastAsia" w:ascii="宋体" w:hAnsi="宋体" w:cs="宋体"/>
                <w:color w:val="auto"/>
                <w:szCs w:val="21"/>
                <w:highlight w:val="none"/>
              </w:rPr>
              <w:t>招标人在收到评标报告后3日内将评标结果在</w:t>
            </w:r>
            <w:r>
              <w:rPr>
                <w:rFonts w:hint="eastAsia" w:ascii="宋体" w:hAnsi="宋体" w:cs="宋体"/>
                <w:color w:val="auto"/>
                <w:szCs w:val="21"/>
                <w:highlight w:val="none"/>
                <w:u w:val="single"/>
              </w:rPr>
              <w:t xml:space="preserve">    （相应网站）  </w:t>
            </w:r>
            <w:r>
              <w:rPr>
                <w:rFonts w:hint="eastAsia" w:ascii="宋体" w:hAnsi="宋体" w:cs="宋体"/>
                <w:color w:val="auto"/>
                <w:szCs w:val="21"/>
                <w:highlight w:val="none"/>
              </w:rPr>
              <w:t>上进行公示，公示期为</w:t>
            </w:r>
            <w:r>
              <w:rPr>
                <w:rFonts w:ascii="宋体" w:hAnsi="宋体" w:cs="宋体"/>
                <w:color w:val="auto"/>
                <w:szCs w:val="21"/>
                <w:highlight w:val="none"/>
              </w:rPr>
              <w:t>3日</w:t>
            </w:r>
            <w:r>
              <w:rPr>
                <w:rFonts w:hint="eastAsia" w:ascii="宋体" w:hAnsi="宋体" w:cs="宋体"/>
                <w:color w:val="auto"/>
                <w:szCs w:val="21"/>
                <w:highlight w:val="none"/>
              </w:rPr>
              <w:t>。为深化信息公开，接受社会监督，按照《招标公告和公示信息发布管理办法》（国家发改委令第10号）的要求，公示内容包括中标候选人名称、排序、投标报价、质量、工期；中标候选人资质、投标业绩名称，中标候选人工程总承包项目经理、设计负责人、施工负责人的姓名及其相关证书名称和编号、投标业绩名称；否决投标情况及理由；提出异议、投诉的渠道和方式。</w:t>
            </w:r>
          </w:p>
        </w:tc>
      </w:tr>
      <w:tr w14:paraId="07A62F6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FF8D482">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7.</w:t>
            </w:r>
            <w:r>
              <w:rPr>
                <w:rFonts w:hint="eastAsia" w:ascii="宋体" w:hAnsi="宋体"/>
                <w:color w:val="auto"/>
                <w:kern w:val="0"/>
                <w:szCs w:val="21"/>
                <w:highlight w:val="none"/>
              </w:rPr>
              <w:t>4</w:t>
            </w:r>
            <w:r>
              <w:rPr>
                <w:rFonts w:ascii="宋体" w:hAnsi="宋体"/>
                <w:color w:val="auto"/>
                <w:kern w:val="0"/>
                <w:szCs w:val="21"/>
                <w:highlight w:val="none"/>
              </w:rPr>
              <w:t>.1</w:t>
            </w:r>
          </w:p>
        </w:tc>
        <w:tc>
          <w:tcPr>
            <w:tcW w:w="1644" w:type="dxa"/>
            <w:vAlign w:val="center"/>
          </w:tcPr>
          <w:p w14:paraId="0FBF4B7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履约担保</w:t>
            </w:r>
          </w:p>
        </w:tc>
        <w:tc>
          <w:tcPr>
            <w:tcW w:w="6490" w:type="dxa"/>
            <w:vAlign w:val="center"/>
          </w:tcPr>
          <w:p w14:paraId="2A927255">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1、中标人是否提供履约担保：</w:t>
            </w:r>
            <w:r>
              <w:rPr>
                <w:rFonts w:hint="eastAsia" w:ascii="宋体" w:hAnsi="宋体"/>
                <w:color w:val="auto"/>
                <w:kern w:val="0"/>
                <w:szCs w:val="21"/>
                <w:highlight w:val="none"/>
                <w:u w:val="single"/>
              </w:rPr>
              <w:t>提供</w:t>
            </w:r>
            <w:r>
              <w:rPr>
                <w:rFonts w:hint="eastAsia" w:ascii="宋体" w:hAnsi="宋体"/>
                <w:color w:val="auto"/>
                <w:kern w:val="0"/>
                <w:szCs w:val="21"/>
                <w:highlight w:val="none"/>
              </w:rPr>
              <w:t>。</w:t>
            </w:r>
            <w:r>
              <w:rPr>
                <w:rFonts w:ascii="宋体" w:hAnsi="宋体"/>
                <w:i/>
                <w:iCs/>
                <w:color w:val="auto"/>
                <w:kern w:val="0"/>
                <w:szCs w:val="21"/>
                <w:highlight w:val="none"/>
              </w:rPr>
              <w:t>[提示：招标人要求中标人提供履约担保的，应向中标人提供相应的支付担保。]</w:t>
            </w:r>
          </w:p>
          <w:p w14:paraId="20EC0BA4">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若投标人为联合体，由联合体牵头人或按照联合体协议的约定提交履约担保。</w:t>
            </w:r>
          </w:p>
          <w:p w14:paraId="775946E9">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2、中标人提供履约担保的形式、金额及期限：</w:t>
            </w:r>
          </w:p>
          <w:p w14:paraId="23E75C32">
            <w:pPr>
              <w:snapToGrid w:val="0"/>
              <w:spacing w:line="400" w:lineRule="exact"/>
              <w:ind w:firstLine="420" w:firstLineChars="200"/>
              <w:rPr>
                <w:rFonts w:ascii="宋体" w:hAnsi="宋体"/>
                <w:color w:val="auto"/>
                <w:kern w:val="0"/>
                <w:szCs w:val="21"/>
                <w:highlight w:val="none"/>
                <w:u w:val="single"/>
              </w:rPr>
            </w:pPr>
            <w:r>
              <w:rPr>
                <w:rFonts w:hint="eastAsia" w:ascii="宋体" w:hAnsi="宋体"/>
                <w:color w:val="auto"/>
                <w:kern w:val="0"/>
                <w:szCs w:val="21"/>
                <w:highlight w:val="none"/>
              </w:rPr>
              <w:t>（1）履约担保的形式：</w:t>
            </w:r>
            <w:r>
              <w:rPr>
                <w:rFonts w:hint="eastAsia" w:ascii="宋体" w:hAnsi="宋体"/>
                <w:color w:val="auto"/>
                <w:kern w:val="0"/>
                <w:szCs w:val="21"/>
                <w:highlight w:val="none"/>
                <w:u w:val="none"/>
              </w:rPr>
              <w:t>现金或银行保函或现金</w:t>
            </w:r>
            <w:r>
              <w:rPr>
                <w:rFonts w:ascii="宋体" w:hAnsi="宋体"/>
                <w:color w:val="auto"/>
                <w:kern w:val="0"/>
                <w:szCs w:val="21"/>
                <w:highlight w:val="none"/>
                <w:u w:val="none"/>
              </w:rPr>
              <w:t>+</w:t>
            </w:r>
            <w:r>
              <w:rPr>
                <w:rFonts w:hint="eastAsia" w:ascii="宋体" w:hAnsi="宋体"/>
                <w:color w:val="auto"/>
                <w:kern w:val="0"/>
                <w:szCs w:val="21"/>
                <w:highlight w:val="none"/>
                <w:u w:val="none"/>
              </w:rPr>
              <w:t>银行保函的组合；采用银行保函形式的，保函必须为不可撤销且见索即付。</w:t>
            </w:r>
          </w:p>
          <w:p w14:paraId="13B31678">
            <w:pPr>
              <w:snapToGrid w:val="0"/>
              <w:spacing w:line="400" w:lineRule="exact"/>
              <w:ind w:firstLine="420" w:firstLineChars="200"/>
              <w:rPr>
                <w:rFonts w:ascii="宋体" w:hAnsi="宋体"/>
                <w:color w:val="auto"/>
                <w:kern w:val="0"/>
                <w:szCs w:val="21"/>
                <w:highlight w:val="none"/>
              </w:rPr>
            </w:pPr>
            <w:r>
              <w:rPr>
                <w:rFonts w:ascii="宋体" w:hAnsi="宋体"/>
                <w:i/>
                <w:color w:val="auto"/>
                <w:kern w:val="0"/>
                <w:szCs w:val="21"/>
                <w:highlight w:val="none"/>
                <w:u w:val="none"/>
              </w:rPr>
              <w:t>[提示：由招标人根据发改办法规[2019]862号文和渝府办发[2019]114号文的相关规定确定履约担保的形式。]</w:t>
            </w:r>
          </w:p>
          <w:p w14:paraId="1C29688B">
            <w:pPr>
              <w:snapToGrid w:val="0"/>
              <w:spacing w:line="400" w:lineRule="exact"/>
              <w:ind w:firstLine="420" w:firstLineChars="200"/>
              <w:rPr>
                <w:rFonts w:ascii="宋体" w:hAnsi="宋体"/>
                <w:color w:val="auto"/>
                <w:kern w:val="0"/>
                <w:szCs w:val="21"/>
                <w:highlight w:val="none"/>
                <w:u w:val="single"/>
              </w:rPr>
            </w:pPr>
            <w:r>
              <w:rPr>
                <w:rFonts w:hint="eastAsia" w:ascii="宋体" w:hAnsi="宋体"/>
                <w:color w:val="auto"/>
                <w:kern w:val="0"/>
                <w:szCs w:val="21"/>
                <w:highlight w:val="none"/>
              </w:rPr>
              <w:t>（2）履约担保的金额：</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p>
          <w:p w14:paraId="08DB762C">
            <w:pPr>
              <w:snapToGrid w:val="0"/>
              <w:spacing w:line="400" w:lineRule="exact"/>
              <w:ind w:firstLine="420" w:firstLineChars="200"/>
              <w:rPr>
                <w:rFonts w:ascii="宋体" w:hAnsi="宋体"/>
                <w:i/>
                <w:color w:val="auto"/>
                <w:kern w:val="0"/>
                <w:szCs w:val="21"/>
                <w:highlight w:val="none"/>
              </w:rPr>
            </w:pPr>
            <w:r>
              <w:rPr>
                <w:rFonts w:ascii="宋体" w:hAnsi="宋体"/>
                <w:i/>
                <w:color w:val="auto"/>
                <w:kern w:val="0"/>
                <w:szCs w:val="21"/>
                <w:highlight w:val="none"/>
                <w:u w:val="none"/>
              </w:rPr>
              <w:t>[提示：不超过中标合同金额的10%，红名单中的中标人履约担保金额减半（红名单建立完善后使用；联合体中标的，须联合体牵头人在红名单中）]</w:t>
            </w:r>
          </w:p>
          <w:p w14:paraId="742951B5">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（3）履约担保的提交时间：见专用合同条款。</w:t>
            </w:r>
          </w:p>
          <w:p w14:paraId="0B99F060">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（4）履约担保的期限：见专用合同条款。</w:t>
            </w:r>
          </w:p>
          <w:p w14:paraId="7590C6D5">
            <w:pPr>
              <w:snapToGrid w:val="0"/>
              <w:spacing w:after="62" w:afterLines="20"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（5）履约担保的退还时间：见专用合同条款。</w:t>
            </w:r>
          </w:p>
        </w:tc>
      </w:tr>
      <w:tr w14:paraId="7205CA2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546CBF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8.1</w:t>
            </w:r>
          </w:p>
        </w:tc>
        <w:tc>
          <w:tcPr>
            <w:tcW w:w="1644" w:type="dxa"/>
            <w:vAlign w:val="center"/>
          </w:tcPr>
          <w:p w14:paraId="3906458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重新招标</w:t>
            </w:r>
          </w:p>
        </w:tc>
        <w:tc>
          <w:tcPr>
            <w:tcW w:w="6490" w:type="dxa"/>
            <w:vAlign w:val="center"/>
          </w:tcPr>
          <w:p w14:paraId="01886D05">
            <w:pPr>
              <w:snapToGrid w:val="0"/>
              <w:spacing w:line="400" w:lineRule="exact"/>
              <w:ind w:firstLine="420" w:firstLineChars="200"/>
              <w:rPr>
                <w:color w:val="auto"/>
                <w:highlight w:val="none"/>
              </w:rPr>
            </w:pPr>
            <w:r>
              <w:rPr>
                <w:color w:val="auto"/>
                <w:highlight w:val="none"/>
              </w:rPr>
              <w:t>1.按投标人须知第8.1（1）执行；</w:t>
            </w:r>
          </w:p>
          <w:p w14:paraId="4D1A5A94">
            <w:pPr>
              <w:snapToGrid w:val="0"/>
              <w:spacing w:line="400" w:lineRule="exact"/>
              <w:ind w:firstLine="420" w:firstLineChars="200"/>
              <w:rPr>
                <w:color w:val="auto"/>
                <w:highlight w:val="none"/>
              </w:rPr>
            </w:pPr>
            <w:r>
              <w:rPr>
                <w:color w:val="auto"/>
                <w:highlight w:val="none"/>
              </w:rPr>
              <w:t>2.按投标人须知第8.1（2）执行；</w:t>
            </w:r>
          </w:p>
          <w:p w14:paraId="6A6C3F9C">
            <w:pPr>
              <w:widowControl/>
              <w:spacing w:line="400" w:lineRule="exact"/>
              <w:ind w:firstLine="420" w:firstLineChars="200"/>
              <w:rPr>
                <w:color w:val="auto"/>
                <w:highlight w:val="none"/>
              </w:rPr>
            </w:pPr>
            <w:r>
              <w:rPr>
                <w:color w:val="auto"/>
                <w:highlight w:val="none"/>
              </w:rPr>
              <w:t>3.按投标人须知第8.1（3）执行；</w:t>
            </w:r>
          </w:p>
          <w:p w14:paraId="1CC9A12D">
            <w:pPr>
              <w:widowControl/>
              <w:snapToGrid w:val="0"/>
              <w:spacing w:line="400" w:lineRule="exact"/>
              <w:ind w:firstLine="420" w:firstLineChars="200"/>
              <w:rPr>
                <w:color w:val="auto"/>
                <w:highlight w:val="none"/>
              </w:rPr>
            </w:pPr>
            <w:r>
              <w:rPr>
                <w:color w:val="auto"/>
                <w:highlight w:val="none"/>
              </w:rPr>
              <w:t>4.按投标人须知第8.1（4）执行</w:t>
            </w:r>
            <w:r>
              <w:rPr>
                <w:rFonts w:hint="eastAsia"/>
                <w:color w:val="auto"/>
                <w:highlight w:val="none"/>
              </w:rPr>
              <w:t>；</w:t>
            </w:r>
          </w:p>
          <w:p w14:paraId="27F12547">
            <w:pPr>
              <w:widowControl/>
              <w:snapToGrid w:val="0"/>
              <w:spacing w:line="400" w:lineRule="exact"/>
              <w:ind w:firstLine="420" w:firstLineChars="200"/>
              <w:rPr>
                <w:color w:val="auto"/>
                <w:highlight w:val="none"/>
              </w:rPr>
            </w:pPr>
            <w:r>
              <w:rPr>
                <w:color w:val="auto"/>
                <w:highlight w:val="none"/>
              </w:rPr>
              <w:t>5.</w:t>
            </w:r>
            <w:r>
              <w:rPr>
                <w:rFonts w:hint="eastAsia" w:ascii="宋体" w:hAnsi="宋体"/>
                <w:color w:val="auto"/>
                <w:kern w:val="0"/>
                <w:szCs w:val="21"/>
                <w:highlight w:val="none"/>
              </w:rPr>
              <w:t>电子投标文件解密成功的和非投标人原因解密失败采用备份光盘的投标人之和少于3个的。</w:t>
            </w:r>
          </w:p>
        </w:tc>
      </w:tr>
      <w:tr w14:paraId="5C2422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0F333E1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8.2</w:t>
            </w:r>
          </w:p>
        </w:tc>
        <w:tc>
          <w:tcPr>
            <w:tcW w:w="1644" w:type="dxa"/>
            <w:vAlign w:val="center"/>
          </w:tcPr>
          <w:p w14:paraId="62825757">
            <w:pPr>
              <w:snapToGrid w:val="0"/>
              <w:spacing w:line="400" w:lineRule="exact"/>
              <w:jc w:val="center"/>
              <w:rPr>
                <w:color w:val="auto"/>
                <w:highlight w:val="none"/>
              </w:rPr>
            </w:pPr>
            <w:bookmarkStart w:id="158" w:name="_Toc430530434"/>
            <w:bookmarkStart w:id="159" w:name="_Toc16930431"/>
            <w:bookmarkStart w:id="160" w:name="_Toc13210670"/>
            <w:bookmarkStart w:id="161" w:name="_Toc509218709"/>
            <w:bookmarkStart w:id="162" w:name="_Toc536628250"/>
            <w:r>
              <w:rPr>
                <w:rFonts w:ascii="宋体" w:hAnsi="宋体"/>
                <w:color w:val="auto"/>
                <w:kern w:val="0"/>
                <w:szCs w:val="21"/>
                <w:highlight w:val="none"/>
              </w:rPr>
              <w:t>二次招标和不再招标</w:t>
            </w:r>
            <w:bookmarkEnd w:id="158"/>
            <w:bookmarkEnd w:id="159"/>
            <w:bookmarkEnd w:id="160"/>
            <w:bookmarkEnd w:id="161"/>
            <w:bookmarkEnd w:id="162"/>
          </w:p>
        </w:tc>
        <w:tc>
          <w:tcPr>
            <w:tcW w:w="6490" w:type="dxa"/>
            <w:vAlign w:val="center"/>
          </w:tcPr>
          <w:p w14:paraId="1D02D46A">
            <w:pPr>
              <w:autoSpaceDE w:val="0"/>
              <w:autoSpaceDN w:val="0"/>
              <w:adjustRightInd w:val="0"/>
              <w:snapToGrid w:val="0"/>
              <w:spacing w:after="62" w:afterLines="20"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lang w:val="en"/>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tc>
      </w:tr>
      <w:tr w14:paraId="56F9C8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03B9024">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w:t>
            </w:r>
          </w:p>
        </w:tc>
        <w:tc>
          <w:tcPr>
            <w:tcW w:w="8134" w:type="dxa"/>
            <w:gridSpan w:val="2"/>
            <w:vAlign w:val="center"/>
          </w:tcPr>
          <w:p w14:paraId="075175AF">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需要补充的其他内容</w:t>
            </w:r>
          </w:p>
        </w:tc>
      </w:tr>
      <w:tr w14:paraId="4AC0C8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6EA730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10.1</w:t>
            </w:r>
          </w:p>
        </w:tc>
        <w:tc>
          <w:tcPr>
            <w:tcW w:w="1644" w:type="dxa"/>
            <w:vAlign w:val="center"/>
          </w:tcPr>
          <w:p w14:paraId="42EB13A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支付担保</w:t>
            </w:r>
          </w:p>
        </w:tc>
        <w:tc>
          <w:tcPr>
            <w:tcW w:w="6490" w:type="dxa"/>
            <w:vAlign w:val="center"/>
          </w:tcPr>
          <w:p w14:paraId="1CF251DE">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招标人应按第四章专用合同条件的约定向中标人提供相应的支付担保</w:t>
            </w:r>
            <w:r>
              <w:rPr>
                <w:rFonts w:ascii="宋体" w:hAnsi="宋体"/>
                <w:color w:val="auto"/>
                <w:kern w:val="0"/>
                <w:szCs w:val="21"/>
                <w:highlight w:val="none"/>
              </w:rPr>
              <w:t>。</w:t>
            </w:r>
          </w:p>
          <w:p w14:paraId="4523058B">
            <w:pPr>
              <w:snapToGrid w:val="0"/>
              <w:spacing w:after="124" w:afterLines="40"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招标人将在</w:t>
            </w:r>
            <w:r>
              <w:rPr>
                <w:rFonts w:hint="eastAsia" w:ascii="宋体" w:hAnsi="宋体"/>
                <w:color w:val="auto"/>
                <w:kern w:val="0"/>
                <w:szCs w:val="21"/>
                <w:highlight w:val="none"/>
              </w:rPr>
              <w:t>中标人</w:t>
            </w:r>
            <w:r>
              <w:rPr>
                <w:rFonts w:ascii="宋体" w:hAnsi="宋体"/>
                <w:color w:val="auto"/>
                <w:kern w:val="0"/>
                <w:szCs w:val="21"/>
                <w:highlight w:val="none"/>
              </w:rPr>
              <w:t>提供履约担保后，签订合同协议书之前向中标人提交支付担保。</w:t>
            </w:r>
          </w:p>
        </w:tc>
      </w:tr>
      <w:tr w14:paraId="0AD73C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4AA9F9C">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10.2</w:t>
            </w:r>
          </w:p>
        </w:tc>
        <w:tc>
          <w:tcPr>
            <w:tcW w:w="1644" w:type="dxa"/>
            <w:vAlign w:val="center"/>
          </w:tcPr>
          <w:p w14:paraId="53C5EFBA">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投标人答辩</w:t>
            </w:r>
          </w:p>
        </w:tc>
        <w:tc>
          <w:tcPr>
            <w:tcW w:w="6490" w:type="dxa"/>
            <w:vAlign w:val="center"/>
          </w:tcPr>
          <w:p w14:paraId="7CAC016C">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□工程总承包项目经理、□设计负责人</w:t>
            </w:r>
            <w:r>
              <w:rPr>
                <w:rFonts w:ascii="宋体" w:hAnsi="宋体"/>
                <w:color w:val="auto"/>
                <w:kern w:val="0"/>
                <w:szCs w:val="21"/>
                <w:highlight w:val="none"/>
              </w:rPr>
              <w:t>答辩：</w:t>
            </w:r>
            <w:r>
              <w:rPr>
                <w:rFonts w:hint="eastAsia" w:ascii="宋体" w:hAnsi="宋体"/>
                <w:color w:val="auto"/>
                <w:kern w:val="0"/>
                <w:szCs w:val="21"/>
                <w:highlight w:val="none"/>
              </w:rPr>
              <w:t>□</w:t>
            </w:r>
            <w:r>
              <w:rPr>
                <w:rFonts w:ascii="宋体" w:hAnsi="宋体"/>
                <w:color w:val="auto"/>
                <w:kern w:val="0"/>
                <w:szCs w:val="21"/>
                <w:highlight w:val="none"/>
              </w:rPr>
              <w:t>有</w:t>
            </w:r>
            <w:r>
              <w:rPr>
                <w:rFonts w:hint="eastAsia" w:ascii="宋体" w:hAnsi="宋体"/>
                <w:color w:val="auto"/>
                <w:kern w:val="0"/>
                <w:szCs w:val="21"/>
                <w:highlight w:val="none"/>
              </w:rPr>
              <w:t>；□</w:t>
            </w:r>
            <w:r>
              <w:rPr>
                <w:rFonts w:ascii="宋体" w:hAnsi="宋体"/>
                <w:color w:val="auto"/>
                <w:kern w:val="0"/>
                <w:szCs w:val="21"/>
                <w:highlight w:val="none"/>
              </w:rPr>
              <w:t>无。</w:t>
            </w:r>
            <w:r>
              <w:rPr>
                <w:rFonts w:hint="eastAsia" w:ascii="宋体" w:hAnsi="宋体"/>
                <w:i/>
                <w:iCs/>
                <w:color w:val="auto"/>
                <w:kern w:val="0"/>
                <w:szCs w:val="21"/>
                <w:highlight w:val="none"/>
              </w:rPr>
              <w:t>[提示：评标办法采用综合评估法时选用。]</w:t>
            </w:r>
          </w:p>
          <w:p w14:paraId="27BE48D3">
            <w:pPr>
              <w:widowControl/>
              <w:spacing w:after="124" w:afterLines="40"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w:t>
            </w:r>
            <w:r>
              <w:rPr>
                <w:rFonts w:ascii="宋体" w:hAnsi="宋体"/>
                <w:color w:val="auto"/>
                <w:kern w:val="0"/>
                <w:szCs w:val="21"/>
                <w:highlight w:val="none"/>
              </w:rPr>
              <w:t>人答辩</w:t>
            </w:r>
            <w:r>
              <w:rPr>
                <w:rFonts w:hint="eastAsia" w:ascii="宋体" w:hAnsi="宋体"/>
                <w:color w:val="auto"/>
                <w:kern w:val="0"/>
                <w:szCs w:val="21"/>
                <w:highlight w:val="none"/>
              </w:rPr>
              <w:t>采用暗标评审</w:t>
            </w:r>
            <w:r>
              <w:rPr>
                <w:rFonts w:ascii="宋体" w:hAnsi="宋体"/>
                <w:color w:val="auto"/>
                <w:kern w:val="0"/>
                <w:szCs w:val="21"/>
                <w:highlight w:val="none"/>
              </w:rPr>
              <w:t>的，则整个答辩过程均通过语音系统来完成，</w:t>
            </w:r>
            <w:r>
              <w:rPr>
                <w:rFonts w:hint="eastAsia" w:ascii="宋体" w:hAnsi="宋体"/>
                <w:color w:val="auto"/>
                <w:kern w:val="0"/>
                <w:szCs w:val="21"/>
                <w:highlight w:val="none"/>
              </w:rPr>
              <w:t>答辩人</w:t>
            </w:r>
            <w:r>
              <w:rPr>
                <w:rFonts w:ascii="宋体" w:hAnsi="宋体"/>
                <w:color w:val="auto"/>
                <w:kern w:val="0"/>
                <w:szCs w:val="21"/>
                <w:highlight w:val="none"/>
              </w:rPr>
              <w:t>不得与评标委员会面对面接触。</w:t>
            </w:r>
          </w:p>
        </w:tc>
      </w:tr>
      <w:tr w14:paraId="63D83E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D85BAF7">
            <w:pPr>
              <w:snapToGrid w:val="0"/>
              <w:spacing w:line="400" w:lineRule="exact"/>
              <w:jc w:val="center"/>
              <w:rPr>
                <w:rFonts w:ascii="宋体" w:hAnsi="宋体"/>
                <w:color w:val="auto"/>
                <w:kern w:val="0"/>
                <w:szCs w:val="21"/>
                <w:highlight w:val="none"/>
              </w:rPr>
            </w:pPr>
            <w:r>
              <w:rPr>
                <w:rFonts w:ascii="宋体" w:hAnsi="宋体"/>
                <w:color w:val="auto"/>
                <w:kern w:val="0"/>
                <w:szCs w:val="21"/>
                <w:highlight w:val="none"/>
              </w:rPr>
              <w:t>10.3</w:t>
            </w:r>
          </w:p>
        </w:tc>
        <w:tc>
          <w:tcPr>
            <w:tcW w:w="1644" w:type="dxa"/>
            <w:vAlign w:val="center"/>
          </w:tcPr>
          <w:p w14:paraId="31A3F5A8">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异议及投诉</w:t>
            </w:r>
          </w:p>
        </w:tc>
        <w:tc>
          <w:tcPr>
            <w:tcW w:w="6490" w:type="dxa"/>
            <w:vAlign w:val="center"/>
          </w:tcPr>
          <w:p w14:paraId="78590EBD">
            <w:pPr>
              <w:widowControl/>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投标人或者其他利害关系人就本项目的</w:t>
            </w:r>
            <w:r>
              <w:rPr>
                <w:rFonts w:hint="eastAsia" w:ascii="宋体" w:hAnsi="宋体"/>
                <w:color w:val="auto"/>
                <w:kern w:val="0"/>
                <w:szCs w:val="21"/>
                <w:highlight w:val="none"/>
              </w:rPr>
              <w:t>招标文件（含澄清修改）、开标情况、</w:t>
            </w:r>
            <w:r>
              <w:rPr>
                <w:rFonts w:ascii="宋体" w:hAnsi="宋体"/>
                <w:color w:val="auto"/>
                <w:kern w:val="0"/>
                <w:szCs w:val="21"/>
                <w:highlight w:val="none"/>
              </w:rPr>
              <w:t>评标结果等事项提出异议或投诉</w:t>
            </w:r>
            <w:r>
              <w:rPr>
                <w:rFonts w:hint="eastAsia" w:ascii="宋体" w:hAnsi="宋体"/>
                <w:color w:val="auto"/>
                <w:kern w:val="0"/>
                <w:szCs w:val="21"/>
                <w:highlight w:val="none"/>
              </w:rPr>
              <w:t>的</w:t>
            </w:r>
            <w:r>
              <w:rPr>
                <w:rFonts w:ascii="宋体" w:hAnsi="宋体"/>
                <w:color w:val="auto"/>
                <w:kern w:val="0"/>
                <w:szCs w:val="21"/>
                <w:highlight w:val="none"/>
              </w:rPr>
              <w:t>，应当先向招标人提出异议；招标人应当在规定时间内答复；对招标人的答复不满意，可向行政监督部门投诉。</w:t>
            </w:r>
          </w:p>
          <w:p w14:paraId="1B8FF1BA">
            <w:pPr>
              <w:widowControl/>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提出异议或投诉时应当包括下列内容：</w:t>
            </w:r>
          </w:p>
          <w:p w14:paraId="4A6243E0">
            <w:pPr>
              <w:widowControl/>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（1）异议或投诉人的名称、地址及有效联系方式；</w:t>
            </w:r>
          </w:p>
          <w:p w14:paraId="3AB0AAAE">
            <w:pPr>
              <w:widowControl/>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（2）被异议或投诉人的名称、地址及有效联系方式；</w:t>
            </w:r>
          </w:p>
          <w:p w14:paraId="3D2DC420">
            <w:pPr>
              <w:widowControl/>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（3）异议或投诉事项的基本事实；</w:t>
            </w:r>
          </w:p>
          <w:p w14:paraId="6F281C0D">
            <w:pPr>
              <w:widowControl/>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（4）请求及主张；</w:t>
            </w:r>
          </w:p>
          <w:p w14:paraId="1FE6D64E">
            <w:pPr>
              <w:widowControl/>
              <w:spacing w:line="400" w:lineRule="exact"/>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（5）涉及事项的证据、证明材料。</w:t>
            </w:r>
          </w:p>
          <w:p w14:paraId="3B389F0E">
            <w:pPr>
              <w:widowControl/>
              <w:spacing w:line="400" w:lineRule="exact"/>
              <w:ind w:firstLine="420" w:firstLineChars="200"/>
              <w:rPr>
                <w:color w:val="auto"/>
                <w:highlight w:val="none"/>
              </w:rPr>
            </w:pPr>
            <w:r>
              <w:rPr>
                <w:rFonts w:hint="eastAsia" w:ascii="宋体" w:hAnsi="宋体" w:cs="宋体"/>
                <w:color w:val="auto"/>
                <w:kern w:val="0"/>
                <w:szCs w:val="21"/>
                <w:highlight w:val="none"/>
              </w:rPr>
              <w:t>异议或投诉的主体必须为法人，异议书必须由其法定代表人和委托代理人签字并加盖单位公章。如有关材料是外文，应当同时提供中文译本。</w:t>
            </w:r>
          </w:p>
          <w:p w14:paraId="687D5C5E">
            <w:pPr>
              <w:widowControl/>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2.</w:t>
            </w:r>
            <w:r>
              <w:rPr>
                <w:rFonts w:hint="eastAsia" w:ascii="宋体" w:hAnsi="宋体"/>
                <w:color w:val="auto"/>
                <w:kern w:val="0"/>
                <w:szCs w:val="21"/>
                <w:highlight w:val="none"/>
              </w:rPr>
              <w:t xml:space="preserve"> </w:t>
            </w:r>
            <w:r>
              <w:rPr>
                <w:rFonts w:ascii="宋体" w:hAnsi="宋体"/>
                <w:color w:val="auto"/>
                <w:kern w:val="0"/>
                <w:szCs w:val="21"/>
                <w:highlight w:val="none"/>
              </w:rPr>
              <w:t>行政监督部门依照《</w:t>
            </w:r>
            <w:r>
              <w:rPr>
                <w:rFonts w:hint="eastAsia" w:ascii="宋体" w:hAnsi="宋体"/>
                <w:color w:val="auto"/>
                <w:kern w:val="0"/>
                <w:szCs w:val="21"/>
                <w:highlight w:val="none"/>
              </w:rPr>
              <w:t>中华人民共和国</w:t>
            </w:r>
            <w:r>
              <w:rPr>
                <w:rFonts w:ascii="宋体" w:hAnsi="宋体"/>
                <w:color w:val="auto"/>
                <w:kern w:val="0"/>
                <w:szCs w:val="21"/>
                <w:highlight w:val="none"/>
              </w:rPr>
              <w:t>招标投标法》、《</w:t>
            </w:r>
            <w:r>
              <w:rPr>
                <w:rFonts w:hint="eastAsia" w:ascii="宋体" w:hAnsi="宋体"/>
                <w:color w:val="auto"/>
                <w:kern w:val="0"/>
                <w:szCs w:val="21"/>
                <w:highlight w:val="none"/>
              </w:rPr>
              <w:t>中华人民共和国</w:t>
            </w:r>
            <w:r>
              <w:rPr>
                <w:rFonts w:ascii="宋体" w:hAnsi="宋体"/>
                <w:color w:val="auto"/>
                <w:kern w:val="0"/>
                <w:szCs w:val="21"/>
                <w:highlight w:val="none"/>
              </w:rPr>
              <w:t>招标投标法实施条例》、《重庆市招标投标条例》、《工程建设项目招标投标活动投诉处理办法》（七部委令第11号（根据九部门2013年第23号令修正））、《重庆市招标投标活动投诉处理实施细则》（渝发改标</w:t>
            </w:r>
            <w:r>
              <w:rPr>
                <w:rFonts w:hint="eastAsia" w:ascii="宋体" w:hAnsi="宋体"/>
                <w:color w:val="auto"/>
                <w:kern w:val="0"/>
                <w:szCs w:val="21"/>
                <w:highlight w:val="none"/>
              </w:rPr>
              <w:t>〔</w:t>
            </w:r>
            <w:r>
              <w:rPr>
                <w:rFonts w:ascii="宋体" w:hAnsi="宋体"/>
                <w:color w:val="auto"/>
                <w:kern w:val="0"/>
                <w:szCs w:val="21"/>
                <w:highlight w:val="none"/>
              </w:rPr>
              <w:t>2014</w:t>
            </w:r>
            <w:r>
              <w:rPr>
                <w:rFonts w:hint="eastAsia" w:ascii="宋体" w:hAnsi="宋体"/>
                <w:color w:val="auto"/>
                <w:kern w:val="0"/>
                <w:szCs w:val="21"/>
                <w:highlight w:val="none"/>
              </w:rPr>
              <w:t>〕</w:t>
            </w:r>
            <w:r>
              <w:rPr>
                <w:rFonts w:ascii="宋体" w:hAnsi="宋体"/>
                <w:color w:val="auto"/>
                <w:kern w:val="0"/>
                <w:szCs w:val="21"/>
                <w:highlight w:val="none"/>
              </w:rPr>
              <w:t>1168号）等法律法规文件处理投诉。</w:t>
            </w:r>
          </w:p>
          <w:p w14:paraId="44E04155">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3. 根据《重庆市工程建设领域招标投标信用管理暂行办法》的规定，投标人捏造事实、伪造材料，或者以非法手段获取证明材料进行质疑或者投诉的，将被列入黑名单管理；</w:t>
            </w:r>
            <w:r>
              <w:rPr>
                <w:rFonts w:ascii="宋体" w:hAnsi="宋体"/>
                <w:color w:val="auto"/>
                <w:kern w:val="0"/>
                <w:szCs w:val="21"/>
                <w:highlight w:val="none"/>
              </w:rPr>
              <w:t>给他人造成损失的，依法承担赔偿责任。</w:t>
            </w:r>
          </w:p>
          <w:p w14:paraId="029D8D53">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w:t>
            </w:r>
            <w:r>
              <w:rPr>
                <w:rFonts w:ascii="宋体" w:hAnsi="宋体"/>
                <w:color w:val="auto"/>
                <w:kern w:val="0"/>
                <w:szCs w:val="21"/>
                <w:highlight w:val="none"/>
              </w:rPr>
              <w:t xml:space="preserve">. </w:t>
            </w:r>
            <w:r>
              <w:rPr>
                <w:rFonts w:hint="eastAsia" w:ascii="宋体" w:hAnsi="宋体"/>
                <w:color w:val="auto"/>
                <w:kern w:val="0"/>
                <w:szCs w:val="21"/>
                <w:highlight w:val="none"/>
              </w:rPr>
              <w:t>异议受理单位：</w:t>
            </w:r>
          </w:p>
          <w:p w14:paraId="5D97E5BE">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联系电话：</w:t>
            </w:r>
          </w:p>
          <w:p w14:paraId="103D0701">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投诉受理部门：</w:t>
            </w:r>
          </w:p>
          <w:p w14:paraId="2EB380AA">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联系电话：</w:t>
            </w:r>
          </w:p>
        </w:tc>
      </w:tr>
      <w:tr w14:paraId="4A59DC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2CDDC1DD">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10.4</w:t>
            </w:r>
          </w:p>
        </w:tc>
        <w:tc>
          <w:tcPr>
            <w:tcW w:w="1644" w:type="dxa"/>
            <w:vAlign w:val="center"/>
          </w:tcPr>
          <w:p w14:paraId="69A3E396">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工程量清单</w:t>
            </w:r>
          </w:p>
          <w:p w14:paraId="30D8D9EF">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编制说明（如有）</w:t>
            </w:r>
          </w:p>
        </w:tc>
        <w:tc>
          <w:tcPr>
            <w:tcW w:w="6490" w:type="dxa"/>
            <w:vAlign w:val="center"/>
          </w:tcPr>
          <w:p w14:paraId="0657D662">
            <w:pPr>
              <w:widowControl/>
              <w:spacing w:line="400" w:lineRule="exact"/>
              <w:ind w:firstLine="420" w:firstLineChars="200"/>
              <w:rPr>
                <w:rFonts w:ascii="宋体" w:hAnsi="宋体"/>
                <w:color w:val="auto"/>
                <w:kern w:val="0"/>
                <w:szCs w:val="21"/>
                <w:highlight w:val="none"/>
              </w:rPr>
            </w:pPr>
            <w:r>
              <w:rPr>
                <w:rFonts w:hint="eastAsia" w:ascii="宋体" w:hAnsi="宋体"/>
                <w:i/>
                <w:color w:val="auto"/>
                <w:kern w:val="0"/>
                <w:szCs w:val="21"/>
                <w:highlight w:val="none"/>
              </w:rPr>
              <w:t>[提示：由招标人根据项目实际情况，自行编制。工程量清单编制说明中不得有违背相关法律法规及规范性文件规定的内容，若有涉及否决投标的规定必须集中在后文“否决投标情况一览表”中，否则以“否决投标情况一览表”为准。]</w:t>
            </w:r>
          </w:p>
        </w:tc>
      </w:tr>
      <w:tr w14:paraId="0D24CD5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35462256">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10.</w:t>
            </w:r>
            <w:r>
              <w:rPr>
                <w:rFonts w:ascii="宋体" w:hAnsi="宋体"/>
                <w:color w:val="auto"/>
                <w:kern w:val="0"/>
                <w:szCs w:val="21"/>
                <w:highlight w:val="none"/>
              </w:rPr>
              <w:t>5</w:t>
            </w:r>
          </w:p>
        </w:tc>
        <w:tc>
          <w:tcPr>
            <w:tcW w:w="1644" w:type="dxa"/>
            <w:vAlign w:val="center"/>
          </w:tcPr>
          <w:p w14:paraId="7B644625">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建筑</w:t>
            </w:r>
            <w:r>
              <w:rPr>
                <w:rFonts w:ascii="宋体" w:hAnsi="宋体"/>
                <w:color w:val="auto"/>
                <w:kern w:val="0"/>
                <w:szCs w:val="21"/>
                <w:highlight w:val="none"/>
              </w:rPr>
              <w:t>领域实施农民工工资专用账户相关</w:t>
            </w:r>
            <w:r>
              <w:rPr>
                <w:rFonts w:hint="eastAsia" w:ascii="宋体" w:hAnsi="宋体"/>
                <w:color w:val="auto"/>
                <w:kern w:val="0"/>
                <w:szCs w:val="21"/>
                <w:highlight w:val="none"/>
              </w:rPr>
              <w:t>要求</w:t>
            </w:r>
          </w:p>
        </w:tc>
        <w:tc>
          <w:tcPr>
            <w:tcW w:w="6490" w:type="dxa"/>
            <w:vAlign w:val="center"/>
          </w:tcPr>
          <w:p w14:paraId="6DB7ED2E">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本项目在</w:t>
            </w:r>
            <w:r>
              <w:rPr>
                <w:rFonts w:ascii="宋体" w:hAnsi="宋体"/>
                <w:color w:val="auto"/>
                <w:kern w:val="0"/>
                <w:szCs w:val="21"/>
                <w:highlight w:val="none"/>
              </w:rPr>
              <w:t>实施过程中</w:t>
            </w:r>
            <w:r>
              <w:rPr>
                <w:rFonts w:hint="eastAsia" w:ascii="宋体" w:hAnsi="宋体"/>
                <w:color w:val="auto"/>
                <w:kern w:val="0"/>
                <w:szCs w:val="21"/>
                <w:highlight w:val="none"/>
              </w:rPr>
              <w:t>，中标人</w:t>
            </w:r>
            <w:r>
              <w:rPr>
                <w:rFonts w:ascii="宋体" w:hAnsi="宋体"/>
                <w:color w:val="auto"/>
                <w:kern w:val="0"/>
                <w:szCs w:val="21"/>
                <w:highlight w:val="none"/>
              </w:rPr>
              <w:t>必须执行</w:t>
            </w:r>
            <w:r>
              <w:rPr>
                <w:rFonts w:hint="eastAsia" w:ascii="宋体" w:hAnsi="宋体"/>
                <w:color w:val="auto"/>
                <w:kern w:val="0"/>
                <w:szCs w:val="21"/>
                <w:highlight w:val="none"/>
              </w:rPr>
              <w:t>《保障农民工工资支付条例》（中华人民共和国国务院令第724号）、《重庆市人民政府办公厅关于全面治理拖欠农民工工资问题的实施意见》（渝府办发〔</w:t>
            </w:r>
            <w:r>
              <w:rPr>
                <w:rFonts w:ascii="宋体" w:hAnsi="宋体"/>
                <w:color w:val="auto"/>
                <w:kern w:val="0"/>
                <w:szCs w:val="21"/>
                <w:highlight w:val="none"/>
              </w:rPr>
              <w:t>2016〕101号</w:t>
            </w:r>
            <w:r>
              <w:rPr>
                <w:rFonts w:hint="eastAsia" w:ascii="宋体" w:hAnsi="宋体"/>
                <w:color w:val="auto"/>
                <w:kern w:val="0"/>
                <w:szCs w:val="21"/>
                <w:highlight w:val="none"/>
              </w:rPr>
              <w:t>）、《重庆市</w:t>
            </w:r>
            <w:r>
              <w:rPr>
                <w:rFonts w:ascii="宋体" w:hAnsi="宋体"/>
                <w:color w:val="auto"/>
                <w:kern w:val="0"/>
                <w:szCs w:val="21"/>
                <w:highlight w:val="none"/>
              </w:rPr>
              <w:t>城乡建设</w:t>
            </w:r>
            <w:r>
              <w:rPr>
                <w:rFonts w:hint="eastAsia" w:ascii="宋体" w:hAnsi="宋体"/>
                <w:color w:val="auto"/>
                <w:kern w:val="0"/>
                <w:szCs w:val="21"/>
                <w:highlight w:val="none"/>
              </w:rPr>
              <w:t>委员会</w:t>
            </w:r>
            <w:r>
              <w:rPr>
                <w:rFonts w:ascii="宋体" w:hAnsi="宋体"/>
                <w:color w:val="auto"/>
                <w:kern w:val="0"/>
                <w:szCs w:val="21"/>
                <w:highlight w:val="none"/>
              </w:rPr>
              <w:t>、中国人民银行重庆营业管理部、中国银行业</w:t>
            </w:r>
            <w:r>
              <w:rPr>
                <w:rFonts w:hint="eastAsia" w:ascii="宋体" w:hAnsi="宋体"/>
                <w:color w:val="auto"/>
                <w:kern w:val="0"/>
                <w:szCs w:val="21"/>
                <w:highlight w:val="none"/>
              </w:rPr>
              <w:t>监督</w:t>
            </w:r>
            <w:r>
              <w:rPr>
                <w:rFonts w:ascii="宋体" w:hAnsi="宋体"/>
                <w:color w:val="auto"/>
                <w:kern w:val="0"/>
                <w:szCs w:val="21"/>
                <w:highlight w:val="none"/>
              </w:rPr>
              <w:t>管理委员会重庆监管局</w:t>
            </w:r>
            <w:r>
              <w:rPr>
                <w:rFonts w:hint="eastAsia" w:ascii="宋体" w:hAnsi="宋体"/>
                <w:color w:val="auto"/>
                <w:kern w:val="0"/>
                <w:szCs w:val="21"/>
                <w:highlight w:val="none"/>
              </w:rPr>
              <w:t>关于</w:t>
            </w:r>
            <w:r>
              <w:rPr>
                <w:rFonts w:ascii="宋体" w:hAnsi="宋体"/>
                <w:color w:val="auto"/>
                <w:kern w:val="0"/>
                <w:szCs w:val="21"/>
                <w:highlight w:val="none"/>
              </w:rPr>
              <w:t>建筑领域实施农民工工资专用账户管理及银行代发制度（</w:t>
            </w:r>
            <w:r>
              <w:rPr>
                <w:rFonts w:hint="eastAsia" w:ascii="宋体" w:hAnsi="宋体"/>
                <w:color w:val="auto"/>
                <w:kern w:val="0"/>
                <w:szCs w:val="21"/>
                <w:highlight w:val="none"/>
              </w:rPr>
              <w:t>试行</w:t>
            </w:r>
            <w:r>
              <w:rPr>
                <w:rFonts w:ascii="宋体" w:hAnsi="宋体"/>
                <w:color w:val="auto"/>
                <w:kern w:val="0"/>
                <w:szCs w:val="21"/>
                <w:highlight w:val="none"/>
              </w:rPr>
              <w:t>）</w:t>
            </w:r>
            <w:r>
              <w:rPr>
                <w:rFonts w:hint="eastAsia" w:ascii="宋体" w:hAnsi="宋体"/>
                <w:color w:val="auto"/>
                <w:kern w:val="0"/>
                <w:szCs w:val="21"/>
                <w:highlight w:val="none"/>
              </w:rPr>
              <w:t>的</w:t>
            </w:r>
            <w:r>
              <w:rPr>
                <w:rFonts w:ascii="宋体" w:hAnsi="宋体"/>
                <w:color w:val="auto"/>
                <w:kern w:val="0"/>
                <w:szCs w:val="21"/>
                <w:highlight w:val="none"/>
              </w:rPr>
              <w:t>通知</w:t>
            </w:r>
            <w:r>
              <w:rPr>
                <w:rFonts w:hint="eastAsia" w:ascii="宋体" w:hAnsi="宋体"/>
                <w:color w:val="auto"/>
                <w:kern w:val="0"/>
                <w:szCs w:val="21"/>
                <w:highlight w:val="none"/>
              </w:rPr>
              <w:t>》（渝</w:t>
            </w:r>
            <w:r>
              <w:rPr>
                <w:rFonts w:ascii="宋体" w:hAnsi="宋体"/>
                <w:color w:val="auto"/>
                <w:kern w:val="0"/>
                <w:szCs w:val="21"/>
                <w:highlight w:val="none"/>
              </w:rPr>
              <w:t>建发</w:t>
            </w:r>
            <w:r>
              <w:rPr>
                <w:rFonts w:hint="eastAsia" w:ascii="宋体" w:hAnsi="宋体"/>
                <w:color w:val="auto"/>
                <w:kern w:val="0"/>
                <w:szCs w:val="21"/>
                <w:highlight w:val="none"/>
              </w:rPr>
              <w:t>〔</w:t>
            </w:r>
            <w:r>
              <w:rPr>
                <w:rFonts w:ascii="宋体" w:hAnsi="宋体"/>
                <w:color w:val="auto"/>
                <w:kern w:val="0"/>
                <w:szCs w:val="21"/>
                <w:highlight w:val="none"/>
              </w:rPr>
              <w:t>2017</w:t>
            </w:r>
            <w:r>
              <w:rPr>
                <w:rFonts w:hint="eastAsia" w:ascii="宋体" w:hAnsi="宋体"/>
                <w:color w:val="auto"/>
                <w:kern w:val="0"/>
                <w:szCs w:val="21"/>
                <w:highlight w:val="none"/>
              </w:rPr>
              <w:t>〕</w:t>
            </w:r>
            <w:r>
              <w:rPr>
                <w:rFonts w:ascii="宋体" w:hAnsi="宋体"/>
                <w:color w:val="auto"/>
                <w:kern w:val="0"/>
                <w:szCs w:val="21"/>
                <w:highlight w:val="none"/>
              </w:rPr>
              <w:t>13号</w:t>
            </w:r>
            <w:r>
              <w:rPr>
                <w:rFonts w:hint="eastAsia" w:ascii="宋体" w:hAnsi="宋体"/>
                <w:color w:val="auto"/>
                <w:kern w:val="0"/>
                <w:szCs w:val="21"/>
                <w:highlight w:val="none"/>
              </w:rPr>
              <w:t>）及《重庆市建设工程造价管理总站关于建筑领域农民工工资专户管理网络系统正式运行有关事宜的通知》，实行农民工工资专用账户管理及银行代发制度，填报相应的网络管理系统。</w:t>
            </w:r>
          </w:p>
          <w:p w14:paraId="6851BA31">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人中标后，在与发包人签订的合同中，必须明确在重庆市的农民工工资专用账户信息、人工费（工资款）支付比例；在项目开工后，为农民工办理平安卡和工资卡，委托银行通过农民工工资专用账户直接将农民工工资发放至工资卡，并按照有关规定在“工资专户管理网络系统”中填报相关信息</w:t>
            </w:r>
            <w:r>
              <w:rPr>
                <w:rFonts w:ascii="宋体" w:hAnsi="宋体"/>
                <w:color w:val="auto"/>
                <w:kern w:val="0"/>
                <w:szCs w:val="21"/>
                <w:highlight w:val="none"/>
              </w:rPr>
              <w:t>。</w:t>
            </w:r>
          </w:p>
        </w:tc>
      </w:tr>
      <w:tr w14:paraId="2482B0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702CE95C">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10.</w:t>
            </w:r>
            <w:r>
              <w:rPr>
                <w:rFonts w:ascii="宋体" w:hAnsi="宋体"/>
                <w:color w:val="auto"/>
                <w:kern w:val="0"/>
                <w:szCs w:val="21"/>
                <w:highlight w:val="none"/>
              </w:rPr>
              <w:t>6</w:t>
            </w:r>
          </w:p>
        </w:tc>
        <w:tc>
          <w:tcPr>
            <w:tcW w:w="1644" w:type="dxa"/>
            <w:vAlign w:val="center"/>
          </w:tcPr>
          <w:p w14:paraId="7B71EFCD">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低价风险担保</w:t>
            </w:r>
          </w:p>
          <w:p w14:paraId="325BF624">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（采用经评审的最低投标价法适用）</w:t>
            </w:r>
          </w:p>
        </w:tc>
        <w:tc>
          <w:tcPr>
            <w:tcW w:w="6490" w:type="dxa"/>
            <w:vAlign w:val="center"/>
          </w:tcPr>
          <w:p w14:paraId="78DB5B7D">
            <w:pPr>
              <w:autoSpaceDE w:val="0"/>
              <w:autoSpaceDN w:val="0"/>
              <w:adjustRightInd w:val="0"/>
              <w:snapToGrid w:val="0"/>
              <w:spacing w:line="400" w:lineRule="exact"/>
              <w:ind w:firstLine="420" w:firstLineChars="200"/>
              <w:rPr>
                <w:rFonts w:ascii="宋体" w:hAnsi="宋体"/>
                <w:i/>
                <w:color w:val="auto"/>
                <w:kern w:val="0"/>
                <w:szCs w:val="21"/>
                <w:highlight w:val="none"/>
              </w:rPr>
            </w:pPr>
            <w:r>
              <w:rPr>
                <w:rFonts w:hint="eastAsia" w:ascii="宋体" w:hAnsi="宋体"/>
                <w:i/>
                <w:color w:val="auto"/>
                <w:kern w:val="0"/>
                <w:szCs w:val="21"/>
                <w:highlight w:val="none"/>
              </w:rPr>
              <w:t>[提示：采用经评审的最低投标价法的招标项目，招标人应当在招标文件中要求</w:t>
            </w:r>
            <w:r>
              <w:rPr>
                <w:rFonts w:hint="eastAsia"/>
                <w:i/>
                <w:iCs/>
                <w:color w:val="auto"/>
                <w:szCs w:val="21"/>
                <w:highlight w:val="none"/>
              </w:rPr>
              <w:t>拟中标人</w:t>
            </w:r>
            <w:r>
              <w:rPr>
                <w:rFonts w:hint="eastAsia" w:ascii="宋体" w:hAnsi="宋体"/>
                <w:i/>
                <w:color w:val="auto"/>
                <w:kern w:val="0"/>
                <w:szCs w:val="21"/>
                <w:highlight w:val="none"/>
              </w:rPr>
              <w:t>提供低价风险担保，并明确担保方式和扣减担保金额的情形。担保金额为最高限价的85%与中标价格差额的一至三倍，且最高不超过最高限价的85%。担保方式可以采用现金、银行保函等方式。</w:t>
            </w:r>
          </w:p>
          <w:p w14:paraId="3022FE93">
            <w:pPr>
              <w:autoSpaceDE w:val="0"/>
              <w:autoSpaceDN w:val="0"/>
              <w:adjustRightInd w:val="0"/>
              <w:snapToGrid w:val="0"/>
              <w:spacing w:line="400" w:lineRule="exact"/>
              <w:ind w:firstLine="420" w:firstLineChars="200"/>
              <w:rPr>
                <w:rFonts w:ascii="宋体" w:hAnsi="宋体"/>
                <w:i/>
                <w:color w:val="auto"/>
                <w:kern w:val="0"/>
                <w:szCs w:val="21"/>
                <w:highlight w:val="none"/>
              </w:rPr>
            </w:pPr>
            <w:r>
              <w:rPr>
                <w:rFonts w:hint="eastAsia" w:ascii="宋体" w:hAnsi="宋体"/>
                <w:i/>
                <w:iCs/>
                <w:color w:val="auto"/>
                <w:kern w:val="0"/>
                <w:szCs w:val="21"/>
                <w:highlight w:val="none"/>
              </w:rPr>
              <w:t>招标人在发出中标通知书前，应当书面告知拟中标人提供低价风险担保，明确担保金额、提交截止日期等具体要求。招标人应当充分考虑拟中标人低价风险担保提交、手续办理时间等因素，从招标人低价风险担保书面通知送达拟中标人之日起到拟中标人将低价风险担保提交送达招标人之日止，原则上不得少于10个工作日。中标通知书发出后，中标人拒不提交或者在约定期限内未按要求提交低价风险担保的，招标人应当撤销中标通知书，并在约定的低价风险担保送达截止之日起3个工作日内将处理结果书面告知中标人。</w:t>
            </w:r>
            <w:r>
              <w:rPr>
                <w:rFonts w:hint="eastAsia" w:ascii="宋体" w:hAnsi="宋体"/>
                <w:i/>
                <w:color w:val="auto"/>
                <w:kern w:val="0"/>
                <w:szCs w:val="21"/>
                <w:highlight w:val="none"/>
              </w:rPr>
              <w:t>]</w:t>
            </w:r>
          </w:p>
          <w:p w14:paraId="3CF6371C">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1、低价风险担保：中标价低于</w:t>
            </w:r>
            <w:bookmarkStart w:id="163" w:name="_Hlk37842684"/>
            <w:r>
              <w:rPr>
                <w:rFonts w:hint="eastAsia" w:ascii="宋体" w:hAnsi="宋体"/>
                <w:color w:val="auto"/>
                <w:kern w:val="0"/>
                <w:szCs w:val="21"/>
                <w:highlight w:val="none"/>
              </w:rPr>
              <w:t>最高限价的85%时</w:t>
            </w:r>
            <w:bookmarkEnd w:id="163"/>
            <w:r>
              <w:rPr>
                <w:rFonts w:hint="eastAsia" w:ascii="宋体" w:hAnsi="宋体"/>
                <w:color w:val="auto"/>
                <w:kern w:val="0"/>
                <w:szCs w:val="21"/>
                <w:highlight w:val="none"/>
              </w:rPr>
              <w:t>提供，如不按时足额提供，视为中标人放弃中标，招标人有权不退还其投标保证金，并报招标投标行政监督部门按照信用管理办法的规定处理，对中标人的不良行为直接记12分，纳入重点关注名单。若投标人为联合体，由联合体牵头人或按照联合体协议的约定提交低价风险担保。</w:t>
            </w:r>
          </w:p>
          <w:p w14:paraId="64D2EEBB">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2、中标人提供低价风险担保的形式、金额及期限：</w:t>
            </w:r>
          </w:p>
          <w:p w14:paraId="0FDDC77E">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1</w:t>
            </w:r>
            <w:r>
              <w:rPr>
                <w:rFonts w:hint="eastAsia" w:ascii="宋体" w:hAnsi="宋体"/>
                <w:color w:val="auto"/>
                <w:kern w:val="0"/>
                <w:szCs w:val="21"/>
                <w:highlight w:val="none"/>
              </w:rPr>
              <w:t>）低价风险担保的形式：</w:t>
            </w:r>
            <w:bookmarkStart w:id="164" w:name="_Hlk58857485"/>
            <w:r>
              <w:rPr>
                <w:rFonts w:hint="eastAsia" w:ascii="宋体" w:hAnsi="宋体"/>
                <w:color w:val="auto"/>
                <w:kern w:val="0"/>
                <w:szCs w:val="21"/>
                <w:highlight w:val="none"/>
                <w:u w:val="none"/>
              </w:rPr>
              <w:t>现金或银行保函或现金</w:t>
            </w:r>
            <w:r>
              <w:rPr>
                <w:rFonts w:ascii="宋体" w:hAnsi="宋体"/>
                <w:color w:val="auto"/>
                <w:kern w:val="0"/>
                <w:szCs w:val="21"/>
                <w:highlight w:val="none"/>
                <w:u w:val="none"/>
              </w:rPr>
              <w:t>+</w:t>
            </w:r>
            <w:r>
              <w:rPr>
                <w:rFonts w:hint="eastAsia" w:ascii="宋体" w:hAnsi="宋体"/>
                <w:color w:val="auto"/>
                <w:kern w:val="0"/>
                <w:szCs w:val="21"/>
                <w:highlight w:val="none"/>
                <w:u w:val="none"/>
              </w:rPr>
              <w:t>银行保函的组合；采用银行保函形式的，保函必须为不可撤销且见索即付</w:t>
            </w:r>
            <w:r>
              <w:rPr>
                <w:rFonts w:hint="eastAsia" w:ascii="宋体" w:hAnsi="宋体"/>
                <w:color w:val="auto"/>
                <w:kern w:val="0"/>
                <w:szCs w:val="21"/>
                <w:highlight w:val="none"/>
              </w:rPr>
              <w:t>。</w:t>
            </w:r>
            <w:bookmarkEnd w:id="164"/>
          </w:p>
          <w:p w14:paraId="45ACBE97">
            <w:pPr>
              <w:autoSpaceDE w:val="0"/>
              <w:autoSpaceDN w:val="0"/>
              <w:adjustRightInd w:val="0"/>
              <w:snapToGrid w:val="0"/>
              <w:spacing w:line="400" w:lineRule="exact"/>
              <w:ind w:firstLine="420" w:firstLineChars="200"/>
              <w:rPr>
                <w:color w:val="auto"/>
                <w:highlight w:val="none"/>
              </w:rPr>
            </w:pPr>
            <w:r>
              <w:rPr>
                <w:rFonts w:ascii="宋体" w:hAnsi="宋体"/>
                <w:i/>
                <w:color w:val="auto"/>
                <w:kern w:val="0"/>
                <w:szCs w:val="21"/>
                <w:highlight w:val="none"/>
                <w:u w:val="none"/>
              </w:rPr>
              <w:t>[提示：由招标人根据渝府办发[2019]114号文的相关规定确定低价风险担保的形式。]</w:t>
            </w:r>
          </w:p>
          <w:p w14:paraId="7FD2E562">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2</w:t>
            </w:r>
            <w:r>
              <w:rPr>
                <w:rFonts w:hint="eastAsia" w:ascii="宋体" w:hAnsi="宋体"/>
                <w:color w:val="auto"/>
                <w:kern w:val="0"/>
                <w:szCs w:val="21"/>
                <w:highlight w:val="none"/>
              </w:rPr>
              <w:t>）低价风险担保的金额：</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（最高限价×85%-中标价）×□1□2□3，且最高不超过最高限价的85%，红名单中的中标人低价风险担保金额减半（红名单建立完善后使用；联合体中标的，须联合体牵头人在红名单中）；</w:t>
            </w:r>
          </w:p>
          <w:p w14:paraId="5606A399">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w:t>
            </w:r>
            <w:r>
              <w:rPr>
                <w:rFonts w:ascii="宋体" w:hAnsi="宋体"/>
                <w:color w:val="auto"/>
                <w:kern w:val="0"/>
                <w:szCs w:val="21"/>
                <w:highlight w:val="none"/>
              </w:rPr>
              <w:t>3</w:t>
            </w:r>
            <w:r>
              <w:rPr>
                <w:rFonts w:hint="eastAsia" w:ascii="宋体" w:hAnsi="宋体"/>
                <w:color w:val="auto"/>
                <w:kern w:val="0"/>
                <w:szCs w:val="21"/>
                <w:highlight w:val="none"/>
              </w:rPr>
              <w:t>）低价风险担保</w:t>
            </w:r>
            <w:r>
              <w:rPr>
                <w:rFonts w:hint="eastAsia"/>
                <w:color w:val="auto"/>
                <w:szCs w:val="21"/>
                <w:highlight w:val="none"/>
              </w:rPr>
              <w:t>送达招标人的</w:t>
            </w:r>
            <w:r>
              <w:rPr>
                <w:rFonts w:hint="eastAsia" w:ascii="宋体" w:hAnsi="宋体"/>
                <w:color w:val="auto"/>
                <w:kern w:val="0"/>
                <w:szCs w:val="21"/>
                <w:highlight w:val="none"/>
              </w:rPr>
              <w:t>时间：</w:t>
            </w:r>
            <w:r>
              <w:rPr>
                <w:rFonts w:hint="eastAsia"/>
                <w:color w:val="auto"/>
                <w:szCs w:val="21"/>
                <w:highlight w:val="none"/>
              </w:rPr>
              <w:t>从招标人低价风险担保书面通知送达拟中标人之日起</w:t>
            </w:r>
            <w:r>
              <w:rPr>
                <w:color w:val="auto"/>
                <w:szCs w:val="21"/>
                <w:highlight w:val="none"/>
                <w:u w:val="single"/>
              </w:rPr>
              <w:t xml:space="preserve">    </w:t>
            </w:r>
            <w:r>
              <w:rPr>
                <w:rFonts w:hint="eastAsia"/>
                <w:color w:val="auto"/>
                <w:szCs w:val="21"/>
                <w:highlight w:val="none"/>
              </w:rPr>
              <w:t>工作日内</w:t>
            </w:r>
            <w:r>
              <w:rPr>
                <w:rFonts w:hint="eastAsia" w:ascii="宋体" w:hAnsi="宋体"/>
                <w:color w:val="auto"/>
                <w:kern w:val="0"/>
                <w:szCs w:val="21"/>
                <w:highlight w:val="none"/>
              </w:rPr>
              <w:t>；</w:t>
            </w:r>
          </w:p>
          <w:p w14:paraId="51A4729A">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（4）中标人因自身原因未按中标通知书规定的时限与招标人签订合同的，招标人有权扣除其低价风险担保并取消中标资格。</w:t>
            </w:r>
          </w:p>
          <w:p w14:paraId="1FF07E62">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（5）低价风险担保的期限：</w:t>
            </w:r>
            <w:r>
              <w:rPr>
                <w:rFonts w:hint="eastAsia" w:ascii="宋体" w:hAnsi="宋体"/>
                <w:color w:val="auto"/>
                <w:kern w:val="0"/>
                <w:szCs w:val="21"/>
                <w:highlight w:val="none"/>
                <w:u w:val="single"/>
              </w:rPr>
              <w:t>自</w:t>
            </w:r>
            <w:r>
              <w:rPr>
                <w:rFonts w:hint="eastAsia"/>
                <w:color w:val="auto"/>
                <w:szCs w:val="21"/>
                <w:highlight w:val="none"/>
                <w:u w:val="single"/>
              </w:rPr>
              <w:t>低价风险担保生效</w:t>
            </w:r>
            <w:r>
              <w:rPr>
                <w:rFonts w:hint="eastAsia" w:ascii="宋体" w:hAnsi="宋体"/>
                <w:color w:val="auto"/>
                <w:kern w:val="0"/>
                <w:szCs w:val="21"/>
                <w:highlight w:val="none"/>
                <w:u w:val="single"/>
              </w:rPr>
              <w:t>之日起至</w:t>
            </w:r>
            <w:bookmarkStart w:id="165" w:name="_Hlk37843050"/>
            <w:r>
              <w:rPr>
                <w:rFonts w:hint="eastAsia" w:ascii="宋体" w:hAnsi="宋体"/>
                <w:color w:val="auto"/>
                <w:kern w:val="0"/>
                <w:szCs w:val="21"/>
                <w:highlight w:val="none"/>
                <w:u w:val="single"/>
              </w:rPr>
              <w:t>竣工验收合格之日止</w:t>
            </w:r>
            <w:bookmarkEnd w:id="165"/>
            <w:r>
              <w:rPr>
                <w:rFonts w:hint="eastAsia" w:ascii="宋体" w:hAnsi="宋体"/>
                <w:color w:val="auto"/>
                <w:kern w:val="0"/>
                <w:szCs w:val="21"/>
                <w:highlight w:val="none"/>
              </w:rPr>
              <w:t>。</w:t>
            </w:r>
          </w:p>
          <w:p w14:paraId="7DAD2F48">
            <w:pPr>
              <w:widowControl/>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3、低价风险担保的退还时间：见专用合同条款。</w:t>
            </w:r>
          </w:p>
          <w:p w14:paraId="56FC73FD">
            <w:pPr>
              <w:widowControl/>
              <w:spacing w:line="400" w:lineRule="exact"/>
              <w:ind w:firstLine="420" w:firstLineChars="200"/>
              <w:rPr>
                <w:color w:val="auto"/>
                <w:highlight w:val="none"/>
              </w:rPr>
            </w:pPr>
            <w:r>
              <w:rPr>
                <w:rFonts w:hint="eastAsia"/>
                <w:color w:val="auto"/>
                <w:highlight w:val="none"/>
              </w:rPr>
              <w:t>4、采用经评审最低投标价法的项目，拟中标人或者中标人放弃中标项目，无正当理由不与招标人签订合同，在签订合同时向招标人提出附加条件或者更改合同实质性内容，或者拒不按照招标文件规定提交低价风险担保或履约担保的，取消其中标资格，投标保证金不予退还，给招标人造成的损失超过投标保证金数额的，拟中标人或中标人应对超过部分予以赔偿。</w:t>
            </w:r>
          </w:p>
        </w:tc>
      </w:tr>
      <w:tr w14:paraId="1895CD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574CA332">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10.</w:t>
            </w:r>
            <w:r>
              <w:rPr>
                <w:rFonts w:ascii="宋体" w:hAnsi="宋体"/>
                <w:color w:val="auto"/>
                <w:kern w:val="0"/>
                <w:szCs w:val="21"/>
                <w:highlight w:val="none"/>
              </w:rPr>
              <w:t>7</w:t>
            </w:r>
          </w:p>
        </w:tc>
        <w:tc>
          <w:tcPr>
            <w:tcW w:w="1644" w:type="dxa"/>
            <w:vAlign w:val="center"/>
          </w:tcPr>
          <w:p w14:paraId="4BABEFA2">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关于对招标文件及投标争议的解释</w:t>
            </w:r>
          </w:p>
        </w:tc>
        <w:tc>
          <w:tcPr>
            <w:tcW w:w="6490" w:type="dxa"/>
            <w:vAlign w:val="center"/>
          </w:tcPr>
          <w:p w14:paraId="7B4D0D48">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对资格预审文件或者招标文件的评标标准和方法，以及资格审查和否决投标条款理解有争议的，应当作出不利于招标人的解释，但违背国家利益、社会公共利益的除外。</w:t>
            </w:r>
          </w:p>
          <w:p w14:paraId="2F4FDDC8">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对投标文件理解有争议的，应当作出不利于提交该投标文件的投标人的解释。</w:t>
            </w:r>
          </w:p>
        </w:tc>
      </w:tr>
      <w:tr w14:paraId="2CBF14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4C2E9FE8">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10.</w:t>
            </w:r>
            <w:r>
              <w:rPr>
                <w:rFonts w:ascii="宋体" w:hAnsi="宋体"/>
                <w:color w:val="auto"/>
                <w:kern w:val="0"/>
                <w:szCs w:val="21"/>
                <w:highlight w:val="none"/>
              </w:rPr>
              <w:t>8</w:t>
            </w:r>
          </w:p>
        </w:tc>
        <w:tc>
          <w:tcPr>
            <w:tcW w:w="1644" w:type="dxa"/>
            <w:vAlign w:val="center"/>
          </w:tcPr>
          <w:p w14:paraId="753A013A">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投标人注意事项</w:t>
            </w:r>
          </w:p>
        </w:tc>
        <w:tc>
          <w:tcPr>
            <w:tcW w:w="6490" w:type="dxa"/>
            <w:vAlign w:val="center"/>
          </w:tcPr>
          <w:p w14:paraId="15B548AE">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1. 本次投标采用全流程电子开评标模式，第一次参与投标的单位务必在</w:t>
            </w:r>
            <w:r>
              <w:rPr>
                <w:rFonts w:hint="eastAsia" w:ascii="宋体" w:hAnsi="宋体"/>
                <w:color w:val="auto"/>
                <w:kern w:val="0"/>
                <w:szCs w:val="21"/>
                <w:highlight w:val="none"/>
                <w:u w:val="single"/>
              </w:rPr>
              <w:t>重庆市公共资源交易网（www.cqggzy.com）</w:t>
            </w:r>
            <w:r>
              <w:rPr>
                <w:rFonts w:hint="eastAsia" w:ascii="宋体" w:hAnsi="宋体"/>
                <w:color w:val="auto"/>
                <w:kern w:val="0"/>
                <w:szCs w:val="21"/>
                <w:highlight w:val="none"/>
              </w:rPr>
              <w:t>完成市场主体信息登记以及 CA 数字证书办理，并且下载新点投标文件制作软件（重庆版）制作投标文件。</w:t>
            </w:r>
          </w:p>
          <w:p w14:paraId="7D6448F8">
            <w:pPr>
              <w:autoSpaceDE w:val="0"/>
              <w:autoSpaceDN w:val="0"/>
              <w:adjustRightInd w:val="0"/>
              <w:snapToGrid w:val="0"/>
              <w:spacing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 制作投标文件需要使用CA 数字证书加密，并且加盖电子印章，CA 数字证书购买及办理方式请参见</w:t>
            </w:r>
            <w:r>
              <w:rPr>
                <w:rFonts w:hint="eastAsia" w:ascii="宋体" w:hAnsi="宋体"/>
                <w:color w:val="auto"/>
                <w:kern w:val="0"/>
                <w:szCs w:val="21"/>
                <w:highlight w:val="none"/>
                <w:u w:val="single"/>
              </w:rPr>
              <w:t>重庆市公共资源交易网（www.cqggzy.com）</w:t>
            </w:r>
            <w:r>
              <w:rPr>
                <w:rFonts w:hint="eastAsia" w:ascii="宋体" w:hAnsi="宋体"/>
                <w:color w:val="auto"/>
                <w:kern w:val="0"/>
                <w:szCs w:val="21"/>
                <w:highlight w:val="none"/>
              </w:rPr>
              <w:t>导航栏“主体信息”页面中“市场主体信息登记”“CA数字证书办理”。</w:t>
            </w:r>
          </w:p>
          <w:p w14:paraId="140CC838">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3.投标人应当在投标截止时间前，通过互联网使用CA数字证书登录</w:t>
            </w:r>
            <w:r>
              <w:rPr>
                <w:rFonts w:hint="eastAsia" w:ascii="宋体" w:hAnsi="宋体"/>
                <w:color w:val="auto"/>
                <w:kern w:val="0"/>
                <w:szCs w:val="21"/>
                <w:highlight w:val="none"/>
                <w:u w:val="none"/>
              </w:rPr>
              <w:t>重庆市电子招投标系统</w:t>
            </w:r>
            <w:r>
              <w:rPr>
                <w:rFonts w:hint="eastAsia" w:ascii="宋体" w:hAnsi="宋体"/>
                <w:color w:val="auto"/>
                <w:kern w:val="0"/>
                <w:szCs w:val="21"/>
                <w:highlight w:val="none"/>
              </w:rPr>
              <w:t>，将加密的电子投标文件上传，未按规定加密将无法上传。投标人应充分考虑上传文件时的不可预见因素，逾期未完成投标文件上传的，视为撤回投标文件。</w:t>
            </w:r>
          </w:p>
        </w:tc>
      </w:tr>
      <w:tr w14:paraId="09FCBC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335" w:type="dxa"/>
            <w:vAlign w:val="center"/>
          </w:tcPr>
          <w:p w14:paraId="6D26B84B">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10.</w:t>
            </w:r>
            <w:r>
              <w:rPr>
                <w:rFonts w:ascii="宋体" w:hAnsi="宋体"/>
                <w:color w:val="auto"/>
                <w:kern w:val="0"/>
                <w:szCs w:val="21"/>
                <w:highlight w:val="none"/>
              </w:rPr>
              <w:t>9</w:t>
            </w:r>
          </w:p>
        </w:tc>
        <w:tc>
          <w:tcPr>
            <w:tcW w:w="1644" w:type="dxa"/>
            <w:vAlign w:val="center"/>
          </w:tcPr>
          <w:p w14:paraId="02DDE967">
            <w:pPr>
              <w:snapToGrid w:val="0"/>
              <w:spacing w:line="400" w:lineRule="exact"/>
              <w:jc w:val="center"/>
              <w:rPr>
                <w:rFonts w:ascii="宋体" w:hAnsi="宋体"/>
                <w:color w:val="auto"/>
                <w:kern w:val="0"/>
                <w:szCs w:val="21"/>
                <w:highlight w:val="none"/>
              </w:rPr>
            </w:pPr>
            <w:r>
              <w:rPr>
                <w:rFonts w:hint="eastAsia" w:ascii="宋体" w:hAnsi="宋体"/>
                <w:color w:val="auto"/>
                <w:kern w:val="0"/>
                <w:szCs w:val="21"/>
                <w:highlight w:val="none"/>
              </w:rPr>
              <w:t>其他</w:t>
            </w:r>
          </w:p>
        </w:tc>
        <w:tc>
          <w:tcPr>
            <w:tcW w:w="6490" w:type="dxa"/>
            <w:vAlign w:val="center"/>
          </w:tcPr>
          <w:p w14:paraId="1AD04F4E">
            <w:pPr>
              <w:autoSpaceDE w:val="0"/>
              <w:autoSpaceDN w:val="0"/>
              <w:adjustRightInd w:val="0"/>
              <w:snapToGrid w:val="0"/>
              <w:spacing w:line="400" w:lineRule="exact"/>
              <w:ind w:firstLine="420"/>
              <w:rPr>
                <w:rFonts w:ascii="宋体" w:hAnsi="宋体"/>
                <w:i/>
                <w:color w:val="auto"/>
                <w:kern w:val="0"/>
                <w:szCs w:val="21"/>
                <w:highlight w:val="none"/>
              </w:rPr>
            </w:pPr>
            <w:r>
              <w:rPr>
                <w:rFonts w:hint="eastAsia" w:ascii="宋体" w:hAnsi="宋体"/>
                <w:i/>
                <w:color w:val="auto"/>
                <w:kern w:val="0"/>
                <w:szCs w:val="21"/>
                <w:highlight w:val="none"/>
              </w:rPr>
              <w:t>[提示：招标人认为需要增加的，且与本表前述条款不重复的，不涉及资格和否决投标的内容]</w:t>
            </w:r>
          </w:p>
        </w:tc>
      </w:tr>
    </w:tbl>
    <w:p w14:paraId="3CAFFCAC">
      <w:pPr>
        <w:pStyle w:val="4"/>
        <w:spacing w:before="0" w:after="0" w:line="200" w:lineRule="exact"/>
        <w:rPr>
          <w:rFonts w:ascii="宋体" w:hAnsi="宋体"/>
          <w:b w:val="0"/>
          <w:snapToGrid w:val="0"/>
          <w:color w:val="auto"/>
          <w:highlight w:val="none"/>
        </w:rPr>
      </w:pPr>
      <w:bookmarkStart w:id="166" w:name="_Toc277082552"/>
      <w:bookmarkStart w:id="167" w:name="_Toc224103317"/>
      <w:bookmarkStart w:id="168" w:name="_Toc287620685"/>
      <w:bookmarkStart w:id="169" w:name="_Toc430530435"/>
      <w:bookmarkStart w:id="170" w:name="_Toc200513126"/>
      <w:bookmarkStart w:id="171" w:name="_Toc287607746"/>
      <w:r>
        <w:rPr>
          <w:rFonts w:ascii="宋体" w:hAnsi="宋体"/>
          <w:b w:val="0"/>
          <w:snapToGrid w:val="0"/>
          <w:color w:val="auto"/>
          <w:highlight w:val="none"/>
        </w:rPr>
        <w:br w:type="page"/>
      </w:r>
    </w:p>
    <w:p w14:paraId="030DA39C">
      <w:pPr>
        <w:pStyle w:val="4"/>
        <w:spacing w:before="0" w:after="0" w:line="360" w:lineRule="auto"/>
        <w:rPr>
          <w:rFonts w:ascii="宋体" w:hAnsi="宋体"/>
          <w:b w:val="0"/>
          <w:snapToGrid w:val="0"/>
          <w:color w:val="auto"/>
          <w:highlight w:val="none"/>
        </w:rPr>
      </w:pPr>
      <w:bookmarkStart w:id="172" w:name="_Toc58860066"/>
      <w:bookmarkStart w:id="173" w:name="_Toc509218710"/>
      <w:r>
        <w:rPr>
          <w:rFonts w:ascii="宋体" w:hAnsi="宋体"/>
          <w:b w:val="0"/>
          <w:snapToGrid w:val="0"/>
          <w:color w:val="auto"/>
          <w:highlight w:val="none"/>
        </w:rPr>
        <w:t>1.  总则</w:t>
      </w:r>
      <w:bookmarkEnd w:id="166"/>
      <w:bookmarkEnd w:id="167"/>
      <w:bookmarkEnd w:id="168"/>
      <w:bookmarkEnd w:id="169"/>
      <w:bookmarkEnd w:id="170"/>
      <w:bookmarkEnd w:id="171"/>
      <w:bookmarkEnd w:id="172"/>
      <w:bookmarkEnd w:id="173"/>
    </w:p>
    <w:p w14:paraId="65414A35">
      <w:pPr>
        <w:pStyle w:val="5"/>
        <w:snapToGrid w:val="0"/>
        <w:spacing w:before="0" w:after="0" w:line="360" w:lineRule="auto"/>
        <w:rPr>
          <w:rFonts w:ascii="宋体" w:hAnsi="宋体"/>
          <w:b w:val="0"/>
          <w:snapToGrid w:val="0"/>
          <w:color w:val="auto"/>
          <w:sz w:val="24"/>
          <w:szCs w:val="24"/>
          <w:highlight w:val="none"/>
        </w:rPr>
      </w:pPr>
      <w:bookmarkStart w:id="174" w:name="_Toc277082553"/>
      <w:bookmarkStart w:id="175" w:name="_Toc287607747"/>
      <w:bookmarkStart w:id="176" w:name="_Toc430530436"/>
      <w:bookmarkStart w:id="177" w:name="_Toc224103318"/>
      <w:bookmarkStart w:id="178" w:name="_Toc200513127"/>
      <w:bookmarkStart w:id="179" w:name="_Toc509218711"/>
      <w:bookmarkStart w:id="180" w:name="_Toc287620686"/>
      <w:bookmarkStart w:id="181" w:name="_Toc58860067"/>
      <w:r>
        <w:rPr>
          <w:rFonts w:ascii="宋体" w:hAnsi="宋体"/>
          <w:b w:val="0"/>
          <w:snapToGrid w:val="0"/>
          <w:color w:val="auto"/>
          <w:sz w:val="24"/>
          <w:szCs w:val="24"/>
          <w:highlight w:val="none"/>
        </w:rPr>
        <w:t>1.1  项目概况</w:t>
      </w:r>
      <w:bookmarkEnd w:id="174"/>
      <w:bookmarkEnd w:id="175"/>
      <w:bookmarkEnd w:id="176"/>
      <w:bookmarkEnd w:id="177"/>
      <w:bookmarkEnd w:id="178"/>
      <w:bookmarkEnd w:id="179"/>
      <w:bookmarkEnd w:id="180"/>
      <w:bookmarkEnd w:id="181"/>
    </w:p>
    <w:p w14:paraId="4924F7E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1.1.1  根据《中华人民共和国招标投标法》等有关法律、法规和规章的规定，本招标项目已具备招标条件，</w:t>
      </w:r>
      <w:r>
        <w:rPr>
          <w:rFonts w:hint="eastAsia"/>
          <w:color w:val="auto"/>
          <w:highlight w:val="none"/>
        </w:rPr>
        <w:t>现对该项目进行工程总承包招标。</w:t>
      </w:r>
    </w:p>
    <w:p w14:paraId="0326E00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1.1.2  招标人：见投标人须知前附表。</w:t>
      </w:r>
    </w:p>
    <w:p w14:paraId="5A8295D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1.1.3  招标代理机构：见投标人须知前附表。</w:t>
      </w:r>
    </w:p>
    <w:p w14:paraId="7A8EAB8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1.1.4  招标项目名称：见投标人须知前附表。</w:t>
      </w:r>
    </w:p>
    <w:p w14:paraId="0482C57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1.1.5  </w:t>
      </w:r>
      <w:r>
        <w:rPr>
          <w:rFonts w:hint="eastAsia" w:ascii="宋体" w:hAnsi="宋体"/>
          <w:snapToGrid w:val="0"/>
          <w:color w:val="auto"/>
          <w:kern w:val="0"/>
          <w:szCs w:val="21"/>
          <w:highlight w:val="none"/>
        </w:rPr>
        <w:t>项目</w:t>
      </w:r>
      <w:r>
        <w:rPr>
          <w:rFonts w:ascii="宋体" w:hAnsi="宋体"/>
          <w:snapToGrid w:val="0"/>
          <w:color w:val="auto"/>
          <w:kern w:val="0"/>
          <w:szCs w:val="21"/>
          <w:highlight w:val="none"/>
        </w:rPr>
        <w:t>建设地点：见投标人须知前附表。</w:t>
      </w:r>
    </w:p>
    <w:p w14:paraId="0DBBF38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1.1.6  </w:t>
      </w:r>
      <w:r>
        <w:rPr>
          <w:rFonts w:hint="eastAsia" w:ascii="宋体" w:hAnsi="宋体"/>
          <w:snapToGrid w:val="0"/>
          <w:color w:val="auto"/>
          <w:kern w:val="0"/>
          <w:szCs w:val="21"/>
          <w:highlight w:val="none"/>
        </w:rPr>
        <w:t>项目</w:t>
      </w:r>
      <w:r>
        <w:rPr>
          <w:rFonts w:ascii="宋体" w:hAnsi="宋体"/>
          <w:snapToGrid w:val="0"/>
          <w:color w:val="auto"/>
          <w:kern w:val="0"/>
          <w:szCs w:val="21"/>
          <w:highlight w:val="none"/>
        </w:rPr>
        <w:t>建设规模：见投标人须知前附表。</w:t>
      </w:r>
    </w:p>
    <w:p w14:paraId="1B309397">
      <w:pPr>
        <w:pStyle w:val="5"/>
        <w:snapToGrid w:val="0"/>
        <w:spacing w:before="0" w:after="0" w:line="360" w:lineRule="auto"/>
        <w:rPr>
          <w:rFonts w:ascii="宋体" w:hAnsi="宋体"/>
          <w:b w:val="0"/>
          <w:snapToGrid w:val="0"/>
          <w:color w:val="auto"/>
          <w:sz w:val="24"/>
          <w:szCs w:val="24"/>
          <w:highlight w:val="none"/>
        </w:rPr>
      </w:pPr>
      <w:bookmarkStart w:id="182" w:name="_Toc287607748"/>
      <w:bookmarkStart w:id="183" w:name="_Toc509218712"/>
      <w:bookmarkStart w:id="184" w:name="_Toc430530437"/>
      <w:bookmarkStart w:id="185" w:name="_Toc224103319"/>
      <w:bookmarkStart w:id="186" w:name="_Toc58860068"/>
      <w:bookmarkStart w:id="187" w:name="_Toc200513128"/>
      <w:bookmarkStart w:id="188" w:name="_Toc277082554"/>
      <w:bookmarkStart w:id="189" w:name="_Toc287620687"/>
      <w:r>
        <w:rPr>
          <w:rFonts w:ascii="宋体" w:hAnsi="宋体"/>
          <w:b w:val="0"/>
          <w:snapToGrid w:val="0"/>
          <w:color w:val="auto"/>
          <w:sz w:val="24"/>
          <w:szCs w:val="24"/>
          <w:highlight w:val="none"/>
        </w:rPr>
        <w:t xml:space="preserve">1.2  </w:t>
      </w:r>
      <w:r>
        <w:rPr>
          <w:rFonts w:hint="eastAsia" w:ascii="宋体" w:hAnsi="宋体"/>
          <w:b w:val="0"/>
          <w:snapToGrid w:val="0"/>
          <w:color w:val="auto"/>
          <w:sz w:val="24"/>
          <w:szCs w:val="24"/>
          <w:highlight w:val="none"/>
        </w:rPr>
        <w:t>项目的</w:t>
      </w:r>
      <w:r>
        <w:rPr>
          <w:rFonts w:ascii="宋体" w:hAnsi="宋体"/>
          <w:b w:val="0"/>
          <w:snapToGrid w:val="0"/>
          <w:color w:val="auto"/>
          <w:sz w:val="24"/>
          <w:szCs w:val="24"/>
          <w:highlight w:val="none"/>
        </w:rPr>
        <w:t>资金来源和落实情况</w:t>
      </w:r>
      <w:bookmarkEnd w:id="182"/>
      <w:bookmarkEnd w:id="183"/>
      <w:bookmarkEnd w:id="184"/>
      <w:bookmarkEnd w:id="185"/>
      <w:bookmarkEnd w:id="186"/>
      <w:bookmarkEnd w:id="187"/>
      <w:bookmarkEnd w:id="188"/>
      <w:bookmarkEnd w:id="189"/>
    </w:p>
    <w:p w14:paraId="4444CE8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1.2.1  资金来源：见投标人须知前附表。</w:t>
      </w:r>
    </w:p>
    <w:p w14:paraId="46021E6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1.2.2  出资比例：见投标人须知前附表。</w:t>
      </w:r>
    </w:p>
    <w:p w14:paraId="4524850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1.2.3  资金落实情况：见投标人须知前附表。</w:t>
      </w:r>
    </w:p>
    <w:p w14:paraId="21B166DE">
      <w:pPr>
        <w:pStyle w:val="5"/>
        <w:snapToGrid w:val="0"/>
        <w:spacing w:before="0" w:after="0" w:line="360" w:lineRule="auto"/>
        <w:rPr>
          <w:rFonts w:ascii="宋体" w:hAnsi="宋体"/>
          <w:b w:val="0"/>
          <w:snapToGrid w:val="0"/>
          <w:color w:val="auto"/>
          <w:sz w:val="24"/>
          <w:szCs w:val="24"/>
          <w:highlight w:val="none"/>
        </w:rPr>
      </w:pPr>
      <w:bookmarkStart w:id="190" w:name="_Toc224103320"/>
      <w:bookmarkStart w:id="191" w:name="_Toc287620688"/>
      <w:bookmarkStart w:id="192" w:name="_Toc277082555"/>
      <w:bookmarkStart w:id="193" w:name="_Toc200513129"/>
      <w:bookmarkStart w:id="194" w:name="_Toc509218713"/>
      <w:bookmarkStart w:id="195" w:name="_Toc58860069"/>
      <w:bookmarkStart w:id="196" w:name="_Toc430530438"/>
      <w:bookmarkStart w:id="197" w:name="_Toc287607749"/>
      <w:r>
        <w:rPr>
          <w:rFonts w:ascii="宋体" w:hAnsi="宋体"/>
          <w:b w:val="0"/>
          <w:snapToGrid w:val="0"/>
          <w:color w:val="auto"/>
          <w:sz w:val="24"/>
          <w:szCs w:val="24"/>
          <w:highlight w:val="none"/>
        </w:rPr>
        <w:t>1.3  招标范围、计划工期和质量要求</w:t>
      </w:r>
      <w:bookmarkEnd w:id="190"/>
      <w:bookmarkEnd w:id="191"/>
      <w:bookmarkEnd w:id="192"/>
      <w:bookmarkEnd w:id="193"/>
      <w:bookmarkEnd w:id="194"/>
      <w:bookmarkEnd w:id="195"/>
      <w:bookmarkEnd w:id="196"/>
      <w:bookmarkEnd w:id="197"/>
    </w:p>
    <w:p w14:paraId="37C494E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1.3.1  招标范围：见投标人须知前附表。</w:t>
      </w:r>
    </w:p>
    <w:p w14:paraId="505C776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1.3.2  计划工期：见投标人须知前附表。</w:t>
      </w:r>
    </w:p>
    <w:p w14:paraId="67EAA9C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1.3.3  质量</w:t>
      </w:r>
      <w:r>
        <w:rPr>
          <w:rFonts w:hint="eastAsia" w:ascii="宋体" w:hAnsi="宋体"/>
          <w:snapToGrid w:val="0"/>
          <w:color w:val="auto"/>
          <w:kern w:val="0"/>
          <w:szCs w:val="21"/>
          <w:highlight w:val="none"/>
        </w:rPr>
        <w:t>标准</w:t>
      </w:r>
      <w:r>
        <w:rPr>
          <w:rFonts w:ascii="宋体" w:hAnsi="宋体"/>
          <w:snapToGrid w:val="0"/>
          <w:color w:val="auto"/>
          <w:kern w:val="0"/>
          <w:szCs w:val="21"/>
          <w:highlight w:val="none"/>
        </w:rPr>
        <w:t>：见投标人须知前附表。</w:t>
      </w:r>
    </w:p>
    <w:p w14:paraId="069745BA">
      <w:pPr>
        <w:pStyle w:val="5"/>
        <w:snapToGrid w:val="0"/>
        <w:spacing w:before="0" w:after="0" w:line="360" w:lineRule="auto"/>
        <w:rPr>
          <w:rFonts w:ascii="宋体" w:hAnsi="宋体"/>
          <w:b w:val="0"/>
          <w:snapToGrid w:val="0"/>
          <w:color w:val="auto"/>
          <w:sz w:val="24"/>
          <w:szCs w:val="24"/>
          <w:highlight w:val="none"/>
        </w:rPr>
      </w:pPr>
      <w:bookmarkStart w:id="198" w:name="_Toc277082556"/>
      <w:bookmarkStart w:id="199" w:name="_Toc224103321"/>
      <w:bookmarkStart w:id="200" w:name="_Toc430530439"/>
      <w:bookmarkStart w:id="201" w:name="_Toc58860070"/>
      <w:bookmarkStart w:id="202" w:name="_Toc509218714"/>
      <w:bookmarkStart w:id="203" w:name="_Toc287620689"/>
      <w:bookmarkStart w:id="204" w:name="_Toc287607750"/>
      <w:bookmarkStart w:id="205" w:name="_Toc200513130"/>
      <w:r>
        <w:rPr>
          <w:rFonts w:ascii="宋体" w:hAnsi="宋体"/>
          <w:b w:val="0"/>
          <w:snapToGrid w:val="0"/>
          <w:color w:val="auto"/>
          <w:sz w:val="24"/>
          <w:szCs w:val="24"/>
          <w:highlight w:val="none"/>
        </w:rPr>
        <w:t>1.4</w:t>
      </w:r>
      <w:r>
        <w:rPr>
          <w:rFonts w:hint="eastAsia" w:ascii="宋体" w:hAnsi="宋体"/>
          <w:b w:val="0"/>
          <w:snapToGrid w:val="0"/>
          <w:color w:val="auto"/>
          <w:sz w:val="24"/>
          <w:szCs w:val="24"/>
          <w:highlight w:val="none"/>
        </w:rPr>
        <w:t>A</w:t>
      </w:r>
      <w:r>
        <w:rPr>
          <w:rFonts w:ascii="宋体" w:hAnsi="宋体"/>
          <w:b w:val="0"/>
          <w:snapToGrid w:val="0"/>
          <w:color w:val="auto"/>
          <w:sz w:val="24"/>
          <w:szCs w:val="24"/>
          <w:highlight w:val="none"/>
        </w:rPr>
        <w:t xml:space="preserve">  投标人资格要求（</w:t>
      </w:r>
      <w:r>
        <w:rPr>
          <w:rFonts w:hint="eastAsia" w:ascii="宋体" w:hAnsi="宋体"/>
          <w:b w:val="0"/>
          <w:snapToGrid w:val="0"/>
          <w:color w:val="auto"/>
          <w:sz w:val="24"/>
          <w:szCs w:val="24"/>
          <w:highlight w:val="none"/>
        </w:rPr>
        <w:t>适用于已进行资格预审的</w:t>
      </w:r>
      <w:r>
        <w:rPr>
          <w:rFonts w:ascii="宋体" w:hAnsi="宋体"/>
          <w:b w:val="0"/>
          <w:snapToGrid w:val="0"/>
          <w:color w:val="auto"/>
          <w:sz w:val="24"/>
          <w:szCs w:val="24"/>
          <w:highlight w:val="none"/>
        </w:rPr>
        <w:t>）</w:t>
      </w:r>
      <w:bookmarkEnd w:id="198"/>
      <w:bookmarkEnd w:id="199"/>
      <w:bookmarkEnd w:id="200"/>
      <w:bookmarkEnd w:id="201"/>
      <w:bookmarkEnd w:id="202"/>
      <w:bookmarkEnd w:id="203"/>
      <w:bookmarkEnd w:id="204"/>
      <w:bookmarkEnd w:id="205"/>
    </w:p>
    <w:p w14:paraId="03B8089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投标人应是收到招标人发出投标邀请书的单位。</w:t>
      </w:r>
    </w:p>
    <w:p w14:paraId="08FA91DA">
      <w:pPr>
        <w:pStyle w:val="5"/>
        <w:snapToGrid w:val="0"/>
        <w:spacing w:before="0" w:after="0" w:line="360" w:lineRule="auto"/>
        <w:rPr>
          <w:rFonts w:ascii="宋体" w:hAnsi="宋体"/>
          <w:b w:val="0"/>
          <w:snapToGrid w:val="0"/>
          <w:color w:val="auto"/>
          <w:sz w:val="24"/>
          <w:szCs w:val="24"/>
          <w:highlight w:val="none"/>
        </w:rPr>
      </w:pPr>
      <w:bookmarkStart w:id="206" w:name="_Toc58860071"/>
      <w:bookmarkStart w:id="207" w:name="_Toc287620690"/>
      <w:bookmarkStart w:id="208" w:name="_Toc509218715"/>
      <w:bookmarkStart w:id="209" w:name="_Toc287607751"/>
      <w:bookmarkStart w:id="210" w:name="_Toc200513131"/>
      <w:bookmarkStart w:id="211" w:name="_Toc224103322"/>
      <w:bookmarkStart w:id="212" w:name="_Toc430530440"/>
      <w:bookmarkStart w:id="213" w:name="_Toc277082557"/>
      <w:r>
        <w:rPr>
          <w:rFonts w:ascii="宋体" w:hAnsi="宋体"/>
          <w:b w:val="0"/>
          <w:snapToGrid w:val="0"/>
          <w:color w:val="auto"/>
          <w:sz w:val="24"/>
          <w:szCs w:val="24"/>
          <w:highlight w:val="none"/>
        </w:rPr>
        <w:t>1.4</w:t>
      </w:r>
      <w:r>
        <w:rPr>
          <w:rFonts w:hint="eastAsia" w:ascii="宋体" w:hAnsi="宋体"/>
          <w:b w:val="0"/>
          <w:snapToGrid w:val="0"/>
          <w:color w:val="auto"/>
          <w:sz w:val="24"/>
          <w:szCs w:val="24"/>
          <w:highlight w:val="none"/>
        </w:rPr>
        <w:t>B</w:t>
      </w:r>
      <w:r>
        <w:rPr>
          <w:rFonts w:ascii="宋体" w:hAnsi="宋体"/>
          <w:b w:val="0"/>
          <w:snapToGrid w:val="0"/>
          <w:color w:val="auto"/>
          <w:sz w:val="24"/>
          <w:szCs w:val="24"/>
          <w:highlight w:val="none"/>
        </w:rPr>
        <w:t xml:space="preserve">  投标人资格要求（</w:t>
      </w:r>
      <w:r>
        <w:rPr>
          <w:rFonts w:hint="eastAsia" w:ascii="宋体" w:hAnsi="宋体"/>
          <w:b w:val="0"/>
          <w:snapToGrid w:val="0"/>
          <w:color w:val="auto"/>
          <w:sz w:val="24"/>
          <w:szCs w:val="24"/>
          <w:highlight w:val="none"/>
        </w:rPr>
        <w:t>适用于未进行资格预审的</w:t>
      </w:r>
      <w:r>
        <w:rPr>
          <w:rFonts w:ascii="宋体" w:hAnsi="宋体"/>
          <w:b w:val="0"/>
          <w:snapToGrid w:val="0"/>
          <w:color w:val="auto"/>
          <w:sz w:val="24"/>
          <w:szCs w:val="24"/>
          <w:highlight w:val="none"/>
        </w:rPr>
        <w:t>）</w:t>
      </w:r>
      <w:bookmarkEnd w:id="206"/>
      <w:bookmarkEnd w:id="207"/>
      <w:bookmarkEnd w:id="208"/>
      <w:bookmarkEnd w:id="209"/>
      <w:bookmarkEnd w:id="210"/>
      <w:bookmarkEnd w:id="211"/>
      <w:bookmarkEnd w:id="212"/>
      <w:bookmarkEnd w:id="213"/>
    </w:p>
    <w:p w14:paraId="7AB3FE0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1.4.1 投标人应具备承担本</w:t>
      </w:r>
      <w:r>
        <w:rPr>
          <w:rFonts w:hint="eastAsia" w:ascii="宋体" w:hAnsi="宋体"/>
          <w:snapToGrid w:val="0"/>
          <w:color w:val="auto"/>
          <w:kern w:val="0"/>
          <w:szCs w:val="21"/>
          <w:highlight w:val="none"/>
        </w:rPr>
        <w:t>招标项目</w:t>
      </w:r>
      <w:r>
        <w:rPr>
          <w:rFonts w:ascii="宋体" w:hAnsi="宋体"/>
          <w:snapToGrid w:val="0"/>
          <w:color w:val="auto"/>
          <w:kern w:val="0"/>
          <w:szCs w:val="21"/>
          <w:highlight w:val="none"/>
        </w:rPr>
        <w:t>资质条件、能力和信誉。</w:t>
      </w:r>
    </w:p>
    <w:p w14:paraId="2C8C56D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color w:val="auto"/>
          <w:szCs w:val="21"/>
          <w:highlight w:val="none"/>
        </w:rPr>
        <w:t>资质条件、营业执照及安全生产条件</w:t>
      </w:r>
      <w:r>
        <w:rPr>
          <w:rFonts w:ascii="宋体" w:hAnsi="宋体"/>
          <w:snapToGrid w:val="0"/>
          <w:color w:val="auto"/>
          <w:kern w:val="0"/>
          <w:szCs w:val="21"/>
          <w:highlight w:val="none"/>
        </w:rPr>
        <w:t>：见投标人须知前附表；</w:t>
      </w:r>
    </w:p>
    <w:p w14:paraId="7B3474A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（2）财务要求：见投标人须知前附表；</w:t>
      </w:r>
    </w:p>
    <w:p w14:paraId="36E2C8D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（3）业绩要求：见投标人须知前附表；</w:t>
      </w:r>
    </w:p>
    <w:p w14:paraId="5E37CD91">
      <w:pPr>
        <w:autoSpaceDE w:val="0"/>
        <w:autoSpaceDN w:val="0"/>
        <w:adjustRightInd w:val="0"/>
        <w:snapToGrid w:val="0"/>
        <w:spacing w:line="360" w:lineRule="auto"/>
        <w:ind w:firstLine="420" w:firstLineChars="200"/>
        <w:rPr>
          <w:color w:val="auto"/>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w:t>
      </w:r>
      <w:r>
        <w:rPr>
          <w:rFonts w:hint="eastAsia" w:ascii="宋体" w:hAnsi="宋体"/>
          <w:color w:val="auto"/>
          <w:szCs w:val="21"/>
          <w:highlight w:val="none"/>
        </w:rPr>
        <w:t>专业设备材料供货资格</w:t>
      </w:r>
      <w:r>
        <w:rPr>
          <w:rFonts w:ascii="宋体" w:hAnsi="宋体"/>
          <w:snapToGrid w:val="0"/>
          <w:color w:val="auto"/>
          <w:kern w:val="0"/>
          <w:szCs w:val="21"/>
          <w:highlight w:val="none"/>
        </w:rPr>
        <w:t>：见投标人须知前附表；</w:t>
      </w:r>
    </w:p>
    <w:p w14:paraId="20326AF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5</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投标截止日投标资格情况</w:t>
      </w:r>
      <w:r>
        <w:rPr>
          <w:rFonts w:ascii="宋体" w:hAnsi="宋体"/>
          <w:snapToGrid w:val="0"/>
          <w:color w:val="auto"/>
          <w:kern w:val="0"/>
          <w:szCs w:val="21"/>
          <w:highlight w:val="none"/>
        </w:rPr>
        <w:t>：见投标人须知前附表；</w:t>
      </w:r>
    </w:p>
    <w:p w14:paraId="675E8BA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6</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工程总承包项目经理</w:t>
      </w:r>
      <w:r>
        <w:rPr>
          <w:rFonts w:ascii="宋体" w:hAnsi="宋体"/>
          <w:snapToGrid w:val="0"/>
          <w:color w:val="auto"/>
          <w:kern w:val="0"/>
          <w:szCs w:val="21"/>
          <w:highlight w:val="none"/>
        </w:rPr>
        <w:t>资格</w:t>
      </w:r>
      <w:r>
        <w:rPr>
          <w:rFonts w:hint="eastAsia" w:ascii="宋体" w:hAnsi="宋体"/>
          <w:snapToGrid w:val="0"/>
          <w:color w:val="auto"/>
          <w:kern w:val="0"/>
          <w:szCs w:val="21"/>
          <w:highlight w:val="none"/>
        </w:rPr>
        <w:t>要求</w:t>
      </w:r>
      <w:r>
        <w:rPr>
          <w:rFonts w:ascii="宋体" w:hAnsi="宋体"/>
          <w:snapToGrid w:val="0"/>
          <w:color w:val="auto"/>
          <w:kern w:val="0"/>
          <w:szCs w:val="21"/>
          <w:highlight w:val="none"/>
        </w:rPr>
        <w:t>：见投标人须知前附表；</w:t>
      </w:r>
    </w:p>
    <w:p w14:paraId="1B8AB48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7</w:t>
      </w:r>
      <w:r>
        <w:rPr>
          <w:rFonts w:ascii="宋体" w:hAnsi="宋体"/>
          <w:snapToGrid w:val="0"/>
          <w:color w:val="auto"/>
          <w:kern w:val="0"/>
          <w:szCs w:val="21"/>
          <w:highlight w:val="none"/>
        </w:rPr>
        <w:t>）其他要求：见投标人须知前附表。</w:t>
      </w:r>
    </w:p>
    <w:p w14:paraId="41A853B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1.4.2  投标人须知前附表规定接受联合体投标的，除应符合本章第1.4.1项和投标人须知前附表的要求外，还应遵守以下规定：</w:t>
      </w:r>
    </w:p>
    <w:p w14:paraId="219C2F7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（1）联合体各方应按招标文件提供的格式签订联合体协议书，明确联合体牵头人和各方权利义务；</w:t>
      </w:r>
    </w:p>
    <w:p w14:paraId="704FB96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（2）联合体协议约定同一专业分工由两个及以上单位共同承担的，</w:t>
      </w:r>
      <w:r>
        <w:rPr>
          <w:rFonts w:hint="eastAsia"/>
          <w:color w:val="auto"/>
          <w:highlight w:val="none"/>
        </w:rPr>
        <w:t>按照资质等级较低的单位确定资质等级</w:t>
      </w:r>
      <w:r>
        <w:rPr>
          <w:rFonts w:ascii="宋体" w:hAnsi="宋体"/>
          <w:snapToGrid w:val="0"/>
          <w:color w:val="auto"/>
          <w:kern w:val="0"/>
          <w:szCs w:val="21"/>
          <w:highlight w:val="none"/>
        </w:rPr>
        <w:t>；</w:t>
      </w:r>
    </w:p>
    <w:p w14:paraId="283564D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（3）联合体各方不得再以自己名义单独或参加其他联合体在</w:t>
      </w:r>
      <w:r>
        <w:rPr>
          <w:rFonts w:hint="eastAsia"/>
          <w:color w:val="auto"/>
          <w:highlight w:val="none"/>
        </w:rPr>
        <w:t>本招标项目</w:t>
      </w:r>
      <w:r>
        <w:rPr>
          <w:rFonts w:ascii="宋体" w:hAnsi="宋体"/>
          <w:snapToGrid w:val="0"/>
          <w:color w:val="auto"/>
          <w:kern w:val="0"/>
          <w:szCs w:val="21"/>
          <w:highlight w:val="none"/>
        </w:rPr>
        <w:t>中投标。</w:t>
      </w:r>
    </w:p>
    <w:p w14:paraId="306BB10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1.4.3  投标人不得存在下列情形之一：</w:t>
      </w:r>
    </w:p>
    <w:p w14:paraId="02C2906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（1）</w:t>
      </w:r>
      <w:r>
        <w:rPr>
          <w:rFonts w:hint="eastAsia"/>
          <w:color w:val="auto"/>
          <w:highlight w:val="none"/>
        </w:rPr>
        <w:t>为招标人不具有独立法人资格的附属机构（单位）；</w:t>
      </w:r>
    </w:p>
    <w:p w14:paraId="5A5CEFF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w:t>
      </w:r>
      <w:r>
        <w:rPr>
          <w:rFonts w:hint="eastAsia"/>
          <w:color w:val="auto"/>
          <w:highlight w:val="none"/>
        </w:rPr>
        <w:t>为招标项目前期工作提供咨询服务的；</w:t>
      </w:r>
    </w:p>
    <w:p w14:paraId="7C28F22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color w:val="auto"/>
          <w:highlight w:val="none"/>
        </w:rPr>
        <w:t>为本招标项目的监理单位；</w:t>
      </w:r>
    </w:p>
    <w:p w14:paraId="5B05B3D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color w:val="auto"/>
          <w:highlight w:val="none"/>
        </w:rPr>
        <w:t>为本招标项目的代建单位；</w:t>
      </w:r>
    </w:p>
    <w:p w14:paraId="4C063A6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（5）为本</w:t>
      </w:r>
      <w:r>
        <w:rPr>
          <w:rFonts w:hint="eastAsia"/>
          <w:color w:val="auto"/>
          <w:highlight w:val="none"/>
        </w:rPr>
        <w:t>招标项目的</w:t>
      </w:r>
      <w:r>
        <w:rPr>
          <w:rFonts w:hint="eastAsia" w:ascii="宋体" w:hAnsi="宋体"/>
          <w:snapToGrid w:val="0"/>
          <w:color w:val="auto"/>
          <w:kern w:val="0"/>
          <w:szCs w:val="21"/>
          <w:highlight w:val="none"/>
        </w:rPr>
        <w:t>项目管理单位；</w:t>
      </w:r>
    </w:p>
    <w:p w14:paraId="79ECEEF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（6）为本</w:t>
      </w:r>
      <w:r>
        <w:rPr>
          <w:rFonts w:hint="eastAsia"/>
          <w:color w:val="auto"/>
          <w:highlight w:val="none"/>
        </w:rPr>
        <w:t>招标项目的</w:t>
      </w:r>
      <w:r>
        <w:rPr>
          <w:rFonts w:hint="eastAsia" w:ascii="宋体" w:hAnsi="宋体"/>
          <w:snapToGrid w:val="0"/>
          <w:color w:val="auto"/>
          <w:kern w:val="0"/>
          <w:szCs w:val="21"/>
          <w:highlight w:val="none"/>
        </w:rPr>
        <w:t>造价咨询单位；</w:t>
      </w:r>
    </w:p>
    <w:p w14:paraId="790A1F6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7</w:t>
      </w:r>
      <w:r>
        <w:rPr>
          <w:rFonts w:ascii="宋体" w:hAnsi="宋体"/>
          <w:snapToGrid w:val="0"/>
          <w:color w:val="auto"/>
          <w:kern w:val="0"/>
          <w:szCs w:val="21"/>
          <w:highlight w:val="none"/>
        </w:rPr>
        <w:t>）为</w:t>
      </w:r>
      <w:r>
        <w:rPr>
          <w:rFonts w:hint="eastAsia" w:ascii="宋体" w:hAnsi="宋体"/>
          <w:snapToGrid w:val="0"/>
          <w:color w:val="auto"/>
          <w:kern w:val="0"/>
          <w:szCs w:val="21"/>
          <w:highlight w:val="none"/>
        </w:rPr>
        <w:t>本</w:t>
      </w:r>
      <w:r>
        <w:rPr>
          <w:rFonts w:hint="eastAsia"/>
          <w:color w:val="auto"/>
          <w:highlight w:val="none"/>
        </w:rPr>
        <w:t>招标项目</w:t>
      </w:r>
      <w:r>
        <w:rPr>
          <w:rFonts w:ascii="宋体" w:hAnsi="宋体"/>
          <w:snapToGrid w:val="0"/>
          <w:color w:val="auto"/>
          <w:kern w:val="0"/>
          <w:szCs w:val="21"/>
          <w:highlight w:val="none"/>
        </w:rPr>
        <w:t>提供招标代理服务的；</w:t>
      </w:r>
    </w:p>
    <w:p w14:paraId="154211EE">
      <w:pPr>
        <w:autoSpaceDE w:val="0"/>
        <w:autoSpaceDN w:val="0"/>
        <w:adjustRightInd w:val="0"/>
        <w:snapToGrid w:val="0"/>
        <w:spacing w:line="360" w:lineRule="auto"/>
        <w:ind w:firstLine="420" w:firstLineChars="200"/>
        <w:rPr>
          <w:rFonts w:ascii="宋体" w:hAnsi="宋体"/>
          <w:snapToGrid w:val="0"/>
          <w:color w:val="auto"/>
          <w:kern w:val="0"/>
          <w:position w:val="-2"/>
          <w:szCs w:val="21"/>
          <w:highlight w:val="none"/>
        </w:rPr>
      </w:pPr>
      <w:r>
        <w:rPr>
          <w:rFonts w:hint="eastAsia" w:ascii="宋体" w:hAnsi="宋体"/>
          <w:snapToGrid w:val="0"/>
          <w:color w:val="auto"/>
          <w:kern w:val="0"/>
          <w:position w:val="-2"/>
          <w:szCs w:val="21"/>
          <w:highlight w:val="none"/>
        </w:rPr>
        <w:t>（8）被责令停业的；</w:t>
      </w:r>
      <w:r>
        <w:rPr>
          <w:rFonts w:ascii="宋体" w:hAnsi="宋体"/>
          <w:snapToGrid w:val="0"/>
          <w:color w:val="auto"/>
          <w:kern w:val="0"/>
          <w:position w:val="-2"/>
          <w:szCs w:val="21"/>
          <w:highlight w:val="none"/>
        </w:rPr>
        <w:t xml:space="preserve"> </w:t>
      </w:r>
    </w:p>
    <w:p w14:paraId="3A4B5910">
      <w:pPr>
        <w:autoSpaceDE w:val="0"/>
        <w:autoSpaceDN w:val="0"/>
        <w:adjustRightInd w:val="0"/>
        <w:snapToGrid w:val="0"/>
        <w:spacing w:line="360" w:lineRule="auto"/>
        <w:ind w:firstLine="420" w:firstLineChars="200"/>
        <w:rPr>
          <w:rFonts w:ascii="宋体" w:hAnsi="宋体"/>
          <w:snapToGrid w:val="0"/>
          <w:color w:val="auto"/>
          <w:kern w:val="0"/>
          <w:position w:val="-2"/>
          <w:szCs w:val="21"/>
          <w:highlight w:val="none"/>
        </w:rPr>
      </w:pPr>
      <w:r>
        <w:rPr>
          <w:rFonts w:hint="eastAsia" w:ascii="宋体" w:hAnsi="宋体"/>
          <w:snapToGrid w:val="0"/>
          <w:color w:val="auto"/>
          <w:kern w:val="0"/>
          <w:position w:val="-2"/>
          <w:szCs w:val="21"/>
          <w:highlight w:val="none"/>
        </w:rPr>
        <w:t>（</w:t>
      </w:r>
      <w:r>
        <w:rPr>
          <w:rFonts w:ascii="宋体" w:hAnsi="宋体"/>
          <w:snapToGrid w:val="0"/>
          <w:color w:val="auto"/>
          <w:kern w:val="0"/>
          <w:position w:val="-2"/>
          <w:szCs w:val="21"/>
          <w:highlight w:val="none"/>
        </w:rPr>
        <w:t>9</w:t>
      </w:r>
      <w:r>
        <w:rPr>
          <w:rFonts w:hint="eastAsia" w:ascii="宋体" w:hAnsi="宋体"/>
          <w:snapToGrid w:val="0"/>
          <w:color w:val="auto"/>
          <w:kern w:val="0"/>
          <w:position w:val="-2"/>
          <w:szCs w:val="21"/>
          <w:highlight w:val="none"/>
        </w:rPr>
        <w:t>）被国家、重庆市（含市或任意区县）有关行政部门处以暂停投标资格行政处罚，且在处罚期限内的；</w:t>
      </w:r>
      <w:r>
        <w:rPr>
          <w:rFonts w:ascii="宋体" w:hAnsi="宋体"/>
          <w:snapToGrid w:val="0"/>
          <w:color w:val="auto"/>
          <w:kern w:val="0"/>
          <w:position w:val="-2"/>
          <w:szCs w:val="21"/>
          <w:highlight w:val="none"/>
        </w:rPr>
        <w:t xml:space="preserve"> </w:t>
      </w:r>
    </w:p>
    <w:p w14:paraId="5C0915DB">
      <w:pPr>
        <w:autoSpaceDE w:val="0"/>
        <w:autoSpaceDN w:val="0"/>
        <w:adjustRightInd w:val="0"/>
        <w:snapToGrid w:val="0"/>
        <w:spacing w:line="360" w:lineRule="auto"/>
        <w:ind w:firstLine="420" w:firstLineChars="200"/>
        <w:rPr>
          <w:rFonts w:ascii="宋体" w:hAnsi="宋体"/>
          <w:snapToGrid w:val="0"/>
          <w:color w:val="auto"/>
          <w:kern w:val="0"/>
          <w:position w:val="-2"/>
          <w:szCs w:val="21"/>
          <w:highlight w:val="none"/>
        </w:rPr>
      </w:pPr>
      <w:r>
        <w:rPr>
          <w:rFonts w:hint="eastAsia" w:ascii="宋体" w:hAnsi="宋体"/>
          <w:snapToGrid w:val="0"/>
          <w:color w:val="auto"/>
          <w:kern w:val="0"/>
          <w:position w:val="-2"/>
          <w:szCs w:val="21"/>
          <w:highlight w:val="none"/>
        </w:rPr>
        <w:t>（10）财产被接管或冻结的；</w:t>
      </w:r>
    </w:p>
    <w:p w14:paraId="43CF3FF4">
      <w:pPr>
        <w:autoSpaceDE w:val="0"/>
        <w:autoSpaceDN w:val="0"/>
        <w:adjustRightInd w:val="0"/>
        <w:snapToGrid w:val="0"/>
        <w:spacing w:line="360" w:lineRule="auto"/>
        <w:ind w:firstLine="420" w:firstLineChars="200"/>
        <w:rPr>
          <w:rFonts w:ascii="宋体" w:hAnsi="宋体"/>
          <w:snapToGrid w:val="0"/>
          <w:color w:val="auto"/>
          <w:kern w:val="0"/>
          <w:position w:val="-2"/>
          <w:szCs w:val="21"/>
          <w:highlight w:val="none"/>
        </w:rPr>
      </w:pPr>
      <w:r>
        <w:rPr>
          <w:rFonts w:hint="eastAsia" w:ascii="宋体" w:hAnsi="宋体"/>
          <w:snapToGrid w:val="0"/>
          <w:color w:val="auto"/>
          <w:kern w:val="0"/>
          <w:position w:val="-2"/>
          <w:szCs w:val="21"/>
          <w:highlight w:val="none"/>
        </w:rPr>
        <w:t>（11）为本项目的项目建议书、可行性研究报告、初步设计文件编制单位或评估单位且招标人在投标截止前未公开已经完成的项目建议书、可行性研究报告、初步设计文件的。（适用于政府投资项目）</w:t>
      </w:r>
    </w:p>
    <w:p w14:paraId="011CDE4E">
      <w:pPr>
        <w:autoSpaceDE w:val="0"/>
        <w:autoSpaceDN w:val="0"/>
        <w:adjustRightInd w:val="0"/>
        <w:snapToGrid w:val="0"/>
        <w:spacing w:line="360" w:lineRule="auto"/>
        <w:ind w:firstLine="420" w:firstLineChars="200"/>
        <w:rPr>
          <w:rFonts w:ascii="宋体" w:hAnsi="宋体"/>
          <w:snapToGrid w:val="0"/>
          <w:color w:val="auto"/>
          <w:kern w:val="0"/>
          <w:position w:val="-2"/>
          <w:szCs w:val="21"/>
          <w:highlight w:val="none"/>
        </w:rPr>
      </w:pPr>
      <w:r>
        <w:rPr>
          <w:rFonts w:hint="eastAsia" w:ascii="宋体" w:hAnsi="宋体"/>
          <w:snapToGrid w:val="0"/>
          <w:color w:val="auto"/>
          <w:kern w:val="0"/>
          <w:position w:val="-2"/>
          <w:szCs w:val="21"/>
          <w:highlight w:val="none"/>
        </w:rPr>
        <w:t>（</w:t>
      </w:r>
      <w:r>
        <w:rPr>
          <w:rFonts w:ascii="宋体" w:hAnsi="宋体"/>
          <w:snapToGrid w:val="0"/>
          <w:color w:val="auto"/>
          <w:kern w:val="0"/>
          <w:position w:val="-2"/>
          <w:szCs w:val="21"/>
          <w:highlight w:val="none"/>
        </w:rPr>
        <w:t>1</w:t>
      </w:r>
      <w:r>
        <w:rPr>
          <w:rFonts w:hint="eastAsia" w:ascii="宋体" w:hAnsi="宋体"/>
          <w:snapToGrid w:val="0"/>
          <w:color w:val="auto"/>
          <w:kern w:val="0"/>
          <w:position w:val="-2"/>
          <w:szCs w:val="21"/>
          <w:highlight w:val="none"/>
        </w:rPr>
        <w:t>2）与本招标项目的监理单位或代建单位或项目管理单位或造价咨询单位或招标代理机构同为一个法定代表人的；</w:t>
      </w:r>
    </w:p>
    <w:p w14:paraId="7752EA31">
      <w:pPr>
        <w:autoSpaceDE w:val="0"/>
        <w:autoSpaceDN w:val="0"/>
        <w:adjustRightInd w:val="0"/>
        <w:snapToGrid w:val="0"/>
        <w:spacing w:line="360" w:lineRule="auto"/>
        <w:ind w:firstLine="420" w:firstLineChars="200"/>
        <w:rPr>
          <w:rFonts w:ascii="宋体" w:hAnsi="宋体"/>
          <w:snapToGrid w:val="0"/>
          <w:color w:val="auto"/>
          <w:kern w:val="0"/>
          <w:position w:val="-2"/>
          <w:szCs w:val="21"/>
          <w:highlight w:val="none"/>
        </w:rPr>
      </w:pPr>
      <w:r>
        <w:rPr>
          <w:rFonts w:hint="eastAsia" w:ascii="宋体" w:hAnsi="宋体"/>
          <w:snapToGrid w:val="0"/>
          <w:color w:val="auto"/>
          <w:kern w:val="0"/>
          <w:position w:val="-2"/>
          <w:szCs w:val="21"/>
          <w:highlight w:val="none"/>
        </w:rPr>
        <w:t>（</w:t>
      </w:r>
      <w:r>
        <w:rPr>
          <w:rFonts w:ascii="宋体" w:hAnsi="宋体"/>
          <w:snapToGrid w:val="0"/>
          <w:color w:val="auto"/>
          <w:kern w:val="0"/>
          <w:position w:val="-2"/>
          <w:szCs w:val="21"/>
          <w:highlight w:val="none"/>
        </w:rPr>
        <w:t>1</w:t>
      </w:r>
      <w:r>
        <w:rPr>
          <w:rFonts w:hint="eastAsia" w:ascii="宋体" w:hAnsi="宋体"/>
          <w:snapToGrid w:val="0"/>
          <w:color w:val="auto"/>
          <w:kern w:val="0"/>
          <w:position w:val="-2"/>
          <w:szCs w:val="21"/>
          <w:highlight w:val="none"/>
        </w:rPr>
        <w:t>3）与本招标项目的</w:t>
      </w:r>
      <w:r>
        <w:rPr>
          <w:rFonts w:ascii="宋体" w:hAnsi="宋体"/>
          <w:snapToGrid w:val="0"/>
          <w:color w:val="auto"/>
          <w:kern w:val="0"/>
          <w:position w:val="-2"/>
          <w:szCs w:val="21"/>
          <w:highlight w:val="none"/>
        </w:rPr>
        <w:t>监理</w:t>
      </w:r>
      <w:r>
        <w:rPr>
          <w:rFonts w:hint="eastAsia" w:ascii="宋体" w:hAnsi="宋体"/>
          <w:snapToGrid w:val="0"/>
          <w:color w:val="auto"/>
          <w:kern w:val="0"/>
          <w:position w:val="-2"/>
          <w:szCs w:val="21"/>
          <w:highlight w:val="none"/>
        </w:rPr>
        <w:t>单位</w:t>
      </w:r>
      <w:r>
        <w:rPr>
          <w:rFonts w:ascii="宋体" w:hAnsi="宋体"/>
          <w:snapToGrid w:val="0"/>
          <w:color w:val="auto"/>
          <w:kern w:val="0"/>
          <w:position w:val="-2"/>
          <w:szCs w:val="21"/>
          <w:highlight w:val="none"/>
        </w:rPr>
        <w:t>或代建</w:t>
      </w:r>
      <w:r>
        <w:rPr>
          <w:rFonts w:hint="eastAsia" w:ascii="宋体" w:hAnsi="宋体"/>
          <w:snapToGrid w:val="0"/>
          <w:color w:val="auto"/>
          <w:kern w:val="0"/>
          <w:position w:val="-2"/>
          <w:szCs w:val="21"/>
          <w:highlight w:val="none"/>
        </w:rPr>
        <w:t>单位或项目管理单位或造价咨询单位或招标代理机构相互控股或参股的；</w:t>
      </w:r>
    </w:p>
    <w:p w14:paraId="50B2C3F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position w:val="-2"/>
          <w:szCs w:val="21"/>
          <w:highlight w:val="none"/>
        </w:rPr>
        <w:t>（</w:t>
      </w:r>
      <w:r>
        <w:rPr>
          <w:rFonts w:ascii="宋体" w:hAnsi="宋体"/>
          <w:snapToGrid w:val="0"/>
          <w:color w:val="auto"/>
          <w:kern w:val="0"/>
          <w:position w:val="-2"/>
          <w:szCs w:val="21"/>
          <w:highlight w:val="none"/>
        </w:rPr>
        <w:t>1</w:t>
      </w:r>
      <w:r>
        <w:rPr>
          <w:rFonts w:hint="eastAsia" w:ascii="宋体" w:hAnsi="宋体"/>
          <w:snapToGrid w:val="0"/>
          <w:color w:val="auto"/>
          <w:kern w:val="0"/>
          <w:position w:val="-2"/>
          <w:szCs w:val="21"/>
          <w:highlight w:val="none"/>
        </w:rPr>
        <w:t>4）与本招标项目的</w:t>
      </w:r>
      <w:r>
        <w:rPr>
          <w:rFonts w:ascii="宋体" w:hAnsi="宋体"/>
          <w:snapToGrid w:val="0"/>
          <w:color w:val="auto"/>
          <w:kern w:val="0"/>
          <w:position w:val="-2"/>
          <w:szCs w:val="21"/>
          <w:highlight w:val="none"/>
        </w:rPr>
        <w:t>监理</w:t>
      </w:r>
      <w:r>
        <w:rPr>
          <w:rFonts w:hint="eastAsia" w:ascii="宋体" w:hAnsi="宋体"/>
          <w:snapToGrid w:val="0"/>
          <w:color w:val="auto"/>
          <w:kern w:val="0"/>
          <w:position w:val="-2"/>
          <w:szCs w:val="21"/>
          <w:highlight w:val="none"/>
        </w:rPr>
        <w:t>单位</w:t>
      </w:r>
      <w:r>
        <w:rPr>
          <w:rFonts w:ascii="宋体" w:hAnsi="宋体"/>
          <w:snapToGrid w:val="0"/>
          <w:color w:val="auto"/>
          <w:kern w:val="0"/>
          <w:position w:val="-2"/>
          <w:szCs w:val="21"/>
          <w:highlight w:val="none"/>
        </w:rPr>
        <w:t>或代建</w:t>
      </w:r>
      <w:r>
        <w:rPr>
          <w:rFonts w:hint="eastAsia" w:ascii="宋体" w:hAnsi="宋体"/>
          <w:snapToGrid w:val="0"/>
          <w:color w:val="auto"/>
          <w:kern w:val="0"/>
          <w:position w:val="-2"/>
          <w:szCs w:val="21"/>
          <w:highlight w:val="none"/>
        </w:rPr>
        <w:t>单位或项目管理单位或造价咨询单位或招标代理机构相互任职或工作的。</w:t>
      </w:r>
    </w:p>
    <w:p w14:paraId="012B5C0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（15）</w:t>
      </w:r>
      <w:r>
        <w:rPr>
          <w:rFonts w:hint="eastAsia" w:ascii="宋体" w:hAnsi="宋体"/>
          <w:color w:val="auto"/>
          <w:szCs w:val="21"/>
          <w:highlight w:val="none"/>
        </w:rPr>
        <w:t>与本招标项目其他投标人的单位负责人为同一人或者存在控股、管理关系的。</w:t>
      </w:r>
    </w:p>
    <w:p w14:paraId="19C9B318">
      <w:pPr>
        <w:pStyle w:val="5"/>
        <w:snapToGrid w:val="0"/>
        <w:spacing w:before="0" w:after="0" w:line="360" w:lineRule="auto"/>
        <w:rPr>
          <w:rFonts w:ascii="宋体" w:hAnsi="宋体"/>
          <w:b w:val="0"/>
          <w:snapToGrid w:val="0"/>
          <w:color w:val="auto"/>
          <w:sz w:val="24"/>
          <w:szCs w:val="24"/>
          <w:highlight w:val="none"/>
        </w:rPr>
      </w:pPr>
      <w:bookmarkStart w:id="214" w:name="_Toc200513132"/>
      <w:bookmarkStart w:id="215" w:name="_Toc287620691"/>
      <w:bookmarkStart w:id="216" w:name="_Toc430530441"/>
      <w:bookmarkStart w:id="217" w:name="_Toc277082558"/>
      <w:bookmarkStart w:id="218" w:name="_Toc287607752"/>
      <w:bookmarkStart w:id="219" w:name="_Toc224103323"/>
      <w:bookmarkStart w:id="220" w:name="_Toc509218716"/>
      <w:bookmarkStart w:id="221" w:name="_Toc58860072"/>
      <w:r>
        <w:rPr>
          <w:rFonts w:ascii="宋体" w:hAnsi="宋体"/>
          <w:b w:val="0"/>
          <w:snapToGrid w:val="0"/>
          <w:color w:val="auto"/>
          <w:sz w:val="24"/>
          <w:szCs w:val="24"/>
          <w:highlight w:val="none"/>
        </w:rPr>
        <w:t>1.5  费用承担</w:t>
      </w:r>
      <w:bookmarkEnd w:id="214"/>
      <w:bookmarkEnd w:id="215"/>
      <w:bookmarkEnd w:id="216"/>
      <w:bookmarkEnd w:id="217"/>
      <w:bookmarkEnd w:id="218"/>
      <w:bookmarkEnd w:id="219"/>
      <w:bookmarkEnd w:id="220"/>
      <w:r>
        <w:rPr>
          <w:rFonts w:hint="eastAsia" w:ascii="宋体" w:hAnsi="宋体"/>
          <w:b w:val="0"/>
          <w:snapToGrid w:val="0"/>
          <w:color w:val="auto"/>
          <w:sz w:val="24"/>
          <w:szCs w:val="24"/>
          <w:highlight w:val="none"/>
        </w:rPr>
        <w:t>和设计成果补偿</w:t>
      </w:r>
      <w:bookmarkEnd w:id="221"/>
    </w:p>
    <w:p w14:paraId="05E907C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1.5.1 投标人准备和参加投标活动发生的费用自理。</w:t>
      </w:r>
    </w:p>
    <w:p w14:paraId="3D5A920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1.5.2 招标人对符合招标文件规定的未中标人的设计成果进行补偿的，按投标人须知前附表规定给予补偿，并有权免费使用未中标人设计成果。</w:t>
      </w:r>
    </w:p>
    <w:p w14:paraId="138FDC29">
      <w:pPr>
        <w:pStyle w:val="5"/>
        <w:snapToGrid w:val="0"/>
        <w:spacing w:before="0" w:after="0" w:line="360" w:lineRule="auto"/>
        <w:rPr>
          <w:rFonts w:ascii="宋体" w:hAnsi="宋体"/>
          <w:b w:val="0"/>
          <w:snapToGrid w:val="0"/>
          <w:color w:val="auto"/>
          <w:sz w:val="24"/>
          <w:szCs w:val="24"/>
          <w:highlight w:val="none"/>
        </w:rPr>
      </w:pPr>
      <w:bookmarkStart w:id="222" w:name="_Toc224103324"/>
      <w:bookmarkStart w:id="223" w:name="_Toc430530442"/>
      <w:bookmarkStart w:id="224" w:name="_Toc277082559"/>
      <w:bookmarkStart w:id="225" w:name="_Toc287607753"/>
      <w:bookmarkStart w:id="226" w:name="_Toc509218717"/>
      <w:bookmarkStart w:id="227" w:name="_Toc58860073"/>
      <w:bookmarkStart w:id="228" w:name="_Toc287620692"/>
      <w:bookmarkStart w:id="229" w:name="_Toc200513133"/>
      <w:r>
        <w:rPr>
          <w:rFonts w:ascii="宋体" w:hAnsi="宋体"/>
          <w:b w:val="0"/>
          <w:snapToGrid w:val="0"/>
          <w:color w:val="auto"/>
          <w:sz w:val="24"/>
          <w:szCs w:val="24"/>
          <w:highlight w:val="none"/>
        </w:rPr>
        <w:t>1.6  保密</w:t>
      </w:r>
      <w:bookmarkEnd w:id="222"/>
      <w:bookmarkEnd w:id="223"/>
      <w:bookmarkEnd w:id="224"/>
      <w:bookmarkEnd w:id="225"/>
      <w:bookmarkEnd w:id="226"/>
      <w:bookmarkEnd w:id="227"/>
      <w:bookmarkEnd w:id="228"/>
      <w:bookmarkEnd w:id="229"/>
    </w:p>
    <w:p w14:paraId="4CBAF33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参与招标投标活动的各方应对招标文件和投标文件中的商业和技术等秘密保密，</w:t>
      </w:r>
      <w:r>
        <w:rPr>
          <w:rFonts w:hint="eastAsia"/>
          <w:color w:val="auto"/>
          <w:highlight w:val="none"/>
        </w:rPr>
        <w:t>否则应承担相应的法律责任。</w:t>
      </w:r>
    </w:p>
    <w:p w14:paraId="1F1273A1">
      <w:pPr>
        <w:pStyle w:val="5"/>
        <w:snapToGrid w:val="0"/>
        <w:spacing w:before="0" w:after="0" w:line="360" w:lineRule="auto"/>
        <w:rPr>
          <w:rFonts w:ascii="宋体" w:hAnsi="宋体"/>
          <w:b w:val="0"/>
          <w:snapToGrid w:val="0"/>
          <w:color w:val="auto"/>
          <w:sz w:val="24"/>
          <w:szCs w:val="24"/>
          <w:highlight w:val="none"/>
        </w:rPr>
      </w:pPr>
      <w:bookmarkStart w:id="230" w:name="_Toc509218718"/>
      <w:bookmarkStart w:id="231" w:name="_Toc287607754"/>
      <w:bookmarkStart w:id="232" w:name="_Toc430530443"/>
      <w:bookmarkStart w:id="233" w:name="_Toc287620693"/>
      <w:bookmarkStart w:id="234" w:name="_Toc277082560"/>
      <w:bookmarkStart w:id="235" w:name="_Toc224103325"/>
      <w:bookmarkStart w:id="236" w:name="_Toc58860074"/>
      <w:bookmarkStart w:id="237" w:name="_Toc200513134"/>
      <w:r>
        <w:rPr>
          <w:rFonts w:ascii="宋体" w:hAnsi="宋体"/>
          <w:b w:val="0"/>
          <w:snapToGrid w:val="0"/>
          <w:color w:val="auto"/>
          <w:sz w:val="24"/>
          <w:szCs w:val="24"/>
          <w:highlight w:val="none"/>
        </w:rPr>
        <w:t>1.7  语言文字</w:t>
      </w:r>
      <w:bookmarkEnd w:id="230"/>
      <w:bookmarkEnd w:id="231"/>
      <w:bookmarkEnd w:id="232"/>
      <w:bookmarkEnd w:id="233"/>
      <w:bookmarkEnd w:id="234"/>
      <w:bookmarkEnd w:id="235"/>
      <w:bookmarkEnd w:id="236"/>
      <w:bookmarkEnd w:id="237"/>
    </w:p>
    <w:p w14:paraId="5D192F4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招标投标文件使用的语言文字为中文。专用术语使用外文的，应附有中文注释。</w:t>
      </w:r>
    </w:p>
    <w:p w14:paraId="1DA13F6D">
      <w:pPr>
        <w:pStyle w:val="5"/>
        <w:snapToGrid w:val="0"/>
        <w:spacing w:before="0" w:after="0" w:line="360" w:lineRule="auto"/>
        <w:rPr>
          <w:rFonts w:ascii="宋体" w:hAnsi="宋体"/>
          <w:b w:val="0"/>
          <w:snapToGrid w:val="0"/>
          <w:color w:val="auto"/>
          <w:sz w:val="24"/>
          <w:szCs w:val="24"/>
          <w:highlight w:val="none"/>
        </w:rPr>
      </w:pPr>
      <w:bookmarkStart w:id="238" w:name="_Toc509218719"/>
      <w:bookmarkStart w:id="239" w:name="_Toc287607755"/>
      <w:bookmarkStart w:id="240" w:name="_Toc58860075"/>
      <w:bookmarkStart w:id="241" w:name="_Toc200513135"/>
      <w:bookmarkStart w:id="242" w:name="_Toc277082561"/>
      <w:bookmarkStart w:id="243" w:name="_Toc224103326"/>
      <w:bookmarkStart w:id="244" w:name="_Toc287620694"/>
      <w:bookmarkStart w:id="245" w:name="_Toc430530444"/>
      <w:r>
        <w:rPr>
          <w:rFonts w:ascii="宋体" w:hAnsi="宋体"/>
          <w:b w:val="0"/>
          <w:snapToGrid w:val="0"/>
          <w:color w:val="auto"/>
          <w:sz w:val="24"/>
          <w:szCs w:val="24"/>
          <w:highlight w:val="none"/>
        </w:rPr>
        <w:t>1.8  计量单位</w:t>
      </w:r>
      <w:bookmarkEnd w:id="238"/>
      <w:bookmarkEnd w:id="239"/>
      <w:bookmarkEnd w:id="240"/>
      <w:bookmarkEnd w:id="241"/>
      <w:bookmarkEnd w:id="242"/>
      <w:bookmarkEnd w:id="243"/>
      <w:bookmarkEnd w:id="244"/>
      <w:bookmarkEnd w:id="245"/>
    </w:p>
    <w:p w14:paraId="112DE00F">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所有计量均采用中华人民共和国法定计量单位。</w:t>
      </w:r>
    </w:p>
    <w:p w14:paraId="531DF6F4">
      <w:pPr>
        <w:pStyle w:val="5"/>
        <w:snapToGrid w:val="0"/>
        <w:spacing w:before="0" w:after="0" w:line="360" w:lineRule="auto"/>
        <w:rPr>
          <w:rFonts w:ascii="宋体" w:hAnsi="宋体"/>
          <w:b w:val="0"/>
          <w:snapToGrid w:val="0"/>
          <w:color w:val="auto"/>
          <w:sz w:val="24"/>
          <w:szCs w:val="24"/>
          <w:highlight w:val="none"/>
        </w:rPr>
      </w:pPr>
      <w:bookmarkStart w:id="246" w:name="_Toc509218720"/>
      <w:bookmarkStart w:id="247" w:name="_Toc58860076"/>
      <w:bookmarkStart w:id="248" w:name="_Toc430530445"/>
      <w:bookmarkStart w:id="249" w:name="_Toc277082562"/>
      <w:bookmarkStart w:id="250" w:name="_Toc224103327"/>
      <w:bookmarkStart w:id="251" w:name="_Toc287607756"/>
      <w:bookmarkStart w:id="252" w:name="_Toc200513136"/>
      <w:bookmarkStart w:id="253" w:name="_Toc287620695"/>
      <w:r>
        <w:rPr>
          <w:rFonts w:ascii="宋体" w:hAnsi="宋体"/>
          <w:b w:val="0"/>
          <w:snapToGrid w:val="0"/>
          <w:color w:val="auto"/>
          <w:sz w:val="24"/>
          <w:szCs w:val="24"/>
          <w:highlight w:val="none"/>
        </w:rPr>
        <w:t>1.9  踏勘现场</w:t>
      </w:r>
      <w:bookmarkEnd w:id="246"/>
      <w:bookmarkEnd w:id="247"/>
      <w:bookmarkEnd w:id="248"/>
      <w:bookmarkEnd w:id="249"/>
      <w:bookmarkEnd w:id="250"/>
      <w:bookmarkEnd w:id="251"/>
      <w:bookmarkEnd w:id="252"/>
      <w:bookmarkEnd w:id="253"/>
    </w:p>
    <w:p w14:paraId="754D814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1.9.1  投标人须知前附表规定组织踏勘现场的，招标人按投标人须知前附表规定的时间、 地点组织投标人踏勘项目现场。</w:t>
      </w:r>
    </w:p>
    <w:p w14:paraId="77FCC20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1.9.2  投标人踏勘现场发生的费用自理。</w:t>
      </w:r>
    </w:p>
    <w:p w14:paraId="413CD86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1.9.3  除招标人的原因外，投标人自行负责在踏勘现场中所发生的人员伤亡和财产损失。</w:t>
      </w:r>
    </w:p>
    <w:p w14:paraId="1B23D8C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1.9.4  招标人在踏勘现场中介绍的工程场地和相关的周边环境情况，供投标人在编制投标文件时参考，招标人不对投标人据此做出的判断和决策负责。</w:t>
      </w:r>
    </w:p>
    <w:p w14:paraId="78E1CF2A">
      <w:pPr>
        <w:pStyle w:val="5"/>
        <w:snapToGrid w:val="0"/>
        <w:spacing w:before="0" w:after="0" w:line="360" w:lineRule="auto"/>
        <w:rPr>
          <w:rFonts w:ascii="宋体" w:hAnsi="宋体"/>
          <w:b w:val="0"/>
          <w:snapToGrid w:val="0"/>
          <w:color w:val="auto"/>
          <w:sz w:val="24"/>
          <w:szCs w:val="24"/>
          <w:highlight w:val="none"/>
        </w:rPr>
      </w:pPr>
      <w:bookmarkStart w:id="254" w:name="_Toc277082563"/>
      <w:bookmarkStart w:id="255" w:name="_Toc287607757"/>
      <w:bookmarkStart w:id="256" w:name="_Toc58860077"/>
      <w:bookmarkStart w:id="257" w:name="_Toc200513137"/>
      <w:bookmarkStart w:id="258" w:name="_Toc224103328"/>
      <w:bookmarkStart w:id="259" w:name="_Toc509218721"/>
      <w:bookmarkStart w:id="260" w:name="_Toc430530446"/>
      <w:bookmarkStart w:id="261" w:name="_Toc287620696"/>
      <w:r>
        <w:rPr>
          <w:rFonts w:ascii="宋体" w:hAnsi="宋体"/>
          <w:b w:val="0"/>
          <w:snapToGrid w:val="0"/>
          <w:color w:val="auto"/>
          <w:sz w:val="24"/>
          <w:szCs w:val="24"/>
          <w:highlight w:val="none"/>
        </w:rPr>
        <w:t>1.10  投标预备会</w:t>
      </w:r>
      <w:bookmarkEnd w:id="254"/>
      <w:bookmarkEnd w:id="255"/>
      <w:bookmarkEnd w:id="256"/>
      <w:bookmarkEnd w:id="257"/>
      <w:bookmarkEnd w:id="258"/>
      <w:bookmarkEnd w:id="259"/>
      <w:bookmarkEnd w:id="260"/>
      <w:bookmarkEnd w:id="261"/>
    </w:p>
    <w:p w14:paraId="46FFED4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1.10.1  投标人须知前附表规定召开投标预备会的，招标人按投标人须知前附表规定的时间和地点召开投标预备会，澄清投标人提出的问题。</w:t>
      </w:r>
    </w:p>
    <w:p w14:paraId="6B5ACF3C">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1.10.2  投标人应在投标人须知前附表</w:t>
      </w:r>
      <w:r>
        <w:rPr>
          <w:rFonts w:hint="eastAsia"/>
          <w:color w:val="auto"/>
          <w:highlight w:val="none"/>
        </w:rPr>
        <w:t>规定的时间前</w:t>
      </w:r>
      <w:r>
        <w:rPr>
          <w:rFonts w:ascii="宋体" w:hAnsi="宋体"/>
          <w:snapToGrid w:val="0"/>
          <w:color w:val="auto"/>
          <w:kern w:val="0"/>
          <w:szCs w:val="21"/>
          <w:highlight w:val="none"/>
        </w:rPr>
        <w:t>，以书面形式将提出的问题送达招标人，以便招标人</w:t>
      </w:r>
      <w:r>
        <w:rPr>
          <w:rFonts w:hint="eastAsia"/>
          <w:color w:val="auto"/>
          <w:highlight w:val="none"/>
        </w:rPr>
        <w:t>在会议期间</w:t>
      </w:r>
      <w:r>
        <w:rPr>
          <w:rFonts w:ascii="宋体" w:hAnsi="宋体"/>
          <w:snapToGrid w:val="0"/>
          <w:color w:val="auto"/>
          <w:kern w:val="0"/>
          <w:szCs w:val="21"/>
          <w:highlight w:val="none"/>
        </w:rPr>
        <w:t>澄清。</w:t>
      </w:r>
    </w:p>
    <w:p w14:paraId="6F8E0E05">
      <w:pPr>
        <w:autoSpaceDE w:val="0"/>
        <w:autoSpaceDN w:val="0"/>
        <w:adjustRightInd w:val="0"/>
        <w:snapToGrid w:val="0"/>
        <w:spacing w:line="360" w:lineRule="auto"/>
        <w:ind w:firstLine="424" w:firstLineChars="202"/>
        <w:rPr>
          <w:rFonts w:ascii="宋体" w:hAnsi="宋体"/>
          <w:snapToGrid w:val="0"/>
          <w:color w:val="auto"/>
          <w:kern w:val="0"/>
          <w:szCs w:val="21"/>
          <w:highlight w:val="none"/>
        </w:rPr>
      </w:pPr>
      <w:r>
        <w:rPr>
          <w:rFonts w:ascii="宋体" w:hAnsi="宋体"/>
          <w:snapToGrid w:val="0"/>
          <w:color w:val="auto"/>
          <w:kern w:val="0"/>
          <w:szCs w:val="21"/>
          <w:highlight w:val="none"/>
        </w:rPr>
        <w:t xml:space="preserve">1.10.3  </w:t>
      </w:r>
      <w:r>
        <w:rPr>
          <w:rFonts w:hint="eastAsia"/>
          <w:color w:val="auto"/>
          <w:highlight w:val="none"/>
        </w:rPr>
        <w:t>投标预备会后，招标人在投标人须知前附表规定的时间内，将对投标人所提问题的澄清，以</w:t>
      </w:r>
      <w:r>
        <w:rPr>
          <w:rFonts w:ascii="宋体" w:hAnsi="宋体"/>
          <w:snapToGrid w:val="0"/>
          <w:color w:val="auto"/>
          <w:kern w:val="0"/>
          <w:szCs w:val="21"/>
          <w:highlight w:val="none"/>
        </w:rPr>
        <w:t>投标人须知前附表</w:t>
      </w:r>
      <w:r>
        <w:rPr>
          <w:rFonts w:hint="eastAsia"/>
          <w:color w:val="auto"/>
          <w:highlight w:val="none"/>
        </w:rPr>
        <w:t>规定的形式通知所有投标人。该澄清内容为招标文件的组成部分。</w:t>
      </w:r>
    </w:p>
    <w:p w14:paraId="46A751F3">
      <w:pPr>
        <w:pStyle w:val="5"/>
        <w:snapToGrid w:val="0"/>
        <w:spacing w:before="0" w:after="0" w:line="360" w:lineRule="auto"/>
        <w:rPr>
          <w:rFonts w:ascii="宋体" w:hAnsi="宋体"/>
          <w:b w:val="0"/>
          <w:snapToGrid w:val="0"/>
          <w:color w:val="auto"/>
          <w:sz w:val="24"/>
          <w:szCs w:val="24"/>
          <w:highlight w:val="none"/>
        </w:rPr>
      </w:pPr>
      <w:bookmarkStart w:id="262" w:name="_Toc200513138"/>
      <w:bookmarkStart w:id="263" w:name="_Toc287607758"/>
      <w:bookmarkStart w:id="264" w:name="_Toc287620697"/>
      <w:bookmarkStart w:id="265" w:name="_Toc509218722"/>
      <w:bookmarkStart w:id="266" w:name="_Toc430530447"/>
      <w:bookmarkStart w:id="267" w:name="_Toc224103329"/>
      <w:bookmarkStart w:id="268" w:name="_Toc277082564"/>
      <w:bookmarkStart w:id="269" w:name="_Toc58860078"/>
      <w:r>
        <w:rPr>
          <w:rFonts w:ascii="宋体" w:hAnsi="宋体"/>
          <w:b w:val="0"/>
          <w:snapToGrid w:val="0"/>
          <w:color w:val="auto"/>
          <w:sz w:val="24"/>
          <w:szCs w:val="24"/>
          <w:highlight w:val="none"/>
        </w:rPr>
        <w:t xml:space="preserve">1.11  </w:t>
      </w:r>
      <w:bookmarkEnd w:id="262"/>
      <w:bookmarkEnd w:id="263"/>
      <w:bookmarkEnd w:id="264"/>
      <w:bookmarkEnd w:id="265"/>
      <w:bookmarkEnd w:id="266"/>
      <w:bookmarkEnd w:id="267"/>
      <w:bookmarkEnd w:id="268"/>
      <w:r>
        <w:rPr>
          <w:rFonts w:hint="eastAsia" w:ascii="宋体" w:hAnsi="宋体"/>
          <w:b w:val="0"/>
          <w:snapToGrid w:val="0"/>
          <w:color w:val="auto"/>
          <w:sz w:val="24"/>
          <w:szCs w:val="24"/>
          <w:highlight w:val="none"/>
        </w:rPr>
        <w:t>分包</w:t>
      </w:r>
      <w:bookmarkEnd w:id="269"/>
    </w:p>
    <w:p w14:paraId="51508171">
      <w:pPr>
        <w:autoSpaceDE w:val="0"/>
        <w:autoSpaceDN w:val="0"/>
        <w:adjustRightInd w:val="0"/>
        <w:snapToGrid w:val="0"/>
        <w:spacing w:line="360" w:lineRule="auto"/>
        <w:ind w:firstLine="420"/>
        <w:rPr>
          <w:rFonts w:ascii="宋体" w:hAnsi="宋体"/>
          <w:snapToGrid w:val="0"/>
          <w:color w:val="auto"/>
          <w:kern w:val="0"/>
          <w:szCs w:val="21"/>
          <w:highlight w:val="none"/>
        </w:rPr>
      </w:pPr>
      <w:bookmarkStart w:id="270" w:name="_Toc430530448"/>
      <w:bookmarkStart w:id="271" w:name="_Toc287620698"/>
      <w:bookmarkStart w:id="272" w:name="_Toc224103330"/>
      <w:bookmarkStart w:id="273" w:name="_Toc509218723"/>
      <w:bookmarkStart w:id="274" w:name="_Toc277082565"/>
      <w:bookmarkStart w:id="275" w:name="_Toc287607759"/>
      <w:bookmarkStart w:id="276" w:name="_Toc200513139"/>
      <w:r>
        <w:rPr>
          <w:rFonts w:hint="eastAsia" w:ascii="宋体" w:hAnsi="宋体"/>
          <w:snapToGrid w:val="0"/>
          <w:color w:val="auto"/>
          <w:kern w:val="0"/>
          <w:szCs w:val="21"/>
          <w:highlight w:val="none"/>
        </w:rPr>
        <w:t>1.11.1 投标人须知前附表规定应当由分包人实施的非主体、非关键性工作，投标人应当按照第六章“发包人要求”的规定提供分包人侯选名单及其相应资料。</w:t>
      </w:r>
    </w:p>
    <w:p w14:paraId="48CD6D93">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1.11.2 投标人拟在中标后将中标项目的部分非主体、非关键性工作进行分包的，应符合投标人须知前附表规定的分包内容、分包金额和资质要求等限制性条件。</w:t>
      </w:r>
    </w:p>
    <w:p w14:paraId="4708CA39">
      <w:pPr>
        <w:pStyle w:val="5"/>
        <w:snapToGrid w:val="0"/>
        <w:spacing w:before="0" w:after="0" w:line="360" w:lineRule="auto"/>
        <w:rPr>
          <w:rFonts w:ascii="宋体" w:hAnsi="宋体"/>
          <w:b w:val="0"/>
          <w:snapToGrid w:val="0"/>
          <w:color w:val="auto"/>
          <w:sz w:val="24"/>
          <w:szCs w:val="24"/>
          <w:highlight w:val="none"/>
        </w:rPr>
      </w:pPr>
      <w:bookmarkStart w:id="277" w:name="_Toc58860079"/>
      <w:r>
        <w:rPr>
          <w:rFonts w:ascii="宋体" w:hAnsi="宋体"/>
          <w:b w:val="0"/>
          <w:snapToGrid w:val="0"/>
          <w:color w:val="auto"/>
          <w:sz w:val="24"/>
          <w:szCs w:val="24"/>
          <w:highlight w:val="none"/>
        </w:rPr>
        <w:t>1.12  偏离</w:t>
      </w:r>
      <w:bookmarkEnd w:id="270"/>
      <w:bookmarkEnd w:id="271"/>
      <w:bookmarkEnd w:id="272"/>
      <w:bookmarkEnd w:id="273"/>
      <w:bookmarkEnd w:id="274"/>
      <w:bookmarkEnd w:id="275"/>
      <w:bookmarkEnd w:id="276"/>
      <w:bookmarkEnd w:id="277"/>
    </w:p>
    <w:p w14:paraId="3977BF6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投标人须知前附表允许投标文件偏离招标文件某些要求的，偏离应当符合招标文件规定的偏离范围和幅度。</w:t>
      </w:r>
    </w:p>
    <w:p w14:paraId="1B477F20">
      <w:pPr>
        <w:pStyle w:val="4"/>
        <w:spacing w:before="0" w:after="0" w:line="360" w:lineRule="auto"/>
        <w:rPr>
          <w:rFonts w:ascii="宋体" w:hAnsi="宋体"/>
          <w:b w:val="0"/>
          <w:snapToGrid w:val="0"/>
          <w:color w:val="auto"/>
          <w:highlight w:val="none"/>
        </w:rPr>
      </w:pPr>
      <w:bookmarkStart w:id="278" w:name="_Toc430530449"/>
      <w:bookmarkStart w:id="279" w:name="_Toc287607760"/>
      <w:bookmarkStart w:id="280" w:name="_Toc509218724"/>
      <w:bookmarkStart w:id="281" w:name="_Toc287620699"/>
      <w:bookmarkStart w:id="282" w:name="_Toc58860080"/>
      <w:bookmarkStart w:id="283" w:name="_Toc277082566"/>
      <w:bookmarkStart w:id="284" w:name="_Toc200513140"/>
      <w:bookmarkStart w:id="285" w:name="_Toc224103331"/>
      <w:r>
        <w:rPr>
          <w:rFonts w:ascii="宋体" w:hAnsi="宋体"/>
          <w:b w:val="0"/>
          <w:snapToGrid w:val="0"/>
          <w:color w:val="auto"/>
          <w:highlight w:val="none"/>
        </w:rPr>
        <w:t>2.  招标文件</w:t>
      </w:r>
      <w:bookmarkEnd w:id="278"/>
      <w:bookmarkEnd w:id="279"/>
      <w:bookmarkEnd w:id="280"/>
      <w:bookmarkEnd w:id="281"/>
      <w:bookmarkEnd w:id="282"/>
      <w:bookmarkEnd w:id="283"/>
      <w:bookmarkEnd w:id="284"/>
      <w:bookmarkEnd w:id="285"/>
    </w:p>
    <w:p w14:paraId="67976B4F">
      <w:pPr>
        <w:pStyle w:val="5"/>
        <w:snapToGrid w:val="0"/>
        <w:spacing w:before="0" w:after="0" w:line="360" w:lineRule="auto"/>
        <w:rPr>
          <w:rFonts w:ascii="宋体" w:hAnsi="宋体"/>
          <w:b w:val="0"/>
          <w:snapToGrid w:val="0"/>
          <w:color w:val="auto"/>
          <w:sz w:val="24"/>
          <w:szCs w:val="24"/>
          <w:highlight w:val="none"/>
        </w:rPr>
      </w:pPr>
      <w:bookmarkStart w:id="286" w:name="_Toc430530450"/>
      <w:bookmarkStart w:id="287" w:name="_Toc224103332"/>
      <w:bookmarkStart w:id="288" w:name="_Toc509218725"/>
      <w:bookmarkStart w:id="289" w:name="_Toc287607761"/>
      <w:bookmarkStart w:id="290" w:name="_Toc200513141"/>
      <w:bookmarkStart w:id="291" w:name="_Toc287620700"/>
      <w:bookmarkStart w:id="292" w:name="_Toc277082567"/>
      <w:bookmarkStart w:id="293" w:name="_Toc58860081"/>
      <w:r>
        <w:rPr>
          <w:rFonts w:ascii="宋体" w:hAnsi="宋体"/>
          <w:b w:val="0"/>
          <w:snapToGrid w:val="0"/>
          <w:color w:val="auto"/>
          <w:sz w:val="24"/>
          <w:szCs w:val="24"/>
          <w:highlight w:val="none"/>
        </w:rPr>
        <w:t>2.1  招标文件的组成</w:t>
      </w:r>
      <w:bookmarkEnd w:id="286"/>
      <w:bookmarkEnd w:id="287"/>
      <w:bookmarkEnd w:id="288"/>
      <w:bookmarkEnd w:id="289"/>
      <w:bookmarkEnd w:id="290"/>
      <w:bookmarkEnd w:id="291"/>
      <w:bookmarkEnd w:id="292"/>
      <w:bookmarkEnd w:id="293"/>
    </w:p>
    <w:p w14:paraId="2BBE0F83">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本招标文件包括：</w:t>
      </w:r>
    </w:p>
    <w:p w14:paraId="655A2096">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（1）招标公告（或投标邀请书）；</w:t>
      </w:r>
    </w:p>
    <w:p w14:paraId="7F898F25">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（2）投标人须知；</w:t>
      </w:r>
    </w:p>
    <w:p w14:paraId="719BD6E8">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（3）评标办法；</w:t>
      </w:r>
    </w:p>
    <w:p w14:paraId="558CF943">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（4）合同条款及格式；</w:t>
      </w:r>
    </w:p>
    <w:p w14:paraId="19FABFB9">
      <w:pPr>
        <w:autoSpaceDE w:val="0"/>
        <w:autoSpaceDN w:val="0"/>
        <w:adjustRightInd w:val="0"/>
        <w:snapToGrid w:val="0"/>
        <w:spacing w:line="360" w:lineRule="auto"/>
        <w:ind w:left="359" w:leftChars="171"/>
        <w:rPr>
          <w:color w:val="auto"/>
          <w:highlight w:val="none"/>
        </w:rPr>
      </w:pPr>
      <w:r>
        <w:rPr>
          <w:rFonts w:hint="eastAsia" w:ascii="宋体" w:hAnsi="宋体"/>
          <w:snapToGrid w:val="0"/>
          <w:color w:val="auto"/>
          <w:kern w:val="0"/>
          <w:szCs w:val="21"/>
          <w:highlight w:val="none"/>
        </w:rPr>
        <w:t>（5）工程量清单（如有）</w:t>
      </w:r>
    </w:p>
    <w:p w14:paraId="2D1E0D1D">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6</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发包人要求</w:t>
      </w:r>
      <w:r>
        <w:rPr>
          <w:rFonts w:ascii="宋体" w:hAnsi="宋体"/>
          <w:snapToGrid w:val="0"/>
          <w:color w:val="auto"/>
          <w:kern w:val="0"/>
          <w:szCs w:val="21"/>
          <w:highlight w:val="none"/>
        </w:rPr>
        <w:t>；</w:t>
      </w:r>
    </w:p>
    <w:p w14:paraId="7D0DD328">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7</w:t>
      </w:r>
      <w:r>
        <w:rPr>
          <w:rFonts w:ascii="宋体" w:hAnsi="宋体"/>
          <w:snapToGrid w:val="0"/>
          <w:color w:val="auto"/>
          <w:kern w:val="0"/>
          <w:szCs w:val="21"/>
          <w:highlight w:val="none"/>
        </w:rPr>
        <w:t>）</w:t>
      </w:r>
      <w:r>
        <w:rPr>
          <w:rFonts w:hint="eastAsia" w:ascii="宋体" w:hAnsi="宋体"/>
          <w:snapToGrid w:val="0"/>
          <w:color w:val="auto"/>
          <w:kern w:val="0"/>
          <w:szCs w:val="21"/>
          <w:highlight w:val="none"/>
        </w:rPr>
        <w:t>发包人提供的资料和条件</w:t>
      </w:r>
      <w:r>
        <w:rPr>
          <w:rFonts w:ascii="宋体" w:hAnsi="宋体"/>
          <w:snapToGrid w:val="0"/>
          <w:color w:val="auto"/>
          <w:kern w:val="0"/>
          <w:szCs w:val="21"/>
          <w:highlight w:val="none"/>
        </w:rPr>
        <w:t>；</w:t>
      </w:r>
    </w:p>
    <w:p w14:paraId="487A16B8">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8</w:t>
      </w:r>
      <w:r>
        <w:rPr>
          <w:rFonts w:ascii="宋体" w:hAnsi="宋体"/>
          <w:snapToGrid w:val="0"/>
          <w:color w:val="auto"/>
          <w:kern w:val="0"/>
          <w:szCs w:val="21"/>
          <w:highlight w:val="none"/>
        </w:rPr>
        <w:t>）投标文件格式；</w:t>
      </w:r>
    </w:p>
    <w:p w14:paraId="07D83704">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9</w:t>
      </w:r>
      <w:r>
        <w:rPr>
          <w:rFonts w:ascii="宋体" w:hAnsi="宋体"/>
          <w:snapToGrid w:val="0"/>
          <w:color w:val="auto"/>
          <w:kern w:val="0"/>
          <w:szCs w:val="21"/>
          <w:highlight w:val="none"/>
        </w:rPr>
        <w:t>）投标人须知前附表规定的其他材料。</w:t>
      </w:r>
    </w:p>
    <w:p w14:paraId="420387B7">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根据本章第1.10款、第2.2款和第2.3款对招标文件所作的澄清、修改，构成招标文件的组成部分。</w:t>
      </w:r>
    </w:p>
    <w:p w14:paraId="6A8C14FA">
      <w:pPr>
        <w:pStyle w:val="5"/>
        <w:snapToGrid w:val="0"/>
        <w:spacing w:before="0" w:after="0" w:line="360" w:lineRule="auto"/>
        <w:rPr>
          <w:rFonts w:ascii="宋体" w:hAnsi="宋体"/>
          <w:b w:val="0"/>
          <w:snapToGrid w:val="0"/>
          <w:color w:val="auto"/>
          <w:sz w:val="24"/>
          <w:szCs w:val="24"/>
          <w:highlight w:val="none"/>
        </w:rPr>
      </w:pPr>
      <w:bookmarkStart w:id="294" w:name="_Toc509218726"/>
      <w:bookmarkStart w:id="295" w:name="_Toc430530451"/>
      <w:bookmarkStart w:id="296" w:name="_Toc58860082"/>
      <w:r>
        <w:rPr>
          <w:rFonts w:ascii="宋体" w:hAnsi="宋体"/>
          <w:b w:val="0"/>
          <w:snapToGrid w:val="0"/>
          <w:color w:val="auto"/>
          <w:sz w:val="24"/>
          <w:szCs w:val="24"/>
          <w:highlight w:val="none"/>
        </w:rPr>
        <w:t>2.2  招标文件的澄清</w:t>
      </w:r>
      <w:bookmarkEnd w:id="294"/>
      <w:bookmarkEnd w:id="295"/>
      <w:bookmarkEnd w:id="296"/>
    </w:p>
    <w:p w14:paraId="3B0222E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2.2.1  投标人应仔细阅读和检查招标文件的全部内容。如发现缺页或附件不全，应及时向招标人提出，以便补齐。如有疑问，应在投标人须知前附表规定的时间前</w:t>
      </w:r>
      <w:r>
        <w:rPr>
          <w:rFonts w:ascii="宋体" w:hAnsi="宋体"/>
          <w:color w:val="auto"/>
          <w:kern w:val="0"/>
          <w:szCs w:val="21"/>
          <w:highlight w:val="none"/>
        </w:rPr>
        <w:t>在</w:t>
      </w:r>
      <w:r>
        <w:rPr>
          <w:rFonts w:hint="eastAsia" w:ascii="宋体" w:hAnsi="宋体"/>
          <w:color w:val="auto"/>
          <w:kern w:val="0"/>
          <w:szCs w:val="21"/>
          <w:highlight w:val="none"/>
        </w:rPr>
        <w:t>相应法定网站提问</w:t>
      </w:r>
      <w:r>
        <w:rPr>
          <w:rFonts w:ascii="宋体" w:hAnsi="宋体"/>
          <w:snapToGrid w:val="0"/>
          <w:color w:val="auto"/>
          <w:kern w:val="0"/>
          <w:szCs w:val="21"/>
          <w:highlight w:val="none"/>
        </w:rPr>
        <w:t>，要求招标人对招标文件予以澄清。</w:t>
      </w:r>
    </w:p>
    <w:p w14:paraId="70CC7E52">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2.2.2  招标文件的澄清将在投标人须知前附表规定的投标截止时间15天前</w:t>
      </w:r>
      <w:r>
        <w:rPr>
          <w:rFonts w:ascii="宋体" w:hAnsi="宋体"/>
          <w:color w:val="auto"/>
          <w:kern w:val="0"/>
          <w:szCs w:val="21"/>
          <w:highlight w:val="none"/>
        </w:rPr>
        <w:t>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但不指明澄清问题的来源。如果澄清发出的时间距投标截止时间不足15天，相应延长投标截止时间。</w:t>
      </w:r>
    </w:p>
    <w:p w14:paraId="3022E88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 xml:space="preserve">2.2.3  </w:t>
      </w:r>
      <w:r>
        <w:rPr>
          <w:rFonts w:ascii="宋体" w:hAnsi="宋体"/>
          <w:color w:val="auto"/>
          <w:kern w:val="0"/>
          <w:szCs w:val="21"/>
          <w:highlight w:val="none"/>
        </w:rPr>
        <w:t>招标人对招标文件的</w:t>
      </w:r>
      <w:r>
        <w:rPr>
          <w:rFonts w:ascii="宋体" w:hAnsi="宋体"/>
          <w:snapToGrid w:val="0"/>
          <w:color w:val="auto"/>
          <w:kern w:val="0"/>
          <w:szCs w:val="21"/>
          <w:highlight w:val="none"/>
        </w:rPr>
        <w:t>修改内容可能影响投标文件编制的，须在投标截止时间15日前发布，发布时间至投标截止时间不足15日的，须相应延后投标截止时间。</w:t>
      </w:r>
    </w:p>
    <w:p w14:paraId="02F7923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2.2.4  投标人对招标文件和澄清修改仍有</w:t>
      </w:r>
      <w:r>
        <w:rPr>
          <w:rFonts w:hint="eastAsia" w:ascii="宋体" w:hAnsi="宋体"/>
          <w:snapToGrid w:val="0"/>
          <w:color w:val="auto"/>
          <w:kern w:val="0"/>
          <w:position w:val="-2"/>
          <w:szCs w:val="21"/>
          <w:highlight w:val="none"/>
        </w:rPr>
        <w:t>异议</w:t>
      </w:r>
      <w:r>
        <w:rPr>
          <w:rFonts w:ascii="宋体" w:hAnsi="宋体"/>
          <w:snapToGrid w:val="0"/>
          <w:color w:val="auto"/>
          <w:kern w:val="0"/>
          <w:position w:val="-2"/>
          <w:szCs w:val="21"/>
          <w:highlight w:val="none"/>
        </w:rPr>
        <w:t>的，可于投标截止时间10日前，</w:t>
      </w:r>
      <w:r>
        <w:rPr>
          <w:rFonts w:hint="eastAsia" w:ascii="宋体" w:hAnsi="宋体"/>
          <w:snapToGrid w:val="0"/>
          <w:color w:val="auto"/>
          <w:kern w:val="0"/>
          <w:szCs w:val="21"/>
          <w:highlight w:val="none"/>
        </w:rPr>
        <w:t>通过</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提出</w:t>
      </w:r>
      <w:r>
        <w:rPr>
          <w:rFonts w:ascii="宋体" w:hAnsi="宋体"/>
          <w:snapToGrid w:val="0"/>
          <w:color w:val="auto"/>
          <w:kern w:val="0"/>
          <w:szCs w:val="21"/>
          <w:highlight w:val="none"/>
        </w:rPr>
        <w:t>。招标人应将答复以修改的形式在</w:t>
      </w:r>
      <w:r>
        <w:rPr>
          <w:rFonts w:hint="eastAsia" w:ascii="宋体" w:hAnsi="宋体"/>
          <w:color w:val="auto"/>
          <w:kern w:val="0"/>
          <w:szCs w:val="21"/>
          <w:highlight w:val="none"/>
        </w:rPr>
        <w:t>相应法定网站</w:t>
      </w:r>
      <w:r>
        <w:rPr>
          <w:rFonts w:ascii="宋体" w:hAnsi="宋体"/>
          <w:color w:val="auto"/>
          <w:kern w:val="0"/>
          <w:szCs w:val="21"/>
          <w:highlight w:val="none"/>
        </w:rPr>
        <w:t>发布</w:t>
      </w:r>
      <w:r>
        <w:rPr>
          <w:rFonts w:ascii="宋体" w:hAnsi="宋体"/>
          <w:snapToGrid w:val="0"/>
          <w:color w:val="auto"/>
          <w:kern w:val="0"/>
          <w:szCs w:val="21"/>
          <w:highlight w:val="none"/>
        </w:rPr>
        <w:t>。修改内容可能影响投标文件编制的，须在投标截止时间15日前发布，发布时间至投标截止时间不足15日的，须相应延后投标截止时间。</w:t>
      </w:r>
    </w:p>
    <w:p w14:paraId="751E9184">
      <w:pPr>
        <w:pStyle w:val="5"/>
        <w:snapToGrid w:val="0"/>
        <w:spacing w:before="0" w:after="0" w:line="360" w:lineRule="auto"/>
        <w:rPr>
          <w:rFonts w:ascii="宋体" w:hAnsi="宋体"/>
          <w:b w:val="0"/>
          <w:snapToGrid w:val="0"/>
          <w:color w:val="auto"/>
          <w:sz w:val="24"/>
          <w:szCs w:val="24"/>
          <w:highlight w:val="none"/>
        </w:rPr>
      </w:pPr>
      <w:bookmarkStart w:id="297" w:name="_Toc430530452"/>
      <w:bookmarkStart w:id="298" w:name="_Toc58860083"/>
      <w:bookmarkStart w:id="299" w:name="_Toc509218727"/>
      <w:bookmarkStart w:id="300" w:name="_Toc200513143"/>
      <w:bookmarkStart w:id="301" w:name="_Toc287620702"/>
      <w:bookmarkStart w:id="302" w:name="_Toc287607763"/>
      <w:bookmarkStart w:id="303" w:name="_Toc224103334"/>
      <w:bookmarkStart w:id="304" w:name="_Toc277082569"/>
      <w:r>
        <w:rPr>
          <w:rFonts w:ascii="宋体" w:hAnsi="宋体"/>
          <w:b w:val="0"/>
          <w:snapToGrid w:val="0"/>
          <w:color w:val="auto"/>
          <w:sz w:val="24"/>
          <w:szCs w:val="24"/>
          <w:highlight w:val="none"/>
        </w:rPr>
        <w:t>2.3  招标文件的修改</w:t>
      </w:r>
      <w:bookmarkEnd w:id="297"/>
      <w:bookmarkEnd w:id="298"/>
      <w:bookmarkEnd w:id="299"/>
      <w:bookmarkEnd w:id="300"/>
      <w:bookmarkEnd w:id="301"/>
      <w:bookmarkEnd w:id="302"/>
      <w:bookmarkEnd w:id="303"/>
      <w:bookmarkEnd w:id="304"/>
    </w:p>
    <w:p w14:paraId="6668E1DE">
      <w:pPr>
        <w:autoSpaceDE w:val="0"/>
        <w:autoSpaceDN w:val="0"/>
        <w:adjustRightInd w:val="0"/>
        <w:snapToGrid w:val="0"/>
        <w:spacing w:line="360" w:lineRule="auto"/>
        <w:ind w:firstLine="420"/>
        <w:rPr>
          <w:rFonts w:ascii="宋体" w:hAnsi="宋体"/>
          <w:snapToGrid w:val="0"/>
          <w:color w:val="auto"/>
          <w:highlight w:val="none"/>
        </w:rPr>
      </w:pPr>
      <w:bookmarkStart w:id="305" w:name="_Toc200513144"/>
      <w:bookmarkStart w:id="306" w:name="_Toc287607764"/>
      <w:bookmarkStart w:id="307" w:name="_Toc277082570"/>
      <w:bookmarkStart w:id="308" w:name="_Toc224103335"/>
      <w:bookmarkStart w:id="309" w:name="_Toc287620703"/>
      <w:r>
        <w:rPr>
          <w:rFonts w:ascii="宋体" w:hAnsi="宋体"/>
          <w:snapToGrid w:val="0"/>
          <w:color w:val="auto"/>
          <w:highlight w:val="none"/>
        </w:rPr>
        <w:t>按照本章第2.2款招标文件的澄清相关内容及方式执行。</w:t>
      </w:r>
    </w:p>
    <w:p w14:paraId="6269846F">
      <w:pPr>
        <w:pStyle w:val="4"/>
        <w:spacing w:before="0" w:after="0" w:line="360" w:lineRule="auto"/>
        <w:rPr>
          <w:rFonts w:ascii="宋体" w:hAnsi="宋体"/>
          <w:b w:val="0"/>
          <w:snapToGrid w:val="0"/>
          <w:color w:val="auto"/>
          <w:highlight w:val="none"/>
        </w:rPr>
      </w:pPr>
      <w:bookmarkStart w:id="310" w:name="_Toc58860084"/>
      <w:bookmarkStart w:id="311" w:name="_Toc430530453"/>
      <w:bookmarkStart w:id="312" w:name="_Toc509218728"/>
      <w:r>
        <w:rPr>
          <w:rFonts w:ascii="宋体" w:hAnsi="宋体"/>
          <w:b w:val="0"/>
          <w:snapToGrid w:val="0"/>
          <w:color w:val="auto"/>
          <w:highlight w:val="none"/>
        </w:rPr>
        <w:t>3.  投标文件</w:t>
      </w:r>
      <w:bookmarkEnd w:id="305"/>
      <w:bookmarkEnd w:id="306"/>
      <w:bookmarkEnd w:id="307"/>
      <w:bookmarkEnd w:id="308"/>
      <w:bookmarkEnd w:id="309"/>
      <w:bookmarkEnd w:id="310"/>
      <w:bookmarkEnd w:id="311"/>
      <w:bookmarkEnd w:id="312"/>
    </w:p>
    <w:p w14:paraId="4B3B6D77">
      <w:pPr>
        <w:pStyle w:val="5"/>
        <w:snapToGrid w:val="0"/>
        <w:spacing w:before="0" w:after="0" w:line="360" w:lineRule="auto"/>
        <w:rPr>
          <w:rFonts w:ascii="宋体" w:hAnsi="宋体"/>
          <w:b w:val="0"/>
          <w:snapToGrid w:val="0"/>
          <w:color w:val="auto"/>
          <w:sz w:val="24"/>
          <w:szCs w:val="24"/>
          <w:highlight w:val="none"/>
        </w:rPr>
      </w:pPr>
      <w:bookmarkStart w:id="313" w:name="_Toc509218729"/>
      <w:bookmarkStart w:id="314" w:name="_Toc277082571"/>
      <w:bookmarkStart w:id="315" w:name="_Toc287607765"/>
      <w:bookmarkStart w:id="316" w:name="_Toc200513145"/>
      <w:bookmarkStart w:id="317" w:name="_Toc58860085"/>
      <w:bookmarkStart w:id="318" w:name="_Toc430530454"/>
      <w:bookmarkStart w:id="319" w:name="_Toc224103336"/>
      <w:bookmarkStart w:id="320" w:name="_Toc287620704"/>
      <w:r>
        <w:rPr>
          <w:rFonts w:ascii="宋体" w:hAnsi="宋体"/>
          <w:b w:val="0"/>
          <w:snapToGrid w:val="0"/>
          <w:color w:val="auto"/>
          <w:sz w:val="24"/>
          <w:szCs w:val="24"/>
          <w:highlight w:val="none"/>
        </w:rPr>
        <w:t>3.1  投标文件的组成</w:t>
      </w:r>
      <w:bookmarkEnd w:id="313"/>
      <w:bookmarkEnd w:id="314"/>
      <w:bookmarkEnd w:id="315"/>
      <w:bookmarkEnd w:id="316"/>
      <w:bookmarkEnd w:id="317"/>
      <w:bookmarkEnd w:id="318"/>
      <w:bookmarkEnd w:id="319"/>
      <w:bookmarkEnd w:id="320"/>
    </w:p>
    <w:p w14:paraId="25BB469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3.1.1 投标文件应包括下列内容：</w:t>
      </w:r>
    </w:p>
    <w:p w14:paraId="74AA3DA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3.1.1.1投标函部分</w:t>
      </w:r>
    </w:p>
    <w:p w14:paraId="0E3882E1">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（1）投标函</w:t>
      </w:r>
    </w:p>
    <w:p w14:paraId="5A6C711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（2）投标函附录</w:t>
      </w:r>
    </w:p>
    <w:p w14:paraId="3357C34F">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（3）法定代表人身份证明</w:t>
      </w:r>
      <w:r>
        <w:rPr>
          <w:rFonts w:hint="eastAsia" w:ascii="宋体" w:hAnsi="宋体"/>
          <w:snapToGrid w:val="0"/>
          <w:color w:val="auto"/>
          <w:kern w:val="0"/>
          <w:szCs w:val="21"/>
          <w:highlight w:val="none"/>
        </w:rPr>
        <w:t>或附有法定代表人身份证明的</w:t>
      </w:r>
      <w:r>
        <w:rPr>
          <w:rFonts w:ascii="宋体" w:hAnsi="宋体"/>
          <w:snapToGrid w:val="0"/>
          <w:color w:val="auto"/>
          <w:kern w:val="0"/>
          <w:szCs w:val="21"/>
          <w:highlight w:val="none"/>
        </w:rPr>
        <w:t>授权委托书</w:t>
      </w:r>
    </w:p>
    <w:p w14:paraId="5C4D7D26">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低价风险担保缴纳承诺书（如有）</w:t>
      </w:r>
    </w:p>
    <w:p w14:paraId="4692F0B7">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（5）联合体协议书</w:t>
      </w:r>
      <w:r>
        <w:rPr>
          <w:rFonts w:hint="eastAsia" w:ascii="宋体" w:hAnsi="宋体"/>
          <w:snapToGrid w:val="0"/>
          <w:color w:val="auto"/>
          <w:kern w:val="0"/>
          <w:szCs w:val="21"/>
          <w:highlight w:val="none"/>
        </w:rPr>
        <w:t>（如有）</w:t>
      </w:r>
    </w:p>
    <w:p w14:paraId="74B4224F">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3.1.1.2</w:t>
      </w:r>
      <w:r>
        <w:rPr>
          <w:rFonts w:hint="eastAsia" w:ascii="宋体" w:hAnsi="宋体"/>
          <w:snapToGrid w:val="0"/>
          <w:color w:val="auto"/>
          <w:kern w:val="0"/>
          <w:szCs w:val="21"/>
          <w:highlight w:val="none"/>
        </w:rPr>
        <w:t>经济部分</w:t>
      </w:r>
    </w:p>
    <w:p w14:paraId="17DAE285">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1</w:t>
      </w:r>
      <w:r>
        <w:rPr>
          <w:rFonts w:hint="eastAsia" w:ascii="宋体" w:hAnsi="宋体"/>
          <w:snapToGrid w:val="0"/>
          <w:color w:val="auto"/>
          <w:kern w:val="0"/>
          <w:szCs w:val="21"/>
          <w:highlight w:val="none"/>
        </w:rPr>
        <w:t>）分项报价汇总表（如有）</w:t>
      </w:r>
    </w:p>
    <w:p w14:paraId="5F9048E0">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2</w:t>
      </w:r>
      <w:r>
        <w:rPr>
          <w:rFonts w:hint="eastAsia" w:ascii="宋体" w:hAnsi="宋体"/>
          <w:snapToGrid w:val="0"/>
          <w:color w:val="auto"/>
          <w:kern w:val="0"/>
          <w:szCs w:val="21"/>
          <w:highlight w:val="none"/>
        </w:rPr>
        <w:t>）已标价的工程量清单（如有）</w:t>
      </w:r>
    </w:p>
    <w:p w14:paraId="1CB03B48">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3</w:t>
      </w:r>
      <w:r>
        <w:rPr>
          <w:rFonts w:hint="eastAsia" w:ascii="宋体" w:hAnsi="宋体"/>
          <w:snapToGrid w:val="0"/>
          <w:color w:val="auto"/>
          <w:kern w:val="0"/>
          <w:szCs w:val="21"/>
          <w:highlight w:val="none"/>
        </w:rPr>
        <w:t>）已标价的设备供货及服务清单（如有）</w:t>
      </w:r>
    </w:p>
    <w:p w14:paraId="0706F82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3.1.1.3</w:t>
      </w:r>
      <w:r>
        <w:rPr>
          <w:rFonts w:hint="eastAsia" w:ascii="宋体" w:hAnsi="宋体"/>
          <w:snapToGrid w:val="0"/>
          <w:color w:val="auto"/>
          <w:kern w:val="0"/>
          <w:szCs w:val="21"/>
          <w:highlight w:val="none"/>
        </w:rPr>
        <w:t>商务</w:t>
      </w:r>
      <w:r>
        <w:rPr>
          <w:rFonts w:ascii="宋体" w:hAnsi="宋体"/>
          <w:snapToGrid w:val="0"/>
          <w:color w:val="auto"/>
          <w:kern w:val="0"/>
          <w:szCs w:val="21"/>
          <w:highlight w:val="none"/>
        </w:rPr>
        <w:t>部分（不设置</w:t>
      </w:r>
      <w:r>
        <w:rPr>
          <w:rFonts w:hint="eastAsia" w:ascii="宋体" w:hAnsi="宋体"/>
          <w:snapToGrid w:val="0"/>
          <w:color w:val="auto"/>
          <w:kern w:val="0"/>
          <w:szCs w:val="21"/>
          <w:highlight w:val="none"/>
        </w:rPr>
        <w:t>商务部分</w:t>
      </w:r>
      <w:r>
        <w:rPr>
          <w:rFonts w:ascii="宋体" w:hAnsi="宋体"/>
          <w:snapToGrid w:val="0"/>
          <w:color w:val="auto"/>
          <w:kern w:val="0"/>
          <w:szCs w:val="21"/>
          <w:highlight w:val="none"/>
        </w:rPr>
        <w:t>评审的不设此部分）</w:t>
      </w:r>
    </w:p>
    <w:p w14:paraId="44098CFC">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3.1.1.4技术部分（不设置</w:t>
      </w:r>
      <w:r>
        <w:rPr>
          <w:rFonts w:hint="eastAsia" w:ascii="宋体" w:hAnsi="宋体"/>
          <w:snapToGrid w:val="0"/>
          <w:color w:val="auto"/>
          <w:kern w:val="0"/>
          <w:szCs w:val="21"/>
          <w:highlight w:val="none"/>
        </w:rPr>
        <w:t>技术部分</w:t>
      </w:r>
      <w:r>
        <w:rPr>
          <w:rFonts w:ascii="宋体" w:hAnsi="宋体"/>
          <w:snapToGrid w:val="0"/>
          <w:color w:val="auto"/>
          <w:kern w:val="0"/>
          <w:szCs w:val="21"/>
          <w:highlight w:val="none"/>
        </w:rPr>
        <w:t>评审的不设此部分）</w:t>
      </w:r>
    </w:p>
    <w:p w14:paraId="71C452AC">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）承包人建议书（如有）；</w:t>
      </w:r>
    </w:p>
    <w:p w14:paraId="466D72AD">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color w:val="auto"/>
          <w:highlight w:val="none"/>
        </w:rPr>
        <w:t>（</w:t>
      </w:r>
      <w:r>
        <w:rPr>
          <w:rFonts w:hint="eastAsia" w:ascii="宋体" w:hAnsi="宋体"/>
          <w:color w:val="auto"/>
          <w:highlight w:val="none"/>
        </w:rPr>
        <w:t>2</w:t>
      </w:r>
      <w:r>
        <w:rPr>
          <w:rFonts w:ascii="宋体" w:hAnsi="宋体"/>
          <w:color w:val="auto"/>
          <w:highlight w:val="none"/>
        </w:rPr>
        <w:t>）承包人实施计划（如有）；</w:t>
      </w:r>
    </w:p>
    <w:p w14:paraId="5E82D236">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3.1.1.5</w:t>
      </w:r>
      <w:r>
        <w:rPr>
          <w:rFonts w:hint="eastAsia" w:ascii="宋体" w:hAnsi="宋体"/>
          <w:snapToGrid w:val="0"/>
          <w:color w:val="auto"/>
          <w:kern w:val="0"/>
          <w:szCs w:val="21"/>
          <w:highlight w:val="none"/>
        </w:rPr>
        <w:t>资格审查部分</w:t>
      </w:r>
    </w:p>
    <w:p w14:paraId="16D9544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法定代表人身份证明或附有法定代表人身份证明的授权委托书</w:t>
      </w:r>
    </w:p>
    <w:p w14:paraId="75FE9A8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（2）联合体协议书</w:t>
      </w:r>
      <w:r>
        <w:rPr>
          <w:rFonts w:hint="eastAsia" w:ascii="宋体" w:hAnsi="宋体"/>
          <w:snapToGrid w:val="0"/>
          <w:color w:val="auto"/>
          <w:kern w:val="0"/>
          <w:szCs w:val="21"/>
          <w:highlight w:val="none"/>
        </w:rPr>
        <w:t>（如有）</w:t>
      </w:r>
    </w:p>
    <w:p w14:paraId="2DCCC1C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（3）投标人基本情况表</w:t>
      </w:r>
    </w:p>
    <w:p w14:paraId="7B4FAE67">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（4）项目管理机构</w:t>
      </w:r>
    </w:p>
    <w:p w14:paraId="56B384D6">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（5）近年财务状况表</w:t>
      </w:r>
    </w:p>
    <w:p w14:paraId="0316A86F">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（6）类似项目情况表</w:t>
      </w:r>
    </w:p>
    <w:p w14:paraId="08C0F7C2">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w:t>
      </w:r>
      <w:r>
        <w:rPr>
          <w:rFonts w:hint="eastAsia" w:ascii="宋体" w:hAnsi="宋体"/>
          <w:snapToGrid w:val="0"/>
          <w:color w:val="auto"/>
          <w:kern w:val="0"/>
          <w:szCs w:val="21"/>
          <w:highlight w:val="none"/>
        </w:rPr>
        <w:t>承诺</w:t>
      </w:r>
    </w:p>
    <w:p w14:paraId="0CB055F9">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（8）其他资料</w:t>
      </w:r>
    </w:p>
    <w:p w14:paraId="779DB2D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3.1.2  投标人没有组成联合体的，投标文件不包括本章第3.1.1（3）目所指的联合体协议书。</w:t>
      </w:r>
    </w:p>
    <w:p w14:paraId="4F6A3A81">
      <w:pPr>
        <w:pStyle w:val="5"/>
        <w:snapToGrid w:val="0"/>
        <w:spacing w:before="0" w:after="0" w:line="360" w:lineRule="auto"/>
        <w:rPr>
          <w:rFonts w:ascii="宋体" w:hAnsi="宋体"/>
          <w:b w:val="0"/>
          <w:snapToGrid w:val="0"/>
          <w:color w:val="auto"/>
          <w:sz w:val="24"/>
          <w:szCs w:val="24"/>
          <w:highlight w:val="none"/>
        </w:rPr>
      </w:pPr>
      <w:bookmarkStart w:id="321" w:name="_Toc287607766"/>
      <w:bookmarkStart w:id="322" w:name="_Toc58860086"/>
      <w:bookmarkStart w:id="323" w:name="_Toc287620705"/>
      <w:bookmarkStart w:id="324" w:name="_Toc200513146"/>
      <w:bookmarkStart w:id="325" w:name="_Toc509218730"/>
      <w:bookmarkStart w:id="326" w:name="_Toc224103337"/>
      <w:bookmarkStart w:id="327" w:name="_Toc430530455"/>
      <w:bookmarkStart w:id="328" w:name="_Toc277082572"/>
      <w:r>
        <w:rPr>
          <w:rFonts w:ascii="宋体" w:hAnsi="宋体"/>
          <w:b w:val="0"/>
          <w:snapToGrid w:val="0"/>
          <w:color w:val="auto"/>
          <w:sz w:val="24"/>
          <w:szCs w:val="24"/>
          <w:highlight w:val="none"/>
        </w:rPr>
        <w:t>3.2  投标报价</w:t>
      </w:r>
      <w:bookmarkEnd w:id="321"/>
      <w:bookmarkEnd w:id="322"/>
      <w:bookmarkEnd w:id="323"/>
      <w:bookmarkEnd w:id="324"/>
      <w:bookmarkEnd w:id="325"/>
      <w:bookmarkEnd w:id="326"/>
      <w:bookmarkEnd w:id="327"/>
      <w:bookmarkEnd w:id="328"/>
    </w:p>
    <w:p w14:paraId="100DB8D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3.2.1 投标人应按第八章“投标文件格式”的要求填写价格清单。</w:t>
      </w:r>
    </w:p>
    <w:p w14:paraId="18BE4AB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3.2.2 投标人应充分了解施工场地的</w:t>
      </w:r>
      <w:r>
        <w:rPr>
          <w:rFonts w:ascii="宋体" w:hAnsi="宋体"/>
          <w:snapToGrid w:val="0"/>
          <w:color w:val="auto"/>
          <w:kern w:val="0"/>
          <w:szCs w:val="21"/>
          <w:highlight w:val="none"/>
        </w:rPr>
        <w:t>位置、周边</w:t>
      </w:r>
      <w:r>
        <w:rPr>
          <w:rFonts w:hint="eastAsia" w:ascii="宋体" w:hAnsi="宋体"/>
          <w:snapToGrid w:val="0"/>
          <w:color w:val="auto"/>
          <w:kern w:val="0"/>
          <w:szCs w:val="21"/>
          <w:highlight w:val="none"/>
        </w:rPr>
        <w:t>环境</w:t>
      </w:r>
      <w:r>
        <w:rPr>
          <w:rFonts w:ascii="宋体" w:hAnsi="宋体"/>
          <w:snapToGrid w:val="0"/>
          <w:color w:val="auto"/>
          <w:kern w:val="0"/>
          <w:szCs w:val="21"/>
          <w:highlight w:val="none"/>
        </w:rPr>
        <w:t>、道路、装卸、保管、安装限制</w:t>
      </w:r>
      <w:r>
        <w:rPr>
          <w:rFonts w:hint="eastAsia" w:ascii="宋体" w:hAnsi="宋体"/>
          <w:snapToGrid w:val="0"/>
          <w:color w:val="auto"/>
          <w:kern w:val="0"/>
          <w:szCs w:val="21"/>
          <w:highlight w:val="none"/>
        </w:rPr>
        <w:t>以</w:t>
      </w:r>
      <w:r>
        <w:rPr>
          <w:rFonts w:ascii="宋体" w:hAnsi="宋体"/>
          <w:snapToGrid w:val="0"/>
          <w:color w:val="auto"/>
          <w:kern w:val="0"/>
          <w:szCs w:val="21"/>
          <w:highlight w:val="none"/>
        </w:rPr>
        <w:t>及影响</w:t>
      </w:r>
      <w:r>
        <w:rPr>
          <w:rFonts w:hint="eastAsia" w:ascii="宋体" w:hAnsi="宋体"/>
          <w:snapToGrid w:val="0"/>
          <w:color w:val="auto"/>
          <w:kern w:val="0"/>
          <w:szCs w:val="21"/>
          <w:highlight w:val="none"/>
        </w:rPr>
        <w:t>投标报价的其他要素。投标人</w:t>
      </w:r>
      <w:r>
        <w:rPr>
          <w:rFonts w:ascii="宋体" w:hAnsi="宋体"/>
          <w:snapToGrid w:val="0"/>
          <w:color w:val="auto"/>
          <w:kern w:val="0"/>
          <w:szCs w:val="21"/>
          <w:highlight w:val="none"/>
        </w:rPr>
        <w:t>根据</w:t>
      </w:r>
      <w:r>
        <w:rPr>
          <w:rFonts w:hint="eastAsia" w:ascii="宋体" w:hAnsi="宋体"/>
          <w:snapToGrid w:val="0"/>
          <w:color w:val="auto"/>
          <w:kern w:val="0"/>
          <w:szCs w:val="21"/>
          <w:highlight w:val="none"/>
        </w:rPr>
        <w:t>投标</w:t>
      </w:r>
      <w:r>
        <w:rPr>
          <w:rFonts w:ascii="宋体" w:hAnsi="宋体"/>
          <w:snapToGrid w:val="0"/>
          <w:color w:val="auto"/>
          <w:kern w:val="0"/>
          <w:szCs w:val="21"/>
          <w:highlight w:val="none"/>
        </w:rPr>
        <w:t>设计</w:t>
      </w:r>
      <w:r>
        <w:rPr>
          <w:rFonts w:hint="eastAsia" w:ascii="宋体" w:hAnsi="宋体"/>
          <w:snapToGrid w:val="0"/>
          <w:color w:val="auto"/>
          <w:kern w:val="0"/>
          <w:szCs w:val="21"/>
          <w:highlight w:val="none"/>
        </w:rPr>
        <w:t>，结合</w:t>
      </w:r>
      <w:r>
        <w:rPr>
          <w:rFonts w:ascii="宋体" w:hAnsi="宋体"/>
          <w:snapToGrid w:val="0"/>
          <w:color w:val="auto"/>
          <w:kern w:val="0"/>
          <w:szCs w:val="21"/>
          <w:highlight w:val="none"/>
        </w:rPr>
        <w:t>市场情况进行投标报价。</w:t>
      </w:r>
    </w:p>
    <w:p w14:paraId="32D4499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3.2.3 投标人在投标截止时间前修改投标函中的投标报价总额，应同时修改投标文件“价格清单”中的相应报价，投标报价总额为各分项金额之和。此修改须符合本章第4.3款的有关要求。</w:t>
      </w:r>
    </w:p>
    <w:p w14:paraId="59F9BA4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3.2.4 招标人设有最高投标限价的，投标人的投标报价不得超过最高投标限价，最高投标限价或其计算方法在投标人须知前附表中载明。</w:t>
      </w:r>
    </w:p>
    <w:p w14:paraId="2468E27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3.2.5 投标报价的其他要求见投标人须知前附表。</w:t>
      </w:r>
    </w:p>
    <w:p w14:paraId="4462868A">
      <w:pPr>
        <w:pStyle w:val="5"/>
        <w:snapToGrid w:val="0"/>
        <w:spacing w:before="0" w:after="0" w:line="360" w:lineRule="auto"/>
        <w:rPr>
          <w:rFonts w:ascii="宋体" w:hAnsi="宋体"/>
          <w:b w:val="0"/>
          <w:snapToGrid w:val="0"/>
          <w:color w:val="auto"/>
          <w:sz w:val="24"/>
          <w:szCs w:val="24"/>
          <w:highlight w:val="none"/>
        </w:rPr>
      </w:pPr>
      <w:bookmarkStart w:id="329" w:name="_Toc200513147"/>
      <w:bookmarkStart w:id="330" w:name="_Toc430530456"/>
      <w:bookmarkStart w:id="331" w:name="_Toc58860087"/>
      <w:bookmarkStart w:id="332" w:name="_Toc277082573"/>
      <w:bookmarkStart w:id="333" w:name="_Toc287607767"/>
      <w:bookmarkStart w:id="334" w:name="_Toc509218731"/>
      <w:bookmarkStart w:id="335" w:name="_Toc224103338"/>
      <w:bookmarkStart w:id="336" w:name="_Toc287620706"/>
      <w:r>
        <w:rPr>
          <w:rFonts w:ascii="宋体" w:hAnsi="宋体"/>
          <w:b w:val="0"/>
          <w:snapToGrid w:val="0"/>
          <w:color w:val="auto"/>
          <w:sz w:val="24"/>
          <w:szCs w:val="24"/>
          <w:highlight w:val="none"/>
        </w:rPr>
        <w:t>3.3  投标有效期</w:t>
      </w:r>
      <w:bookmarkEnd w:id="329"/>
      <w:bookmarkEnd w:id="330"/>
      <w:bookmarkEnd w:id="331"/>
      <w:bookmarkEnd w:id="332"/>
      <w:bookmarkEnd w:id="333"/>
      <w:bookmarkEnd w:id="334"/>
      <w:bookmarkEnd w:id="335"/>
      <w:bookmarkEnd w:id="336"/>
    </w:p>
    <w:p w14:paraId="3D682E2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3.3.1  </w:t>
      </w:r>
      <w:r>
        <w:rPr>
          <w:rFonts w:hint="eastAsia"/>
          <w:color w:val="auto"/>
          <w:highlight w:val="none"/>
        </w:rPr>
        <w:t>除投标人须知前附表另有规定外，投标有效期为120天。</w:t>
      </w:r>
    </w:p>
    <w:p w14:paraId="1B84A29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3.3.2  </w:t>
      </w:r>
      <w:r>
        <w:rPr>
          <w:rFonts w:hint="eastAsia"/>
          <w:color w:val="auto"/>
          <w:highlight w:val="none"/>
        </w:rPr>
        <w:t>在投标有效期内，投标人撤销或修改其投标文件的，应承担招标文件和法律规定的责任。</w:t>
      </w:r>
    </w:p>
    <w:p w14:paraId="4D68978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3.3.</w:t>
      </w:r>
      <w:r>
        <w:rPr>
          <w:rFonts w:hint="eastAsia" w:ascii="宋体" w:hAnsi="宋体"/>
          <w:snapToGrid w:val="0"/>
          <w:color w:val="auto"/>
          <w:kern w:val="0"/>
          <w:szCs w:val="21"/>
          <w:highlight w:val="none"/>
        </w:rPr>
        <w:t>3</w:t>
      </w:r>
      <w:r>
        <w:rPr>
          <w:rFonts w:ascii="宋体" w:hAnsi="宋体"/>
          <w:snapToGrid w:val="0"/>
          <w:color w:val="auto"/>
          <w:kern w:val="0"/>
          <w:szCs w:val="21"/>
          <w:highlight w:val="none"/>
        </w:rPr>
        <w:t xml:space="preserve">  出现特殊情况需要延长投标有效期的，招标人以书面形式通知所有投标人延长投标有效期。投标人同意延长的，应相应延长其投标保函的有效期，但不得要求或被允许修改或撤销其投标文件；投标人拒绝延长的，其投标失效，但投标人有权收回其投标保函。</w:t>
      </w:r>
      <w:r>
        <w:rPr>
          <w:rFonts w:hint="eastAsia" w:ascii="宋体" w:hAnsi="宋体"/>
          <w:snapToGrid w:val="0"/>
          <w:color w:val="auto"/>
          <w:kern w:val="0"/>
          <w:szCs w:val="21"/>
          <w:highlight w:val="none"/>
        </w:rPr>
        <w:t>（适用于投标保证金采用投标保函形式的）</w:t>
      </w:r>
    </w:p>
    <w:p w14:paraId="4F533007">
      <w:pPr>
        <w:autoSpaceDE w:val="0"/>
        <w:autoSpaceDN w:val="0"/>
        <w:adjustRightInd w:val="0"/>
        <w:snapToGrid w:val="0"/>
        <w:spacing w:line="360" w:lineRule="auto"/>
        <w:ind w:firstLine="420" w:firstLineChars="200"/>
        <w:rPr>
          <w:rFonts w:ascii="宋体" w:hAnsi="宋体" w:cs="MingLiU"/>
          <w:snapToGrid w:val="0"/>
          <w:color w:val="auto"/>
          <w:kern w:val="0"/>
          <w:szCs w:val="21"/>
          <w:highlight w:val="none"/>
        </w:rPr>
      </w:pPr>
      <w:r>
        <w:rPr>
          <w:rFonts w:hint="eastAsia" w:ascii="宋体" w:hAnsi="宋体" w:cs="MingLiU"/>
          <w:snapToGrid w:val="0"/>
          <w:color w:val="auto"/>
          <w:kern w:val="0"/>
          <w:szCs w:val="21"/>
          <w:highlight w:val="none"/>
        </w:rPr>
        <w:t>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适用于投标保证金采用银行转账形式的）</w:t>
      </w:r>
    </w:p>
    <w:p w14:paraId="3D96E6AC">
      <w:pPr>
        <w:pStyle w:val="5"/>
        <w:keepNext w:val="0"/>
        <w:keepLines w:val="0"/>
        <w:snapToGrid w:val="0"/>
        <w:spacing w:before="0" w:after="0" w:line="360" w:lineRule="auto"/>
        <w:rPr>
          <w:rFonts w:ascii="宋体" w:hAnsi="宋体"/>
          <w:b w:val="0"/>
          <w:snapToGrid w:val="0"/>
          <w:color w:val="auto"/>
          <w:sz w:val="24"/>
          <w:szCs w:val="24"/>
          <w:highlight w:val="none"/>
        </w:rPr>
      </w:pPr>
      <w:bookmarkStart w:id="337" w:name="_Toc287607768"/>
      <w:bookmarkStart w:id="338" w:name="_Toc224103339"/>
      <w:bookmarkStart w:id="339" w:name="_Toc509218732"/>
      <w:bookmarkStart w:id="340" w:name="_Toc200513148"/>
      <w:bookmarkStart w:id="341" w:name="_Toc430530457"/>
      <w:bookmarkStart w:id="342" w:name="_Toc287620707"/>
      <w:bookmarkStart w:id="343" w:name="_Toc277082574"/>
      <w:bookmarkStart w:id="344" w:name="_Toc58860088"/>
      <w:r>
        <w:rPr>
          <w:rFonts w:ascii="宋体" w:hAnsi="宋体"/>
          <w:b w:val="0"/>
          <w:snapToGrid w:val="0"/>
          <w:color w:val="auto"/>
          <w:sz w:val="24"/>
          <w:szCs w:val="24"/>
          <w:highlight w:val="none"/>
        </w:rPr>
        <w:t>3.4  投标</w:t>
      </w:r>
      <w:bookmarkEnd w:id="337"/>
      <w:bookmarkEnd w:id="338"/>
      <w:bookmarkEnd w:id="339"/>
      <w:bookmarkEnd w:id="340"/>
      <w:bookmarkEnd w:id="341"/>
      <w:bookmarkEnd w:id="342"/>
      <w:bookmarkEnd w:id="343"/>
      <w:r>
        <w:rPr>
          <w:rFonts w:hint="eastAsia" w:ascii="宋体" w:hAnsi="宋体"/>
          <w:b w:val="0"/>
          <w:snapToGrid w:val="0"/>
          <w:color w:val="auto"/>
          <w:sz w:val="24"/>
          <w:szCs w:val="24"/>
          <w:highlight w:val="none"/>
        </w:rPr>
        <w:t>保证金</w:t>
      </w:r>
      <w:bookmarkEnd w:id="344"/>
    </w:p>
    <w:p w14:paraId="035CCCC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3.4.1  投标人在递交投标文件的同时，应按投标人须知前附表</w:t>
      </w:r>
      <w:r>
        <w:rPr>
          <w:rFonts w:hint="eastAsia" w:ascii="宋体" w:hAnsi="宋体"/>
          <w:snapToGrid w:val="0"/>
          <w:color w:val="auto"/>
          <w:kern w:val="0"/>
          <w:szCs w:val="21"/>
          <w:highlight w:val="none"/>
        </w:rPr>
        <w:t>的</w:t>
      </w:r>
      <w:r>
        <w:rPr>
          <w:rFonts w:ascii="宋体" w:hAnsi="宋体"/>
          <w:snapToGrid w:val="0"/>
          <w:color w:val="auto"/>
          <w:kern w:val="0"/>
          <w:szCs w:val="21"/>
          <w:highlight w:val="none"/>
        </w:rPr>
        <w:t>规定递交投标保证金，并作为其投标文件的组成部分。联合体投标的，其投标保证金由牵头人递交，并应符合投标人须知前附表的规定。</w:t>
      </w:r>
    </w:p>
    <w:p w14:paraId="5B2F2E1C">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3.4.2  投标人不按本章第 3.4.1 项要求提交投标保证金的，</w:t>
      </w:r>
      <w:r>
        <w:rPr>
          <w:rFonts w:hint="eastAsia"/>
          <w:color w:val="auto"/>
          <w:highlight w:val="none"/>
        </w:rPr>
        <w:t>评标委员会将否决其投标。</w:t>
      </w:r>
    </w:p>
    <w:p w14:paraId="3105BE18">
      <w:pPr>
        <w:autoSpaceDE w:val="0"/>
        <w:autoSpaceDN w:val="0"/>
        <w:adjustRightInd w:val="0"/>
        <w:snapToGrid w:val="0"/>
        <w:spacing w:line="360" w:lineRule="auto"/>
        <w:ind w:left="13" w:leftChars="6" w:firstLine="405" w:firstLineChars="193"/>
        <w:rPr>
          <w:rFonts w:ascii="宋体" w:hAnsi="宋体"/>
          <w:snapToGrid w:val="0"/>
          <w:color w:val="auto"/>
          <w:kern w:val="0"/>
          <w:szCs w:val="21"/>
          <w:highlight w:val="none"/>
        </w:rPr>
      </w:pPr>
      <w:r>
        <w:rPr>
          <w:rFonts w:ascii="宋体" w:hAnsi="宋体"/>
          <w:snapToGrid w:val="0"/>
          <w:color w:val="auto"/>
          <w:kern w:val="0"/>
          <w:szCs w:val="21"/>
          <w:highlight w:val="none"/>
        </w:rPr>
        <w:t>3.4.3  投标保证金（投标保函）退还：见投标人须知前附表</w:t>
      </w:r>
      <w:r>
        <w:rPr>
          <w:rFonts w:ascii="宋体" w:hAnsi="宋体"/>
          <w:snapToGrid w:val="0"/>
          <w:color w:val="auto"/>
          <w:kern w:val="0"/>
          <w:position w:val="-2"/>
          <w:szCs w:val="21"/>
          <w:highlight w:val="none"/>
        </w:rPr>
        <w:t>。</w:t>
      </w:r>
    </w:p>
    <w:p w14:paraId="4A0DA41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3.4.4  有下列情形之一的，投标保证金将不予退还：</w:t>
      </w:r>
    </w:p>
    <w:p w14:paraId="196A027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（1）投标人在规定的投标有效期内撤销或修改其投标文件；</w:t>
      </w:r>
    </w:p>
    <w:p w14:paraId="00B2BB8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（2）中标人在收到中标通知书后，</w:t>
      </w:r>
      <w:r>
        <w:rPr>
          <w:rFonts w:hint="eastAsia"/>
          <w:color w:val="auto"/>
          <w:highlight w:val="none"/>
        </w:rPr>
        <w:t>无正当理由拒签合同或未按招标文件规定提交低价风险担保（适用于经评审的最低投标价法）或履约担保；</w:t>
      </w:r>
    </w:p>
    <w:p w14:paraId="7796334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（3）违反本章第9.2</w:t>
      </w:r>
      <w:r>
        <w:rPr>
          <w:rFonts w:hint="eastAsia" w:ascii="宋体" w:hAnsi="宋体"/>
          <w:snapToGrid w:val="0"/>
          <w:color w:val="auto"/>
          <w:kern w:val="0"/>
          <w:szCs w:val="21"/>
          <w:highlight w:val="none"/>
        </w:rPr>
        <w:t>款</w:t>
      </w:r>
      <w:r>
        <w:rPr>
          <w:rFonts w:ascii="宋体" w:hAnsi="宋体"/>
          <w:snapToGrid w:val="0"/>
          <w:color w:val="auto"/>
          <w:kern w:val="0"/>
          <w:szCs w:val="21"/>
          <w:highlight w:val="none"/>
        </w:rPr>
        <w:t>对投标人的纪律要求的；</w:t>
      </w:r>
    </w:p>
    <w:p w14:paraId="7678905E">
      <w:pPr>
        <w:autoSpaceDE w:val="0"/>
        <w:autoSpaceDN w:val="0"/>
        <w:adjustRightInd w:val="0"/>
        <w:snapToGrid w:val="0"/>
        <w:spacing w:line="360" w:lineRule="auto"/>
        <w:ind w:firstLine="420" w:firstLineChars="200"/>
        <w:rPr>
          <w:color w:val="auto"/>
          <w:highlight w:val="none"/>
        </w:rPr>
      </w:pPr>
      <w:r>
        <w:rPr>
          <w:rFonts w:hint="eastAsia" w:ascii="宋体" w:hAnsi="宋体"/>
          <w:snapToGrid w:val="0"/>
          <w:color w:val="auto"/>
          <w:kern w:val="0"/>
          <w:position w:val="-2"/>
          <w:szCs w:val="21"/>
          <w:highlight w:val="none"/>
        </w:rPr>
        <w:t>（4）</w:t>
      </w:r>
      <w:r>
        <w:rPr>
          <w:rFonts w:hint="eastAsia" w:ascii="宋体" w:hAnsi="宋体"/>
          <w:color w:val="auto"/>
          <w:kern w:val="0"/>
          <w:szCs w:val="21"/>
          <w:highlight w:val="none"/>
        </w:rPr>
        <w:t>因投标人原因未完成解密工作的；</w:t>
      </w:r>
    </w:p>
    <w:p w14:paraId="2371FDD9">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w:t>
      </w:r>
      <w:r>
        <w:rPr>
          <w:rFonts w:hint="eastAsia" w:ascii="宋体" w:hAnsi="宋体"/>
          <w:snapToGrid w:val="0"/>
          <w:color w:val="auto"/>
          <w:kern w:val="0"/>
          <w:szCs w:val="21"/>
          <w:highlight w:val="none"/>
        </w:rPr>
        <w:t>5</w:t>
      </w:r>
      <w:r>
        <w:rPr>
          <w:rFonts w:ascii="宋体" w:hAnsi="宋体"/>
          <w:snapToGrid w:val="0"/>
          <w:color w:val="auto"/>
          <w:kern w:val="0"/>
          <w:szCs w:val="21"/>
          <w:highlight w:val="none"/>
        </w:rPr>
        <w:t>）法律法规规定的其他情形。</w:t>
      </w:r>
    </w:p>
    <w:p w14:paraId="7D1BDE8D">
      <w:pPr>
        <w:tabs>
          <w:tab w:val="left" w:pos="611"/>
          <w:tab w:val="left" w:pos="669"/>
        </w:tabs>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3.4.5</w:t>
      </w:r>
      <w:r>
        <w:rPr>
          <w:rFonts w:hint="eastAsia" w:ascii="宋体" w:hAnsi="宋体"/>
          <w:snapToGrid w:val="0"/>
          <w:color w:val="auto"/>
          <w:kern w:val="0"/>
          <w:szCs w:val="21"/>
          <w:highlight w:val="none"/>
        </w:rPr>
        <w:t xml:space="preserve">  投标保证金的其他要求：</w:t>
      </w:r>
    </w:p>
    <w:p w14:paraId="4463F32C">
      <w:pPr>
        <w:autoSpaceDE w:val="0"/>
        <w:autoSpaceDN w:val="0"/>
        <w:adjustRightInd w:val="0"/>
        <w:snapToGrid w:val="0"/>
        <w:spacing w:line="360" w:lineRule="auto"/>
        <w:ind w:firstLine="420" w:firstLineChars="200"/>
        <w:rPr>
          <w:rFonts w:ascii="宋体" w:hAnsi="宋体"/>
          <w:color w:val="auto"/>
          <w:kern w:val="0"/>
          <w:highlight w:val="none"/>
        </w:rPr>
      </w:pPr>
      <w:r>
        <w:rPr>
          <w:rFonts w:ascii="宋体" w:hAnsi="宋体"/>
          <w:color w:val="auto"/>
          <w:kern w:val="0"/>
          <w:highlight w:val="none"/>
        </w:rPr>
        <w:t>（1）投标保证金为无条件担保；</w:t>
      </w:r>
    </w:p>
    <w:p w14:paraId="3FED8689">
      <w:pPr>
        <w:autoSpaceDE w:val="0"/>
        <w:autoSpaceDN w:val="0"/>
        <w:adjustRightInd w:val="0"/>
        <w:snapToGrid w:val="0"/>
        <w:spacing w:line="360" w:lineRule="auto"/>
        <w:ind w:firstLine="420" w:firstLineChars="200"/>
        <w:rPr>
          <w:rFonts w:ascii="宋体" w:hAnsi="宋体"/>
          <w:color w:val="auto"/>
          <w:kern w:val="0"/>
          <w:highlight w:val="none"/>
        </w:rPr>
      </w:pPr>
      <w:r>
        <w:rPr>
          <w:rFonts w:ascii="宋体" w:hAnsi="宋体"/>
          <w:color w:val="auto"/>
          <w:kern w:val="0"/>
          <w:highlight w:val="none"/>
        </w:rPr>
        <w:t>（2）投标保证金的受益人为招标人</w:t>
      </w:r>
      <w:r>
        <w:rPr>
          <w:rFonts w:hint="eastAsia" w:ascii="宋体" w:hAnsi="宋体"/>
          <w:color w:val="auto"/>
          <w:kern w:val="0"/>
          <w:highlight w:val="none"/>
        </w:rPr>
        <w:t>。</w:t>
      </w:r>
    </w:p>
    <w:p w14:paraId="310CF4F3">
      <w:pPr>
        <w:pStyle w:val="5"/>
        <w:keepNext w:val="0"/>
        <w:keepLines w:val="0"/>
        <w:snapToGrid w:val="0"/>
        <w:spacing w:before="0" w:after="0" w:line="360" w:lineRule="auto"/>
        <w:rPr>
          <w:rFonts w:ascii="宋体" w:hAnsi="宋体"/>
          <w:b w:val="0"/>
          <w:snapToGrid w:val="0"/>
          <w:color w:val="auto"/>
          <w:sz w:val="24"/>
          <w:szCs w:val="24"/>
          <w:highlight w:val="none"/>
        </w:rPr>
      </w:pPr>
      <w:bookmarkStart w:id="345" w:name="_Toc224103340"/>
      <w:bookmarkStart w:id="346" w:name="_Toc287620708"/>
      <w:bookmarkStart w:id="347" w:name="_Toc509218733"/>
      <w:bookmarkStart w:id="348" w:name="_Toc277082575"/>
      <w:bookmarkStart w:id="349" w:name="_Toc200513149"/>
      <w:bookmarkStart w:id="350" w:name="_Toc287607769"/>
      <w:bookmarkStart w:id="351" w:name="_Toc430530458"/>
      <w:bookmarkStart w:id="352" w:name="_Toc58860089"/>
      <w:r>
        <w:rPr>
          <w:rFonts w:ascii="宋体" w:hAnsi="宋体"/>
          <w:b w:val="0"/>
          <w:snapToGrid w:val="0"/>
          <w:color w:val="auto"/>
          <w:sz w:val="24"/>
          <w:szCs w:val="24"/>
          <w:highlight w:val="none"/>
        </w:rPr>
        <w:t>3.5</w:t>
      </w:r>
      <w:r>
        <w:rPr>
          <w:rFonts w:hint="eastAsia" w:ascii="宋体" w:hAnsi="宋体"/>
          <w:b w:val="0"/>
          <w:snapToGrid w:val="0"/>
          <w:color w:val="auto"/>
          <w:sz w:val="24"/>
          <w:szCs w:val="24"/>
          <w:highlight w:val="none"/>
        </w:rPr>
        <w:t>A</w:t>
      </w:r>
      <w:r>
        <w:rPr>
          <w:rFonts w:ascii="宋体" w:hAnsi="宋体"/>
          <w:b w:val="0"/>
          <w:snapToGrid w:val="0"/>
          <w:color w:val="auto"/>
          <w:sz w:val="24"/>
          <w:szCs w:val="24"/>
          <w:highlight w:val="none"/>
        </w:rPr>
        <w:t xml:space="preserve">  资格审查资料</w:t>
      </w:r>
      <w:bookmarkEnd w:id="345"/>
      <w:bookmarkEnd w:id="346"/>
      <w:bookmarkEnd w:id="347"/>
      <w:bookmarkEnd w:id="348"/>
      <w:bookmarkEnd w:id="349"/>
      <w:bookmarkEnd w:id="350"/>
      <w:bookmarkEnd w:id="351"/>
      <w:bookmarkEnd w:id="352"/>
    </w:p>
    <w:p w14:paraId="627BCE5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color w:val="auto"/>
          <w:highlight w:val="none"/>
        </w:rPr>
        <w:t>投标人在递交投标文件前，发生可能影响其投标资格的新情况的，应更新或补充其在申请资格预审时提供的资料，以证实其各项资格条件仍能继续满足资格预审文件的要求，且没有实质性降低。</w:t>
      </w:r>
    </w:p>
    <w:p w14:paraId="18378965">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[提示：适用于已进行资格预审的。]</w:t>
      </w:r>
    </w:p>
    <w:p w14:paraId="17D5EBD2">
      <w:pPr>
        <w:pStyle w:val="5"/>
        <w:keepNext w:val="0"/>
        <w:keepLines w:val="0"/>
        <w:snapToGrid w:val="0"/>
        <w:spacing w:before="0" w:after="0" w:line="360" w:lineRule="auto"/>
        <w:rPr>
          <w:rFonts w:ascii="宋体" w:hAnsi="宋体"/>
          <w:b w:val="0"/>
          <w:snapToGrid w:val="0"/>
          <w:color w:val="auto"/>
          <w:sz w:val="24"/>
          <w:szCs w:val="24"/>
          <w:highlight w:val="none"/>
        </w:rPr>
      </w:pPr>
      <w:bookmarkStart w:id="353" w:name="_Toc200513150"/>
      <w:bookmarkStart w:id="354" w:name="_Toc287607770"/>
      <w:bookmarkStart w:id="355" w:name="_Toc277082576"/>
      <w:bookmarkStart w:id="356" w:name="_Toc224103341"/>
      <w:bookmarkStart w:id="357" w:name="_Toc509218734"/>
      <w:bookmarkStart w:id="358" w:name="_Toc58860090"/>
      <w:bookmarkStart w:id="359" w:name="_Toc287620709"/>
      <w:bookmarkStart w:id="360" w:name="_Toc430530459"/>
      <w:r>
        <w:rPr>
          <w:rFonts w:ascii="宋体" w:hAnsi="宋体"/>
          <w:b w:val="0"/>
          <w:snapToGrid w:val="0"/>
          <w:color w:val="auto"/>
          <w:sz w:val="24"/>
          <w:szCs w:val="24"/>
          <w:highlight w:val="none"/>
        </w:rPr>
        <w:t>3.5</w:t>
      </w:r>
      <w:r>
        <w:rPr>
          <w:rFonts w:hint="eastAsia" w:ascii="宋体" w:hAnsi="宋体"/>
          <w:b w:val="0"/>
          <w:snapToGrid w:val="0"/>
          <w:color w:val="auto"/>
          <w:sz w:val="24"/>
          <w:szCs w:val="24"/>
          <w:highlight w:val="none"/>
        </w:rPr>
        <w:t>B</w:t>
      </w:r>
      <w:r>
        <w:rPr>
          <w:rFonts w:ascii="宋体" w:hAnsi="宋体"/>
          <w:b w:val="0"/>
          <w:snapToGrid w:val="0"/>
          <w:color w:val="auto"/>
          <w:sz w:val="24"/>
          <w:szCs w:val="24"/>
          <w:highlight w:val="none"/>
        </w:rPr>
        <w:t xml:space="preserve">  资格审查资料</w:t>
      </w:r>
      <w:bookmarkEnd w:id="353"/>
      <w:bookmarkEnd w:id="354"/>
      <w:bookmarkEnd w:id="355"/>
      <w:bookmarkEnd w:id="356"/>
      <w:bookmarkEnd w:id="357"/>
      <w:bookmarkEnd w:id="358"/>
      <w:bookmarkEnd w:id="359"/>
      <w:bookmarkEnd w:id="360"/>
    </w:p>
    <w:p w14:paraId="24CC088D">
      <w:pPr>
        <w:autoSpaceDE w:val="0"/>
        <w:autoSpaceDN w:val="0"/>
        <w:adjustRightInd w:val="0"/>
        <w:snapToGrid w:val="0"/>
        <w:spacing w:line="360" w:lineRule="auto"/>
        <w:ind w:left="103" w:leftChars="49" w:right="37" w:firstLine="420" w:firstLineChars="200"/>
        <w:rPr>
          <w:rFonts w:ascii="宋体" w:hAnsi="宋体"/>
          <w:color w:val="auto"/>
          <w:szCs w:val="21"/>
          <w:highlight w:val="none"/>
        </w:rPr>
      </w:pPr>
      <w:r>
        <w:rPr>
          <w:rFonts w:ascii="宋体" w:hAnsi="宋体"/>
          <w:color w:val="auto"/>
          <w:szCs w:val="21"/>
          <w:highlight w:val="none"/>
        </w:rPr>
        <w:t>投标人</w:t>
      </w:r>
      <w:r>
        <w:rPr>
          <w:rFonts w:hint="eastAsia" w:ascii="宋体" w:hAnsi="宋体"/>
          <w:color w:val="auto"/>
          <w:szCs w:val="21"/>
          <w:highlight w:val="none"/>
        </w:rPr>
        <w:t>应附</w:t>
      </w:r>
      <w:r>
        <w:rPr>
          <w:rFonts w:hint="eastAsia" w:ascii="宋体" w:hAnsi="宋体"/>
          <w:color w:val="auto"/>
          <w:kern w:val="0"/>
          <w:szCs w:val="21"/>
          <w:highlight w:val="none"/>
        </w:rPr>
        <w:t>投标人须知前附表第1</w:t>
      </w:r>
      <w:r>
        <w:rPr>
          <w:rFonts w:ascii="宋体" w:hAnsi="宋体"/>
          <w:color w:val="auto"/>
          <w:kern w:val="0"/>
          <w:szCs w:val="21"/>
          <w:highlight w:val="none"/>
        </w:rPr>
        <w:t>.4.1项</w:t>
      </w:r>
      <w:r>
        <w:rPr>
          <w:rFonts w:hint="eastAsia" w:ascii="宋体" w:hAnsi="宋体"/>
          <w:color w:val="auto"/>
          <w:kern w:val="0"/>
          <w:szCs w:val="21"/>
          <w:highlight w:val="none"/>
        </w:rPr>
        <w:t>中要求的相关证明材料</w:t>
      </w:r>
      <w:r>
        <w:rPr>
          <w:rFonts w:ascii="宋体" w:hAnsi="宋体"/>
          <w:color w:val="auto"/>
          <w:szCs w:val="21"/>
          <w:highlight w:val="none"/>
        </w:rPr>
        <w:t>。</w:t>
      </w:r>
    </w:p>
    <w:p w14:paraId="7855699D">
      <w:pPr>
        <w:autoSpaceDE w:val="0"/>
        <w:autoSpaceDN w:val="0"/>
        <w:adjustRightInd w:val="0"/>
        <w:snapToGrid w:val="0"/>
        <w:spacing w:line="360" w:lineRule="auto"/>
        <w:ind w:left="103" w:leftChars="49" w:right="37"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联合体投标的，详见投标人须知前附表联合体投标相关内容。</w:t>
      </w:r>
    </w:p>
    <w:p w14:paraId="635C7022">
      <w:pPr>
        <w:autoSpaceDE w:val="0"/>
        <w:autoSpaceDN w:val="0"/>
        <w:adjustRightInd w:val="0"/>
        <w:snapToGrid w:val="0"/>
        <w:spacing w:line="360" w:lineRule="auto"/>
        <w:ind w:firstLine="420" w:firstLineChars="200"/>
        <w:rPr>
          <w:rFonts w:ascii="宋体" w:hAnsi="宋体"/>
          <w:i/>
          <w:snapToGrid w:val="0"/>
          <w:color w:val="auto"/>
          <w:kern w:val="0"/>
          <w:szCs w:val="21"/>
          <w:highlight w:val="none"/>
        </w:rPr>
      </w:pPr>
      <w:r>
        <w:rPr>
          <w:rFonts w:hint="eastAsia" w:ascii="宋体" w:hAnsi="宋体"/>
          <w:i/>
          <w:snapToGrid w:val="0"/>
          <w:color w:val="auto"/>
          <w:kern w:val="0"/>
          <w:szCs w:val="21"/>
          <w:highlight w:val="none"/>
        </w:rPr>
        <w:t>[提示：适用于未进行资格预审的。]</w:t>
      </w:r>
    </w:p>
    <w:p w14:paraId="0D01F829">
      <w:pPr>
        <w:pStyle w:val="5"/>
        <w:snapToGrid w:val="0"/>
        <w:spacing w:before="0" w:after="0" w:line="360" w:lineRule="auto"/>
        <w:rPr>
          <w:rFonts w:ascii="宋体" w:hAnsi="宋体"/>
          <w:b w:val="0"/>
          <w:snapToGrid w:val="0"/>
          <w:color w:val="auto"/>
          <w:sz w:val="24"/>
          <w:szCs w:val="24"/>
          <w:highlight w:val="none"/>
        </w:rPr>
      </w:pPr>
      <w:bookmarkStart w:id="361" w:name="_Toc430530460"/>
      <w:bookmarkStart w:id="362" w:name="_Toc509218735"/>
      <w:bookmarkStart w:id="363" w:name="_Toc224103342"/>
      <w:bookmarkStart w:id="364" w:name="_Toc287620710"/>
      <w:bookmarkStart w:id="365" w:name="_Toc200513151"/>
      <w:bookmarkStart w:id="366" w:name="_Toc277082577"/>
      <w:bookmarkStart w:id="367" w:name="_Toc58860091"/>
      <w:bookmarkStart w:id="368" w:name="_Toc287607771"/>
      <w:r>
        <w:rPr>
          <w:rFonts w:ascii="宋体" w:hAnsi="宋体"/>
          <w:b w:val="0"/>
          <w:snapToGrid w:val="0"/>
          <w:color w:val="auto"/>
          <w:sz w:val="24"/>
          <w:szCs w:val="24"/>
          <w:highlight w:val="none"/>
        </w:rPr>
        <w:t>3.6  备选投标方案</w:t>
      </w:r>
      <w:bookmarkEnd w:id="361"/>
      <w:bookmarkEnd w:id="362"/>
      <w:bookmarkEnd w:id="363"/>
      <w:bookmarkEnd w:id="364"/>
      <w:bookmarkEnd w:id="365"/>
      <w:bookmarkEnd w:id="366"/>
      <w:bookmarkEnd w:id="367"/>
      <w:bookmarkEnd w:id="368"/>
    </w:p>
    <w:p w14:paraId="05F9739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4EAC8B31">
      <w:pPr>
        <w:pStyle w:val="5"/>
        <w:snapToGrid w:val="0"/>
        <w:spacing w:before="0" w:after="0" w:line="360" w:lineRule="auto"/>
        <w:rPr>
          <w:rFonts w:ascii="宋体" w:hAnsi="宋体"/>
          <w:b w:val="0"/>
          <w:snapToGrid w:val="0"/>
          <w:color w:val="auto"/>
          <w:sz w:val="24"/>
          <w:szCs w:val="24"/>
          <w:highlight w:val="none"/>
        </w:rPr>
      </w:pPr>
      <w:bookmarkStart w:id="369" w:name="_Toc224103343"/>
      <w:bookmarkStart w:id="370" w:name="_Toc58860092"/>
      <w:bookmarkStart w:id="371" w:name="_Toc509218736"/>
      <w:bookmarkStart w:id="372" w:name="_Toc287607772"/>
      <w:bookmarkStart w:id="373" w:name="_Toc277082578"/>
      <w:bookmarkStart w:id="374" w:name="_Toc430530461"/>
      <w:bookmarkStart w:id="375" w:name="_Toc200513152"/>
      <w:bookmarkStart w:id="376" w:name="_Toc287620711"/>
      <w:r>
        <w:rPr>
          <w:rFonts w:ascii="宋体" w:hAnsi="宋体"/>
          <w:b w:val="0"/>
          <w:snapToGrid w:val="0"/>
          <w:color w:val="auto"/>
          <w:sz w:val="24"/>
          <w:szCs w:val="24"/>
          <w:highlight w:val="none"/>
        </w:rPr>
        <w:t>3.7  投标文件的编制</w:t>
      </w:r>
      <w:bookmarkEnd w:id="369"/>
      <w:bookmarkEnd w:id="370"/>
      <w:bookmarkEnd w:id="371"/>
      <w:bookmarkEnd w:id="372"/>
      <w:bookmarkEnd w:id="373"/>
      <w:bookmarkEnd w:id="374"/>
      <w:bookmarkEnd w:id="375"/>
      <w:bookmarkEnd w:id="376"/>
    </w:p>
    <w:p w14:paraId="339ECB8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3.7.1  投标文件应按</w:t>
      </w:r>
      <w:r>
        <w:rPr>
          <w:rFonts w:hint="eastAsia" w:ascii="宋体" w:hAnsi="宋体"/>
          <w:snapToGrid w:val="0"/>
          <w:color w:val="auto"/>
          <w:kern w:val="0"/>
          <w:szCs w:val="21"/>
          <w:highlight w:val="none"/>
        </w:rPr>
        <w:t>第八章</w:t>
      </w:r>
      <w:r>
        <w:rPr>
          <w:rFonts w:ascii="宋体" w:hAnsi="宋体"/>
          <w:snapToGrid w:val="0"/>
          <w:color w:val="auto"/>
          <w:kern w:val="0"/>
          <w:szCs w:val="21"/>
          <w:highlight w:val="none"/>
        </w:rPr>
        <w:t>“投标文件格式”进行编写，如有必要，可以增加附页，作为投标文件的组成部分。其中，投标函附录在满足招标文件实质性要求的基础上，可以提出比招标文件要求更有利于招标人的承诺。</w:t>
      </w:r>
    </w:p>
    <w:p w14:paraId="7A7747C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3.7.2  </w:t>
      </w:r>
      <w:r>
        <w:rPr>
          <w:rFonts w:hint="eastAsia"/>
          <w:color w:val="auto"/>
          <w:highlight w:val="none"/>
        </w:rPr>
        <w:t>投标文件应当对招标文件有关</w:t>
      </w:r>
      <w:r>
        <w:rPr>
          <w:rFonts w:hint="eastAsia"/>
          <w:color w:val="auto"/>
          <w:szCs w:val="21"/>
          <w:highlight w:val="none"/>
        </w:rPr>
        <w:t>招标范围、投标有效期、工期、质量标准、发包人要求等实质性内容作出响应。</w:t>
      </w:r>
    </w:p>
    <w:p w14:paraId="615071FD">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position w:val="-2"/>
          <w:szCs w:val="21"/>
          <w:highlight w:val="none"/>
        </w:rPr>
        <w:t xml:space="preserve">3.7.3  </w:t>
      </w:r>
      <w:r>
        <w:rPr>
          <w:rFonts w:hint="eastAsia" w:ascii="宋体" w:hAnsi="宋体"/>
          <w:snapToGrid w:val="0"/>
          <w:color w:val="auto"/>
          <w:kern w:val="0"/>
          <w:position w:val="-2"/>
          <w:szCs w:val="21"/>
          <w:highlight w:val="none"/>
        </w:rPr>
        <w:t>投标文件的签字盖章要求：按本章投标人须知前附表第3.7.3项执行。</w:t>
      </w:r>
    </w:p>
    <w:p w14:paraId="3AC51A2D">
      <w:pPr>
        <w:autoSpaceDE w:val="0"/>
        <w:autoSpaceDN w:val="0"/>
        <w:adjustRightInd w:val="0"/>
        <w:snapToGrid w:val="0"/>
        <w:spacing w:line="360" w:lineRule="auto"/>
        <w:ind w:right="-164"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3.7.4  </w:t>
      </w:r>
      <w:r>
        <w:rPr>
          <w:rFonts w:hint="eastAsia" w:ascii="宋体" w:hAnsi="宋体"/>
          <w:color w:val="auto"/>
          <w:kern w:val="0"/>
          <w:szCs w:val="21"/>
          <w:highlight w:val="none"/>
        </w:rPr>
        <w:t>投标人网上提交加密投标文件一份</w:t>
      </w:r>
      <w:r>
        <w:rPr>
          <w:rFonts w:ascii="宋体" w:hAnsi="宋体"/>
          <w:color w:val="auto"/>
          <w:kern w:val="0"/>
          <w:szCs w:val="21"/>
          <w:highlight w:val="none"/>
        </w:rPr>
        <w:t>。</w:t>
      </w:r>
    </w:p>
    <w:p w14:paraId="216C157D">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3.7.5  投标文件</w:t>
      </w:r>
      <w:r>
        <w:rPr>
          <w:rFonts w:hint="eastAsia" w:ascii="宋体" w:hAnsi="宋体"/>
          <w:snapToGrid w:val="0"/>
          <w:color w:val="auto"/>
          <w:kern w:val="0"/>
          <w:szCs w:val="21"/>
          <w:highlight w:val="none"/>
        </w:rPr>
        <w:t>应按规定格式排版</w:t>
      </w:r>
      <w:r>
        <w:rPr>
          <w:rFonts w:ascii="宋体" w:hAnsi="宋体"/>
          <w:snapToGrid w:val="0"/>
          <w:color w:val="auto"/>
          <w:kern w:val="0"/>
          <w:szCs w:val="21"/>
          <w:highlight w:val="none"/>
        </w:rPr>
        <w:t>，并编制目录，具体编制要求见投标人须知前附表规定。</w:t>
      </w:r>
    </w:p>
    <w:p w14:paraId="49DF6CFB">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3.7.6  电子投标文件制作</w:t>
      </w:r>
    </w:p>
    <w:p w14:paraId="4711230B">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（1）电子投标文件由投标人使用专用的“新点投标文件制作软件（重庆版）”制作生成。</w:t>
      </w:r>
    </w:p>
    <w:p w14:paraId="0BDF811C">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（2）投标人在编制电子投标文件时应当建立分级目录，并按照标签提示导入相关内容。</w:t>
      </w:r>
    </w:p>
    <w:p w14:paraId="2CB3232E">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（3）第八章投标文件格式要求法定代表人或其委托代理人签字（或盖章）的须齐全，要求加盖单位法人章的，应使用 CA 数字证书加盖投标人的单位电子印章。</w:t>
      </w:r>
    </w:p>
    <w:p w14:paraId="19143E8C">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（4）电子投标文件制作完成后，将生成一份加密的电子投标文件（后缀名为.CQTF）和一份不加密的电子投标文件（后缀名为.nCQTF）。</w:t>
      </w:r>
    </w:p>
    <w:p w14:paraId="27D10D41">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（5）投标人如需递交不加密的电子投标文件的，应将不加密的电子投标文件复制到一张光盘中，光盘表面粘贴标签贴，并将招标项目名称、投标人名称等信息填写在标签贴上。</w:t>
      </w:r>
    </w:p>
    <w:p w14:paraId="3D1820BD">
      <w:pPr>
        <w:autoSpaceDE w:val="0"/>
        <w:autoSpaceDN w:val="0"/>
        <w:adjustRightInd w:val="0"/>
        <w:snapToGrid w:val="0"/>
        <w:spacing w:line="360" w:lineRule="auto"/>
        <w:ind w:right="-109"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（6）电子投标文件制作的具体方法详见“新点投标文件制作软件（重庆版）”中的帮助文档。</w:t>
      </w:r>
    </w:p>
    <w:p w14:paraId="4EAA1ACC">
      <w:pPr>
        <w:pStyle w:val="4"/>
        <w:keepNext w:val="0"/>
        <w:keepLines w:val="0"/>
        <w:spacing w:before="0" w:after="0" w:line="360" w:lineRule="auto"/>
        <w:rPr>
          <w:rFonts w:ascii="宋体" w:hAnsi="宋体"/>
          <w:b w:val="0"/>
          <w:snapToGrid w:val="0"/>
          <w:color w:val="auto"/>
          <w:highlight w:val="none"/>
        </w:rPr>
      </w:pPr>
      <w:bookmarkStart w:id="377" w:name="_Toc509218737"/>
      <w:bookmarkStart w:id="378" w:name="_Toc277082579"/>
      <w:bookmarkStart w:id="379" w:name="_Toc287620712"/>
      <w:bookmarkStart w:id="380" w:name="_Toc58860093"/>
      <w:bookmarkStart w:id="381" w:name="_Toc200513153"/>
      <w:bookmarkStart w:id="382" w:name="_Toc287607773"/>
      <w:bookmarkStart w:id="383" w:name="_Toc224103344"/>
      <w:bookmarkStart w:id="384" w:name="_Toc430530462"/>
      <w:r>
        <w:rPr>
          <w:rFonts w:ascii="宋体" w:hAnsi="宋体"/>
          <w:b w:val="0"/>
          <w:snapToGrid w:val="0"/>
          <w:color w:val="auto"/>
          <w:highlight w:val="none"/>
        </w:rPr>
        <w:t>4.  投标</w:t>
      </w:r>
      <w:bookmarkEnd w:id="377"/>
      <w:bookmarkEnd w:id="378"/>
      <w:bookmarkEnd w:id="379"/>
      <w:bookmarkEnd w:id="380"/>
      <w:bookmarkEnd w:id="381"/>
      <w:bookmarkEnd w:id="382"/>
      <w:bookmarkEnd w:id="383"/>
      <w:bookmarkEnd w:id="384"/>
    </w:p>
    <w:p w14:paraId="557B91F0">
      <w:pPr>
        <w:pStyle w:val="5"/>
        <w:keepNext w:val="0"/>
        <w:keepLines w:val="0"/>
        <w:snapToGrid w:val="0"/>
        <w:spacing w:before="0" w:after="0" w:line="360" w:lineRule="auto"/>
        <w:rPr>
          <w:rFonts w:ascii="宋体" w:hAnsi="宋体"/>
          <w:b w:val="0"/>
          <w:snapToGrid w:val="0"/>
          <w:color w:val="auto"/>
          <w:sz w:val="24"/>
          <w:szCs w:val="24"/>
          <w:highlight w:val="none"/>
        </w:rPr>
      </w:pPr>
      <w:bookmarkStart w:id="385" w:name="_Toc509218738"/>
      <w:bookmarkStart w:id="386" w:name="_Toc287607774"/>
      <w:bookmarkStart w:id="387" w:name="_Toc200513154"/>
      <w:bookmarkStart w:id="388" w:name="_Toc287620713"/>
      <w:bookmarkStart w:id="389" w:name="_Toc430530463"/>
      <w:bookmarkStart w:id="390" w:name="_Toc58860094"/>
      <w:bookmarkStart w:id="391" w:name="_Toc224103345"/>
      <w:bookmarkStart w:id="392" w:name="_Toc277082580"/>
      <w:r>
        <w:rPr>
          <w:rFonts w:ascii="宋体" w:hAnsi="宋体"/>
          <w:b w:val="0"/>
          <w:snapToGrid w:val="0"/>
          <w:color w:val="auto"/>
          <w:sz w:val="24"/>
          <w:szCs w:val="24"/>
          <w:highlight w:val="none"/>
        </w:rPr>
        <w:t>4.1  投标文件的密封和标记</w:t>
      </w:r>
      <w:bookmarkEnd w:id="385"/>
      <w:bookmarkEnd w:id="386"/>
      <w:bookmarkEnd w:id="387"/>
      <w:bookmarkEnd w:id="388"/>
      <w:bookmarkEnd w:id="389"/>
      <w:bookmarkEnd w:id="390"/>
      <w:bookmarkEnd w:id="391"/>
      <w:bookmarkEnd w:id="392"/>
    </w:p>
    <w:p w14:paraId="568E1A2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bookmarkStart w:id="393" w:name="_Toc200513155"/>
      <w:r>
        <w:rPr>
          <w:rFonts w:ascii="宋体" w:hAnsi="宋体"/>
          <w:snapToGrid w:val="0"/>
          <w:color w:val="auto"/>
          <w:kern w:val="0"/>
          <w:szCs w:val="21"/>
          <w:highlight w:val="none"/>
        </w:rPr>
        <w:t>4.1.1  投标文件的密封</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19CC28C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4.1.2  投标文件的封套上应写明的内容</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53A8498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4.1.3  电子投标文件的加密</w:t>
      </w:r>
    </w:p>
    <w:p w14:paraId="485018A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加密的电子投标文件应按照本章第3.7.6项要求制作并加密，未按要求加密的电子投标文件，将无法上传至</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，逾期未完成投标文件上传的，视为撤回投标文件。</w:t>
      </w:r>
    </w:p>
    <w:p w14:paraId="6101B2F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4.1.4  不加密电子投标文件的密封</w:t>
      </w:r>
    </w:p>
    <w:p w14:paraId="475C8E7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投标人如需递交不加密电子投标文件（光盘备份）应单独封装，并在封套的封口处加盖投标人单位法人章。</w:t>
      </w:r>
    </w:p>
    <w:p w14:paraId="7732B97E">
      <w:pPr>
        <w:pStyle w:val="5"/>
        <w:keepNext w:val="0"/>
        <w:keepLines w:val="0"/>
        <w:snapToGrid w:val="0"/>
        <w:spacing w:before="0" w:after="0" w:line="360" w:lineRule="auto"/>
        <w:rPr>
          <w:rFonts w:ascii="宋体" w:hAnsi="宋体"/>
          <w:b w:val="0"/>
          <w:snapToGrid w:val="0"/>
          <w:color w:val="auto"/>
          <w:sz w:val="24"/>
          <w:szCs w:val="24"/>
          <w:highlight w:val="none"/>
        </w:rPr>
      </w:pPr>
      <w:bookmarkStart w:id="394" w:name="_Toc224103346"/>
      <w:bookmarkStart w:id="395" w:name="_Toc277082581"/>
      <w:bookmarkStart w:id="396" w:name="_Toc287620714"/>
      <w:bookmarkStart w:id="397" w:name="_Toc509218739"/>
      <w:bookmarkStart w:id="398" w:name="_Toc287607775"/>
      <w:bookmarkStart w:id="399" w:name="_Toc430530464"/>
      <w:bookmarkStart w:id="400" w:name="_Toc58860095"/>
      <w:r>
        <w:rPr>
          <w:rFonts w:ascii="宋体" w:hAnsi="宋体"/>
          <w:b w:val="0"/>
          <w:snapToGrid w:val="0"/>
          <w:color w:val="auto"/>
          <w:sz w:val="24"/>
          <w:szCs w:val="24"/>
          <w:highlight w:val="none"/>
        </w:rPr>
        <w:t>4.2  投标文件的递交</w:t>
      </w:r>
      <w:bookmarkEnd w:id="393"/>
      <w:bookmarkEnd w:id="394"/>
      <w:bookmarkEnd w:id="395"/>
      <w:bookmarkEnd w:id="396"/>
      <w:bookmarkEnd w:id="397"/>
      <w:bookmarkEnd w:id="398"/>
      <w:bookmarkEnd w:id="399"/>
      <w:bookmarkEnd w:id="400"/>
    </w:p>
    <w:p w14:paraId="37807DD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4.2.1  投标人应在投标人须知前附表第 2.2.2 项规定的投标截止时间前递交投标文件。</w:t>
      </w:r>
    </w:p>
    <w:p w14:paraId="41F9A65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4.2.2  投标人递交投标文件的地点：见投标人须知前附表。</w:t>
      </w:r>
    </w:p>
    <w:p w14:paraId="0C21AED7">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4.2.3  除投标人须知前附表另有规定外，投标人所递交的投标文件不予退还。</w:t>
      </w:r>
    </w:p>
    <w:p w14:paraId="7D75E20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4.2.4  招标人收到投标文件后，</w:t>
      </w:r>
      <w:r>
        <w:rPr>
          <w:rFonts w:hint="eastAsia" w:ascii="宋体" w:hAnsi="宋体"/>
          <w:snapToGrid w:val="0"/>
          <w:color w:val="auto"/>
          <w:kern w:val="0"/>
          <w:szCs w:val="21"/>
          <w:highlight w:val="none"/>
        </w:rPr>
        <w:t>由</w:t>
      </w:r>
      <w:r>
        <w:rPr>
          <w:rFonts w:hint="eastAsia" w:ascii="宋体" w:hAnsi="宋体"/>
          <w:snapToGrid w:val="0"/>
          <w:color w:val="auto"/>
          <w:kern w:val="0"/>
          <w:szCs w:val="21"/>
          <w:highlight w:val="none"/>
          <w:u w:val="none"/>
        </w:rPr>
        <w:t>重庆市</w:t>
      </w:r>
      <w:r>
        <w:rPr>
          <w:rFonts w:ascii="宋体" w:hAnsi="宋体"/>
          <w:snapToGrid w:val="0"/>
          <w:color w:val="auto"/>
          <w:kern w:val="0"/>
          <w:szCs w:val="21"/>
          <w:highlight w:val="none"/>
          <w:u w:val="none"/>
        </w:rPr>
        <w:t>电子招投标系统</w:t>
      </w:r>
      <w:r>
        <w:rPr>
          <w:rFonts w:ascii="宋体" w:hAnsi="宋体"/>
          <w:snapToGrid w:val="0"/>
          <w:color w:val="auto"/>
          <w:kern w:val="0"/>
          <w:szCs w:val="21"/>
          <w:highlight w:val="none"/>
        </w:rPr>
        <w:t>向投标人出具签收凭证。</w:t>
      </w:r>
    </w:p>
    <w:p w14:paraId="5FA90DD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4.2.5  逾期送达的或者未送达指定地点的投标文件，招标人不予受理。</w:t>
      </w:r>
    </w:p>
    <w:p w14:paraId="261886DE">
      <w:pPr>
        <w:pStyle w:val="5"/>
        <w:keepNext w:val="0"/>
        <w:keepLines w:val="0"/>
        <w:snapToGrid w:val="0"/>
        <w:spacing w:before="0" w:after="0" w:line="360" w:lineRule="auto"/>
        <w:rPr>
          <w:rFonts w:ascii="宋体" w:hAnsi="宋体"/>
          <w:b w:val="0"/>
          <w:snapToGrid w:val="0"/>
          <w:color w:val="auto"/>
          <w:sz w:val="24"/>
          <w:szCs w:val="24"/>
          <w:highlight w:val="none"/>
        </w:rPr>
      </w:pPr>
      <w:bookmarkStart w:id="401" w:name="_Toc509218740"/>
      <w:bookmarkStart w:id="402" w:name="_Toc200513156"/>
      <w:bookmarkStart w:id="403" w:name="_Toc58860096"/>
      <w:bookmarkStart w:id="404" w:name="_Toc224103347"/>
      <w:bookmarkStart w:id="405" w:name="_Toc287607776"/>
      <w:bookmarkStart w:id="406" w:name="_Toc430530465"/>
      <w:bookmarkStart w:id="407" w:name="_Toc277082582"/>
      <w:bookmarkStart w:id="408" w:name="_Toc287620715"/>
      <w:r>
        <w:rPr>
          <w:rFonts w:ascii="宋体" w:hAnsi="宋体"/>
          <w:b w:val="0"/>
          <w:snapToGrid w:val="0"/>
          <w:color w:val="auto"/>
          <w:sz w:val="24"/>
          <w:szCs w:val="24"/>
          <w:highlight w:val="none"/>
        </w:rPr>
        <w:t>4.3  投标文件的修改与撤回</w:t>
      </w:r>
      <w:bookmarkEnd w:id="401"/>
      <w:bookmarkEnd w:id="402"/>
      <w:bookmarkEnd w:id="403"/>
      <w:bookmarkEnd w:id="404"/>
      <w:bookmarkEnd w:id="405"/>
      <w:bookmarkEnd w:id="406"/>
      <w:bookmarkEnd w:id="407"/>
      <w:bookmarkEnd w:id="408"/>
    </w:p>
    <w:p w14:paraId="0BE40213">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 xml:space="preserve">4.3.1  </w:t>
      </w:r>
      <w:r>
        <w:rPr>
          <w:rFonts w:hint="eastAsia" w:ascii="宋体" w:hAnsi="宋体"/>
          <w:snapToGrid w:val="0"/>
          <w:color w:val="auto"/>
          <w:kern w:val="0"/>
          <w:szCs w:val="21"/>
          <w:highlight w:val="none"/>
        </w:rPr>
        <w:t>在投标人须知前附表第2.2.2项规定的投标截止时间前，投标人可以修改或撤回已递交的投标文件。投标人修改投标文件的，应按照本章第3.7.3 项的要求重新对投标文件进行电子签章，再按照本章第4.2 款的要求提交。</w:t>
      </w:r>
    </w:p>
    <w:p w14:paraId="35F718B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4.3.2  投标人对加密的电子投标文件进行撤回的，在“</w:t>
      </w:r>
      <w:r>
        <w:rPr>
          <w:rFonts w:hint="eastAsia" w:ascii="宋体" w:hAnsi="宋体"/>
          <w:snapToGrid w:val="0"/>
          <w:color w:val="auto"/>
          <w:kern w:val="0"/>
          <w:szCs w:val="21"/>
          <w:highlight w:val="none"/>
          <w:u w:val="none"/>
        </w:rPr>
        <w:t>重庆市电子招投标系统</w:t>
      </w:r>
      <w:r>
        <w:rPr>
          <w:rFonts w:hint="eastAsia" w:ascii="宋体" w:hAnsi="宋体"/>
          <w:snapToGrid w:val="0"/>
          <w:color w:val="auto"/>
          <w:kern w:val="0"/>
          <w:szCs w:val="21"/>
          <w:highlight w:val="none"/>
        </w:rPr>
        <w:t>”直接进行撤回操作；任何情况下，投标人都有义务保证其递交的加密的电子投标文件和不加密电子投标文件（光盘备份）的内容保持一致，否则造成的后果由投标人自行承担。</w:t>
      </w:r>
    </w:p>
    <w:p w14:paraId="7E012774">
      <w:pPr>
        <w:pStyle w:val="4"/>
        <w:keepNext w:val="0"/>
        <w:keepLines w:val="0"/>
        <w:spacing w:before="0" w:after="0" w:line="360" w:lineRule="auto"/>
        <w:rPr>
          <w:rFonts w:ascii="宋体" w:hAnsi="宋体"/>
          <w:b w:val="0"/>
          <w:snapToGrid w:val="0"/>
          <w:color w:val="auto"/>
          <w:highlight w:val="none"/>
        </w:rPr>
      </w:pPr>
      <w:bookmarkStart w:id="409" w:name="_Toc509218741"/>
      <w:bookmarkStart w:id="410" w:name="_Toc58860097"/>
      <w:bookmarkStart w:id="411" w:name="_Toc200513157"/>
      <w:bookmarkStart w:id="412" w:name="_Toc277082583"/>
      <w:bookmarkStart w:id="413" w:name="_Toc287607777"/>
      <w:bookmarkStart w:id="414" w:name="_Toc224103348"/>
      <w:bookmarkStart w:id="415" w:name="_Toc287620716"/>
      <w:bookmarkStart w:id="416" w:name="_Toc430530466"/>
      <w:r>
        <w:rPr>
          <w:rFonts w:ascii="宋体" w:hAnsi="宋体"/>
          <w:b w:val="0"/>
          <w:snapToGrid w:val="0"/>
          <w:color w:val="auto"/>
          <w:highlight w:val="none"/>
        </w:rPr>
        <w:t>5.  开标</w:t>
      </w:r>
      <w:bookmarkEnd w:id="409"/>
      <w:bookmarkEnd w:id="410"/>
      <w:bookmarkEnd w:id="411"/>
      <w:bookmarkEnd w:id="412"/>
      <w:bookmarkEnd w:id="413"/>
      <w:bookmarkEnd w:id="414"/>
      <w:bookmarkEnd w:id="415"/>
      <w:bookmarkEnd w:id="416"/>
    </w:p>
    <w:p w14:paraId="58FE0E1B">
      <w:pPr>
        <w:pStyle w:val="5"/>
        <w:keepNext w:val="0"/>
        <w:keepLines w:val="0"/>
        <w:snapToGrid w:val="0"/>
        <w:spacing w:before="0" w:after="0" w:line="360" w:lineRule="auto"/>
        <w:rPr>
          <w:rFonts w:ascii="宋体" w:hAnsi="宋体"/>
          <w:b w:val="0"/>
          <w:snapToGrid w:val="0"/>
          <w:color w:val="auto"/>
          <w:sz w:val="24"/>
          <w:szCs w:val="24"/>
          <w:highlight w:val="none"/>
        </w:rPr>
      </w:pPr>
      <w:bookmarkStart w:id="417" w:name="_Toc200513158"/>
      <w:bookmarkStart w:id="418" w:name="_Toc430530467"/>
      <w:bookmarkStart w:id="419" w:name="_Toc58860098"/>
      <w:bookmarkStart w:id="420" w:name="_Toc287620717"/>
      <w:bookmarkStart w:id="421" w:name="_Toc509218742"/>
      <w:bookmarkStart w:id="422" w:name="_Toc287607778"/>
      <w:bookmarkStart w:id="423" w:name="_Toc224103349"/>
      <w:bookmarkStart w:id="424" w:name="_Toc277082584"/>
      <w:r>
        <w:rPr>
          <w:rFonts w:ascii="宋体" w:hAnsi="宋体"/>
          <w:b w:val="0"/>
          <w:snapToGrid w:val="0"/>
          <w:color w:val="auto"/>
          <w:sz w:val="24"/>
          <w:szCs w:val="24"/>
          <w:highlight w:val="none"/>
        </w:rPr>
        <w:t>5.1  开标时间和地点</w:t>
      </w:r>
      <w:bookmarkEnd w:id="417"/>
      <w:bookmarkEnd w:id="418"/>
      <w:bookmarkEnd w:id="419"/>
      <w:bookmarkEnd w:id="420"/>
      <w:bookmarkEnd w:id="421"/>
      <w:bookmarkEnd w:id="422"/>
      <w:bookmarkEnd w:id="423"/>
      <w:bookmarkEnd w:id="424"/>
    </w:p>
    <w:p w14:paraId="4944323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5.1.1  </w:t>
      </w:r>
      <w:r>
        <w:rPr>
          <w:rFonts w:ascii="宋体" w:hAnsi="宋体"/>
          <w:snapToGrid w:val="0"/>
          <w:color w:val="auto"/>
          <w:kern w:val="0"/>
          <w:szCs w:val="21"/>
          <w:highlight w:val="none"/>
        </w:rPr>
        <w:t>招标人在投标人须知前附表第 2.2.2 项规定的投标截止时间（开标时间）和投标人须知前附表规定的地点公开开标，并邀请所有投标人的法定代表人或其委托代理人准时参加。</w:t>
      </w:r>
    </w:p>
    <w:p w14:paraId="1B30BEBF">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5.1.2  投标人在投标人须知前附表第 5.1.2 项规定的解密时间内在线或到开标现场完成投标文件解密工作。</w:t>
      </w:r>
    </w:p>
    <w:p w14:paraId="17578091">
      <w:pPr>
        <w:pStyle w:val="5"/>
        <w:keepNext w:val="0"/>
        <w:keepLines w:val="0"/>
        <w:snapToGrid w:val="0"/>
        <w:spacing w:before="0" w:after="0" w:line="360" w:lineRule="auto"/>
        <w:rPr>
          <w:rFonts w:ascii="宋体" w:hAnsi="宋体"/>
          <w:b w:val="0"/>
          <w:snapToGrid w:val="0"/>
          <w:color w:val="auto"/>
          <w:sz w:val="24"/>
          <w:szCs w:val="24"/>
          <w:highlight w:val="none"/>
        </w:rPr>
      </w:pPr>
      <w:bookmarkStart w:id="425" w:name="_Toc224103350"/>
      <w:bookmarkStart w:id="426" w:name="_Toc200513159"/>
      <w:bookmarkStart w:id="427" w:name="_Toc287607779"/>
      <w:bookmarkStart w:id="428" w:name="_Toc277082585"/>
      <w:bookmarkStart w:id="429" w:name="_Toc58860099"/>
      <w:bookmarkStart w:id="430" w:name="_Toc287620718"/>
      <w:bookmarkStart w:id="431" w:name="_Toc430530468"/>
      <w:bookmarkStart w:id="432" w:name="_Toc509218743"/>
      <w:r>
        <w:rPr>
          <w:rFonts w:ascii="宋体" w:hAnsi="宋体"/>
          <w:b w:val="0"/>
          <w:snapToGrid w:val="0"/>
          <w:color w:val="auto"/>
          <w:sz w:val="24"/>
          <w:szCs w:val="24"/>
          <w:highlight w:val="none"/>
        </w:rPr>
        <w:t>5.2  开标程序</w:t>
      </w:r>
      <w:bookmarkEnd w:id="425"/>
      <w:bookmarkEnd w:id="426"/>
      <w:bookmarkEnd w:id="427"/>
      <w:bookmarkEnd w:id="428"/>
      <w:bookmarkEnd w:id="429"/>
      <w:bookmarkEnd w:id="430"/>
      <w:bookmarkEnd w:id="431"/>
      <w:bookmarkEnd w:id="432"/>
    </w:p>
    <w:p w14:paraId="5A978AFB">
      <w:pPr>
        <w:autoSpaceDE w:val="0"/>
        <w:autoSpaceDN w:val="0"/>
        <w:adjustRightInd w:val="0"/>
        <w:snapToGrid w:val="0"/>
        <w:spacing w:line="360" w:lineRule="auto"/>
        <w:ind w:firstLine="420" w:firstLineChars="200"/>
        <w:rPr>
          <w:rFonts w:ascii="宋体" w:hAnsi="宋体"/>
          <w:color w:val="auto"/>
          <w:szCs w:val="21"/>
          <w:highlight w:val="none"/>
        </w:rPr>
      </w:pPr>
      <w:bookmarkStart w:id="433" w:name="_Toc287620719"/>
      <w:bookmarkStart w:id="434" w:name="_Toc200513160"/>
      <w:bookmarkStart w:id="435" w:name="_Toc224103351"/>
      <w:bookmarkStart w:id="436" w:name="_Toc277082586"/>
      <w:bookmarkStart w:id="437" w:name="_Toc287607780"/>
      <w:r>
        <w:rPr>
          <w:rFonts w:ascii="宋体" w:hAnsi="宋体"/>
          <w:color w:val="auto"/>
          <w:szCs w:val="21"/>
          <w:highlight w:val="none"/>
        </w:rPr>
        <w:t>详见投标人须知前附表第5.2款开标程序。</w:t>
      </w:r>
    </w:p>
    <w:p w14:paraId="182213EA">
      <w:pPr>
        <w:pStyle w:val="5"/>
        <w:keepNext w:val="0"/>
        <w:keepLines w:val="0"/>
        <w:snapToGrid w:val="0"/>
        <w:spacing w:before="0" w:after="0" w:line="360" w:lineRule="auto"/>
        <w:rPr>
          <w:rFonts w:ascii="宋体" w:hAnsi="宋体"/>
          <w:b w:val="0"/>
          <w:snapToGrid w:val="0"/>
          <w:color w:val="auto"/>
          <w:sz w:val="24"/>
          <w:szCs w:val="24"/>
          <w:highlight w:val="none"/>
        </w:rPr>
      </w:pPr>
      <w:bookmarkStart w:id="438" w:name="_Toc58860100"/>
      <w:r>
        <w:rPr>
          <w:rFonts w:ascii="宋体" w:hAnsi="宋体"/>
          <w:b w:val="0"/>
          <w:snapToGrid w:val="0"/>
          <w:color w:val="auto"/>
          <w:sz w:val="24"/>
          <w:szCs w:val="24"/>
          <w:highlight w:val="none"/>
        </w:rPr>
        <w:t>5.</w:t>
      </w:r>
      <w:r>
        <w:rPr>
          <w:rFonts w:hint="eastAsia" w:ascii="宋体" w:hAnsi="宋体"/>
          <w:b w:val="0"/>
          <w:snapToGrid w:val="0"/>
          <w:color w:val="auto"/>
          <w:sz w:val="24"/>
          <w:szCs w:val="24"/>
          <w:highlight w:val="none"/>
        </w:rPr>
        <w:t>3</w:t>
      </w:r>
      <w:r>
        <w:rPr>
          <w:rFonts w:ascii="宋体" w:hAnsi="宋体"/>
          <w:b w:val="0"/>
          <w:snapToGrid w:val="0"/>
          <w:color w:val="auto"/>
          <w:sz w:val="24"/>
          <w:szCs w:val="24"/>
          <w:highlight w:val="none"/>
        </w:rPr>
        <w:t xml:space="preserve">  开标</w:t>
      </w:r>
      <w:r>
        <w:rPr>
          <w:rFonts w:hint="eastAsia" w:ascii="宋体" w:hAnsi="宋体"/>
          <w:b w:val="0"/>
          <w:snapToGrid w:val="0"/>
          <w:color w:val="auto"/>
          <w:sz w:val="24"/>
          <w:szCs w:val="24"/>
          <w:highlight w:val="none"/>
        </w:rPr>
        <w:t>异议</w:t>
      </w:r>
      <w:bookmarkEnd w:id="438"/>
    </w:p>
    <w:p w14:paraId="60774942">
      <w:pPr>
        <w:autoSpaceDE w:val="0"/>
        <w:autoSpaceDN w:val="0"/>
        <w:adjustRightInd w:val="0"/>
        <w:snapToGrid w:val="0"/>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投标人对开标有异议的，应当在开标现场提出，招标人当场作出答复，并制作记录。</w:t>
      </w:r>
    </w:p>
    <w:p w14:paraId="06344E1E">
      <w:pPr>
        <w:pStyle w:val="4"/>
        <w:keepNext w:val="0"/>
        <w:keepLines w:val="0"/>
        <w:spacing w:before="0" w:after="0" w:line="360" w:lineRule="auto"/>
        <w:rPr>
          <w:rFonts w:ascii="宋体" w:hAnsi="宋体"/>
          <w:b w:val="0"/>
          <w:snapToGrid w:val="0"/>
          <w:color w:val="auto"/>
          <w:highlight w:val="none"/>
        </w:rPr>
      </w:pPr>
      <w:bookmarkStart w:id="439" w:name="_Toc58860101"/>
      <w:bookmarkStart w:id="440" w:name="_Toc430530469"/>
      <w:bookmarkStart w:id="441" w:name="_Toc509218744"/>
      <w:r>
        <w:rPr>
          <w:rFonts w:ascii="宋体" w:hAnsi="宋体"/>
          <w:b w:val="0"/>
          <w:snapToGrid w:val="0"/>
          <w:color w:val="auto"/>
          <w:highlight w:val="none"/>
        </w:rPr>
        <w:t>6.  评标</w:t>
      </w:r>
      <w:bookmarkEnd w:id="433"/>
      <w:bookmarkEnd w:id="434"/>
      <w:bookmarkEnd w:id="435"/>
      <w:bookmarkEnd w:id="436"/>
      <w:bookmarkEnd w:id="437"/>
      <w:bookmarkEnd w:id="439"/>
      <w:bookmarkEnd w:id="440"/>
      <w:bookmarkEnd w:id="441"/>
    </w:p>
    <w:p w14:paraId="01F21999">
      <w:pPr>
        <w:pStyle w:val="5"/>
        <w:keepNext w:val="0"/>
        <w:keepLines w:val="0"/>
        <w:snapToGrid w:val="0"/>
        <w:spacing w:before="0" w:after="0" w:line="360" w:lineRule="auto"/>
        <w:rPr>
          <w:rFonts w:ascii="宋体" w:hAnsi="宋体"/>
          <w:b w:val="0"/>
          <w:snapToGrid w:val="0"/>
          <w:color w:val="auto"/>
          <w:sz w:val="24"/>
          <w:szCs w:val="24"/>
          <w:highlight w:val="none"/>
        </w:rPr>
      </w:pPr>
      <w:bookmarkStart w:id="442" w:name="_Toc277082587"/>
      <w:bookmarkStart w:id="443" w:name="_Toc509218745"/>
      <w:bookmarkStart w:id="444" w:name="_Toc200513161"/>
      <w:bookmarkStart w:id="445" w:name="_Toc224103352"/>
      <w:bookmarkStart w:id="446" w:name="_Toc58860102"/>
      <w:bookmarkStart w:id="447" w:name="_Toc287607781"/>
      <w:bookmarkStart w:id="448" w:name="_Toc430530470"/>
      <w:bookmarkStart w:id="449" w:name="_Toc287620720"/>
      <w:r>
        <w:rPr>
          <w:rFonts w:ascii="宋体" w:hAnsi="宋体"/>
          <w:b w:val="0"/>
          <w:snapToGrid w:val="0"/>
          <w:color w:val="auto"/>
          <w:sz w:val="24"/>
          <w:szCs w:val="24"/>
          <w:highlight w:val="none"/>
        </w:rPr>
        <w:t>6.1  评标委员会</w:t>
      </w:r>
      <w:bookmarkEnd w:id="442"/>
      <w:bookmarkEnd w:id="443"/>
      <w:bookmarkEnd w:id="444"/>
      <w:bookmarkEnd w:id="445"/>
      <w:bookmarkEnd w:id="446"/>
      <w:bookmarkEnd w:id="447"/>
      <w:bookmarkEnd w:id="448"/>
      <w:bookmarkEnd w:id="449"/>
    </w:p>
    <w:p w14:paraId="13AE32E5">
      <w:pPr>
        <w:autoSpaceDE w:val="0"/>
        <w:autoSpaceDN w:val="0"/>
        <w:adjustRightInd w:val="0"/>
        <w:snapToGrid w:val="0"/>
        <w:spacing w:line="360" w:lineRule="auto"/>
        <w:ind w:firstLine="420" w:firstLineChars="200"/>
        <w:rPr>
          <w:rFonts w:ascii="宋体" w:hAnsi="宋体"/>
          <w:b/>
          <w:snapToGrid w:val="0"/>
          <w:color w:val="auto"/>
          <w:kern w:val="0"/>
          <w:szCs w:val="21"/>
          <w:highlight w:val="none"/>
        </w:rPr>
      </w:pPr>
      <w:r>
        <w:rPr>
          <w:rFonts w:ascii="宋体" w:hAnsi="宋体"/>
          <w:snapToGrid w:val="0"/>
          <w:color w:val="auto"/>
          <w:kern w:val="0"/>
          <w:szCs w:val="21"/>
          <w:highlight w:val="none"/>
        </w:rPr>
        <w:t>6.1.1  评标由招标人依据法律法规和相关规范性文件组建的评标委员会负责。</w:t>
      </w:r>
    </w:p>
    <w:p w14:paraId="3DA24F1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6.1.2  评标委员会成员有下列情形之一的，应当回避：</w:t>
      </w:r>
    </w:p>
    <w:p w14:paraId="6AA3579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（1）投标人或投标人的主要负责人的近亲属；</w:t>
      </w:r>
    </w:p>
    <w:p w14:paraId="53365375">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（2）项目主管部门或者</w:t>
      </w:r>
      <w:r>
        <w:rPr>
          <w:rFonts w:hint="eastAsia" w:ascii="宋体" w:hAnsi="宋体"/>
          <w:snapToGrid w:val="0"/>
          <w:color w:val="auto"/>
          <w:kern w:val="0"/>
          <w:szCs w:val="21"/>
          <w:highlight w:val="none"/>
        </w:rPr>
        <w:t>项目</w:t>
      </w:r>
      <w:r>
        <w:rPr>
          <w:rFonts w:ascii="宋体" w:hAnsi="宋体"/>
          <w:snapToGrid w:val="0"/>
          <w:color w:val="auto"/>
          <w:kern w:val="0"/>
          <w:szCs w:val="21"/>
          <w:highlight w:val="none"/>
        </w:rPr>
        <w:t>行政监督部门的人员；</w:t>
      </w:r>
    </w:p>
    <w:p w14:paraId="283FA1E6">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（3）与投标人有利害关系，可能影响对投标公正评审的；</w:t>
      </w:r>
    </w:p>
    <w:p w14:paraId="15EEA90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（4）曾因在招标、评标以及其他与招标投标有关活动中从事违法行为而受过行政处罚或刑事处罚的</w:t>
      </w:r>
      <w:r>
        <w:rPr>
          <w:rFonts w:hint="eastAsia" w:ascii="宋体" w:hAnsi="宋体"/>
          <w:snapToGrid w:val="0"/>
          <w:color w:val="auto"/>
          <w:kern w:val="0"/>
          <w:szCs w:val="21"/>
          <w:highlight w:val="none"/>
        </w:rPr>
        <w:t>；</w:t>
      </w:r>
    </w:p>
    <w:p w14:paraId="4547394E">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（5）法律法规规定的其他情形。</w:t>
      </w:r>
    </w:p>
    <w:p w14:paraId="2092F3E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6.1.3</w:t>
      </w:r>
      <w:r>
        <w:rPr>
          <w:rFonts w:hint="eastAsia" w:ascii="宋体" w:hAnsi="宋体"/>
          <w:snapToGrid w:val="0"/>
          <w:color w:val="auto"/>
          <w:kern w:val="0"/>
          <w:szCs w:val="21"/>
          <w:highlight w:val="none"/>
        </w:rPr>
        <w:t xml:space="preserve">  评标过程中，评标委员会成员有回避事由、擅离职守或者因健康等原因不能继续评标的，应当及时更换。被更换的评标委员会成员作出的评审结论无效，由更换后的评标委员会成员重新进行评审。</w:t>
      </w:r>
    </w:p>
    <w:p w14:paraId="2D81B256">
      <w:pPr>
        <w:pStyle w:val="5"/>
        <w:snapToGrid w:val="0"/>
        <w:spacing w:before="0" w:after="0" w:line="360" w:lineRule="auto"/>
        <w:rPr>
          <w:rFonts w:ascii="宋体" w:hAnsi="宋体"/>
          <w:b w:val="0"/>
          <w:snapToGrid w:val="0"/>
          <w:color w:val="auto"/>
          <w:sz w:val="24"/>
          <w:szCs w:val="24"/>
          <w:highlight w:val="none"/>
        </w:rPr>
      </w:pPr>
      <w:bookmarkStart w:id="450" w:name="_Toc224103353"/>
      <w:bookmarkStart w:id="451" w:name="_Toc509218746"/>
      <w:bookmarkStart w:id="452" w:name="_Toc287607782"/>
      <w:bookmarkStart w:id="453" w:name="_Toc277082588"/>
      <w:bookmarkStart w:id="454" w:name="_Toc287620721"/>
      <w:bookmarkStart w:id="455" w:name="_Toc430530471"/>
      <w:bookmarkStart w:id="456" w:name="_Toc58860103"/>
      <w:bookmarkStart w:id="457" w:name="_Toc200513162"/>
      <w:r>
        <w:rPr>
          <w:rFonts w:ascii="宋体" w:hAnsi="宋体"/>
          <w:b w:val="0"/>
          <w:snapToGrid w:val="0"/>
          <w:color w:val="auto"/>
          <w:sz w:val="24"/>
          <w:szCs w:val="24"/>
          <w:highlight w:val="none"/>
        </w:rPr>
        <w:t>6.2  评标原则</w:t>
      </w:r>
      <w:bookmarkEnd w:id="450"/>
      <w:bookmarkEnd w:id="451"/>
      <w:bookmarkEnd w:id="452"/>
      <w:bookmarkEnd w:id="453"/>
      <w:bookmarkEnd w:id="454"/>
      <w:bookmarkEnd w:id="455"/>
      <w:bookmarkEnd w:id="456"/>
      <w:bookmarkEnd w:id="457"/>
    </w:p>
    <w:p w14:paraId="41144A3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评标活动遵循公平、公正、科学和择优的原则。</w:t>
      </w:r>
    </w:p>
    <w:p w14:paraId="2A5A4D34">
      <w:pPr>
        <w:pStyle w:val="5"/>
        <w:snapToGrid w:val="0"/>
        <w:spacing w:before="0" w:after="0" w:line="360" w:lineRule="auto"/>
        <w:rPr>
          <w:rFonts w:ascii="宋体" w:hAnsi="宋体"/>
          <w:b w:val="0"/>
          <w:snapToGrid w:val="0"/>
          <w:color w:val="auto"/>
          <w:sz w:val="24"/>
          <w:szCs w:val="24"/>
          <w:highlight w:val="none"/>
        </w:rPr>
      </w:pPr>
      <w:bookmarkStart w:id="458" w:name="_Toc287620722"/>
      <w:bookmarkStart w:id="459" w:name="_Toc430530472"/>
      <w:bookmarkStart w:id="460" w:name="_Toc200513163"/>
      <w:bookmarkStart w:id="461" w:name="_Toc287607783"/>
      <w:bookmarkStart w:id="462" w:name="_Toc509218747"/>
      <w:bookmarkStart w:id="463" w:name="_Toc224103354"/>
      <w:bookmarkStart w:id="464" w:name="_Toc58860104"/>
      <w:bookmarkStart w:id="465" w:name="_Toc277082589"/>
      <w:r>
        <w:rPr>
          <w:rFonts w:ascii="宋体" w:hAnsi="宋体"/>
          <w:b w:val="0"/>
          <w:snapToGrid w:val="0"/>
          <w:color w:val="auto"/>
          <w:sz w:val="24"/>
          <w:szCs w:val="24"/>
          <w:highlight w:val="none"/>
        </w:rPr>
        <w:t>6.3  评标</w:t>
      </w:r>
      <w:bookmarkEnd w:id="458"/>
      <w:bookmarkEnd w:id="459"/>
      <w:bookmarkEnd w:id="460"/>
      <w:bookmarkEnd w:id="461"/>
      <w:bookmarkEnd w:id="462"/>
      <w:bookmarkEnd w:id="463"/>
      <w:bookmarkEnd w:id="464"/>
      <w:bookmarkEnd w:id="465"/>
    </w:p>
    <w:p w14:paraId="30016E9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评标委员会按照第三章“评标办法”规定的方法、评审因素、标准和程序对投标文件进行评审。第三章“评标办法”没有规定的方法、评审因素和标准，不作为评标依据。</w:t>
      </w:r>
    </w:p>
    <w:p w14:paraId="0B0C7BEA">
      <w:pPr>
        <w:pStyle w:val="4"/>
        <w:spacing w:before="0" w:after="0" w:line="360" w:lineRule="auto"/>
        <w:rPr>
          <w:rFonts w:ascii="宋体" w:hAnsi="宋体"/>
          <w:b w:val="0"/>
          <w:snapToGrid w:val="0"/>
          <w:color w:val="auto"/>
          <w:highlight w:val="none"/>
        </w:rPr>
      </w:pPr>
      <w:bookmarkStart w:id="466" w:name="_Toc287607784"/>
      <w:bookmarkStart w:id="467" w:name="_Toc224103355"/>
      <w:bookmarkStart w:id="468" w:name="_Toc58860105"/>
      <w:bookmarkStart w:id="469" w:name="_Toc509218748"/>
      <w:bookmarkStart w:id="470" w:name="_Toc200513164"/>
      <w:bookmarkStart w:id="471" w:name="_Toc277082590"/>
      <w:bookmarkStart w:id="472" w:name="_Toc287620723"/>
      <w:bookmarkStart w:id="473" w:name="_Toc430530473"/>
      <w:r>
        <w:rPr>
          <w:rFonts w:ascii="宋体" w:hAnsi="宋体"/>
          <w:b w:val="0"/>
          <w:snapToGrid w:val="0"/>
          <w:color w:val="auto"/>
          <w:highlight w:val="none"/>
        </w:rPr>
        <w:t>7.  合同授予</w:t>
      </w:r>
      <w:bookmarkEnd w:id="466"/>
      <w:bookmarkEnd w:id="467"/>
      <w:bookmarkEnd w:id="468"/>
      <w:bookmarkEnd w:id="469"/>
      <w:bookmarkEnd w:id="470"/>
      <w:bookmarkEnd w:id="471"/>
      <w:bookmarkEnd w:id="472"/>
      <w:bookmarkEnd w:id="473"/>
    </w:p>
    <w:p w14:paraId="7C1EE3D2">
      <w:pPr>
        <w:pStyle w:val="5"/>
        <w:snapToGrid w:val="0"/>
        <w:spacing w:before="0" w:after="0" w:line="360" w:lineRule="auto"/>
        <w:rPr>
          <w:rFonts w:ascii="宋体" w:hAnsi="宋体"/>
          <w:b w:val="0"/>
          <w:snapToGrid w:val="0"/>
          <w:color w:val="auto"/>
          <w:sz w:val="24"/>
          <w:szCs w:val="24"/>
          <w:highlight w:val="none"/>
        </w:rPr>
      </w:pPr>
      <w:bookmarkStart w:id="474" w:name="_Toc200513165"/>
      <w:bookmarkStart w:id="475" w:name="_Toc509218749"/>
      <w:bookmarkStart w:id="476" w:name="_Toc58860106"/>
      <w:bookmarkStart w:id="477" w:name="_Toc287620724"/>
      <w:bookmarkStart w:id="478" w:name="_Toc287607785"/>
      <w:bookmarkStart w:id="479" w:name="_Toc224103356"/>
      <w:bookmarkStart w:id="480" w:name="_Toc277082591"/>
      <w:bookmarkStart w:id="481" w:name="_Toc430530474"/>
      <w:r>
        <w:rPr>
          <w:rFonts w:ascii="宋体" w:hAnsi="宋体"/>
          <w:b w:val="0"/>
          <w:snapToGrid w:val="0"/>
          <w:color w:val="auto"/>
          <w:sz w:val="24"/>
          <w:szCs w:val="24"/>
          <w:highlight w:val="none"/>
        </w:rPr>
        <w:t>7.1  定标方式</w:t>
      </w:r>
      <w:bookmarkEnd w:id="474"/>
      <w:bookmarkEnd w:id="475"/>
      <w:bookmarkEnd w:id="476"/>
      <w:bookmarkEnd w:id="477"/>
      <w:bookmarkEnd w:id="478"/>
      <w:bookmarkEnd w:id="479"/>
      <w:bookmarkEnd w:id="480"/>
      <w:bookmarkEnd w:id="481"/>
    </w:p>
    <w:p w14:paraId="317835C2">
      <w:pPr>
        <w:spacing w:line="360" w:lineRule="auto"/>
        <w:ind w:firstLine="420" w:firstLineChars="200"/>
        <w:rPr>
          <w:rFonts w:ascii="宋体" w:hAnsi="宋体"/>
          <w:color w:val="auto"/>
          <w:szCs w:val="21"/>
          <w:highlight w:val="none"/>
        </w:rPr>
      </w:pPr>
      <w:r>
        <w:rPr>
          <w:rFonts w:hint="eastAsia"/>
          <w:color w:val="auto"/>
          <w:highlight w:val="none"/>
        </w:rPr>
        <w:t>除投标人须知前附表规定评标委员会直接确定中标人外，招标人依据评标委员会推荐的中标候选人确定中标人。</w:t>
      </w:r>
      <w:r>
        <w:rPr>
          <w:rFonts w:ascii="宋体" w:hAnsi="宋体"/>
          <w:color w:val="auto"/>
          <w:szCs w:val="21"/>
          <w:highlight w:val="none"/>
        </w:rPr>
        <w:t>国有资金占控股或者主导地位的依法必须进行招标的项目，招标人应当确定排名第一的中标候选人为中标人。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3AFAFF22">
      <w:pPr>
        <w:spacing w:line="360" w:lineRule="auto"/>
        <w:ind w:firstLine="420" w:firstLineChars="200"/>
        <w:rPr>
          <w:rFonts w:ascii="宋体" w:hAnsi="宋体"/>
          <w:color w:val="auto"/>
          <w:szCs w:val="21"/>
          <w:highlight w:val="none"/>
        </w:rPr>
      </w:pPr>
      <w:r>
        <w:rPr>
          <w:rFonts w:ascii="宋体" w:hAnsi="宋体"/>
          <w:snapToGrid w:val="0"/>
          <w:color w:val="auto"/>
          <w:kern w:val="0"/>
          <w:szCs w:val="21"/>
          <w:highlight w:val="none"/>
        </w:rPr>
        <w:t>评标委员会推荐中标候选人的人数</w:t>
      </w:r>
      <w:r>
        <w:rPr>
          <w:rFonts w:hint="eastAsia" w:ascii="宋体" w:hAnsi="宋体"/>
          <w:snapToGrid w:val="0"/>
          <w:color w:val="auto"/>
          <w:kern w:val="0"/>
          <w:szCs w:val="21"/>
          <w:highlight w:val="none"/>
        </w:rPr>
        <w:t>：</w:t>
      </w:r>
      <w:r>
        <w:rPr>
          <w:rFonts w:ascii="宋体" w:hAnsi="宋体"/>
          <w:snapToGrid w:val="0"/>
          <w:color w:val="auto"/>
          <w:kern w:val="0"/>
          <w:szCs w:val="21"/>
          <w:highlight w:val="none"/>
        </w:rPr>
        <w:t>见投标人须知前附表。</w:t>
      </w:r>
    </w:p>
    <w:p w14:paraId="3A5251B4">
      <w:pPr>
        <w:pStyle w:val="5"/>
        <w:snapToGrid w:val="0"/>
        <w:spacing w:before="0" w:after="0" w:line="360" w:lineRule="auto"/>
        <w:rPr>
          <w:rFonts w:ascii="宋体" w:hAnsi="宋体"/>
          <w:b w:val="0"/>
          <w:snapToGrid w:val="0"/>
          <w:color w:val="auto"/>
          <w:sz w:val="24"/>
          <w:szCs w:val="24"/>
          <w:highlight w:val="none"/>
        </w:rPr>
      </w:pPr>
      <w:bookmarkStart w:id="482" w:name="_Toc430530475"/>
      <w:bookmarkStart w:id="483" w:name="_Toc509218750"/>
      <w:bookmarkStart w:id="484" w:name="_Toc58860107"/>
      <w:r>
        <w:rPr>
          <w:rFonts w:ascii="宋体" w:hAnsi="宋体"/>
          <w:b w:val="0"/>
          <w:snapToGrid w:val="0"/>
          <w:color w:val="auto"/>
          <w:sz w:val="24"/>
          <w:szCs w:val="24"/>
          <w:highlight w:val="none"/>
        </w:rPr>
        <w:t>7.2  中标</w:t>
      </w:r>
      <w:bookmarkEnd w:id="482"/>
      <w:bookmarkEnd w:id="483"/>
      <w:r>
        <w:rPr>
          <w:rFonts w:hint="eastAsia" w:ascii="宋体" w:hAnsi="宋体"/>
          <w:b w:val="0"/>
          <w:snapToGrid w:val="0"/>
          <w:color w:val="auto"/>
          <w:sz w:val="24"/>
          <w:szCs w:val="24"/>
          <w:highlight w:val="none"/>
        </w:rPr>
        <w:t>候选人公示</w:t>
      </w:r>
      <w:bookmarkEnd w:id="484"/>
    </w:p>
    <w:p w14:paraId="5CD60097">
      <w:pPr>
        <w:autoSpaceDE w:val="0"/>
        <w:autoSpaceDN w:val="0"/>
        <w:adjustRightInd w:val="0"/>
        <w:snapToGrid w:val="0"/>
        <w:spacing w:line="360" w:lineRule="auto"/>
        <w:ind w:firstLine="420" w:firstLineChars="200"/>
        <w:rPr>
          <w:color w:val="auto"/>
          <w:highlight w:val="none"/>
        </w:rPr>
      </w:pPr>
      <w:r>
        <w:rPr>
          <w:rFonts w:hint="eastAsia"/>
          <w:color w:val="auto"/>
          <w:highlight w:val="none"/>
        </w:rPr>
        <w:t>招标人在投标人须知前附表规定的媒介公示中标候选人。</w:t>
      </w:r>
    </w:p>
    <w:p w14:paraId="5F0D35F8">
      <w:pPr>
        <w:pStyle w:val="5"/>
        <w:snapToGrid w:val="0"/>
        <w:spacing w:before="0" w:after="0" w:line="360" w:lineRule="auto"/>
        <w:rPr>
          <w:rFonts w:ascii="宋体" w:hAnsi="宋体"/>
          <w:b w:val="0"/>
          <w:snapToGrid w:val="0"/>
          <w:color w:val="auto"/>
          <w:sz w:val="24"/>
          <w:szCs w:val="24"/>
          <w:highlight w:val="none"/>
        </w:rPr>
      </w:pPr>
      <w:bookmarkStart w:id="485" w:name="_Toc58860108"/>
      <w:r>
        <w:rPr>
          <w:rFonts w:ascii="宋体" w:hAnsi="宋体"/>
          <w:b w:val="0"/>
          <w:snapToGrid w:val="0"/>
          <w:color w:val="auto"/>
          <w:sz w:val="24"/>
          <w:szCs w:val="24"/>
          <w:highlight w:val="none"/>
        </w:rPr>
        <w:t>7.</w:t>
      </w:r>
      <w:r>
        <w:rPr>
          <w:rFonts w:hint="eastAsia" w:ascii="宋体" w:hAnsi="宋体"/>
          <w:b w:val="0"/>
          <w:snapToGrid w:val="0"/>
          <w:color w:val="auto"/>
          <w:sz w:val="24"/>
          <w:szCs w:val="24"/>
          <w:highlight w:val="none"/>
        </w:rPr>
        <w:t>3</w:t>
      </w:r>
      <w:r>
        <w:rPr>
          <w:rFonts w:ascii="宋体" w:hAnsi="宋体"/>
          <w:b w:val="0"/>
          <w:snapToGrid w:val="0"/>
          <w:color w:val="auto"/>
          <w:sz w:val="24"/>
          <w:szCs w:val="24"/>
          <w:highlight w:val="none"/>
        </w:rPr>
        <w:t xml:space="preserve">  中标通知</w:t>
      </w:r>
      <w:bookmarkEnd w:id="485"/>
    </w:p>
    <w:p w14:paraId="149E8A5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在本章第 3.3 款规定的投标有效期内，且未有异议与投诉，招标人以书面形式向中标人发出中标通知书</w:t>
      </w:r>
      <w:r>
        <w:rPr>
          <w:rFonts w:hint="eastAsia"/>
          <w:color w:val="auto"/>
          <w:highlight w:val="none"/>
        </w:rPr>
        <w:t>，同时将中标结果通知未中标的投标人。中标通知书按本章附表格式填写。</w:t>
      </w:r>
    </w:p>
    <w:p w14:paraId="277FECEF">
      <w:pPr>
        <w:pStyle w:val="5"/>
        <w:snapToGrid w:val="0"/>
        <w:spacing w:before="0" w:after="0" w:line="360" w:lineRule="auto"/>
        <w:rPr>
          <w:rFonts w:ascii="宋体" w:hAnsi="宋体"/>
          <w:b w:val="0"/>
          <w:snapToGrid w:val="0"/>
          <w:color w:val="auto"/>
          <w:sz w:val="24"/>
          <w:szCs w:val="24"/>
          <w:highlight w:val="none"/>
        </w:rPr>
      </w:pPr>
      <w:bookmarkStart w:id="486" w:name="_Toc287620726"/>
      <w:bookmarkStart w:id="487" w:name="_Toc287607787"/>
      <w:bookmarkStart w:id="488" w:name="_Toc430530476"/>
      <w:bookmarkStart w:id="489" w:name="_Toc224103358"/>
      <w:bookmarkStart w:id="490" w:name="_Toc58860109"/>
      <w:bookmarkStart w:id="491" w:name="_Toc200513167"/>
      <w:bookmarkStart w:id="492" w:name="_Toc509218751"/>
      <w:bookmarkStart w:id="493" w:name="_Toc277082593"/>
      <w:r>
        <w:rPr>
          <w:rFonts w:ascii="宋体" w:hAnsi="宋体"/>
          <w:b w:val="0"/>
          <w:snapToGrid w:val="0"/>
          <w:color w:val="auto"/>
          <w:sz w:val="24"/>
          <w:szCs w:val="24"/>
          <w:highlight w:val="none"/>
        </w:rPr>
        <w:t>7.</w:t>
      </w:r>
      <w:r>
        <w:rPr>
          <w:rFonts w:hint="eastAsia" w:ascii="宋体" w:hAnsi="宋体"/>
          <w:b w:val="0"/>
          <w:snapToGrid w:val="0"/>
          <w:color w:val="auto"/>
          <w:sz w:val="24"/>
          <w:szCs w:val="24"/>
          <w:highlight w:val="none"/>
        </w:rPr>
        <w:t>4</w:t>
      </w:r>
      <w:r>
        <w:rPr>
          <w:rFonts w:ascii="宋体" w:hAnsi="宋体"/>
          <w:b w:val="0"/>
          <w:snapToGrid w:val="0"/>
          <w:color w:val="auto"/>
          <w:sz w:val="24"/>
          <w:szCs w:val="24"/>
          <w:highlight w:val="none"/>
        </w:rPr>
        <w:t xml:space="preserve">  履约担保</w:t>
      </w:r>
      <w:bookmarkEnd w:id="486"/>
      <w:bookmarkEnd w:id="487"/>
      <w:bookmarkEnd w:id="488"/>
      <w:bookmarkEnd w:id="489"/>
      <w:bookmarkEnd w:id="490"/>
      <w:bookmarkEnd w:id="491"/>
      <w:bookmarkEnd w:id="492"/>
      <w:bookmarkEnd w:id="493"/>
    </w:p>
    <w:p w14:paraId="6B14D84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 xml:space="preserve">.1  </w:t>
      </w:r>
      <w:r>
        <w:rPr>
          <w:rFonts w:hint="eastAsia"/>
          <w:color w:val="auto"/>
          <w:highlight w:val="none"/>
        </w:rPr>
        <w:t>在签订合同前，中标人应按投标人须知前附表规定的担保形式和招标文件第四章“合同条款及格式”规定的或者事先经过招标人书面认可的履约担保格式向招标人提交履约担保。除投标人须知前附表另有规定外，履约担保金额为中标合同金额的10%。联合体中标的，其履约担保由联合体牵头人提交。</w:t>
      </w:r>
    </w:p>
    <w:p w14:paraId="7515A101">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7.</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.2  中标人不能按本章第7.</w:t>
      </w:r>
      <w:r>
        <w:rPr>
          <w:rFonts w:hint="eastAsia" w:ascii="宋体" w:hAnsi="宋体"/>
          <w:snapToGrid w:val="0"/>
          <w:color w:val="auto"/>
          <w:kern w:val="0"/>
          <w:szCs w:val="21"/>
          <w:highlight w:val="none"/>
        </w:rPr>
        <w:t>4</w:t>
      </w:r>
      <w:r>
        <w:rPr>
          <w:rFonts w:ascii="宋体" w:hAnsi="宋体"/>
          <w:snapToGrid w:val="0"/>
          <w:color w:val="auto"/>
          <w:kern w:val="0"/>
          <w:szCs w:val="21"/>
          <w:highlight w:val="none"/>
        </w:rPr>
        <w:t>.1项要求提交履约担保的，视为放弃中标，其投标保证金不予退还，给招标人造成的损失超过投标保证金数额的，中标人还应当对超过部分予以赔偿。</w:t>
      </w:r>
    </w:p>
    <w:p w14:paraId="5CDB4CBD">
      <w:pPr>
        <w:pStyle w:val="5"/>
        <w:snapToGrid w:val="0"/>
        <w:spacing w:before="0" w:after="0" w:line="360" w:lineRule="auto"/>
        <w:rPr>
          <w:rFonts w:ascii="宋体" w:hAnsi="宋体"/>
          <w:b w:val="0"/>
          <w:snapToGrid w:val="0"/>
          <w:color w:val="auto"/>
          <w:sz w:val="24"/>
          <w:szCs w:val="24"/>
          <w:highlight w:val="none"/>
        </w:rPr>
      </w:pPr>
      <w:bookmarkStart w:id="494" w:name="_Toc200513168"/>
      <w:bookmarkStart w:id="495" w:name="_Toc287607788"/>
      <w:bookmarkStart w:id="496" w:name="_Toc287620727"/>
      <w:bookmarkStart w:id="497" w:name="_Toc224103359"/>
      <w:bookmarkStart w:id="498" w:name="_Toc430530477"/>
      <w:bookmarkStart w:id="499" w:name="_Toc58860110"/>
      <w:bookmarkStart w:id="500" w:name="_Toc277082594"/>
      <w:bookmarkStart w:id="501" w:name="_Toc509218752"/>
      <w:r>
        <w:rPr>
          <w:rFonts w:ascii="宋体" w:hAnsi="宋体"/>
          <w:b w:val="0"/>
          <w:snapToGrid w:val="0"/>
          <w:color w:val="auto"/>
          <w:sz w:val="24"/>
          <w:szCs w:val="24"/>
          <w:highlight w:val="none"/>
        </w:rPr>
        <w:t>7.</w:t>
      </w:r>
      <w:r>
        <w:rPr>
          <w:rFonts w:hint="eastAsia" w:ascii="宋体" w:hAnsi="宋体"/>
          <w:b w:val="0"/>
          <w:snapToGrid w:val="0"/>
          <w:color w:val="auto"/>
          <w:sz w:val="24"/>
          <w:szCs w:val="24"/>
          <w:highlight w:val="none"/>
        </w:rPr>
        <w:t>5</w:t>
      </w:r>
      <w:r>
        <w:rPr>
          <w:rFonts w:ascii="宋体" w:hAnsi="宋体"/>
          <w:b w:val="0"/>
          <w:snapToGrid w:val="0"/>
          <w:color w:val="auto"/>
          <w:sz w:val="24"/>
          <w:szCs w:val="24"/>
          <w:highlight w:val="none"/>
        </w:rPr>
        <w:t xml:space="preserve">  签订合同</w:t>
      </w:r>
      <w:bookmarkEnd w:id="494"/>
      <w:bookmarkEnd w:id="495"/>
      <w:bookmarkEnd w:id="496"/>
      <w:bookmarkEnd w:id="497"/>
      <w:bookmarkEnd w:id="498"/>
      <w:bookmarkEnd w:id="499"/>
      <w:bookmarkEnd w:id="500"/>
      <w:bookmarkEnd w:id="501"/>
    </w:p>
    <w:p w14:paraId="27C2E1A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w:t>
      </w:r>
      <w:r>
        <w:rPr>
          <w:rFonts w:hint="eastAsia" w:ascii="宋体" w:hAnsi="宋体"/>
          <w:snapToGrid w:val="0"/>
          <w:color w:val="auto"/>
          <w:kern w:val="0"/>
          <w:szCs w:val="21"/>
          <w:highlight w:val="none"/>
        </w:rPr>
        <w:t>5</w:t>
      </w:r>
      <w:r>
        <w:rPr>
          <w:rFonts w:ascii="宋体" w:hAnsi="宋体"/>
          <w:snapToGrid w:val="0"/>
          <w:color w:val="auto"/>
          <w:kern w:val="0"/>
          <w:szCs w:val="21"/>
          <w:highlight w:val="none"/>
        </w:rPr>
        <w:t>.1 招标人和中标人应当自中标通知书发出之日起 30 天内，根据招标文件和中标人的投标文件订立书面合同。中标人</w:t>
      </w:r>
      <w:r>
        <w:rPr>
          <w:rFonts w:hint="eastAsia" w:ascii="宋体" w:hAnsi="宋体"/>
          <w:snapToGrid w:val="0"/>
          <w:color w:val="auto"/>
          <w:kern w:val="0"/>
          <w:szCs w:val="21"/>
          <w:highlight w:val="none"/>
        </w:rPr>
        <w:t>放弃中标项目，</w:t>
      </w:r>
      <w:r>
        <w:rPr>
          <w:rFonts w:ascii="宋体" w:hAnsi="宋体"/>
          <w:snapToGrid w:val="0"/>
          <w:color w:val="auto"/>
          <w:kern w:val="0"/>
          <w:szCs w:val="21"/>
          <w:highlight w:val="none"/>
        </w:rPr>
        <w:t>无正当理由</w:t>
      </w:r>
      <w:r>
        <w:rPr>
          <w:rFonts w:hint="eastAsia" w:ascii="宋体" w:hAnsi="宋体"/>
          <w:snapToGrid w:val="0"/>
          <w:color w:val="auto"/>
          <w:kern w:val="0"/>
          <w:szCs w:val="21"/>
          <w:highlight w:val="none"/>
        </w:rPr>
        <w:t>不与招标人签订合同，在签订合同时向招标人提出附加条件或者更改合同实质性内容的，</w:t>
      </w:r>
      <w:r>
        <w:rPr>
          <w:rFonts w:ascii="宋体" w:hAnsi="宋体"/>
          <w:snapToGrid w:val="0"/>
          <w:color w:val="auto"/>
          <w:kern w:val="0"/>
          <w:szCs w:val="21"/>
          <w:highlight w:val="none"/>
        </w:rPr>
        <w:t>招标人取消其中标资格，其投标保证金不予退还；给招标人造成的损失超过投标保证金数额的，中标人还应当对超过部分予以赔偿。</w:t>
      </w:r>
    </w:p>
    <w:p w14:paraId="753FAEC4">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7.</w:t>
      </w:r>
      <w:r>
        <w:rPr>
          <w:rFonts w:hint="eastAsia" w:ascii="宋体" w:hAnsi="宋体"/>
          <w:snapToGrid w:val="0"/>
          <w:color w:val="auto"/>
          <w:kern w:val="0"/>
          <w:szCs w:val="21"/>
          <w:highlight w:val="none"/>
        </w:rPr>
        <w:t>5</w:t>
      </w:r>
      <w:r>
        <w:rPr>
          <w:rFonts w:ascii="宋体" w:hAnsi="宋体"/>
          <w:snapToGrid w:val="0"/>
          <w:color w:val="auto"/>
          <w:kern w:val="0"/>
          <w:szCs w:val="21"/>
          <w:highlight w:val="none"/>
        </w:rPr>
        <w:t>.2  发出中标通知书后，招标人无正当理由拒签合同的，招标人向中标人退还投标保证金；给中标人造成损失的，还应当赔偿损失。</w:t>
      </w:r>
    </w:p>
    <w:p w14:paraId="0B3A4B02">
      <w:pPr>
        <w:pStyle w:val="4"/>
        <w:spacing w:before="0" w:after="0" w:line="360" w:lineRule="auto"/>
        <w:rPr>
          <w:rFonts w:ascii="宋体" w:hAnsi="宋体"/>
          <w:b w:val="0"/>
          <w:snapToGrid w:val="0"/>
          <w:color w:val="auto"/>
          <w:highlight w:val="none"/>
        </w:rPr>
      </w:pPr>
      <w:bookmarkStart w:id="502" w:name="_Toc224103360"/>
      <w:bookmarkStart w:id="503" w:name="_Toc509218753"/>
      <w:bookmarkStart w:id="504" w:name="_Toc430530478"/>
      <w:bookmarkStart w:id="505" w:name="_Toc287620728"/>
      <w:bookmarkStart w:id="506" w:name="_Toc58860111"/>
      <w:bookmarkStart w:id="507" w:name="_Toc200513169"/>
      <w:bookmarkStart w:id="508" w:name="_Toc287607789"/>
      <w:bookmarkStart w:id="509" w:name="_Toc277082595"/>
      <w:r>
        <w:rPr>
          <w:rFonts w:ascii="宋体" w:hAnsi="宋体"/>
          <w:b w:val="0"/>
          <w:snapToGrid w:val="0"/>
          <w:color w:val="auto"/>
          <w:highlight w:val="none"/>
        </w:rPr>
        <w:t>8.  重新招标和不再招标</w:t>
      </w:r>
      <w:bookmarkEnd w:id="502"/>
      <w:bookmarkEnd w:id="503"/>
      <w:bookmarkEnd w:id="504"/>
      <w:bookmarkEnd w:id="505"/>
      <w:bookmarkEnd w:id="506"/>
      <w:bookmarkEnd w:id="507"/>
      <w:bookmarkEnd w:id="508"/>
      <w:bookmarkEnd w:id="509"/>
    </w:p>
    <w:p w14:paraId="67F9B51E">
      <w:pPr>
        <w:pStyle w:val="5"/>
        <w:snapToGrid w:val="0"/>
        <w:spacing w:before="0" w:after="0" w:line="360" w:lineRule="auto"/>
        <w:rPr>
          <w:rFonts w:ascii="宋体" w:hAnsi="宋体"/>
          <w:b w:val="0"/>
          <w:snapToGrid w:val="0"/>
          <w:color w:val="auto"/>
          <w:sz w:val="24"/>
          <w:szCs w:val="24"/>
          <w:highlight w:val="none"/>
        </w:rPr>
      </w:pPr>
      <w:bookmarkStart w:id="510" w:name="_Toc58860112"/>
      <w:bookmarkStart w:id="511" w:name="_Toc224103361"/>
      <w:bookmarkStart w:id="512" w:name="_Toc287620729"/>
      <w:bookmarkStart w:id="513" w:name="_Toc200513170"/>
      <w:bookmarkStart w:id="514" w:name="_Toc287607790"/>
      <w:bookmarkStart w:id="515" w:name="_Toc430530479"/>
      <w:bookmarkStart w:id="516" w:name="_Toc509218754"/>
      <w:bookmarkStart w:id="517" w:name="_Toc277082596"/>
      <w:r>
        <w:rPr>
          <w:rFonts w:ascii="宋体" w:hAnsi="宋体"/>
          <w:b w:val="0"/>
          <w:snapToGrid w:val="0"/>
          <w:color w:val="auto"/>
          <w:sz w:val="24"/>
          <w:szCs w:val="24"/>
          <w:highlight w:val="none"/>
        </w:rPr>
        <w:t>8.1  重新招标</w:t>
      </w:r>
      <w:bookmarkEnd w:id="510"/>
      <w:bookmarkEnd w:id="511"/>
      <w:bookmarkEnd w:id="512"/>
      <w:bookmarkEnd w:id="513"/>
      <w:bookmarkEnd w:id="514"/>
      <w:bookmarkEnd w:id="515"/>
      <w:bookmarkEnd w:id="516"/>
      <w:bookmarkEnd w:id="517"/>
    </w:p>
    <w:p w14:paraId="78801957">
      <w:pPr>
        <w:autoSpaceDE w:val="0"/>
        <w:autoSpaceDN w:val="0"/>
        <w:adjustRightInd w:val="0"/>
        <w:snapToGrid w:val="0"/>
        <w:spacing w:line="360" w:lineRule="auto"/>
        <w:ind w:left="359" w:leftChars="171"/>
        <w:rPr>
          <w:rFonts w:ascii="宋体" w:hAnsi="宋体"/>
          <w:snapToGrid w:val="0"/>
          <w:color w:val="auto"/>
          <w:kern w:val="0"/>
          <w:szCs w:val="21"/>
          <w:highlight w:val="none"/>
        </w:rPr>
      </w:pPr>
      <w:r>
        <w:rPr>
          <w:rFonts w:ascii="宋体" w:hAnsi="宋体"/>
          <w:snapToGrid w:val="0"/>
          <w:color w:val="auto"/>
          <w:kern w:val="0"/>
          <w:szCs w:val="21"/>
          <w:highlight w:val="none"/>
        </w:rPr>
        <w:t>有下列情形之一的，招标人将重新招标：</w:t>
      </w:r>
    </w:p>
    <w:p w14:paraId="39D1410B">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（1）投标截止时间止，投标人少于 3 个的；</w:t>
      </w:r>
    </w:p>
    <w:p w14:paraId="7F17F2C8">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（2）经评标委员会评审后否决所有投标的；</w:t>
      </w:r>
    </w:p>
    <w:p w14:paraId="7046FE30">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经评标委员会评审后部分投标被否决，导致有效投标人不足三个的，评标委员会应当否决所有投标。但是有效投标人的经济、技术等指标仍然具有市场竞争力，能够满足招标文件要求的，评标委员会可以继续评标并确定中标候选人</w:t>
      </w:r>
      <w:r>
        <w:rPr>
          <w:rFonts w:ascii="宋体" w:hAnsi="宋体"/>
          <w:snapToGrid w:val="0"/>
          <w:color w:val="auto"/>
          <w:kern w:val="0"/>
          <w:szCs w:val="21"/>
          <w:highlight w:val="none"/>
        </w:rPr>
        <w:t>；</w:t>
      </w:r>
    </w:p>
    <w:p w14:paraId="55625A4C">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（4）法律法规规定的其他情形。</w:t>
      </w:r>
    </w:p>
    <w:p w14:paraId="45E77B08">
      <w:pPr>
        <w:pStyle w:val="5"/>
        <w:snapToGrid w:val="0"/>
        <w:spacing w:before="0" w:after="0" w:line="360" w:lineRule="auto"/>
        <w:rPr>
          <w:rFonts w:ascii="宋体" w:hAnsi="宋体"/>
          <w:b w:val="0"/>
          <w:snapToGrid w:val="0"/>
          <w:color w:val="auto"/>
          <w:sz w:val="24"/>
          <w:szCs w:val="24"/>
          <w:highlight w:val="none"/>
        </w:rPr>
      </w:pPr>
      <w:bookmarkStart w:id="518" w:name="_Toc287607791"/>
      <w:bookmarkStart w:id="519" w:name="_Toc287620730"/>
      <w:bookmarkStart w:id="520" w:name="_Toc430530480"/>
      <w:bookmarkStart w:id="521" w:name="_Toc277082597"/>
      <w:bookmarkStart w:id="522" w:name="_Toc509218755"/>
      <w:bookmarkStart w:id="523" w:name="_Toc200513171"/>
      <w:bookmarkStart w:id="524" w:name="_Toc224103362"/>
      <w:bookmarkStart w:id="525" w:name="_Toc58860113"/>
      <w:r>
        <w:rPr>
          <w:rFonts w:ascii="宋体" w:hAnsi="宋体"/>
          <w:b w:val="0"/>
          <w:snapToGrid w:val="0"/>
          <w:color w:val="auto"/>
          <w:sz w:val="24"/>
          <w:szCs w:val="24"/>
          <w:highlight w:val="none"/>
        </w:rPr>
        <w:t>8.2  二次招标和不再招标</w:t>
      </w:r>
      <w:bookmarkEnd w:id="518"/>
      <w:bookmarkEnd w:id="519"/>
      <w:bookmarkEnd w:id="520"/>
      <w:bookmarkEnd w:id="521"/>
      <w:bookmarkEnd w:id="522"/>
      <w:bookmarkEnd w:id="523"/>
      <w:bookmarkEnd w:id="524"/>
      <w:bookmarkEnd w:id="525"/>
    </w:p>
    <w:p w14:paraId="0E57BC75">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lang w:val="en"/>
        </w:rPr>
        <w:t>重新招标的投标人仍然少于三个的，按照招标投标法律法规规定的程序开标和评标。重新招标经评审有有效投标人的，应当依法确定中标候选人；无有效投标人的，可以不再进行招标，但是按照国家有关规定需要履行审批、核准、备案手续的依法必须进行招标的项目，应当报原项目投资主管部门审批、核准、备案。</w:t>
      </w:r>
    </w:p>
    <w:p w14:paraId="4EDFEB52">
      <w:pPr>
        <w:pStyle w:val="4"/>
        <w:spacing w:before="0" w:after="0" w:line="360" w:lineRule="auto"/>
        <w:rPr>
          <w:rFonts w:ascii="宋体" w:hAnsi="宋体"/>
          <w:b w:val="0"/>
          <w:snapToGrid w:val="0"/>
          <w:color w:val="auto"/>
          <w:highlight w:val="none"/>
        </w:rPr>
      </w:pPr>
      <w:bookmarkStart w:id="526" w:name="_Toc509218756"/>
      <w:bookmarkStart w:id="527" w:name="_Toc200513172"/>
      <w:bookmarkStart w:id="528" w:name="_Toc287607792"/>
      <w:bookmarkStart w:id="529" w:name="_Toc224103363"/>
      <w:bookmarkStart w:id="530" w:name="_Toc430530481"/>
      <w:bookmarkStart w:id="531" w:name="_Toc277082598"/>
      <w:bookmarkStart w:id="532" w:name="_Toc287620731"/>
      <w:bookmarkStart w:id="533" w:name="_Toc58860114"/>
      <w:r>
        <w:rPr>
          <w:rFonts w:ascii="宋体" w:hAnsi="宋体"/>
          <w:b w:val="0"/>
          <w:snapToGrid w:val="0"/>
          <w:color w:val="auto"/>
          <w:highlight w:val="none"/>
        </w:rPr>
        <w:t>9.  纪律和监督</w:t>
      </w:r>
      <w:bookmarkEnd w:id="526"/>
      <w:bookmarkEnd w:id="527"/>
      <w:bookmarkEnd w:id="528"/>
      <w:bookmarkEnd w:id="529"/>
      <w:bookmarkEnd w:id="530"/>
      <w:bookmarkEnd w:id="531"/>
      <w:bookmarkEnd w:id="532"/>
      <w:bookmarkEnd w:id="533"/>
    </w:p>
    <w:p w14:paraId="6A9344F5">
      <w:pPr>
        <w:pStyle w:val="5"/>
        <w:snapToGrid w:val="0"/>
        <w:spacing w:before="0" w:after="0" w:line="360" w:lineRule="auto"/>
        <w:rPr>
          <w:rFonts w:ascii="宋体" w:hAnsi="宋体"/>
          <w:b w:val="0"/>
          <w:snapToGrid w:val="0"/>
          <w:color w:val="auto"/>
          <w:sz w:val="24"/>
          <w:szCs w:val="24"/>
          <w:highlight w:val="none"/>
        </w:rPr>
      </w:pPr>
      <w:bookmarkStart w:id="534" w:name="_Toc287620732"/>
      <w:bookmarkStart w:id="535" w:name="_Toc277082599"/>
      <w:bookmarkStart w:id="536" w:name="_Toc200513173"/>
      <w:bookmarkStart w:id="537" w:name="_Toc287607793"/>
      <w:bookmarkStart w:id="538" w:name="_Toc58860115"/>
      <w:bookmarkStart w:id="539" w:name="_Toc430530482"/>
      <w:bookmarkStart w:id="540" w:name="_Toc224103364"/>
      <w:bookmarkStart w:id="541" w:name="_Toc509218757"/>
      <w:r>
        <w:rPr>
          <w:rFonts w:ascii="宋体" w:hAnsi="宋体"/>
          <w:b w:val="0"/>
          <w:snapToGrid w:val="0"/>
          <w:color w:val="auto"/>
          <w:sz w:val="24"/>
          <w:szCs w:val="24"/>
          <w:highlight w:val="none"/>
        </w:rPr>
        <w:t>9.1  对招标人的纪律要求</w:t>
      </w:r>
      <w:bookmarkEnd w:id="534"/>
      <w:bookmarkEnd w:id="535"/>
      <w:bookmarkEnd w:id="536"/>
      <w:bookmarkEnd w:id="537"/>
      <w:bookmarkEnd w:id="538"/>
      <w:bookmarkEnd w:id="539"/>
      <w:bookmarkEnd w:id="540"/>
      <w:bookmarkEnd w:id="541"/>
    </w:p>
    <w:p w14:paraId="396B659F">
      <w:pPr>
        <w:autoSpaceDE w:val="0"/>
        <w:autoSpaceDN w:val="0"/>
        <w:adjustRightInd w:val="0"/>
        <w:snapToGrid w:val="0"/>
        <w:spacing w:line="360" w:lineRule="auto"/>
        <w:ind w:firstLine="420"/>
        <w:rPr>
          <w:rFonts w:ascii="宋体" w:hAnsi="宋体"/>
          <w:color w:val="auto"/>
          <w:highlight w:val="none"/>
        </w:rPr>
      </w:pPr>
      <w:r>
        <w:rPr>
          <w:rFonts w:ascii="宋体" w:hAnsi="宋体"/>
          <w:snapToGrid w:val="0"/>
          <w:color w:val="auto"/>
          <w:kern w:val="0"/>
          <w:szCs w:val="21"/>
          <w:highlight w:val="none"/>
        </w:rPr>
        <w:t>招标人不得泄漏招标投标活动中应当保密的情况和资料，不得与投标人串通损害国家利益、社会公共利益或者他人合法权益，</w:t>
      </w:r>
      <w:r>
        <w:rPr>
          <w:rFonts w:ascii="宋体" w:hAnsi="宋体"/>
          <w:color w:val="auto"/>
          <w:highlight w:val="none"/>
        </w:rPr>
        <w:t>禁止招标人与投标人串通投标。</w:t>
      </w:r>
    </w:p>
    <w:p w14:paraId="4C789E60">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有下列情形之一的，属于招标人与投标人串通投标：</w:t>
      </w:r>
    </w:p>
    <w:p w14:paraId="05A4A791">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（1）招标人在开标前开启投标文件并将有关信息泄露给其他投标人</w:t>
      </w:r>
      <w:r>
        <w:rPr>
          <w:rFonts w:hint="eastAsia" w:ascii="宋体" w:hAnsi="宋体"/>
          <w:color w:val="auto"/>
          <w:highlight w:val="none"/>
        </w:rPr>
        <w:t>；</w:t>
      </w:r>
    </w:p>
    <w:p w14:paraId="3BF38CC7">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（2）招标人直接或者间接向投标人泄露标底、评标委员会成员等信息；</w:t>
      </w:r>
    </w:p>
    <w:p w14:paraId="2B7C08A0">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（3）招标人明示或者暗示投标人压低或者抬高投标报价；</w:t>
      </w:r>
    </w:p>
    <w:p w14:paraId="2331B3D5">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（4）招标人授意投标人撤换、修改投标文件；</w:t>
      </w:r>
    </w:p>
    <w:p w14:paraId="22B4A8C1">
      <w:pPr>
        <w:autoSpaceDE w:val="0"/>
        <w:autoSpaceDN w:val="0"/>
        <w:adjustRightInd w:val="0"/>
        <w:snapToGrid w:val="0"/>
        <w:spacing w:line="360" w:lineRule="auto"/>
        <w:ind w:firstLine="420"/>
        <w:rPr>
          <w:rFonts w:ascii="宋体" w:hAnsi="宋体"/>
          <w:color w:val="auto"/>
          <w:highlight w:val="none"/>
        </w:rPr>
      </w:pPr>
      <w:r>
        <w:rPr>
          <w:rFonts w:ascii="宋体" w:hAnsi="宋体"/>
          <w:color w:val="auto"/>
          <w:highlight w:val="none"/>
        </w:rPr>
        <w:t>（5）招标人明示或者暗示投标人为特定投标人中标提供方便；</w:t>
      </w:r>
    </w:p>
    <w:p w14:paraId="04E4D19E">
      <w:pPr>
        <w:autoSpaceDE w:val="0"/>
        <w:autoSpaceDN w:val="0"/>
        <w:adjustRightInd w:val="0"/>
        <w:snapToGrid w:val="0"/>
        <w:spacing w:line="360" w:lineRule="auto"/>
        <w:ind w:firstLine="420"/>
        <w:rPr>
          <w:rFonts w:ascii="宋体" w:hAnsi="宋体"/>
          <w:snapToGrid w:val="0"/>
          <w:color w:val="auto"/>
          <w:kern w:val="0"/>
          <w:szCs w:val="21"/>
          <w:highlight w:val="none"/>
        </w:rPr>
      </w:pPr>
      <w:r>
        <w:rPr>
          <w:rFonts w:ascii="宋体" w:hAnsi="宋体"/>
          <w:color w:val="auto"/>
          <w:highlight w:val="none"/>
        </w:rPr>
        <w:t>（6）招标人与投标人为谋求特定投标人中标而采取的其他串通行为。</w:t>
      </w:r>
    </w:p>
    <w:p w14:paraId="077CE5E7">
      <w:pPr>
        <w:pStyle w:val="5"/>
        <w:snapToGrid w:val="0"/>
        <w:spacing w:before="0" w:after="0" w:line="360" w:lineRule="auto"/>
        <w:rPr>
          <w:rFonts w:ascii="宋体" w:hAnsi="宋体"/>
          <w:b w:val="0"/>
          <w:snapToGrid w:val="0"/>
          <w:color w:val="auto"/>
          <w:sz w:val="24"/>
          <w:szCs w:val="24"/>
          <w:highlight w:val="none"/>
        </w:rPr>
      </w:pPr>
      <w:bookmarkStart w:id="542" w:name="_Toc277082600"/>
      <w:bookmarkStart w:id="543" w:name="_Toc287607794"/>
      <w:bookmarkStart w:id="544" w:name="_Toc430530483"/>
      <w:bookmarkStart w:id="545" w:name="_Toc58860116"/>
      <w:bookmarkStart w:id="546" w:name="_Toc224103365"/>
      <w:bookmarkStart w:id="547" w:name="_Toc509218758"/>
      <w:bookmarkStart w:id="548" w:name="_Toc287620733"/>
      <w:bookmarkStart w:id="549" w:name="_Toc200513174"/>
      <w:r>
        <w:rPr>
          <w:rFonts w:ascii="宋体" w:hAnsi="宋体"/>
          <w:b w:val="0"/>
          <w:snapToGrid w:val="0"/>
          <w:color w:val="auto"/>
          <w:sz w:val="24"/>
          <w:szCs w:val="24"/>
          <w:highlight w:val="none"/>
        </w:rPr>
        <w:t>9.2  对投标人的纪律要求</w:t>
      </w:r>
      <w:bookmarkEnd w:id="542"/>
      <w:bookmarkEnd w:id="543"/>
      <w:bookmarkEnd w:id="544"/>
      <w:bookmarkEnd w:id="545"/>
      <w:bookmarkEnd w:id="546"/>
      <w:bookmarkEnd w:id="547"/>
      <w:bookmarkEnd w:id="548"/>
      <w:bookmarkEnd w:id="549"/>
    </w:p>
    <w:p w14:paraId="439B7222">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1498E04D">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snapToGrid w:val="0"/>
          <w:color w:val="auto"/>
          <w:kern w:val="0"/>
          <w:szCs w:val="21"/>
          <w:highlight w:val="none"/>
        </w:rPr>
        <w:t xml:space="preserve">9.2.1  </w:t>
      </w:r>
      <w:r>
        <w:rPr>
          <w:rFonts w:ascii="宋体" w:hAnsi="宋体"/>
          <w:color w:val="auto"/>
          <w:highlight w:val="none"/>
        </w:rPr>
        <w:t>有下列情形之一的，属于投标人相互串通投标：</w:t>
      </w:r>
    </w:p>
    <w:p w14:paraId="1E09D92F">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（1）投标人之间协商投标报价等投标文件的实质性内容；</w:t>
      </w:r>
    </w:p>
    <w:p w14:paraId="2C57F3E4">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（2）投标人之间约定中标人；</w:t>
      </w:r>
    </w:p>
    <w:p w14:paraId="7FB74D10">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（3）投标人之间约定部分投标人放弃投标或者中标；</w:t>
      </w:r>
    </w:p>
    <w:p w14:paraId="7F968AA3">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（4）属于同一集团、协会、商会等组织成员的投标人按照该组织要求协同投标；</w:t>
      </w:r>
    </w:p>
    <w:p w14:paraId="7C1959BE">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（5）投标人之间为谋取中标或者排斥特定投标人而采取的其他联合行动。</w:t>
      </w:r>
    </w:p>
    <w:p w14:paraId="7B2973A3">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9.2.2  </w:t>
      </w:r>
      <w:r>
        <w:rPr>
          <w:rFonts w:ascii="宋体" w:hAnsi="宋体"/>
          <w:color w:val="auto"/>
          <w:highlight w:val="none"/>
        </w:rPr>
        <w:t>有下列情形之一的，视为投标人相互串通投标：</w:t>
      </w:r>
    </w:p>
    <w:p w14:paraId="4A978F31">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（1）不同投标人的投标文件由同一单位或者个人编制；</w:t>
      </w:r>
    </w:p>
    <w:p w14:paraId="4645DF99">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（2）不同投标人委托同一单位或者个人办理投标事宜；</w:t>
      </w:r>
    </w:p>
    <w:p w14:paraId="137252E0">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（3）不同投标人的投标文件载明的项目管理成员为同一人；</w:t>
      </w:r>
    </w:p>
    <w:p w14:paraId="76F1E4B8">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（4）不同投标人的投标文件异常一致或者投标报价呈规律性差异；</w:t>
      </w:r>
    </w:p>
    <w:p w14:paraId="0732A68F">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（5）不同投标人的投标文件相互混装；</w:t>
      </w:r>
    </w:p>
    <w:p w14:paraId="1605F659">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（6）不同投标人的投标保证金从同一单位或者个人的账户转出</w:t>
      </w:r>
      <w:r>
        <w:rPr>
          <w:rFonts w:hint="eastAsia" w:ascii="宋体" w:hAnsi="宋体"/>
          <w:color w:val="auto"/>
          <w:highlight w:val="none"/>
        </w:rPr>
        <w:t>；</w:t>
      </w:r>
    </w:p>
    <w:p w14:paraId="3C4B7510">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（7）不同投标人的电子投标文件MAC地址相同。</w:t>
      </w:r>
    </w:p>
    <w:p w14:paraId="600A2395">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9.2.3  </w:t>
      </w:r>
      <w:r>
        <w:rPr>
          <w:rFonts w:ascii="宋体" w:hAnsi="宋体"/>
          <w:color w:val="auto"/>
          <w:highlight w:val="none"/>
        </w:rPr>
        <w:t>使用通过受让或者租借等方式获取的资格、资质证书投标的，属于以他人名义投标。</w:t>
      </w:r>
    </w:p>
    <w:p w14:paraId="17F5A39A">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 xml:space="preserve">9.2.4  </w:t>
      </w:r>
      <w:r>
        <w:rPr>
          <w:rFonts w:ascii="宋体" w:hAnsi="宋体"/>
          <w:color w:val="auto"/>
          <w:highlight w:val="none"/>
        </w:rPr>
        <w:t>投标人有下列情形之一的，属于以其他方式弄虚作假的行为：</w:t>
      </w:r>
    </w:p>
    <w:p w14:paraId="3EB154BD">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highlight w:val="none"/>
        </w:rPr>
        <w:t>（1）</w:t>
      </w:r>
      <w:r>
        <w:rPr>
          <w:rFonts w:ascii="宋体" w:hAnsi="宋体"/>
          <w:color w:val="auto"/>
          <w:highlight w:val="none"/>
        </w:rPr>
        <w:t>使用伪造、变造的许可证件；</w:t>
      </w:r>
    </w:p>
    <w:p w14:paraId="477077B0">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2</w:t>
      </w:r>
      <w:r>
        <w:rPr>
          <w:rFonts w:ascii="宋体" w:hAnsi="宋体"/>
          <w:color w:val="auto"/>
          <w:highlight w:val="none"/>
        </w:rPr>
        <w:t>）提供虚假的财务状况或者业绩；</w:t>
      </w:r>
    </w:p>
    <w:p w14:paraId="01D54F1D">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3</w:t>
      </w:r>
      <w:r>
        <w:rPr>
          <w:rFonts w:ascii="宋体" w:hAnsi="宋体"/>
          <w:color w:val="auto"/>
          <w:highlight w:val="none"/>
        </w:rPr>
        <w:t>）提供虚假的项目负责人或者主要技术人员简历、劳动关系证明；</w:t>
      </w:r>
    </w:p>
    <w:p w14:paraId="142AD783">
      <w:pPr>
        <w:autoSpaceDE w:val="0"/>
        <w:autoSpaceDN w:val="0"/>
        <w:adjustRightInd w:val="0"/>
        <w:snapToGrid w:val="0"/>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4</w:t>
      </w:r>
      <w:r>
        <w:rPr>
          <w:rFonts w:ascii="宋体" w:hAnsi="宋体"/>
          <w:color w:val="auto"/>
          <w:highlight w:val="none"/>
        </w:rPr>
        <w:t>）提供虚假的信用状况；</w:t>
      </w:r>
    </w:p>
    <w:p w14:paraId="5F7D908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color w:val="auto"/>
          <w:highlight w:val="none"/>
        </w:rPr>
        <w:t>（</w:t>
      </w:r>
      <w:r>
        <w:rPr>
          <w:rFonts w:hint="eastAsia" w:ascii="宋体" w:hAnsi="宋体"/>
          <w:color w:val="auto"/>
          <w:highlight w:val="none"/>
        </w:rPr>
        <w:t>5</w:t>
      </w:r>
      <w:r>
        <w:rPr>
          <w:rFonts w:ascii="宋体" w:hAnsi="宋体"/>
          <w:color w:val="auto"/>
          <w:highlight w:val="none"/>
        </w:rPr>
        <w:t>）其他弄虚作假的行为。</w:t>
      </w:r>
    </w:p>
    <w:p w14:paraId="5CAF6A39">
      <w:pPr>
        <w:pStyle w:val="5"/>
        <w:snapToGrid w:val="0"/>
        <w:spacing w:before="0" w:after="0" w:line="360" w:lineRule="auto"/>
        <w:rPr>
          <w:rFonts w:ascii="宋体" w:hAnsi="宋体"/>
          <w:b w:val="0"/>
          <w:snapToGrid w:val="0"/>
          <w:color w:val="auto"/>
          <w:sz w:val="24"/>
          <w:szCs w:val="24"/>
          <w:highlight w:val="none"/>
        </w:rPr>
      </w:pPr>
      <w:bookmarkStart w:id="550" w:name="_Toc58860117"/>
      <w:bookmarkStart w:id="551" w:name="_Toc200513175"/>
      <w:bookmarkStart w:id="552" w:name="_Toc509218759"/>
      <w:bookmarkStart w:id="553" w:name="_Toc287607795"/>
      <w:bookmarkStart w:id="554" w:name="_Toc277082601"/>
      <w:bookmarkStart w:id="555" w:name="_Toc430530484"/>
      <w:bookmarkStart w:id="556" w:name="_Toc224103366"/>
      <w:bookmarkStart w:id="557" w:name="_Toc287620734"/>
      <w:r>
        <w:rPr>
          <w:rFonts w:ascii="宋体" w:hAnsi="宋体"/>
          <w:b w:val="0"/>
          <w:snapToGrid w:val="0"/>
          <w:color w:val="auto"/>
          <w:sz w:val="24"/>
          <w:szCs w:val="24"/>
          <w:highlight w:val="none"/>
        </w:rPr>
        <w:t>9.3  对评标委员会成员的纪律要求</w:t>
      </w:r>
      <w:bookmarkEnd w:id="550"/>
      <w:bookmarkEnd w:id="551"/>
      <w:bookmarkEnd w:id="552"/>
      <w:bookmarkEnd w:id="553"/>
      <w:bookmarkEnd w:id="554"/>
      <w:bookmarkEnd w:id="555"/>
      <w:bookmarkEnd w:id="556"/>
      <w:bookmarkEnd w:id="557"/>
    </w:p>
    <w:p w14:paraId="784B814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评标委员会成员不得收受他人的财物或者其他好处，不得向他人透漏对投标文件的评审和比较、中标候选人的推荐情况以及评标有关的其他情况。在评标活动中，</w:t>
      </w:r>
      <w:r>
        <w:rPr>
          <w:rFonts w:hint="eastAsia"/>
          <w:color w:val="auto"/>
          <w:highlight w:val="none"/>
        </w:rPr>
        <w:t>评标委员会成员应当客观、公正地履行职责，遵守职业道德，</w:t>
      </w:r>
      <w:r>
        <w:rPr>
          <w:rFonts w:ascii="宋体" w:hAnsi="宋体"/>
          <w:snapToGrid w:val="0"/>
          <w:color w:val="auto"/>
          <w:kern w:val="0"/>
          <w:szCs w:val="21"/>
          <w:highlight w:val="none"/>
        </w:rPr>
        <w:t>不得擅离职守，影响评标程序正常进行，不得使用第三章“评标办法”没有规定的评审因素和标准进行评标。</w:t>
      </w:r>
      <w:r>
        <w:rPr>
          <w:rFonts w:hint="eastAsia" w:ascii="宋体" w:hAnsi="宋体"/>
          <w:snapToGrid w:val="0"/>
          <w:color w:val="auto"/>
          <w:kern w:val="0"/>
          <w:szCs w:val="21"/>
          <w:highlight w:val="none"/>
        </w:rPr>
        <w:t>不得对招标文件中《否决投标情况一览表》以外的内容予以否决投标，否则对评标委员会成员按《重庆市综合评标专家库和评标专家管理暂行办法》进行处理。</w:t>
      </w:r>
    </w:p>
    <w:p w14:paraId="1BD0823B">
      <w:pPr>
        <w:pStyle w:val="5"/>
        <w:snapToGrid w:val="0"/>
        <w:spacing w:before="0" w:after="0" w:line="360" w:lineRule="auto"/>
        <w:rPr>
          <w:rFonts w:ascii="宋体" w:hAnsi="宋体"/>
          <w:b w:val="0"/>
          <w:snapToGrid w:val="0"/>
          <w:color w:val="auto"/>
          <w:sz w:val="24"/>
          <w:szCs w:val="24"/>
          <w:highlight w:val="none"/>
        </w:rPr>
      </w:pPr>
      <w:bookmarkStart w:id="558" w:name="_Toc58860118"/>
      <w:bookmarkStart w:id="559" w:name="_Toc224103367"/>
      <w:bookmarkStart w:id="560" w:name="_Toc277082602"/>
      <w:bookmarkStart w:id="561" w:name="_Toc287607796"/>
      <w:bookmarkStart w:id="562" w:name="_Toc509218760"/>
      <w:bookmarkStart w:id="563" w:name="_Toc200513176"/>
      <w:bookmarkStart w:id="564" w:name="_Toc287620735"/>
      <w:bookmarkStart w:id="565" w:name="_Toc430530485"/>
      <w:r>
        <w:rPr>
          <w:rFonts w:ascii="宋体" w:hAnsi="宋体"/>
          <w:b w:val="0"/>
          <w:snapToGrid w:val="0"/>
          <w:color w:val="auto"/>
          <w:sz w:val="24"/>
          <w:szCs w:val="24"/>
          <w:highlight w:val="none"/>
        </w:rPr>
        <w:t>9.4  对与评标活动有关的工作人员的纪律要求</w:t>
      </w:r>
      <w:bookmarkEnd w:id="558"/>
      <w:bookmarkEnd w:id="559"/>
      <w:bookmarkEnd w:id="560"/>
      <w:bookmarkEnd w:id="561"/>
      <w:bookmarkEnd w:id="562"/>
      <w:bookmarkEnd w:id="563"/>
      <w:bookmarkEnd w:id="564"/>
      <w:bookmarkEnd w:id="565"/>
    </w:p>
    <w:p w14:paraId="130C37F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与评标活动有关的工作人员不得收受他人的财物或者其他好处，不得向他人透漏对投标文件的评审和比较、中标候选人的推荐情况以及与评标有关的其他情况。在评标活动中，与评标活动有关的工作人员不得擅离职守，影响评标程序正常进行。</w:t>
      </w:r>
    </w:p>
    <w:p w14:paraId="5CC8CE9D">
      <w:pPr>
        <w:pStyle w:val="5"/>
        <w:snapToGrid w:val="0"/>
        <w:spacing w:before="0" w:after="0" w:line="360" w:lineRule="auto"/>
        <w:rPr>
          <w:rFonts w:ascii="宋体" w:hAnsi="宋体"/>
          <w:b w:val="0"/>
          <w:snapToGrid w:val="0"/>
          <w:color w:val="auto"/>
          <w:sz w:val="24"/>
          <w:szCs w:val="24"/>
          <w:highlight w:val="none"/>
        </w:rPr>
      </w:pPr>
      <w:bookmarkStart w:id="566" w:name="_Toc287607797"/>
      <w:bookmarkStart w:id="567" w:name="_Toc200513177"/>
      <w:bookmarkStart w:id="568" w:name="_Toc58860119"/>
      <w:bookmarkStart w:id="569" w:name="_Toc224103368"/>
      <w:bookmarkStart w:id="570" w:name="_Toc509218761"/>
      <w:bookmarkStart w:id="571" w:name="_Toc277082603"/>
      <w:bookmarkStart w:id="572" w:name="_Toc287620736"/>
      <w:bookmarkStart w:id="573" w:name="_Toc430530486"/>
      <w:r>
        <w:rPr>
          <w:rFonts w:ascii="宋体" w:hAnsi="宋体"/>
          <w:b w:val="0"/>
          <w:snapToGrid w:val="0"/>
          <w:color w:val="auto"/>
          <w:sz w:val="24"/>
          <w:szCs w:val="24"/>
          <w:highlight w:val="none"/>
        </w:rPr>
        <w:t>9.5  投诉</w:t>
      </w:r>
      <w:bookmarkEnd w:id="566"/>
      <w:bookmarkEnd w:id="567"/>
      <w:bookmarkEnd w:id="568"/>
      <w:bookmarkEnd w:id="569"/>
      <w:bookmarkEnd w:id="570"/>
      <w:bookmarkEnd w:id="571"/>
      <w:bookmarkEnd w:id="572"/>
      <w:bookmarkEnd w:id="573"/>
    </w:p>
    <w:p w14:paraId="3A60D97A">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投标人和其他利害关系人认为本次招标活动违反法律、法规和规章规定的，有权向有关行政监督部门投诉。</w:t>
      </w:r>
    </w:p>
    <w:p w14:paraId="72D3D720">
      <w:pPr>
        <w:pStyle w:val="4"/>
        <w:spacing w:before="0" w:after="0" w:line="360" w:lineRule="auto"/>
        <w:rPr>
          <w:rFonts w:ascii="宋体" w:hAnsi="宋体"/>
          <w:b w:val="0"/>
          <w:snapToGrid w:val="0"/>
          <w:color w:val="auto"/>
          <w:highlight w:val="none"/>
        </w:rPr>
      </w:pPr>
      <w:bookmarkStart w:id="574" w:name="_Toc277082604"/>
      <w:bookmarkStart w:id="575" w:name="_Toc58860120"/>
      <w:bookmarkStart w:id="576" w:name="_Toc509218762"/>
      <w:bookmarkStart w:id="577" w:name="_Toc287620737"/>
      <w:bookmarkStart w:id="578" w:name="_Toc287607798"/>
      <w:bookmarkStart w:id="579" w:name="_Toc430530487"/>
      <w:bookmarkStart w:id="580" w:name="_Toc200513178"/>
      <w:bookmarkStart w:id="581" w:name="_Toc224103369"/>
      <w:r>
        <w:rPr>
          <w:rFonts w:ascii="宋体" w:hAnsi="宋体"/>
          <w:b w:val="0"/>
          <w:snapToGrid w:val="0"/>
          <w:color w:val="auto"/>
          <w:highlight w:val="none"/>
        </w:rPr>
        <w:t>10. 需要补充的其他内容</w:t>
      </w:r>
      <w:bookmarkEnd w:id="574"/>
      <w:bookmarkEnd w:id="575"/>
      <w:bookmarkEnd w:id="576"/>
      <w:bookmarkEnd w:id="577"/>
      <w:bookmarkEnd w:id="578"/>
      <w:bookmarkEnd w:id="579"/>
      <w:bookmarkEnd w:id="580"/>
      <w:bookmarkEnd w:id="581"/>
    </w:p>
    <w:p w14:paraId="5EAE9C74">
      <w:pPr>
        <w:autoSpaceDE w:val="0"/>
        <w:autoSpaceDN w:val="0"/>
        <w:adjustRightInd w:val="0"/>
        <w:snapToGri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需要补充的其他内容：见投标人须知前附表。</w:t>
      </w:r>
    </w:p>
    <w:p w14:paraId="1FD0C859">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snapToGrid w:val="0"/>
          <w:color w:val="auto"/>
          <w:kern w:val="0"/>
          <w:szCs w:val="21"/>
          <w:highlight w:val="none"/>
        </w:rPr>
        <w:br w:type="page"/>
      </w:r>
      <w:r>
        <w:rPr>
          <w:rFonts w:ascii="宋体" w:hAnsi="宋体"/>
          <w:b/>
          <w:snapToGrid w:val="0"/>
          <w:color w:val="auto"/>
          <w:kern w:val="0"/>
          <w:highlight w:val="none"/>
        </w:rPr>
        <w:t>附表一：开标记录表</w:t>
      </w:r>
    </w:p>
    <w:p w14:paraId="22E9D7B1">
      <w:pPr>
        <w:autoSpaceDE w:val="0"/>
        <w:autoSpaceDN w:val="0"/>
        <w:adjustRightInd w:val="0"/>
        <w:snapToGrid w:val="0"/>
        <w:spacing w:line="360" w:lineRule="auto"/>
        <w:jc w:val="left"/>
        <w:rPr>
          <w:rFonts w:ascii="宋体" w:hAnsi="宋体"/>
          <w:b/>
          <w:snapToGrid w:val="0"/>
          <w:color w:val="auto"/>
          <w:kern w:val="0"/>
          <w:highlight w:val="none"/>
        </w:rPr>
      </w:pPr>
    </w:p>
    <w:p w14:paraId="424B5909">
      <w:pPr>
        <w:tabs>
          <w:tab w:val="left" w:pos="3529"/>
          <w:tab w:val="left" w:pos="5060"/>
        </w:tabs>
        <w:autoSpaceDE w:val="0"/>
        <w:autoSpaceDN w:val="0"/>
        <w:adjustRightInd w:val="0"/>
        <w:snapToGrid w:val="0"/>
        <w:spacing w:line="360" w:lineRule="auto"/>
        <w:ind w:firstLine="554" w:firstLineChars="100"/>
        <w:jc w:val="left"/>
        <w:rPr>
          <w:rFonts w:ascii="宋体" w:hAnsi="宋体"/>
          <w:b/>
          <w:snapToGrid w:val="0"/>
          <w:color w:val="auto"/>
          <w:kern w:val="0"/>
          <w:sz w:val="28"/>
          <w:szCs w:val="28"/>
          <w:highlight w:val="none"/>
        </w:rPr>
      </w:pPr>
      <w:r>
        <w:rPr>
          <w:rFonts w:hint="eastAsia" w:ascii="宋体" w:hAnsi="宋体" w:cs="MingLiU"/>
          <w:snapToGrid w:val="0"/>
          <w:color w:val="auto"/>
          <w:w w:val="198"/>
          <w:kern w:val="0"/>
          <w:sz w:val="28"/>
          <w:szCs w:val="28"/>
          <w:highlight w:val="none"/>
          <w:u w:val="single"/>
        </w:rPr>
        <w:t xml:space="preserve">         </w:t>
      </w:r>
      <w:r>
        <w:rPr>
          <w:rFonts w:hint="eastAsia" w:ascii="宋体" w:hAnsi="宋体"/>
          <w:snapToGrid w:val="0"/>
          <w:color w:val="auto"/>
          <w:kern w:val="0"/>
          <w:sz w:val="28"/>
          <w:szCs w:val="28"/>
          <w:highlight w:val="none"/>
          <w:u w:val="single"/>
        </w:rPr>
        <w:t xml:space="preserve"> </w:t>
      </w:r>
      <w:r>
        <w:rPr>
          <w:rFonts w:ascii="宋体" w:hAnsi="宋体"/>
          <w:b/>
          <w:snapToGrid w:val="0"/>
          <w:color w:val="auto"/>
          <w:w w:val="99"/>
          <w:kern w:val="0"/>
          <w:sz w:val="28"/>
          <w:szCs w:val="28"/>
          <w:highlight w:val="none"/>
        </w:rPr>
        <w:t>（项目名称）</w:t>
      </w:r>
      <w:r>
        <w:rPr>
          <w:rFonts w:hint="eastAsia" w:ascii="宋体" w:hAnsi="宋体"/>
          <w:b/>
          <w:snapToGrid w:val="0"/>
          <w:color w:val="auto"/>
          <w:w w:val="99"/>
          <w:kern w:val="0"/>
          <w:sz w:val="28"/>
          <w:szCs w:val="28"/>
          <w:highlight w:val="none"/>
        </w:rPr>
        <w:t>工程总承包招标</w:t>
      </w:r>
      <w:r>
        <w:rPr>
          <w:rFonts w:ascii="宋体" w:hAnsi="宋体"/>
          <w:b/>
          <w:snapToGrid w:val="0"/>
          <w:color w:val="auto"/>
          <w:w w:val="99"/>
          <w:kern w:val="0"/>
          <w:sz w:val="28"/>
          <w:szCs w:val="28"/>
          <w:highlight w:val="none"/>
        </w:rPr>
        <w:t>开标记录表</w:t>
      </w:r>
    </w:p>
    <w:p w14:paraId="2901B080">
      <w:pPr>
        <w:tabs>
          <w:tab w:val="left" w:pos="2260"/>
          <w:tab w:val="left" w:pos="506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b/>
          <w:snapToGrid w:val="0"/>
          <w:color w:val="auto"/>
          <w:kern w:val="0"/>
          <w:sz w:val="28"/>
          <w:szCs w:val="28"/>
          <w:highlight w:val="none"/>
        </w:rPr>
        <w:t xml:space="preserve">                             </w:t>
      </w:r>
      <w:r>
        <w:rPr>
          <w:rFonts w:ascii="宋体" w:hAnsi="宋体"/>
          <w:snapToGrid w:val="0"/>
          <w:color w:val="auto"/>
          <w:kern w:val="0"/>
          <w:szCs w:val="21"/>
          <w:highlight w:val="none"/>
        </w:rPr>
        <w:t>开标时间：</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5"/>
        <w:tblW w:w="10196" w:type="dxa"/>
        <w:jc w:val="center"/>
        <w:tblLayout w:type="fixed"/>
        <w:tblCellMar>
          <w:top w:w="0" w:type="dxa"/>
          <w:left w:w="108" w:type="dxa"/>
          <w:bottom w:w="0" w:type="dxa"/>
          <w:right w:w="108" w:type="dxa"/>
        </w:tblCellMar>
      </w:tblPr>
      <w:tblGrid>
        <w:gridCol w:w="555"/>
        <w:gridCol w:w="1421"/>
        <w:gridCol w:w="502"/>
        <w:gridCol w:w="671"/>
        <w:gridCol w:w="615"/>
        <w:gridCol w:w="709"/>
        <w:gridCol w:w="992"/>
        <w:gridCol w:w="709"/>
        <w:gridCol w:w="709"/>
        <w:gridCol w:w="650"/>
        <w:gridCol w:w="423"/>
        <w:gridCol w:w="423"/>
        <w:gridCol w:w="423"/>
        <w:gridCol w:w="468"/>
        <w:gridCol w:w="468"/>
        <w:gridCol w:w="458"/>
      </w:tblGrid>
      <w:tr w14:paraId="5C460FED">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vAlign w:val="center"/>
          </w:tcPr>
          <w:p w14:paraId="6AB54981">
            <w:pPr>
              <w:spacing w:line="500" w:lineRule="exact"/>
              <w:ind w:left="-105" w:leftChars="-50" w:right="-105" w:rightChars="-50"/>
              <w:jc w:val="center"/>
              <w:rPr>
                <w:color w:val="auto"/>
                <w:sz w:val="18"/>
                <w:szCs w:val="18"/>
                <w:highlight w:val="none"/>
              </w:rPr>
            </w:pPr>
            <w:r>
              <w:rPr>
                <w:color w:val="auto"/>
                <w:sz w:val="18"/>
                <w:szCs w:val="18"/>
                <w:highlight w:val="none"/>
              </w:rPr>
              <w:t>序号</w:t>
            </w:r>
          </w:p>
        </w:tc>
        <w:tc>
          <w:tcPr>
            <w:tcW w:w="1421" w:type="dxa"/>
            <w:tcBorders>
              <w:top w:val="single" w:color="auto" w:sz="4" w:space="0"/>
              <w:left w:val="single" w:color="auto" w:sz="4" w:space="0"/>
              <w:bottom w:val="single" w:color="auto" w:sz="4" w:space="0"/>
              <w:right w:val="single" w:color="auto" w:sz="4" w:space="0"/>
            </w:tcBorders>
            <w:vAlign w:val="center"/>
          </w:tcPr>
          <w:p w14:paraId="3CB52186">
            <w:pPr>
              <w:spacing w:line="500" w:lineRule="exact"/>
              <w:ind w:left="-105" w:leftChars="-50" w:right="-105" w:rightChars="-50"/>
              <w:jc w:val="center"/>
              <w:rPr>
                <w:color w:val="auto"/>
                <w:sz w:val="18"/>
                <w:szCs w:val="18"/>
                <w:highlight w:val="none"/>
              </w:rPr>
            </w:pPr>
            <w:r>
              <w:rPr>
                <w:color w:val="auto"/>
                <w:sz w:val="18"/>
                <w:szCs w:val="18"/>
                <w:highlight w:val="none"/>
              </w:rPr>
              <w:t>投标人</w:t>
            </w:r>
          </w:p>
        </w:tc>
        <w:tc>
          <w:tcPr>
            <w:tcW w:w="502" w:type="dxa"/>
            <w:tcBorders>
              <w:top w:val="single" w:color="auto" w:sz="4" w:space="0"/>
              <w:left w:val="single" w:color="auto" w:sz="4" w:space="0"/>
              <w:bottom w:val="single" w:color="auto" w:sz="4" w:space="0"/>
              <w:right w:val="single" w:color="auto" w:sz="4" w:space="0"/>
            </w:tcBorders>
            <w:vAlign w:val="center"/>
          </w:tcPr>
          <w:p w14:paraId="596A45EC">
            <w:pPr>
              <w:spacing w:line="500" w:lineRule="exact"/>
              <w:ind w:left="-105" w:leftChars="-50" w:right="-105" w:rightChars="-50"/>
              <w:jc w:val="center"/>
              <w:rPr>
                <w:color w:val="auto"/>
                <w:sz w:val="18"/>
                <w:szCs w:val="18"/>
                <w:highlight w:val="none"/>
              </w:rPr>
            </w:pPr>
            <w:r>
              <w:rPr>
                <w:rFonts w:hint="eastAsia"/>
                <w:color w:val="auto"/>
                <w:sz w:val="18"/>
                <w:szCs w:val="18"/>
                <w:highlight w:val="none"/>
              </w:rPr>
              <w:t>解密情况</w:t>
            </w:r>
          </w:p>
        </w:tc>
        <w:tc>
          <w:tcPr>
            <w:tcW w:w="671" w:type="dxa"/>
            <w:tcBorders>
              <w:top w:val="single" w:color="auto" w:sz="4" w:space="0"/>
              <w:left w:val="single" w:color="auto" w:sz="4" w:space="0"/>
              <w:bottom w:val="single" w:color="auto" w:sz="4" w:space="0"/>
              <w:right w:val="single" w:color="auto" w:sz="4" w:space="0"/>
            </w:tcBorders>
            <w:vAlign w:val="center"/>
          </w:tcPr>
          <w:p w14:paraId="493CE68A">
            <w:pPr>
              <w:spacing w:line="500" w:lineRule="exact"/>
              <w:ind w:left="-105" w:leftChars="-50" w:right="-105" w:rightChars="-50"/>
              <w:jc w:val="center"/>
              <w:rPr>
                <w:color w:val="auto"/>
                <w:sz w:val="18"/>
                <w:szCs w:val="18"/>
                <w:highlight w:val="none"/>
              </w:rPr>
            </w:pPr>
            <w:r>
              <w:rPr>
                <w:color w:val="auto"/>
                <w:sz w:val="18"/>
                <w:szCs w:val="18"/>
                <w:highlight w:val="none"/>
              </w:rPr>
              <w:t>投标</w:t>
            </w:r>
            <w:r>
              <w:rPr>
                <w:rFonts w:hint="eastAsia"/>
                <w:color w:val="auto"/>
                <w:sz w:val="18"/>
                <w:szCs w:val="18"/>
                <w:highlight w:val="none"/>
              </w:rPr>
              <w:t>总</w:t>
            </w:r>
            <w:r>
              <w:rPr>
                <w:color w:val="auto"/>
                <w:sz w:val="18"/>
                <w:szCs w:val="18"/>
                <w:highlight w:val="none"/>
              </w:rPr>
              <w:t>报价</w:t>
            </w:r>
          </w:p>
          <w:p w14:paraId="5AF2D5B1">
            <w:pPr>
              <w:spacing w:line="500" w:lineRule="exact"/>
              <w:ind w:left="-105" w:leftChars="-50" w:right="-105" w:rightChars="-50"/>
              <w:jc w:val="center"/>
              <w:rPr>
                <w:color w:val="auto"/>
                <w:sz w:val="18"/>
                <w:szCs w:val="18"/>
                <w:highlight w:val="none"/>
              </w:rPr>
            </w:pPr>
            <w:r>
              <w:rPr>
                <w:color w:val="auto"/>
                <w:sz w:val="18"/>
                <w:szCs w:val="18"/>
                <w:highlight w:val="none"/>
              </w:rPr>
              <w:t>（</w:t>
            </w:r>
            <w:r>
              <w:rPr>
                <w:rFonts w:hint="eastAsia"/>
                <w:color w:val="auto"/>
                <w:sz w:val="18"/>
                <w:szCs w:val="18"/>
                <w:highlight w:val="none"/>
              </w:rPr>
              <w:t>万</w:t>
            </w:r>
            <w:r>
              <w:rPr>
                <w:color w:val="auto"/>
                <w:sz w:val="18"/>
                <w:szCs w:val="18"/>
                <w:highlight w:val="none"/>
              </w:rPr>
              <w:t>元）</w:t>
            </w:r>
          </w:p>
        </w:tc>
        <w:tc>
          <w:tcPr>
            <w:tcW w:w="1324" w:type="dxa"/>
            <w:gridSpan w:val="2"/>
            <w:tcBorders>
              <w:top w:val="single" w:color="auto" w:sz="4" w:space="0"/>
              <w:left w:val="single" w:color="auto" w:sz="4" w:space="0"/>
              <w:bottom w:val="single" w:color="auto" w:sz="4" w:space="0"/>
              <w:right w:val="single" w:color="auto" w:sz="4" w:space="0"/>
            </w:tcBorders>
            <w:vAlign w:val="center"/>
          </w:tcPr>
          <w:p w14:paraId="417CECDA">
            <w:pPr>
              <w:spacing w:line="500" w:lineRule="exact"/>
              <w:ind w:left="-105" w:leftChars="-50" w:right="-105" w:rightChars="-50"/>
              <w:jc w:val="center"/>
              <w:rPr>
                <w:color w:val="auto"/>
                <w:sz w:val="18"/>
                <w:szCs w:val="18"/>
                <w:highlight w:val="none"/>
              </w:rPr>
            </w:pPr>
            <w:r>
              <w:rPr>
                <w:rFonts w:hint="eastAsia"/>
                <w:color w:val="auto"/>
                <w:szCs w:val="21"/>
                <w:highlight w:val="none"/>
              </w:rPr>
              <w:t>□</w:t>
            </w:r>
            <w:r>
              <w:rPr>
                <w:rFonts w:hint="eastAsia"/>
                <w:color w:val="auto"/>
                <w:sz w:val="18"/>
                <w:szCs w:val="18"/>
                <w:highlight w:val="none"/>
              </w:rPr>
              <w:t>设计费报价</w:t>
            </w:r>
          </w:p>
          <w:p w14:paraId="29B958A9">
            <w:pPr>
              <w:spacing w:line="500" w:lineRule="exact"/>
              <w:ind w:left="-105" w:leftChars="-50" w:right="-105" w:rightChars="-50"/>
              <w:jc w:val="center"/>
              <w:rPr>
                <w:color w:val="auto"/>
                <w:sz w:val="18"/>
                <w:szCs w:val="18"/>
                <w:highlight w:val="none"/>
              </w:rPr>
            </w:pPr>
            <w:r>
              <w:rPr>
                <w:rFonts w:hint="eastAsia"/>
                <w:color w:val="auto"/>
                <w:sz w:val="18"/>
                <w:szCs w:val="18"/>
                <w:highlight w:val="none"/>
              </w:rPr>
              <w:t>（暂定金额/费率）</w:t>
            </w:r>
          </w:p>
        </w:tc>
        <w:tc>
          <w:tcPr>
            <w:tcW w:w="992" w:type="dxa"/>
            <w:tcBorders>
              <w:top w:val="single" w:color="auto" w:sz="4" w:space="0"/>
              <w:left w:val="single" w:color="auto" w:sz="4" w:space="0"/>
              <w:bottom w:val="single" w:color="auto" w:sz="4" w:space="0"/>
              <w:right w:val="single" w:color="auto" w:sz="4" w:space="0"/>
            </w:tcBorders>
            <w:vAlign w:val="center"/>
          </w:tcPr>
          <w:p w14:paraId="440A4819">
            <w:pPr>
              <w:spacing w:line="500" w:lineRule="exact"/>
              <w:ind w:left="-105" w:leftChars="-50" w:right="-105" w:rightChars="-50"/>
              <w:jc w:val="center"/>
              <w:rPr>
                <w:color w:val="auto"/>
                <w:sz w:val="18"/>
                <w:szCs w:val="18"/>
                <w:highlight w:val="none"/>
              </w:rPr>
            </w:pPr>
            <w:r>
              <w:rPr>
                <w:rFonts w:hint="eastAsia"/>
                <w:color w:val="auto"/>
                <w:szCs w:val="21"/>
                <w:highlight w:val="none"/>
              </w:rPr>
              <w:t>□</w:t>
            </w:r>
            <w:r>
              <w:rPr>
                <w:rFonts w:hint="eastAsia"/>
                <w:color w:val="auto"/>
                <w:sz w:val="18"/>
                <w:szCs w:val="18"/>
                <w:highlight w:val="none"/>
              </w:rPr>
              <w:t>专业设备</w:t>
            </w:r>
            <w:r>
              <w:rPr>
                <w:color w:val="auto"/>
                <w:sz w:val="18"/>
                <w:szCs w:val="18"/>
                <w:highlight w:val="none"/>
              </w:rPr>
              <w:t>材料费</w:t>
            </w:r>
            <w:r>
              <w:rPr>
                <w:rFonts w:hint="eastAsia"/>
                <w:color w:val="auto"/>
                <w:sz w:val="18"/>
                <w:szCs w:val="18"/>
                <w:highlight w:val="none"/>
              </w:rPr>
              <w:t>报价</w:t>
            </w:r>
            <w:r>
              <w:rPr>
                <w:color w:val="auto"/>
                <w:sz w:val="18"/>
                <w:szCs w:val="18"/>
                <w:highlight w:val="none"/>
              </w:rPr>
              <w:t>（</w:t>
            </w:r>
            <w:r>
              <w:rPr>
                <w:rFonts w:hint="eastAsia"/>
                <w:color w:val="auto"/>
                <w:sz w:val="18"/>
                <w:szCs w:val="18"/>
                <w:highlight w:val="none"/>
              </w:rPr>
              <w:t>万</w:t>
            </w:r>
            <w:r>
              <w:rPr>
                <w:color w:val="auto"/>
                <w:sz w:val="18"/>
                <w:szCs w:val="18"/>
                <w:highlight w:val="none"/>
              </w:rPr>
              <w:t>元）</w:t>
            </w:r>
          </w:p>
        </w:tc>
        <w:tc>
          <w:tcPr>
            <w:tcW w:w="1418" w:type="dxa"/>
            <w:gridSpan w:val="2"/>
            <w:tcBorders>
              <w:top w:val="single" w:color="auto" w:sz="4" w:space="0"/>
              <w:left w:val="single" w:color="auto" w:sz="4" w:space="0"/>
              <w:bottom w:val="single" w:color="auto" w:sz="4" w:space="0"/>
              <w:right w:val="single" w:color="auto" w:sz="4" w:space="0"/>
            </w:tcBorders>
            <w:vAlign w:val="center"/>
          </w:tcPr>
          <w:p w14:paraId="3FA6E0E1">
            <w:pPr>
              <w:spacing w:line="500" w:lineRule="exact"/>
              <w:ind w:left="-105" w:leftChars="-50" w:right="-105" w:rightChars="-50"/>
              <w:jc w:val="center"/>
              <w:rPr>
                <w:color w:val="auto"/>
                <w:sz w:val="18"/>
                <w:szCs w:val="18"/>
                <w:highlight w:val="none"/>
              </w:rPr>
            </w:pPr>
            <w:r>
              <w:rPr>
                <w:rFonts w:hint="eastAsia"/>
                <w:color w:val="auto"/>
                <w:szCs w:val="21"/>
                <w:highlight w:val="none"/>
              </w:rPr>
              <w:t>□</w:t>
            </w:r>
            <w:r>
              <w:rPr>
                <w:rFonts w:hint="eastAsia"/>
                <w:color w:val="auto"/>
                <w:sz w:val="18"/>
                <w:szCs w:val="18"/>
                <w:highlight w:val="none"/>
              </w:rPr>
              <w:t>建筑安装工程费报价</w:t>
            </w:r>
          </w:p>
          <w:p w14:paraId="05D4588A">
            <w:pPr>
              <w:spacing w:line="500" w:lineRule="exact"/>
              <w:ind w:left="-105" w:leftChars="-50" w:right="-105" w:rightChars="-50"/>
              <w:jc w:val="center"/>
              <w:rPr>
                <w:color w:val="auto"/>
                <w:sz w:val="18"/>
                <w:szCs w:val="18"/>
                <w:highlight w:val="none"/>
              </w:rPr>
            </w:pPr>
            <w:r>
              <w:rPr>
                <w:rFonts w:hint="eastAsia"/>
                <w:color w:val="auto"/>
                <w:sz w:val="18"/>
                <w:szCs w:val="18"/>
                <w:highlight w:val="none"/>
              </w:rPr>
              <w:t>（暂定金额/费率）</w:t>
            </w:r>
          </w:p>
        </w:tc>
        <w:tc>
          <w:tcPr>
            <w:tcW w:w="650" w:type="dxa"/>
            <w:tcBorders>
              <w:top w:val="single" w:color="auto" w:sz="4" w:space="0"/>
              <w:left w:val="single" w:color="auto" w:sz="4" w:space="0"/>
              <w:bottom w:val="single" w:color="auto" w:sz="4" w:space="0"/>
              <w:right w:val="single" w:color="auto" w:sz="4" w:space="0"/>
            </w:tcBorders>
            <w:vAlign w:val="center"/>
          </w:tcPr>
          <w:p w14:paraId="3DDD974A">
            <w:pPr>
              <w:spacing w:line="500" w:lineRule="exact"/>
              <w:ind w:left="-105" w:leftChars="-50" w:right="-105" w:rightChars="-50"/>
              <w:jc w:val="center"/>
              <w:rPr>
                <w:color w:val="auto"/>
                <w:sz w:val="18"/>
                <w:szCs w:val="18"/>
                <w:highlight w:val="none"/>
              </w:rPr>
            </w:pPr>
            <w:r>
              <w:rPr>
                <w:rFonts w:hint="eastAsia"/>
                <w:color w:val="auto"/>
                <w:sz w:val="18"/>
                <w:szCs w:val="18"/>
                <w:highlight w:val="none"/>
              </w:rPr>
              <w:t>总承包项目</w:t>
            </w:r>
          </w:p>
          <w:p w14:paraId="463686DB">
            <w:pPr>
              <w:spacing w:line="500" w:lineRule="exact"/>
              <w:ind w:left="-105" w:leftChars="-50" w:right="-105" w:rightChars="-50"/>
              <w:jc w:val="center"/>
              <w:rPr>
                <w:color w:val="auto"/>
                <w:sz w:val="18"/>
                <w:szCs w:val="18"/>
                <w:highlight w:val="none"/>
              </w:rPr>
            </w:pPr>
            <w:r>
              <w:rPr>
                <w:rFonts w:hint="eastAsia"/>
                <w:color w:val="auto"/>
                <w:sz w:val="18"/>
                <w:szCs w:val="18"/>
                <w:highlight w:val="none"/>
              </w:rPr>
              <w:t>经理</w:t>
            </w:r>
          </w:p>
        </w:tc>
        <w:tc>
          <w:tcPr>
            <w:tcW w:w="423" w:type="dxa"/>
            <w:tcBorders>
              <w:top w:val="single" w:color="auto" w:sz="4" w:space="0"/>
              <w:left w:val="single" w:color="auto" w:sz="4" w:space="0"/>
              <w:bottom w:val="single" w:color="auto" w:sz="4" w:space="0"/>
              <w:right w:val="single" w:color="auto" w:sz="4" w:space="0"/>
            </w:tcBorders>
            <w:vAlign w:val="center"/>
          </w:tcPr>
          <w:p w14:paraId="4CE3AB65">
            <w:pPr>
              <w:spacing w:line="500" w:lineRule="exact"/>
              <w:ind w:left="-105" w:leftChars="-50" w:right="-105" w:rightChars="-50"/>
              <w:jc w:val="center"/>
              <w:rPr>
                <w:color w:val="auto"/>
                <w:sz w:val="18"/>
                <w:szCs w:val="18"/>
                <w:highlight w:val="none"/>
              </w:rPr>
            </w:pPr>
            <w:r>
              <w:rPr>
                <w:rFonts w:hint="eastAsia"/>
                <w:color w:val="auto"/>
                <w:sz w:val="18"/>
                <w:szCs w:val="18"/>
                <w:highlight w:val="none"/>
              </w:rPr>
              <w:t>设计负责人</w:t>
            </w:r>
          </w:p>
        </w:tc>
        <w:tc>
          <w:tcPr>
            <w:tcW w:w="423" w:type="dxa"/>
            <w:tcBorders>
              <w:top w:val="single" w:color="auto" w:sz="4" w:space="0"/>
              <w:left w:val="single" w:color="auto" w:sz="4" w:space="0"/>
              <w:bottom w:val="single" w:color="auto" w:sz="4" w:space="0"/>
              <w:right w:val="single" w:color="auto" w:sz="4" w:space="0"/>
            </w:tcBorders>
            <w:vAlign w:val="center"/>
          </w:tcPr>
          <w:p w14:paraId="2EF9AE0E">
            <w:pPr>
              <w:spacing w:line="500" w:lineRule="exact"/>
              <w:ind w:left="-105" w:leftChars="-50" w:right="-105" w:rightChars="-50"/>
              <w:jc w:val="center"/>
              <w:rPr>
                <w:color w:val="auto"/>
                <w:sz w:val="18"/>
                <w:szCs w:val="18"/>
                <w:highlight w:val="none"/>
              </w:rPr>
            </w:pPr>
            <w:r>
              <w:rPr>
                <w:rFonts w:hint="eastAsia"/>
                <w:color w:val="auto"/>
                <w:sz w:val="18"/>
                <w:szCs w:val="18"/>
                <w:highlight w:val="none"/>
              </w:rPr>
              <w:t>施工负责人</w:t>
            </w:r>
          </w:p>
        </w:tc>
        <w:tc>
          <w:tcPr>
            <w:tcW w:w="423" w:type="dxa"/>
            <w:tcBorders>
              <w:top w:val="single" w:color="auto" w:sz="4" w:space="0"/>
              <w:left w:val="single" w:color="auto" w:sz="4" w:space="0"/>
              <w:bottom w:val="single" w:color="auto" w:sz="4" w:space="0"/>
              <w:right w:val="single" w:color="auto" w:sz="4" w:space="0"/>
            </w:tcBorders>
            <w:vAlign w:val="center"/>
          </w:tcPr>
          <w:p w14:paraId="179EA62F">
            <w:pPr>
              <w:spacing w:line="500" w:lineRule="exact"/>
              <w:ind w:left="-105" w:leftChars="-50" w:right="-105" w:rightChars="-50"/>
              <w:jc w:val="center"/>
              <w:rPr>
                <w:color w:val="auto"/>
                <w:sz w:val="18"/>
                <w:szCs w:val="18"/>
                <w:highlight w:val="none"/>
              </w:rPr>
            </w:pPr>
            <w:r>
              <w:rPr>
                <w:color w:val="auto"/>
                <w:sz w:val="18"/>
                <w:szCs w:val="18"/>
                <w:highlight w:val="none"/>
              </w:rPr>
              <w:t>质量标准</w:t>
            </w:r>
          </w:p>
        </w:tc>
        <w:tc>
          <w:tcPr>
            <w:tcW w:w="468" w:type="dxa"/>
            <w:tcBorders>
              <w:top w:val="single" w:color="auto" w:sz="4" w:space="0"/>
              <w:left w:val="single" w:color="auto" w:sz="4" w:space="0"/>
              <w:bottom w:val="single" w:color="auto" w:sz="4" w:space="0"/>
              <w:right w:val="single" w:color="auto" w:sz="4" w:space="0"/>
            </w:tcBorders>
            <w:vAlign w:val="center"/>
          </w:tcPr>
          <w:p w14:paraId="47FE050F">
            <w:pPr>
              <w:spacing w:line="500" w:lineRule="exact"/>
              <w:ind w:left="-105" w:leftChars="-50" w:right="-105" w:rightChars="-50"/>
              <w:jc w:val="center"/>
              <w:rPr>
                <w:color w:val="auto"/>
                <w:sz w:val="18"/>
                <w:szCs w:val="18"/>
                <w:highlight w:val="none"/>
              </w:rPr>
            </w:pPr>
            <w:r>
              <w:rPr>
                <w:color w:val="auto"/>
                <w:sz w:val="18"/>
                <w:szCs w:val="18"/>
                <w:highlight w:val="none"/>
              </w:rPr>
              <w:t>工期</w:t>
            </w:r>
          </w:p>
        </w:tc>
        <w:tc>
          <w:tcPr>
            <w:tcW w:w="468" w:type="dxa"/>
            <w:tcBorders>
              <w:top w:val="single" w:color="auto" w:sz="4" w:space="0"/>
              <w:left w:val="single" w:color="auto" w:sz="4" w:space="0"/>
              <w:bottom w:val="single" w:color="auto" w:sz="4" w:space="0"/>
              <w:right w:val="single" w:color="auto" w:sz="4" w:space="0"/>
            </w:tcBorders>
            <w:vAlign w:val="center"/>
          </w:tcPr>
          <w:p w14:paraId="605B2779">
            <w:pPr>
              <w:spacing w:line="500" w:lineRule="exact"/>
              <w:ind w:left="-105" w:leftChars="-50" w:right="-105" w:rightChars="-50"/>
              <w:jc w:val="center"/>
              <w:rPr>
                <w:color w:val="auto"/>
                <w:sz w:val="18"/>
                <w:szCs w:val="18"/>
                <w:highlight w:val="none"/>
              </w:rPr>
            </w:pPr>
            <w:r>
              <w:rPr>
                <w:color w:val="auto"/>
                <w:sz w:val="18"/>
                <w:szCs w:val="18"/>
                <w:highlight w:val="none"/>
              </w:rPr>
              <w:t>备注</w:t>
            </w:r>
          </w:p>
        </w:tc>
        <w:tc>
          <w:tcPr>
            <w:tcW w:w="458" w:type="dxa"/>
            <w:tcBorders>
              <w:top w:val="single" w:color="auto" w:sz="4" w:space="0"/>
              <w:left w:val="single" w:color="auto" w:sz="4" w:space="0"/>
              <w:bottom w:val="single" w:color="auto" w:sz="4" w:space="0"/>
              <w:right w:val="single" w:color="auto" w:sz="4" w:space="0"/>
            </w:tcBorders>
            <w:vAlign w:val="center"/>
          </w:tcPr>
          <w:p w14:paraId="53DE4CC0">
            <w:pPr>
              <w:spacing w:line="500" w:lineRule="exact"/>
              <w:ind w:left="-105" w:leftChars="-50" w:right="-105" w:rightChars="-50"/>
              <w:jc w:val="center"/>
              <w:rPr>
                <w:color w:val="auto"/>
                <w:sz w:val="18"/>
                <w:szCs w:val="18"/>
                <w:highlight w:val="none"/>
              </w:rPr>
            </w:pPr>
            <w:r>
              <w:rPr>
                <w:color w:val="auto"/>
                <w:sz w:val="18"/>
                <w:szCs w:val="18"/>
                <w:highlight w:val="none"/>
              </w:rPr>
              <w:t>签名</w:t>
            </w:r>
          </w:p>
        </w:tc>
      </w:tr>
      <w:tr w14:paraId="18F0B5CF">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5A154D6C">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4F0AC9E1">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475F2B04">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10F2DF87">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75E23E03">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08008707">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394FC7DA">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13A92F80">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5A2AFF88">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2D0D7C7E">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50B8310D">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28946ED4">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6A1F479D">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6023468E">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3075E167">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227A58C4">
            <w:pPr>
              <w:spacing w:line="500" w:lineRule="exact"/>
              <w:jc w:val="left"/>
              <w:rPr>
                <w:color w:val="auto"/>
                <w:szCs w:val="21"/>
                <w:highlight w:val="none"/>
              </w:rPr>
            </w:pPr>
          </w:p>
        </w:tc>
      </w:tr>
      <w:tr w14:paraId="3A793E05">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1C3FC050">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67A76C52">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1580A420">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2B540379">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4199FC0A">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0CE46AAB">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17848E88">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582A904">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31A2D6FB">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563C39CD">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4F05054D">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3CDACA15">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428F7E1A">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2E309FFF">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71796065">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441C69AA">
            <w:pPr>
              <w:spacing w:line="500" w:lineRule="exact"/>
              <w:jc w:val="left"/>
              <w:rPr>
                <w:color w:val="auto"/>
                <w:szCs w:val="21"/>
                <w:highlight w:val="none"/>
              </w:rPr>
            </w:pPr>
          </w:p>
        </w:tc>
      </w:tr>
      <w:tr w14:paraId="41D8477D">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1E64D1FE">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7D4F24E2">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496041C9">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6CB97BAD">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41102F37">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00FBCBD2">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58661200">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0B49DB15">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65AF0C96">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342BC0D3">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2D9C680D">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3455D9C2">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15BDB1C5">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41416A35">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0718716E">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29F4BBE0">
            <w:pPr>
              <w:spacing w:line="500" w:lineRule="exact"/>
              <w:jc w:val="left"/>
              <w:rPr>
                <w:color w:val="auto"/>
                <w:szCs w:val="21"/>
                <w:highlight w:val="none"/>
              </w:rPr>
            </w:pPr>
          </w:p>
        </w:tc>
      </w:tr>
      <w:tr w14:paraId="54018047">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3F6AFDBA">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173FC5E7">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43CD8164">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2F65ED92">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657E2707">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0034936B">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3A6E1447">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5E348F5F">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52574ED5">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681FF16A">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511033F0">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6EDE947C">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6268AEFE">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343D725F">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12CF917E">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4AB8676C">
            <w:pPr>
              <w:spacing w:line="500" w:lineRule="exact"/>
              <w:jc w:val="left"/>
              <w:rPr>
                <w:color w:val="auto"/>
                <w:szCs w:val="21"/>
                <w:highlight w:val="none"/>
              </w:rPr>
            </w:pPr>
          </w:p>
        </w:tc>
      </w:tr>
      <w:tr w14:paraId="41914C77">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3DA8F4C1">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096D929A">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04D4B1FC">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74562CB3">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12FABACE">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3362DB8">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2348D3D6">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775C1CF1">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3026DF8B">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3510B14E">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3F153A8C">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0E312A86">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45DD88A2">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5681BDD4">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424EE160">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11C1F04C">
            <w:pPr>
              <w:spacing w:line="500" w:lineRule="exact"/>
              <w:jc w:val="left"/>
              <w:rPr>
                <w:color w:val="auto"/>
                <w:szCs w:val="21"/>
                <w:highlight w:val="none"/>
              </w:rPr>
            </w:pPr>
          </w:p>
        </w:tc>
      </w:tr>
      <w:tr w14:paraId="66D98BE8">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2D1C5063">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41B8E4BB">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32963FFA">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5E22F081">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0A8202C6">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28B2C541">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139E8D4F">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4EA3209">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0EE99DF6">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0C153857">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10291387">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4E649860">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47ED7953">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0D7521C9">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0C592928">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548A5BBC">
            <w:pPr>
              <w:spacing w:line="500" w:lineRule="exact"/>
              <w:jc w:val="left"/>
              <w:rPr>
                <w:color w:val="auto"/>
                <w:szCs w:val="21"/>
                <w:highlight w:val="none"/>
              </w:rPr>
            </w:pPr>
          </w:p>
        </w:tc>
      </w:tr>
      <w:tr w14:paraId="149EEC97">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6BC73591">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2115AD1C">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0683633B">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405F5562">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725FE2B7">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270F6C96">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5EEB3AF4">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78DCB268">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195588B">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0D994E96">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597E4DA6">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023E10F7">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2AC0C853">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0E83135B">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3F36BBE3">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5A07FF11">
            <w:pPr>
              <w:spacing w:line="500" w:lineRule="exact"/>
              <w:jc w:val="left"/>
              <w:rPr>
                <w:color w:val="auto"/>
                <w:szCs w:val="21"/>
                <w:highlight w:val="none"/>
              </w:rPr>
            </w:pPr>
          </w:p>
        </w:tc>
      </w:tr>
      <w:tr w14:paraId="68EE19E4">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7677EE83">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401DB4CA">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6E03AA52">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65285C1B">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5C7E586A">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60BBAA25">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374729BD">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30264E3D">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7824FFCF">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7228C713">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21714E3A">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73ECC1E5">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5EA3ECC0">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71F98D99">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3F829BF4">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189807EA">
            <w:pPr>
              <w:spacing w:line="500" w:lineRule="exact"/>
              <w:jc w:val="left"/>
              <w:rPr>
                <w:color w:val="auto"/>
                <w:szCs w:val="21"/>
                <w:highlight w:val="none"/>
              </w:rPr>
            </w:pPr>
          </w:p>
        </w:tc>
      </w:tr>
      <w:tr w14:paraId="5FAB580E">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701204DB">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061DE639">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5315AC47">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087AFEA0">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6C9E18CD">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2EF5E667">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069A03E0">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1899F0C8">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6DF3DC1C">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0C65E1F0">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6C3C9BA7">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000D0842">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088F8CA8">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71F77CCA">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3322F06B">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17DF5441">
            <w:pPr>
              <w:spacing w:line="500" w:lineRule="exact"/>
              <w:jc w:val="left"/>
              <w:rPr>
                <w:color w:val="auto"/>
                <w:szCs w:val="21"/>
                <w:highlight w:val="none"/>
              </w:rPr>
            </w:pPr>
          </w:p>
        </w:tc>
      </w:tr>
      <w:tr w14:paraId="4AA77569">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3C5C6436">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4B4339A8">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479B5E68">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5CB3B594">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544ACA2F">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AF94FCF">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21067079">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17CBA6A2">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34E97042">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3641802C">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47B4B54B">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06D8242B">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727EFF11">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2260AA79">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39BFFB9D">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57ED3B6D">
            <w:pPr>
              <w:spacing w:line="500" w:lineRule="exact"/>
              <w:jc w:val="left"/>
              <w:rPr>
                <w:color w:val="auto"/>
                <w:szCs w:val="21"/>
                <w:highlight w:val="none"/>
              </w:rPr>
            </w:pPr>
          </w:p>
        </w:tc>
      </w:tr>
      <w:tr w14:paraId="2D45718B">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4D6EDE51">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7D90ECF8">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786F3633">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7D23AFD8">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370F168E">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2E4D517">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553AFA72">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5C50DD9">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3B9016A">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53F83B60">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116443AD">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79147CA0">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364D3810">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2EA002C5">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6F13A5DA">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61BDC84F">
            <w:pPr>
              <w:spacing w:line="500" w:lineRule="exact"/>
              <w:jc w:val="left"/>
              <w:rPr>
                <w:color w:val="auto"/>
                <w:szCs w:val="21"/>
                <w:highlight w:val="none"/>
              </w:rPr>
            </w:pPr>
          </w:p>
        </w:tc>
      </w:tr>
      <w:tr w14:paraId="6FC1480D">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204D5CBA">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501A0B80">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2ACCAAEB">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1DC6D390">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6A447593">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56DBD81B">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478CAFB5">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6F8263AD">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010D1553">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261FE538">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4D7452EC">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31D4C0BC">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46BB036C">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51D7DC97">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57039B18">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2570E017">
            <w:pPr>
              <w:spacing w:line="500" w:lineRule="exact"/>
              <w:jc w:val="left"/>
              <w:rPr>
                <w:color w:val="auto"/>
                <w:szCs w:val="21"/>
                <w:highlight w:val="none"/>
              </w:rPr>
            </w:pPr>
          </w:p>
        </w:tc>
      </w:tr>
      <w:tr w14:paraId="60A3A127">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0A103D3E">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30636F45">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7DCC90FA">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2BFB7EBF">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354122BE">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8B828F8">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5DA8B12D">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476A690">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2A4C5455">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1F54E176">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5D7D7264">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7AB81534">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404113DE">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22295E5B">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5D28E82E">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271F482A">
            <w:pPr>
              <w:spacing w:line="500" w:lineRule="exact"/>
              <w:jc w:val="left"/>
              <w:rPr>
                <w:color w:val="auto"/>
                <w:szCs w:val="21"/>
                <w:highlight w:val="none"/>
              </w:rPr>
            </w:pPr>
          </w:p>
        </w:tc>
      </w:tr>
      <w:tr w14:paraId="11307C65">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53E6EF0E">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5CE04ED1">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453AEBEE">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30D54D66">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5C3B37A6">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07710F23">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24B5126D">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2BD3CA89">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5DAD802E">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66769E34">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1F8E5E2D">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2028C7FF">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67569275">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254F9141">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4FE10A36">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642C72F2">
            <w:pPr>
              <w:spacing w:line="500" w:lineRule="exact"/>
              <w:jc w:val="left"/>
              <w:rPr>
                <w:color w:val="auto"/>
                <w:szCs w:val="21"/>
                <w:highlight w:val="none"/>
              </w:rPr>
            </w:pPr>
          </w:p>
        </w:tc>
      </w:tr>
      <w:tr w14:paraId="6F232317">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0CE4E2CA">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5275AF6B">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0BF99006">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345AF72F">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634C8FE6">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78302650">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660B5D70">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142EE4ED">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3E4753A7">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07DAF756">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79775B4E">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27651C6B">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0042364D">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5E007F0B">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6B4ED1BC">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52F8B5F5">
            <w:pPr>
              <w:spacing w:line="500" w:lineRule="exact"/>
              <w:jc w:val="left"/>
              <w:rPr>
                <w:color w:val="auto"/>
                <w:szCs w:val="21"/>
                <w:highlight w:val="none"/>
              </w:rPr>
            </w:pPr>
          </w:p>
        </w:tc>
      </w:tr>
      <w:tr w14:paraId="51B7C15C">
        <w:tblPrEx>
          <w:tblCellMar>
            <w:top w:w="0" w:type="dxa"/>
            <w:left w:w="108" w:type="dxa"/>
            <w:bottom w:w="0" w:type="dxa"/>
            <w:right w:w="108" w:type="dxa"/>
          </w:tblCellMar>
        </w:tblPrEx>
        <w:trPr>
          <w:jc w:val="center"/>
        </w:trPr>
        <w:tc>
          <w:tcPr>
            <w:tcW w:w="555" w:type="dxa"/>
            <w:tcBorders>
              <w:top w:val="single" w:color="auto" w:sz="4" w:space="0"/>
              <w:left w:val="single" w:color="auto" w:sz="4" w:space="0"/>
              <w:bottom w:val="single" w:color="auto" w:sz="4" w:space="0"/>
              <w:right w:val="single" w:color="auto" w:sz="4" w:space="0"/>
            </w:tcBorders>
          </w:tcPr>
          <w:p w14:paraId="03DF18DA">
            <w:pPr>
              <w:spacing w:line="500" w:lineRule="exact"/>
              <w:jc w:val="left"/>
              <w:rPr>
                <w:color w:val="auto"/>
                <w:szCs w:val="21"/>
                <w:highlight w:val="none"/>
              </w:rPr>
            </w:pPr>
          </w:p>
        </w:tc>
        <w:tc>
          <w:tcPr>
            <w:tcW w:w="1421" w:type="dxa"/>
            <w:tcBorders>
              <w:top w:val="single" w:color="auto" w:sz="4" w:space="0"/>
              <w:left w:val="single" w:color="auto" w:sz="4" w:space="0"/>
              <w:bottom w:val="single" w:color="auto" w:sz="4" w:space="0"/>
              <w:right w:val="single" w:color="auto" w:sz="4" w:space="0"/>
            </w:tcBorders>
          </w:tcPr>
          <w:p w14:paraId="4E8DAB22">
            <w:pPr>
              <w:spacing w:line="500" w:lineRule="exact"/>
              <w:jc w:val="left"/>
              <w:rPr>
                <w:color w:val="auto"/>
                <w:szCs w:val="21"/>
                <w:highlight w:val="none"/>
              </w:rPr>
            </w:pPr>
          </w:p>
        </w:tc>
        <w:tc>
          <w:tcPr>
            <w:tcW w:w="502" w:type="dxa"/>
            <w:tcBorders>
              <w:top w:val="single" w:color="auto" w:sz="4" w:space="0"/>
              <w:left w:val="single" w:color="auto" w:sz="4" w:space="0"/>
              <w:bottom w:val="single" w:color="auto" w:sz="4" w:space="0"/>
              <w:right w:val="single" w:color="auto" w:sz="4" w:space="0"/>
            </w:tcBorders>
          </w:tcPr>
          <w:p w14:paraId="1FBC7AD6">
            <w:pPr>
              <w:spacing w:line="500" w:lineRule="exact"/>
              <w:jc w:val="left"/>
              <w:rPr>
                <w:color w:val="auto"/>
                <w:szCs w:val="21"/>
                <w:highlight w:val="none"/>
              </w:rPr>
            </w:pPr>
          </w:p>
        </w:tc>
        <w:tc>
          <w:tcPr>
            <w:tcW w:w="671" w:type="dxa"/>
            <w:tcBorders>
              <w:top w:val="single" w:color="auto" w:sz="4" w:space="0"/>
              <w:left w:val="single" w:color="auto" w:sz="4" w:space="0"/>
              <w:bottom w:val="single" w:color="auto" w:sz="4" w:space="0"/>
              <w:right w:val="single" w:color="auto" w:sz="4" w:space="0"/>
            </w:tcBorders>
          </w:tcPr>
          <w:p w14:paraId="0DBCC88F">
            <w:pPr>
              <w:spacing w:line="500" w:lineRule="exact"/>
              <w:jc w:val="left"/>
              <w:rPr>
                <w:color w:val="auto"/>
                <w:szCs w:val="21"/>
                <w:highlight w:val="none"/>
              </w:rPr>
            </w:pPr>
          </w:p>
        </w:tc>
        <w:tc>
          <w:tcPr>
            <w:tcW w:w="615" w:type="dxa"/>
            <w:tcBorders>
              <w:top w:val="single" w:color="auto" w:sz="4" w:space="0"/>
              <w:left w:val="single" w:color="auto" w:sz="4" w:space="0"/>
              <w:bottom w:val="single" w:color="auto" w:sz="4" w:space="0"/>
              <w:right w:val="single" w:color="auto" w:sz="4" w:space="0"/>
            </w:tcBorders>
          </w:tcPr>
          <w:p w14:paraId="1FB48A3D">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5DA5E1B3">
            <w:pPr>
              <w:spacing w:line="500" w:lineRule="exact"/>
              <w:jc w:val="left"/>
              <w:rPr>
                <w:color w:val="auto"/>
                <w:szCs w:val="21"/>
                <w:highlight w:val="none"/>
              </w:rPr>
            </w:pPr>
          </w:p>
        </w:tc>
        <w:tc>
          <w:tcPr>
            <w:tcW w:w="992" w:type="dxa"/>
            <w:tcBorders>
              <w:top w:val="single" w:color="auto" w:sz="4" w:space="0"/>
              <w:left w:val="single" w:color="auto" w:sz="4" w:space="0"/>
              <w:bottom w:val="single" w:color="auto" w:sz="4" w:space="0"/>
              <w:right w:val="single" w:color="auto" w:sz="4" w:space="0"/>
            </w:tcBorders>
          </w:tcPr>
          <w:p w14:paraId="6EBA5AA9">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2C51F8E">
            <w:pPr>
              <w:spacing w:line="500" w:lineRule="exact"/>
              <w:jc w:val="left"/>
              <w:rPr>
                <w:color w:val="auto"/>
                <w:szCs w:val="21"/>
                <w:highlight w:val="none"/>
              </w:rPr>
            </w:pPr>
          </w:p>
        </w:tc>
        <w:tc>
          <w:tcPr>
            <w:tcW w:w="709" w:type="dxa"/>
            <w:tcBorders>
              <w:top w:val="single" w:color="auto" w:sz="4" w:space="0"/>
              <w:left w:val="single" w:color="auto" w:sz="4" w:space="0"/>
              <w:bottom w:val="single" w:color="auto" w:sz="4" w:space="0"/>
              <w:right w:val="single" w:color="auto" w:sz="4" w:space="0"/>
            </w:tcBorders>
          </w:tcPr>
          <w:p w14:paraId="42F364B2">
            <w:pPr>
              <w:spacing w:line="500" w:lineRule="exact"/>
              <w:jc w:val="left"/>
              <w:rPr>
                <w:color w:val="auto"/>
                <w:szCs w:val="21"/>
                <w:highlight w:val="none"/>
              </w:rPr>
            </w:pPr>
          </w:p>
        </w:tc>
        <w:tc>
          <w:tcPr>
            <w:tcW w:w="650" w:type="dxa"/>
            <w:tcBorders>
              <w:top w:val="single" w:color="auto" w:sz="4" w:space="0"/>
              <w:left w:val="single" w:color="auto" w:sz="4" w:space="0"/>
              <w:bottom w:val="single" w:color="auto" w:sz="4" w:space="0"/>
              <w:right w:val="single" w:color="auto" w:sz="4" w:space="0"/>
            </w:tcBorders>
          </w:tcPr>
          <w:p w14:paraId="6169A603">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40273884">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5C0011C0">
            <w:pPr>
              <w:spacing w:line="500" w:lineRule="exact"/>
              <w:jc w:val="left"/>
              <w:rPr>
                <w:color w:val="auto"/>
                <w:szCs w:val="21"/>
                <w:highlight w:val="none"/>
              </w:rPr>
            </w:pPr>
          </w:p>
        </w:tc>
        <w:tc>
          <w:tcPr>
            <w:tcW w:w="423" w:type="dxa"/>
            <w:tcBorders>
              <w:top w:val="single" w:color="auto" w:sz="4" w:space="0"/>
              <w:left w:val="single" w:color="auto" w:sz="4" w:space="0"/>
              <w:bottom w:val="single" w:color="auto" w:sz="4" w:space="0"/>
              <w:right w:val="single" w:color="auto" w:sz="4" w:space="0"/>
            </w:tcBorders>
          </w:tcPr>
          <w:p w14:paraId="0D8F1F65">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2C51337C">
            <w:pPr>
              <w:spacing w:line="500" w:lineRule="exact"/>
              <w:jc w:val="left"/>
              <w:rPr>
                <w:color w:val="auto"/>
                <w:szCs w:val="21"/>
                <w:highlight w:val="none"/>
              </w:rPr>
            </w:pPr>
          </w:p>
        </w:tc>
        <w:tc>
          <w:tcPr>
            <w:tcW w:w="468" w:type="dxa"/>
            <w:tcBorders>
              <w:top w:val="single" w:color="auto" w:sz="4" w:space="0"/>
              <w:left w:val="single" w:color="auto" w:sz="4" w:space="0"/>
              <w:bottom w:val="single" w:color="auto" w:sz="4" w:space="0"/>
              <w:right w:val="single" w:color="auto" w:sz="4" w:space="0"/>
            </w:tcBorders>
          </w:tcPr>
          <w:p w14:paraId="5E6ED661">
            <w:pPr>
              <w:spacing w:line="500" w:lineRule="exact"/>
              <w:jc w:val="left"/>
              <w:rPr>
                <w:color w:val="auto"/>
                <w:szCs w:val="21"/>
                <w:highlight w:val="none"/>
              </w:rPr>
            </w:pPr>
          </w:p>
        </w:tc>
        <w:tc>
          <w:tcPr>
            <w:tcW w:w="458" w:type="dxa"/>
            <w:tcBorders>
              <w:top w:val="single" w:color="auto" w:sz="4" w:space="0"/>
              <w:left w:val="single" w:color="auto" w:sz="4" w:space="0"/>
              <w:bottom w:val="single" w:color="auto" w:sz="4" w:space="0"/>
              <w:right w:val="single" w:color="auto" w:sz="4" w:space="0"/>
            </w:tcBorders>
          </w:tcPr>
          <w:p w14:paraId="033FF8CE">
            <w:pPr>
              <w:spacing w:line="500" w:lineRule="exact"/>
              <w:jc w:val="left"/>
              <w:rPr>
                <w:color w:val="auto"/>
                <w:szCs w:val="21"/>
                <w:highlight w:val="none"/>
              </w:rPr>
            </w:pPr>
          </w:p>
        </w:tc>
      </w:tr>
      <w:tr w14:paraId="46F7319C">
        <w:tblPrEx>
          <w:tblCellMar>
            <w:top w:w="0" w:type="dxa"/>
            <w:left w:w="108" w:type="dxa"/>
            <w:bottom w:w="0" w:type="dxa"/>
            <w:right w:w="108" w:type="dxa"/>
          </w:tblCellMar>
        </w:tblPrEx>
        <w:trPr>
          <w:jc w:val="center"/>
        </w:trPr>
        <w:tc>
          <w:tcPr>
            <w:tcW w:w="2478" w:type="dxa"/>
            <w:gridSpan w:val="3"/>
            <w:tcBorders>
              <w:top w:val="single" w:color="auto" w:sz="4" w:space="0"/>
              <w:left w:val="single" w:color="auto" w:sz="4" w:space="0"/>
              <w:bottom w:val="single" w:color="auto" w:sz="4" w:space="0"/>
              <w:right w:val="single" w:color="auto" w:sz="4" w:space="0"/>
            </w:tcBorders>
          </w:tcPr>
          <w:p w14:paraId="26DD3AB2">
            <w:pPr>
              <w:spacing w:line="500" w:lineRule="exact"/>
              <w:jc w:val="center"/>
              <w:rPr>
                <w:color w:val="auto"/>
                <w:szCs w:val="21"/>
                <w:highlight w:val="none"/>
              </w:rPr>
            </w:pPr>
            <w:r>
              <w:rPr>
                <w:rFonts w:hint="eastAsia"/>
                <w:color w:val="auto"/>
                <w:szCs w:val="21"/>
                <w:highlight w:val="none"/>
              </w:rPr>
              <w:t>最高限价</w:t>
            </w:r>
          </w:p>
        </w:tc>
        <w:tc>
          <w:tcPr>
            <w:tcW w:w="7718" w:type="dxa"/>
            <w:gridSpan w:val="13"/>
            <w:tcBorders>
              <w:top w:val="single" w:color="auto" w:sz="4" w:space="0"/>
              <w:left w:val="single" w:color="auto" w:sz="4" w:space="0"/>
              <w:bottom w:val="single" w:color="auto" w:sz="4" w:space="0"/>
              <w:right w:val="single" w:color="auto" w:sz="4" w:space="0"/>
            </w:tcBorders>
          </w:tcPr>
          <w:p w14:paraId="58132268">
            <w:pPr>
              <w:spacing w:line="500" w:lineRule="exact"/>
              <w:jc w:val="left"/>
              <w:rPr>
                <w:color w:val="auto"/>
                <w:szCs w:val="21"/>
                <w:highlight w:val="none"/>
              </w:rPr>
            </w:pPr>
          </w:p>
        </w:tc>
      </w:tr>
      <w:tr w14:paraId="0A65D6DD">
        <w:tblPrEx>
          <w:tblCellMar>
            <w:top w:w="0" w:type="dxa"/>
            <w:left w:w="108" w:type="dxa"/>
            <w:bottom w:w="0" w:type="dxa"/>
            <w:right w:w="108" w:type="dxa"/>
          </w:tblCellMar>
        </w:tblPrEx>
        <w:trPr>
          <w:jc w:val="center"/>
        </w:trPr>
        <w:tc>
          <w:tcPr>
            <w:tcW w:w="2478" w:type="dxa"/>
            <w:gridSpan w:val="3"/>
            <w:tcBorders>
              <w:top w:val="single" w:color="auto" w:sz="4" w:space="0"/>
              <w:left w:val="single" w:color="auto" w:sz="4" w:space="0"/>
              <w:bottom w:val="single" w:color="auto" w:sz="4" w:space="0"/>
              <w:right w:val="single" w:color="auto" w:sz="4" w:space="0"/>
            </w:tcBorders>
          </w:tcPr>
          <w:p w14:paraId="0D8E080C">
            <w:pPr>
              <w:spacing w:line="500" w:lineRule="exact"/>
              <w:jc w:val="center"/>
              <w:rPr>
                <w:color w:val="auto"/>
                <w:szCs w:val="21"/>
                <w:highlight w:val="none"/>
              </w:rPr>
            </w:pPr>
            <w:r>
              <w:rPr>
                <w:rFonts w:hint="eastAsia"/>
                <w:color w:val="auto"/>
                <w:szCs w:val="21"/>
                <w:highlight w:val="none"/>
              </w:rPr>
              <w:t>最高限价的8</w:t>
            </w:r>
            <w:r>
              <w:rPr>
                <w:color w:val="auto"/>
                <w:szCs w:val="21"/>
                <w:highlight w:val="none"/>
              </w:rPr>
              <w:t>5</w:t>
            </w:r>
            <w:r>
              <w:rPr>
                <w:rFonts w:hint="eastAsia"/>
                <w:color w:val="auto"/>
                <w:szCs w:val="21"/>
                <w:highlight w:val="none"/>
              </w:rPr>
              <w:t>%</w:t>
            </w:r>
          </w:p>
        </w:tc>
        <w:tc>
          <w:tcPr>
            <w:tcW w:w="7718" w:type="dxa"/>
            <w:gridSpan w:val="13"/>
            <w:tcBorders>
              <w:top w:val="single" w:color="auto" w:sz="4" w:space="0"/>
              <w:left w:val="single" w:color="auto" w:sz="4" w:space="0"/>
              <w:bottom w:val="single" w:color="auto" w:sz="4" w:space="0"/>
              <w:right w:val="single" w:color="auto" w:sz="4" w:space="0"/>
            </w:tcBorders>
          </w:tcPr>
          <w:p w14:paraId="271DB3DC">
            <w:pPr>
              <w:spacing w:line="500" w:lineRule="exact"/>
              <w:rPr>
                <w:rFonts w:ascii="宋体" w:hAnsi="宋体"/>
                <w:i/>
                <w:color w:val="auto"/>
                <w:kern w:val="0"/>
                <w:szCs w:val="21"/>
                <w:highlight w:val="none"/>
              </w:rPr>
            </w:pPr>
            <w:r>
              <w:rPr>
                <w:rFonts w:hint="eastAsia" w:ascii="宋体" w:hAnsi="宋体"/>
                <w:i/>
                <w:color w:val="auto"/>
                <w:kern w:val="0"/>
                <w:szCs w:val="21"/>
                <w:highlight w:val="none"/>
              </w:rPr>
              <w:t>[提示：经评审的最低投标价法适用]</w:t>
            </w:r>
          </w:p>
        </w:tc>
      </w:tr>
      <w:tr w14:paraId="36111097">
        <w:tblPrEx>
          <w:tblCellMar>
            <w:top w:w="0" w:type="dxa"/>
            <w:left w:w="108" w:type="dxa"/>
            <w:bottom w:w="0" w:type="dxa"/>
            <w:right w:w="108" w:type="dxa"/>
          </w:tblCellMar>
        </w:tblPrEx>
        <w:trPr>
          <w:jc w:val="center"/>
        </w:trPr>
        <w:tc>
          <w:tcPr>
            <w:tcW w:w="2478" w:type="dxa"/>
            <w:gridSpan w:val="3"/>
            <w:tcBorders>
              <w:top w:val="single" w:color="auto" w:sz="4" w:space="0"/>
              <w:left w:val="single" w:color="auto" w:sz="4" w:space="0"/>
              <w:bottom w:val="single" w:color="auto" w:sz="4" w:space="0"/>
              <w:right w:val="single" w:color="auto" w:sz="4" w:space="0"/>
            </w:tcBorders>
          </w:tcPr>
          <w:p w14:paraId="442CE9AE">
            <w:pPr>
              <w:spacing w:line="500" w:lineRule="exact"/>
              <w:jc w:val="center"/>
              <w:rPr>
                <w:rFonts w:hint="default" w:eastAsia="宋体"/>
                <w:color w:val="auto"/>
                <w:szCs w:val="21"/>
                <w:highlight w:val="none"/>
                <w:lang w:val="en-US" w:eastAsia="zh-CN"/>
              </w:rPr>
            </w:pPr>
            <w:r>
              <w:rPr>
                <w:rFonts w:hint="eastAsia"/>
                <w:color w:val="auto"/>
                <w:szCs w:val="21"/>
                <w:highlight w:val="none"/>
                <w:lang w:val="en-US" w:eastAsia="zh-CN"/>
              </w:rPr>
              <w:t>异常情况</w:t>
            </w:r>
          </w:p>
        </w:tc>
        <w:tc>
          <w:tcPr>
            <w:tcW w:w="7718" w:type="dxa"/>
            <w:gridSpan w:val="13"/>
            <w:tcBorders>
              <w:top w:val="single" w:color="auto" w:sz="4" w:space="0"/>
              <w:left w:val="single" w:color="auto" w:sz="4" w:space="0"/>
              <w:bottom w:val="single" w:color="auto" w:sz="4" w:space="0"/>
              <w:right w:val="single" w:color="auto" w:sz="4" w:space="0"/>
            </w:tcBorders>
          </w:tcPr>
          <w:p w14:paraId="4E5CE3D2">
            <w:pPr>
              <w:spacing w:line="500" w:lineRule="exact"/>
              <w:rPr>
                <w:rFonts w:hint="eastAsia" w:ascii="宋体" w:hAnsi="宋体"/>
                <w:i/>
                <w:color w:val="auto"/>
                <w:kern w:val="0"/>
                <w:szCs w:val="21"/>
                <w:highlight w:val="none"/>
              </w:rPr>
            </w:pPr>
          </w:p>
        </w:tc>
      </w:tr>
    </w:tbl>
    <w:p w14:paraId="0DF99DCE">
      <w:pPr>
        <w:tabs>
          <w:tab w:val="left" w:pos="2740"/>
          <w:tab w:val="left" w:pos="4940"/>
          <w:tab w:val="left" w:pos="7140"/>
        </w:tabs>
        <w:autoSpaceDE w:val="0"/>
        <w:autoSpaceDN w:val="0"/>
        <w:adjustRightInd w:val="0"/>
        <w:snapToGrid w:val="0"/>
        <w:spacing w:line="360" w:lineRule="auto"/>
        <w:jc w:val="left"/>
        <w:rPr>
          <w:rFonts w:ascii="宋体" w:hAnsi="宋体"/>
          <w:snapToGrid w:val="0"/>
          <w:color w:val="auto"/>
          <w:kern w:val="0"/>
          <w:szCs w:val="21"/>
          <w:highlight w:val="none"/>
        </w:rPr>
      </w:pPr>
    </w:p>
    <w:p w14:paraId="1A3642AB">
      <w:pPr>
        <w:tabs>
          <w:tab w:val="left" w:pos="2740"/>
          <w:tab w:val="left" w:pos="4940"/>
          <w:tab w:val="left" w:pos="6930"/>
        </w:tabs>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snapToGrid w:val="0"/>
          <w:color w:val="auto"/>
          <w:kern w:val="0"/>
          <w:szCs w:val="21"/>
          <w:highlight w:val="none"/>
        </w:rPr>
        <w:t>主持</w:t>
      </w:r>
      <w:r>
        <w:rPr>
          <w:rFonts w:ascii="宋体" w:hAnsi="宋体"/>
          <w:snapToGrid w:val="0"/>
          <w:color w:val="auto"/>
          <w:kern w:val="0"/>
          <w:szCs w:val="21"/>
          <w:highlight w:val="none"/>
        </w:rPr>
        <w:t>人：</w:t>
      </w:r>
      <w:r>
        <w:rPr>
          <w:rFonts w:hint="eastAsia" w:ascii="宋体" w:hAnsi="宋体" w:cs="MingLiU"/>
          <w:snapToGrid w:val="0"/>
          <w:color w:val="auto"/>
          <w:w w:val="200"/>
          <w:kern w:val="0"/>
          <w:szCs w:val="21"/>
          <w:highlight w:val="none"/>
          <w:u w:val="single"/>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0813E687">
      <w:pPr>
        <w:autoSpaceDE w:val="0"/>
        <w:autoSpaceDN w:val="0"/>
        <w:adjustRightInd w:val="0"/>
        <w:snapToGrid w:val="0"/>
        <w:spacing w:before="62" w:beforeLines="20" w:line="360" w:lineRule="auto"/>
        <w:jc w:val="right"/>
        <w:rPr>
          <w:rFonts w:ascii="宋体" w:hAnsi="宋体"/>
          <w:snapToGrid w:val="0"/>
          <w:color w:val="auto"/>
          <w:kern w:val="0"/>
          <w:sz w:val="24"/>
          <w:highlight w:val="none"/>
        </w:rPr>
      </w:pPr>
      <w:r>
        <w:rPr>
          <w:rFonts w:ascii="宋体" w:hAnsi="宋体"/>
          <w:snapToGrid w:val="0"/>
          <w:color w:val="auto"/>
          <w:kern w:val="0"/>
          <w:sz w:val="24"/>
          <w:highlight w:val="none"/>
        </w:rPr>
        <w:t xml:space="preserve">                                       </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347D8DE8">
      <w:pPr>
        <w:autoSpaceDE w:val="0"/>
        <w:autoSpaceDN w:val="0"/>
        <w:adjustRightInd w:val="0"/>
        <w:snapToGrid w:val="0"/>
        <w:spacing w:before="62" w:beforeLines="20" w:line="360" w:lineRule="auto"/>
        <w:jc w:val="both"/>
        <w:rPr>
          <w:rFonts w:hint="default" w:ascii="宋体" w:hAnsi="宋体" w:eastAsia="宋体" w:cs="MingLiU"/>
          <w:snapToGrid w:val="0"/>
          <w:color w:val="auto"/>
          <w:w w:val="198"/>
          <w:kern w:val="0"/>
          <w:sz w:val="28"/>
          <w:szCs w:val="28"/>
          <w:highlight w:val="none"/>
          <w:u w:val="single"/>
          <w:lang w:val="en-US" w:eastAsia="zh-CN"/>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二</w:t>
      </w:r>
      <w:r>
        <w:rPr>
          <w:rFonts w:ascii="宋体" w:hAnsi="宋体"/>
          <w:b/>
          <w:snapToGrid w:val="0"/>
          <w:color w:val="auto"/>
          <w:kern w:val="0"/>
          <w:highlight w:val="none"/>
        </w:rPr>
        <w:t>：</w:t>
      </w:r>
      <w:r>
        <w:rPr>
          <w:rFonts w:hint="eastAsia" w:ascii="宋体" w:hAnsi="宋体"/>
          <w:b/>
          <w:snapToGrid w:val="0"/>
          <w:color w:val="auto"/>
          <w:kern w:val="0"/>
          <w:highlight w:val="none"/>
          <w:lang w:val="en-US" w:eastAsia="zh-CN"/>
        </w:rPr>
        <w:t>纸质投标保函递交情况一览表（如有）</w:t>
      </w:r>
    </w:p>
    <w:p w14:paraId="27024C7B">
      <w:pPr>
        <w:autoSpaceDE w:val="0"/>
        <w:autoSpaceDN w:val="0"/>
        <w:adjustRightInd w:val="0"/>
        <w:snapToGrid w:val="0"/>
        <w:spacing w:before="62" w:beforeLines="20" w:line="360" w:lineRule="auto"/>
        <w:jc w:val="center"/>
        <w:rPr>
          <w:rFonts w:hint="eastAsia" w:ascii="宋体" w:hAnsi="宋体"/>
          <w:color w:val="auto"/>
          <w:szCs w:val="21"/>
          <w:highlight w:val="none"/>
          <w:lang w:val="en-US" w:eastAsia="zh-CN"/>
        </w:rPr>
      </w:pPr>
      <w:r>
        <w:rPr>
          <w:rFonts w:hint="eastAsia" w:ascii="宋体" w:hAnsi="宋体" w:cs="MingLiU"/>
          <w:snapToGrid w:val="0"/>
          <w:color w:val="auto"/>
          <w:w w:val="198"/>
          <w:kern w:val="0"/>
          <w:sz w:val="28"/>
          <w:szCs w:val="28"/>
          <w:highlight w:val="none"/>
          <w:u w:val="single"/>
        </w:rPr>
        <w:t xml:space="preserve">         </w:t>
      </w:r>
      <w:r>
        <w:rPr>
          <w:rFonts w:ascii="宋体" w:hAnsi="宋体"/>
          <w:b/>
          <w:snapToGrid w:val="0"/>
          <w:color w:val="auto"/>
          <w:w w:val="99"/>
          <w:kern w:val="0"/>
          <w:sz w:val="28"/>
          <w:szCs w:val="28"/>
          <w:highlight w:val="none"/>
          <w:u w:val="single"/>
        </w:rPr>
        <w:t>（项目名称）</w:t>
      </w:r>
      <w:r>
        <w:rPr>
          <w:rFonts w:hint="default" w:ascii="宋体" w:hAnsi="宋体"/>
          <w:b/>
          <w:snapToGrid w:val="0"/>
          <w:color w:val="auto"/>
          <w:w w:val="99"/>
          <w:kern w:val="0"/>
          <w:sz w:val="28"/>
          <w:szCs w:val="28"/>
          <w:highlight w:val="none"/>
          <w:u w:val="single"/>
          <w:lang w:val="en-US" w:eastAsia="zh-CN"/>
        </w:rPr>
        <w:t>纸质投标保函</w:t>
      </w:r>
      <w:r>
        <w:rPr>
          <w:rFonts w:hint="eastAsia" w:ascii="宋体" w:hAnsi="宋体"/>
          <w:b/>
          <w:snapToGrid w:val="0"/>
          <w:color w:val="auto"/>
          <w:w w:val="99"/>
          <w:kern w:val="0"/>
          <w:sz w:val="28"/>
          <w:szCs w:val="28"/>
          <w:highlight w:val="none"/>
          <w:u w:val="single"/>
          <w:lang w:val="en-US" w:eastAsia="zh-CN"/>
        </w:rPr>
        <w:t>递交</w:t>
      </w:r>
      <w:r>
        <w:rPr>
          <w:rFonts w:hint="default" w:ascii="宋体" w:hAnsi="宋体"/>
          <w:b/>
          <w:snapToGrid w:val="0"/>
          <w:color w:val="auto"/>
          <w:w w:val="99"/>
          <w:kern w:val="0"/>
          <w:sz w:val="28"/>
          <w:szCs w:val="28"/>
          <w:highlight w:val="none"/>
          <w:u w:val="single"/>
          <w:lang w:val="en-US" w:eastAsia="zh-CN"/>
        </w:rPr>
        <w:t>情况一览表</w:t>
      </w:r>
    </w:p>
    <w:p w14:paraId="7AD044BE">
      <w:pPr>
        <w:autoSpaceDE w:val="0"/>
        <w:autoSpaceDN w:val="0"/>
        <w:adjustRightInd w:val="0"/>
        <w:snapToGrid w:val="0"/>
        <w:spacing w:before="62" w:beforeLines="20" w:line="360" w:lineRule="auto"/>
        <w:ind w:firstLine="0" w:firstLineChars="0"/>
        <w:jc w:val="right"/>
        <w:rPr>
          <w:rFonts w:hint="eastAsia" w:ascii="宋体" w:hAnsi="宋体"/>
          <w:color w:val="auto"/>
          <w:szCs w:val="21"/>
          <w:highlight w:val="none"/>
          <w:lang w:val="en-US" w:eastAsia="zh-CN"/>
        </w:rPr>
      </w:pPr>
      <w:r>
        <w:rPr>
          <w:rFonts w:hint="eastAsia" w:ascii="宋体" w:hAnsi="宋体"/>
          <w:snapToGrid w:val="0"/>
          <w:color w:val="auto"/>
          <w:kern w:val="0"/>
          <w:szCs w:val="21"/>
          <w:highlight w:val="none"/>
          <w:lang w:val="en-US" w:eastAsia="zh-CN"/>
        </w:rPr>
        <w:t>投标截止时间</w:t>
      </w:r>
      <w:r>
        <w:rPr>
          <w:rFonts w:ascii="宋体" w:hAnsi="宋体"/>
          <w:snapToGrid w:val="0"/>
          <w:color w:val="auto"/>
          <w:kern w:val="0"/>
          <w:szCs w:val="21"/>
          <w:highlight w:val="none"/>
        </w:rPr>
        <w:t>：</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月</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时</w:t>
      </w:r>
      <w:r>
        <w:rPr>
          <w:rFonts w:hint="eastAsia" w:ascii="宋体" w:hAnsi="宋体"/>
          <w:snapToGrid w:val="0"/>
          <w:color w:val="auto"/>
          <w:kern w:val="0"/>
          <w:szCs w:val="21"/>
          <w:highlight w:val="none"/>
          <w:u w:val="single"/>
        </w:rPr>
        <w:t xml:space="preserve">     </w:t>
      </w:r>
      <w:r>
        <w:rPr>
          <w:rFonts w:hint="eastAsia" w:ascii="宋体" w:hAnsi="宋体" w:cs="MingLiU"/>
          <w:snapToGrid w:val="0"/>
          <w:color w:val="auto"/>
          <w:kern w:val="0"/>
          <w:szCs w:val="21"/>
          <w:highlight w:val="none"/>
        </w:rPr>
        <w:t>分</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9"/>
        <w:gridCol w:w="2695"/>
        <w:gridCol w:w="2209"/>
        <w:gridCol w:w="1983"/>
        <w:gridCol w:w="2097"/>
      </w:tblGrid>
      <w:tr w14:paraId="4970C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42888031">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序号</w:t>
            </w:r>
          </w:p>
        </w:tc>
        <w:tc>
          <w:tcPr>
            <w:tcW w:w="2695" w:type="dxa"/>
          </w:tcPr>
          <w:p w14:paraId="60BDA2EB">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投标人</w:t>
            </w:r>
          </w:p>
        </w:tc>
        <w:tc>
          <w:tcPr>
            <w:tcW w:w="2209" w:type="dxa"/>
          </w:tcPr>
          <w:p w14:paraId="091EE71B">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金额（元）</w:t>
            </w:r>
          </w:p>
        </w:tc>
        <w:tc>
          <w:tcPr>
            <w:tcW w:w="1983" w:type="dxa"/>
          </w:tcPr>
          <w:p w14:paraId="2DACDBEE">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递交时间</w:t>
            </w:r>
          </w:p>
        </w:tc>
        <w:tc>
          <w:tcPr>
            <w:tcW w:w="2097" w:type="dxa"/>
          </w:tcPr>
          <w:p w14:paraId="6B135554">
            <w:pPr>
              <w:autoSpaceDE w:val="0"/>
              <w:autoSpaceDN w:val="0"/>
              <w:adjustRightInd w:val="0"/>
              <w:snapToGrid w:val="0"/>
              <w:spacing w:before="62" w:beforeLines="20" w:line="360" w:lineRule="auto"/>
              <w:jc w:val="center"/>
              <w:rPr>
                <w:rFonts w:hint="default" w:ascii="宋体" w:hAnsi="宋体"/>
                <w:color w:val="auto"/>
                <w:szCs w:val="21"/>
                <w:highlight w:val="none"/>
                <w:vertAlign w:val="baseline"/>
                <w:lang w:val="en-US" w:eastAsia="zh-CN"/>
              </w:rPr>
            </w:pPr>
            <w:r>
              <w:rPr>
                <w:rFonts w:hint="eastAsia" w:ascii="宋体" w:hAnsi="宋体"/>
                <w:color w:val="auto"/>
                <w:szCs w:val="21"/>
                <w:highlight w:val="none"/>
                <w:vertAlign w:val="baseline"/>
                <w:lang w:val="en-US" w:eastAsia="zh-CN"/>
              </w:rPr>
              <w:t>备注</w:t>
            </w:r>
          </w:p>
        </w:tc>
      </w:tr>
      <w:tr w14:paraId="56649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68E2679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074C6D2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1E9F460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16F43C6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762A9DD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2E6E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2E77204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0E69874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40553A9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77605BA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6AF56B5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1A9F3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4B85B94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2A41E0E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384BB31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10BFFB9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0CC1C70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5A9A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58C9897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2883D7B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7933600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6553673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2D160AF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1D64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074F971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0AF4CA5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275EFD5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5F93BCC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4F3F63D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68602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0C8CC30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367A59F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5E4A43F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27AA95E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7720E57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DF73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297D0F0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248EEF5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3187DAE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315912D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6836B66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251FD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1ACEB0D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6529CA2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25D4F5E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1BBEE8E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02F15DD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21AEC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374B854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6E95225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0DC7AA6B">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581C60A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076F164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0DE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3F53952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40DCA02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64C3217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368A89F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5704C18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1687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3534B48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41C76AF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4ADC175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13A21EF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7F54124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35743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0688408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02C16FF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35D4D7F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317898B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2CEFBB0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6176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17064AA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1B33A98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71DD282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2A79C99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49C14FB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273A0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46ED40D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68F909F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780E6E2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265D214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28951D8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0EC1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5548884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1603323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4C7B2A7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182EDAA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1C1D6B45">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28459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5071404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7808858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0A7A5FA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0C1C146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2C7444C9">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0B58F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7013285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6F28C2F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0721872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0A754A60">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6E18808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E436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0022B1B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1368B37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5544E0E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7DE1E1F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5D03590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06B55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1C15E767">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755823F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0696751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62B6810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58DF7D38">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42F79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4E604F7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3D59E10F">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4E32F3F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24E26D0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2D6ABF92">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5C99A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1061D14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33D5124E">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1BEC18FD">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6F5C860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4BF0F674">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r w14:paraId="099D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9" w:type="dxa"/>
          </w:tcPr>
          <w:p w14:paraId="6EB84CBA">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695" w:type="dxa"/>
          </w:tcPr>
          <w:p w14:paraId="26BB26F1">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209" w:type="dxa"/>
          </w:tcPr>
          <w:p w14:paraId="58BE7C8C">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1983" w:type="dxa"/>
          </w:tcPr>
          <w:p w14:paraId="5DAFCA16">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c>
          <w:tcPr>
            <w:tcW w:w="2097" w:type="dxa"/>
          </w:tcPr>
          <w:p w14:paraId="32ACD123">
            <w:pPr>
              <w:autoSpaceDE w:val="0"/>
              <w:autoSpaceDN w:val="0"/>
              <w:adjustRightInd w:val="0"/>
              <w:snapToGrid w:val="0"/>
              <w:spacing w:before="62" w:beforeLines="20" w:line="360" w:lineRule="auto"/>
              <w:jc w:val="both"/>
              <w:rPr>
                <w:rFonts w:hint="default" w:ascii="宋体" w:hAnsi="宋体"/>
                <w:color w:val="auto"/>
                <w:szCs w:val="21"/>
                <w:highlight w:val="none"/>
                <w:vertAlign w:val="baseline"/>
                <w:lang w:val="en-US" w:eastAsia="zh-CN"/>
              </w:rPr>
            </w:pPr>
          </w:p>
        </w:tc>
      </w:tr>
    </w:tbl>
    <w:p w14:paraId="4BF9B1D9">
      <w:pPr>
        <w:tabs>
          <w:tab w:val="left" w:pos="2740"/>
          <w:tab w:val="left" w:pos="4940"/>
          <w:tab w:val="left" w:pos="6930"/>
        </w:tabs>
        <w:autoSpaceDE w:val="0"/>
        <w:autoSpaceDN w:val="0"/>
        <w:adjustRightInd w:val="0"/>
        <w:snapToGrid w:val="0"/>
        <w:spacing w:line="360" w:lineRule="auto"/>
        <w:ind w:firstLine="420"/>
        <w:jc w:val="left"/>
        <w:rPr>
          <w:rFonts w:ascii="宋体" w:hAnsi="宋体"/>
          <w:snapToGrid w:val="0"/>
          <w:color w:val="auto"/>
          <w:kern w:val="0"/>
          <w:szCs w:val="21"/>
          <w:highlight w:val="none"/>
        </w:rPr>
      </w:pPr>
    </w:p>
    <w:p w14:paraId="54977087">
      <w:pPr>
        <w:tabs>
          <w:tab w:val="left" w:pos="2740"/>
          <w:tab w:val="left" w:pos="4940"/>
          <w:tab w:val="left" w:pos="6930"/>
        </w:tabs>
        <w:autoSpaceDE w:val="0"/>
        <w:autoSpaceDN w:val="0"/>
        <w:adjustRightInd w:val="0"/>
        <w:snapToGrid w:val="0"/>
        <w:spacing w:line="360" w:lineRule="auto"/>
        <w:ind w:firstLine="0"/>
        <w:jc w:val="left"/>
        <w:rPr>
          <w:rFonts w:hint="eastAsia" w:ascii="宋体" w:hAnsi="宋体" w:cs="MingLiU"/>
          <w:snapToGrid w:val="0"/>
          <w:color w:val="auto"/>
          <w:w w:val="200"/>
          <w:kern w:val="0"/>
          <w:szCs w:val="21"/>
          <w:highlight w:val="none"/>
          <w:u w:val="single"/>
        </w:rPr>
      </w:pPr>
      <w:r>
        <w:rPr>
          <w:rFonts w:ascii="宋体" w:hAnsi="宋体"/>
          <w:snapToGrid w:val="0"/>
          <w:color w:val="auto"/>
          <w:kern w:val="0"/>
          <w:szCs w:val="21"/>
          <w:highlight w:val="none"/>
        </w:rPr>
        <w:t>招标人代表：</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监标人：</w:t>
      </w:r>
      <w:r>
        <w:rPr>
          <w:rFonts w:hint="eastAsia" w:ascii="宋体" w:hAnsi="宋体" w:cs="MingLiU"/>
          <w:snapToGrid w:val="0"/>
          <w:color w:val="auto"/>
          <w:w w:val="200"/>
          <w:kern w:val="0"/>
          <w:szCs w:val="21"/>
          <w:highlight w:val="none"/>
          <w:u w:val="single"/>
        </w:rPr>
        <w:t xml:space="preserve">      </w:t>
      </w:r>
      <w:r>
        <w:rPr>
          <w:rFonts w:hint="eastAsia" w:ascii="宋体" w:hAnsi="宋体" w:cs="MingLiU"/>
          <w:snapToGrid w:val="0"/>
          <w:color w:val="auto"/>
          <w:w w:val="200"/>
          <w:kern w:val="0"/>
          <w:szCs w:val="21"/>
          <w:highlight w:val="none"/>
          <w:lang w:val="en-US" w:eastAsia="zh-CN"/>
        </w:rPr>
        <w:t xml:space="preserve">     </w:t>
      </w:r>
      <w:r>
        <w:rPr>
          <w:rFonts w:ascii="宋体" w:hAnsi="宋体"/>
          <w:snapToGrid w:val="0"/>
          <w:color w:val="auto"/>
          <w:kern w:val="0"/>
          <w:szCs w:val="21"/>
          <w:highlight w:val="none"/>
        </w:rPr>
        <w:t>记录人：</w:t>
      </w:r>
      <w:r>
        <w:rPr>
          <w:rFonts w:hint="eastAsia" w:ascii="宋体" w:hAnsi="宋体" w:cs="MingLiU"/>
          <w:snapToGrid w:val="0"/>
          <w:color w:val="auto"/>
          <w:w w:val="200"/>
          <w:kern w:val="0"/>
          <w:szCs w:val="21"/>
          <w:highlight w:val="none"/>
          <w:u w:val="single"/>
        </w:rPr>
        <w:t xml:space="preserve">      </w:t>
      </w:r>
    </w:p>
    <w:p w14:paraId="31453C35">
      <w:pPr>
        <w:pStyle w:val="2"/>
        <w:jc w:val="right"/>
        <w:rPr>
          <w:rFonts w:hint="eastAsia"/>
          <w:color w:val="auto"/>
          <w:highlight w:val="none"/>
        </w:rPr>
      </w:pP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年</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月</w:t>
      </w:r>
      <w:r>
        <w:rPr>
          <w:rFonts w:ascii="宋体" w:hAnsi="宋体"/>
          <w:snapToGrid w:val="0"/>
          <w:color w:val="auto"/>
          <w:kern w:val="0"/>
          <w:sz w:val="24"/>
          <w:highlight w:val="none"/>
          <w:u w:val="single"/>
        </w:rPr>
        <w:t xml:space="preserve">    </w:t>
      </w:r>
      <w:r>
        <w:rPr>
          <w:rFonts w:ascii="宋体" w:hAnsi="宋体"/>
          <w:snapToGrid w:val="0"/>
          <w:color w:val="auto"/>
          <w:kern w:val="0"/>
          <w:sz w:val="24"/>
          <w:highlight w:val="none"/>
        </w:rPr>
        <w:t>日</w:t>
      </w:r>
    </w:p>
    <w:p w14:paraId="50F81485">
      <w:pPr>
        <w:autoSpaceDE w:val="0"/>
        <w:autoSpaceDN w:val="0"/>
        <w:adjustRightInd w:val="0"/>
        <w:snapToGrid w:val="0"/>
        <w:spacing w:line="360" w:lineRule="auto"/>
        <w:jc w:val="left"/>
        <w:rPr>
          <w:rFonts w:ascii="宋体" w:hAnsi="宋体"/>
          <w:b/>
          <w:snapToGrid w:val="0"/>
          <w:color w:val="auto"/>
          <w:kern w:val="0"/>
          <w:highlight w:val="none"/>
        </w:rPr>
      </w:pPr>
    </w:p>
    <w:p w14:paraId="63EC10D1">
      <w:pPr>
        <w:autoSpaceDE/>
        <w:autoSpaceDN/>
        <w:adjustRightInd/>
        <w:snapToGrid/>
        <w:spacing w:line="240" w:lineRule="auto"/>
        <w:jc w:val="left"/>
        <w:rPr>
          <w:rFonts w:ascii="宋体" w:hAnsi="宋体"/>
          <w:b/>
          <w:snapToGrid w:val="0"/>
          <w:color w:val="auto"/>
          <w:kern w:val="0"/>
          <w:highlight w:val="none"/>
        </w:rPr>
      </w:pPr>
      <w:r>
        <w:rPr>
          <w:rFonts w:ascii="宋体" w:hAnsi="宋体"/>
          <w:b/>
          <w:snapToGrid w:val="0"/>
          <w:color w:val="auto"/>
          <w:kern w:val="0"/>
          <w:highlight w:val="none"/>
        </w:rPr>
        <w:br w:type="page"/>
      </w:r>
    </w:p>
    <w:p w14:paraId="127382BD">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三</w:t>
      </w:r>
      <w:r>
        <w:rPr>
          <w:rFonts w:ascii="宋体" w:hAnsi="宋体"/>
          <w:b/>
          <w:snapToGrid w:val="0"/>
          <w:color w:val="auto"/>
          <w:kern w:val="0"/>
          <w:highlight w:val="none"/>
        </w:rPr>
        <w:t>：问题澄清通知</w:t>
      </w:r>
    </w:p>
    <w:p w14:paraId="1D6C5928">
      <w:pPr>
        <w:autoSpaceDE w:val="0"/>
        <w:autoSpaceDN w:val="0"/>
        <w:adjustRightInd w:val="0"/>
        <w:snapToGrid w:val="0"/>
        <w:spacing w:line="360" w:lineRule="auto"/>
        <w:jc w:val="left"/>
        <w:rPr>
          <w:rFonts w:ascii="宋体" w:hAnsi="宋体"/>
          <w:b/>
          <w:snapToGrid w:val="0"/>
          <w:color w:val="auto"/>
          <w:kern w:val="0"/>
          <w:sz w:val="24"/>
          <w:highlight w:val="none"/>
        </w:rPr>
      </w:pPr>
    </w:p>
    <w:p w14:paraId="1C6C668C">
      <w:pPr>
        <w:autoSpaceDE w:val="0"/>
        <w:autoSpaceDN w:val="0"/>
        <w:adjustRightInd w:val="0"/>
        <w:snapToGrid w:val="0"/>
        <w:spacing w:line="360" w:lineRule="auto"/>
        <w:jc w:val="center"/>
        <w:rPr>
          <w:rFonts w:ascii="宋体" w:hAnsi="宋体"/>
          <w:b/>
          <w:snapToGrid w:val="0"/>
          <w:color w:val="auto"/>
          <w:w w:val="99"/>
          <w:kern w:val="0"/>
          <w:sz w:val="32"/>
          <w:szCs w:val="32"/>
          <w:highlight w:val="none"/>
        </w:rPr>
      </w:pPr>
      <w:r>
        <w:rPr>
          <w:rFonts w:hint="eastAsia" w:ascii="宋体" w:hAnsi="宋体"/>
          <w:b/>
          <w:snapToGrid w:val="0"/>
          <w:color w:val="auto"/>
          <w:w w:val="99"/>
          <w:kern w:val="0"/>
          <w:sz w:val="32"/>
          <w:szCs w:val="32"/>
          <w:highlight w:val="none"/>
        </w:rPr>
        <w:t>问题澄清通知</w:t>
      </w:r>
    </w:p>
    <w:p w14:paraId="6CA4FE66">
      <w:pPr>
        <w:autoSpaceDE w:val="0"/>
        <w:autoSpaceDN w:val="0"/>
        <w:adjustRightInd w:val="0"/>
        <w:snapToGrid w:val="0"/>
        <w:spacing w:line="360" w:lineRule="auto"/>
        <w:jc w:val="left"/>
        <w:rPr>
          <w:rFonts w:ascii="宋体" w:hAnsi="宋体"/>
          <w:b/>
          <w:snapToGrid w:val="0"/>
          <w:color w:val="auto"/>
          <w:kern w:val="0"/>
          <w:sz w:val="24"/>
          <w:highlight w:val="none"/>
        </w:rPr>
      </w:pPr>
    </w:p>
    <w:p w14:paraId="2055178D">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25B02FEB">
      <w:pPr>
        <w:autoSpaceDE w:val="0"/>
        <w:autoSpaceDN w:val="0"/>
        <w:adjustRightInd w:val="0"/>
        <w:snapToGrid w:val="0"/>
        <w:spacing w:line="360" w:lineRule="auto"/>
        <w:jc w:val="left"/>
        <w:rPr>
          <w:rFonts w:ascii="宋体" w:hAnsi="宋体"/>
          <w:b/>
          <w:snapToGrid w:val="0"/>
          <w:color w:val="auto"/>
          <w:kern w:val="0"/>
          <w:sz w:val="24"/>
          <w:highlight w:val="none"/>
        </w:rPr>
      </w:pPr>
    </w:p>
    <w:p w14:paraId="78DBC252">
      <w:pPr>
        <w:autoSpaceDE w:val="0"/>
        <w:autoSpaceDN w:val="0"/>
        <w:adjustRightInd w:val="0"/>
        <w:snapToGrid w:val="0"/>
        <w:spacing w:line="360" w:lineRule="auto"/>
        <w:ind w:firstLine="140" w:firstLineChars="50"/>
        <w:rPr>
          <w:rFonts w:ascii="宋体" w:hAnsi="宋体"/>
          <w:snapToGrid w:val="0"/>
          <w:color w:val="auto"/>
          <w:kern w:val="0"/>
          <w:sz w:val="28"/>
          <w:szCs w:val="28"/>
          <w:highlight w:val="none"/>
        </w:rPr>
      </w:pPr>
    </w:p>
    <w:p w14:paraId="13127756">
      <w:pPr>
        <w:tabs>
          <w:tab w:val="left" w:pos="158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（投标人名称）：</w:t>
      </w:r>
    </w:p>
    <w:p w14:paraId="1CD96019">
      <w:pPr>
        <w:tabs>
          <w:tab w:val="left" w:pos="2320"/>
          <w:tab w:val="left" w:pos="4460"/>
        </w:tabs>
        <w:autoSpaceDE w:val="0"/>
        <w:autoSpaceDN w:val="0"/>
        <w:adjustRightInd w:val="0"/>
        <w:snapToGrid w:val="0"/>
        <w:spacing w:line="480" w:lineRule="auto"/>
        <w:ind w:firstLine="424" w:firstLineChars="101"/>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（项目名称）</w:t>
      </w:r>
      <w:r>
        <w:rPr>
          <w:rFonts w:hint="eastAsia" w:ascii="宋体" w:hAnsi="宋体"/>
          <w:snapToGrid w:val="0"/>
          <w:color w:val="auto"/>
          <w:kern w:val="0"/>
          <w:szCs w:val="21"/>
          <w:highlight w:val="none"/>
        </w:rPr>
        <w:t>工程总承包</w:t>
      </w:r>
      <w:r>
        <w:rPr>
          <w:rFonts w:ascii="宋体" w:hAnsi="宋体"/>
          <w:snapToGrid w:val="0"/>
          <w:color w:val="auto"/>
          <w:kern w:val="0"/>
          <w:szCs w:val="21"/>
          <w:highlight w:val="none"/>
        </w:rPr>
        <w:t>招标的评标委员会，对你方的投标文件进行了仔细的审查，现需你方对下列问题予以澄清：</w:t>
      </w:r>
    </w:p>
    <w:p w14:paraId="3F4B2968">
      <w:pPr>
        <w:autoSpaceDE w:val="0"/>
        <w:autoSpaceDN w:val="0"/>
        <w:adjustRightInd w:val="0"/>
        <w:snapToGrid w:val="0"/>
        <w:spacing w:line="360" w:lineRule="auto"/>
        <w:jc w:val="left"/>
        <w:rPr>
          <w:rFonts w:ascii="宋体" w:hAnsi="宋体"/>
          <w:snapToGrid w:val="0"/>
          <w:color w:val="auto"/>
          <w:kern w:val="0"/>
          <w:sz w:val="24"/>
          <w:highlight w:val="none"/>
        </w:rPr>
      </w:pPr>
    </w:p>
    <w:p w14:paraId="010FE30A">
      <w:pPr>
        <w:autoSpaceDE w:val="0"/>
        <w:autoSpaceDN w:val="0"/>
        <w:adjustRightInd w:val="0"/>
        <w:snapToGrid w:val="0"/>
        <w:spacing w:line="360" w:lineRule="auto"/>
        <w:jc w:val="left"/>
        <w:rPr>
          <w:rFonts w:ascii="宋体" w:hAnsi="宋体"/>
          <w:snapToGrid w:val="0"/>
          <w:color w:val="auto"/>
          <w:kern w:val="0"/>
          <w:sz w:val="24"/>
          <w:highlight w:val="none"/>
        </w:rPr>
      </w:pPr>
    </w:p>
    <w:p w14:paraId="779E7BAF">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36D77021">
      <w:pPr>
        <w:autoSpaceDE w:val="0"/>
        <w:autoSpaceDN w:val="0"/>
        <w:adjustRightInd w:val="0"/>
        <w:snapToGrid w:val="0"/>
        <w:spacing w:line="360" w:lineRule="auto"/>
        <w:jc w:val="left"/>
        <w:rPr>
          <w:rFonts w:ascii="宋体" w:hAnsi="宋体"/>
          <w:snapToGrid w:val="0"/>
          <w:color w:val="auto"/>
          <w:kern w:val="0"/>
          <w:szCs w:val="21"/>
          <w:highlight w:val="none"/>
        </w:rPr>
      </w:pPr>
    </w:p>
    <w:p w14:paraId="20E9BBE1">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6A12F8CE">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7D949F2E">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2CDFDEEE">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7707D1EF">
      <w:pPr>
        <w:autoSpaceDE w:val="0"/>
        <w:autoSpaceDN w:val="0"/>
        <w:adjustRightInd w:val="0"/>
        <w:snapToGrid w:val="0"/>
        <w:spacing w:line="360" w:lineRule="auto"/>
        <w:jc w:val="left"/>
        <w:rPr>
          <w:rFonts w:ascii="宋体" w:hAnsi="宋体"/>
          <w:snapToGrid w:val="0"/>
          <w:color w:val="auto"/>
          <w:kern w:val="0"/>
          <w:sz w:val="14"/>
          <w:szCs w:val="14"/>
          <w:highlight w:val="none"/>
        </w:rPr>
      </w:pPr>
    </w:p>
    <w:p w14:paraId="26DD93CA">
      <w:pPr>
        <w:autoSpaceDE w:val="0"/>
        <w:autoSpaceDN w:val="0"/>
        <w:adjustRightInd w:val="0"/>
        <w:snapToGrid w:val="0"/>
        <w:spacing w:line="360" w:lineRule="auto"/>
        <w:jc w:val="left"/>
        <w:rPr>
          <w:rFonts w:ascii="宋体" w:hAnsi="宋体"/>
          <w:snapToGrid w:val="0"/>
          <w:color w:val="auto"/>
          <w:kern w:val="0"/>
          <w:sz w:val="14"/>
          <w:szCs w:val="14"/>
          <w:highlight w:val="none"/>
        </w:rPr>
      </w:pPr>
    </w:p>
    <w:p w14:paraId="1643A868">
      <w:pPr>
        <w:autoSpaceDE w:val="0"/>
        <w:autoSpaceDN w:val="0"/>
        <w:adjustRightInd w:val="0"/>
        <w:snapToGrid w:val="0"/>
        <w:spacing w:line="360" w:lineRule="auto"/>
        <w:jc w:val="left"/>
        <w:rPr>
          <w:rFonts w:ascii="宋体" w:hAnsi="宋体"/>
          <w:snapToGrid w:val="0"/>
          <w:color w:val="auto"/>
          <w:kern w:val="0"/>
          <w:sz w:val="14"/>
          <w:szCs w:val="14"/>
          <w:highlight w:val="none"/>
        </w:rPr>
      </w:pPr>
    </w:p>
    <w:p w14:paraId="6225F556">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1DFE2115">
      <w:pPr>
        <w:tabs>
          <w:tab w:val="left" w:pos="2745"/>
          <w:tab w:val="left" w:pos="3360"/>
          <w:tab w:val="left" w:pos="4060"/>
          <w:tab w:val="left" w:pos="4760"/>
          <w:tab w:val="left" w:pos="5360"/>
          <w:tab w:val="left" w:pos="5800"/>
          <w:tab w:val="left" w:pos="6735"/>
          <w:tab w:val="left" w:pos="7260"/>
          <w:tab w:val="left" w:pos="8000"/>
        </w:tabs>
        <w:autoSpaceDE w:val="0"/>
        <w:autoSpaceDN w:val="0"/>
        <w:adjustRightInd w:val="0"/>
        <w:snapToGrid w:val="0"/>
        <w:spacing w:line="480" w:lineRule="auto"/>
        <w:ind w:firstLine="420"/>
        <w:rPr>
          <w:rFonts w:ascii="宋体" w:hAnsi="宋体"/>
          <w:snapToGrid w:val="0"/>
          <w:color w:val="auto"/>
          <w:kern w:val="0"/>
          <w:szCs w:val="21"/>
          <w:highlight w:val="none"/>
        </w:rPr>
      </w:pPr>
      <w:r>
        <w:rPr>
          <w:rFonts w:ascii="宋体" w:hAnsi="宋体"/>
          <w:snapToGrid w:val="0"/>
          <w:color w:val="auto"/>
          <w:kern w:val="0"/>
          <w:szCs w:val="21"/>
          <w:highlight w:val="none"/>
        </w:rPr>
        <w:t>请将上述问题的澄清于</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时前</w:t>
      </w:r>
      <w:r>
        <w:rPr>
          <w:rFonts w:hint="eastAsia" w:ascii="宋体" w:hAnsi="宋体"/>
          <w:snapToGrid w:val="0"/>
          <w:color w:val="auto"/>
          <w:kern w:val="0"/>
          <w:szCs w:val="21"/>
          <w:highlight w:val="none"/>
        </w:rPr>
        <w:t>通</w:t>
      </w:r>
      <w:r>
        <w:rPr>
          <w:rFonts w:hint="eastAsia" w:ascii="宋体" w:hAnsi="宋体"/>
          <w:snapToGrid w:val="0"/>
          <w:color w:val="auto"/>
          <w:kern w:val="0"/>
          <w:szCs w:val="21"/>
          <w:highlight w:val="none"/>
          <w:u w:val="none"/>
        </w:rPr>
        <w:t>过重庆市电子招投标系统提交</w:t>
      </w:r>
      <w:r>
        <w:rPr>
          <w:rFonts w:ascii="宋体" w:hAnsi="宋体"/>
          <w:snapToGrid w:val="0"/>
          <w:color w:val="auto"/>
          <w:kern w:val="0"/>
          <w:szCs w:val="21"/>
          <w:highlight w:val="none"/>
        </w:rPr>
        <w:t>。</w:t>
      </w:r>
    </w:p>
    <w:p w14:paraId="730F6611">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443A0576">
      <w:pPr>
        <w:autoSpaceDE w:val="0"/>
        <w:autoSpaceDN w:val="0"/>
        <w:adjustRightInd w:val="0"/>
        <w:snapToGrid w:val="0"/>
        <w:spacing w:line="360" w:lineRule="auto"/>
        <w:jc w:val="left"/>
        <w:rPr>
          <w:rFonts w:ascii="宋体" w:hAnsi="宋体"/>
          <w:snapToGrid w:val="0"/>
          <w:color w:val="auto"/>
          <w:kern w:val="0"/>
          <w:sz w:val="28"/>
          <w:szCs w:val="28"/>
          <w:highlight w:val="none"/>
        </w:rPr>
      </w:pPr>
    </w:p>
    <w:p w14:paraId="4EC59139">
      <w:pPr>
        <w:tabs>
          <w:tab w:val="left" w:pos="6400"/>
        </w:tabs>
        <w:autoSpaceDE w:val="0"/>
        <w:autoSpaceDN w:val="0"/>
        <w:adjustRightInd w:val="0"/>
        <w:snapToGrid w:val="0"/>
        <w:spacing w:line="360" w:lineRule="auto"/>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评标委员会：</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w:t>
      </w:r>
    </w:p>
    <w:p w14:paraId="591B26E6">
      <w:pPr>
        <w:tabs>
          <w:tab w:val="left" w:pos="6400"/>
        </w:tabs>
        <w:autoSpaceDE w:val="0"/>
        <w:autoSpaceDN w:val="0"/>
        <w:adjustRightInd w:val="0"/>
        <w:snapToGrid w:val="0"/>
        <w:spacing w:line="360" w:lineRule="auto"/>
        <w:jc w:val="right"/>
        <w:rPr>
          <w:rFonts w:ascii="宋体" w:hAnsi="宋体"/>
          <w:snapToGrid w:val="0"/>
          <w:color w:val="auto"/>
          <w:kern w:val="0"/>
          <w:szCs w:val="21"/>
          <w:highlight w:val="none"/>
        </w:rPr>
      </w:pPr>
      <w:r>
        <w:rPr>
          <w:rFonts w:hint="eastAsia" w:ascii="宋体" w:hAnsi="宋体"/>
          <w:i/>
          <w:color w:val="auto"/>
          <w:kern w:val="0"/>
          <w:szCs w:val="21"/>
          <w:highlight w:val="none"/>
        </w:rPr>
        <w:t>[提示：重庆市电子招投标系统应实现投标人接收端口签字隐藏功能]</w:t>
      </w:r>
      <w:r>
        <w:rPr>
          <w:rFonts w:ascii="宋体" w:hAnsi="宋体"/>
          <w:snapToGrid w:val="0"/>
          <w:color w:val="auto"/>
          <w:kern w:val="0"/>
          <w:sz w:val="24"/>
          <w:highlight w:val="none"/>
        </w:rPr>
        <w:t xml:space="preserve"> </w:t>
      </w:r>
      <w:r>
        <w:rPr>
          <w:rFonts w:ascii="宋体" w:hAnsi="宋体"/>
          <w:snapToGrid w:val="0"/>
          <w:color w:val="auto"/>
          <w:kern w:val="0"/>
          <w:szCs w:val="21"/>
          <w:highlight w:val="none"/>
        </w:rPr>
        <w:t xml:space="preserve">                            </w:t>
      </w:r>
    </w:p>
    <w:p w14:paraId="20ACCE17">
      <w:pPr>
        <w:wordWrap w:val="0"/>
        <w:autoSpaceDE w:val="0"/>
        <w:autoSpaceDN w:val="0"/>
        <w:adjustRightInd w:val="0"/>
        <w:snapToGrid w:val="0"/>
        <w:spacing w:line="360" w:lineRule="auto"/>
        <w:ind w:firstLine="850" w:firstLineChars="405"/>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71880E67">
      <w:pPr>
        <w:autoSpaceDE w:val="0"/>
        <w:autoSpaceDN w:val="0"/>
        <w:adjustRightInd w:val="0"/>
        <w:snapToGrid w:val="0"/>
        <w:spacing w:line="360" w:lineRule="auto"/>
        <w:jc w:val="left"/>
        <w:rPr>
          <w:rFonts w:ascii="宋体" w:hAnsi="宋体"/>
          <w:b/>
          <w:snapToGrid w:val="0"/>
          <w:color w:val="auto"/>
          <w:kern w:val="0"/>
          <w:highlight w:val="none"/>
        </w:rPr>
      </w:pPr>
      <w:r>
        <w:rPr>
          <w:rFonts w:ascii="宋体" w:hAnsi="宋体"/>
          <w:b/>
          <w:snapToGrid w:val="0"/>
          <w:color w:val="auto"/>
          <w:kern w:val="0"/>
          <w:sz w:val="24"/>
          <w:highlight w:val="none"/>
        </w:rPr>
        <w:br w:type="page"/>
      </w: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四</w:t>
      </w:r>
      <w:r>
        <w:rPr>
          <w:rFonts w:ascii="宋体" w:hAnsi="宋体"/>
          <w:b/>
          <w:snapToGrid w:val="0"/>
          <w:color w:val="auto"/>
          <w:kern w:val="0"/>
          <w:highlight w:val="none"/>
        </w:rPr>
        <w:t>：问题的澄清</w:t>
      </w:r>
    </w:p>
    <w:p w14:paraId="0238199B">
      <w:pPr>
        <w:autoSpaceDE w:val="0"/>
        <w:autoSpaceDN w:val="0"/>
        <w:adjustRightInd w:val="0"/>
        <w:snapToGrid w:val="0"/>
        <w:spacing w:line="360" w:lineRule="auto"/>
        <w:jc w:val="left"/>
        <w:rPr>
          <w:rFonts w:ascii="宋体" w:hAnsi="宋体"/>
          <w:b/>
          <w:snapToGrid w:val="0"/>
          <w:color w:val="auto"/>
          <w:kern w:val="0"/>
          <w:sz w:val="10"/>
          <w:szCs w:val="10"/>
          <w:highlight w:val="none"/>
        </w:rPr>
      </w:pPr>
    </w:p>
    <w:p w14:paraId="3A2D46D5">
      <w:pPr>
        <w:autoSpaceDE w:val="0"/>
        <w:autoSpaceDN w:val="0"/>
        <w:adjustRightInd w:val="0"/>
        <w:snapToGrid w:val="0"/>
        <w:spacing w:line="360" w:lineRule="auto"/>
        <w:jc w:val="center"/>
        <w:rPr>
          <w:rFonts w:ascii="宋体" w:hAnsi="宋体"/>
          <w:b/>
          <w:snapToGrid w:val="0"/>
          <w:color w:val="auto"/>
          <w:kern w:val="0"/>
          <w:sz w:val="32"/>
          <w:szCs w:val="32"/>
          <w:highlight w:val="none"/>
        </w:rPr>
      </w:pPr>
      <w:r>
        <w:rPr>
          <w:rFonts w:ascii="宋体" w:hAnsi="宋体"/>
          <w:b/>
          <w:snapToGrid w:val="0"/>
          <w:color w:val="auto"/>
          <w:w w:val="99"/>
          <w:kern w:val="0"/>
          <w:sz w:val="32"/>
          <w:szCs w:val="32"/>
          <w:highlight w:val="none"/>
        </w:rPr>
        <w:t>问题的澄清</w:t>
      </w:r>
    </w:p>
    <w:p w14:paraId="2403FE73">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rPr>
      </w:pPr>
    </w:p>
    <w:p w14:paraId="0BD1F635">
      <w:pPr>
        <w:autoSpaceDE w:val="0"/>
        <w:autoSpaceDN w:val="0"/>
        <w:adjustRightInd w:val="0"/>
        <w:snapToGrid w:val="0"/>
        <w:spacing w:line="360" w:lineRule="auto"/>
        <w:ind w:firstLine="3255" w:firstLineChars="1550"/>
        <w:jc w:val="left"/>
        <w:rPr>
          <w:rFonts w:ascii="宋体" w:hAnsi="宋体"/>
          <w:snapToGrid w:val="0"/>
          <w:color w:val="auto"/>
          <w:kern w:val="0"/>
          <w:szCs w:val="21"/>
          <w:highlight w:val="none"/>
          <w:u w:val="single"/>
        </w:rPr>
      </w:pPr>
      <w:r>
        <w:rPr>
          <w:rFonts w:ascii="宋体" w:hAnsi="宋体"/>
          <w:snapToGrid w:val="0"/>
          <w:color w:val="auto"/>
          <w:kern w:val="0"/>
          <w:szCs w:val="21"/>
          <w:highlight w:val="none"/>
        </w:rPr>
        <w:t>编号：</w:t>
      </w:r>
      <w:r>
        <w:rPr>
          <w:rFonts w:hint="eastAsia" w:ascii="宋体" w:hAnsi="宋体"/>
          <w:snapToGrid w:val="0"/>
          <w:color w:val="auto"/>
          <w:kern w:val="0"/>
          <w:szCs w:val="21"/>
          <w:highlight w:val="none"/>
          <w:u w:val="single"/>
        </w:rPr>
        <w:t xml:space="preserve">                     </w:t>
      </w:r>
    </w:p>
    <w:p w14:paraId="1969A41D">
      <w:pPr>
        <w:autoSpaceDE w:val="0"/>
        <w:autoSpaceDN w:val="0"/>
        <w:adjustRightInd w:val="0"/>
        <w:snapToGrid w:val="0"/>
        <w:spacing w:line="360" w:lineRule="auto"/>
        <w:ind w:firstLine="3150" w:firstLineChars="1500"/>
        <w:rPr>
          <w:rFonts w:ascii="宋体" w:hAnsi="宋体"/>
          <w:snapToGrid w:val="0"/>
          <w:color w:val="auto"/>
          <w:kern w:val="0"/>
          <w:szCs w:val="21"/>
          <w:highlight w:val="none"/>
        </w:rPr>
      </w:pPr>
    </w:p>
    <w:p w14:paraId="12FF8ACF">
      <w:pPr>
        <w:autoSpaceDE w:val="0"/>
        <w:autoSpaceDN w:val="0"/>
        <w:adjustRightInd w:val="0"/>
        <w:snapToGrid w:val="0"/>
        <w:spacing w:line="360" w:lineRule="auto"/>
        <w:ind w:firstLine="3150" w:firstLineChars="1500"/>
        <w:rPr>
          <w:rFonts w:ascii="宋体" w:hAnsi="宋体"/>
          <w:snapToGrid w:val="0"/>
          <w:color w:val="auto"/>
          <w:kern w:val="0"/>
          <w:szCs w:val="21"/>
          <w:highlight w:val="none"/>
        </w:rPr>
      </w:pPr>
    </w:p>
    <w:p w14:paraId="2B9999BE">
      <w:pPr>
        <w:tabs>
          <w:tab w:val="left" w:pos="2415"/>
          <w:tab w:val="left" w:pos="3480"/>
          <w:tab w:val="left" w:pos="4200"/>
        </w:tabs>
        <w:autoSpaceDE w:val="0"/>
        <w:autoSpaceDN w:val="0"/>
        <w:adjustRightInd w:val="0"/>
        <w:snapToGrid w:val="0"/>
        <w:spacing w:line="480" w:lineRule="auto"/>
        <w:ind w:firstLine="840" w:firstLineChars="200"/>
        <w:jc w:val="left"/>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（项目名称）</w:t>
      </w:r>
      <w:r>
        <w:rPr>
          <w:rFonts w:hint="eastAsia" w:ascii="宋体" w:hAnsi="宋体"/>
          <w:snapToGrid w:val="0"/>
          <w:color w:val="auto"/>
          <w:kern w:val="0"/>
          <w:szCs w:val="21"/>
          <w:highlight w:val="none"/>
        </w:rPr>
        <w:t>工程总承包</w:t>
      </w:r>
      <w:r>
        <w:rPr>
          <w:rFonts w:ascii="宋体" w:hAnsi="宋体"/>
          <w:snapToGrid w:val="0"/>
          <w:color w:val="auto"/>
          <w:kern w:val="0"/>
          <w:szCs w:val="21"/>
          <w:highlight w:val="none"/>
        </w:rPr>
        <w:t>招标评标委员会：</w:t>
      </w:r>
    </w:p>
    <w:p w14:paraId="69435CED">
      <w:pPr>
        <w:tabs>
          <w:tab w:val="left" w:pos="2000"/>
          <w:tab w:val="left" w:pos="3480"/>
          <w:tab w:val="left" w:pos="4200"/>
        </w:tabs>
        <w:autoSpaceDE w:val="0"/>
        <w:autoSpaceDN w:val="0"/>
        <w:adjustRightInd w:val="0"/>
        <w:snapToGrid w:val="0"/>
        <w:spacing w:line="48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问题澄清通知（编号：</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）已收悉，现澄清如下：</w:t>
      </w:r>
    </w:p>
    <w:p w14:paraId="0A623982">
      <w:pPr>
        <w:tabs>
          <w:tab w:val="left" w:pos="2000"/>
          <w:tab w:val="left" w:pos="3480"/>
          <w:tab w:val="left" w:pos="4200"/>
        </w:tabs>
        <w:autoSpaceDE w:val="0"/>
        <w:autoSpaceDN w:val="0"/>
        <w:adjustRightInd w:val="0"/>
        <w:snapToGrid w:val="0"/>
        <w:spacing w:line="360" w:lineRule="auto"/>
        <w:jc w:val="left"/>
        <w:rPr>
          <w:rFonts w:ascii="宋体" w:hAnsi="宋体"/>
          <w:snapToGrid w:val="0"/>
          <w:color w:val="auto"/>
          <w:kern w:val="0"/>
          <w:szCs w:val="21"/>
          <w:highlight w:val="none"/>
        </w:rPr>
      </w:pPr>
    </w:p>
    <w:p w14:paraId="1C53EE5E">
      <w:pPr>
        <w:tabs>
          <w:tab w:val="left" w:pos="2000"/>
          <w:tab w:val="left" w:pos="3480"/>
          <w:tab w:val="left" w:pos="4200"/>
        </w:tabs>
        <w:autoSpaceDE w:val="0"/>
        <w:autoSpaceDN w:val="0"/>
        <w:adjustRightInd w:val="0"/>
        <w:snapToGrid w:val="0"/>
        <w:spacing w:line="360" w:lineRule="auto"/>
        <w:jc w:val="left"/>
        <w:rPr>
          <w:rFonts w:ascii="宋体" w:hAnsi="宋体"/>
          <w:snapToGrid w:val="0"/>
          <w:color w:val="auto"/>
          <w:kern w:val="0"/>
          <w:szCs w:val="21"/>
          <w:highlight w:val="none"/>
        </w:rPr>
      </w:pPr>
    </w:p>
    <w:p w14:paraId="38B36CA7">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1. </w:t>
      </w:r>
    </w:p>
    <w:p w14:paraId="1B16A959">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7998B3B2">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3C3D5992">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30C6E705">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 xml:space="preserve">2. </w:t>
      </w:r>
    </w:p>
    <w:p w14:paraId="365A434B">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1933B3B9">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4FA95F60">
      <w:pPr>
        <w:autoSpaceDE w:val="0"/>
        <w:autoSpaceDN w:val="0"/>
        <w:adjustRightInd w:val="0"/>
        <w:snapToGrid w:val="0"/>
        <w:spacing w:line="360" w:lineRule="auto"/>
        <w:jc w:val="left"/>
        <w:rPr>
          <w:rFonts w:ascii="宋体" w:hAnsi="宋体"/>
          <w:snapToGrid w:val="0"/>
          <w:color w:val="auto"/>
          <w:kern w:val="0"/>
          <w:sz w:val="22"/>
          <w:szCs w:val="22"/>
          <w:highlight w:val="none"/>
        </w:rPr>
      </w:pPr>
    </w:p>
    <w:p w14:paraId="28D0BCD9">
      <w:pPr>
        <w:autoSpaceDE w:val="0"/>
        <w:autoSpaceDN w:val="0"/>
        <w:adjustRightInd w:val="0"/>
        <w:snapToGrid w:val="0"/>
        <w:spacing w:line="360" w:lineRule="auto"/>
        <w:jc w:val="left"/>
        <w:rPr>
          <w:rFonts w:ascii="宋体" w:hAnsi="宋体"/>
          <w:snapToGrid w:val="0"/>
          <w:color w:val="auto"/>
          <w:kern w:val="0"/>
          <w:szCs w:val="21"/>
          <w:highlight w:val="none"/>
        </w:rPr>
      </w:pPr>
      <w:r>
        <w:rPr>
          <w:rFonts w:ascii="宋体" w:hAnsi="宋体"/>
          <w:snapToGrid w:val="0"/>
          <w:color w:val="auto"/>
          <w:kern w:val="0"/>
          <w:szCs w:val="21"/>
          <w:highlight w:val="none"/>
        </w:rPr>
        <w:t>.....</w:t>
      </w:r>
    </w:p>
    <w:p w14:paraId="32D66F73">
      <w:pPr>
        <w:autoSpaceDE w:val="0"/>
        <w:autoSpaceDN w:val="0"/>
        <w:adjustRightInd w:val="0"/>
        <w:snapToGrid w:val="0"/>
        <w:spacing w:line="360" w:lineRule="auto"/>
        <w:jc w:val="left"/>
        <w:rPr>
          <w:rFonts w:ascii="宋体" w:hAnsi="宋体"/>
          <w:snapToGrid w:val="0"/>
          <w:color w:val="auto"/>
          <w:kern w:val="0"/>
          <w:sz w:val="18"/>
          <w:szCs w:val="18"/>
          <w:highlight w:val="none"/>
        </w:rPr>
      </w:pPr>
    </w:p>
    <w:p w14:paraId="3F98E322">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2FA20101">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0432E3CC">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7F11D62B">
      <w:pPr>
        <w:autoSpaceDE w:val="0"/>
        <w:autoSpaceDN w:val="0"/>
        <w:adjustRightInd w:val="0"/>
        <w:snapToGrid w:val="0"/>
        <w:spacing w:line="360" w:lineRule="auto"/>
        <w:jc w:val="left"/>
        <w:rPr>
          <w:rFonts w:ascii="宋体" w:hAnsi="宋体"/>
          <w:snapToGrid w:val="0"/>
          <w:color w:val="auto"/>
          <w:kern w:val="0"/>
          <w:sz w:val="20"/>
          <w:szCs w:val="20"/>
          <w:highlight w:val="none"/>
        </w:rPr>
      </w:pPr>
    </w:p>
    <w:p w14:paraId="0E7D0907">
      <w:pPr>
        <w:tabs>
          <w:tab w:val="left" w:pos="7035"/>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投标人：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 xml:space="preserve">（盖单位法人章） </w:t>
      </w:r>
    </w:p>
    <w:p w14:paraId="1DB7173B">
      <w:pPr>
        <w:tabs>
          <w:tab w:val="left" w:pos="6620"/>
          <w:tab w:val="left" w:pos="7040"/>
        </w:tabs>
        <w:autoSpaceDE w:val="0"/>
        <w:autoSpaceDN w:val="0"/>
        <w:adjustRightInd w:val="0"/>
        <w:snapToGrid w:val="0"/>
        <w:spacing w:line="480" w:lineRule="auto"/>
        <w:ind w:firstLine="2551" w:firstLineChars="1215"/>
        <w:jc w:val="right"/>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（签字或盖章）</w:t>
      </w:r>
    </w:p>
    <w:p w14:paraId="578BA4D2">
      <w:pPr>
        <w:autoSpaceDE w:val="0"/>
        <w:autoSpaceDN w:val="0"/>
        <w:adjustRightInd w:val="0"/>
        <w:snapToGrid w:val="0"/>
        <w:spacing w:line="360" w:lineRule="auto"/>
        <w:jc w:val="right"/>
        <w:rPr>
          <w:rFonts w:ascii="宋体" w:hAnsi="宋体"/>
          <w:snapToGrid w:val="0"/>
          <w:color w:val="auto"/>
          <w:kern w:val="0"/>
          <w:sz w:val="20"/>
          <w:szCs w:val="20"/>
          <w:highlight w:val="none"/>
        </w:rPr>
      </w:pPr>
    </w:p>
    <w:p w14:paraId="2E1C28A9">
      <w:pPr>
        <w:wordWrap w:val="0"/>
        <w:autoSpaceDE w:val="0"/>
        <w:autoSpaceDN w:val="0"/>
        <w:adjustRightInd w:val="0"/>
        <w:snapToGrid w:val="0"/>
        <w:spacing w:line="360" w:lineRule="auto"/>
        <w:ind w:firstLine="315" w:firstLineChars="150"/>
        <w:jc w:val="right"/>
        <w:rPr>
          <w:rFonts w:ascii="宋体" w:hAnsi="宋体"/>
          <w:snapToGrid w:val="0"/>
          <w:color w:val="auto"/>
          <w:kern w:val="0"/>
          <w:szCs w:val="21"/>
          <w:highlight w:val="none"/>
        </w:rPr>
      </w:pPr>
      <w:r>
        <w:rPr>
          <w:rFonts w:ascii="宋体" w:hAnsi="宋体"/>
          <w:snapToGrid w:val="0"/>
          <w:color w:val="auto"/>
          <w:kern w:val="0"/>
          <w:szCs w:val="21"/>
          <w:highlight w:val="non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年</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月</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日</w:t>
      </w:r>
      <w:r>
        <w:rPr>
          <w:rFonts w:hint="eastAsia" w:ascii="宋体" w:hAnsi="宋体"/>
          <w:snapToGrid w:val="0"/>
          <w:color w:val="auto"/>
          <w:kern w:val="0"/>
          <w:szCs w:val="21"/>
          <w:highlight w:val="none"/>
        </w:rPr>
        <w:t xml:space="preserve"> </w:t>
      </w:r>
    </w:p>
    <w:p w14:paraId="189F22CD">
      <w:pPr>
        <w:autoSpaceDE w:val="0"/>
        <w:autoSpaceDN w:val="0"/>
        <w:adjustRightInd w:val="0"/>
        <w:snapToGrid w:val="0"/>
        <w:spacing w:line="360" w:lineRule="auto"/>
        <w:jc w:val="left"/>
        <w:rPr>
          <w:rFonts w:ascii="宋体" w:hAnsi="宋体"/>
          <w:b/>
          <w:snapToGrid w:val="0"/>
          <w:color w:val="auto"/>
          <w:kern w:val="0"/>
          <w:sz w:val="24"/>
          <w:highlight w:val="none"/>
        </w:rPr>
      </w:pPr>
    </w:p>
    <w:p w14:paraId="13D68A14">
      <w:pPr>
        <w:autoSpaceDE w:val="0"/>
        <w:autoSpaceDN w:val="0"/>
        <w:adjustRightInd w:val="0"/>
        <w:snapToGrid w:val="0"/>
        <w:spacing w:line="360" w:lineRule="auto"/>
        <w:jc w:val="left"/>
        <w:rPr>
          <w:rFonts w:ascii="宋体" w:hAnsi="宋体"/>
          <w:b/>
          <w:snapToGrid w:val="0"/>
          <w:color w:val="auto"/>
          <w:kern w:val="0"/>
          <w:highlight w:val="none"/>
        </w:rPr>
      </w:pPr>
    </w:p>
    <w:p w14:paraId="0B758C6C">
      <w:pPr>
        <w:widowControl/>
        <w:jc w:val="left"/>
        <w:rPr>
          <w:rFonts w:ascii="宋体" w:hAnsi="宋体"/>
          <w:b/>
          <w:snapToGrid w:val="0"/>
          <w:color w:val="auto"/>
          <w:kern w:val="0"/>
          <w:highlight w:val="none"/>
        </w:rPr>
      </w:pPr>
      <w:r>
        <w:rPr>
          <w:rFonts w:ascii="宋体" w:hAnsi="宋体"/>
          <w:b/>
          <w:snapToGrid w:val="0"/>
          <w:color w:val="auto"/>
          <w:kern w:val="0"/>
          <w:highlight w:val="none"/>
        </w:rPr>
        <w:br w:type="page"/>
      </w:r>
    </w:p>
    <w:p w14:paraId="7ED715C0">
      <w:pPr>
        <w:autoSpaceDE w:val="0"/>
        <w:autoSpaceDN w:val="0"/>
        <w:adjustRightInd w:val="0"/>
        <w:snapToGrid w:val="0"/>
        <w:spacing w:line="360" w:lineRule="auto"/>
        <w:jc w:val="left"/>
        <w:rPr>
          <w:rFonts w:ascii="宋体" w:hAnsi="宋体"/>
          <w:snapToGrid w:val="0"/>
          <w:color w:val="auto"/>
          <w:kern w:val="0"/>
          <w:sz w:val="20"/>
          <w:szCs w:val="20"/>
          <w:highlight w:val="none"/>
        </w:rPr>
      </w:pPr>
      <w:r>
        <w:rPr>
          <w:rFonts w:ascii="宋体" w:hAnsi="宋体"/>
          <w:b/>
          <w:snapToGrid w:val="0"/>
          <w:color w:val="auto"/>
          <w:kern w:val="0"/>
          <w:highlight w:val="none"/>
        </w:rPr>
        <w:t>附表</w:t>
      </w:r>
      <w:r>
        <w:rPr>
          <w:rFonts w:hint="eastAsia" w:ascii="宋体" w:hAnsi="宋体"/>
          <w:b/>
          <w:snapToGrid w:val="0"/>
          <w:color w:val="auto"/>
          <w:kern w:val="0"/>
          <w:highlight w:val="none"/>
          <w:lang w:val="en-US" w:eastAsia="zh-CN"/>
        </w:rPr>
        <w:t>五</w:t>
      </w:r>
      <w:r>
        <w:rPr>
          <w:rFonts w:ascii="宋体" w:hAnsi="宋体"/>
          <w:b/>
          <w:snapToGrid w:val="0"/>
          <w:color w:val="auto"/>
          <w:kern w:val="0"/>
          <w:highlight w:val="none"/>
        </w:rPr>
        <w:t>：中标通知书</w:t>
      </w:r>
    </w:p>
    <w:p w14:paraId="4FED5B35">
      <w:pPr>
        <w:autoSpaceDE w:val="0"/>
        <w:autoSpaceDN w:val="0"/>
        <w:adjustRightInd w:val="0"/>
        <w:spacing w:line="360" w:lineRule="auto"/>
        <w:jc w:val="left"/>
        <w:rPr>
          <w:rFonts w:ascii="宋体" w:hAnsi="宋体"/>
          <w:snapToGrid w:val="0"/>
          <w:color w:val="auto"/>
          <w:kern w:val="0"/>
          <w:sz w:val="20"/>
          <w:szCs w:val="20"/>
          <w:highlight w:val="none"/>
        </w:rPr>
      </w:pPr>
    </w:p>
    <w:p w14:paraId="3A0277AB">
      <w:pPr>
        <w:autoSpaceDE w:val="0"/>
        <w:autoSpaceDN w:val="0"/>
        <w:adjustRightInd w:val="0"/>
        <w:snapToGrid w:val="0"/>
        <w:spacing w:line="360" w:lineRule="auto"/>
        <w:jc w:val="center"/>
        <w:rPr>
          <w:rFonts w:ascii="宋体" w:hAnsi="宋体"/>
          <w:snapToGrid w:val="0"/>
          <w:color w:val="auto"/>
          <w:kern w:val="0"/>
          <w:sz w:val="20"/>
          <w:szCs w:val="20"/>
          <w:highlight w:val="none"/>
        </w:rPr>
      </w:pPr>
      <w:r>
        <w:rPr>
          <w:rFonts w:hint="eastAsia" w:ascii="宋体" w:hAnsi="宋体"/>
          <w:b/>
          <w:snapToGrid w:val="0"/>
          <w:color w:val="auto"/>
          <w:w w:val="99"/>
          <w:kern w:val="0"/>
          <w:sz w:val="32"/>
          <w:szCs w:val="32"/>
          <w:highlight w:val="none"/>
        </w:rPr>
        <w:t>重庆市建设工程中标通知书</w:t>
      </w:r>
    </w:p>
    <w:p w14:paraId="201D86C5">
      <w:pPr>
        <w:spacing w:line="600" w:lineRule="auto"/>
        <w:rPr>
          <w:rFonts w:ascii="宋体" w:hAnsi="宋体"/>
          <w:bCs/>
          <w:color w:val="auto"/>
          <w:kern w:val="0"/>
          <w:szCs w:val="21"/>
          <w:highlight w:val="none"/>
          <w:u w:val="single"/>
        </w:rPr>
      </w:pPr>
      <w:r>
        <w:rPr>
          <w:rFonts w:ascii="宋体" w:hAnsi="宋体"/>
          <w:bCs/>
          <w:color w:val="auto"/>
          <w:kern w:val="0"/>
          <w:szCs w:val="21"/>
          <w:highlight w:val="none"/>
          <w:u w:val="single"/>
        </w:rPr>
        <w:t xml:space="preserve">       </w:t>
      </w:r>
      <w:r>
        <w:rPr>
          <w:rFonts w:ascii="宋体" w:hAnsi="宋体"/>
          <w:color w:val="auto"/>
          <w:kern w:val="0"/>
          <w:szCs w:val="21"/>
          <w:highlight w:val="none"/>
          <w:u w:val="single"/>
        </w:rPr>
        <w:t>中标单位</w:t>
      </w:r>
      <w:r>
        <w:rPr>
          <w:rFonts w:ascii="宋体" w:hAnsi="宋体"/>
          <w:bCs/>
          <w:color w:val="auto"/>
          <w:kern w:val="0"/>
          <w:szCs w:val="21"/>
          <w:highlight w:val="none"/>
          <w:u w:val="single"/>
        </w:rPr>
        <w:t xml:space="preserve">               </w:t>
      </w:r>
      <w:r>
        <w:rPr>
          <w:rFonts w:ascii="宋体" w:hAnsi="宋体"/>
          <w:bCs/>
          <w:color w:val="auto"/>
          <w:kern w:val="0"/>
          <w:szCs w:val="21"/>
          <w:highlight w:val="none"/>
        </w:rPr>
        <w:t>：</w:t>
      </w:r>
    </w:p>
    <w:p w14:paraId="2EC3D14D">
      <w:pPr>
        <w:spacing w:line="480" w:lineRule="auto"/>
        <w:ind w:firstLine="420" w:firstLineChars="200"/>
        <w:rPr>
          <w:color w:val="auto"/>
          <w:szCs w:val="21"/>
          <w:highlight w:val="none"/>
        </w:rPr>
      </w:pPr>
      <w:r>
        <w:rPr>
          <w:color w:val="auto"/>
          <w:szCs w:val="21"/>
          <w:highlight w:val="none"/>
        </w:rPr>
        <w:t>你方于</w:t>
      </w:r>
      <w:r>
        <w:rPr>
          <w:color w:val="auto"/>
          <w:szCs w:val="21"/>
          <w:highlight w:val="none"/>
          <w:u w:val="single"/>
        </w:rPr>
        <w:t xml:space="preserve">         </w:t>
      </w:r>
      <w:r>
        <w:rPr>
          <w:color w:val="auto"/>
          <w:szCs w:val="21"/>
          <w:highlight w:val="none"/>
        </w:rPr>
        <w:t>（投标日期）所递交的</w:t>
      </w:r>
      <w:r>
        <w:rPr>
          <w:color w:val="auto"/>
          <w:szCs w:val="21"/>
          <w:highlight w:val="none"/>
          <w:u w:val="single"/>
        </w:rPr>
        <w:t xml:space="preserve">              </w:t>
      </w:r>
      <w:r>
        <w:rPr>
          <w:color w:val="auto"/>
          <w:szCs w:val="21"/>
          <w:highlight w:val="none"/>
        </w:rPr>
        <w:t>（项目名称）</w:t>
      </w:r>
      <w:r>
        <w:rPr>
          <w:rFonts w:hint="eastAsia"/>
          <w:color w:val="auto"/>
          <w:szCs w:val="21"/>
          <w:highlight w:val="none"/>
        </w:rPr>
        <w:t>招标的</w:t>
      </w:r>
      <w:r>
        <w:rPr>
          <w:color w:val="auto"/>
          <w:szCs w:val="21"/>
          <w:highlight w:val="none"/>
        </w:rPr>
        <w:t>投标文件已被我方接受，被确定为中标人。</w:t>
      </w:r>
    </w:p>
    <w:p w14:paraId="077E5DB3">
      <w:pPr>
        <w:spacing w:line="480" w:lineRule="auto"/>
        <w:ind w:firstLine="420"/>
        <w:rPr>
          <w:color w:val="auto"/>
          <w:szCs w:val="21"/>
          <w:highlight w:val="none"/>
        </w:rPr>
      </w:pPr>
      <w:r>
        <w:rPr>
          <w:color w:val="auto"/>
          <w:szCs w:val="21"/>
          <w:highlight w:val="none"/>
        </w:rPr>
        <w:t>中标价：</w:t>
      </w:r>
      <w:r>
        <w:rPr>
          <w:color w:val="auto"/>
          <w:szCs w:val="21"/>
          <w:highlight w:val="none"/>
          <w:u w:val="single"/>
        </w:rPr>
        <w:t xml:space="preserve">                   </w:t>
      </w:r>
      <w:r>
        <w:rPr>
          <w:color w:val="auto"/>
          <w:szCs w:val="21"/>
          <w:highlight w:val="none"/>
        </w:rPr>
        <w:t>元。</w:t>
      </w:r>
    </w:p>
    <w:p w14:paraId="1135F103">
      <w:pPr>
        <w:spacing w:line="480" w:lineRule="auto"/>
        <w:ind w:firstLine="420"/>
        <w:rPr>
          <w:color w:val="auto"/>
          <w:szCs w:val="21"/>
          <w:highlight w:val="none"/>
        </w:rPr>
      </w:pPr>
      <w:r>
        <w:rPr>
          <w:color w:val="auto"/>
          <w:szCs w:val="21"/>
          <w:highlight w:val="none"/>
        </w:rPr>
        <w:t>工期：</w:t>
      </w:r>
      <w:r>
        <w:rPr>
          <w:color w:val="auto"/>
          <w:szCs w:val="21"/>
          <w:highlight w:val="none"/>
          <w:u w:val="single"/>
        </w:rPr>
        <w:t xml:space="preserve">                  </w:t>
      </w:r>
      <w:r>
        <w:rPr>
          <w:color w:val="auto"/>
          <w:szCs w:val="21"/>
          <w:highlight w:val="none"/>
        </w:rPr>
        <w:t>。</w:t>
      </w:r>
    </w:p>
    <w:p w14:paraId="682BF97D">
      <w:pPr>
        <w:spacing w:line="480" w:lineRule="auto"/>
        <w:ind w:firstLine="420"/>
        <w:rPr>
          <w:color w:val="auto"/>
          <w:szCs w:val="21"/>
          <w:highlight w:val="none"/>
        </w:rPr>
      </w:pPr>
      <w:r>
        <w:rPr>
          <w:color w:val="auto"/>
          <w:szCs w:val="21"/>
          <w:highlight w:val="none"/>
        </w:rPr>
        <w:t>质量标准：</w:t>
      </w:r>
      <w:r>
        <w:rPr>
          <w:color w:val="auto"/>
          <w:szCs w:val="21"/>
          <w:highlight w:val="none"/>
          <w:u w:val="single"/>
        </w:rPr>
        <w:t xml:space="preserve">                      </w:t>
      </w:r>
      <w:r>
        <w:rPr>
          <w:color w:val="auto"/>
          <w:szCs w:val="21"/>
          <w:highlight w:val="none"/>
        </w:rPr>
        <w:t>。</w:t>
      </w:r>
    </w:p>
    <w:p w14:paraId="44DAADCF">
      <w:pPr>
        <w:spacing w:line="480" w:lineRule="auto"/>
        <w:ind w:firstLine="420"/>
        <w:rPr>
          <w:color w:val="auto"/>
          <w:szCs w:val="21"/>
          <w:highlight w:val="none"/>
        </w:rPr>
      </w:pPr>
      <w:r>
        <w:rPr>
          <w:rFonts w:hint="eastAsia"/>
          <w:color w:val="auto"/>
          <w:szCs w:val="21"/>
          <w:highlight w:val="none"/>
        </w:rPr>
        <w:t>工程总承包项目经理</w:t>
      </w:r>
      <w:r>
        <w:rPr>
          <w:color w:val="auto"/>
          <w:szCs w:val="21"/>
          <w:highlight w:val="none"/>
        </w:rPr>
        <w:t>：</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（姓名）。</w:t>
      </w:r>
    </w:p>
    <w:p w14:paraId="4BFBCA61">
      <w:pPr>
        <w:spacing w:line="480" w:lineRule="auto"/>
        <w:ind w:firstLine="420"/>
        <w:rPr>
          <w:color w:val="auto"/>
          <w:szCs w:val="21"/>
          <w:highlight w:val="none"/>
        </w:rPr>
      </w:pPr>
      <w:r>
        <w:rPr>
          <w:rFonts w:hint="eastAsia"/>
          <w:color w:val="auto"/>
          <w:szCs w:val="21"/>
          <w:highlight w:val="none"/>
        </w:rPr>
        <w:t>设计负责人：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（姓名）。</w:t>
      </w:r>
    </w:p>
    <w:p w14:paraId="5BA977B1">
      <w:pPr>
        <w:spacing w:line="480" w:lineRule="auto"/>
        <w:ind w:firstLine="420"/>
        <w:rPr>
          <w:color w:val="auto"/>
          <w:szCs w:val="21"/>
          <w:highlight w:val="none"/>
        </w:rPr>
      </w:pPr>
      <w:r>
        <w:rPr>
          <w:rFonts w:hint="eastAsia"/>
          <w:color w:val="auto"/>
          <w:szCs w:val="21"/>
          <w:highlight w:val="none"/>
        </w:rPr>
        <w:t>施工负责人：</w:t>
      </w:r>
      <w:r>
        <w:rPr>
          <w:rFonts w:hint="eastAsia"/>
          <w:color w:val="auto"/>
          <w:szCs w:val="21"/>
          <w:highlight w:val="none"/>
          <w:u w:val="single"/>
        </w:rPr>
        <w:t xml:space="preserve">                 </w:t>
      </w:r>
      <w:r>
        <w:rPr>
          <w:rFonts w:hint="eastAsia"/>
          <w:color w:val="auto"/>
          <w:szCs w:val="21"/>
          <w:highlight w:val="none"/>
        </w:rPr>
        <w:t>（姓名）。</w:t>
      </w:r>
    </w:p>
    <w:p w14:paraId="1B9A56C3">
      <w:pPr>
        <w:spacing w:line="480" w:lineRule="auto"/>
        <w:ind w:firstLine="420"/>
        <w:rPr>
          <w:color w:val="auto"/>
          <w:szCs w:val="21"/>
          <w:highlight w:val="none"/>
        </w:rPr>
      </w:pPr>
      <w:r>
        <w:rPr>
          <w:color w:val="auto"/>
          <w:szCs w:val="21"/>
          <w:highlight w:val="none"/>
        </w:rPr>
        <w:t>请你方在接到本通知书后的</w:t>
      </w:r>
      <w:r>
        <w:rPr>
          <w:color w:val="auto"/>
          <w:szCs w:val="21"/>
          <w:highlight w:val="none"/>
          <w:u w:val="single"/>
        </w:rPr>
        <w:t xml:space="preserve">     </w:t>
      </w:r>
      <w:r>
        <w:rPr>
          <w:color w:val="auto"/>
          <w:szCs w:val="21"/>
          <w:highlight w:val="none"/>
        </w:rPr>
        <w:t>日内到</w:t>
      </w:r>
      <w:r>
        <w:rPr>
          <w:color w:val="auto"/>
          <w:szCs w:val="21"/>
          <w:highlight w:val="none"/>
          <w:u w:val="single"/>
        </w:rPr>
        <w:t xml:space="preserve">                      </w:t>
      </w:r>
      <w:r>
        <w:rPr>
          <w:color w:val="auto"/>
          <w:szCs w:val="21"/>
          <w:highlight w:val="none"/>
        </w:rPr>
        <w:t>（指定地点）与我方签订</w:t>
      </w:r>
      <w:r>
        <w:rPr>
          <w:rFonts w:hint="eastAsia"/>
          <w:color w:val="auto"/>
          <w:szCs w:val="21"/>
          <w:highlight w:val="none"/>
        </w:rPr>
        <w:t>工程总</w:t>
      </w:r>
      <w:r>
        <w:rPr>
          <w:color w:val="auto"/>
          <w:szCs w:val="21"/>
          <w:highlight w:val="none"/>
        </w:rPr>
        <w:t>承包合同，在此之前按招标文件第二章</w:t>
      </w:r>
      <w:r>
        <w:rPr>
          <w:rFonts w:hint="eastAsia"/>
          <w:color w:val="auto"/>
          <w:szCs w:val="21"/>
          <w:highlight w:val="none"/>
        </w:rPr>
        <w:t>“</w:t>
      </w:r>
      <w:r>
        <w:rPr>
          <w:color w:val="auto"/>
          <w:szCs w:val="21"/>
          <w:highlight w:val="none"/>
        </w:rPr>
        <w:t>投标人须知</w:t>
      </w:r>
      <w:r>
        <w:rPr>
          <w:rFonts w:hint="eastAsia"/>
          <w:color w:val="auto"/>
          <w:szCs w:val="21"/>
          <w:highlight w:val="none"/>
        </w:rPr>
        <w:t>”</w:t>
      </w:r>
      <w:r>
        <w:rPr>
          <w:color w:val="auto"/>
          <w:szCs w:val="21"/>
          <w:highlight w:val="none"/>
        </w:rPr>
        <w:t>第7.</w:t>
      </w:r>
      <w:r>
        <w:rPr>
          <w:rFonts w:hint="eastAsia"/>
          <w:color w:val="auto"/>
          <w:szCs w:val="21"/>
          <w:highlight w:val="none"/>
        </w:rPr>
        <w:t>4</w:t>
      </w:r>
      <w:r>
        <w:rPr>
          <w:color w:val="auto"/>
          <w:szCs w:val="21"/>
          <w:highlight w:val="none"/>
        </w:rPr>
        <w:t>款规定向我方提交履约担保。</w:t>
      </w:r>
    </w:p>
    <w:p w14:paraId="3E542016">
      <w:pPr>
        <w:spacing w:line="480" w:lineRule="auto"/>
        <w:ind w:firstLine="420"/>
        <w:rPr>
          <w:rFonts w:ascii="宋体" w:hAnsi="宋体"/>
          <w:color w:val="auto"/>
          <w:kern w:val="0"/>
          <w:szCs w:val="21"/>
          <w:highlight w:val="none"/>
        </w:rPr>
      </w:pPr>
      <w:r>
        <w:rPr>
          <w:color w:val="auto"/>
          <w:szCs w:val="21"/>
          <w:highlight w:val="none"/>
        </w:rPr>
        <w:t>特此通知。</w:t>
      </w:r>
    </w:p>
    <w:p w14:paraId="6E4A5746">
      <w:pPr>
        <w:spacing w:line="480" w:lineRule="auto"/>
        <w:rPr>
          <w:rFonts w:ascii="宋体" w:hAnsi="宋体"/>
          <w:color w:val="auto"/>
          <w:kern w:val="0"/>
          <w:sz w:val="24"/>
          <w:highlight w:val="none"/>
        </w:rPr>
      </w:pPr>
    </w:p>
    <w:p w14:paraId="29A088A6">
      <w:pPr>
        <w:spacing w:line="480" w:lineRule="auto"/>
        <w:jc w:val="left"/>
        <w:rPr>
          <w:rFonts w:ascii="宋体" w:hAnsi="宋体"/>
          <w:color w:val="auto"/>
          <w:kern w:val="0"/>
          <w:szCs w:val="21"/>
          <w:highlight w:val="none"/>
        </w:rPr>
      </w:pPr>
      <w:r>
        <w:rPr>
          <w:rFonts w:ascii="宋体" w:hAnsi="宋体"/>
          <w:color w:val="auto"/>
          <w:kern w:val="0"/>
          <w:sz w:val="24"/>
          <w:highlight w:val="none"/>
        </w:rPr>
        <w:t xml:space="preserve">                               </w:t>
      </w:r>
      <w:r>
        <w:rPr>
          <w:rFonts w:ascii="宋体" w:hAnsi="宋体"/>
          <w:color w:val="auto"/>
          <w:kern w:val="0"/>
          <w:szCs w:val="21"/>
          <w:highlight w:val="none"/>
        </w:rPr>
        <w:t xml:space="preserve">   招标人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w:t>
      </w:r>
      <w:r>
        <w:rPr>
          <w:rFonts w:ascii="宋体" w:hAnsi="宋体"/>
          <w:snapToGrid w:val="0"/>
          <w:color w:val="auto"/>
          <w:kern w:val="0"/>
          <w:szCs w:val="21"/>
          <w:highlight w:val="none"/>
        </w:rPr>
        <w:t>盖单位法人章</w:t>
      </w:r>
      <w:r>
        <w:rPr>
          <w:rFonts w:ascii="宋体" w:hAnsi="宋体"/>
          <w:color w:val="auto"/>
          <w:kern w:val="0"/>
          <w:szCs w:val="21"/>
          <w:highlight w:val="none"/>
        </w:rPr>
        <w:t>）</w:t>
      </w:r>
    </w:p>
    <w:p w14:paraId="5C0D48CD">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法定代表人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（签字或盖章）</w:t>
      </w:r>
    </w:p>
    <w:p w14:paraId="2DED2AF3">
      <w:pPr>
        <w:spacing w:line="480" w:lineRule="auto"/>
        <w:jc w:val="left"/>
        <w:rPr>
          <w:rFonts w:ascii="宋体" w:hAnsi="宋体"/>
          <w:color w:val="auto"/>
          <w:kern w:val="0"/>
          <w:szCs w:val="21"/>
          <w:highlight w:val="none"/>
          <w:u w:val="single"/>
        </w:rPr>
      </w:pPr>
      <w:r>
        <w:rPr>
          <w:rFonts w:ascii="宋体" w:hAnsi="宋体"/>
          <w:color w:val="auto"/>
          <w:kern w:val="0"/>
          <w:szCs w:val="21"/>
          <w:highlight w:val="none"/>
        </w:rPr>
        <w:t xml:space="preserve">                                      联系人</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14:paraId="02678651">
      <w:pPr>
        <w:spacing w:line="480" w:lineRule="auto"/>
        <w:jc w:val="left"/>
        <w:rPr>
          <w:rFonts w:ascii="宋体" w:hAnsi="宋体"/>
          <w:color w:val="auto"/>
          <w:kern w:val="0"/>
          <w:szCs w:val="21"/>
          <w:highlight w:val="none"/>
        </w:rPr>
      </w:pPr>
      <w:r>
        <w:rPr>
          <w:rFonts w:ascii="宋体" w:hAnsi="宋体"/>
          <w:color w:val="auto"/>
          <w:kern w:val="0"/>
          <w:szCs w:val="21"/>
          <w:highlight w:val="none"/>
        </w:rPr>
        <w:t xml:space="preserve">                                    联系电话</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p>
    <w:p w14:paraId="610E6F2D">
      <w:pPr>
        <w:spacing w:line="480" w:lineRule="auto"/>
        <w:rPr>
          <w:rFonts w:ascii="宋体" w:hAnsi="宋体"/>
          <w:color w:val="auto"/>
          <w:kern w:val="0"/>
          <w:szCs w:val="21"/>
          <w:highlight w:val="none"/>
        </w:rPr>
      </w:pPr>
    </w:p>
    <w:p w14:paraId="41A739CC">
      <w:pPr>
        <w:spacing w:line="480" w:lineRule="auto"/>
        <w:jc w:val="right"/>
        <w:rPr>
          <w:rFonts w:ascii="宋体" w:hAnsi="宋体"/>
          <w:color w:val="auto"/>
          <w:kern w:val="0"/>
          <w:szCs w:val="21"/>
          <w:highlight w:val="none"/>
        </w:rPr>
      </w:pPr>
      <w:r>
        <w:rPr>
          <w:rFonts w:ascii="宋体" w:hAnsi="宋体"/>
          <w:color w:val="auto"/>
          <w:kern w:val="0"/>
          <w:szCs w:val="21"/>
          <w:highlight w:val="none"/>
        </w:rPr>
        <w:t xml:space="preserve">                   签发日期</w:t>
      </w:r>
      <w:r>
        <w:rPr>
          <w:rFonts w:ascii="宋体" w:hAnsi="宋体"/>
          <w:snapToGrid w:val="0"/>
          <w:color w:val="auto"/>
          <w:kern w:val="0"/>
          <w:szCs w:val="21"/>
          <w:highlight w:val="none"/>
        </w:rPr>
        <w:t>：</w:t>
      </w:r>
      <w:r>
        <w:rPr>
          <w:rFonts w:ascii="宋体" w:hAnsi="宋体"/>
          <w:color w:val="auto"/>
          <w:kern w:val="0"/>
          <w:szCs w:val="21"/>
          <w:highlight w:val="none"/>
          <w:u w:val="single"/>
        </w:rPr>
        <w:t xml:space="preserve">        </w:t>
      </w:r>
      <w:r>
        <w:rPr>
          <w:rFonts w:ascii="宋体" w:hAnsi="宋体"/>
          <w:color w:val="auto"/>
          <w:kern w:val="0"/>
          <w:szCs w:val="21"/>
          <w:highlight w:val="none"/>
        </w:rPr>
        <w:t>年</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15792B2B">
      <w:pPr>
        <w:pStyle w:val="3"/>
        <w:spacing w:line="360" w:lineRule="auto"/>
        <w:jc w:val="center"/>
        <w:rPr>
          <w:rFonts w:ascii="宋体" w:hAnsi="宋体"/>
          <w:snapToGrid w:val="0"/>
          <w:color w:val="auto"/>
          <w:kern w:val="0"/>
          <w:highlight w:val="none"/>
        </w:rPr>
      </w:pPr>
      <w:r>
        <w:rPr>
          <w:rFonts w:ascii="宋体" w:hAnsi="宋体"/>
          <w:color w:val="auto"/>
          <w:kern w:val="0"/>
          <w:sz w:val="24"/>
          <w:highlight w:val="none"/>
        </w:rPr>
        <w:br w:type="page"/>
      </w:r>
      <w:bookmarkStart w:id="582" w:name="_Toc58860121"/>
      <w:r>
        <w:rPr>
          <w:rFonts w:ascii="宋体" w:hAnsi="宋体"/>
          <w:snapToGrid w:val="0"/>
          <w:color w:val="auto"/>
          <w:kern w:val="0"/>
          <w:highlight w:val="none"/>
        </w:rPr>
        <w:t xml:space="preserve">第三章 </w:t>
      </w:r>
      <w:r>
        <w:rPr>
          <w:rFonts w:hint="eastAsia" w:ascii="宋体" w:hAnsi="宋体"/>
          <w:snapToGrid w:val="0"/>
          <w:color w:val="auto"/>
          <w:kern w:val="0"/>
          <w:highlight w:val="none"/>
        </w:rPr>
        <w:t xml:space="preserve"> </w:t>
      </w:r>
      <w:r>
        <w:rPr>
          <w:rFonts w:ascii="宋体" w:hAnsi="宋体"/>
          <w:snapToGrid w:val="0"/>
          <w:color w:val="auto"/>
          <w:kern w:val="0"/>
          <w:highlight w:val="none"/>
        </w:rPr>
        <w:t>评标办法（</w:t>
      </w:r>
      <w:r>
        <w:rPr>
          <w:rFonts w:hint="eastAsia" w:ascii="宋体" w:hAnsi="宋体"/>
          <w:snapToGrid w:val="0"/>
          <w:color w:val="auto"/>
          <w:kern w:val="0"/>
          <w:highlight w:val="none"/>
        </w:rPr>
        <w:t>经评审的最低投标价法</w:t>
      </w:r>
      <w:r>
        <w:rPr>
          <w:rFonts w:ascii="宋体" w:hAnsi="宋体"/>
          <w:snapToGrid w:val="0"/>
          <w:color w:val="auto"/>
          <w:kern w:val="0"/>
          <w:highlight w:val="none"/>
        </w:rPr>
        <w:t>）</w:t>
      </w:r>
      <w:bookmarkEnd w:id="582"/>
    </w:p>
    <w:p w14:paraId="224B183B">
      <w:pPr>
        <w:keepNext/>
        <w:keepLines/>
        <w:spacing w:before="100" w:after="100" w:line="360" w:lineRule="auto"/>
        <w:outlineLvl w:val="1"/>
        <w:rPr>
          <w:rFonts w:ascii="宋体" w:hAnsi="宋体"/>
          <w:b/>
          <w:color w:val="auto"/>
          <w:sz w:val="32"/>
          <w:szCs w:val="32"/>
          <w:highlight w:val="none"/>
        </w:rPr>
      </w:pPr>
      <w:bookmarkStart w:id="583" w:name="_Toc58860122"/>
      <w:r>
        <w:rPr>
          <w:rFonts w:hint="eastAsia" w:ascii="宋体" w:hAnsi="宋体"/>
          <w:b/>
          <w:color w:val="auto"/>
          <w:sz w:val="32"/>
          <w:szCs w:val="32"/>
          <w:highlight w:val="none"/>
        </w:rPr>
        <w:t>评标办法前附表</w:t>
      </w:r>
      <w:bookmarkEnd w:id="583"/>
    </w:p>
    <w:p w14:paraId="14671903">
      <w:pPr>
        <w:spacing w:line="400" w:lineRule="exact"/>
        <w:ind w:firstLine="427" w:firstLineChars="196"/>
        <w:rPr>
          <w:rFonts w:ascii="宋体" w:hAnsi="宋体"/>
          <w:color w:val="auto"/>
          <w:spacing w:val="4"/>
          <w:kern w:val="0"/>
          <w:szCs w:val="21"/>
          <w:highlight w:val="none"/>
        </w:rPr>
      </w:pPr>
      <w:bookmarkStart w:id="584" w:name="_Toc13210726"/>
      <w:r>
        <w:rPr>
          <w:rFonts w:ascii="宋体" w:hAnsi="宋体"/>
          <w:color w:val="auto"/>
          <w:spacing w:val="4"/>
          <w:kern w:val="0"/>
          <w:szCs w:val="21"/>
          <w:highlight w:val="none"/>
        </w:rPr>
        <w:t>评标办法前附表中的评审内容必须和投标人须知前附表中的对应内容一致，若投标人须知前附表中未作要求的内容，不得列入评标办法前附表作为评定依据。</w:t>
      </w:r>
      <w:bookmarkEnd w:id="584"/>
    </w:p>
    <w:tbl>
      <w:tblPr>
        <w:tblStyle w:val="45"/>
        <w:tblW w:w="96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2"/>
        <w:gridCol w:w="1438"/>
        <w:gridCol w:w="1130"/>
        <w:gridCol w:w="1500"/>
        <w:gridCol w:w="4615"/>
      </w:tblGrid>
      <w:tr w14:paraId="645AA9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7" w:hRule="atLeast"/>
        </w:trPr>
        <w:tc>
          <w:tcPr>
            <w:tcW w:w="1002" w:type="dxa"/>
            <w:tcBorders>
              <w:right w:val="single" w:color="auto" w:sz="4" w:space="0"/>
            </w:tcBorders>
            <w:vAlign w:val="center"/>
          </w:tcPr>
          <w:p w14:paraId="6BB1D104">
            <w:pPr>
              <w:spacing w:line="400" w:lineRule="exact"/>
              <w:jc w:val="center"/>
              <w:rPr>
                <w:rFonts w:ascii="宋体" w:hAnsi="宋体"/>
                <w:b/>
                <w:color w:val="auto"/>
                <w:kern w:val="0"/>
                <w:highlight w:val="none"/>
              </w:rPr>
            </w:pPr>
            <w:r>
              <w:rPr>
                <w:rFonts w:ascii="宋体" w:hAnsi="宋体"/>
                <w:b/>
                <w:color w:val="auto"/>
                <w:kern w:val="0"/>
                <w:highlight w:val="none"/>
              </w:rPr>
              <w:t>条款号</w:t>
            </w:r>
          </w:p>
        </w:tc>
        <w:tc>
          <w:tcPr>
            <w:tcW w:w="1438" w:type="dxa"/>
            <w:tcBorders>
              <w:left w:val="single" w:color="auto" w:sz="4" w:space="0"/>
            </w:tcBorders>
            <w:vAlign w:val="center"/>
          </w:tcPr>
          <w:p w14:paraId="566C2AE3">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7245" w:type="dxa"/>
            <w:gridSpan w:val="3"/>
            <w:vAlign w:val="center"/>
          </w:tcPr>
          <w:p w14:paraId="3F7D6B15">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14:paraId="462310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542" w:hRule="atLeast"/>
        </w:trPr>
        <w:tc>
          <w:tcPr>
            <w:tcW w:w="1002" w:type="dxa"/>
            <w:tcBorders>
              <w:right w:val="single" w:color="auto" w:sz="4" w:space="0"/>
            </w:tcBorders>
            <w:vAlign w:val="center"/>
          </w:tcPr>
          <w:p w14:paraId="2FB869F4">
            <w:pPr>
              <w:pStyle w:val="308"/>
              <w:spacing w:line="400" w:lineRule="exact"/>
              <w:ind w:firstLine="420"/>
              <w:rPr>
                <w:color w:val="auto"/>
                <w:sz w:val="21"/>
                <w:szCs w:val="21"/>
                <w:highlight w:val="none"/>
              </w:rPr>
            </w:pPr>
            <w:r>
              <w:rPr>
                <w:color w:val="auto"/>
                <w:sz w:val="21"/>
                <w:szCs w:val="21"/>
                <w:highlight w:val="none"/>
              </w:rPr>
              <w:t>1</w:t>
            </w:r>
          </w:p>
        </w:tc>
        <w:tc>
          <w:tcPr>
            <w:tcW w:w="1438" w:type="dxa"/>
            <w:tcBorders>
              <w:left w:val="single" w:color="auto" w:sz="4" w:space="0"/>
            </w:tcBorders>
            <w:vAlign w:val="center"/>
          </w:tcPr>
          <w:p w14:paraId="03D2A657">
            <w:pPr>
              <w:pStyle w:val="308"/>
              <w:spacing w:line="400" w:lineRule="exact"/>
              <w:ind w:firstLine="0" w:firstLineChars="0"/>
              <w:jc w:val="center"/>
              <w:rPr>
                <w:color w:val="auto"/>
                <w:sz w:val="21"/>
                <w:szCs w:val="21"/>
                <w:highlight w:val="none"/>
              </w:rPr>
            </w:pPr>
            <w:r>
              <w:rPr>
                <w:rFonts w:hint="eastAsia"/>
                <w:color w:val="auto"/>
                <w:sz w:val="21"/>
                <w:szCs w:val="21"/>
                <w:highlight w:val="none"/>
              </w:rPr>
              <w:t>评标办法</w:t>
            </w:r>
          </w:p>
        </w:tc>
        <w:tc>
          <w:tcPr>
            <w:tcW w:w="7245" w:type="dxa"/>
            <w:gridSpan w:val="3"/>
            <w:vAlign w:val="center"/>
          </w:tcPr>
          <w:p w14:paraId="200EF8B2">
            <w:pPr>
              <w:spacing w:line="400" w:lineRule="exact"/>
              <w:ind w:firstLine="427" w:firstLineChars="196"/>
              <w:rPr>
                <w:rFonts w:ascii="宋体" w:hAnsi="宋体"/>
                <w:color w:val="auto"/>
                <w:spacing w:val="4"/>
                <w:kern w:val="0"/>
                <w:szCs w:val="21"/>
                <w:highlight w:val="none"/>
              </w:rPr>
            </w:pPr>
            <w:r>
              <w:rPr>
                <w:rFonts w:hint="eastAsia" w:ascii="宋体" w:hAnsi="宋体"/>
                <w:color w:val="auto"/>
                <w:spacing w:val="4"/>
                <w:kern w:val="0"/>
                <w:szCs w:val="21"/>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投标人在红名单中优先”的原则排序</w:t>
            </w:r>
            <w:r>
              <w:rPr>
                <w:rFonts w:hint="eastAsia" w:ascii="宋体" w:hAnsi="宋体"/>
                <w:iCs/>
                <w:color w:val="auto"/>
                <w:spacing w:val="4"/>
                <w:kern w:val="0"/>
                <w:szCs w:val="21"/>
                <w:highlight w:val="none"/>
              </w:rPr>
              <w:t>（</w:t>
            </w:r>
            <w:r>
              <w:rPr>
                <w:rFonts w:hint="eastAsia" w:ascii="宋体" w:hAnsi="宋体"/>
                <w:iCs/>
                <w:color w:val="auto"/>
                <w:kern w:val="0"/>
                <w:szCs w:val="21"/>
                <w:highlight w:val="none"/>
              </w:rPr>
              <w:t>红名单建立完善后使用；联合体投标的，须联合体牵头人在红名单中</w:t>
            </w:r>
            <w:r>
              <w:rPr>
                <w:rFonts w:hint="eastAsia" w:ascii="宋体" w:hAnsi="宋体"/>
                <w:iCs/>
                <w:color w:val="auto"/>
                <w:spacing w:val="4"/>
                <w:kern w:val="0"/>
                <w:szCs w:val="21"/>
                <w:highlight w:val="none"/>
              </w:rPr>
              <w:t>）</w:t>
            </w:r>
            <w:r>
              <w:rPr>
                <w:rFonts w:hint="eastAsia" w:ascii="宋体" w:hAnsi="宋体"/>
                <w:color w:val="auto"/>
                <w:spacing w:val="4"/>
                <w:kern w:val="0"/>
                <w:szCs w:val="21"/>
                <w:highlight w:val="none"/>
              </w:rPr>
              <w:t>；投标人均在红名单中或均不在红名单中的，由评标委员会按照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p>
        </w:tc>
      </w:tr>
      <w:tr w14:paraId="70D3BC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tcBorders>
              <w:right w:val="single" w:color="auto" w:sz="4" w:space="0"/>
            </w:tcBorders>
            <w:vAlign w:val="center"/>
          </w:tcPr>
          <w:p w14:paraId="2D6A4AEB">
            <w:pPr>
              <w:spacing w:line="400" w:lineRule="exact"/>
              <w:jc w:val="center"/>
              <w:rPr>
                <w:rFonts w:ascii="宋体" w:hAnsi="宋体"/>
                <w:color w:val="auto"/>
                <w:kern w:val="0"/>
                <w:highlight w:val="none"/>
              </w:rPr>
            </w:pPr>
            <w:r>
              <w:rPr>
                <w:rFonts w:hint="eastAsia" w:ascii="宋体" w:hAnsi="宋体"/>
                <w:color w:val="auto"/>
                <w:kern w:val="0"/>
                <w:highlight w:val="none"/>
              </w:rPr>
              <w:t>2.1</w:t>
            </w:r>
          </w:p>
        </w:tc>
        <w:tc>
          <w:tcPr>
            <w:tcW w:w="1438" w:type="dxa"/>
            <w:tcBorders>
              <w:left w:val="single" w:color="auto" w:sz="4" w:space="0"/>
              <w:right w:val="single" w:color="auto" w:sz="4" w:space="0"/>
            </w:tcBorders>
            <w:vAlign w:val="center"/>
          </w:tcPr>
          <w:p w14:paraId="3AE8B736">
            <w:pPr>
              <w:spacing w:line="400" w:lineRule="exact"/>
              <w:jc w:val="center"/>
              <w:rPr>
                <w:rFonts w:ascii="宋体" w:hAnsi="宋体"/>
                <w:color w:val="auto"/>
                <w:kern w:val="0"/>
                <w:highlight w:val="none"/>
              </w:rPr>
            </w:pPr>
            <w:r>
              <w:rPr>
                <w:rFonts w:ascii="宋体" w:hAnsi="宋体"/>
                <w:color w:val="auto"/>
                <w:kern w:val="0"/>
                <w:highlight w:val="none"/>
              </w:rPr>
              <w:t>报价</w:t>
            </w:r>
            <w:r>
              <w:rPr>
                <w:rFonts w:hint="eastAsia" w:ascii="宋体" w:hAnsi="宋体"/>
                <w:color w:val="auto"/>
                <w:kern w:val="0"/>
                <w:highlight w:val="none"/>
              </w:rPr>
              <w:t>排序</w:t>
            </w:r>
          </w:p>
        </w:tc>
        <w:tc>
          <w:tcPr>
            <w:tcW w:w="7245" w:type="dxa"/>
            <w:gridSpan w:val="3"/>
            <w:tcBorders>
              <w:left w:val="single" w:color="auto" w:sz="4" w:space="0"/>
            </w:tcBorders>
            <w:vAlign w:val="center"/>
          </w:tcPr>
          <w:p w14:paraId="57CD4E4B">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对报价不高于最高限价的所有投标人的投标文件，按照报价由低到高的顺序排序。需技术部分评审的，由电子评标系统对技术部分进行自动随机编号。在投标函评审前，推送给评标委员会的投标文件不得显示排序。</w:t>
            </w:r>
          </w:p>
        </w:tc>
      </w:tr>
      <w:tr w14:paraId="6963A0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26" w:hRule="atLeast"/>
        </w:trPr>
        <w:tc>
          <w:tcPr>
            <w:tcW w:w="1002" w:type="dxa"/>
            <w:tcBorders>
              <w:right w:val="single" w:color="auto" w:sz="4" w:space="0"/>
            </w:tcBorders>
            <w:vAlign w:val="center"/>
          </w:tcPr>
          <w:p w14:paraId="0508A7CA">
            <w:pPr>
              <w:spacing w:line="400" w:lineRule="exact"/>
              <w:jc w:val="center"/>
              <w:rPr>
                <w:rFonts w:ascii="宋体" w:hAnsi="宋体"/>
                <w:color w:val="auto"/>
                <w:kern w:val="0"/>
                <w:highlight w:val="none"/>
              </w:rPr>
            </w:pPr>
            <w:r>
              <w:rPr>
                <w:rFonts w:hint="eastAsia" w:ascii="宋体" w:hAnsi="宋体"/>
                <w:color w:val="auto"/>
                <w:kern w:val="0"/>
                <w:highlight w:val="none"/>
              </w:rPr>
              <w:t>2.2</w:t>
            </w:r>
          </w:p>
        </w:tc>
        <w:tc>
          <w:tcPr>
            <w:tcW w:w="1438" w:type="dxa"/>
            <w:tcBorders>
              <w:left w:val="single" w:color="auto" w:sz="4" w:space="0"/>
              <w:right w:val="single" w:color="auto" w:sz="4" w:space="0"/>
            </w:tcBorders>
            <w:vAlign w:val="center"/>
          </w:tcPr>
          <w:p w14:paraId="70A8AC7A">
            <w:pPr>
              <w:spacing w:line="400" w:lineRule="exact"/>
              <w:jc w:val="center"/>
              <w:rPr>
                <w:rFonts w:ascii="宋体" w:hAnsi="宋体"/>
                <w:color w:val="auto"/>
                <w:kern w:val="0"/>
                <w:highlight w:val="none"/>
              </w:rPr>
            </w:pPr>
            <w:r>
              <w:rPr>
                <w:rFonts w:hint="eastAsia" w:ascii="宋体" w:hAnsi="宋体"/>
                <w:color w:val="auto"/>
                <w:kern w:val="0"/>
                <w:highlight w:val="none"/>
              </w:rPr>
              <w:t>符合性审查</w:t>
            </w:r>
          </w:p>
        </w:tc>
        <w:tc>
          <w:tcPr>
            <w:tcW w:w="7245" w:type="dxa"/>
            <w:gridSpan w:val="3"/>
            <w:tcBorders>
              <w:left w:val="single" w:color="auto" w:sz="4" w:space="0"/>
            </w:tcBorders>
            <w:vAlign w:val="center"/>
          </w:tcPr>
          <w:p w14:paraId="47E0B4DD">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取报价排序前□5□6□7名（若实际投标人数量小于勾选数量，</w:t>
            </w:r>
            <w:r>
              <w:rPr>
                <w:rFonts w:hint="eastAsia" w:ascii="宋体" w:hAnsi="宋体"/>
                <w:color w:val="auto"/>
                <w:spacing w:val="4"/>
                <w:kern w:val="0"/>
                <w:szCs w:val="21"/>
                <w:highlight w:val="none"/>
              </w:rPr>
              <w:t>则全部纳入）进行符合性审查。符合性审查内容：□技术部分评审、资格评审、形式评审、响应性评审、投标函部分及经济部分评审。符合性审查</w:t>
            </w:r>
            <w:r>
              <w:rPr>
                <w:rFonts w:hint="eastAsia" w:ascii="宋体" w:hAnsi="宋体"/>
                <w:color w:val="auto"/>
                <w:kern w:val="0"/>
                <w:highlight w:val="none"/>
              </w:rPr>
              <w:t>合格的投标人中，报价最低的成为第一中标候选人，报价次低的成为第二中标候选人，依次类推。</w:t>
            </w:r>
          </w:p>
          <w:p w14:paraId="07B1CAA9">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符合性审查中有任何一项不符合要求，符合性审查不合格，由评标委员会作否决投标处理。</w:t>
            </w:r>
          </w:p>
          <w:p w14:paraId="426D33F1">
            <w:pPr>
              <w:spacing w:line="400" w:lineRule="exact"/>
              <w:ind w:firstLine="420" w:firstLineChars="200"/>
              <w:jc w:val="left"/>
              <w:rPr>
                <w:rFonts w:ascii="宋体" w:hAnsi="宋体"/>
                <w:i/>
                <w:color w:val="auto"/>
                <w:kern w:val="0"/>
                <w:highlight w:val="none"/>
              </w:rPr>
            </w:pPr>
            <w:r>
              <w:rPr>
                <w:rFonts w:hint="eastAsia" w:ascii="宋体" w:hAnsi="宋体"/>
                <w:i/>
                <w:color w:val="auto"/>
                <w:kern w:val="0"/>
                <w:highlight w:val="none"/>
              </w:rPr>
              <w:t>[提示：勾选技术部分评审的，符合性审查应首先进行技术部分评审，再按照资格、形式、响应性、投标函部分及经济部分的顺序进行评审。]</w:t>
            </w:r>
          </w:p>
        </w:tc>
      </w:tr>
      <w:tr w14:paraId="07936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restart"/>
            <w:tcBorders>
              <w:right w:val="single" w:color="auto" w:sz="4" w:space="0"/>
            </w:tcBorders>
            <w:vAlign w:val="center"/>
          </w:tcPr>
          <w:p w14:paraId="4E3ECE28">
            <w:pPr>
              <w:spacing w:line="400" w:lineRule="exact"/>
              <w:jc w:val="center"/>
              <w:rPr>
                <w:rFonts w:ascii="宋体" w:hAnsi="宋体"/>
                <w:color w:val="auto"/>
                <w:kern w:val="0"/>
                <w:highlight w:val="none"/>
              </w:rPr>
            </w:pPr>
            <w:r>
              <w:rPr>
                <w:rFonts w:hint="eastAsia" w:ascii="宋体" w:hAnsi="宋体" w:cs="宋体"/>
                <w:color w:val="auto"/>
                <w:szCs w:val="21"/>
                <w:highlight w:val="none"/>
              </w:rPr>
              <w:t>□</w:t>
            </w:r>
            <w:r>
              <w:rPr>
                <w:rFonts w:hint="eastAsia" w:ascii="宋体" w:hAnsi="宋体"/>
                <w:color w:val="auto"/>
                <w:kern w:val="0"/>
                <w:highlight w:val="none"/>
              </w:rPr>
              <w:t>2.2.1</w:t>
            </w:r>
          </w:p>
        </w:tc>
        <w:tc>
          <w:tcPr>
            <w:tcW w:w="1438" w:type="dxa"/>
            <w:vMerge w:val="restart"/>
            <w:tcBorders>
              <w:left w:val="single" w:color="auto" w:sz="4" w:space="0"/>
              <w:right w:val="single" w:color="auto" w:sz="4" w:space="0"/>
            </w:tcBorders>
            <w:vAlign w:val="center"/>
          </w:tcPr>
          <w:p w14:paraId="23865952">
            <w:pPr>
              <w:spacing w:line="400" w:lineRule="exact"/>
              <w:jc w:val="center"/>
              <w:rPr>
                <w:rFonts w:ascii="宋体" w:hAnsi="宋体"/>
                <w:color w:val="auto"/>
                <w:kern w:val="0"/>
                <w:highlight w:val="none"/>
              </w:rPr>
            </w:pPr>
            <w:r>
              <w:rPr>
                <w:rFonts w:ascii="宋体" w:hAnsi="宋体"/>
                <w:color w:val="auto"/>
                <w:kern w:val="0"/>
                <w:highlight w:val="none"/>
              </w:rPr>
              <w:t>技术</w:t>
            </w:r>
            <w:r>
              <w:rPr>
                <w:rFonts w:hint="eastAsia" w:ascii="宋体" w:hAnsi="宋体"/>
                <w:color w:val="auto"/>
                <w:kern w:val="0"/>
                <w:highlight w:val="none"/>
              </w:rPr>
              <w:t>部分评审</w:t>
            </w:r>
            <w:r>
              <w:rPr>
                <w:rFonts w:ascii="宋体" w:hAnsi="宋体"/>
                <w:color w:val="auto"/>
                <w:kern w:val="0"/>
                <w:highlight w:val="none"/>
              </w:rPr>
              <w:t>标准</w:t>
            </w:r>
          </w:p>
        </w:tc>
        <w:tc>
          <w:tcPr>
            <w:tcW w:w="2630" w:type="dxa"/>
            <w:gridSpan w:val="2"/>
            <w:tcBorders>
              <w:top w:val="single" w:color="auto" w:sz="4" w:space="0"/>
              <w:left w:val="single" w:color="auto" w:sz="4" w:space="0"/>
              <w:bottom w:val="single" w:color="auto" w:sz="4" w:space="0"/>
              <w:right w:val="single" w:color="auto" w:sz="4" w:space="0"/>
            </w:tcBorders>
            <w:vAlign w:val="center"/>
          </w:tcPr>
          <w:p w14:paraId="0AD87A88">
            <w:pPr>
              <w:widowControl/>
              <w:snapToGrid w:val="0"/>
              <w:spacing w:line="400" w:lineRule="exact"/>
              <w:jc w:val="center"/>
              <w:rPr>
                <w:color w:val="auto"/>
                <w:highlight w:val="none"/>
              </w:rPr>
            </w:pPr>
            <w:r>
              <w:rPr>
                <w:rFonts w:hint="eastAsia" w:ascii="宋体" w:hAnsi="宋体" w:cs="宋体"/>
                <w:color w:val="auto"/>
                <w:kern w:val="0"/>
                <w:highlight w:val="none"/>
              </w:rPr>
              <w:t>□</w:t>
            </w:r>
            <w:r>
              <w:rPr>
                <w:rFonts w:hint="eastAsia"/>
                <w:color w:val="auto"/>
                <w:highlight w:val="none"/>
              </w:rPr>
              <w:t>技术部分形式要求</w:t>
            </w:r>
          </w:p>
          <w:p w14:paraId="267B291A">
            <w:pPr>
              <w:snapToGrid w:val="0"/>
              <w:spacing w:line="400" w:lineRule="exact"/>
              <w:jc w:val="center"/>
              <w:rPr>
                <w:rFonts w:ascii="宋体" w:hAnsi="宋体"/>
                <w:color w:val="auto"/>
                <w:kern w:val="0"/>
                <w:highlight w:val="none"/>
              </w:rPr>
            </w:pPr>
            <w:r>
              <w:rPr>
                <w:rFonts w:hint="eastAsia"/>
                <w:i/>
                <w:iCs/>
                <w:color w:val="auto"/>
                <w:highlight w:val="none"/>
              </w:rPr>
              <w:t>[提示：技术部分采用暗标评审时适用，重庆市电子招投标系统应实现同步关联功能]</w:t>
            </w:r>
          </w:p>
        </w:tc>
        <w:tc>
          <w:tcPr>
            <w:tcW w:w="4615" w:type="dxa"/>
            <w:tcBorders>
              <w:left w:val="single" w:color="auto" w:sz="4" w:space="0"/>
              <w:bottom w:val="single" w:color="auto" w:sz="4" w:space="0"/>
            </w:tcBorders>
            <w:vAlign w:val="center"/>
          </w:tcPr>
          <w:p w14:paraId="5C4E9713">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是否符合第二章“投标人须知前附表”第3.7.5项的规定</w:t>
            </w:r>
            <w:r>
              <w:rPr>
                <w:rFonts w:hint="eastAsia" w:ascii="宋体" w:hAnsi="宋体" w:cs="宋体"/>
                <w:color w:val="auto"/>
                <w:kern w:val="0"/>
                <w:highlight w:val="none"/>
                <w:u w:val="none"/>
              </w:rPr>
              <w:t>：符合</w:t>
            </w:r>
            <w:r>
              <w:rPr>
                <w:rFonts w:ascii="宋体" w:hAnsi="宋体" w:cs="宋体"/>
                <w:color w:val="auto"/>
                <w:kern w:val="0"/>
                <w:highlight w:val="none"/>
                <w:u w:val="none"/>
              </w:rPr>
              <w:t>/不符合</w:t>
            </w:r>
          </w:p>
        </w:tc>
      </w:tr>
      <w:tr w14:paraId="73B826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6722BCBC">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41E31D13">
            <w:pPr>
              <w:spacing w:line="400" w:lineRule="exact"/>
              <w:jc w:val="center"/>
              <w:rPr>
                <w:rFonts w:ascii="宋体" w:hAnsi="宋体"/>
                <w:color w:val="auto"/>
                <w:kern w:val="0"/>
                <w:highlight w:val="none"/>
              </w:rPr>
            </w:pPr>
          </w:p>
        </w:tc>
        <w:tc>
          <w:tcPr>
            <w:tcW w:w="1130" w:type="dxa"/>
            <w:vMerge w:val="restart"/>
            <w:tcBorders>
              <w:top w:val="single" w:color="auto" w:sz="4" w:space="0"/>
              <w:left w:val="single" w:color="auto" w:sz="4" w:space="0"/>
              <w:right w:val="single" w:color="auto" w:sz="4" w:space="0"/>
            </w:tcBorders>
            <w:vAlign w:val="center"/>
          </w:tcPr>
          <w:p w14:paraId="413597A1">
            <w:pPr>
              <w:snapToGrid w:val="0"/>
              <w:spacing w:line="400" w:lineRule="exact"/>
              <w:jc w:val="center"/>
              <w:rPr>
                <w:rFonts w:ascii="宋体" w:hAnsi="宋体" w:cs="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总承包管理及设计方案</w:t>
            </w:r>
          </w:p>
        </w:tc>
        <w:tc>
          <w:tcPr>
            <w:tcW w:w="1500" w:type="dxa"/>
            <w:tcBorders>
              <w:top w:val="single" w:color="auto" w:sz="4" w:space="0"/>
              <w:left w:val="single" w:color="auto" w:sz="4" w:space="0"/>
              <w:bottom w:val="single" w:color="auto" w:sz="4" w:space="0"/>
              <w:right w:val="single" w:color="auto" w:sz="4" w:space="0"/>
            </w:tcBorders>
            <w:vAlign w:val="center"/>
          </w:tcPr>
          <w:p w14:paraId="0AFEA85C">
            <w:pPr>
              <w:spacing w:line="400" w:lineRule="exact"/>
              <w:rPr>
                <w:rFonts w:ascii="宋体" w:hAnsi="宋体"/>
                <w:color w:val="auto"/>
                <w:szCs w:val="21"/>
                <w:highlight w:val="none"/>
              </w:rPr>
            </w:pPr>
            <w:r>
              <w:rPr>
                <w:rFonts w:hint="eastAsia" w:ascii="宋体" w:hAnsi="宋体"/>
                <w:color w:val="auto"/>
                <w:szCs w:val="21"/>
                <w:highlight w:val="none"/>
              </w:rPr>
              <w:t>总承包</w:t>
            </w:r>
            <w:r>
              <w:rPr>
                <w:rFonts w:hint="eastAsia"/>
                <w:color w:val="auto"/>
                <w:szCs w:val="21"/>
                <w:highlight w:val="none"/>
              </w:rPr>
              <w:t>总体实施方案</w:t>
            </w:r>
          </w:p>
        </w:tc>
        <w:tc>
          <w:tcPr>
            <w:tcW w:w="4615" w:type="dxa"/>
            <w:vMerge w:val="restart"/>
            <w:tcBorders>
              <w:top w:val="single" w:color="auto" w:sz="4" w:space="0"/>
              <w:left w:val="single" w:color="auto" w:sz="4" w:space="0"/>
            </w:tcBorders>
            <w:vAlign w:val="center"/>
          </w:tcPr>
          <w:p w14:paraId="791088DA">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评标委员会对投标人递交的</w:t>
            </w:r>
            <w:r>
              <w:rPr>
                <w:rFonts w:hint="eastAsia" w:ascii="宋体" w:hAnsi="宋体"/>
                <w:color w:val="auto"/>
                <w:kern w:val="0"/>
                <w:highlight w:val="none"/>
              </w:rPr>
              <w:t>技术部分</w:t>
            </w:r>
            <w:r>
              <w:rPr>
                <w:rFonts w:hint="eastAsia" w:ascii="宋体" w:hAnsi="宋体" w:cs="宋体"/>
                <w:color w:val="auto"/>
                <w:kern w:val="0"/>
                <w:highlight w:val="none"/>
              </w:rPr>
              <w:t>进行综合性评审，综合评判是否满足本工程需求：满足/不满足。</w:t>
            </w:r>
          </w:p>
        </w:tc>
      </w:tr>
      <w:tr w14:paraId="0D30F4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69CDEF68">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666B2F6A">
            <w:pPr>
              <w:spacing w:line="400" w:lineRule="exact"/>
              <w:jc w:val="center"/>
              <w:rPr>
                <w:rFonts w:ascii="宋体" w:hAnsi="宋体"/>
                <w:color w:val="auto"/>
                <w:kern w:val="0"/>
                <w:highlight w:val="none"/>
              </w:rPr>
            </w:pPr>
          </w:p>
        </w:tc>
        <w:tc>
          <w:tcPr>
            <w:tcW w:w="1130" w:type="dxa"/>
            <w:vMerge w:val="continue"/>
            <w:tcBorders>
              <w:left w:val="single" w:color="auto" w:sz="4" w:space="0"/>
              <w:right w:val="single" w:color="auto" w:sz="4" w:space="0"/>
            </w:tcBorders>
          </w:tcPr>
          <w:p w14:paraId="7DCB5852">
            <w:pPr>
              <w:snapToGrid w:val="0"/>
              <w:spacing w:line="400" w:lineRule="exact"/>
              <w:jc w:val="left"/>
              <w:rPr>
                <w:rFonts w:ascii="宋体" w:hAnsi="宋体" w:cs="宋体"/>
                <w:color w:val="auto"/>
                <w:kern w:val="0"/>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7F0923D6">
            <w:pPr>
              <w:spacing w:line="400" w:lineRule="exact"/>
              <w:rPr>
                <w:rFonts w:ascii="宋体" w:hAnsi="宋体"/>
                <w:color w:val="auto"/>
                <w:szCs w:val="21"/>
                <w:highlight w:val="none"/>
              </w:rPr>
            </w:pPr>
            <w:r>
              <w:rPr>
                <w:rFonts w:hint="eastAsia"/>
                <w:color w:val="auto"/>
                <w:szCs w:val="21"/>
                <w:highlight w:val="none"/>
              </w:rPr>
              <w:t>项目实施重点</w:t>
            </w:r>
          </w:p>
        </w:tc>
        <w:tc>
          <w:tcPr>
            <w:tcW w:w="4615" w:type="dxa"/>
            <w:vMerge w:val="continue"/>
            <w:tcBorders>
              <w:left w:val="single" w:color="auto" w:sz="4" w:space="0"/>
            </w:tcBorders>
            <w:vAlign w:val="center"/>
          </w:tcPr>
          <w:p w14:paraId="6FC6C9BB">
            <w:pPr>
              <w:snapToGrid w:val="0"/>
              <w:spacing w:after="31" w:afterLines="10" w:line="400" w:lineRule="exact"/>
              <w:ind w:firstLine="420" w:firstLineChars="200"/>
              <w:rPr>
                <w:rFonts w:ascii="宋体" w:hAnsi="宋体" w:cs="宋体"/>
                <w:color w:val="auto"/>
                <w:kern w:val="0"/>
                <w:highlight w:val="none"/>
              </w:rPr>
            </w:pPr>
          </w:p>
        </w:tc>
      </w:tr>
      <w:tr w14:paraId="6D8E06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CF87F2E">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31FC67C8">
            <w:pPr>
              <w:spacing w:line="400" w:lineRule="exact"/>
              <w:jc w:val="center"/>
              <w:rPr>
                <w:rFonts w:ascii="宋体" w:hAnsi="宋体"/>
                <w:color w:val="auto"/>
                <w:kern w:val="0"/>
                <w:highlight w:val="none"/>
              </w:rPr>
            </w:pPr>
          </w:p>
        </w:tc>
        <w:tc>
          <w:tcPr>
            <w:tcW w:w="1130" w:type="dxa"/>
            <w:vMerge w:val="continue"/>
            <w:tcBorders>
              <w:left w:val="single" w:color="auto" w:sz="4" w:space="0"/>
              <w:right w:val="single" w:color="auto" w:sz="4" w:space="0"/>
            </w:tcBorders>
          </w:tcPr>
          <w:p w14:paraId="70E742DB">
            <w:pPr>
              <w:snapToGrid w:val="0"/>
              <w:spacing w:line="400" w:lineRule="exact"/>
              <w:jc w:val="left"/>
              <w:rPr>
                <w:rFonts w:ascii="宋体" w:hAnsi="宋体" w:cs="宋体"/>
                <w:color w:val="auto"/>
                <w:kern w:val="0"/>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0CC14469">
            <w:pPr>
              <w:spacing w:line="400" w:lineRule="exact"/>
              <w:rPr>
                <w:rFonts w:ascii="宋体" w:hAnsi="宋体"/>
                <w:color w:val="auto"/>
                <w:kern w:val="0"/>
                <w:highlight w:val="none"/>
              </w:rPr>
            </w:pPr>
            <w:r>
              <w:rPr>
                <w:rFonts w:hint="eastAsia" w:ascii="宋体" w:hAnsi="宋体" w:cs="宋体"/>
                <w:color w:val="auto"/>
                <w:kern w:val="0"/>
                <w:szCs w:val="21"/>
                <w:highlight w:val="none"/>
              </w:rPr>
              <w:t>项目</w:t>
            </w:r>
            <w:r>
              <w:rPr>
                <w:rFonts w:hint="eastAsia"/>
                <w:color w:val="auto"/>
                <w:szCs w:val="21"/>
                <w:highlight w:val="none"/>
              </w:rPr>
              <w:t>管理要点</w:t>
            </w:r>
          </w:p>
        </w:tc>
        <w:tc>
          <w:tcPr>
            <w:tcW w:w="4615" w:type="dxa"/>
            <w:vMerge w:val="continue"/>
            <w:tcBorders>
              <w:left w:val="single" w:color="auto" w:sz="4" w:space="0"/>
            </w:tcBorders>
            <w:vAlign w:val="center"/>
          </w:tcPr>
          <w:p w14:paraId="0D29D42A">
            <w:pPr>
              <w:snapToGrid w:val="0"/>
              <w:spacing w:after="31" w:afterLines="10" w:line="400" w:lineRule="exact"/>
              <w:ind w:firstLine="420" w:firstLineChars="200"/>
              <w:rPr>
                <w:rFonts w:ascii="宋体" w:hAnsi="宋体" w:cs="宋体"/>
                <w:color w:val="auto"/>
                <w:kern w:val="0"/>
                <w:highlight w:val="none"/>
              </w:rPr>
            </w:pPr>
          </w:p>
        </w:tc>
      </w:tr>
      <w:tr w14:paraId="2F6A8C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404DB9E7">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0F8AE503">
            <w:pPr>
              <w:spacing w:line="400" w:lineRule="exact"/>
              <w:jc w:val="center"/>
              <w:rPr>
                <w:rFonts w:ascii="宋体" w:hAnsi="宋体"/>
                <w:color w:val="auto"/>
                <w:kern w:val="0"/>
                <w:highlight w:val="none"/>
              </w:rPr>
            </w:pPr>
          </w:p>
        </w:tc>
        <w:tc>
          <w:tcPr>
            <w:tcW w:w="1130" w:type="dxa"/>
            <w:vMerge w:val="continue"/>
            <w:tcBorders>
              <w:left w:val="single" w:color="auto" w:sz="4" w:space="0"/>
              <w:right w:val="single" w:color="auto" w:sz="4" w:space="0"/>
            </w:tcBorders>
          </w:tcPr>
          <w:p w14:paraId="4F70EBAA">
            <w:pPr>
              <w:snapToGrid w:val="0"/>
              <w:spacing w:line="400" w:lineRule="exact"/>
              <w:jc w:val="left"/>
              <w:rPr>
                <w:rFonts w:ascii="宋体" w:hAnsi="宋体" w:cs="宋体"/>
                <w:color w:val="auto"/>
                <w:kern w:val="0"/>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0D2F365D">
            <w:pPr>
              <w:spacing w:line="400" w:lineRule="exact"/>
              <w:rPr>
                <w:rFonts w:ascii="宋体" w:hAnsi="宋体" w:cs="宋体"/>
                <w:color w:val="auto"/>
                <w:kern w:val="0"/>
                <w:szCs w:val="21"/>
                <w:highlight w:val="none"/>
              </w:rPr>
            </w:pPr>
            <w:r>
              <w:rPr>
                <w:rFonts w:hint="eastAsia" w:ascii="宋体" w:hAnsi="宋体" w:cs="宋体"/>
                <w:color w:val="auto"/>
                <w:kern w:val="0"/>
                <w:highlight w:val="none"/>
              </w:rPr>
              <w:t>□设计方案</w:t>
            </w:r>
          </w:p>
        </w:tc>
        <w:tc>
          <w:tcPr>
            <w:tcW w:w="4615" w:type="dxa"/>
            <w:vMerge w:val="continue"/>
            <w:tcBorders>
              <w:left w:val="single" w:color="auto" w:sz="4" w:space="0"/>
            </w:tcBorders>
            <w:vAlign w:val="center"/>
          </w:tcPr>
          <w:p w14:paraId="73BBC9FD">
            <w:pPr>
              <w:snapToGrid w:val="0"/>
              <w:spacing w:after="31" w:afterLines="10" w:line="400" w:lineRule="exact"/>
              <w:ind w:firstLine="420" w:firstLineChars="200"/>
              <w:rPr>
                <w:rFonts w:ascii="宋体" w:hAnsi="宋体" w:cs="宋体"/>
                <w:color w:val="auto"/>
                <w:kern w:val="0"/>
                <w:highlight w:val="none"/>
              </w:rPr>
            </w:pPr>
          </w:p>
        </w:tc>
      </w:tr>
      <w:tr w14:paraId="5413D5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507D8F8">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1D641CD7">
            <w:pPr>
              <w:spacing w:line="400" w:lineRule="exact"/>
              <w:jc w:val="center"/>
              <w:rPr>
                <w:rFonts w:ascii="宋体" w:hAnsi="宋体"/>
                <w:color w:val="auto"/>
                <w:kern w:val="0"/>
                <w:highlight w:val="none"/>
              </w:rPr>
            </w:pPr>
          </w:p>
        </w:tc>
        <w:tc>
          <w:tcPr>
            <w:tcW w:w="1130" w:type="dxa"/>
            <w:vMerge w:val="continue"/>
            <w:tcBorders>
              <w:left w:val="single" w:color="auto" w:sz="4" w:space="0"/>
              <w:bottom w:val="single" w:color="auto" w:sz="4" w:space="0"/>
              <w:right w:val="single" w:color="auto" w:sz="4" w:space="0"/>
            </w:tcBorders>
          </w:tcPr>
          <w:p w14:paraId="0F88F27C">
            <w:pPr>
              <w:snapToGrid w:val="0"/>
              <w:spacing w:line="400" w:lineRule="exact"/>
              <w:jc w:val="left"/>
              <w:rPr>
                <w:rFonts w:ascii="宋体" w:hAnsi="宋体" w:cs="宋体"/>
                <w:color w:val="auto"/>
                <w:kern w:val="0"/>
                <w:highlight w:val="none"/>
              </w:rPr>
            </w:pPr>
          </w:p>
        </w:tc>
        <w:tc>
          <w:tcPr>
            <w:tcW w:w="1500" w:type="dxa"/>
            <w:tcBorders>
              <w:top w:val="single" w:color="auto" w:sz="4" w:space="0"/>
              <w:left w:val="single" w:color="auto" w:sz="4" w:space="0"/>
              <w:bottom w:val="single" w:color="auto" w:sz="4" w:space="0"/>
              <w:right w:val="single" w:color="auto" w:sz="4" w:space="0"/>
            </w:tcBorders>
            <w:vAlign w:val="center"/>
          </w:tcPr>
          <w:p w14:paraId="13DAD957">
            <w:pPr>
              <w:snapToGrid w:val="0"/>
              <w:spacing w:line="400" w:lineRule="exac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615" w:type="dxa"/>
            <w:vMerge w:val="continue"/>
            <w:tcBorders>
              <w:left w:val="single" w:color="auto" w:sz="4" w:space="0"/>
            </w:tcBorders>
            <w:vAlign w:val="center"/>
          </w:tcPr>
          <w:p w14:paraId="14E785E2">
            <w:pPr>
              <w:snapToGrid w:val="0"/>
              <w:spacing w:after="31" w:afterLines="10" w:line="400" w:lineRule="exact"/>
              <w:ind w:firstLine="420" w:firstLineChars="200"/>
              <w:rPr>
                <w:rFonts w:ascii="宋体" w:hAnsi="宋体" w:cs="宋体"/>
                <w:color w:val="auto"/>
                <w:kern w:val="0"/>
                <w:highlight w:val="none"/>
              </w:rPr>
            </w:pPr>
          </w:p>
        </w:tc>
      </w:tr>
      <w:tr w14:paraId="677952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22E7D3C0">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34ECFB14">
            <w:pPr>
              <w:spacing w:line="400" w:lineRule="exact"/>
              <w:jc w:val="center"/>
              <w:rPr>
                <w:rFonts w:ascii="宋体" w:hAnsi="宋体"/>
                <w:color w:val="auto"/>
                <w:kern w:val="0"/>
                <w:highlight w:val="none"/>
              </w:rPr>
            </w:pPr>
          </w:p>
        </w:tc>
        <w:tc>
          <w:tcPr>
            <w:tcW w:w="1130" w:type="dxa"/>
            <w:vMerge w:val="restart"/>
            <w:tcBorders>
              <w:top w:val="single" w:color="auto" w:sz="4" w:space="0"/>
              <w:left w:val="single" w:color="auto" w:sz="4" w:space="0"/>
              <w:right w:val="single" w:color="auto" w:sz="4" w:space="0"/>
            </w:tcBorders>
            <w:vAlign w:val="center"/>
          </w:tcPr>
          <w:p w14:paraId="79B8B541">
            <w:pPr>
              <w:snapToGrid w:val="0"/>
              <w:spacing w:line="400" w:lineRule="exact"/>
              <w:jc w:val="center"/>
              <w:rPr>
                <w:rFonts w:ascii="宋体" w:hAnsi="宋体" w:cs="宋体"/>
                <w:color w:val="auto"/>
                <w:kern w:val="0"/>
                <w:highlight w:val="none"/>
              </w:rPr>
            </w:pPr>
            <w:r>
              <w:rPr>
                <w:rFonts w:hint="eastAsia" w:ascii="宋体" w:hAnsi="宋体" w:cs="宋体"/>
                <w:color w:val="auto"/>
                <w:kern w:val="0"/>
                <w:highlight w:val="none"/>
              </w:rPr>
              <w:t>□施工组织设计</w:t>
            </w:r>
          </w:p>
        </w:tc>
        <w:tc>
          <w:tcPr>
            <w:tcW w:w="1500" w:type="dxa"/>
            <w:tcBorders>
              <w:top w:val="single" w:color="auto" w:sz="4" w:space="0"/>
              <w:left w:val="single" w:color="auto" w:sz="4" w:space="0"/>
              <w:bottom w:val="single" w:color="auto" w:sz="4" w:space="0"/>
              <w:right w:val="single" w:color="auto" w:sz="4" w:space="0"/>
            </w:tcBorders>
          </w:tcPr>
          <w:p w14:paraId="5AFD0EA6">
            <w:pPr>
              <w:snapToGrid w:val="0"/>
              <w:spacing w:line="400" w:lineRule="exact"/>
              <w:jc w:val="left"/>
              <w:rPr>
                <w:rFonts w:ascii="宋体" w:hAnsi="宋体" w:cs="宋体"/>
                <w:color w:val="auto"/>
                <w:kern w:val="0"/>
                <w:highlight w:val="none"/>
              </w:rPr>
            </w:pPr>
            <w:r>
              <w:rPr>
                <w:rFonts w:ascii="宋体" w:hAnsi="宋体"/>
                <w:color w:val="auto"/>
                <w:kern w:val="0"/>
                <w:highlight w:val="none"/>
              </w:rPr>
              <w:t>施工方案与技术措施</w:t>
            </w:r>
          </w:p>
        </w:tc>
        <w:tc>
          <w:tcPr>
            <w:tcW w:w="4615" w:type="dxa"/>
            <w:vMerge w:val="continue"/>
            <w:tcBorders>
              <w:left w:val="single" w:color="auto" w:sz="4" w:space="0"/>
            </w:tcBorders>
            <w:vAlign w:val="center"/>
          </w:tcPr>
          <w:p w14:paraId="0584F965">
            <w:pPr>
              <w:snapToGrid w:val="0"/>
              <w:spacing w:after="31" w:afterLines="10" w:line="400" w:lineRule="exact"/>
              <w:ind w:firstLine="420" w:firstLineChars="200"/>
              <w:rPr>
                <w:rFonts w:ascii="宋体" w:hAnsi="宋体" w:cs="宋体"/>
                <w:color w:val="auto"/>
                <w:kern w:val="0"/>
                <w:highlight w:val="none"/>
              </w:rPr>
            </w:pPr>
          </w:p>
        </w:tc>
      </w:tr>
      <w:tr w14:paraId="7BC77C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0C3E0128">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08E587F8">
            <w:pPr>
              <w:spacing w:line="400" w:lineRule="exact"/>
              <w:jc w:val="center"/>
              <w:rPr>
                <w:rFonts w:ascii="宋体" w:hAnsi="宋体"/>
                <w:color w:val="auto"/>
                <w:kern w:val="0"/>
                <w:highlight w:val="none"/>
              </w:rPr>
            </w:pPr>
          </w:p>
        </w:tc>
        <w:tc>
          <w:tcPr>
            <w:tcW w:w="1130" w:type="dxa"/>
            <w:vMerge w:val="continue"/>
            <w:tcBorders>
              <w:left w:val="single" w:color="auto" w:sz="4" w:space="0"/>
              <w:right w:val="single" w:color="auto" w:sz="4" w:space="0"/>
            </w:tcBorders>
          </w:tcPr>
          <w:p w14:paraId="4D41CD13">
            <w:pPr>
              <w:snapToGrid w:val="0"/>
              <w:spacing w:line="400" w:lineRule="exact"/>
              <w:jc w:val="left"/>
              <w:rPr>
                <w:rFonts w:ascii="宋体" w:hAnsi="宋体" w:cs="宋体"/>
                <w:color w:val="auto"/>
                <w:kern w:val="0"/>
                <w:highlight w:val="none"/>
              </w:rPr>
            </w:pPr>
          </w:p>
        </w:tc>
        <w:tc>
          <w:tcPr>
            <w:tcW w:w="1500" w:type="dxa"/>
            <w:tcBorders>
              <w:left w:val="single" w:color="auto" w:sz="4" w:space="0"/>
              <w:bottom w:val="single" w:color="auto" w:sz="4" w:space="0"/>
              <w:right w:val="single" w:color="auto" w:sz="4" w:space="0"/>
            </w:tcBorders>
          </w:tcPr>
          <w:p w14:paraId="164BDE7F">
            <w:pPr>
              <w:snapToGrid w:val="0"/>
              <w:spacing w:line="400" w:lineRule="exact"/>
              <w:jc w:val="left"/>
              <w:rPr>
                <w:rFonts w:ascii="宋体" w:hAnsi="宋体" w:cs="宋体"/>
                <w:color w:val="auto"/>
                <w:kern w:val="0"/>
                <w:highlight w:val="none"/>
              </w:rPr>
            </w:pPr>
            <w:r>
              <w:rPr>
                <w:rFonts w:ascii="宋体" w:hAnsi="宋体"/>
                <w:color w:val="auto"/>
                <w:kern w:val="0"/>
                <w:highlight w:val="none"/>
              </w:rPr>
              <w:t>质量</w:t>
            </w:r>
            <w:r>
              <w:rPr>
                <w:rFonts w:hint="eastAsia" w:ascii="宋体" w:hAnsi="宋体"/>
                <w:color w:val="auto"/>
                <w:kern w:val="0"/>
                <w:highlight w:val="none"/>
              </w:rPr>
              <w:t>、安全、环境管理</w:t>
            </w:r>
            <w:r>
              <w:rPr>
                <w:rFonts w:ascii="宋体" w:hAnsi="宋体"/>
                <w:color w:val="auto"/>
                <w:kern w:val="0"/>
                <w:highlight w:val="none"/>
              </w:rPr>
              <w:t>与措施</w:t>
            </w:r>
          </w:p>
        </w:tc>
        <w:tc>
          <w:tcPr>
            <w:tcW w:w="4615" w:type="dxa"/>
            <w:vMerge w:val="continue"/>
            <w:tcBorders>
              <w:left w:val="single" w:color="auto" w:sz="4" w:space="0"/>
            </w:tcBorders>
            <w:vAlign w:val="center"/>
          </w:tcPr>
          <w:p w14:paraId="0AACD62E">
            <w:pPr>
              <w:snapToGrid w:val="0"/>
              <w:spacing w:after="31" w:afterLines="10" w:line="400" w:lineRule="exact"/>
              <w:ind w:firstLine="420" w:firstLineChars="200"/>
              <w:rPr>
                <w:rFonts w:ascii="宋体" w:hAnsi="宋体" w:cs="宋体"/>
                <w:color w:val="auto"/>
                <w:kern w:val="0"/>
                <w:highlight w:val="none"/>
              </w:rPr>
            </w:pPr>
          </w:p>
        </w:tc>
      </w:tr>
      <w:tr w14:paraId="3BA7B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ABF8953">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7A3314AA">
            <w:pPr>
              <w:spacing w:line="400" w:lineRule="exact"/>
              <w:jc w:val="center"/>
              <w:rPr>
                <w:rFonts w:ascii="宋体" w:hAnsi="宋体"/>
                <w:color w:val="auto"/>
                <w:kern w:val="0"/>
                <w:highlight w:val="none"/>
              </w:rPr>
            </w:pPr>
          </w:p>
        </w:tc>
        <w:tc>
          <w:tcPr>
            <w:tcW w:w="1130" w:type="dxa"/>
            <w:vMerge w:val="continue"/>
            <w:tcBorders>
              <w:left w:val="single" w:color="auto" w:sz="4" w:space="0"/>
              <w:right w:val="single" w:color="auto" w:sz="4" w:space="0"/>
            </w:tcBorders>
          </w:tcPr>
          <w:p w14:paraId="6882CA7A">
            <w:pPr>
              <w:snapToGrid w:val="0"/>
              <w:spacing w:line="400" w:lineRule="exact"/>
              <w:jc w:val="left"/>
              <w:rPr>
                <w:rFonts w:ascii="宋体" w:hAnsi="宋体" w:cs="宋体"/>
                <w:color w:val="auto"/>
                <w:kern w:val="0"/>
                <w:highlight w:val="none"/>
              </w:rPr>
            </w:pPr>
          </w:p>
        </w:tc>
        <w:tc>
          <w:tcPr>
            <w:tcW w:w="1500" w:type="dxa"/>
            <w:tcBorders>
              <w:left w:val="single" w:color="auto" w:sz="4" w:space="0"/>
              <w:bottom w:val="single" w:color="auto" w:sz="4" w:space="0"/>
              <w:right w:val="single" w:color="auto" w:sz="4" w:space="0"/>
            </w:tcBorders>
          </w:tcPr>
          <w:p w14:paraId="2BC5232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工程进度计划与</w:t>
            </w:r>
            <w:r>
              <w:rPr>
                <w:rFonts w:ascii="宋体" w:hAnsi="宋体"/>
                <w:color w:val="auto"/>
                <w:kern w:val="0"/>
                <w:highlight w:val="none"/>
              </w:rPr>
              <w:t>资源配备</w:t>
            </w:r>
          </w:p>
        </w:tc>
        <w:tc>
          <w:tcPr>
            <w:tcW w:w="4615" w:type="dxa"/>
            <w:vMerge w:val="continue"/>
            <w:tcBorders>
              <w:left w:val="single" w:color="auto" w:sz="4" w:space="0"/>
            </w:tcBorders>
            <w:vAlign w:val="center"/>
          </w:tcPr>
          <w:p w14:paraId="0185ED87">
            <w:pPr>
              <w:snapToGrid w:val="0"/>
              <w:spacing w:after="31" w:afterLines="10" w:line="400" w:lineRule="exact"/>
              <w:ind w:firstLine="420" w:firstLineChars="200"/>
              <w:rPr>
                <w:rFonts w:ascii="宋体" w:hAnsi="宋体" w:cs="宋体"/>
                <w:color w:val="auto"/>
                <w:kern w:val="0"/>
                <w:highlight w:val="none"/>
              </w:rPr>
            </w:pPr>
          </w:p>
        </w:tc>
      </w:tr>
      <w:tr w14:paraId="3405F5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5A1A187F">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52D3F5AC">
            <w:pPr>
              <w:spacing w:line="400" w:lineRule="exact"/>
              <w:jc w:val="center"/>
              <w:rPr>
                <w:rFonts w:ascii="宋体" w:hAnsi="宋体"/>
                <w:color w:val="auto"/>
                <w:kern w:val="0"/>
                <w:highlight w:val="none"/>
              </w:rPr>
            </w:pPr>
          </w:p>
        </w:tc>
        <w:tc>
          <w:tcPr>
            <w:tcW w:w="1130" w:type="dxa"/>
            <w:vMerge w:val="continue"/>
            <w:tcBorders>
              <w:left w:val="single" w:color="auto" w:sz="4" w:space="0"/>
              <w:right w:val="single" w:color="auto" w:sz="4" w:space="0"/>
            </w:tcBorders>
          </w:tcPr>
          <w:p w14:paraId="2E639745">
            <w:pPr>
              <w:snapToGrid w:val="0"/>
              <w:spacing w:line="400" w:lineRule="exact"/>
              <w:jc w:val="left"/>
              <w:rPr>
                <w:rFonts w:ascii="宋体" w:hAnsi="宋体" w:cs="宋体"/>
                <w:color w:val="auto"/>
                <w:kern w:val="0"/>
                <w:highlight w:val="none"/>
              </w:rPr>
            </w:pPr>
          </w:p>
        </w:tc>
        <w:tc>
          <w:tcPr>
            <w:tcW w:w="1500" w:type="dxa"/>
            <w:tcBorders>
              <w:left w:val="single" w:color="auto" w:sz="4" w:space="0"/>
              <w:bottom w:val="single" w:color="auto" w:sz="4" w:space="0"/>
              <w:right w:val="single" w:color="auto" w:sz="4" w:space="0"/>
            </w:tcBorders>
          </w:tcPr>
          <w:p w14:paraId="4112DE33">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□危大工程清单安全管理措施</w:t>
            </w:r>
          </w:p>
        </w:tc>
        <w:tc>
          <w:tcPr>
            <w:tcW w:w="4615" w:type="dxa"/>
            <w:vMerge w:val="continue"/>
            <w:tcBorders>
              <w:left w:val="single" w:color="auto" w:sz="4" w:space="0"/>
            </w:tcBorders>
            <w:vAlign w:val="center"/>
          </w:tcPr>
          <w:p w14:paraId="344F7612">
            <w:pPr>
              <w:snapToGrid w:val="0"/>
              <w:spacing w:after="31" w:afterLines="10" w:line="400" w:lineRule="exact"/>
              <w:ind w:firstLine="420" w:firstLineChars="200"/>
              <w:rPr>
                <w:rFonts w:ascii="宋体" w:hAnsi="宋体" w:cs="宋体"/>
                <w:color w:val="auto"/>
                <w:kern w:val="0"/>
                <w:highlight w:val="none"/>
              </w:rPr>
            </w:pPr>
          </w:p>
        </w:tc>
      </w:tr>
      <w:tr w14:paraId="7C7590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5" w:hRule="atLeast"/>
        </w:trPr>
        <w:tc>
          <w:tcPr>
            <w:tcW w:w="1002" w:type="dxa"/>
            <w:vMerge w:val="continue"/>
            <w:tcBorders>
              <w:right w:val="single" w:color="auto" w:sz="4" w:space="0"/>
            </w:tcBorders>
            <w:vAlign w:val="center"/>
          </w:tcPr>
          <w:p w14:paraId="650E5448">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4D128DC7">
            <w:pPr>
              <w:spacing w:line="400" w:lineRule="exact"/>
              <w:jc w:val="center"/>
              <w:rPr>
                <w:rFonts w:ascii="宋体" w:hAnsi="宋体"/>
                <w:color w:val="auto"/>
                <w:kern w:val="0"/>
                <w:highlight w:val="none"/>
              </w:rPr>
            </w:pPr>
          </w:p>
        </w:tc>
        <w:tc>
          <w:tcPr>
            <w:tcW w:w="1130" w:type="dxa"/>
            <w:vMerge w:val="continue"/>
            <w:tcBorders>
              <w:left w:val="single" w:color="auto" w:sz="4" w:space="0"/>
              <w:right w:val="single" w:color="auto" w:sz="4" w:space="0"/>
            </w:tcBorders>
          </w:tcPr>
          <w:p w14:paraId="3898220C">
            <w:pPr>
              <w:snapToGrid w:val="0"/>
              <w:spacing w:line="400" w:lineRule="exact"/>
              <w:jc w:val="left"/>
              <w:rPr>
                <w:rFonts w:ascii="宋体" w:hAnsi="宋体" w:cs="宋体"/>
                <w:color w:val="auto"/>
                <w:kern w:val="0"/>
                <w:highlight w:val="none"/>
              </w:rPr>
            </w:pPr>
          </w:p>
        </w:tc>
        <w:tc>
          <w:tcPr>
            <w:tcW w:w="1500" w:type="dxa"/>
            <w:tcBorders>
              <w:left w:val="single" w:color="auto" w:sz="4" w:space="0"/>
              <w:bottom w:val="single" w:color="auto" w:sz="4" w:space="0"/>
              <w:right w:val="single" w:color="auto" w:sz="4" w:space="0"/>
            </w:tcBorders>
          </w:tcPr>
          <w:p w14:paraId="17B78C43">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□BIM、智慧工地建设管理方案及措施</w:t>
            </w:r>
          </w:p>
        </w:tc>
        <w:tc>
          <w:tcPr>
            <w:tcW w:w="4615" w:type="dxa"/>
            <w:vMerge w:val="continue"/>
            <w:tcBorders>
              <w:left w:val="single" w:color="auto" w:sz="4" w:space="0"/>
            </w:tcBorders>
            <w:vAlign w:val="center"/>
          </w:tcPr>
          <w:p w14:paraId="39A3A4EB">
            <w:pPr>
              <w:snapToGrid w:val="0"/>
              <w:spacing w:after="31" w:afterLines="10" w:line="400" w:lineRule="exact"/>
              <w:ind w:firstLine="420" w:firstLineChars="200"/>
              <w:rPr>
                <w:rFonts w:ascii="宋体" w:hAnsi="宋体" w:cs="宋体"/>
                <w:color w:val="auto"/>
                <w:kern w:val="0"/>
                <w:highlight w:val="none"/>
              </w:rPr>
            </w:pPr>
          </w:p>
        </w:tc>
      </w:tr>
      <w:tr w14:paraId="1C3238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2D69D8BD">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35313326">
            <w:pPr>
              <w:spacing w:line="400" w:lineRule="exact"/>
              <w:jc w:val="center"/>
              <w:rPr>
                <w:rFonts w:ascii="宋体" w:hAnsi="宋体"/>
                <w:color w:val="auto"/>
                <w:kern w:val="0"/>
                <w:highlight w:val="none"/>
              </w:rPr>
            </w:pPr>
          </w:p>
        </w:tc>
        <w:tc>
          <w:tcPr>
            <w:tcW w:w="1130" w:type="dxa"/>
            <w:vMerge w:val="continue"/>
            <w:tcBorders>
              <w:left w:val="single" w:color="auto" w:sz="4" w:space="0"/>
              <w:right w:val="single" w:color="auto" w:sz="4" w:space="0"/>
            </w:tcBorders>
          </w:tcPr>
          <w:p w14:paraId="55DB525E">
            <w:pPr>
              <w:snapToGrid w:val="0"/>
              <w:spacing w:line="400" w:lineRule="exact"/>
              <w:jc w:val="left"/>
              <w:rPr>
                <w:rFonts w:ascii="宋体" w:hAnsi="宋体" w:cs="宋体"/>
                <w:color w:val="auto"/>
                <w:kern w:val="0"/>
                <w:highlight w:val="none"/>
              </w:rPr>
            </w:pPr>
          </w:p>
        </w:tc>
        <w:tc>
          <w:tcPr>
            <w:tcW w:w="1500" w:type="dxa"/>
            <w:tcBorders>
              <w:top w:val="single" w:color="auto" w:sz="4" w:space="0"/>
              <w:left w:val="single" w:color="auto" w:sz="4" w:space="0"/>
              <w:right w:val="single" w:color="auto" w:sz="4" w:space="0"/>
            </w:tcBorders>
          </w:tcPr>
          <w:p w14:paraId="65A8BED6">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615" w:type="dxa"/>
            <w:vMerge w:val="continue"/>
            <w:tcBorders>
              <w:left w:val="single" w:color="auto" w:sz="4" w:space="0"/>
            </w:tcBorders>
            <w:vAlign w:val="center"/>
          </w:tcPr>
          <w:p w14:paraId="537BC3EA">
            <w:pPr>
              <w:snapToGrid w:val="0"/>
              <w:spacing w:after="31" w:afterLines="10" w:line="400" w:lineRule="exact"/>
              <w:ind w:firstLine="420" w:firstLineChars="200"/>
              <w:rPr>
                <w:rFonts w:ascii="宋体" w:hAnsi="宋体" w:cs="宋体"/>
                <w:color w:val="auto"/>
                <w:kern w:val="0"/>
                <w:highlight w:val="none"/>
              </w:rPr>
            </w:pPr>
          </w:p>
        </w:tc>
      </w:tr>
      <w:tr w14:paraId="485F4C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54A890D4">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41109C89">
            <w:pPr>
              <w:spacing w:line="400" w:lineRule="exact"/>
              <w:jc w:val="center"/>
              <w:rPr>
                <w:rFonts w:ascii="宋体" w:hAnsi="宋体"/>
                <w:color w:val="auto"/>
                <w:kern w:val="0"/>
                <w:highlight w:val="none"/>
              </w:rPr>
            </w:pPr>
          </w:p>
        </w:tc>
        <w:tc>
          <w:tcPr>
            <w:tcW w:w="1130" w:type="dxa"/>
            <w:vMerge w:val="restart"/>
            <w:tcBorders>
              <w:left w:val="single" w:color="auto" w:sz="4" w:space="0"/>
              <w:right w:val="single" w:color="auto" w:sz="4" w:space="0"/>
            </w:tcBorders>
            <w:vAlign w:val="center"/>
          </w:tcPr>
          <w:p w14:paraId="07A11031">
            <w:pPr>
              <w:snapToGrid w:val="0"/>
              <w:spacing w:line="400" w:lineRule="exact"/>
              <w:jc w:val="center"/>
              <w:rPr>
                <w:rFonts w:ascii="宋体" w:hAnsi="宋体" w:cs="宋体"/>
                <w:color w:val="auto"/>
                <w:kern w:val="0"/>
                <w:highlight w:val="none"/>
              </w:rPr>
            </w:pPr>
            <w:r>
              <w:rPr>
                <w:rFonts w:hint="eastAsia" w:ascii="宋体" w:hAnsi="宋体" w:cs="宋体"/>
                <w:color w:val="auto"/>
                <w:kern w:val="0"/>
                <w:highlight w:val="none"/>
              </w:rPr>
              <w:t>□设备材料技术性能</w:t>
            </w:r>
          </w:p>
        </w:tc>
        <w:tc>
          <w:tcPr>
            <w:tcW w:w="1500" w:type="dxa"/>
            <w:tcBorders>
              <w:top w:val="single" w:color="auto" w:sz="4" w:space="0"/>
              <w:left w:val="single" w:color="auto" w:sz="4" w:space="0"/>
              <w:right w:val="single" w:color="auto" w:sz="4" w:space="0"/>
            </w:tcBorders>
          </w:tcPr>
          <w:p w14:paraId="4F43A197">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设备材料功能和技术性能</w:t>
            </w:r>
          </w:p>
        </w:tc>
        <w:tc>
          <w:tcPr>
            <w:tcW w:w="4615" w:type="dxa"/>
            <w:vMerge w:val="continue"/>
            <w:tcBorders>
              <w:left w:val="single" w:color="auto" w:sz="4" w:space="0"/>
            </w:tcBorders>
            <w:vAlign w:val="center"/>
          </w:tcPr>
          <w:p w14:paraId="26491245">
            <w:pPr>
              <w:snapToGrid w:val="0"/>
              <w:spacing w:after="31" w:afterLines="10" w:line="400" w:lineRule="exact"/>
              <w:ind w:firstLine="420" w:firstLineChars="200"/>
              <w:rPr>
                <w:rFonts w:ascii="宋体" w:hAnsi="宋体" w:cs="宋体"/>
                <w:color w:val="auto"/>
                <w:kern w:val="0"/>
                <w:highlight w:val="none"/>
              </w:rPr>
            </w:pPr>
          </w:p>
        </w:tc>
      </w:tr>
      <w:tr w14:paraId="1C825C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32D1F716">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69A31F29">
            <w:pPr>
              <w:spacing w:line="400" w:lineRule="exact"/>
              <w:jc w:val="center"/>
              <w:rPr>
                <w:rFonts w:ascii="宋体" w:hAnsi="宋体"/>
                <w:color w:val="auto"/>
                <w:kern w:val="0"/>
                <w:highlight w:val="none"/>
              </w:rPr>
            </w:pPr>
          </w:p>
        </w:tc>
        <w:tc>
          <w:tcPr>
            <w:tcW w:w="1130" w:type="dxa"/>
            <w:vMerge w:val="continue"/>
            <w:tcBorders>
              <w:left w:val="single" w:color="auto" w:sz="4" w:space="0"/>
              <w:right w:val="single" w:color="auto" w:sz="4" w:space="0"/>
            </w:tcBorders>
          </w:tcPr>
          <w:p w14:paraId="2BE3A581">
            <w:pPr>
              <w:snapToGrid w:val="0"/>
              <w:spacing w:line="400" w:lineRule="exact"/>
              <w:jc w:val="left"/>
              <w:rPr>
                <w:rFonts w:ascii="宋体" w:hAnsi="宋体" w:cs="宋体"/>
                <w:color w:val="auto"/>
                <w:kern w:val="0"/>
                <w:highlight w:val="none"/>
              </w:rPr>
            </w:pPr>
          </w:p>
        </w:tc>
        <w:tc>
          <w:tcPr>
            <w:tcW w:w="1500" w:type="dxa"/>
            <w:tcBorders>
              <w:top w:val="single" w:color="auto" w:sz="4" w:space="0"/>
              <w:left w:val="single" w:color="auto" w:sz="4" w:space="0"/>
              <w:right w:val="single" w:color="auto" w:sz="4" w:space="0"/>
            </w:tcBorders>
          </w:tcPr>
          <w:p w14:paraId="0F9E692B">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□节能环保</w:t>
            </w:r>
          </w:p>
        </w:tc>
        <w:tc>
          <w:tcPr>
            <w:tcW w:w="4615" w:type="dxa"/>
            <w:vMerge w:val="continue"/>
            <w:tcBorders>
              <w:left w:val="single" w:color="auto" w:sz="4" w:space="0"/>
            </w:tcBorders>
            <w:vAlign w:val="center"/>
          </w:tcPr>
          <w:p w14:paraId="18ECFC35">
            <w:pPr>
              <w:snapToGrid w:val="0"/>
              <w:spacing w:after="31" w:afterLines="10" w:line="400" w:lineRule="exact"/>
              <w:ind w:firstLine="420" w:firstLineChars="200"/>
              <w:rPr>
                <w:rFonts w:ascii="宋体" w:hAnsi="宋体" w:cs="宋体"/>
                <w:color w:val="auto"/>
                <w:kern w:val="0"/>
                <w:highlight w:val="none"/>
              </w:rPr>
            </w:pPr>
          </w:p>
        </w:tc>
      </w:tr>
      <w:tr w14:paraId="4433F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79EBD36A">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30062703">
            <w:pPr>
              <w:spacing w:line="400" w:lineRule="exact"/>
              <w:jc w:val="center"/>
              <w:rPr>
                <w:rFonts w:ascii="宋体" w:hAnsi="宋体"/>
                <w:color w:val="auto"/>
                <w:kern w:val="0"/>
                <w:highlight w:val="none"/>
              </w:rPr>
            </w:pPr>
          </w:p>
        </w:tc>
        <w:tc>
          <w:tcPr>
            <w:tcW w:w="1130" w:type="dxa"/>
            <w:vMerge w:val="continue"/>
            <w:tcBorders>
              <w:left w:val="single" w:color="auto" w:sz="4" w:space="0"/>
              <w:right w:val="single" w:color="auto" w:sz="4" w:space="0"/>
            </w:tcBorders>
          </w:tcPr>
          <w:p w14:paraId="7EE9EA76">
            <w:pPr>
              <w:snapToGrid w:val="0"/>
              <w:spacing w:line="400" w:lineRule="exact"/>
              <w:jc w:val="left"/>
              <w:rPr>
                <w:rFonts w:ascii="宋体" w:hAnsi="宋体" w:cs="宋体"/>
                <w:color w:val="auto"/>
                <w:kern w:val="0"/>
                <w:highlight w:val="none"/>
              </w:rPr>
            </w:pPr>
          </w:p>
        </w:tc>
        <w:tc>
          <w:tcPr>
            <w:tcW w:w="1500" w:type="dxa"/>
            <w:tcBorders>
              <w:top w:val="single" w:color="auto" w:sz="4" w:space="0"/>
              <w:left w:val="single" w:color="auto" w:sz="4" w:space="0"/>
              <w:right w:val="single" w:color="auto" w:sz="4" w:space="0"/>
            </w:tcBorders>
          </w:tcPr>
          <w:p w14:paraId="77B6E018">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□售后维保</w:t>
            </w:r>
          </w:p>
        </w:tc>
        <w:tc>
          <w:tcPr>
            <w:tcW w:w="4615" w:type="dxa"/>
            <w:vMerge w:val="continue"/>
            <w:tcBorders>
              <w:left w:val="single" w:color="auto" w:sz="4" w:space="0"/>
            </w:tcBorders>
            <w:vAlign w:val="center"/>
          </w:tcPr>
          <w:p w14:paraId="0D6F26D2">
            <w:pPr>
              <w:snapToGrid w:val="0"/>
              <w:spacing w:after="31" w:afterLines="10" w:line="400" w:lineRule="exact"/>
              <w:ind w:firstLine="420" w:firstLineChars="200"/>
              <w:rPr>
                <w:rFonts w:ascii="宋体" w:hAnsi="宋体" w:cs="宋体"/>
                <w:color w:val="auto"/>
                <w:kern w:val="0"/>
                <w:highlight w:val="none"/>
              </w:rPr>
            </w:pPr>
          </w:p>
        </w:tc>
      </w:tr>
      <w:tr w14:paraId="59A921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25692379">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689B8D20">
            <w:pPr>
              <w:spacing w:line="400" w:lineRule="exact"/>
              <w:jc w:val="center"/>
              <w:rPr>
                <w:rFonts w:ascii="宋体" w:hAnsi="宋体"/>
                <w:color w:val="auto"/>
                <w:kern w:val="0"/>
                <w:highlight w:val="none"/>
              </w:rPr>
            </w:pPr>
          </w:p>
        </w:tc>
        <w:tc>
          <w:tcPr>
            <w:tcW w:w="1130" w:type="dxa"/>
            <w:vMerge w:val="continue"/>
            <w:tcBorders>
              <w:left w:val="single" w:color="auto" w:sz="4" w:space="0"/>
              <w:right w:val="single" w:color="auto" w:sz="4" w:space="0"/>
            </w:tcBorders>
          </w:tcPr>
          <w:p w14:paraId="11EA5C44">
            <w:pPr>
              <w:snapToGrid w:val="0"/>
              <w:spacing w:line="400" w:lineRule="exact"/>
              <w:jc w:val="left"/>
              <w:rPr>
                <w:rFonts w:ascii="宋体" w:hAnsi="宋体" w:cs="宋体"/>
                <w:color w:val="auto"/>
                <w:kern w:val="0"/>
                <w:highlight w:val="none"/>
              </w:rPr>
            </w:pPr>
          </w:p>
        </w:tc>
        <w:tc>
          <w:tcPr>
            <w:tcW w:w="1500" w:type="dxa"/>
            <w:tcBorders>
              <w:top w:val="single" w:color="auto" w:sz="4" w:space="0"/>
              <w:left w:val="single" w:color="auto" w:sz="4" w:space="0"/>
              <w:right w:val="single" w:color="auto" w:sz="4" w:space="0"/>
            </w:tcBorders>
          </w:tcPr>
          <w:p w14:paraId="5CDBDDA0">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□质量创优</w:t>
            </w:r>
          </w:p>
        </w:tc>
        <w:tc>
          <w:tcPr>
            <w:tcW w:w="4615" w:type="dxa"/>
            <w:vMerge w:val="continue"/>
            <w:tcBorders>
              <w:left w:val="single" w:color="auto" w:sz="4" w:space="0"/>
            </w:tcBorders>
            <w:vAlign w:val="center"/>
          </w:tcPr>
          <w:p w14:paraId="3635F1D9">
            <w:pPr>
              <w:snapToGrid w:val="0"/>
              <w:spacing w:after="31" w:afterLines="10" w:line="400" w:lineRule="exact"/>
              <w:ind w:firstLine="420" w:firstLineChars="200"/>
              <w:rPr>
                <w:rFonts w:ascii="宋体" w:hAnsi="宋体" w:cs="宋体"/>
                <w:color w:val="auto"/>
                <w:kern w:val="0"/>
                <w:highlight w:val="none"/>
              </w:rPr>
            </w:pPr>
          </w:p>
        </w:tc>
      </w:tr>
      <w:tr w14:paraId="120FFE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483A792F">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7AF39400">
            <w:pPr>
              <w:spacing w:line="400" w:lineRule="exact"/>
              <w:jc w:val="center"/>
              <w:rPr>
                <w:rFonts w:ascii="宋体" w:hAnsi="宋体"/>
                <w:color w:val="auto"/>
                <w:kern w:val="0"/>
                <w:highlight w:val="none"/>
              </w:rPr>
            </w:pPr>
          </w:p>
        </w:tc>
        <w:tc>
          <w:tcPr>
            <w:tcW w:w="1130" w:type="dxa"/>
            <w:vMerge w:val="continue"/>
            <w:tcBorders>
              <w:left w:val="single" w:color="auto" w:sz="4" w:space="0"/>
              <w:right w:val="single" w:color="auto" w:sz="4" w:space="0"/>
            </w:tcBorders>
          </w:tcPr>
          <w:p w14:paraId="51F316C6">
            <w:pPr>
              <w:snapToGrid w:val="0"/>
              <w:spacing w:line="400" w:lineRule="exact"/>
              <w:jc w:val="left"/>
              <w:rPr>
                <w:rFonts w:ascii="宋体" w:hAnsi="宋体" w:cs="宋体"/>
                <w:color w:val="auto"/>
                <w:kern w:val="0"/>
                <w:highlight w:val="none"/>
              </w:rPr>
            </w:pPr>
          </w:p>
        </w:tc>
        <w:tc>
          <w:tcPr>
            <w:tcW w:w="1500" w:type="dxa"/>
            <w:tcBorders>
              <w:top w:val="single" w:color="auto" w:sz="4" w:space="0"/>
              <w:left w:val="single" w:color="auto" w:sz="4" w:space="0"/>
              <w:right w:val="single" w:color="auto" w:sz="4" w:space="0"/>
            </w:tcBorders>
          </w:tcPr>
          <w:p w14:paraId="6AC5B26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4615" w:type="dxa"/>
            <w:vMerge w:val="continue"/>
            <w:tcBorders>
              <w:left w:val="single" w:color="auto" w:sz="4" w:space="0"/>
              <w:bottom w:val="single" w:color="auto" w:sz="4" w:space="0"/>
            </w:tcBorders>
            <w:vAlign w:val="center"/>
          </w:tcPr>
          <w:p w14:paraId="497ED8CE">
            <w:pPr>
              <w:snapToGrid w:val="0"/>
              <w:spacing w:after="31" w:afterLines="10" w:line="400" w:lineRule="exact"/>
              <w:ind w:firstLine="420" w:firstLineChars="200"/>
              <w:rPr>
                <w:rFonts w:ascii="宋体" w:hAnsi="宋体" w:cs="宋体"/>
                <w:color w:val="auto"/>
                <w:kern w:val="0"/>
                <w:highlight w:val="none"/>
              </w:rPr>
            </w:pPr>
          </w:p>
        </w:tc>
      </w:tr>
      <w:tr w14:paraId="1E62A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restart"/>
            <w:tcBorders>
              <w:right w:val="single" w:color="auto" w:sz="4" w:space="0"/>
            </w:tcBorders>
            <w:vAlign w:val="center"/>
          </w:tcPr>
          <w:p w14:paraId="124E9780">
            <w:pPr>
              <w:spacing w:line="400" w:lineRule="exact"/>
              <w:jc w:val="center"/>
              <w:rPr>
                <w:rFonts w:ascii="宋体" w:hAnsi="宋体" w:cs="宋体"/>
                <w:color w:val="auto"/>
                <w:szCs w:val="21"/>
                <w:highlight w:val="none"/>
              </w:rPr>
            </w:pPr>
            <w:r>
              <w:rPr>
                <w:rFonts w:hint="eastAsia" w:ascii="宋体" w:hAnsi="宋体" w:cs="宋体"/>
                <w:color w:val="auto"/>
                <w:szCs w:val="21"/>
                <w:highlight w:val="none"/>
              </w:rPr>
              <w:t>2.2.2</w:t>
            </w:r>
          </w:p>
        </w:tc>
        <w:tc>
          <w:tcPr>
            <w:tcW w:w="1438" w:type="dxa"/>
            <w:vMerge w:val="restart"/>
            <w:tcBorders>
              <w:left w:val="single" w:color="auto" w:sz="4" w:space="0"/>
              <w:right w:val="single" w:color="auto" w:sz="4" w:space="0"/>
            </w:tcBorders>
            <w:vAlign w:val="center"/>
          </w:tcPr>
          <w:p w14:paraId="3C1D2D43">
            <w:pPr>
              <w:spacing w:line="400" w:lineRule="exact"/>
              <w:jc w:val="center"/>
              <w:rPr>
                <w:rFonts w:ascii="宋体" w:hAnsi="宋体"/>
                <w:color w:val="auto"/>
                <w:kern w:val="0"/>
                <w:highlight w:val="none"/>
              </w:rPr>
            </w:pPr>
            <w:r>
              <w:rPr>
                <w:rFonts w:hint="eastAsia" w:ascii="宋体" w:hAnsi="宋体"/>
                <w:color w:val="auto"/>
                <w:kern w:val="0"/>
                <w:highlight w:val="none"/>
              </w:rPr>
              <w:t>资格评审标准</w:t>
            </w:r>
          </w:p>
        </w:tc>
        <w:tc>
          <w:tcPr>
            <w:tcW w:w="2630" w:type="dxa"/>
            <w:gridSpan w:val="2"/>
            <w:tcBorders>
              <w:top w:val="single" w:color="auto" w:sz="4" w:space="0"/>
              <w:left w:val="single" w:color="auto" w:sz="4" w:space="0"/>
              <w:right w:val="single" w:color="auto" w:sz="4" w:space="0"/>
            </w:tcBorders>
            <w:vAlign w:val="center"/>
          </w:tcPr>
          <w:p w14:paraId="25D73218">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资质条件</w:t>
            </w:r>
          </w:p>
        </w:tc>
        <w:tc>
          <w:tcPr>
            <w:tcW w:w="4615" w:type="dxa"/>
            <w:tcBorders>
              <w:top w:val="single" w:color="auto" w:sz="4" w:space="0"/>
              <w:left w:val="single" w:color="auto" w:sz="4" w:space="0"/>
            </w:tcBorders>
            <w:vAlign w:val="center"/>
          </w:tcPr>
          <w:p w14:paraId="14362F53">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5161C1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41DD63FC">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1114D8A3">
            <w:pPr>
              <w:spacing w:line="400" w:lineRule="exact"/>
              <w:jc w:val="center"/>
              <w:rPr>
                <w:rFonts w:ascii="宋体" w:hAnsi="宋体"/>
                <w:color w:val="auto"/>
                <w:kern w:val="0"/>
                <w:highlight w:val="none"/>
              </w:rPr>
            </w:pPr>
          </w:p>
        </w:tc>
        <w:tc>
          <w:tcPr>
            <w:tcW w:w="2630" w:type="dxa"/>
            <w:gridSpan w:val="2"/>
            <w:tcBorders>
              <w:top w:val="single" w:color="auto" w:sz="4" w:space="0"/>
              <w:left w:val="single" w:color="auto" w:sz="4" w:space="0"/>
              <w:right w:val="single" w:color="auto" w:sz="4" w:space="0"/>
            </w:tcBorders>
            <w:vAlign w:val="center"/>
          </w:tcPr>
          <w:p w14:paraId="7BDE283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营业执照</w:t>
            </w:r>
          </w:p>
        </w:tc>
        <w:tc>
          <w:tcPr>
            <w:tcW w:w="4615" w:type="dxa"/>
            <w:tcBorders>
              <w:top w:val="single" w:color="auto" w:sz="4" w:space="0"/>
              <w:left w:val="single" w:color="auto" w:sz="4" w:space="0"/>
            </w:tcBorders>
            <w:vAlign w:val="center"/>
          </w:tcPr>
          <w:p w14:paraId="17FBB473">
            <w:pPr>
              <w:snapToGrid w:val="0"/>
              <w:spacing w:after="78" w:afterLines="25"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5EDC5D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7E4DABA7">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2ECFAAAD">
            <w:pPr>
              <w:spacing w:line="400" w:lineRule="exact"/>
              <w:jc w:val="center"/>
              <w:rPr>
                <w:rFonts w:ascii="宋体" w:hAnsi="宋体"/>
                <w:color w:val="auto"/>
                <w:kern w:val="0"/>
                <w:highlight w:val="none"/>
              </w:rPr>
            </w:pPr>
          </w:p>
        </w:tc>
        <w:tc>
          <w:tcPr>
            <w:tcW w:w="2630" w:type="dxa"/>
            <w:gridSpan w:val="2"/>
            <w:tcBorders>
              <w:top w:val="single" w:color="auto" w:sz="4" w:space="0"/>
              <w:left w:val="single" w:color="auto" w:sz="4" w:space="0"/>
              <w:right w:val="single" w:color="auto" w:sz="4" w:space="0"/>
            </w:tcBorders>
            <w:vAlign w:val="center"/>
          </w:tcPr>
          <w:p w14:paraId="0CECF07A">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安全生产条件</w:t>
            </w:r>
          </w:p>
        </w:tc>
        <w:tc>
          <w:tcPr>
            <w:tcW w:w="4615" w:type="dxa"/>
            <w:tcBorders>
              <w:top w:val="single" w:color="auto" w:sz="4" w:space="0"/>
              <w:left w:val="single" w:color="auto" w:sz="4" w:space="0"/>
            </w:tcBorders>
            <w:vAlign w:val="center"/>
          </w:tcPr>
          <w:p w14:paraId="0DDCC0B1">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09D13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3332CBBE">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4EAC9179">
            <w:pPr>
              <w:spacing w:line="400" w:lineRule="exact"/>
              <w:jc w:val="center"/>
              <w:rPr>
                <w:rFonts w:ascii="宋体" w:hAnsi="宋体"/>
                <w:color w:val="auto"/>
                <w:kern w:val="0"/>
                <w:highlight w:val="none"/>
              </w:rPr>
            </w:pPr>
          </w:p>
        </w:tc>
        <w:tc>
          <w:tcPr>
            <w:tcW w:w="2630" w:type="dxa"/>
            <w:gridSpan w:val="2"/>
            <w:tcBorders>
              <w:top w:val="single" w:color="auto" w:sz="4" w:space="0"/>
              <w:left w:val="single" w:color="auto" w:sz="4" w:space="0"/>
              <w:right w:val="single" w:color="auto" w:sz="4" w:space="0"/>
            </w:tcBorders>
            <w:vAlign w:val="center"/>
          </w:tcPr>
          <w:p w14:paraId="3DE8E8A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□财务要求</w:t>
            </w:r>
          </w:p>
        </w:tc>
        <w:tc>
          <w:tcPr>
            <w:tcW w:w="4615" w:type="dxa"/>
            <w:tcBorders>
              <w:top w:val="single" w:color="auto" w:sz="4" w:space="0"/>
              <w:left w:val="single" w:color="auto" w:sz="4" w:space="0"/>
            </w:tcBorders>
            <w:vAlign w:val="center"/>
          </w:tcPr>
          <w:p w14:paraId="791D14AC">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5D99A6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14:paraId="11852208">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5C44D329">
            <w:pPr>
              <w:spacing w:line="400" w:lineRule="exact"/>
              <w:jc w:val="center"/>
              <w:rPr>
                <w:rFonts w:ascii="宋体" w:hAnsi="宋体"/>
                <w:color w:val="auto"/>
                <w:kern w:val="0"/>
                <w:highlight w:val="none"/>
              </w:rPr>
            </w:pPr>
          </w:p>
        </w:tc>
        <w:tc>
          <w:tcPr>
            <w:tcW w:w="2630" w:type="dxa"/>
            <w:gridSpan w:val="2"/>
            <w:tcBorders>
              <w:top w:val="single" w:color="auto" w:sz="4" w:space="0"/>
              <w:left w:val="single" w:color="auto" w:sz="4" w:space="0"/>
              <w:right w:val="single" w:color="auto" w:sz="4" w:space="0"/>
            </w:tcBorders>
            <w:vAlign w:val="center"/>
          </w:tcPr>
          <w:p w14:paraId="24CE9B56">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□业绩要求</w:t>
            </w:r>
          </w:p>
        </w:tc>
        <w:tc>
          <w:tcPr>
            <w:tcW w:w="4615" w:type="dxa"/>
            <w:tcBorders>
              <w:top w:val="single" w:color="auto" w:sz="4" w:space="0"/>
              <w:left w:val="single" w:color="auto" w:sz="4" w:space="0"/>
            </w:tcBorders>
            <w:vAlign w:val="center"/>
          </w:tcPr>
          <w:p w14:paraId="4C75147D">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35FD7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1002" w:type="dxa"/>
            <w:vMerge w:val="continue"/>
            <w:tcBorders>
              <w:right w:val="single" w:color="auto" w:sz="4" w:space="0"/>
            </w:tcBorders>
            <w:vAlign w:val="center"/>
          </w:tcPr>
          <w:p w14:paraId="6462C7B6">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6B717A3E">
            <w:pPr>
              <w:spacing w:line="400" w:lineRule="exact"/>
              <w:jc w:val="center"/>
              <w:rPr>
                <w:rFonts w:ascii="宋体" w:hAnsi="宋体"/>
                <w:color w:val="auto"/>
                <w:kern w:val="0"/>
                <w:highlight w:val="none"/>
              </w:rPr>
            </w:pPr>
          </w:p>
        </w:tc>
        <w:tc>
          <w:tcPr>
            <w:tcW w:w="2630" w:type="dxa"/>
            <w:gridSpan w:val="2"/>
            <w:tcBorders>
              <w:top w:val="single" w:color="auto" w:sz="4" w:space="0"/>
              <w:left w:val="single" w:color="auto" w:sz="4" w:space="0"/>
              <w:right w:val="single" w:color="auto" w:sz="4" w:space="0"/>
            </w:tcBorders>
            <w:vAlign w:val="center"/>
          </w:tcPr>
          <w:p w14:paraId="61C33D59">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hint="eastAsia" w:ascii="宋体" w:hAnsi="宋体"/>
                <w:color w:val="auto"/>
                <w:szCs w:val="21"/>
                <w:highlight w:val="none"/>
              </w:rPr>
              <w:t>专业设备材料供货资格</w:t>
            </w:r>
          </w:p>
        </w:tc>
        <w:tc>
          <w:tcPr>
            <w:tcW w:w="4615" w:type="dxa"/>
            <w:tcBorders>
              <w:top w:val="single" w:color="auto" w:sz="4" w:space="0"/>
              <w:left w:val="single" w:color="auto" w:sz="4" w:space="0"/>
            </w:tcBorders>
            <w:vAlign w:val="center"/>
          </w:tcPr>
          <w:p w14:paraId="74A045C1">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38846D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28F8FE28">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0386DC39">
            <w:pPr>
              <w:spacing w:line="400" w:lineRule="exact"/>
              <w:jc w:val="center"/>
              <w:rPr>
                <w:rFonts w:ascii="宋体" w:hAnsi="宋体"/>
                <w:color w:val="auto"/>
                <w:kern w:val="0"/>
                <w:highlight w:val="none"/>
              </w:rPr>
            </w:pPr>
          </w:p>
        </w:tc>
        <w:tc>
          <w:tcPr>
            <w:tcW w:w="2630" w:type="dxa"/>
            <w:gridSpan w:val="2"/>
            <w:tcBorders>
              <w:top w:val="single" w:color="auto" w:sz="4" w:space="0"/>
              <w:left w:val="single" w:color="auto" w:sz="4" w:space="0"/>
              <w:right w:val="single" w:color="auto" w:sz="4" w:space="0"/>
            </w:tcBorders>
            <w:vAlign w:val="center"/>
          </w:tcPr>
          <w:p w14:paraId="5D685861">
            <w:pPr>
              <w:snapToGrid w:val="0"/>
              <w:spacing w:after="78" w:afterLines="25" w:line="400" w:lineRule="exact"/>
              <w:jc w:val="left"/>
              <w:rPr>
                <w:rFonts w:ascii="宋体" w:hAnsi="宋体" w:cs="宋体"/>
                <w:color w:val="auto"/>
                <w:kern w:val="0"/>
                <w:highlight w:val="none"/>
              </w:rPr>
            </w:pPr>
            <w:r>
              <w:rPr>
                <w:rFonts w:hint="eastAsia" w:ascii="宋体" w:hAnsi="宋体" w:cs="宋体"/>
                <w:color w:val="auto"/>
                <w:szCs w:val="21"/>
                <w:highlight w:val="none"/>
              </w:rPr>
              <w:t>投标截止日投标资格情况</w:t>
            </w:r>
          </w:p>
        </w:tc>
        <w:tc>
          <w:tcPr>
            <w:tcW w:w="4615" w:type="dxa"/>
            <w:tcBorders>
              <w:top w:val="single" w:color="auto" w:sz="4" w:space="0"/>
              <w:left w:val="single" w:color="auto" w:sz="4" w:space="0"/>
            </w:tcBorders>
            <w:vAlign w:val="center"/>
          </w:tcPr>
          <w:p w14:paraId="384233E3">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316285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7FDDC14B">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01AD98BB">
            <w:pPr>
              <w:spacing w:line="400" w:lineRule="exact"/>
              <w:jc w:val="center"/>
              <w:rPr>
                <w:rFonts w:ascii="宋体" w:hAnsi="宋体"/>
                <w:color w:val="auto"/>
                <w:kern w:val="0"/>
                <w:highlight w:val="none"/>
              </w:rPr>
            </w:pPr>
          </w:p>
        </w:tc>
        <w:tc>
          <w:tcPr>
            <w:tcW w:w="2630" w:type="dxa"/>
            <w:gridSpan w:val="2"/>
            <w:tcBorders>
              <w:top w:val="single" w:color="auto" w:sz="4" w:space="0"/>
              <w:left w:val="single" w:color="auto" w:sz="4" w:space="0"/>
              <w:right w:val="single" w:color="auto" w:sz="4" w:space="0"/>
            </w:tcBorders>
            <w:vAlign w:val="center"/>
          </w:tcPr>
          <w:p w14:paraId="3A48C4A5">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工程总承包项目经理资格要求</w:t>
            </w:r>
          </w:p>
        </w:tc>
        <w:tc>
          <w:tcPr>
            <w:tcW w:w="4615" w:type="dxa"/>
            <w:tcBorders>
              <w:top w:val="single" w:color="auto" w:sz="4" w:space="0"/>
              <w:left w:val="single" w:color="auto" w:sz="4" w:space="0"/>
            </w:tcBorders>
            <w:vAlign w:val="center"/>
          </w:tcPr>
          <w:p w14:paraId="51BBEFF0">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符合第二章“投标人须知”第1.4.1项规定</w:t>
            </w:r>
          </w:p>
        </w:tc>
      </w:tr>
      <w:tr w14:paraId="1096F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07EE0DEF">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0B07F249">
            <w:pPr>
              <w:spacing w:line="400" w:lineRule="exact"/>
              <w:jc w:val="center"/>
              <w:rPr>
                <w:rFonts w:ascii="宋体" w:hAnsi="宋体"/>
                <w:color w:val="auto"/>
                <w:kern w:val="0"/>
                <w:highlight w:val="none"/>
              </w:rPr>
            </w:pPr>
          </w:p>
        </w:tc>
        <w:tc>
          <w:tcPr>
            <w:tcW w:w="2630" w:type="dxa"/>
            <w:gridSpan w:val="2"/>
            <w:tcBorders>
              <w:top w:val="single" w:color="auto" w:sz="4" w:space="0"/>
              <w:left w:val="single" w:color="auto" w:sz="4" w:space="0"/>
              <w:right w:val="single" w:color="auto" w:sz="4" w:space="0"/>
            </w:tcBorders>
            <w:vAlign w:val="center"/>
          </w:tcPr>
          <w:p w14:paraId="66049FB2">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其他要求</w:t>
            </w:r>
          </w:p>
        </w:tc>
        <w:tc>
          <w:tcPr>
            <w:tcW w:w="4615" w:type="dxa"/>
            <w:tcBorders>
              <w:top w:val="single" w:color="auto" w:sz="4" w:space="0"/>
              <w:left w:val="single" w:color="auto" w:sz="4" w:space="0"/>
            </w:tcBorders>
            <w:vAlign w:val="center"/>
          </w:tcPr>
          <w:p w14:paraId="709B3535">
            <w:pPr>
              <w:snapToGrid w:val="0"/>
              <w:spacing w:line="400" w:lineRule="exact"/>
              <w:ind w:firstLine="420" w:firstLineChars="200"/>
              <w:rPr>
                <w:rFonts w:ascii="宋体" w:hAnsi="宋体" w:cs="宋体"/>
                <w:color w:val="auto"/>
                <w:kern w:val="0"/>
                <w:highlight w:val="none"/>
                <w:u w:val="single"/>
              </w:rPr>
            </w:pPr>
            <w:r>
              <w:rPr>
                <w:rFonts w:hint="eastAsia" w:ascii="宋体" w:hAnsi="宋体" w:cs="宋体"/>
                <w:color w:val="auto"/>
                <w:kern w:val="0"/>
                <w:highlight w:val="none"/>
              </w:rPr>
              <w:t>符合第二章“投标人须知”第1.4.1项规定</w:t>
            </w:r>
          </w:p>
        </w:tc>
      </w:tr>
      <w:tr w14:paraId="30BDC3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0" w:hRule="atLeast"/>
        </w:trPr>
        <w:tc>
          <w:tcPr>
            <w:tcW w:w="1002" w:type="dxa"/>
            <w:vMerge w:val="continue"/>
            <w:tcBorders>
              <w:right w:val="single" w:color="auto" w:sz="4" w:space="0"/>
            </w:tcBorders>
            <w:vAlign w:val="center"/>
          </w:tcPr>
          <w:p w14:paraId="7362341C">
            <w:pPr>
              <w:spacing w:line="400" w:lineRule="exact"/>
              <w:jc w:val="center"/>
              <w:rPr>
                <w:rFonts w:ascii="宋体" w:hAnsi="宋体" w:cs="宋体"/>
                <w:color w:val="auto"/>
                <w:szCs w:val="21"/>
                <w:highlight w:val="none"/>
              </w:rPr>
            </w:pPr>
          </w:p>
        </w:tc>
        <w:tc>
          <w:tcPr>
            <w:tcW w:w="1438" w:type="dxa"/>
            <w:vMerge w:val="continue"/>
            <w:tcBorders>
              <w:left w:val="single" w:color="auto" w:sz="4" w:space="0"/>
              <w:right w:val="single" w:color="auto" w:sz="4" w:space="0"/>
            </w:tcBorders>
            <w:vAlign w:val="center"/>
          </w:tcPr>
          <w:p w14:paraId="3F912C67">
            <w:pPr>
              <w:spacing w:line="400" w:lineRule="exact"/>
              <w:jc w:val="center"/>
              <w:rPr>
                <w:rFonts w:ascii="宋体" w:hAnsi="宋体"/>
                <w:color w:val="auto"/>
                <w:kern w:val="0"/>
                <w:highlight w:val="none"/>
              </w:rPr>
            </w:pPr>
          </w:p>
        </w:tc>
        <w:tc>
          <w:tcPr>
            <w:tcW w:w="2630" w:type="dxa"/>
            <w:gridSpan w:val="2"/>
            <w:tcBorders>
              <w:top w:val="single" w:color="auto" w:sz="4" w:space="0"/>
              <w:left w:val="single" w:color="auto" w:sz="4" w:space="0"/>
              <w:right w:val="single" w:color="auto" w:sz="4" w:space="0"/>
            </w:tcBorders>
            <w:vAlign w:val="center"/>
          </w:tcPr>
          <w:p w14:paraId="2A5C4C1C">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top w:val="single" w:color="auto" w:sz="4" w:space="0"/>
              <w:left w:val="single" w:color="auto" w:sz="4" w:space="0"/>
            </w:tcBorders>
            <w:vAlign w:val="center"/>
          </w:tcPr>
          <w:p w14:paraId="63CC9137">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符合第二章“投标人须知”第1.4.2项规定</w:t>
            </w:r>
          </w:p>
        </w:tc>
      </w:tr>
      <w:tr w14:paraId="380440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right w:val="single" w:color="auto" w:sz="4" w:space="0"/>
            </w:tcBorders>
            <w:vAlign w:val="center"/>
          </w:tcPr>
          <w:p w14:paraId="41F83086">
            <w:pPr>
              <w:spacing w:line="400" w:lineRule="exact"/>
              <w:jc w:val="center"/>
              <w:rPr>
                <w:rFonts w:ascii="宋体" w:hAnsi="宋体"/>
                <w:color w:val="auto"/>
                <w:kern w:val="0"/>
                <w:highlight w:val="none"/>
              </w:rPr>
            </w:pPr>
            <w:r>
              <w:rPr>
                <w:rFonts w:ascii="宋体" w:hAnsi="宋体"/>
                <w:color w:val="auto"/>
                <w:kern w:val="0"/>
                <w:highlight w:val="none"/>
              </w:rPr>
              <w:t>2.</w:t>
            </w: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3</w:t>
            </w:r>
          </w:p>
        </w:tc>
        <w:tc>
          <w:tcPr>
            <w:tcW w:w="1438" w:type="dxa"/>
            <w:vMerge w:val="restart"/>
            <w:tcBorders>
              <w:left w:val="single" w:color="auto" w:sz="4" w:space="0"/>
            </w:tcBorders>
            <w:vAlign w:val="center"/>
          </w:tcPr>
          <w:p w14:paraId="556D86A2">
            <w:pPr>
              <w:spacing w:line="400" w:lineRule="exact"/>
              <w:jc w:val="center"/>
              <w:rPr>
                <w:rFonts w:ascii="宋体" w:hAnsi="宋体"/>
                <w:color w:val="auto"/>
                <w:kern w:val="0"/>
                <w:highlight w:val="none"/>
              </w:rPr>
            </w:pPr>
            <w:r>
              <w:rPr>
                <w:rFonts w:hint="eastAsia" w:ascii="宋体" w:hAnsi="宋体"/>
                <w:color w:val="auto"/>
                <w:kern w:val="0"/>
                <w:highlight w:val="none"/>
              </w:rPr>
              <w:t>形式评审标准</w:t>
            </w:r>
          </w:p>
        </w:tc>
        <w:tc>
          <w:tcPr>
            <w:tcW w:w="2630" w:type="dxa"/>
            <w:gridSpan w:val="2"/>
            <w:tcBorders>
              <w:right w:val="single" w:color="auto" w:sz="4" w:space="0"/>
            </w:tcBorders>
            <w:vAlign w:val="center"/>
          </w:tcPr>
          <w:p w14:paraId="0B78167A">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投标人名称</w:t>
            </w:r>
          </w:p>
        </w:tc>
        <w:tc>
          <w:tcPr>
            <w:tcW w:w="4615" w:type="dxa"/>
            <w:tcBorders>
              <w:left w:val="single" w:color="auto" w:sz="4" w:space="0"/>
            </w:tcBorders>
            <w:vAlign w:val="center"/>
          </w:tcPr>
          <w:p w14:paraId="13EEF224">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与营业执照、资质证书、安全生产许可证一致，依法变更名称的应提交相应证明材料。</w:t>
            </w:r>
          </w:p>
        </w:tc>
      </w:tr>
      <w:tr w14:paraId="07D820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16AF8519">
            <w:pPr>
              <w:spacing w:line="400" w:lineRule="exact"/>
              <w:jc w:val="center"/>
              <w:rPr>
                <w:rFonts w:ascii="宋体" w:hAnsi="宋体"/>
                <w:b/>
                <w:color w:val="auto"/>
                <w:kern w:val="0"/>
                <w:highlight w:val="none"/>
              </w:rPr>
            </w:pPr>
          </w:p>
        </w:tc>
        <w:tc>
          <w:tcPr>
            <w:tcW w:w="1438" w:type="dxa"/>
            <w:vMerge w:val="continue"/>
            <w:tcBorders>
              <w:left w:val="single" w:color="auto" w:sz="4" w:space="0"/>
            </w:tcBorders>
            <w:vAlign w:val="center"/>
          </w:tcPr>
          <w:p w14:paraId="440AA194">
            <w:pPr>
              <w:spacing w:line="400" w:lineRule="exact"/>
              <w:jc w:val="center"/>
              <w:rPr>
                <w:rFonts w:ascii="宋体" w:hAnsi="宋体"/>
                <w:b/>
                <w:color w:val="auto"/>
                <w:kern w:val="0"/>
                <w:highlight w:val="none"/>
              </w:rPr>
            </w:pPr>
          </w:p>
        </w:tc>
        <w:tc>
          <w:tcPr>
            <w:tcW w:w="2630" w:type="dxa"/>
            <w:gridSpan w:val="2"/>
            <w:tcBorders>
              <w:right w:val="single" w:color="auto" w:sz="4" w:space="0"/>
            </w:tcBorders>
            <w:vAlign w:val="center"/>
          </w:tcPr>
          <w:p w14:paraId="16A2415C">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投标文件格式</w:t>
            </w:r>
          </w:p>
        </w:tc>
        <w:tc>
          <w:tcPr>
            <w:tcW w:w="4615" w:type="dxa"/>
            <w:tcBorders>
              <w:left w:val="single" w:color="auto" w:sz="4" w:space="0"/>
            </w:tcBorders>
            <w:vAlign w:val="center"/>
          </w:tcPr>
          <w:p w14:paraId="3116795A">
            <w:pPr>
              <w:snapToGrid w:val="0"/>
              <w:spacing w:line="400" w:lineRule="exact"/>
              <w:ind w:firstLine="380" w:firstLineChars="181"/>
              <w:rPr>
                <w:rFonts w:ascii="宋体" w:hAnsi="宋体" w:cs="宋体"/>
                <w:color w:val="auto"/>
                <w:kern w:val="0"/>
                <w:highlight w:val="none"/>
              </w:rPr>
            </w:pPr>
            <w:r>
              <w:rPr>
                <w:rFonts w:hint="eastAsia" w:ascii="宋体" w:hAnsi="宋体" w:cs="宋体"/>
                <w:color w:val="auto"/>
                <w:kern w:val="0"/>
                <w:highlight w:val="none"/>
              </w:rPr>
              <w:t>符合第二章“投标人须知”第3.7款规定（不含投标函部分）。</w:t>
            </w:r>
          </w:p>
        </w:tc>
      </w:tr>
      <w:tr w14:paraId="1DE88A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C60A225">
            <w:pPr>
              <w:spacing w:line="400" w:lineRule="exact"/>
              <w:jc w:val="center"/>
              <w:rPr>
                <w:rFonts w:ascii="宋体" w:hAnsi="宋体"/>
                <w:b/>
                <w:color w:val="auto"/>
                <w:kern w:val="0"/>
                <w:highlight w:val="none"/>
              </w:rPr>
            </w:pPr>
          </w:p>
        </w:tc>
        <w:tc>
          <w:tcPr>
            <w:tcW w:w="1438" w:type="dxa"/>
            <w:vMerge w:val="continue"/>
            <w:tcBorders>
              <w:left w:val="single" w:color="auto" w:sz="4" w:space="0"/>
            </w:tcBorders>
            <w:vAlign w:val="center"/>
          </w:tcPr>
          <w:p w14:paraId="1F498816">
            <w:pPr>
              <w:spacing w:line="400" w:lineRule="exact"/>
              <w:jc w:val="center"/>
              <w:rPr>
                <w:rFonts w:ascii="宋体" w:hAnsi="宋体"/>
                <w:b/>
                <w:color w:val="auto"/>
                <w:kern w:val="0"/>
                <w:highlight w:val="none"/>
              </w:rPr>
            </w:pPr>
          </w:p>
        </w:tc>
        <w:tc>
          <w:tcPr>
            <w:tcW w:w="2630" w:type="dxa"/>
            <w:gridSpan w:val="2"/>
            <w:tcBorders>
              <w:right w:val="single" w:color="auto" w:sz="4" w:space="0"/>
            </w:tcBorders>
            <w:vAlign w:val="center"/>
          </w:tcPr>
          <w:p w14:paraId="201F52F0">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□联合体投标人</w:t>
            </w:r>
          </w:p>
        </w:tc>
        <w:tc>
          <w:tcPr>
            <w:tcW w:w="4615" w:type="dxa"/>
            <w:tcBorders>
              <w:left w:val="single" w:color="auto" w:sz="4" w:space="0"/>
            </w:tcBorders>
            <w:vAlign w:val="center"/>
          </w:tcPr>
          <w:p w14:paraId="48772835">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提交联合体协议书，并明确联合体牵头人。在联合体协议中须明确由联合体牵头人委派委托代理人。</w:t>
            </w:r>
          </w:p>
        </w:tc>
      </w:tr>
      <w:tr w14:paraId="38ED19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6126D025">
            <w:pPr>
              <w:spacing w:line="400" w:lineRule="exact"/>
              <w:jc w:val="center"/>
              <w:rPr>
                <w:rFonts w:ascii="宋体" w:hAnsi="宋体"/>
                <w:b/>
                <w:color w:val="auto"/>
                <w:kern w:val="0"/>
                <w:highlight w:val="none"/>
              </w:rPr>
            </w:pPr>
          </w:p>
        </w:tc>
        <w:tc>
          <w:tcPr>
            <w:tcW w:w="1438" w:type="dxa"/>
            <w:vMerge w:val="continue"/>
            <w:tcBorders>
              <w:left w:val="single" w:color="auto" w:sz="4" w:space="0"/>
            </w:tcBorders>
            <w:vAlign w:val="center"/>
          </w:tcPr>
          <w:p w14:paraId="03C736A3">
            <w:pPr>
              <w:spacing w:line="400" w:lineRule="exact"/>
              <w:jc w:val="center"/>
              <w:rPr>
                <w:rFonts w:ascii="宋体" w:hAnsi="宋体"/>
                <w:b/>
                <w:color w:val="auto"/>
                <w:kern w:val="0"/>
                <w:highlight w:val="none"/>
              </w:rPr>
            </w:pPr>
          </w:p>
        </w:tc>
        <w:tc>
          <w:tcPr>
            <w:tcW w:w="2630" w:type="dxa"/>
            <w:gridSpan w:val="2"/>
            <w:tcBorders>
              <w:right w:val="single" w:color="auto" w:sz="4" w:space="0"/>
            </w:tcBorders>
            <w:vAlign w:val="center"/>
          </w:tcPr>
          <w:p w14:paraId="6459D3BC">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投标文件的签署</w:t>
            </w:r>
          </w:p>
        </w:tc>
        <w:tc>
          <w:tcPr>
            <w:tcW w:w="4615" w:type="dxa"/>
            <w:tcBorders>
              <w:left w:val="single" w:color="auto" w:sz="4" w:space="0"/>
            </w:tcBorders>
            <w:vAlign w:val="center"/>
          </w:tcPr>
          <w:p w14:paraId="616A827B">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投标文件格式（不含投标函部分）要求法定代表人或其委托代理人签字（或盖章）的须齐全。</w:t>
            </w:r>
          </w:p>
          <w:p w14:paraId="441A84A5">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snapToGrid w:val="0"/>
                <w:color w:val="auto"/>
                <w:kern w:val="0"/>
                <w:szCs w:val="21"/>
                <w:highlight w:val="none"/>
              </w:rPr>
              <w:t>若投标单位为联合体，则联合体协议书中各联合体成员单位签字（或盖章）须齐全，联合体协议书以外的</w:t>
            </w:r>
            <w:r>
              <w:rPr>
                <w:rFonts w:hint="eastAsia" w:ascii="宋体" w:hAnsi="宋体" w:cs="宋体"/>
                <w:color w:val="auto"/>
                <w:kern w:val="0"/>
                <w:highlight w:val="none"/>
              </w:rPr>
              <w:t>投标文件格式中，要求法定代表人或其委托代理人签字（或盖章）的均由</w:t>
            </w:r>
            <w:r>
              <w:rPr>
                <w:rFonts w:hint="eastAsia" w:ascii="宋体" w:hAnsi="宋体" w:cs="宋体"/>
                <w:snapToGrid w:val="0"/>
                <w:color w:val="auto"/>
                <w:kern w:val="0"/>
                <w:szCs w:val="21"/>
                <w:highlight w:val="none"/>
              </w:rPr>
              <w:t>联合体牵头人</w:t>
            </w:r>
            <w:r>
              <w:rPr>
                <w:rFonts w:hint="eastAsia" w:ascii="宋体" w:hAnsi="宋体" w:cs="宋体"/>
                <w:color w:val="auto"/>
                <w:kern w:val="0"/>
                <w:highlight w:val="none"/>
              </w:rPr>
              <w:t>法定代表人或其委托代理人签字（或盖章）。</w:t>
            </w:r>
          </w:p>
          <w:p w14:paraId="49D832A1">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w:t>
            </w:r>
          </w:p>
          <w:p w14:paraId="482AA8F2">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snapToGrid w:val="0"/>
                <w:color w:val="auto"/>
                <w:kern w:val="0"/>
                <w:szCs w:val="21"/>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5A606F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685B9CBA">
            <w:pPr>
              <w:spacing w:line="400" w:lineRule="exact"/>
              <w:jc w:val="center"/>
              <w:rPr>
                <w:rFonts w:ascii="宋体" w:hAnsi="宋体"/>
                <w:b/>
                <w:color w:val="auto"/>
                <w:kern w:val="0"/>
                <w:highlight w:val="none"/>
              </w:rPr>
            </w:pPr>
          </w:p>
        </w:tc>
        <w:tc>
          <w:tcPr>
            <w:tcW w:w="1438" w:type="dxa"/>
            <w:vMerge w:val="continue"/>
            <w:tcBorders>
              <w:left w:val="single" w:color="auto" w:sz="4" w:space="0"/>
            </w:tcBorders>
            <w:vAlign w:val="center"/>
          </w:tcPr>
          <w:p w14:paraId="08E3DEFE">
            <w:pPr>
              <w:spacing w:line="400" w:lineRule="exact"/>
              <w:jc w:val="center"/>
              <w:rPr>
                <w:rFonts w:ascii="宋体" w:hAnsi="宋体"/>
                <w:b/>
                <w:color w:val="auto"/>
                <w:kern w:val="0"/>
                <w:highlight w:val="none"/>
              </w:rPr>
            </w:pPr>
          </w:p>
        </w:tc>
        <w:tc>
          <w:tcPr>
            <w:tcW w:w="2630" w:type="dxa"/>
            <w:gridSpan w:val="2"/>
            <w:tcBorders>
              <w:right w:val="single" w:color="auto" w:sz="4" w:space="0"/>
            </w:tcBorders>
            <w:vAlign w:val="center"/>
          </w:tcPr>
          <w:p w14:paraId="2E75F56C">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委托代理人</w:t>
            </w:r>
          </w:p>
        </w:tc>
        <w:tc>
          <w:tcPr>
            <w:tcW w:w="4615" w:type="dxa"/>
            <w:tcBorders>
              <w:left w:val="single" w:color="auto" w:sz="4" w:space="0"/>
            </w:tcBorders>
            <w:vAlign w:val="center"/>
          </w:tcPr>
          <w:p w14:paraId="3F4F8766">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投标人法定代表人的委托代理人有法定代表人签署的授权委托书和投标人为其缴纳的养老保险证明材料。</w:t>
            </w:r>
          </w:p>
        </w:tc>
      </w:tr>
      <w:tr w14:paraId="5D1837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37B94E38">
            <w:pPr>
              <w:spacing w:line="400" w:lineRule="exact"/>
              <w:jc w:val="center"/>
              <w:rPr>
                <w:rFonts w:ascii="宋体" w:hAnsi="宋体"/>
                <w:color w:val="auto"/>
                <w:kern w:val="0"/>
                <w:highlight w:val="none"/>
              </w:rPr>
            </w:pPr>
            <w:r>
              <w:rPr>
                <w:rFonts w:hint="eastAsia" w:ascii="宋体" w:hAnsi="宋体"/>
                <w:color w:val="auto"/>
                <w:kern w:val="0"/>
                <w:highlight w:val="none"/>
              </w:rPr>
              <w:t>2.2.4</w:t>
            </w:r>
          </w:p>
        </w:tc>
        <w:tc>
          <w:tcPr>
            <w:tcW w:w="1438" w:type="dxa"/>
            <w:vMerge w:val="restart"/>
            <w:tcBorders>
              <w:top w:val="single" w:color="auto" w:sz="4" w:space="0"/>
              <w:left w:val="single" w:color="auto" w:sz="4" w:space="0"/>
            </w:tcBorders>
            <w:vAlign w:val="center"/>
          </w:tcPr>
          <w:p w14:paraId="7620240D">
            <w:pPr>
              <w:spacing w:line="400" w:lineRule="exact"/>
              <w:jc w:val="center"/>
              <w:rPr>
                <w:rFonts w:ascii="宋体" w:hAnsi="宋体"/>
                <w:color w:val="auto"/>
                <w:kern w:val="0"/>
                <w:highlight w:val="none"/>
              </w:rPr>
            </w:pPr>
            <w:r>
              <w:rPr>
                <w:rFonts w:ascii="宋体" w:hAnsi="宋体"/>
                <w:color w:val="auto"/>
                <w:kern w:val="0"/>
                <w:highlight w:val="none"/>
              </w:rPr>
              <w:t>响应性评审标准</w:t>
            </w:r>
          </w:p>
        </w:tc>
        <w:tc>
          <w:tcPr>
            <w:tcW w:w="2630" w:type="dxa"/>
            <w:gridSpan w:val="2"/>
            <w:tcBorders>
              <w:right w:val="single" w:color="auto" w:sz="4" w:space="0"/>
            </w:tcBorders>
            <w:vAlign w:val="center"/>
          </w:tcPr>
          <w:p w14:paraId="02C094C1">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投标内容</w:t>
            </w:r>
          </w:p>
        </w:tc>
        <w:tc>
          <w:tcPr>
            <w:tcW w:w="4615" w:type="dxa"/>
            <w:tcBorders>
              <w:left w:val="single" w:color="auto" w:sz="4" w:space="0"/>
            </w:tcBorders>
            <w:vAlign w:val="center"/>
          </w:tcPr>
          <w:p w14:paraId="5DD12E3A">
            <w:pPr>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符合第二章“投标人须知”第1.3.1项规定</w:t>
            </w:r>
          </w:p>
        </w:tc>
      </w:tr>
      <w:tr w14:paraId="007DD8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28CC9C4C">
            <w:pPr>
              <w:spacing w:line="400" w:lineRule="exact"/>
              <w:jc w:val="center"/>
              <w:rPr>
                <w:rFonts w:ascii="宋体" w:hAnsi="宋体"/>
                <w:color w:val="auto"/>
                <w:kern w:val="0"/>
                <w:highlight w:val="none"/>
              </w:rPr>
            </w:pPr>
          </w:p>
        </w:tc>
        <w:tc>
          <w:tcPr>
            <w:tcW w:w="1438" w:type="dxa"/>
            <w:vMerge w:val="continue"/>
            <w:tcBorders>
              <w:left w:val="single" w:color="auto" w:sz="4" w:space="0"/>
            </w:tcBorders>
            <w:vAlign w:val="center"/>
          </w:tcPr>
          <w:p w14:paraId="2F3CE570">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0952B464">
            <w:pPr>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投标保证金</w:t>
            </w:r>
          </w:p>
        </w:tc>
        <w:tc>
          <w:tcPr>
            <w:tcW w:w="4615" w:type="dxa"/>
            <w:tcBorders>
              <w:left w:val="single" w:color="auto" w:sz="4" w:space="0"/>
            </w:tcBorders>
            <w:vAlign w:val="center"/>
          </w:tcPr>
          <w:p w14:paraId="64810B98">
            <w:pPr>
              <w:tabs>
                <w:tab w:val="left" w:pos="611"/>
                <w:tab w:val="left" w:pos="669"/>
              </w:tabs>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符合第二章“投标人须知前附表”第3.4款规定。</w:t>
            </w:r>
          </w:p>
        </w:tc>
      </w:tr>
      <w:tr w14:paraId="3116BE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24F8D2F">
            <w:pPr>
              <w:spacing w:line="400" w:lineRule="exact"/>
              <w:jc w:val="center"/>
              <w:rPr>
                <w:rFonts w:ascii="宋体" w:hAnsi="宋体"/>
                <w:color w:val="auto"/>
                <w:kern w:val="0"/>
                <w:highlight w:val="none"/>
              </w:rPr>
            </w:pPr>
          </w:p>
        </w:tc>
        <w:tc>
          <w:tcPr>
            <w:tcW w:w="1438" w:type="dxa"/>
            <w:vMerge w:val="continue"/>
            <w:tcBorders>
              <w:left w:val="single" w:color="auto" w:sz="4" w:space="0"/>
            </w:tcBorders>
            <w:vAlign w:val="center"/>
          </w:tcPr>
          <w:p w14:paraId="4BB3BFEA">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05CBE787">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权利义务</w:t>
            </w:r>
          </w:p>
        </w:tc>
        <w:tc>
          <w:tcPr>
            <w:tcW w:w="4615" w:type="dxa"/>
            <w:tcBorders>
              <w:left w:val="single" w:color="auto" w:sz="4" w:space="0"/>
            </w:tcBorders>
            <w:vAlign w:val="center"/>
          </w:tcPr>
          <w:p w14:paraId="19CCD6AF">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符合第四章“合同条款及格式”规定，投标文件不应附有招标人不能接受的条件。</w:t>
            </w:r>
            <w:r>
              <w:rPr>
                <w:rFonts w:hint="eastAsia" w:ascii="宋体" w:hAnsi="宋体"/>
                <w:color w:val="auto"/>
                <w:kern w:val="0"/>
                <w:highlight w:val="none"/>
              </w:rPr>
              <w:t>（由投标人承诺，承诺书格式详见第八章投标文件格式。）</w:t>
            </w:r>
          </w:p>
        </w:tc>
      </w:tr>
      <w:tr w14:paraId="5FE77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60CDE2B6">
            <w:pPr>
              <w:spacing w:line="400" w:lineRule="exact"/>
              <w:jc w:val="center"/>
              <w:rPr>
                <w:rFonts w:ascii="宋体" w:hAnsi="宋体"/>
                <w:color w:val="auto"/>
                <w:kern w:val="0"/>
                <w:highlight w:val="none"/>
              </w:rPr>
            </w:pPr>
          </w:p>
        </w:tc>
        <w:tc>
          <w:tcPr>
            <w:tcW w:w="1438" w:type="dxa"/>
            <w:vMerge w:val="continue"/>
            <w:tcBorders>
              <w:left w:val="single" w:color="auto" w:sz="4" w:space="0"/>
            </w:tcBorders>
            <w:vAlign w:val="center"/>
          </w:tcPr>
          <w:p w14:paraId="77229DA6">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3F90EEBA">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技术标准和要求</w:t>
            </w:r>
          </w:p>
        </w:tc>
        <w:tc>
          <w:tcPr>
            <w:tcW w:w="4615" w:type="dxa"/>
            <w:tcBorders>
              <w:left w:val="single" w:color="auto" w:sz="4" w:space="0"/>
            </w:tcBorders>
            <w:vAlign w:val="center"/>
          </w:tcPr>
          <w:p w14:paraId="41048B36">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符合第六章“发包人要求”规定。</w:t>
            </w:r>
            <w:r>
              <w:rPr>
                <w:rFonts w:hint="eastAsia" w:ascii="宋体" w:hAnsi="宋体"/>
                <w:color w:val="auto"/>
                <w:kern w:val="0"/>
                <w:highlight w:val="none"/>
              </w:rPr>
              <w:t>（由投标人承诺，承诺书格式详见第八章投标文件格式。）</w:t>
            </w:r>
          </w:p>
        </w:tc>
      </w:tr>
      <w:tr w14:paraId="5EF13F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bottom w:val="single" w:color="auto" w:sz="4" w:space="0"/>
              <w:right w:val="single" w:color="auto" w:sz="4" w:space="0"/>
            </w:tcBorders>
            <w:vAlign w:val="center"/>
          </w:tcPr>
          <w:p w14:paraId="03ABAEB7">
            <w:pPr>
              <w:spacing w:line="400" w:lineRule="exact"/>
              <w:jc w:val="center"/>
              <w:rPr>
                <w:rFonts w:ascii="宋体" w:hAnsi="宋体"/>
                <w:color w:val="auto"/>
                <w:kern w:val="0"/>
                <w:highlight w:val="none"/>
              </w:rPr>
            </w:pPr>
          </w:p>
        </w:tc>
        <w:tc>
          <w:tcPr>
            <w:tcW w:w="1438" w:type="dxa"/>
            <w:vMerge w:val="continue"/>
            <w:tcBorders>
              <w:left w:val="single" w:color="auto" w:sz="4" w:space="0"/>
              <w:bottom w:val="single" w:color="auto" w:sz="4" w:space="0"/>
            </w:tcBorders>
            <w:vAlign w:val="center"/>
          </w:tcPr>
          <w:p w14:paraId="0CA4198C">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69EBE508">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实质性要求</w:t>
            </w:r>
          </w:p>
        </w:tc>
        <w:tc>
          <w:tcPr>
            <w:tcW w:w="4615" w:type="dxa"/>
            <w:tcBorders>
              <w:left w:val="single" w:color="auto" w:sz="4" w:space="0"/>
            </w:tcBorders>
            <w:vAlign w:val="center"/>
          </w:tcPr>
          <w:p w14:paraId="2933D094">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符合第二章“投标人须知”第1.4.3项规定。</w:t>
            </w:r>
          </w:p>
          <w:p w14:paraId="764B16A1">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本次投标不得有串通投标、弄虚作假等其他违反招投标相关法律、法规行为。</w:t>
            </w:r>
          </w:p>
          <w:p w14:paraId="3B080911">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按照评标委员会要求澄清、说明或补正。</w:t>
            </w:r>
          </w:p>
        </w:tc>
      </w:tr>
      <w:tr w14:paraId="21FAEF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restart"/>
            <w:tcBorders>
              <w:top w:val="single" w:color="auto" w:sz="4" w:space="0"/>
              <w:right w:val="single" w:color="auto" w:sz="4" w:space="0"/>
            </w:tcBorders>
            <w:vAlign w:val="center"/>
          </w:tcPr>
          <w:p w14:paraId="11707B03">
            <w:pPr>
              <w:spacing w:line="400" w:lineRule="exact"/>
              <w:jc w:val="center"/>
              <w:rPr>
                <w:rFonts w:ascii="宋体" w:hAnsi="宋体"/>
                <w:color w:val="auto"/>
                <w:kern w:val="0"/>
                <w:highlight w:val="none"/>
              </w:rPr>
            </w:pPr>
            <w:r>
              <w:rPr>
                <w:rFonts w:hint="eastAsia" w:ascii="宋体" w:hAnsi="宋体"/>
                <w:color w:val="auto"/>
                <w:kern w:val="0"/>
                <w:highlight w:val="none"/>
              </w:rPr>
              <w:t>2.2.5</w:t>
            </w:r>
          </w:p>
        </w:tc>
        <w:tc>
          <w:tcPr>
            <w:tcW w:w="1438" w:type="dxa"/>
            <w:vMerge w:val="restart"/>
            <w:tcBorders>
              <w:top w:val="single" w:color="auto" w:sz="4" w:space="0"/>
              <w:left w:val="single" w:color="auto" w:sz="4" w:space="0"/>
            </w:tcBorders>
            <w:vAlign w:val="center"/>
          </w:tcPr>
          <w:p w14:paraId="07F4C0E2">
            <w:pPr>
              <w:spacing w:line="400" w:lineRule="exact"/>
              <w:jc w:val="center"/>
              <w:rPr>
                <w:rFonts w:ascii="宋体" w:hAnsi="宋体"/>
                <w:color w:val="auto"/>
                <w:kern w:val="0"/>
                <w:highlight w:val="none"/>
              </w:rPr>
            </w:pPr>
            <w:r>
              <w:rPr>
                <w:rFonts w:hint="eastAsia" w:ascii="宋体" w:hAnsi="宋体"/>
                <w:color w:val="auto"/>
                <w:kern w:val="0"/>
                <w:highlight w:val="none"/>
              </w:rPr>
              <w:t>投标</w:t>
            </w:r>
            <w:r>
              <w:rPr>
                <w:rFonts w:ascii="宋体" w:hAnsi="宋体"/>
                <w:color w:val="auto"/>
                <w:kern w:val="0"/>
                <w:highlight w:val="none"/>
              </w:rPr>
              <w:t>函部分及经济部分</w:t>
            </w:r>
            <w:r>
              <w:rPr>
                <w:rFonts w:hint="eastAsia" w:ascii="宋体" w:hAnsi="宋体"/>
                <w:color w:val="auto"/>
                <w:kern w:val="0"/>
                <w:highlight w:val="none"/>
              </w:rPr>
              <w:t>评审标准</w:t>
            </w:r>
          </w:p>
        </w:tc>
        <w:tc>
          <w:tcPr>
            <w:tcW w:w="2630" w:type="dxa"/>
            <w:gridSpan w:val="2"/>
            <w:tcBorders>
              <w:right w:val="single" w:color="auto" w:sz="4" w:space="0"/>
            </w:tcBorders>
            <w:vAlign w:val="center"/>
          </w:tcPr>
          <w:p w14:paraId="73C959B1">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投标函部分的格式</w:t>
            </w:r>
          </w:p>
        </w:tc>
        <w:tc>
          <w:tcPr>
            <w:tcW w:w="4615" w:type="dxa"/>
            <w:tcBorders>
              <w:left w:val="single" w:color="auto" w:sz="4" w:space="0"/>
            </w:tcBorders>
            <w:vAlign w:val="center"/>
          </w:tcPr>
          <w:p w14:paraId="52A797DE">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符合第二章“投标人须知”第3.7款规定。</w:t>
            </w:r>
          </w:p>
        </w:tc>
      </w:tr>
      <w:tr w14:paraId="78D5CD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top w:val="single" w:color="auto" w:sz="4" w:space="0"/>
              <w:right w:val="single" w:color="auto" w:sz="4" w:space="0"/>
            </w:tcBorders>
            <w:vAlign w:val="center"/>
          </w:tcPr>
          <w:p w14:paraId="2C6B6E9F">
            <w:pPr>
              <w:spacing w:line="400" w:lineRule="exact"/>
              <w:jc w:val="center"/>
              <w:rPr>
                <w:rFonts w:ascii="宋体" w:hAnsi="宋体"/>
                <w:color w:val="auto"/>
                <w:kern w:val="0"/>
                <w:highlight w:val="none"/>
              </w:rPr>
            </w:pPr>
          </w:p>
        </w:tc>
        <w:tc>
          <w:tcPr>
            <w:tcW w:w="1438" w:type="dxa"/>
            <w:vMerge w:val="continue"/>
            <w:tcBorders>
              <w:top w:val="single" w:color="auto" w:sz="4" w:space="0"/>
              <w:left w:val="single" w:color="auto" w:sz="4" w:space="0"/>
            </w:tcBorders>
            <w:vAlign w:val="center"/>
          </w:tcPr>
          <w:p w14:paraId="575448F5">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72A1122D">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投标函部分的签字盖章</w:t>
            </w:r>
          </w:p>
        </w:tc>
        <w:tc>
          <w:tcPr>
            <w:tcW w:w="4615" w:type="dxa"/>
            <w:tcBorders>
              <w:left w:val="single" w:color="auto" w:sz="4" w:space="0"/>
            </w:tcBorders>
            <w:vAlign w:val="center"/>
          </w:tcPr>
          <w:p w14:paraId="7A0A082B">
            <w:pPr>
              <w:snapToGrid w:val="0"/>
              <w:spacing w:after="31" w:afterLines="10" w:line="400" w:lineRule="exact"/>
              <w:ind w:firstLine="420" w:firstLineChars="200"/>
              <w:rPr>
                <w:rFonts w:ascii="宋体" w:hAnsi="宋体" w:cs="宋体"/>
                <w:color w:val="auto"/>
                <w:kern w:val="0"/>
                <w:highlight w:val="none"/>
              </w:rPr>
            </w:pPr>
            <w:r>
              <w:rPr>
                <w:rFonts w:ascii="宋体" w:hAnsi="宋体" w:cs="宋体"/>
                <w:color w:val="auto"/>
                <w:kern w:val="0"/>
                <w:highlight w:val="none"/>
              </w:rPr>
              <w:t>投标函部分的格式</w:t>
            </w:r>
            <w:r>
              <w:rPr>
                <w:rFonts w:hint="eastAsia" w:ascii="宋体" w:hAnsi="宋体" w:cs="宋体"/>
                <w:color w:val="auto"/>
                <w:kern w:val="0"/>
                <w:highlight w:val="none"/>
              </w:rPr>
              <w:t>要求法定代表人或其委托代理人签字（或盖章）的须齐全。要求加盖单位法人章的，应使用 CA 数字证书加盖投标人的单位电子印章。</w:t>
            </w:r>
          </w:p>
          <w:p w14:paraId="332F756A">
            <w:pPr>
              <w:snapToGrid w:val="0"/>
              <w:spacing w:after="31" w:afterLines="10" w:line="400" w:lineRule="exact"/>
              <w:ind w:firstLine="420" w:firstLineChars="200"/>
              <w:rPr>
                <w:color w:val="auto"/>
                <w:highlight w:val="none"/>
              </w:rPr>
            </w:pPr>
            <w:r>
              <w:rPr>
                <w:rFonts w:hint="eastAsia" w:ascii="宋体" w:hAnsi="宋体" w:cs="宋体"/>
                <w:color w:val="auto"/>
                <w:kern w:val="0"/>
                <w:highlight w:val="none"/>
              </w:rPr>
              <w:t>若投标单位为联合体，则联合体协议书中要求各联合体成员盖单位法人章的，各联合体成员盖章须齐全，联合体协议书以外的投标函部分的格式中要求投标人加盖单位法人章的，均由联合体牵头人使用</w:t>
            </w:r>
            <w:r>
              <w:rPr>
                <w:rFonts w:ascii="宋体" w:hAnsi="宋体" w:cs="宋体"/>
                <w:color w:val="auto"/>
                <w:kern w:val="0"/>
                <w:highlight w:val="none"/>
              </w:rPr>
              <w:t xml:space="preserve"> CA </w:t>
            </w:r>
            <w:r>
              <w:rPr>
                <w:rFonts w:hint="eastAsia" w:ascii="宋体" w:hAnsi="宋体" w:cs="宋体"/>
                <w:color w:val="auto"/>
                <w:kern w:val="0"/>
                <w:highlight w:val="none"/>
              </w:rPr>
              <w:t>数字证书加盖其单位电子印章。</w:t>
            </w:r>
          </w:p>
        </w:tc>
      </w:tr>
      <w:tr w14:paraId="44F39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04E9991C">
            <w:pPr>
              <w:spacing w:line="400" w:lineRule="exact"/>
              <w:jc w:val="center"/>
              <w:rPr>
                <w:rFonts w:ascii="宋体" w:hAnsi="宋体"/>
                <w:color w:val="auto"/>
                <w:kern w:val="0"/>
                <w:highlight w:val="none"/>
              </w:rPr>
            </w:pPr>
          </w:p>
        </w:tc>
        <w:tc>
          <w:tcPr>
            <w:tcW w:w="1438" w:type="dxa"/>
            <w:vMerge w:val="continue"/>
            <w:tcBorders>
              <w:left w:val="single" w:color="auto" w:sz="4" w:space="0"/>
            </w:tcBorders>
            <w:vAlign w:val="center"/>
          </w:tcPr>
          <w:p w14:paraId="347CB8EB">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0F98422E">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工期</w:t>
            </w:r>
          </w:p>
        </w:tc>
        <w:tc>
          <w:tcPr>
            <w:tcW w:w="4615" w:type="dxa"/>
            <w:tcBorders>
              <w:left w:val="single" w:color="auto" w:sz="4" w:space="0"/>
            </w:tcBorders>
            <w:vAlign w:val="center"/>
          </w:tcPr>
          <w:p w14:paraId="0AB131A1">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符合第二章“投标人须知”第1.3.2项规定</w:t>
            </w:r>
          </w:p>
        </w:tc>
      </w:tr>
      <w:tr w14:paraId="77F604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5084B9AC">
            <w:pPr>
              <w:spacing w:line="400" w:lineRule="exact"/>
              <w:jc w:val="center"/>
              <w:rPr>
                <w:rFonts w:ascii="宋体" w:hAnsi="宋体"/>
                <w:color w:val="auto"/>
                <w:kern w:val="0"/>
                <w:highlight w:val="none"/>
              </w:rPr>
            </w:pPr>
          </w:p>
        </w:tc>
        <w:tc>
          <w:tcPr>
            <w:tcW w:w="1438" w:type="dxa"/>
            <w:vMerge w:val="continue"/>
            <w:tcBorders>
              <w:left w:val="single" w:color="auto" w:sz="4" w:space="0"/>
            </w:tcBorders>
            <w:vAlign w:val="center"/>
          </w:tcPr>
          <w:p w14:paraId="36E57076">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53068EC2">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质量标准</w:t>
            </w:r>
          </w:p>
        </w:tc>
        <w:tc>
          <w:tcPr>
            <w:tcW w:w="4615" w:type="dxa"/>
            <w:tcBorders>
              <w:left w:val="single" w:color="auto" w:sz="4" w:space="0"/>
            </w:tcBorders>
            <w:vAlign w:val="center"/>
          </w:tcPr>
          <w:p w14:paraId="51EC5790">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符合第二章“投标人须知”第1.3.3项规定</w:t>
            </w:r>
          </w:p>
        </w:tc>
      </w:tr>
      <w:tr w14:paraId="0BBA2C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4C2ADBC2">
            <w:pPr>
              <w:spacing w:line="400" w:lineRule="exact"/>
              <w:jc w:val="center"/>
              <w:rPr>
                <w:rFonts w:ascii="宋体" w:hAnsi="宋体"/>
                <w:color w:val="auto"/>
                <w:kern w:val="0"/>
                <w:highlight w:val="none"/>
              </w:rPr>
            </w:pPr>
          </w:p>
        </w:tc>
        <w:tc>
          <w:tcPr>
            <w:tcW w:w="1438" w:type="dxa"/>
            <w:vMerge w:val="continue"/>
            <w:tcBorders>
              <w:left w:val="single" w:color="auto" w:sz="4" w:space="0"/>
            </w:tcBorders>
            <w:vAlign w:val="center"/>
          </w:tcPr>
          <w:p w14:paraId="2502061E">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46F2D314">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投标有效期</w:t>
            </w:r>
          </w:p>
        </w:tc>
        <w:tc>
          <w:tcPr>
            <w:tcW w:w="4615" w:type="dxa"/>
            <w:tcBorders>
              <w:left w:val="single" w:color="auto" w:sz="4" w:space="0"/>
            </w:tcBorders>
            <w:vAlign w:val="center"/>
          </w:tcPr>
          <w:p w14:paraId="3ECBEFA8">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符合第二章“投标人须知”第3.3.1项规定</w:t>
            </w:r>
          </w:p>
        </w:tc>
      </w:tr>
      <w:tr w14:paraId="082B2B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768D8BF4">
            <w:pPr>
              <w:spacing w:line="400" w:lineRule="exact"/>
              <w:jc w:val="center"/>
              <w:rPr>
                <w:rFonts w:ascii="宋体" w:hAnsi="宋体"/>
                <w:color w:val="auto"/>
                <w:kern w:val="0"/>
                <w:highlight w:val="none"/>
              </w:rPr>
            </w:pPr>
          </w:p>
        </w:tc>
        <w:tc>
          <w:tcPr>
            <w:tcW w:w="1438" w:type="dxa"/>
            <w:vMerge w:val="continue"/>
            <w:tcBorders>
              <w:left w:val="single" w:color="auto" w:sz="4" w:space="0"/>
            </w:tcBorders>
            <w:vAlign w:val="center"/>
          </w:tcPr>
          <w:p w14:paraId="2DAAB58E">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64427C0D">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投标报价</w:t>
            </w:r>
          </w:p>
        </w:tc>
        <w:tc>
          <w:tcPr>
            <w:tcW w:w="4615" w:type="dxa"/>
            <w:tcBorders>
              <w:left w:val="single" w:color="auto" w:sz="4" w:space="0"/>
            </w:tcBorders>
            <w:vAlign w:val="center"/>
          </w:tcPr>
          <w:p w14:paraId="29AB0D8A">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1.投标总报价不得高于招标人公布的投标总报价最高限价。投标分项报价不得高于招标人公布的投标分项报价最高限价。投标</w:t>
            </w:r>
            <w:r>
              <w:rPr>
                <w:rFonts w:hint="eastAsia" w:ascii="宋体" w:hAnsi="宋体" w:cs="宋体"/>
                <w:color w:val="auto"/>
                <w:szCs w:val="21"/>
                <w:highlight w:val="none"/>
              </w:rPr>
              <w:t>总报价与依据分项</w:t>
            </w:r>
            <w:r>
              <w:rPr>
                <w:rFonts w:ascii="宋体" w:hAnsi="宋体" w:cs="宋体"/>
                <w:color w:val="auto"/>
                <w:szCs w:val="21"/>
                <w:highlight w:val="none"/>
              </w:rPr>
              <w:t>报价</w:t>
            </w:r>
            <w:r>
              <w:rPr>
                <w:rFonts w:hint="eastAsia" w:ascii="宋体" w:hAnsi="宋体" w:cs="宋体"/>
                <w:color w:val="auto"/>
                <w:szCs w:val="21"/>
                <w:highlight w:val="none"/>
              </w:rPr>
              <w:t>、单价/费率报价计算出的结果应一致。</w:t>
            </w:r>
          </w:p>
          <w:p w14:paraId="34A41895">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2.投标总报价低于最高限价85%的，投标人应在编制投标文件时，在投标函部分中递交低价风险担保缴纳承诺书。承诺书格式详见第八章投标文件格式。</w:t>
            </w:r>
          </w:p>
        </w:tc>
      </w:tr>
      <w:tr w14:paraId="0443EC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9C3A7EC">
            <w:pPr>
              <w:spacing w:line="400" w:lineRule="exact"/>
              <w:jc w:val="center"/>
              <w:rPr>
                <w:rFonts w:ascii="宋体" w:hAnsi="宋体"/>
                <w:color w:val="auto"/>
                <w:kern w:val="0"/>
                <w:highlight w:val="none"/>
              </w:rPr>
            </w:pPr>
          </w:p>
        </w:tc>
        <w:tc>
          <w:tcPr>
            <w:tcW w:w="1438" w:type="dxa"/>
            <w:vMerge w:val="continue"/>
            <w:tcBorders>
              <w:left w:val="single" w:color="auto" w:sz="4" w:space="0"/>
            </w:tcBorders>
            <w:vAlign w:val="center"/>
          </w:tcPr>
          <w:p w14:paraId="6E6E8CD8">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24772BE2">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暂定金额（暂列金）</w:t>
            </w:r>
          </w:p>
        </w:tc>
        <w:tc>
          <w:tcPr>
            <w:tcW w:w="4615" w:type="dxa"/>
            <w:tcBorders>
              <w:left w:val="single" w:color="auto" w:sz="4" w:space="0"/>
            </w:tcBorders>
            <w:vAlign w:val="center"/>
          </w:tcPr>
          <w:p w14:paraId="48F1DE02">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暂定金额（暂列金）必须按照招标文件给定的金额填报。</w:t>
            </w:r>
          </w:p>
        </w:tc>
      </w:tr>
      <w:tr w14:paraId="77AB14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6D185E2">
            <w:pPr>
              <w:spacing w:line="400" w:lineRule="exact"/>
              <w:jc w:val="center"/>
              <w:rPr>
                <w:rFonts w:ascii="宋体" w:hAnsi="宋体"/>
                <w:color w:val="auto"/>
                <w:kern w:val="0"/>
                <w:highlight w:val="none"/>
              </w:rPr>
            </w:pPr>
          </w:p>
        </w:tc>
        <w:tc>
          <w:tcPr>
            <w:tcW w:w="1438" w:type="dxa"/>
            <w:vMerge w:val="continue"/>
            <w:tcBorders>
              <w:left w:val="single" w:color="auto" w:sz="4" w:space="0"/>
            </w:tcBorders>
            <w:vAlign w:val="center"/>
          </w:tcPr>
          <w:p w14:paraId="2745D4EE">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423C6250">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报价唯一</w:t>
            </w:r>
          </w:p>
        </w:tc>
        <w:tc>
          <w:tcPr>
            <w:tcW w:w="4615" w:type="dxa"/>
            <w:tcBorders>
              <w:left w:val="single" w:color="auto" w:sz="4" w:space="0"/>
            </w:tcBorders>
            <w:vAlign w:val="center"/>
          </w:tcPr>
          <w:p w14:paraId="115CFE1B">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只能有一个有效报价。在招标文件没有规定的情况下，不得提交选择性报价。</w:t>
            </w:r>
          </w:p>
        </w:tc>
      </w:tr>
      <w:tr w14:paraId="000A96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3221ADAC">
            <w:pPr>
              <w:spacing w:line="400" w:lineRule="exact"/>
              <w:jc w:val="center"/>
              <w:rPr>
                <w:rFonts w:ascii="宋体" w:hAnsi="宋体"/>
                <w:color w:val="auto"/>
                <w:kern w:val="0"/>
                <w:highlight w:val="none"/>
              </w:rPr>
            </w:pPr>
          </w:p>
        </w:tc>
        <w:tc>
          <w:tcPr>
            <w:tcW w:w="1438" w:type="dxa"/>
            <w:vMerge w:val="continue"/>
            <w:tcBorders>
              <w:left w:val="single" w:color="auto" w:sz="4" w:space="0"/>
            </w:tcBorders>
            <w:vAlign w:val="center"/>
          </w:tcPr>
          <w:p w14:paraId="52BFD568">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108D27F3">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已标价招标清单（如有）</w:t>
            </w:r>
          </w:p>
        </w:tc>
        <w:tc>
          <w:tcPr>
            <w:tcW w:w="4615" w:type="dxa"/>
            <w:tcBorders>
              <w:left w:val="single" w:color="auto" w:sz="4" w:space="0"/>
            </w:tcBorders>
            <w:vAlign w:val="center"/>
          </w:tcPr>
          <w:p w14:paraId="4957ADA0">
            <w:pPr>
              <w:snapToGrid w:val="0"/>
              <w:spacing w:after="31" w:afterLines="10"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1.</w:t>
            </w:r>
            <w:r>
              <w:rPr>
                <w:rFonts w:hint="eastAsia" w:ascii="宋体" w:hAnsi="宋体"/>
                <w:color w:val="auto"/>
                <w:szCs w:val="21"/>
                <w:highlight w:val="none"/>
              </w:rPr>
              <w:t>投标人必须按招标清单要求填报价格。</w:t>
            </w:r>
          </w:p>
          <w:p w14:paraId="620A35F7">
            <w:pPr>
              <w:snapToGrid w:val="0"/>
              <w:spacing w:after="31" w:afterLines="10" w:line="400" w:lineRule="exact"/>
              <w:ind w:firstLine="420" w:firstLineChars="200"/>
              <w:rPr>
                <w:rFonts w:ascii="宋体" w:hAnsi="宋体"/>
                <w:color w:val="auto"/>
                <w:szCs w:val="21"/>
                <w:highlight w:val="none"/>
              </w:rPr>
            </w:pPr>
            <w:r>
              <w:rPr>
                <w:rFonts w:hint="eastAsia" w:ascii="宋体" w:hAnsi="宋体"/>
                <w:color w:val="auto"/>
                <w:szCs w:val="21"/>
                <w:highlight w:val="none"/>
              </w:rPr>
              <w:t>2.每项清单综合单价报价不得超过每项清单综合单价最高限价。</w:t>
            </w:r>
          </w:p>
        </w:tc>
      </w:tr>
      <w:tr w14:paraId="0F7D77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2" w:type="dxa"/>
            <w:vMerge w:val="continue"/>
            <w:tcBorders>
              <w:right w:val="single" w:color="auto" w:sz="4" w:space="0"/>
            </w:tcBorders>
            <w:vAlign w:val="center"/>
          </w:tcPr>
          <w:p w14:paraId="10E93818">
            <w:pPr>
              <w:spacing w:line="400" w:lineRule="exact"/>
              <w:jc w:val="center"/>
              <w:rPr>
                <w:rFonts w:ascii="宋体" w:hAnsi="宋体"/>
                <w:color w:val="auto"/>
                <w:kern w:val="0"/>
                <w:highlight w:val="none"/>
              </w:rPr>
            </w:pPr>
          </w:p>
        </w:tc>
        <w:tc>
          <w:tcPr>
            <w:tcW w:w="1438" w:type="dxa"/>
            <w:vMerge w:val="continue"/>
            <w:tcBorders>
              <w:left w:val="single" w:color="auto" w:sz="4" w:space="0"/>
            </w:tcBorders>
            <w:vAlign w:val="center"/>
          </w:tcPr>
          <w:p w14:paraId="1FBB8CA2">
            <w:pPr>
              <w:spacing w:line="400" w:lineRule="exact"/>
              <w:jc w:val="center"/>
              <w:rPr>
                <w:rFonts w:ascii="宋体" w:hAnsi="宋体"/>
                <w:color w:val="auto"/>
                <w:kern w:val="0"/>
                <w:highlight w:val="none"/>
              </w:rPr>
            </w:pPr>
          </w:p>
        </w:tc>
        <w:tc>
          <w:tcPr>
            <w:tcW w:w="2630" w:type="dxa"/>
            <w:gridSpan w:val="2"/>
            <w:tcBorders>
              <w:right w:val="single" w:color="auto" w:sz="4" w:space="0"/>
            </w:tcBorders>
            <w:vAlign w:val="center"/>
          </w:tcPr>
          <w:p w14:paraId="3E3D119D">
            <w:pPr>
              <w:snapToGrid w:val="0"/>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投标报价算术错误修正</w:t>
            </w:r>
          </w:p>
        </w:tc>
        <w:tc>
          <w:tcPr>
            <w:tcW w:w="4615" w:type="dxa"/>
            <w:tcBorders>
              <w:left w:val="single" w:color="auto" w:sz="4" w:space="0"/>
            </w:tcBorders>
            <w:vAlign w:val="center"/>
          </w:tcPr>
          <w:p w14:paraId="1AB25B6A">
            <w:pPr>
              <w:snapToGrid w:val="0"/>
              <w:spacing w:after="31" w:afterLines="10"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符合第三章“评标办法”第3.2.3项规定。</w:t>
            </w:r>
          </w:p>
        </w:tc>
      </w:tr>
      <w:tr w14:paraId="0D975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002" w:type="dxa"/>
            <w:tcBorders>
              <w:right w:val="single" w:color="auto" w:sz="4" w:space="0"/>
            </w:tcBorders>
            <w:vAlign w:val="center"/>
          </w:tcPr>
          <w:p w14:paraId="4A321CB3">
            <w:pPr>
              <w:spacing w:line="400" w:lineRule="exact"/>
              <w:jc w:val="center"/>
              <w:rPr>
                <w:rFonts w:ascii="宋体" w:hAnsi="宋体"/>
                <w:color w:val="auto"/>
                <w:highlight w:val="none"/>
              </w:rPr>
            </w:pPr>
            <w:r>
              <w:rPr>
                <w:rFonts w:ascii="宋体" w:hAnsi="宋体"/>
                <w:color w:val="auto"/>
                <w:highlight w:val="none"/>
              </w:rPr>
              <w:t>3</w:t>
            </w:r>
          </w:p>
        </w:tc>
        <w:tc>
          <w:tcPr>
            <w:tcW w:w="1438" w:type="dxa"/>
            <w:tcBorders>
              <w:left w:val="single" w:color="auto" w:sz="4" w:space="0"/>
              <w:right w:val="single" w:color="auto" w:sz="4" w:space="0"/>
            </w:tcBorders>
            <w:vAlign w:val="center"/>
          </w:tcPr>
          <w:p w14:paraId="27745ADF">
            <w:pPr>
              <w:spacing w:line="400" w:lineRule="exact"/>
              <w:jc w:val="center"/>
              <w:rPr>
                <w:rFonts w:ascii="宋体" w:hAnsi="宋体"/>
                <w:color w:val="auto"/>
                <w:highlight w:val="none"/>
              </w:rPr>
            </w:pPr>
            <w:r>
              <w:rPr>
                <w:rFonts w:hint="eastAsia" w:ascii="宋体" w:hAnsi="宋体"/>
                <w:color w:val="auto"/>
                <w:highlight w:val="none"/>
              </w:rPr>
              <w:t>评标程序</w:t>
            </w:r>
          </w:p>
        </w:tc>
        <w:tc>
          <w:tcPr>
            <w:tcW w:w="7245" w:type="dxa"/>
            <w:gridSpan w:val="3"/>
            <w:tcBorders>
              <w:left w:val="single" w:color="auto" w:sz="4" w:space="0"/>
            </w:tcBorders>
            <w:vAlign w:val="center"/>
          </w:tcPr>
          <w:p w14:paraId="42F8BD7E">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1.对报价不高于最高限价的所有投标人的投标文件，按照报价由低到高的顺序排序。需技术部分评审的，由电子评标系统对技术部分进行自动随机编号。在投标函部分及经济部分评审前，推送给评标委员会的投标文件不得显示排序。</w:t>
            </w:r>
          </w:p>
          <w:p w14:paraId="47FAD864">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2.根据本章第2.2款约定进行符合性审查</w:t>
            </w:r>
            <w:r>
              <w:rPr>
                <w:rFonts w:hint="eastAsia" w:ascii="宋体" w:hAnsi="宋体"/>
                <w:color w:val="auto"/>
                <w:spacing w:val="4"/>
                <w:kern w:val="0"/>
                <w:szCs w:val="21"/>
                <w:highlight w:val="none"/>
              </w:rPr>
              <w:t>。符合性审查</w:t>
            </w:r>
            <w:r>
              <w:rPr>
                <w:rFonts w:hint="eastAsia" w:ascii="宋体" w:hAnsi="宋体"/>
                <w:color w:val="auto"/>
                <w:kern w:val="0"/>
                <w:szCs w:val="21"/>
                <w:highlight w:val="none"/>
              </w:rPr>
              <w:t>合格的投标人中，报价最低的成为第一中标候选人，报价次低的成为第二中标候选人，依次类推。</w:t>
            </w:r>
          </w:p>
          <w:p w14:paraId="4166BA4A">
            <w:pPr>
              <w:spacing w:after="31" w:afterLines="10" w:line="400" w:lineRule="exact"/>
              <w:ind w:firstLine="420" w:firstLineChars="200"/>
              <w:jc w:val="left"/>
              <w:rPr>
                <w:rFonts w:ascii="宋体" w:hAnsi="宋体"/>
                <w:i/>
                <w:color w:val="auto"/>
                <w:kern w:val="0"/>
                <w:szCs w:val="21"/>
                <w:highlight w:val="none"/>
              </w:rPr>
            </w:pPr>
            <w:r>
              <w:rPr>
                <w:rFonts w:hint="eastAsia" w:ascii="宋体" w:hAnsi="宋体"/>
                <w:i/>
                <w:color w:val="auto"/>
                <w:kern w:val="0"/>
                <w:szCs w:val="21"/>
                <w:highlight w:val="none"/>
              </w:rPr>
              <w:t>[提示：勾选技术部分评审的，符合性审查应首先进行技术部分评审，再按照资格、形式、响应性、投标函部分及经济部分的顺序进行评审。]</w:t>
            </w:r>
          </w:p>
          <w:p w14:paraId="673771DB">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3.</w:t>
            </w:r>
            <w:r>
              <w:rPr>
                <w:rFonts w:hint="eastAsia" w:ascii="宋体" w:hAnsi="宋体"/>
                <w:color w:val="auto"/>
                <w:spacing w:val="4"/>
                <w:kern w:val="0"/>
                <w:szCs w:val="21"/>
                <w:highlight w:val="none"/>
              </w:rPr>
              <w:t>若上述程序未能评出三名中标候选人</w:t>
            </w:r>
            <w:r>
              <w:rPr>
                <w:rFonts w:hint="eastAsia" w:ascii="宋体" w:hAnsi="宋体"/>
                <w:color w:val="auto"/>
                <w:kern w:val="0"/>
                <w:szCs w:val="21"/>
                <w:highlight w:val="none"/>
              </w:rPr>
              <w:t>，则评标委员会对剩余投标文件继续按上述第2条进行评审，直至评出三名中标候选人，或者评审完所有投标文件。</w:t>
            </w:r>
          </w:p>
          <w:p w14:paraId="74504C15">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4.</w:t>
            </w:r>
            <w:r>
              <w:rPr>
                <w:rFonts w:hint="eastAsia"/>
                <w:color w:val="auto"/>
                <w:highlight w:val="none"/>
              </w:rPr>
              <w:t xml:space="preserve"> </w:t>
            </w:r>
            <w:r>
              <w:rPr>
                <w:rFonts w:hint="eastAsia" w:ascii="宋体" w:hAnsi="宋体"/>
                <w:color w:val="auto"/>
                <w:kern w:val="0"/>
                <w:szCs w:val="21"/>
                <w:highlight w:val="none"/>
              </w:rPr>
              <w:t>因评标委员会作否决投标处理，导致有效投标人不足三个的，评标委员会应当否决所有投标。但是有效投标人的经济、技术等指标仍然具有市场竞争力，并满足招标文件要求的，评标委员会可以继续评标并确定中标候选人。</w:t>
            </w:r>
          </w:p>
          <w:p w14:paraId="33CDDC7A">
            <w:pPr>
              <w:spacing w:after="31" w:afterLines="10"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注：若出现投标人投标报价相同的，以“投标人在红名单中优先”的原则排序</w:t>
            </w:r>
            <w:r>
              <w:rPr>
                <w:rFonts w:hint="eastAsia" w:ascii="宋体" w:hAnsi="宋体"/>
                <w:iCs/>
                <w:color w:val="auto"/>
                <w:kern w:val="0"/>
                <w:szCs w:val="21"/>
                <w:highlight w:val="none"/>
              </w:rPr>
              <w:t>（红名单建立完善后使用；联合体投标的，须联合体牵头人在红名单中）</w:t>
            </w:r>
            <w:r>
              <w:rPr>
                <w:rFonts w:hint="eastAsia" w:ascii="宋体" w:hAnsi="宋体"/>
                <w:color w:val="auto"/>
                <w:kern w:val="0"/>
                <w:szCs w:val="21"/>
                <w:highlight w:val="none"/>
              </w:rPr>
              <w:t>；投标人均在红名单中</w:t>
            </w:r>
            <w:r>
              <w:rPr>
                <w:rFonts w:hint="eastAsia" w:ascii="宋体" w:hAnsi="宋体"/>
                <w:color w:val="auto"/>
                <w:spacing w:val="4"/>
                <w:kern w:val="0"/>
                <w:szCs w:val="21"/>
                <w:highlight w:val="none"/>
              </w:rPr>
              <w:t>或均不在红名单中的，由评标委员会按照</w:t>
            </w:r>
            <w:r>
              <w:rPr>
                <w:rFonts w:hint="eastAsia" w:ascii="宋体" w:hAnsi="宋体"/>
                <w:color w:val="auto"/>
                <w:spacing w:val="4"/>
                <w:kern w:val="0"/>
                <w:szCs w:val="21"/>
                <w:highlight w:val="none"/>
                <w:u w:val="single"/>
              </w:rPr>
              <w:t xml:space="preserve">         </w:t>
            </w:r>
            <w:r>
              <w:rPr>
                <w:rFonts w:hint="eastAsia" w:ascii="宋体" w:hAnsi="宋体"/>
                <w:color w:val="auto"/>
                <w:spacing w:val="4"/>
                <w:kern w:val="0"/>
                <w:szCs w:val="21"/>
                <w:highlight w:val="none"/>
              </w:rPr>
              <w:t>原则排序。</w:t>
            </w:r>
            <w:r>
              <w:rPr>
                <w:rFonts w:hint="eastAsia" w:ascii="宋体" w:hAnsi="宋体"/>
                <w:i/>
                <w:color w:val="auto"/>
                <w:spacing w:val="4"/>
                <w:kern w:val="0"/>
                <w:szCs w:val="21"/>
                <w:highlight w:val="none"/>
              </w:rPr>
              <w:t>[提示：由招标人事先在招标文件中按照有利于合同履行的原则确定。]</w:t>
            </w:r>
          </w:p>
        </w:tc>
      </w:tr>
      <w:tr w14:paraId="7134E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2" w:hRule="atLeast"/>
        </w:trPr>
        <w:tc>
          <w:tcPr>
            <w:tcW w:w="1002" w:type="dxa"/>
            <w:tcBorders>
              <w:right w:val="single" w:color="auto" w:sz="4" w:space="0"/>
            </w:tcBorders>
            <w:vAlign w:val="center"/>
          </w:tcPr>
          <w:p w14:paraId="083E37E0">
            <w:pPr>
              <w:spacing w:line="400" w:lineRule="exact"/>
              <w:jc w:val="center"/>
              <w:rPr>
                <w:rFonts w:ascii="宋体" w:hAnsi="宋体"/>
                <w:color w:val="auto"/>
                <w:highlight w:val="none"/>
              </w:rPr>
            </w:pPr>
            <w:r>
              <w:rPr>
                <w:rFonts w:hint="eastAsia" w:ascii="宋体" w:hAnsi="宋体"/>
                <w:color w:val="auto"/>
                <w:highlight w:val="none"/>
              </w:rPr>
              <w:t>3.4</w:t>
            </w:r>
          </w:p>
        </w:tc>
        <w:tc>
          <w:tcPr>
            <w:tcW w:w="1438" w:type="dxa"/>
            <w:tcBorders>
              <w:left w:val="single" w:color="auto" w:sz="4" w:space="0"/>
              <w:right w:val="single" w:color="auto" w:sz="4" w:space="0"/>
            </w:tcBorders>
            <w:vAlign w:val="center"/>
          </w:tcPr>
          <w:p w14:paraId="65CB70F3">
            <w:pPr>
              <w:spacing w:line="400" w:lineRule="exact"/>
              <w:jc w:val="center"/>
              <w:rPr>
                <w:rFonts w:ascii="宋体" w:hAnsi="宋体"/>
                <w:color w:val="auto"/>
                <w:highlight w:val="none"/>
              </w:rPr>
            </w:pPr>
            <w:r>
              <w:rPr>
                <w:rFonts w:ascii="宋体" w:hAnsi="宋体"/>
                <w:color w:val="auto"/>
                <w:highlight w:val="none"/>
              </w:rPr>
              <w:t>评标结果</w:t>
            </w:r>
          </w:p>
        </w:tc>
        <w:tc>
          <w:tcPr>
            <w:tcW w:w="7245" w:type="dxa"/>
            <w:gridSpan w:val="3"/>
            <w:tcBorders>
              <w:left w:val="single" w:color="auto" w:sz="4" w:space="0"/>
            </w:tcBorders>
            <w:vAlign w:val="center"/>
          </w:tcPr>
          <w:p w14:paraId="55403824">
            <w:pPr>
              <w:autoSpaceDE w:val="0"/>
              <w:autoSpaceDN w:val="0"/>
              <w:adjustRightInd w:val="0"/>
              <w:snapToGrid w:val="0"/>
              <w:spacing w:line="400" w:lineRule="exact"/>
              <w:ind w:firstLine="420"/>
              <w:jc w:val="left"/>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.1</w:t>
            </w:r>
            <w:r>
              <w:rPr>
                <w:rFonts w:hint="eastAsia" w:ascii="宋体" w:hAnsi="宋体"/>
                <w:color w:val="auto"/>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w:t>
            </w:r>
            <w:r>
              <w:rPr>
                <w:rFonts w:hint="eastAsia" w:ascii="宋体" w:hAnsi="宋体"/>
                <w:color w:val="auto"/>
                <w:kern w:val="0"/>
                <w:szCs w:val="21"/>
                <w:highlight w:val="none"/>
              </w:rPr>
              <w:t>按经评审的最低投标价法</w:t>
            </w:r>
            <w:r>
              <w:rPr>
                <w:rFonts w:ascii="宋体" w:hAnsi="宋体"/>
                <w:color w:val="auto"/>
                <w:kern w:val="0"/>
                <w:szCs w:val="21"/>
                <w:highlight w:val="none"/>
              </w:rPr>
              <w:t>推荐中标候选人。</w:t>
            </w:r>
          </w:p>
          <w:p w14:paraId="2FD703FF">
            <w:pPr>
              <w:spacing w:line="400" w:lineRule="exact"/>
              <w:ind w:firstLine="424" w:firstLineChars="200"/>
              <w:rPr>
                <w:rFonts w:ascii="宋体" w:hAnsi="宋体"/>
                <w:color w:val="auto"/>
                <w:highlight w:val="none"/>
              </w:rPr>
            </w:pPr>
            <w:r>
              <w:rPr>
                <w:rFonts w:ascii="宋体" w:hAnsi="宋体"/>
                <w:color w:val="auto"/>
                <w:spacing w:val="1"/>
                <w:kern w:val="0"/>
                <w:szCs w:val="21"/>
                <w:highlight w:val="none"/>
              </w:rPr>
              <w:t>3</w:t>
            </w:r>
            <w:r>
              <w:rPr>
                <w:rFonts w:ascii="宋体" w:hAnsi="宋体"/>
                <w:color w:val="auto"/>
                <w:kern w:val="0"/>
                <w:szCs w:val="21"/>
                <w:highlight w:val="none"/>
              </w:rPr>
              <w:t>.4.2</w:t>
            </w:r>
            <w:r>
              <w:rPr>
                <w:rFonts w:hint="eastAsia" w:ascii="宋体" w:hAnsi="宋体"/>
                <w:color w:val="auto"/>
                <w:kern w:val="0"/>
                <w:szCs w:val="21"/>
                <w:highlight w:val="none"/>
              </w:rPr>
              <w:t xml:space="preserve"> </w:t>
            </w:r>
            <w:r>
              <w:rPr>
                <w:rFonts w:ascii="宋体" w:hAnsi="宋体"/>
                <w:color w:val="auto"/>
                <w:kern w:val="0"/>
                <w:szCs w:val="21"/>
                <w:highlight w:val="none"/>
              </w:rPr>
              <w:t>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tc>
      </w:tr>
    </w:tbl>
    <w:p w14:paraId="79B0339A">
      <w:pPr>
        <w:pStyle w:val="4"/>
        <w:spacing w:before="0" w:after="0" w:line="360" w:lineRule="auto"/>
        <w:rPr>
          <w:rFonts w:ascii="宋体" w:hAnsi="宋体"/>
          <w:bCs w:val="0"/>
          <w:snapToGrid w:val="0"/>
          <w:color w:val="auto"/>
          <w:highlight w:val="none"/>
        </w:rPr>
      </w:pPr>
      <w:r>
        <w:rPr>
          <w:rFonts w:ascii="宋体" w:hAnsi="宋体"/>
          <w:bCs w:val="0"/>
          <w:snapToGrid w:val="0"/>
          <w:color w:val="auto"/>
          <w:highlight w:val="none"/>
        </w:rPr>
        <w:br w:type="page"/>
      </w:r>
      <w:bookmarkStart w:id="585" w:name="_Toc58860123"/>
      <w:r>
        <w:rPr>
          <w:rFonts w:ascii="宋体" w:hAnsi="宋体"/>
          <w:b w:val="0"/>
          <w:snapToGrid w:val="0"/>
          <w:color w:val="auto"/>
          <w:highlight w:val="none"/>
        </w:rPr>
        <w:t>1.  评标方法</w:t>
      </w:r>
      <w:bookmarkEnd w:id="585"/>
    </w:p>
    <w:p w14:paraId="44A58883">
      <w:pPr>
        <w:spacing w:line="360" w:lineRule="auto"/>
        <w:ind w:firstLine="420" w:firstLineChars="200"/>
        <w:rPr>
          <w:rFonts w:ascii="宋体" w:hAnsi="宋体"/>
          <w:color w:val="auto"/>
          <w:highlight w:val="none"/>
        </w:rPr>
      </w:pPr>
      <w:r>
        <w:rPr>
          <w:rFonts w:hint="eastAsia" w:ascii="宋体" w:hAnsi="宋体"/>
          <w:color w:val="auto"/>
          <w:highlight w:val="none"/>
        </w:rPr>
        <w:t>本次评标采用经评审的最低投标价法，评标委员会按照本章第2.1款进行报价排序，按照本章第2.2款进行符合性审查，符合性审查合格的投标人中按报价由低到高推荐中标候选人，或根据招标人授权直接确定中标人。若出现投标人投标报价相同的，以评标办法前附表约定的原则确定排序。</w:t>
      </w:r>
    </w:p>
    <w:p w14:paraId="6656DC07">
      <w:pPr>
        <w:pStyle w:val="4"/>
        <w:spacing w:before="0" w:after="0" w:line="360" w:lineRule="auto"/>
        <w:rPr>
          <w:rFonts w:ascii="宋体" w:hAnsi="宋体"/>
          <w:b w:val="0"/>
          <w:snapToGrid w:val="0"/>
          <w:color w:val="auto"/>
          <w:highlight w:val="none"/>
        </w:rPr>
      </w:pPr>
      <w:bookmarkStart w:id="586" w:name="_Toc58860124"/>
      <w:r>
        <w:rPr>
          <w:rFonts w:ascii="宋体" w:hAnsi="宋体"/>
          <w:b w:val="0"/>
          <w:snapToGrid w:val="0"/>
          <w:color w:val="auto"/>
          <w:highlight w:val="none"/>
        </w:rPr>
        <w:t>2.  评审标准</w:t>
      </w:r>
      <w:bookmarkEnd w:id="586"/>
    </w:p>
    <w:p w14:paraId="767D1E8C">
      <w:pPr>
        <w:pStyle w:val="5"/>
        <w:spacing w:before="0" w:after="0" w:line="360" w:lineRule="auto"/>
        <w:rPr>
          <w:rFonts w:ascii="宋体" w:hAnsi="宋体" w:cs="宋体"/>
          <w:color w:val="auto"/>
          <w:sz w:val="21"/>
          <w:szCs w:val="21"/>
          <w:highlight w:val="none"/>
        </w:rPr>
      </w:pPr>
      <w:bookmarkStart w:id="587" w:name="_Toc58860125"/>
      <w:r>
        <w:rPr>
          <w:rFonts w:ascii="宋体" w:hAnsi="宋体" w:cs="宋体"/>
          <w:color w:val="auto"/>
          <w:sz w:val="21"/>
          <w:szCs w:val="21"/>
          <w:highlight w:val="none"/>
        </w:rPr>
        <w:t>2.1</w:t>
      </w:r>
      <w:r>
        <w:rPr>
          <w:rFonts w:hint="eastAsia" w:ascii="宋体" w:hAnsi="宋体" w:cs="宋体"/>
          <w:color w:val="auto"/>
          <w:sz w:val="21"/>
          <w:szCs w:val="21"/>
          <w:highlight w:val="none"/>
        </w:rPr>
        <w:t>报价</w:t>
      </w:r>
      <w:r>
        <w:rPr>
          <w:rFonts w:ascii="宋体" w:hAnsi="宋体" w:cs="宋体"/>
          <w:color w:val="auto"/>
          <w:sz w:val="21"/>
          <w:szCs w:val="21"/>
          <w:highlight w:val="none"/>
        </w:rPr>
        <w:t>排序</w:t>
      </w:r>
      <w:r>
        <w:rPr>
          <w:rFonts w:hint="eastAsia" w:ascii="宋体" w:hAnsi="宋体" w:cs="宋体"/>
          <w:color w:val="auto"/>
          <w:sz w:val="21"/>
          <w:szCs w:val="21"/>
          <w:highlight w:val="none"/>
        </w:rPr>
        <w:t>标准</w:t>
      </w:r>
      <w:bookmarkEnd w:id="587"/>
    </w:p>
    <w:p w14:paraId="3AACCC26">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见评标办法前附表。</w:t>
      </w:r>
    </w:p>
    <w:p w14:paraId="05E81971">
      <w:pPr>
        <w:pStyle w:val="5"/>
        <w:spacing w:before="0" w:after="0" w:line="360" w:lineRule="auto"/>
        <w:rPr>
          <w:rFonts w:ascii="宋体" w:hAnsi="宋体" w:cs="宋体"/>
          <w:color w:val="auto"/>
          <w:sz w:val="21"/>
          <w:szCs w:val="21"/>
          <w:highlight w:val="none"/>
        </w:rPr>
      </w:pPr>
      <w:bookmarkStart w:id="588" w:name="_Toc58860126"/>
      <w:r>
        <w:rPr>
          <w:rFonts w:ascii="宋体" w:hAnsi="宋体" w:cs="宋体"/>
          <w:color w:val="auto"/>
          <w:sz w:val="21"/>
          <w:szCs w:val="21"/>
          <w:highlight w:val="none"/>
        </w:rPr>
        <w:t>2.</w:t>
      </w:r>
      <w:r>
        <w:rPr>
          <w:rFonts w:hint="eastAsia" w:ascii="宋体" w:hAnsi="宋体" w:cs="宋体"/>
          <w:color w:val="auto"/>
          <w:sz w:val="21"/>
          <w:szCs w:val="21"/>
          <w:highlight w:val="none"/>
        </w:rPr>
        <w:t>2符合性审查标准</w:t>
      </w:r>
      <w:bookmarkEnd w:id="588"/>
    </w:p>
    <w:p w14:paraId="68899206">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评标委员会按评标办法前附表约定的投标单位报价排序数量进行符合性审查</w:t>
      </w:r>
      <w:r>
        <w:rPr>
          <w:rFonts w:hint="eastAsia" w:ascii="宋体" w:hAnsi="宋体" w:cs="宋体"/>
          <w:color w:val="auto"/>
          <w:spacing w:val="4"/>
          <w:kern w:val="0"/>
          <w:szCs w:val="21"/>
          <w:highlight w:val="none"/>
        </w:rPr>
        <w:t>。</w:t>
      </w:r>
      <w:r>
        <w:rPr>
          <w:rFonts w:hint="eastAsia" w:ascii="宋体" w:hAnsi="宋体"/>
          <w:color w:val="auto"/>
          <w:spacing w:val="4"/>
          <w:kern w:val="0"/>
          <w:szCs w:val="21"/>
          <w:highlight w:val="none"/>
        </w:rPr>
        <w:t>符合性审查内容：技术部分评审（如有）、资格评审、形式评审、响应性、投标函部分及经济部分评审</w:t>
      </w:r>
      <w:r>
        <w:rPr>
          <w:rFonts w:hint="eastAsia" w:ascii="宋体" w:hAnsi="宋体" w:cs="宋体"/>
          <w:color w:val="auto"/>
          <w:szCs w:val="21"/>
          <w:highlight w:val="none"/>
        </w:rPr>
        <w:t>。</w:t>
      </w:r>
    </w:p>
    <w:p w14:paraId="17934EEE">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2.2.1  技术部分评审标准：见评标办法前附表。</w:t>
      </w:r>
    </w:p>
    <w:p w14:paraId="5FA5AB33">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2A  资格评审标准：见资格预审文件第三章“资格审查办法”详细审查标准（适用于已进行资格预审的）。</w:t>
      </w:r>
    </w:p>
    <w:p w14:paraId="1FCDA8AF">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2B  资格评审标准：见评标办法前附表（适用于未进行资格预审的）。</w:t>
      </w:r>
    </w:p>
    <w:p w14:paraId="5BDB629F">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3  形式评审标准：见评标办法前附表。</w:t>
      </w:r>
    </w:p>
    <w:p w14:paraId="198DC2D3">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2.</w:t>
      </w:r>
      <w:r>
        <w:rPr>
          <w:rFonts w:hint="eastAsia" w:ascii="宋体" w:hAnsi="宋体" w:cs="宋体"/>
          <w:color w:val="auto"/>
          <w:szCs w:val="21"/>
          <w:highlight w:val="none"/>
        </w:rPr>
        <w:t>2</w:t>
      </w:r>
      <w:r>
        <w:rPr>
          <w:rFonts w:ascii="宋体" w:hAnsi="宋体" w:cs="宋体"/>
          <w:color w:val="auto"/>
          <w:szCs w:val="21"/>
          <w:highlight w:val="none"/>
        </w:rPr>
        <w:t>.</w:t>
      </w:r>
      <w:r>
        <w:rPr>
          <w:rFonts w:hint="eastAsia" w:ascii="宋体" w:hAnsi="宋体" w:cs="宋体"/>
          <w:color w:val="auto"/>
          <w:szCs w:val="21"/>
          <w:highlight w:val="none"/>
        </w:rPr>
        <w:t>4  响应性评审标准：见评标办法前附表。</w:t>
      </w:r>
    </w:p>
    <w:p w14:paraId="488411BB">
      <w:pPr>
        <w:autoSpaceDE w:val="0"/>
        <w:autoSpaceDN w:val="0"/>
        <w:adjustRightInd w:val="0"/>
        <w:snapToGri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2.2.5  投标函部分及经济部分评审标准：见评标办法前附表。</w:t>
      </w:r>
    </w:p>
    <w:p w14:paraId="6FE6F100">
      <w:pPr>
        <w:pStyle w:val="4"/>
        <w:spacing w:before="0" w:after="0" w:line="360" w:lineRule="auto"/>
        <w:rPr>
          <w:rFonts w:ascii="宋体" w:hAnsi="宋体"/>
          <w:b w:val="0"/>
          <w:snapToGrid w:val="0"/>
          <w:color w:val="auto"/>
          <w:highlight w:val="none"/>
        </w:rPr>
      </w:pPr>
      <w:bookmarkStart w:id="589" w:name="_Toc58860127"/>
      <w:r>
        <w:rPr>
          <w:rFonts w:ascii="宋体" w:hAnsi="宋体"/>
          <w:b w:val="0"/>
          <w:snapToGrid w:val="0"/>
          <w:color w:val="auto"/>
          <w:highlight w:val="none"/>
        </w:rPr>
        <w:t>3.  评标程序</w:t>
      </w:r>
      <w:bookmarkEnd w:id="589"/>
    </w:p>
    <w:p w14:paraId="22CDCACF">
      <w:pPr>
        <w:pStyle w:val="5"/>
        <w:spacing w:before="0" w:after="0" w:line="360" w:lineRule="auto"/>
        <w:rPr>
          <w:rFonts w:ascii="宋体" w:hAnsi="宋体" w:cs="宋体"/>
          <w:color w:val="auto"/>
          <w:sz w:val="21"/>
          <w:szCs w:val="21"/>
          <w:highlight w:val="none"/>
        </w:rPr>
      </w:pPr>
      <w:bookmarkStart w:id="590" w:name="_Toc58860128"/>
      <w:r>
        <w:rPr>
          <w:rFonts w:ascii="宋体" w:hAnsi="宋体" w:cs="宋体"/>
          <w:color w:val="auto"/>
          <w:sz w:val="21"/>
          <w:szCs w:val="21"/>
          <w:highlight w:val="none"/>
        </w:rPr>
        <w:t>3.1</w:t>
      </w:r>
      <w:r>
        <w:rPr>
          <w:rFonts w:hint="eastAsia" w:ascii="宋体" w:hAnsi="宋体" w:cs="宋体"/>
          <w:color w:val="auto"/>
          <w:sz w:val="21"/>
          <w:szCs w:val="21"/>
          <w:highlight w:val="none"/>
        </w:rPr>
        <w:t>报价排序</w:t>
      </w:r>
      <w:bookmarkEnd w:id="590"/>
    </w:p>
    <w:p w14:paraId="5B469B61">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对报价不高于最高限价的所有投标人的投标文件，按照报价由低到高的顺序排序。需技术部分评审的，由电子评标系统对技术部分进行自动随机编号。在投标函部分及经济部分评审前，推送给评标委员会的投标文件不得显示排序。</w:t>
      </w:r>
    </w:p>
    <w:p w14:paraId="12972594">
      <w:pPr>
        <w:pStyle w:val="5"/>
        <w:spacing w:before="0" w:after="0" w:line="360" w:lineRule="auto"/>
        <w:rPr>
          <w:rFonts w:ascii="宋体" w:hAnsi="宋体" w:cs="宋体"/>
          <w:color w:val="auto"/>
          <w:sz w:val="21"/>
          <w:szCs w:val="21"/>
          <w:highlight w:val="none"/>
        </w:rPr>
      </w:pPr>
      <w:bookmarkStart w:id="591" w:name="_Toc58860129"/>
      <w:r>
        <w:rPr>
          <w:rFonts w:ascii="宋体" w:hAnsi="宋体" w:cs="宋体"/>
          <w:color w:val="auto"/>
          <w:sz w:val="21"/>
          <w:szCs w:val="21"/>
          <w:highlight w:val="none"/>
        </w:rPr>
        <w:t>3.</w:t>
      </w:r>
      <w:r>
        <w:rPr>
          <w:rFonts w:hint="eastAsia" w:ascii="宋体" w:hAnsi="宋体" w:cs="宋体"/>
          <w:color w:val="auto"/>
          <w:sz w:val="21"/>
          <w:szCs w:val="21"/>
          <w:highlight w:val="none"/>
        </w:rPr>
        <w:t>2符合性审查</w:t>
      </w:r>
      <w:bookmarkEnd w:id="591"/>
    </w:p>
    <w:p w14:paraId="29FB4449">
      <w:pPr>
        <w:spacing w:line="360" w:lineRule="auto"/>
        <w:ind w:firstLine="413" w:firstLineChars="197"/>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.1评标委员会依据本章第2.</w:t>
      </w:r>
      <w:r>
        <w:rPr>
          <w:rFonts w:hint="eastAsia" w:ascii="宋体" w:hAnsi="宋体" w:cs="宋体"/>
          <w:color w:val="auto"/>
          <w:szCs w:val="21"/>
          <w:highlight w:val="none"/>
        </w:rPr>
        <w:t>2</w:t>
      </w:r>
      <w:r>
        <w:rPr>
          <w:rFonts w:ascii="宋体" w:hAnsi="宋体" w:cs="宋体"/>
          <w:color w:val="auto"/>
          <w:szCs w:val="21"/>
          <w:highlight w:val="none"/>
        </w:rPr>
        <w:t xml:space="preserve"> </w:t>
      </w:r>
      <w:r>
        <w:rPr>
          <w:rFonts w:hint="eastAsia" w:ascii="宋体" w:hAnsi="宋体" w:cs="宋体"/>
          <w:color w:val="auto"/>
          <w:szCs w:val="21"/>
          <w:highlight w:val="none"/>
        </w:rPr>
        <w:t>款规定的标准对投标文件进行符合性审查。符合性审查顺序：技术部分评审（如有）、资格评审、形式评审、响应性、投标函部分及经济部分评审。</w:t>
      </w:r>
    </w:p>
    <w:p w14:paraId="0C66D43C">
      <w:pPr>
        <w:spacing w:line="360" w:lineRule="auto"/>
        <w:ind w:firstLine="413" w:firstLineChars="197"/>
        <w:rPr>
          <w:rFonts w:ascii="宋体" w:hAnsi="宋体" w:cs="宋体"/>
          <w:color w:val="auto"/>
          <w:szCs w:val="21"/>
          <w:highlight w:val="none"/>
        </w:rPr>
      </w:pPr>
      <w:r>
        <w:rPr>
          <w:rFonts w:hint="eastAsia" w:ascii="宋体" w:hAnsi="宋体" w:cs="宋体"/>
          <w:color w:val="auto"/>
          <w:szCs w:val="21"/>
          <w:highlight w:val="none"/>
        </w:rPr>
        <w:t>勾选技术部分评审的，符合性审查应首先进行技术部分审查，再按照资格、形式、响应性、投标函部分及经济部分的顺序进行评审。有一项不符合评审标准的，作否决投标处理。</w:t>
      </w:r>
    </w:p>
    <w:p w14:paraId="770E7BC0">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2</w:t>
      </w:r>
      <w:r>
        <w:rPr>
          <w:rFonts w:ascii="宋体" w:hAnsi="宋体" w:cs="宋体"/>
          <w:color w:val="auto"/>
          <w:szCs w:val="21"/>
          <w:highlight w:val="none"/>
        </w:rPr>
        <w:t>.2 投标人有以下情形之一的，</w:t>
      </w:r>
      <w:r>
        <w:rPr>
          <w:rFonts w:hint="eastAsia" w:ascii="宋体" w:hAnsi="宋体" w:cs="宋体"/>
          <w:color w:val="auto"/>
          <w:szCs w:val="21"/>
          <w:highlight w:val="none"/>
        </w:rPr>
        <w:t>其投标文件将被否决：</w:t>
      </w:r>
    </w:p>
    <w:p w14:paraId="76B07E6C">
      <w:pPr>
        <w:spacing w:line="360" w:lineRule="auto"/>
        <w:ind w:firstLine="405" w:firstLineChars="193"/>
        <w:rPr>
          <w:rFonts w:ascii="宋体" w:hAnsi="宋体" w:cs="宋体"/>
          <w:color w:val="auto"/>
          <w:szCs w:val="21"/>
          <w:highlight w:val="none"/>
        </w:rPr>
      </w:pPr>
      <w:r>
        <w:rPr>
          <w:rFonts w:hint="eastAsia" w:ascii="宋体" w:hAnsi="宋体" w:cs="宋体"/>
          <w:color w:val="auto"/>
          <w:szCs w:val="21"/>
          <w:highlight w:val="none"/>
        </w:rPr>
        <w:t>（1</w:t>
      </w:r>
      <w:r>
        <w:rPr>
          <w:rFonts w:ascii="宋体" w:hAnsi="宋体" w:cs="宋体"/>
          <w:color w:val="auto"/>
          <w:szCs w:val="21"/>
          <w:highlight w:val="none"/>
        </w:rPr>
        <w:t xml:space="preserve">）第二章“投标人须知”第1.4.3 </w:t>
      </w:r>
      <w:r>
        <w:rPr>
          <w:rFonts w:hint="eastAsia" w:ascii="宋体" w:hAnsi="宋体" w:cs="宋体"/>
          <w:color w:val="auto"/>
          <w:szCs w:val="21"/>
          <w:highlight w:val="none"/>
        </w:rPr>
        <w:t>项</w:t>
      </w:r>
      <w:r>
        <w:rPr>
          <w:rFonts w:ascii="宋体" w:hAnsi="宋体" w:cs="宋体"/>
          <w:color w:val="auto"/>
          <w:szCs w:val="21"/>
          <w:highlight w:val="none"/>
        </w:rPr>
        <w:t>规定的任何一种情形的；</w:t>
      </w:r>
    </w:p>
    <w:p w14:paraId="262B7F4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ascii="宋体" w:hAnsi="宋体" w:cs="宋体"/>
          <w:color w:val="auto"/>
          <w:szCs w:val="21"/>
          <w:highlight w:val="none"/>
        </w:rPr>
        <w:t>）串通投标或弄虚作假或有其他违法行为的</w:t>
      </w:r>
      <w:r>
        <w:rPr>
          <w:rFonts w:hint="eastAsia" w:ascii="宋体" w:hAnsi="宋体" w:cs="宋体"/>
          <w:color w:val="auto"/>
          <w:szCs w:val="21"/>
          <w:highlight w:val="none"/>
        </w:rPr>
        <w:t>；</w:t>
      </w:r>
    </w:p>
    <w:p w14:paraId="2EB4FA3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（3）不按评标委员会要求澄清、说明或补正的。</w:t>
      </w:r>
    </w:p>
    <w:p w14:paraId="02B7C60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3.2.3 投标报价有算术错误的，评标委员会按以下原则对投标报价进行修正，修正的价格经投标人书面确认后具有约束力，修正原则如下：</w:t>
      </w:r>
    </w:p>
    <w:p w14:paraId="073654E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（1）投标文件中的大写金额与小写金额不一致的，以大写金额为准；</w:t>
      </w:r>
    </w:p>
    <w:p w14:paraId="07BD840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bookmarkStart w:id="592" w:name="_Hlk45901177"/>
      <w:r>
        <w:rPr>
          <w:rFonts w:hint="eastAsia" w:ascii="宋体" w:hAnsi="宋体" w:cs="宋体"/>
          <w:color w:val="auto"/>
          <w:szCs w:val="21"/>
          <w:highlight w:val="none"/>
        </w:rPr>
        <w:t>总报价与依据分项报价、单价/费率报价计算出的结果不一致的，由评标委员会作否决投标处理。</w:t>
      </w:r>
      <w:bookmarkEnd w:id="592"/>
    </w:p>
    <w:p w14:paraId="1E464AFD">
      <w:pPr>
        <w:pStyle w:val="5"/>
        <w:spacing w:before="0" w:after="0" w:line="360" w:lineRule="auto"/>
        <w:rPr>
          <w:rFonts w:ascii="宋体" w:hAnsi="宋体" w:cs="宋体"/>
          <w:color w:val="auto"/>
          <w:sz w:val="21"/>
          <w:szCs w:val="21"/>
          <w:highlight w:val="none"/>
        </w:rPr>
      </w:pPr>
      <w:bookmarkStart w:id="593" w:name="_Toc58860130"/>
      <w:r>
        <w:rPr>
          <w:rFonts w:ascii="宋体" w:hAnsi="宋体" w:cs="宋体"/>
          <w:color w:val="auto"/>
          <w:sz w:val="21"/>
          <w:szCs w:val="21"/>
          <w:highlight w:val="none"/>
        </w:rPr>
        <w:t>3.</w:t>
      </w:r>
      <w:r>
        <w:rPr>
          <w:rFonts w:hint="eastAsia" w:ascii="宋体" w:hAnsi="宋体" w:cs="宋体"/>
          <w:color w:val="auto"/>
          <w:sz w:val="21"/>
          <w:szCs w:val="21"/>
          <w:highlight w:val="none"/>
        </w:rPr>
        <w:t>3</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投标文件的澄清和补正</w:t>
      </w:r>
      <w:bookmarkEnd w:id="593"/>
    </w:p>
    <w:p w14:paraId="388A98AD">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.1 </w:t>
      </w:r>
      <w:r>
        <w:rPr>
          <w:rFonts w:hint="eastAsia" w:ascii="宋体" w:hAnsi="宋体" w:cs="宋体"/>
          <w:color w:val="auto"/>
          <w:szCs w:val="21"/>
          <w:highlight w:val="none"/>
        </w:rPr>
        <w:t>在评标过程中，评标委员会可以书面形式要求投标人对所提交投标文件中不明确的内容进行书面澄清或说明，或者对细微偏差进行补正。评标委员会不接受投标人主动提出的澄清、说明或补正。</w:t>
      </w:r>
    </w:p>
    <w:p w14:paraId="32AF46E7">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.2 </w:t>
      </w:r>
      <w:r>
        <w:rPr>
          <w:rFonts w:hint="eastAsia" w:ascii="宋体" w:hAnsi="宋体" w:cs="宋体"/>
          <w:color w:val="auto"/>
          <w:szCs w:val="21"/>
          <w:highlight w:val="none"/>
        </w:rPr>
        <w:t>澄清、说明和补正不得改变投标文件的实质性内容（算术性错误修正的除外）。投标人的书面澄清、说明和补正属于投标文件的组成部分。</w:t>
      </w:r>
    </w:p>
    <w:p w14:paraId="1E6405C2">
      <w:pPr>
        <w:spacing w:line="360" w:lineRule="auto"/>
        <w:ind w:firstLine="420" w:firstLineChars="200"/>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3</w:t>
      </w:r>
      <w:r>
        <w:rPr>
          <w:rFonts w:ascii="宋体" w:hAnsi="宋体" w:cs="宋体"/>
          <w:color w:val="auto"/>
          <w:szCs w:val="21"/>
          <w:highlight w:val="none"/>
        </w:rPr>
        <w:t xml:space="preserve">.3 </w:t>
      </w:r>
      <w:r>
        <w:rPr>
          <w:rFonts w:hint="eastAsia" w:ascii="宋体" w:hAnsi="宋体" w:cs="宋体"/>
          <w:color w:val="auto"/>
          <w:szCs w:val="21"/>
          <w:highlight w:val="none"/>
        </w:rPr>
        <w:t>评标委员会对投标人提交的澄清、说明或补正有疑问的，可以要求投标人进一步澄清、说明或补正，直至满足评标委员会的要求。</w:t>
      </w:r>
    </w:p>
    <w:p w14:paraId="048C7253">
      <w:pPr>
        <w:pStyle w:val="5"/>
        <w:spacing w:before="0" w:after="0" w:line="360" w:lineRule="auto"/>
        <w:rPr>
          <w:rFonts w:ascii="宋体" w:hAnsi="宋体" w:cs="宋体"/>
          <w:color w:val="auto"/>
          <w:sz w:val="21"/>
          <w:szCs w:val="21"/>
          <w:highlight w:val="none"/>
        </w:rPr>
      </w:pPr>
      <w:bookmarkStart w:id="594" w:name="_Toc58860131"/>
      <w:bookmarkStart w:id="595" w:name="_Toc479262406"/>
      <w:bookmarkStart w:id="596" w:name="_Toc484465184"/>
      <w:r>
        <w:rPr>
          <w:rFonts w:ascii="宋体" w:hAnsi="宋体" w:cs="宋体"/>
          <w:color w:val="auto"/>
          <w:sz w:val="21"/>
          <w:szCs w:val="21"/>
          <w:highlight w:val="none"/>
        </w:rPr>
        <w:t>3.</w:t>
      </w:r>
      <w:r>
        <w:rPr>
          <w:rFonts w:hint="eastAsia" w:ascii="宋体" w:hAnsi="宋体" w:cs="宋体"/>
          <w:color w:val="auto"/>
          <w:sz w:val="21"/>
          <w:szCs w:val="21"/>
          <w:highlight w:val="none"/>
        </w:rPr>
        <w:t>4</w:t>
      </w:r>
      <w:r>
        <w:rPr>
          <w:rFonts w:ascii="宋体" w:hAnsi="宋体" w:cs="宋体"/>
          <w:color w:val="auto"/>
          <w:sz w:val="21"/>
          <w:szCs w:val="21"/>
          <w:highlight w:val="none"/>
        </w:rPr>
        <w:t xml:space="preserve"> </w:t>
      </w:r>
      <w:r>
        <w:rPr>
          <w:rFonts w:hint="eastAsia" w:ascii="宋体" w:hAnsi="宋体" w:cs="宋体"/>
          <w:color w:val="auto"/>
          <w:sz w:val="21"/>
          <w:szCs w:val="21"/>
          <w:highlight w:val="none"/>
        </w:rPr>
        <w:t>评标结果</w:t>
      </w:r>
      <w:bookmarkEnd w:id="594"/>
      <w:bookmarkEnd w:id="595"/>
      <w:bookmarkEnd w:id="596"/>
    </w:p>
    <w:p w14:paraId="55CA9140">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.1</w:t>
      </w:r>
      <w:r>
        <w:rPr>
          <w:rFonts w:hint="eastAsia" w:ascii="宋体" w:hAnsi="宋体" w:cs="宋体"/>
          <w:color w:val="auto"/>
          <w:szCs w:val="21"/>
          <w:highlight w:val="none"/>
        </w:rPr>
        <w:t>除第二章“投标人须知”前附表授权直接确定中标人外，评标委员会按经评审的最低投标价法推荐中标候选人。</w:t>
      </w:r>
    </w:p>
    <w:p w14:paraId="1DD5A81C">
      <w:pPr>
        <w:spacing w:line="360" w:lineRule="auto"/>
        <w:ind w:firstLine="420" w:firstLineChars="200"/>
        <w:jc w:val="left"/>
        <w:rPr>
          <w:rFonts w:ascii="宋体" w:hAnsi="宋体" w:cs="宋体"/>
          <w:color w:val="auto"/>
          <w:szCs w:val="21"/>
          <w:highlight w:val="none"/>
        </w:rPr>
      </w:pPr>
      <w:r>
        <w:rPr>
          <w:rFonts w:ascii="宋体" w:hAnsi="宋体" w:cs="宋体"/>
          <w:color w:val="auto"/>
          <w:szCs w:val="21"/>
          <w:highlight w:val="none"/>
        </w:rPr>
        <w:t>3.</w:t>
      </w:r>
      <w:r>
        <w:rPr>
          <w:rFonts w:hint="eastAsia" w:ascii="宋体" w:hAnsi="宋体" w:cs="宋体"/>
          <w:color w:val="auto"/>
          <w:szCs w:val="21"/>
          <w:highlight w:val="none"/>
        </w:rPr>
        <w:t>4</w:t>
      </w:r>
      <w:r>
        <w:rPr>
          <w:rFonts w:ascii="宋体" w:hAnsi="宋体" w:cs="宋体"/>
          <w:color w:val="auto"/>
          <w:szCs w:val="21"/>
          <w:highlight w:val="none"/>
        </w:rPr>
        <w:t>.2</w:t>
      </w:r>
      <w:r>
        <w:rPr>
          <w:rFonts w:hint="eastAsia" w:ascii="宋体" w:hAnsi="宋体" w:cs="宋体"/>
          <w:color w:val="auto"/>
          <w:szCs w:val="21"/>
          <w:highlight w:val="none"/>
        </w:rPr>
        <w:t xml:space="preserve"> 评标委员会完成评标后，应当向招标人提交书面评标报告和中标候选人名单。</w:t>
      </w:r>
    </w:p>
    <w:p w14:paraId="7FC903ED">
      <w:pPr>
        <w:pStyle w:val="33"/>
        <w:spacing w:line="360" w:lineRule="auto"/>
        <w:rPr>
          <w:rFonts w:ascii="宋体" w:hAnsi="宋体"/>
          <w:b/>
          <w:color w:val="auto"/>
          <w:sz w:val="28"/>
          <w:szCs w:val="28"/>
          <w:highlight w:val="none"/>
          <w:u w:val="none"/>
          <w:lang w:eastAsia="zh-CN"/>
        </w:rPr>
      </w:pPr>
      <w:r>
        <w:rPr>
          <w:rFonts w:ascii="宋体" w:hAnsi="宋体" w:cs="宋体"/>
          <w:color w:val="auto"/>
          <w:szCs w:val="21"/>
          <w:highlight w:val="none"/>
          <w:lang w:eastAsia="zh-CN"/>
        </w:rPr>
        <w:br w:type="page"/>
      </w:r>
      <w:r>
        <w:rPr>
          <w:rFonts w:ascii="宋体" w:hAnsi="宋体"/>
          <w:b/>
          <w:color w:val="auto"/>
          <w:sz w:val="28"/>
          <w:szCs w:val="28"/>
          <w:highlight w:val="none"/>
          <w:u w:val="none"/>
          <w:lang w:eastAsia="zh-CN"/>
        </w:rPr>
        <w:t>附件A：</w:t>
      </w:r>
      <w:r>
        <w:rPr>
          <w:rFonts w:hint="eastAsia" w:ascii="宋体" w:hAnsi="宋体"/>
          <w:b/>
          <w:color w:val="auto"/>
          <w:sz w:val="28"/>
          <w:szCs w:val="28"/>
          <w:highlight w:val="none"/>
          <w:u w:val="none"/>
          <w:lang w:eastAsia="zh-CN"/>
        </w:rPr>
        <w:t>经评审的最低投标价法</w:t>
      </w:r>
      <w:r>
        <w:rPr>
          <w:rFonts w:ascii="宋体" w:hAnsi="宋体"/>
          <w:b/>
          <w:color w:val="auto"/>
          <w:sz w:val="28"/>
          <w:szCs w:val="28"/>
          <w:highlight w:val="none"/>
          <w:u w:val="none"/>
          <w:lang w:eastAsia="zh-CN"/>
        </w:rPr>
        <w:t>否决投标情况一览表</w:t>
      </w:r>
    </w:p>
    <w:p w14:paraId="3610A32D">
      <w:pPr>
        <w:pStyle w:val="33"/>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p>
    <w:tbl>
      <w:tblPr>
        <w:tblStyle w:val="45"/>
        <w:tblW w:w="899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515"/>
        <w:gridCol w:w="7478"/>
      </w:tblGrid>
      <w:tr w14:paraId="52B78D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2EB2AAE1">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7478" w:type="dxa"/>
            <w:vAlign w:val="center"/>
          </w:tcPr>
          <w:p w14:paraId="2F356C7E">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082D218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tcBorders>
              <w:bottom w:val="single" w:color="auto" w:sz="4" w:space="0"/>
            </w:tcBorders>
            <w:vAlign w:val="center"/>
          </w:tcPr>
          <w:p w14:paraId="7FEF2A6C">
            <w:pPr>
              <w:spacing w:line="400" w:lineRule="exact"/>
              <w:jc w:val="center"/>
              <w:rPr>
                <w:rFonts w:ascii="宋体" w:hAnsi="宋体"/>
                <w:color w:val="auto"/>
                <w:szCs w:val="21"/>
                <w:highlight w:val="none"/>
              </w:rPr>
            </w:pPr>
            <w:r>
              <w:rPr>
                <w:rFonts w:hint="eastAsia" w:ascii="宋体" w:hAnsi="宋体"/>
                <w:color w:val="auto"/>
                <w:szCs w:val="21"/>
                <w:highlight w:val="none"/>
              </w:rPr>
              <w:t>技术部分评审（如有）</w:t>
            </w:r>
          </w:p>
        </w:tc>
        <w:tc>
          <w:tcPr>
            <w:tcW w:w="7478" w:type="dxa"/>
            <w:vAlign w:val="center"/>
          </w:tcPr>
          <w:p w14:paraId="7C49C78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A-1投标人的技术部分有任何一项不满足评标办法前附表第2.2.1项评审标准要求的，技术部分评审不合格，由评标委员会作否决投标处理。</w:t>
            </w:r>
          </w:p>
        </w:tc>
      </w:tr>
      <w:tr w14:paraId="43DEF9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restart"/>
            <w:tcBorders>
              <w:top w:val="single" w:color="auto" w:sz="4" w:space="0"/>
            </w:tcBorders>
            <w:vAlign w:val="center"/>
          </w:tcPr>
          <w:p w14:paraId="13D72DCD">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7478" w:type="dxa"/>
            <w:vAlign w:val="center"/>
          </w:tcPr>
          <w:p w14:paraId="52F6176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A-2投标人的资质条件、营业执照及安全生产条件须满足投标人须知前附表第1.4.1项第1条的要求，否则由评标委员会作否决投标处理。</w:t>
            </w:r>
          </w:p>
        </w:tc>
      </w:tr>
      <w:tr w14:paraId="08672F0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68FFE8B4">
            <w:pPr>
              <w:spacing w:line="400" w:lineRule="exact"/>
              <w:jc w:val="center"/>
              <w:rPr>
                <w:rFonts w:ascii="宋体" w:hAnsi="宋体"/>
                <w:color w:val="auto"/>
                <w:szCs w:val="21"/>
                <w:highlight w:val="none"/>
              </w:rPr>
            </w:pPr>
          </w:p>
        </w:tc>
        <w:tc>
          <w:tcPr>
            <w:tcW w:w="7478" w:type="dxa"/>
            <w:vAlign w:val="center"/>
          </w:tcPr>
          <w:p w14:paraId="0B288A1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A-3投标人的财务须满足投标人须知前附表第1.4.1项第2条的要求，否则由评标委员会作否决投标处理（如有）。</w:t>
            </w:r>
          </w:p>
        </w:tc>
      </w:tr>
      <w:tr w14:paraId="309DD76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29AF4F35">
            <w:pPr>
              <w:spacing w:line="400" w:lineRule="exact"/>
              <w:jc w:val="center"/>
              <w:rPr>
                <w:rFonts w:ascii="宋体" w:hAnsi="宋体"/>
                <w:color w:val="auto"/>
                <w:szCs w:val="21"/>
                <w:highlight w:val="none"/>
              </w:rPr>
            </w:pPr>
          </w:p>
        </w:tc>
        <w:tc>
          <w:tcPr>
            <w:tcW w:w="7478" w:type="dxa"/>
            <w:vAlign w:val="center"/>
          </w:tcPr>
          <w:p w14:paraId="40EE092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A-4投标人的业绩须满足投标人须知前附表第1.4.1项第3条的要求，否则由评标委员会作否决投标处理（如有）。</w:t>
            </w:r>
          </w:p>
        </w:tc>
      </w:tr>
      <w:tr w14:paraId="02FDFD1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75752A7B">
            <w:pPr>
              <w:spacing w:line="400" w:lineRule="exact"/>
              <w:jc w:val="center"/>
              <w:rPr>
                <w:rFonts w:ascii="宋体" w:hAnsi="宋体"/>
                <w:color w:val="auto"/>
                <w:szCs w:val="21"/>
                <w:highlight w:val="none"/>
              </w:rPr>
            </w:pPr>
          </w:p>
        </w:tc>
        <w:tc>
          <w:tcPr>
            <w:tcW w:w="7478" w:type="dxa"/>
            <w:vAlign w:val="center"/>
          </w:tcPr>
          <w:p w14:paraId="4177ABC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A-5投标人的专业设备材料供货资格须满足投标人须知前附表第1.4.1项第4条的要求，否则由评标委员会作否决投标处理（如有）。</w:t>
            </w:r>
          </w:p>
        </w:tc>
      </w:tr>
      <w:tr w14:paraId="106CBE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76787B58">
            <w:pPr>
              <w:spacing w:line="400" w:lineRule="exact"/>
              <w:jc w:val="center"/>
              <w:rPr>
                <w:rFonts w:ascii="宋体" w:hAnsi="宋体"/>
                <w:color w:val="auto"/>
                <w:szCs w:val="21"/>
                <w:highlight w:val="none"/>
              </w:rPr>
            </w:pPr>
          </w:p>
        </w:tc>
        <w:tc>
          <w:tcPr>
            <w:tcW w:w="7478" w:type="dxa"/>
            <w:vAlign w:val="center"/>
          </w:tcPr>
          <w:p w14:paraId="5419768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A-6投标人的投标截止日投标资格情况须满足投标人须知前附表第1.4.1项第5条的要求，否则由评标委员会作否决投标处理。</w:t>
            </w:r>
          </w:p>
        </w:tc>
      </w:tr>
      <w:tr w14:paraId="4DB1D5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30BBDB53">
            <w:pPr>
              <w:spacing w:line="400" w:lineRule="exact"/>
              <w:jc w:val="center"/>
              <w:rPr>
                <w:rFonts w:ascii="宋体" w:hAnsi="宋体"/>
                <w:color w:val="auto"/>
                <w:szCs w:val="21"/>
                <w:highlight w:val="none"/>
              </w:rPr>
            </w:pPr>
          </w:p>
        </w:tc>
        <w:tc>
          <w:tcPr>
            <w:tcW w:w="7478" w:type="dxa"/>
            <w:vAlign w:val="center"/>
          </w:tcPr>
          <w:p w14:paraId="5EBCF4C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A-7投标人的工程总承包项目经理资格须满足投标人须知前附表第1.4.1项第6条的要求，否则由评标委员会作否决投标处理。</w:t>
            </w:r>
          </w:p>
        </w:tc>
      </w:tr>
      <w:tr w14:paraId="308B08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53EF9027">
            <w:pPr>
              <w:spacing w:line="400" w:lineRule="exact"/>
              <w:jc w:val="center"/>
              <w:rPr>
                <w:rFonts w:ascii="宋体" w:hAnsi="宋体"/>
                <w:color w:val="auto"/>
                <w:szCs w:val="21"/>
                <w:highlight w:val="none"/>
              </w:rPr>
            </w:pPr>
          </w:p>
        </w:tc>
        <w:tc>
          <w:tcPr>
            <w:tcW w:w="7478" w:type="dxa"/>
            <w:vAlign w:val="center"/>
          </w:tcPr>
          <w:p w14:paraId="2DB2DA2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A-8投标人的其他要求须满足投标人须知前附表第1.4.1项第7条的要求，否则由评标委员会作否决投标处理。</w:t>
            </w:r>
          </w:p>
        </w:tc>
      </w:tr>
      <w:tr w14:paraId="1E86B27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515" w:type="dxa"/>
            <w:vMerge w:val="continue"/>
            <w:vAlign w:val="center"/>
          </w:tcPr>
          <w:p w14:paraId="28AF487A">
            <w:pPr>
              <w:spacing w:line="400" w:lineRule="exact"/>
              <w:jc w:val="center"/>
              <w:rPr>
                <w:rFonts w:ascii="宋体" w:hAnsi="宋体"/>
                <w:color w:val="auto"/>
                <w:szCs w:val="21"/>
                <w:highlight w:val="none"/>
              </w:rPr>
            </w:pPr>
          </w:p>
        </w:tc>
        <w:tc>
          <w:tcPr>
            <w:tcW w:w="7478" w:type="dxa"/>
            <w:vAlign w:val="center"/>
          </w:tcPr>
          <w:p w14:paraId="0896311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A-9联合体投标人应满足：</w:t>
            </w:r>
          </w:p>
          <w:p w14:paraId="5CDE7FC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（1）联合体各方应按照招标文件提供的格式签订联合体协议书，明确联合体牵头人和各方权利义务；</w:t>
            </w:r>
          </w:p>
          <w:p w14:paraId="32E5AA2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（2）联合体各方均应当具备承担招标项目的相应能力，联合体协议约定同一专业分工由两个及以上单位共同承担的，按照资质等级较低的单位确定资质等级；</w:t>
            </w:r>
          </w:p>
          <w:p w14:paraId="382D3D0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（3）联合体各方不得再以自己名义单独或参加其他联合体在同一标段中投标。</w:t>
            </w:r>
          </w:p>
          <w:p w14:paraId="595577B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14:paraId="7D5A978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2E98BEEB">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7478" w:type="dxa"/>
          </w:tcPr>
          <w:p w14:paraId="59DD6D5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A-10投标人名称必须与营业执照、资质证书、安全生产许可证一致，依法变更名称的应提交相应证明材料，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1A2425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4880253">
            <w:pPr>
              <w:spacing w:line="400" w:lineRule="exact"/>
              <w:jc w:val="center"/>
              <w:rPr>
                <w:rFonts w:ascii="宋体" w:hAnsi="宋体"/>
                <w:color w:val="auto"/>
                <w:szCs w:val="21"/>
                <w:highlight w:val="none"/>
              </w:rPr>
            </w:pPr>
          </w:p>
        </w:tc>
        <w:tc>
          <w:tcPr>
            <w:tcW w:w="7478" w:type="dxa"/>
          </w:tcPr>
          <w:p w14:paraId="170D165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A-11投标文件格式（不含投标函部分）符合第二章“投标人须知”第3.7款规定，否则由评标委员会作否决投标处理。</w:t>
            </w:r>
          </w:p>
          <w:p w14:paraId="2184614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编制投标文件时不得对第八章“投标文件格式”的相应要素作实质性修改，否则视为重大偏差，由评标委员会作否决投标处理。</w:t>
            </w:r>
          </w:p>
        </w:tc>
      </w:tr>
      <w:tr w14:paraId="4BD6722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F18469F">
            <w:pPr>
              <w:spacing w:line="400" w:lineRule="exact"/>
              <w:jc w:val="center"/>
              <w:rPr>
                <w:rFonts w:ascii="宋体" w:hAnsi="宋体"/>
                <w:color w:val="auto"/>
                <w:szCs w:val="21"/>
                <w:highlight w:val="none"/>
              </w:rPr>
            </w:pPr>
          </w:p>
        </w:tc>
        <w:tc>
          <w:tcPr>
            <w:tcW w:w="7478" w:type="dxa"/>
          </w:tcPr>
          <w:p w14:paraId="5D2F7BA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A-12联合体参与投标的应提交联合体协议书，并明确联合体牵头人。若有委托代理人的，在联合体协议中须明确由联合体牵头人委派委托代理人，否则由评标委员会作否决投标处理。</w:t>
            </w:r>
          </w:p>
        </w:tc>
      </w:tr>
      <w:tr w14:paraId="3F3BDE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8F36BFC">
            <w:pPr>
              <w:spacing w:line="400" w:lineRule="exact"/>
              <w:jc w:val="center"/>
              <w:rPr>
                <w:rFonts w:ascii="宋体" w:hAnsi="宋体"/>
                <w:color w:val="auto"/>
                <w:szCs w:val="21"/>
                <w:highlight w:val="none"/>
              </w:rPr>
            </w:pPr>
          </w:p>
        </w:tc>
        <w:tc>
          <w:tcPr>
            <w:tcW w:w="7478" w:type="dxa"/>
          </w:tcPr>
          <w:p w14:paraId="02B6DB91">
            <w:pPr>
              <w:spacing w:line="400" w:lineRule="exact"/>
              <w:ind w:firstLine="420" w:firstLineChars="200"/>
              <w:rPr>
                <w:rFonts w:ascii="宋体" w:hAnsi="宋体" w:cs="宋体"/>
                <w:color w:val="auto"/>
                <w:kern w:val="0"/>
                <w:highlight w:val="none"/>
              </w:rPr>
            </w:pPr>
            <w:r>
              <w:rPr>
                <w:rFonts w:ascii="宋体" w:hAnsi="宋体" w:cs="宋体"/>
                <w:color w:val="auto"/>
                <w:kern w:val="0"/>
                <w:highlight w:val="none"/>
              </w:rPr>
              <w:t>A-13</w:t>
            </w:r>
            <w:r>
              <w:rPr>
                <w:rFonts w:hint="eastAsia" w:ascii="宋体" w:hAnsi="宋体" w:cs="宋体"/>
                <w:color w:val="auto"/>
                <w:kern w:val="0"/>
                <w:highlight w:val="none"/>
              </w:rPr>
              <w:t>第八章 投标文件格式（不含投标函部分）要求法定代表人或其委托代理人签字（或盖章）的须齐全，否则由评标委员会作否决投标处理。</w:t>
            </w:r>
          </w:p>
          <w:p w14:paraId="38432485">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联合体协议书中各联合体成员单位签字（或盖章）须齐全，联合体协议书以外的投标文件格式中，要求法定代表人或其委托代理人签字（或盖章）的均由联合体牵头人法定代表人或其委托代理人签字（或盖章）。否则由评标委员会作否决投标处理。</w:t>
            </w:r>
          </w:p>
          <w:p w14:paraId="4CF55421">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数字证书加盖投标人的单位电子印章，否则由评标委员会作否决投标处理。</w:t>
            </w:r>
          </w:p>
          <w:p w14:paraId="2695F085">
            <w:pPr>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若投标单位为联合体，则联合体协议书中要求各联合体成员盖单位法人章的，各联合体成员盖章须齐全，联合体协议书以外的投标文件格式中要求投标人加盖单位法人章的，均由联合体牵头人使用</w:t>
            </w:r>
            <w:r>
              <w:rPr>
                <w:rFonts w:ascii="宋体" w:hAnsi="宋体" w:cs="宋体"/>
                <w:color w:val="auto"/>
                <w:kern w:val="0"/>
                <w:highlight w:val="none"/>
              </w:rPr>
              <w:t xml:space="preserve"> CA </w:t>
            </w:r>
            <w:r>
              <w:rPr>
                <w:rFonts w:hint="eastAsia" w:ascii="宋体" w:hAnsi="宋体" w:cs="宋体"/>
                <w:color w:val="auto"/>
                <w:kern w:val="0"/>
                <w:highlight w:val="none"/>
              </w:rPr>
              <w:t>数字证书加盖其单位电子印章。否则由评标委员会作否决投标处理。</w:t>
            </w:r>
          </w:p>
        </w:tc>
      </w:tr>
      <w:tr w14:paraId="3CE04AD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6ED20353">
            <w:pPr>
              <w:spacing w:line="400" w:lineRule="exact"/>
              <w:jc w:val="center"/>
              <w:rPr>
                <w:rFonts w:ascii="宋体" w:hAnsi="宋体"/>
                <w:color w:val="auto"/>
                <w:szCs w:val="21"/>
                <w:highlight w:val="none"/>
              </w:rPr>
            </w:pPr>
          </w:p>
        </w:tc>
        <w:tc>
          <w:tcPr>
            <w:tcW w:w="7478" w:type="dxa"/>
          </w:tcPr>
          <w:p w14:paraId="53E6807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A-14投标人法定代表人的委托代理人有法定代表人签署的授权委托书和投标人为其缴纳的养老保险证明材料，否则由评标委员会作否决投标处理。</w:t>
            </w:r>
          </w:p>
        </w:tc>
      </w:tr>
      <w:tr w14:paraId="250D5BA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2FB3FE6B">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7478" w:type="dxa"/>
            <w:vAlign w:val="center"/>
          </w:tcPr>
          <w:p w14:paraId="4BB9862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A-15投标内容符合第二章“投标人须知”第1.3.1项规定，否则由评标委员会作否决投标处理。</w:t>
            </w:r>
          </w:p>
        </w:tc>
      </w:tr>
      <w:tr w14:paraId="25DFFA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BEB8D6A">
            <w:pPr>
              <w:spacing w:line="400" w:lineRule="exact"/>
              <w:jc w:val="center"/>
              <w:rPr>
                <w:rFonts w:ascii="宋体" w:hAnsi="宋体"/>
                <w:color w:val="auto"/>
                <w:szCs w:val="21"/>
                <w:highlight w:val="none"/>
              </w:rPr>
            </w:pPr>
          </w:p>
        </w:tc>
        <w:tc>
          <w:tcPr>
            <w:tcW w:w="7478" w:type="dxa"/>
            <w:vAlign w:val="center"/>
          </w:tcPr>
          <w:p w14:paraId="50385F9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A-16投标人应按投标人须知前附表第3.4款的规定递交投标保证金，并作为其投标文件的组成部分。否则由评标委员会作否决投标处理。</w:t>
            </w:r>
          </w:p>
        </w:tc>
      </w:tr>
      <w:tr w14:paraId="008699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4E4EFDF">
            <w:pPr>
              <w:spacing w:line="400" w:lineRule="exact"/>
              <w:jc w:val="center"/>
              <w:rPr>
                <w:rFonts w:ascii="宋体" w:hAnsi="宋体"/>
                <w:color w:val="auto"/>
                <w:szCs w:val="21"/>
                <w:highlight w:val="none"/>
              </w:rPr>
            </w:pPr>
          </w:p>
        </w:tc>
        <w:tc>
          <w:tcPr>
            <w:tcW w:w="7478" w:type="dxa"/>
            <w:vAlign w:val="center"/>
          </w:tcPr>
          <w:p w14:paraId="1BA2D4B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17</w:t>
            </w:r>
            <w:r>
              <w:rPr>
                <w:rFonts w:hint="eastAsia" w:ascii="宋体" w:hAnsi="宋体"/>
                <w:color w:val="auto"/>
                <w:szCs w:val="21"/>
                <w:highlight w:val="none"/>
              </w:rPr>
              <w:t>符合第四章“合同条款及格式”规定，投标文件不应附有招标人不能接受的条件</w:t>
            </w:r>
            <w:r>
              <w:rPr>
                <w:rFonts w:hint="eastAsia" w:ascii="宋体" w:hAnsi="宋体" w:cs="宋体"/>
                <w:color w:val="auto"/>
                <w:kern w:val="0"/>
                <w:highlight w:val="none"/>
              </w:rPr>
              <w:t>，</w:t>
            </w:r>
            <w:r>
              <w:rPr>
                <w:rFonts w:hint="eastAsia" w:ascii="宋体" w:hAnsi="宋体"/>
                <w:color w:val="auto"/>
                <w:szCs w:val="21"/>
                <w:highlight w:val="none"/>
              </w:rPr>
              <w:t>否则由评标委员会作否决投标处理。</w:t>
            </w:r>
          </w:p>
        </w:tc>
      </w:tr>
      <w:tr w14:paraId="590AE9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377D8E9">
            <w:pPr>
              <w:spacing w:line="400" w:lineRule="exact"/>
              <w:jc w:val="center"/>
              <w:rPr>
                <w:rFonts w:ascii="宋体" w:hAnsi="宋体"/>
                <w:color w:val="auto"/>
                <w:szCs w:val="21"/>
                <w:highlight w:val="none"/>
              </w:rPr>
            </w:pPr>
          </w:p>
        </w:tc>
        <w:tc>
          <w:tcPr>
            <w:tcW w:w="7478" w:type="dxa"/>
            <w:vAlign w:val="center"/>
          </w:tcPr>
          <w:p w14:paraId="62FBEA63">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A-1</w:t>
            </w:r>
            <w:r>
              <w:rPr>
                <w:rFonts w:ascii="宋体" w:hAnsi="宋体" w:cs="宋体"/>
                <w:color w:val="auto"/>
                <w:kern w:val="0"/>
                <w:highlight w:val="none"/>
              </w:rPr>
              <w:t>8</w:t>
            </w:r>
            <w:r>
              <w:rPr>
                <w:rFonts w:hint="eastAsia" w:ascii="宋体" w:hAnsi="宋体" w:cs="宋体"/>
                <w:color w:val="auto"/>
                <w:kern w:val="0"/>
                <w:highlight w:val="none"/>
              </w:rPr>
              <w:t>技术标准和要求符合第六章“发包人要求”的规定，不得有负偏离，</w:t>
            </w:r>
            <w:r>
              <w:rPr>
                <w:rFonts w:hint="eastAsia" w:ascii="宋体" w:hAnsi="宋体"/>
                <w:color w:val="auto"/>
                <w:szCs w:val="21"/>
                <w:highlight w:val="none"/>
              </w:rPr>
              <w:t>否则由评标委员会作否决投标处理。</w:t>
            </w:r>
          </w:p>
        </w:tc>
      </w:tr>
      <w:tr w14:paraId="7DF3B2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2A332D4">
            <w:pPr>
              <w:spacing w:line="400" w:lineRule="exact"/>
              <w:jc w:val="center"/>
              <w:rPr>
                <w:rFonts w:ascii="宋体" w:hAnsi="宋体"/>
                <w:color w:val="auto"/>
                <w:szCs w:val="21"/>
                <w:highlight w:val="none"/>
              </w:rPr>
            </w:pPr>
          </w:p>
        </w:tc>
        <w:tc>
          <w:tcPr>
            <w:tcW w:w="7478" w:type="dxa"/>
            <w:vAlign w:val="center"/>
          </w:tcPr>
          <w:p w14:paraId="50DA8A5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ascii="宋体" w:hAnsi="宋体"/>
                <w:color w:val="auto"/>
                <w:szCs w:val="21"/>
                <w:highlight w:val="none"/>
              </w:rPr>
              <w:t>9</w:t>
            </w:r>
            <w:r>
              <w:rPr>
                <w:rFonts w:hint="eastAsia" w:ascii="宋体" w:hAnsi="宋体"/>
                <w:color w:val="auto"/>
                <w:szCs w:val="21"/>
                <w:highlight w:val="none"/>
              </w:rPr>
              <w:t>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14:paraId="09C5156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1096F8E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14:paraId="6D81AE5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3.不按评标委员会要求澄清、说明或补正的。</w:t>
            </w:r>
          </w:p>
        </w:tc>
      </w:tr>
      <w:tr w14:paraId="0DFE19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restart"/>
            <w:vAlign w:val="center"/>
          </w:tcPr>
          <w:p w14:paraId="268752CE">
            <w:pPr>
              <w:spacing w:line="400" w:lineRule="exact"/>
              <w:jc w:val="center"/>
              <w:rPr>
                <w:rFonts w:ascii="宋体" w:hAnsi="宋体"/>
                <w:color w:val="auto"/>
                <w:szCs w:val="21"/>
                <w:highlight w:val="none"/>
              </w:rPr>
            </w:pPr>
            <w:r>
              <w:rPr>
                <w:rFonts w:hint="eastAsia" w:ascii="宋体" w:hAnsi="宋体"/>
                <w:color w:val="auto"/>
                <w:szCs w:val="21"/>
                <w:highlight w:val="none"/>
              </w:rPr>
              <w:t>投标</w:t>
            </w:r>
            <w:r>
              <w:rPr>
                <w:rFonts w:ascii="宋体" w:hAnsi="宋体"/>
                <w:color w:val="auto"/>
                <w:szCs w:val="21"/>
                <w:highlight w:val="none"/>
              </w:rPr>
              <w:t>函部分及经济部分</w:t>
            </w:r>
            <w:r>
              <w:rPr>
                <w:rFonts w:hint="eastAsia" w:ascii="宋体" w:hAnsi="宋体"/>
                <w:color w:val="auto"/>
                <w:szCs w:val="21"/>
                <w:highlight w:val="none"/>
              </w:rPr>
              <w:t>评审</w:t>
            </w:r>
          </w:p>
        </w:tc>
        <w:tc>
          <w:tcPr>
            <w:tcW w:w="7478" w:type="dxa"/>
            <w:vAlign w:val="center"/>
          </w:tcPr>
          <w:p w14:paraId="642CFB1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20</w:t>
            </w:r>
            <w:r>
              <w:rPr>
                <w:rFonts w:hint="eastAsia" w:ascii="宋体" w:hAnsi="宋体"/>
                <w:color w:val="auto"/>
                <w:szCs w:val="21"/>
                <w:highlight w:val="none"/>
              </w:rPr>
              <w:t>投标函部分的格式符合第二章“投标人须知”第3.7款规定，否则由评标委员会作否决投标处理。</w:t>
            </w:r>
          </w:p>
        </w:tc>
      </w:tr>
      <w:tr w14:paraId="33173C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28ADAF4">
            <w:pPr>
              <w:spacing w:line="400" w:lineRule="exact"/>
              <w:jc w:val="center"/>
              <w:rPr>
                <w:rFonts w:ascii="宋体" w:hAnsi="宋体"/>
                <w:color w:val="auto"/>
                <w:szCs w:val="21"/>
                <w:highlight w:val="none"/>
              </w:rPr>
            </w:pPr>
          </w:p>
        </w:tc>
        <w:tc>
          <w:tcPr>
            <w:tcW w:w="7478" w:type="dxa"/>
            <w:vAlign w:val="center"/>
          </w:tcPr>
          <w:p w14:paraId="7B5041B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ascii="宋体" w:hAnsi="宋体"/>
                <w:color w:val="auto"/>
                <w:szCs w:val="21"/>
                <w:highlight w:val="none"/>
              </w:rPr>
              <w:t>1投标函部分的格式</w:t>
            </w:r>
            <w:r>
              <w:rPr>
                <w:rFonts w:hint="eastAsia" w:ascii="宋体" w:hAnsi="宋体"/>
                <w:color w:val="auto"/>
                <w:szCs w:val="21"/>
                <w:highlight w:val="none"/>
              </w:rPr>
              <w:t>要求法定代表人或其委托代理人签字（或盖章）的须齐全。要求加盖单位法人章的，应使用 CA 数字证书加盖投标人的单位电子印章。否则由评标委员会作否决投标处理。</w:t>
            </w:r>
          </w:p>
          <w:p w14:paraId="59D5F8A5">
            <w:pPr>
              <w:spacing w:line="400" w:lineRule="exact"/>
              <w:ind w:firstLine="420" w:firstLineChars="200"/>
              <w:rPr>
                <w:color w:val="auto"/>
                <w:highlight w:val="none"/>
              </w:rPr>
            </w:pPr>
            <w:r>
              <w:rPr>
                <w:rFonts w:hint="eastAsia"/>
                <w:color w:val="auto"/>
                <w:highlight w:val="none"/>
              </w:rPr>
              <w:t>若投标单位为联合体，则联合体协议书中要求各联合体成员盖单位法人章的，各联合体成员盖章须齐全，联合体协议书以外的投标函部分的格式中要求投标人加盖单位法人章的，均由联合体牵头人使用 CA 数字证书加盖其单位电子印章。</w:t>
            </w:r>
            <w:r>
              <w:rPr>
                <w:rFonts w:hint="eastAsia" w:ascii="宋体" w:hAnsi="宋体"/>
                <w:color w:val="auto"/>
                <w:szCs w:val="21"/>
                <w:highlight w:val="none"/>
              </w:rPr>
              <w:t>否则由评标委员会作否决投标处理。</w:t>
            </w:r>
          </w:p>
        </w:tc>
      </w:tr>
      <w:tr w14:paraId="0C2C3F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4DF2969D">
            <w:pPr>
              <w:spacing w:line="400" w:lineRule="exact"/>
              <w:jc w:val="center"/>
              <w:rPr>
                <w:rFonts w:ascii="宋体" w:hAnsi="宋体"/>
                <w:color w:val="auto"/>
                <w:szCs w:val="21"/>
                <w:highlight w:val="none"/>
              </w:rPr>
            </w:pPr>
          </w:p>
        </w:tc>
        <w:tc>
          <w:tcPr>
            <w:tcW w:w="7478" w:type="dxa"/>
            <w:vAlign w:val="center"/>
          </w:tcPr>
          <w:p w14:paraId="13EA890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ascii="宋体" w:hAnsi="宋体"/>
                <w:color w:val="auto"/>
                <w:szCs w:val="21"/>
                <w:highlight w:val="none"/>
              </w:rPr>
              <w:t>2</w:t>
            </w:r>
            <w:r>
              <w:rPr>
                <w:rFonts w:hint="eastAsia" w:ascii="宋体" w:hAnsi="宋体"/>
                <w:color w:val="auto"/>
                <w:szCs w:val="21"/>
                <w:highlight w:val="none"/>
              </w:rPr>
              <w:t>工期符合第二章“投标人须知”第1.3.2项规定，否则由评标委员会作否决投标处理。</w:t>
            </w:r>
          </w:p>
        </w:tc>
      </w:tr>
      <w:tr w14:paraId="04C62F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11A8F27">
            <w:pPr>
              <w:spacing w:line="400" w:lineRule="exact"/>
              <w:jc w:val="center"/>
              <w:rPr>
                <w:rFonts w:ascii="宋体" w:hAnsi="宋体"/>
                <w:color w:val="auto"/>
                <w:szCs w:val="21"/>
                <w:highlight w:val="none"/>
              </w:rPr>
            </w:pPr>
          </w:p>
        </w:tc>
        <w:tc>
          <w:tcPr>
            <w:tcW w:w="7478" w:type="dxa"/>
            <w:vAlign w:val="center"/>
          </w:tcPr>
          <w:p w14:paraId="4482886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ascii="宋体" w:hAnsi="宋体"/>
                <w:color w:val="auto"/>
                <w:szCs w:val="21"/>
                <w:highlight w:val="none"/>
              </w:rPr>
              <w:t>3</w:t>
            </w:r>
            <w:r>
              <w:rPr>
                <w:rFonts w:hint="eastAsia" w:ascii="宋体" w:hAnsi="宋体"/>
                <w:color w:val="auto"/>
                <w:szCs w:val="21"/>
                <w:highlight w:val="none"/>
              </w:rPr>
              <w:t>质量标准符合第二章“投标人须知”第1.3.3项规定，否则由评标委员会作否决投标处理。</w:t>
            </w:r>
          </w:p>
        </w:tc>
      </w:tr>
      <w:tr w14:paraId="30C89C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5DC771A">
            <w:pPr>
              <w:spacing w:line="400" w:lineRule="exact"/>
              <w:jc w:val="center"/>
              <w:rPr>
                <w:rFonts w:ascii="宋体" w:hAnsi="宋体"/>
                <w:color w:val="auto"/>
                <w:szCs w:val="21"/>
                <w:highlight w:val="none"/>
              </w:rPr>
            </w:pPr>
          </w:p>
        </w:tc>
        <w:tc>
          <w:tcPr>
            <w:tcW w:w="7478" w:type="dxa"/>
            <w:vAlign w:val="center"/>
          </w:tcPr>
          <w:p w14:paraId="0451EF1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ascii="宋体" w:hAnsi="宋体"/>
                <w:color w:val="auto"/>
                <w:szCs w:val="21"/>
                <w:highlight w:val="none"/>
              </w:rPr>
              <w:t>4</w:t>
            </w:r>
            <w:r>
              <w:rPr>
                <w:rFonts w:hint="eastAsia" w:ascii="宋体" w:hAnsi="宋体"/>
                <w:color w:val="auto"/>
                <w:szCs w:val="21"/>
                <w:highlight w:val="none"/>
              </w:rPr>
              <w:t>投标有效期符合第二章“投标人须知”第3.3.1项规定，否则由评标委员会作否决投标处理。</w:t>
            </w:r>
          </w:p>
        </w:tc>
      </w:tr>
      <w:tr w14:paraId="6E757A2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20FF9E8">
            <w:pPr>
              <w:spacing w:line="400" w:lineRule="exact"/>
              <w:jc w:val="center"/>
              <w:rPr>
                <w:rFonts w:ascii="宋体" w:hAnsi="宋体"/>
                <w:color w:val="auto"/>
                <w:szCs w:val="21"/>
                <w:highlight w:val="none"/>
              </w:rPr>
            </w:pPr>
          </w:p>
        </w:tc>
        <w:tc>
          <w:tcPr>
            <w:tcW w:w="7478" w:type="dxa"/>
            <w:vAlign w:val="center"/>
          </w:tcPr>
          <w:p w14:paraId="492C3F5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ascii="宋体" w:hAnsi="宋体"/>
                <w:color w:val="auto"/>
                <w:szCs w:val="21"/>
                <w:highlight w:val="none"/>
              </w:rPr>
              <w:t>5</w:t>
            </w:r>
            <w:r>
              <w:rPr>
                <w:rFonts w:hint="eastAsia" w:ascii="宋体" w:hAnsi="宋体"/>
                <w:color w:val="auto"/>
                <w:szCs w:val="21"/>
                <w:highlight w:val="none"/>
              </w:rPr>
              <w:t>投标函中的总报价不得高于招标人公布的投标总报价最高限价，</w:t>
            </w:r>
            <w:r>
              <w:rPr>
                <w:rFonts w:hint="eastAsia" w:ascii="宋体" w:hAnsi="宋体" w:cs="宋体"/>
                <w:color w:val="auto"/>
                <w:kern w:val="0"/>
                <w:highlight w:val="none"/>
              </w:rPr>
              <w:t>投标分项报价不得高于招标人公布的投标分项报价最高限价，投标</w:t>
            </w:r>
            <w:r>
              <w:rPr>
                <w:rFonts w:hint="eastAsia" w:ascii="宋体" w:hAnsi="宋体" w:cs="宋体"/>
                <w:color w:val="auto"/>
                <w:szCs w:val="21"/>
                <w:highlight w:val="none"/>
              </w:rPr>
              <w:t>总报价与依据分项</w:t>
            </w:r>
            <w:r>
              <w:rPr>
                <w:rFonts w:ascii="宋体" w:hAnsi="宋体" w:cs="宋体"/>
                <w:color w:val="auto"/>
                <w:szCs w:val="21"/>
                <w:highlight w:val="none"/>
              </w:rPr>
              <w:t>报价、</w:t>
            </w:r>
            <w:r>
              <w:rPr>
                <w:rFonts w:hint="eastAsia" w:ascii="宋体" w:hAnsi="宋体" w:cs="宋体"/>
                <w:color w:val="auto"/>
                <w:szCs w:val="21"/>
                <w:highlight w:val="none"/>
              </w:rPr>
              <w:t>单价/费率报价计算出的结果应一致，</w:t>
            </w:r>
            <w:r>
              <w:rPr>
                <w:rFonts w:hint="eastAsia" w:ascii="宋体" w:hAnsi="宋体"/>
                <w:color w:val="auto"/>
                <w:szCs w:val="21"/>
                <w:highlight w:val="none"/>
              </w:rPr>
              <w:t>否则由评标委员会作否决投标处理。</w:t>
            </w:r>
          </w:p>
        </w:tc>
      </w:tr>
      <w:tr w14:paraId="0FAAC8E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71951485">
            <w:pPr>
              <w:spacing w:line="400" w:lineRule="exact"/>
              <w:jc w:val="center"/>
              <w:rPr>
                <w:rFonts w:ascii="宋体" w:hAnsi="宋体"/>
                <w:color w:val="auto"/>
                <w:szCs w:val="21"/>
                <w:highlight w:val="none"/>
              </w:rPr>
            </w:pPr>
          </w:p>
        </w:tc>
        <w:tc>
          <w:tcPr>
            <w:tcW w:w="7478" w:type="dxa"/>
            <w:vAlign w:val="center"/>
          </w:tcPr>
          <w:p w14:paraId="6C0FD5B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ascii="宋体" w:hAnsi="宋体"/>
                <w:color w:val="auto"/>
                <w:szCs w:val="21"/>
                <w:highlight w:val="none"/>
              </w:rPr>
              <w:t>6</w:t>
            </w:r>
            <w:r>
              <w:rPr>
                <w:rFonts w:hint="eastAsia" w:ascii="宋体" w:hAnsi="宋体"/>
                <w:color w:val="auto"/>
                <w:szCs w:val="21"/>
                <w:highlight w:val="none"/>
              </w:rPr>
              <w:t>投标总报价低于最高限价85%的，投标人应在编制投标文件时，在投标函部分中递交低价风险担保缴纳承诺书。承诺书格式详见第八章投标文件格式。否则由评标委员会作否决投标处理。</w:t>
            </w:r>
          </w:p>
        </w:tc>
      </w:tr>
      <w:tr w14:paraId="2B3F7F7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422DAE1">
            <w:pPr>
              <w:spacing w:line="400" w:lineRule="exact"/>
              <w:jc w:val="center"/>
              <w:rPr>
                <w:rFonts w:ascii="宋体" w:hAnsi="宋体"/>
                <w:color w:val="auto"/>
                <w:szCs w:val="21"/>
                <w:highlight w:val="none"/>
              </w:rPr>
            </w:pPr>
          </w:p>
        </w:tc>
        <w:tc>
          <w:tcPr>
            <w:tcW w:w="7478" w:type="dxa"/>
            <w:vAlign w:val="center"/>
          </w:tcPr>
          <w:p w14:paraId="14EF49C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ascii="宋体" w:hAnsi="宋体"/>
                <w:color w:val="auto"/>
                <w:szCs w:val="21"/>
                <w:highlight w:val="none"/>
              </w:rPr>
              <w:t>7</w:t>
            </w:r>
            <w:r>
              <w:rPr>
                <w:rFonts w:hint="eastAsia" w:ascii="宋体" w:hAnsi="宋体" w:cs="宋体"/>
                <w:color w:val="auto"/>
                <w:kern w:val="0"/>
                <w:highlight w:val="none"/>
              </w:rPr>
              <w:t>暂定金额（暂列金）必须按照招标文件给定的金额填报</w:t>
            </w:r>
            <w:r>
              <w:rPr>
                <w:rFonts w:hint="eastAsia" w:ascii="宋体" w:hAnsi="宋体"/>
                <w:color w:val="auto"/>
                <w:szCs w:val="21"/>
                <w:highlight w:val="none"/>
              </w:rPr>
              <w:t>，否则由评标委员会作否决投标处理。</w:t>
            </w:r>
          </w:p>
        </w:tc>
      </w:tr>
      <w:tr w14:paraId="0A7FFE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5A146F24">
            <w:pPr>
              <w:spacing w:line="400" w:lineRule="exact"/>
              <w:jc w:val="center"/>
              <w:rPr>
                <w:rFonts w:ascii="宋体" w:hAnsi="宋体"/>
                <w:color w:val="auto"/>
                <w:szCs w:val="21"/>
                <w:highlight w:val="none"/>
              </w:rPr>
            </w:pPr>
          </w:p>
        </w:tc>
        <w:tc>
          <w:tcPr>
            <w:tcW w:w="7478" w:type="dxa"/>
            <w:vAlign w:val="center"/>
          </w:tcPr>
          <w:p w14:paraId="7083C97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ascii="宋体" w:hAnsi="宋体"/>
                <w:color w:val="auto"/>
                <w:szCs w:val="21"/>
                <w:highlight w:val="none"/>
              </w:rPr>
              <w:t>8</w:t>
            </w:r>
            <w:r>
              <w:rPr>
                <w:rFonts w:hint="eastAsia" w:ascii="宋体" w:hAnsi="宋体"/>
                <w:color w:val="auto"/>
                <w:szCs w:val="21"/>
                <w:highlight w:val="none"/>
              </w:rPr>
              <w:t>只能有一个有效报价。在招标文件没有规定的情况下，不得提交选择性报价，否则由评标委员会作否决投标处理。</w:t>
            </w:r>
          </w:p>
        </w:tc>
      </w:tr>
      <w:tr w14:paraId="54EDE9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0ED45276">
            <w:pPr>
              <w:spacing w:line="400" w:lineRule="exact"/>
              <w:jc w:val="center"/>
              <w:rPr>
                <w:rFonts w:ascii="宋体" w:hAnsi="宋体"/>
                <w:color w:val="auto"/>
                <w:szCs w:val="21"/>
                <w:highlight w:val="none"/>
              </w:rPr>
            </w:pPr>
          </w:p>
        </w:tc>
        <w:tc>
          <w:tcPr>
            <w:tcW w:w="7478" w:type="dxa"/>
            <w:vAlign w:val="center"/>
          </w:tcPr>
          <w:p w14:paraId="2DC6A41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29</w:t>
            </w:r>
            <w:r>
              <w:rPr>
                <w:rFonts w:hint="eastAsia" w:ascii="宋体" w:hAnsi="宋体"/>
                <w:color w:val="auto"/>
                <w:szCs w:val="21"/>
                <w:highlight w:val="none"/>
              </w:rPr>
              <w:t>投标人必须按招标清单（如有）要求填报价格。内容必须与招标清单一致，否则交由评标委员会作否决投标处理。</w:t>
            </w:r>
          </w:p>
        </w:tc>
      </w:tr>
      <w:tr w14:paraId="465231B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2AD88A30">
            <w:pPr>
              <w:spacing w:line="400" w:lineRule="exact"/>
              <w:jc w:val="center"/>
              <w:rPr>
                <w:rFonts w:ascii="宋体" w:hAnsi="宋体"/>
                <w:color w:val="auto"/>
                <w:szCs w:val="21"/>
                <w:highlight w:val="none"/>
              </w:rPr>
            </w:pPr>
          </w:p>
        </w:tc>
        <w:tc>
          <w:tcPr>
            <w:tcW w:w="7478" w:type="dxa"/>
            <w:vAlign w:val="center"/>
          </w:tcPr>
          <w:p w14:paraId="7164424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w:t>
            </w:r>
            <w:r>
              <w:rPr>
                <w:rFonts w:ascii="宋体" w:hAnsi="宋体"/>
                <w:color w:val="auto"/>
                <w:szCs w:val="21"/>
                <w:highlight w:val="none"/>
              </w:rPr>
              <w:t>0</w:t>
            </w:r>
            <w:r>
              <w:rPr>
                <w:rFonts w:hint="eastAsia" w:ascii="宋体" w:hAnsi="宋体"/>
                <w:color w:val="auto"/>
                <w:szCs w:val="21"/>
                <w:highlight w:val="none"/>
              </w:rPr>
              <w:t>投标人的每项清单综合单价报价（如有）不得超过每项清单综合单价最高限价，否则由评标委员会作否决投标处理。</w:t>
            </w:r>
          </w:p>
        </w:tc>
      </w:tr>
      <w:tr w14:paraId="1122EF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Merge w:val="continue"/>
            <w:vAlign w:val="center"/>
          </w:tcPr>
          <w:p w14:paraId="35FD30A5">
            <w:pPr>
              <w:spacing w:line="400" w:lineRule="exact"/>
              <w:jc w:val="center"/>
              <w:rPr>
                <w:rFonts w:ascii="宋体" w:hAnsi="宋体"/>
                <w:color w:val="auto"/>
                <w:szCs w:val="21"/>
                <w:highlight w:val="none"/>
              </w:rPr>
            </w:pPr>
          </w:p>
        </w:tc>
        <w:tc>
          <w:tcPr>
            <w:tcW w:w="7478" w:type="dxa"/>
            <w:vAlign w:val="center"/>
          </w:tcPr>
          <w:p w14:paraId="1955F00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w:t>
            </w:r>
            <w:r>
              <w:rPr>
                <w:rFonts w:ascii="宋体" w:hAnsi="宋体"/>
                <w:color w:val="auto"/>
                <w:szCs w:val="21"/>
                <w:highlight w:val="none"/>
              </w:rPr>
              <w:t>1</w:t>
            </w:r>
            <w:r>
              <w:rPr>
                <w:rFonts w:hint="eastAsia" w:ascii="宋体" w:hAnsi="宋体"/>
                <w:color w:val="auto"/>
                <w:szCs w:val="21"/>
                <w:highlight w:val="none"/>
              </w:rPr>
              <w:t>投标报价有算术错误的，按照第三章“评标办法”第3.2.3项规定执行，否则由评标委员会作否决投标处理。</w:t>
            </w:r>
          </w:p>
        </w:tc>
      </w:tr>
      <w:tr w14:paraId="629FD33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515" w:type="dxa"/>
            <w:vAlign w:val="center"/>
          </w:tcPr>
          <w:p w14:paraId="5342DC1A">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7478" w:type="dxa"/>
          </w:tcPr>
          <w:p w14:paraId="08F106FA">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1AF8AF9C">
      <w:pPr>
        <w:pStyle w:val="33"/>
        <w:spacing w:line="360" w:lineRule="auto"/>
        <w:jc w:val="both"/>
        <w:rPr>
          <w:rFonts w:ascii="宋体" w:hAnsi="宋体"/>
          <w:color w:val="auto"/>
          <w:sz w:val="21"/>
          <w:szCs w:val="21"/>
          <w:highlight w:val="none"/>
          <w:u w:val="none"/>
          <w:lang w:eastAsia="zh-CN"/>
        </w:rPr>
      </w:pPr>
    </w:p>
    <w:p w14:paraId="25243AEE">
      <w:pPr>
        <w:spacing w:line="200" w:lineRule="exact"/>
        <w:rPr>
          <w:rFonts w:ascii="宋体" w:hAnsi="宋体"/>
          <w:color w:val="auto"/>
          <w:kern w:val="0"/>
          <w:highlight w:val="none"/>
        </w:rPr>
      </w:pPr>
      <w:r>
        <w:rPr>
          <w:rFonts w:ascii="宋体" w:hAnsi="宋体"/>
          <w:snapToGrid w:val="0"/>
          <w:color w:val="auto"/>
          <w:kern w:val="0"/>
          <w:highlight w:val="none"/>
        </w:rPr>
        <w:br w:type="page"/>
      </w:r>
      <w:bookmarkStart w:id="597" w:name="招标文件03章02评标办法综合评估法00"/>
      <w:bookmarkEnd w:id="597"/>
      <w:bookmarkStart w:id="598" w:name="招标文件03章02评标办法综合评估法"/>
      <w:bookmarkEnd w:id="598"/>
      <w:bookmarkStart w:id="599" w:name="_Toc287607812"/>
      <w:bookmarkStart w:id="600" w:name="_Toc287620751"/>
      <w:bookmarkStart w:id="601" w:name="_Toc200513198"/>
      <w:bookmarkStart w:id="602" w:name="_Toc277082618"/>
      <w:bookmarkStart w:id="603" w:name="_Toc224103384"/>
      <w:bookmarkStart w:id="604" w:name="_Toc430530500"/>
    </w:p>
    <w:p w14:paraId="4E185902">
      <w:pPr>
        <w:pStyle w:val="3"/>
        <w:spacing w:line="360" w:lineRule="auto"/>
        <w:ind w:firstLine="883" w:firstLineChars="200"/>
        <w:jc w:val="center"/>
        <w:rPr>
          <w:rFonts w:ascii="宋体" w:hAnsi="宋体"/>
          <w:color w:val="auto"/>
          <w:highlight w:val="none"/>
        </w:rPr>
      </w:pPr>
      <w:bookmarkStart w:id="605" w:name="_Toc509218774"/>
      <w:bookmarkStart w:id="606" w:name="_Toc58860132"/>
      <w:r>
        <w:rPr>
          <w:rFonts w:ascii="宋体" w:hAnsi="宋体"/>
          <w:color w:val="auto"/>
          <w:highlight w:val="none"/>
        </w:rPr>
        <w:t xml:space="preserve">第三章 </w:t>
      </w:r>
      <w:r>
        <w:rPr>
          <w:rFonts w:hint="eastAsia" w:ascii="宋体" w:hAnsi="宋体"/>
          <w:color w:val="auto"/>
          <w:highlight w:val="none"/>
        </w:rPr>
        <w:t xml:space="preserve"> </w:t>
      </w:r>
      <w:r>
        <w:rPr>
          <w:rFonts w:ascii="宋体" w:hAnsi="宋体"/>
          <w:color w:val="auto"/>
          <w:highlight w:val="none"/>
        </w:rPr>
        <w:t>评标办法（综合评估法）</w:t>
      </w:r>
      <w:bookmarkEnd w:id="605"/>
      <w:bookmarkEnd w:id="606"/>
      <w:bookmarkStart w:id="607" w:name="_Toc277082617"/>
      <w:bookmarkStart w:id="608" w:name="_Toc287607811"/>
      <w:bookmarkStart w:id="609" w:name="_Toc224103383"/>
      <w:bookmarkStart w:id="610" w:name="_Toc430530499"/>
      <w:bookmarkStart w:id="611" w:name="_Toc287620750"/>
    </w:p>
    <w:p w14:paraId="4B75D3DD">
      <w:pPr>
        <w:pStyle w:val="4"/>
        <w:spacing w:before="100" w:after="100" w:line="360" w:lineRule="auto"/>
        <w:rPr>
          <w:rFonts w:ascii="宋体" w:hAnsi="宋体"/>
          <w:color w:val="auto"/>
          <w:highlight w:val="none"/>
        </w:rPr>
      </w:pPr>
      <w:bookmarkStart w:id="612" w:name="_Toc509218775"/>
      <w:bookmarkStart w:id="613" w:name="_Toc58860133"/>
      <w:r>
        <w:rPr>
          <w:rFonts w:hint="eastAsia" w:ascii="宋体" w:hAnsi="宋体"/>
          <w:color w:val="auto"/>
          <w:highlight w:val="none"/>
        </w:rPr>
        <w:t>评标办法前附表</w:t>
      </w:r>
      <w:bookmarkEnd w:id="612"/>
      <w:bookmarkEnd w:id="613"/>
    </w:p>
    <w:p w14:paraId="7C9826C6">
      <w:pPr>
        <w:spacing w:line="360" w:lineRule="auto"/>
        <w:ind w:firstLine="420" w:firstLineChars="200"/>
        <w:rPr>
          <w:color w:val="auto"/>
          <w:szCs w:val="21"/>
          <w:highlight w:val="none"/>
        </w:rPr>
      </w:pPr>
      <w:r>
        <w:rPr>
          <w:color w:val="auto"/>
          <w:szCs w:val="21"/>
          <w:highlight w:val="none"/>
        </w:rPr>
        <w:t>评标办法前附表中的评审内容必须和投标人须知前附表中的对应内容一致，若投标人须知前附表中未作要求的内容，不得列入评标办法前附表作为评定依据。</w:t>
      </w:r>
    </w:p>
    <w:tbl>
      <w:tblPr>
        <w:tblStyle w:val="45"/>
        <w:tblW w:w="947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768"/>
        <w:gridCol w:w="709"/>
        <w:gridCol w:w="851"/>
        <w:gridCol w:w="69"/>
        <w:gridCol w:w="214"/>
        <w:gridCol w:w="1370"/>
        <w:gridCol w:w="5492"/>
      </w:tblGrid>
      <w:tr w14:paraId="2A2757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tcBorders>
              <w:right w:val="single" w:color="auto" w:sz="4" w:space="0"/>
            </w:tcBorders>
            <w:vAlign w:val="center"/>
          </w:tcPr>
          <w:p w14:paraId="40AB6AC5">
            <w:pPr>
              <w:spacing w:line="400" w:lineRule="exact"/>
              <w:ind w:left="-105" w:leftChars="-50" w:right="-105" w:rightChars="-50"/>
              <w:jc w:val="center"/>
              <w:rPr>
                <w:rFonts w:ascii="宋体" w:hAnsi="宋体"/>
                <w:b/>
                <w:color w:val="auto"/>
                <w:kern w:val="0"/>
                <w:highlight w:val="none"/>
              </w:rPr>
            </w:pPr>
            <w:r>
              <w:rPr>
                <w:rFonts w:ascii="宋体" w:hAnsi="宋体"/>
                <w:b/>
                <w:color w:val="auto"/>
                <w:kern w:val="0"/>
                <w:highlight w:val="none"/>
              </w:rPr>
              <w:t>条款号</w:t>
            </w:r>
          </w:p>
        </w:tc>
        <w:tc>
          <w:tcPr>
            <w:tcW w:w="3213" w:type="dxa"/>
            <w:gridSpan w:val="5"/>
            <w:tcBorders>
              <w:left w:val="single" w:color="auto" w:sz="4" w:space="0"/>
            </w:tcBorders>
            <w:vAlign w:val="center"/>
          </w:tcPr>
          <w:p w14:paraId="5829F3AC">
            <w:pPr>
              <w:spacing w:line="400" w:lineRule="exact"/>
              <w:jc w:val="center"/>
              <w:rPr>
                <w:rFonts w:ascii="宋体" w:hAnsi="宋体"/>
                <w:b/>
                <w:color w:val="auto"/>
                <w:kern w:val="0"/>
                <w:highlight w:val="none"/>
              </w:rPr>
            </w:pPr>
            <w:r>
              <w:rPr>
                <w:rFonts w:ascii="宋体" w:hAnsi="宋体"/>
                <w:b/>
                <w:color w:val="auto"/>
                <w:kern w:val="0"/>
                <w:highlight w:val="none"/>
              </w:rPr>
              <w:t>评审因素</w:t>
            </w:r>
          </w:p>
        </w:tc>
        <w:tc>
          <w:tcPr>
            <w:tcW w:w="5492" w:type="dxa"/>
            <w:vAlign w:val="center"/>
          </w:tcPr>
          <w:p w14:paraId="13FAAF08">
            <w:pPr>
              <w:spacing w:line="400" w:lineRule="exact"/>
              <w:jc w:val="center"/>
              <w:rPr>
                <w:rFonts w:ascii="宋体" w:hAnsi="宋体"/>
                <w:b/>
                <w:color w:val="auto"/>
                <w:kern w:val="0"/>
                <w:highlight w:val="none"/>
              </w:rPr>
            </w:pPr>
            <w:r>
              <w:rPr>
                <w:rFonts w:ascii="宋体" w:hAnsi="宋体"/>
                <w:b/>
                <w:color w:val="auto"/>
                <w:kern w:val="0"/>
                <w:highlight w:val="none"/>
              </w:rPr>
              <w:t>评审标准</w:t>
            </w:r>
          </w:p>
        </w:tc>
      </w:tr>
      <w:tr w14:paraId="37C01F7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tcBorders>
              <w:right w:val="single" w:color="auto" w:sz="4" w:space="0"/>
            </w:tcBorders>
            <w:vAlign w:val="center"/>
          </w:tcPr>
          <w:p w14:paraId="737682A3">
            <w:pPr>
              <w:spacing w:line="400" w:lineRule="exact"/>
              <w:jc w:val="center"/>
              <w:rPr>
                <w:rFonts w:ascii="宋体" w:hAnsi="宋体"/>
                <w:color w:val="auto"/>
                <w:kern w:val="0"/>
                <w:highlight w:val="none"/>
              </w:rPr>
            </w:pPr>
            <w:r>
              <w:rPr>
                <w:rFonts w:hint="eastAsia" w:ascii="宋体" w:hAnsi="宋体"/>
                <w:color w:val="auto"/>
                <w:kern w:val="0"/>
                <w:highlight w:val="none"/>
              </w:rPr>
              <w:t>1</w:t>
            </w:r>
          </w:p>
        </w:tc>
        <w:tc>
          <w:tcPr>
            <w:tcW w:w="3213" w:type="dxa"/>
            <w:gridSpan w:val="5"/>
            <w:tcBorders>
              <w:left w:val="single" w:color="auto" w:sz="4" w:space="0"/>
            </w:tcBorders>
            <w:vAlign w:val="center"/>
          </w:tcPr>
          <w:p w14:paraId="71A8DB1E">
            <w:pPr>
              <w:spacing w:line="400" w:lineRule="exact"/>
              <w:jc w:val="center"/>
              <w:rPr>
                <w:rFonts w:ascii="宋体" w:hAnsi="宋体"/>
                <w:color w:val="auto"/>
                <w:kern w:val="0"/>
                <w:highlight w:val="none"/>
              </w:rPr>
            </w:pPr>
            <w:r>
              <w:rPr>
                <w:rFonts w:hint="eastAsia" w:ascii="宋体" w:hAnsi="宋体"/>
                <w:color w:val="auto"/>
                <w:kern w:val="0"/>
                <w:highlight w:val="none"/>
              </w:rPr>
              <w:t>评标办法</w:t>
            </w:r>
          </w:p>
        </w:tc>
        <w:tc>
          <w:tcPr>
            <w:tcW w:w="5492" w:type="dxa"/>
            <w:vAlign w:val="center"/>
          </w:tcPr>
          <w:p w14:paraId="64B5366C">
            <w:pPr>
              <w:spacing w:line="400" w:lineRule="exact"/>
              <w:ind w:firstLine="420" w:firstLineChars="200"/>
              <w:jc w:val="left"/>
              <w:rPr>
                <w:rFonts w:ascii="宋体" w:hAnsi="宋体"/>
                <w:color w:val="auto"/>
                <w:kern w:val="0"/>
                <w:highlight w:val="none"/>
              </w:rPr>
            </w:pPr>
            <w:r>
              <w:rPr>
                <w:rFonts w:hint="eastAsia" w:ascii="宋体" w:hAnsi="宋体"/>
                <w:color w:val="auto"/>
                <w:kern w:val="0"/>
                <w:highlight w:val="none"/>
              </w:rPr>
              <w:t>本次评标采用综合评估法。评标委员会按照本章第 2.2 款规定的评分标准进行打分，按得分由高到低顺序推荐中标候选人，或根据招标人授权直接确定中标人。综合评分相等时，以投标报价低的优先；投标报价相等的，以“投标人在红名单中优先”的原则排序</w:t>
            </w:r>
            <w:r>
              <w:rPr>
                <w:rFonts w:hint="eastAsia" w:ascii="宋体" w:hAnsi="宋体"/>
                <w:iCs/>
                <w:color w:val="auto"/>
                <w:kern w:val="0"/>
                <w:highlight w:val="none"/>
              </w:rPr>
              <w:t>（</w:t>
            </w:r>
            <w:r>
              <w:rPr>
                <w:rFonts w:hint="eastAsia" w:ascii="宋体" w:hAnsi="宋体"/>
                <w:iCs/>
                <w:color w:val="auto"/>
                <w:kern w:val="0"/>
                <w:szCs w:val="21"/>
                <w:highlight w:val="none"/>
              </w:rPr>
              <w:t>红名单建立完善后使用；联合体投标的，须联合体牵头人在红名单中</w:t>
            </w:r>
            <w:r>
              <w:rPr>
                <w:rFonts w:hint="eastAsia" w:ascii="宋体" w:hAnsi="宋体"/>
                <w:iCs/>
                <w:color w:val="auto"/>
                <w:kern w:val="0"/>
                <w:highlight w:val="none"/>
              </w:rPr>
              <w:t>）</w:t>
            </w:r>
            <w:r>
              <w:rPr>
                <w:rFonts w:hint="eastAsia" w:ascii="宋体" w:hAnsi="宋体"/>
                <w:color w:val="auto"/>
                <w:kern w:val="0"/>
                <w:highlight w:val="none"/>
              </w:rPr>
              <w:t>；投标人均在红名单中或均不在红名单中的，由评标委员会按照</w:t>
            </w:r>
            <w:r>
              <w:rPr>
                <w:rFonts w:hint="eastAsia" w:ascii="宋体" w:hAnsi="宋体"/>
                <w:color w:val="auto"/>
                <w:kern w:val="0"/>
                <w:highlight w:val="none"/>
                <w:u w:val="single"/>
              </w:rPr>
              <w:t xml:space="preserve">         </w:t>
            </w:r>
            <w:r>
              <w:rPr>
                <w:rFonts w:hint="eastAsia" w:ascii="宋体" w:hAnsi="宋体"/>
                <w:color w:val="auto"/>
                <w:kern w:val="0"/>
                <w:highlight w:val="none"/>
              </w:rPr>
              <w:t>原则排序。</w:t>
            </w:r>
            <w:r>
              <w:rPr>
                <w:rFonts w:hint="eastAsia" w:ascii="宋体" w:hAnsi="宋体"/>
                <w:i/>
                <w:color w:val="auto"/>
                <w:kern w:val="0"/>
                <w:highlight w:val="none"/>
              </w:rPr>
              <w:t>[提示：由招标人事先在招标文件中按照有利于合同履行的原则确定。]</w:t>
            </w:r>
          </w:p>
        </w:tc>
      </w:tr>
      <w:tr w14:paraId="751D8F2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restart"/>
            <w:tcBorders>
              <w:right w:val="single" w:color="auto" w:sz="4" w:space="0"/>
            </w:tcBorders>
            <w:vAlign w:val="center"/>
          </w:tcPr>
          <w:p w14:paraId="3E49AE79">
            <w:pPr>
              <w:spacing w:line="400" w:lineRule="exact"/>
              <w:jc w:val="center"/>
              <w:rPr>
                <w:rFonts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1</w:t>
            </w:r>
          </w:p>
        </w:tc>
        <w:tc>
          <w:tcPr>
            <w:tcW w:w="709" w:type="dxa"/>
            <w:vMerge w:val="restart"/>
            <w:tcBorders>
              <w:right w:val="single" w:color="auto" w:sz="4" w:space="0"/>
            </w:tcBorders>
            <w:vAlign w:val="center"/>
          </w:tcPr>
          <w:p w14:paraId="75E29BE9">
            <w:pPr>
              <w:spacing w:line="400" w:lineRule="exact"/>
              <w:jc w:val="center"/>
              <w:rPr>
                <w:rFonts w:ascii="宋体" w:hAnsi="宋体"/>
                <w:color w:val="auto"/>
                <w:kern w:val="0"/>
                <w:highlight w:val="none"/>
              </w:rPr>
            </w:pPr>
            <w:r>
              <w:rPr>
                <w:rFonts w:ascii="宋体" w:hAnsi="宋体"/>
                <w:color w:val="auto"/>
                <w:kern w:val="0"/>
                <w:highlight w:val="none"/>
              </w:rPr>
              <w:t>资格评审标准</w:t>
            </w:r>
          </w:p>
        </w:tc>
        <w:tc>
          <w:tcPr>
            <w:tcW w:w="2504" w:type="dxa"/>
            <w:gridSpan w:val="4"/>
            <w:tcBorders>
              <w:left w:val="single" w:color="auto" w:sz="4" w:space="0"/>
            </w:tcBorders>
            <w:vAlign w:val="center"/>
          </w:tcPr>
          <w:p w14:paraId="77C9C849">
            <w:pPr>
              <w:spacing w:line="400" w:lineRule="exact"/>
              <w:jc w:val="left"/>
              <w:rPr>
                <w:rFonts w:ascii="宋体" w:hAnsi="宋体"/>
                <w:color w:val="auto"/>
                <w:kern w:val="0"/>
                <w:highlight w:val="none"/>
              </w:rPr>
            </w:pPr>
            <w:r>
              <w:rPr>
                <w:rFonts w:ascii="宋体" w:hAnsi="宋体"/>
                <w:color w:val="auto"/>
                <w:kern w:val="0"/>
                <w:highlight w:val="none"/>
              </w:rPr>
              <w:t>资质</w:t>
            </w:r>
            <w:r>
              <w:rPr>
                <w:rFonts w:hint="eastAsia" w:ascii="宋体" w:hAnsi="宋体"/>
                <w:color w:val="auto"/>
                <w:kern w:val="0"/>
                <w:highlight w:val="none"/>
              </w:rPr>
              <w:t>条件</w:t>
            </w:r>
          </w:p>
        </w:tc>
        <w:tc>
          <w:tcPr>
            <w:tcW w:w="5492" w:type="dxa"/>
            <w:vAlign w:val="center"/>
          </w:tcPr>
          <w:p w14:paraId="118F939E">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14:paraId="24C8054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5166453E">
            <w:pPr>
              <w:spacing w:line="400" w:lineRule="exact"/>
              <w:jc w:val="center"/>
              <w:rPr>
                <w:rFonts w:ascii="宋体" w:hAnsi="宋体"/>
                <w:color w:val="auto"/>
                <w:kern w:val="0"/>
                <w:highlight w:val="none"/>
              </w:rPr>
            </w:pPr>
          </w:p>
        </w:tc>
        <w:tc>
          <w:tcPr>
            <w:tcW w:w="709" w:type="dxa"/>
            <w:vMerge w:val="continue"/>
            <w:tcBorders>
              <w:right w:val="single" w:color="auto" w:sz="4" w:space="0"/>
            </w:tcBorders>
          </w:tcPr>
          <w:p w14:paraId="42AE2371">
            <w:pPr>
              <w:spacing w:line="400" w:lineRule="exact"/>
              <w:jc w:val="center"/>
              <w:rPr>
                <w:rFonts w:ascii="宋体" w:hAnsi="宋体"/>
                <w:color w:val="auto"/>
                <w:kern w:val="0"/>
                <w:highlight w:val="none"/>
              </w:rPr>
            </w:pPr>
          </w:p>
        </w:tc>
        <w:tc>
          <w:tcPr>
            <w:tcW w:w="2504" w:type="dxa"/>
            <w:gridSpan w:val="4"/>
            <w:tcBorders>
              <w:left w:val="single" w:color="auto" w:sz="4" w:space="0"/>
            </w:tcBorders>
          </w:tcPr>
          <w:p w14:paraId="136030BB">
            <w:pPr>
              <w:spacing w:line="400" w:lineRule="exact"/>
              <w:jc w:val="left"/>
              <w:rPr>
                <w:rFonts w:ascii="宋体" w:hAnsi="宋体"/>
                <w:color w:val="auto"/>
                <w:kern w:val="0"/>
                <w:highlight w:val="none"/>
              </w:rPr>
            </w:pPr>
            <w:r>
              <w:rPr>
                <w:rFonts w:ascii="宋体" w:hAnsi="宋体"/>
                <w:color w:val="auto"/>
                <w:kern w:val="0"/>
                <w:highlight w:val="none"/>
              </w:rPr>
              <w:t>营业执照</w:t>
            </w:r>
          </w:p>
        </w:tc>
        <w:tc>
          <w:tcPr>
            <w:tcW w:w="5492" w:type="dxa"/>
            <w:vAlign w:val="center"/>
          </w:tcPr>
          <w:p w14:paraId="27C8A6FD">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14:paraId="02CC50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343D5BAA">
            <w:pPr>
              <w:spacing w:line="400" w:lineRule="exact"/>
              <w:jc w:val="center"/>
              <w:rPr>
                <w:rFonts w:ascii="宋体" w:hAnsi="宋体"/>
                <w:color w:val="auto"/>
                <w:kern w:val="0"/>
                <w:highlight w:val="none"/>
              </w:rPr>
            </w:pPr>
          </w:p>
        </w:tc>
        <w:tc>
          <w:tcPr>
            <w:tcW w:w="709" w:type="dxa"/>
            <w:vMerge w:val="continue"/>
            <w:tcBorders>
              <w:right w:val="single" w:color="auto" w:sz="4" w:space="0"/>
            </w:tcBorders>
          </w:tcPr>
          <w:p w14:paraId="6BFF382B">
            <w:pPr>
              <w:spacing w:line="400" w:lineRule="exact"/>
              <w:jc w:val="center"/>
              <w:rPr>
                <w:rFonts w:ascii="宋体" w:hAnsi="宋体"/>
                <w:color w:val="auto"/>
                <w:kern w:val="0"/>
                <w:highlight w:val="none"/>
              </w:rPr>
            </w:pPr>
          </w:p>
        </w:tc>
        <w:tc>
          <w:tcPr>
            <w:tcW w:w="2504" w:type="dxa"/>
            <w:gridSpan w:val="4"/>
            <w:tcBorders>
              <w:left w:val="single" w:color="auto" w:sz="4" w:space="0"/>
            </w:tcBorders>
          </w:tcPr>
          <w:p w14:paraId="7FD4DBAF">
            <w:pPr>
              <w:spacing w:line="400" w:lineRule="exact"/>
              <w:jc w:val="left"/>
              <w:rPr>
                <w:rFonts w:ascii="宋体" w:hAnsi="宋体"/>
                <w:color w:val="auto"/>
                <w:kern w:val="0"/>
                <w:highlight w:val="none"/>
              </w:rPr>
            </w:pPr>
            <w:r>
              <w:rPr>
                <w:rFonts w:ascii="宋体" w:hAnsi="宋体"/>
                <w:color w:val="auto"/>
                <w:kern w:val="0"/>
                <w:highlight w:val="none"/>
              </w:rPr>
              <w:t>安全生产条件</w:t>
            </w:r>
          </w:p>
        </w:tc>
        <w:tc>
          <w:tcPr>
            <w:tcW w:w="5492" w:type="dxa"/>
            <w:vAlign w:val="center"/>
          </w:tcPr>
          <w:p w14:paraId="23294BEF">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14:paraId="70B98C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3E8D6B61">
            <w:pPr>
              <w:spacing w:line="400" w:lineRule="exact"/>
              <w:jc w:val="center"/>
              <w:rPr>
                <w:rFonts w:ascii="宋体" w:hAnsi="宋体"/>
                <w:color w:val="auto"/>
                <w:kern w:val="0"/>
                <w:highlight w:val="none"/>
              </w:rPr>
            </w:pPr>
          </w:p>
        </w:tc>
        <w:tc>
          <w:tcPr>
            <w:tcW w:w="709" w:type="dxa"/>
            <w:vMerge w:val="continue"/>
            <w:tcBorders>
              <w:right w:val="single" w:color="auto" w:sz="4" w:space="0"/>
            </w:tcBorders>
          </w:tcPr>
          <w:p w14:paraId="16D23622">
            <w:pPr>
              <w:spacing w:line="400" w:lineRule="exact"/>
              <w:jc w:val="center"/>
              <w:rPr>
                <w:rFonts w:ascii="宋体" w:hAnsi="宋体"/>
                <w:color w:val="auto"/>
                <w:kern w:val="0"/>
                <w:highlight w:val="none"/>
              </w:rPr>
            </w:pPr>
          </w:p>
        </w:tc>
        <w:tc>
          <w:tcPr>
            <w:tcW w:w="2504" w:type="dxa"/>
            <w:gridSpan w:val="4"/>
            <w:tcBorders>
              <w:left w:val="single" w:color="auto" w:sz="4" w:space="0"/>
            </w:tcBorders>
            <w:vAlign w:val="center"/>
          </w:tcPr>
          <w:p w14:paraId="723DDA67">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olor w:val="auto"/>
                <w:kern w:val="0"/>
                <w:highlight w:val="none"/>
              </w:rPr>
              <w:t>财务</w:t>
            </w:r>
            <w:r>
              <w:rPr>
                <w:rFonts w:hint="eastAsia" w:ascii="宋体" w:hAnsi="宋体"/>
                <w:color w:val="auto"/>
                <w:kern w:val="0"/>
                <w:highlight w:val="none"/>
              </w:rPr>
              <w:t>要求</w:t>
            </w:r>
          </w:p>
        </w:tc>
        <w:tc>
          <w:tcPr>
            <w:tcW w:w="5492" w:type="dxa"/>
            <w:vAlign w:val="center"/>
          </w:tcPr>
          <w:p w14:paraId="561F9726">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14:paraId="0CA444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79727913">
            <w:pPr>
              <w:spacing w:line="400" w:lineRule="exact"/>
              <w:jc w:val="center"/>
              <w:rPr>
                <w:rFonts w:ascii="宋体" w:hAnsi="宋体"/>
                <w:color w:val="auto"/>
                <w:kern w:val="0"/>
                <w:highlight w:val="none"/>
              </w:rPr>
            </w:pPr>
          </w:p>
        </w:tc>
        <w:tc>
          <w:tcPr>
            <w:tcW w:w="709" w:type="dxa"/>
            <w:vMerge w:val="continue"/>
            <w:tcBorders>
              <w:right w:val="single" w:color="auto" w:sz="4" w:space="0"/>
            </w:tcBorders>
          </w:tcPr>
          <w:p w14:paraId="20A899C2">
            <w:pPr>
              <w:spacing w:line="400" w:lineRule="exact"/>
              <w:jc w:val="center"/>
              <w:rPr>
                <w:rFonts w:ascii="宋体" w:hAnsi="宋体"/>
                <w:color w:val="auto"/>
                <w:kern w:val="0"/>
                <w:highlight w:val="none"/>
              </w:rPr>
            </w:pPr>
          </w:p>
        </w:tc>
        <w:tc>
          <w:tcPr>
            <w:tcW w:w="2504" w:type="dxa"/>
            <w:gridSpan w:val="4"/>
            <w:tcBorders>
              <w:left w:val="single" w:color="auto" w:sz="4" w:space="0"/>
            </w:tcBorders>
          </w:tcPr>
          <w:p w14:paraId="73351C3A">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业绩要求</w:t>
            </w:r>
          </w:p>
        </w:tc>
        <w:tc>
          <w:tcPr>
            <w:tcW w:w="5492" w:type="dxa"/>
            <w:vAlign w:val="center"/>
          </w:tcPr>
          <w:p w14:paraId="203CDD77">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14:paraId="62B048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38F6725B">
            <w:pPr>
              <w:spacing w:line="400" w:lineRule="exact"/>
              <w:jc w:val="center"/>
              <w:rPr>
                <w:rFonts w:ascii="宋体" w:hAnsi="宋体"/>
                <w:color w:val="auto"/>
                <w:kern w:val="0"/>
                <w:highlight w:val="none"/>
              </w:rPr>
            </w:pPr>
          </w:p>
        </w:tc>
        <w:tc>
          <w:tcPr>
            <w:tcW w:w="709" w:type="dxa"/>
            <w:vMerge w:val="continue"/>
            <w:tcBorders>
              <w:right w:val="single" w:color="auto" w:sz="4" w:space="0"/>
            </w:tcBorders>
          </w:tcPr>
          <w:p w14:paraId="2A4810EF">
            <w:pPr>
              <w:spacing w:line="400" w:lineRule="exact"/>
              <w:jc w:val="center"/>
              <w:rPr>
                <w:rFonts w:ascii="宋体" w:hAnsi="宋体"/>
                <w:color w:val="auto"/>
                <w:kern w:val="0"/>
                <w:highlight w:val="none"/>
              </w:rPr>
            </w:pPr>
          </w:p>
        </w:tc>
        <w:tc>
          <w:tcPr>
            <w:tcW w:w="2504" w:type="dxa"/>
            <w:gridSpan w:val="4"/>
            <w:tcBorders>
              <w:left w:val="single" w:color="auto" w:sz="4" w:space="0"/>
            </w:tcBorders>
          </w:tcPr>
          <w:p w14:paraId="31FE6E3A">
            <w:pPr>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szCs w:val="21"/>
                <w:highlight w:val="none"/>
              </w:rPr>
              <w:t>专业设备材料供货资格</w:t>
            </w:r>
          </w:p>
        </w:tc>
        <w:tc>
          <w:tcPr>
            <w:tcW w:w="5492" w:type="dxa"/>
            <w:vAlign w:val="center"/>
          </w:tcPr>
          <w:p w14:paraId="37AE4C01">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14:paraId="5AC469D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56CAEAE4">
            <w:pPr>
              <w:spacing w:line="400" w:lineRule="exact"/>
              <w:jc w:val="center"/>
              <w:rPr>
                <w:rFonts w:ascii="宋体" w:hAnsi="宋体"/>
                <w:color w:val="auto"/>
                <w:kern w:val="0"/>
                <w:highlight w:val="none"/>
              </w:rPr>
            </w:pPr>
          </w:p>
        </w:tc>
        <w:tc>
          <w:tcPr>
            <w:tcW w:w="709" w:type="dxa"/>
            <w:vMerge w:val="continue"/>
            <w:tcBorders>
              <w:right w:val="single" w:color="auto" w:sz="4" w:space="0"/>
            </w:tcBorders>
          </w:tcPr>
          <w:p w14:paraId="4718173D">
            <w:pPr>
              <w:spacing w:line="400" w:lineRule="exact"/>
              <w:jc w:val="center"/>
              <w:rPr>
                <w:rFonts w:ascii="宋体" w:hAnsi="宋体"/>
                <w:color w:val="auto"/>
                <w:kern w:val="0"/>
                <w:highlight w:val="none"/>
              </w:rPr>
            </w:pPr>
          </w:p>
        </w:tc>
        <w:tc>
          <w:tcPr>
            <w:tcW w:w="2504" w:type="dxa"/>
            <w:gridSpan w:val="4"/>
            <w:tcBorders>
              <w:left w:val="single" w:color="auto" w:sz="4" w:space="0"/>
            </w:tcBorders>
          </w:tcPr>
          <w:p w14:paraId="239FDDA7">
            <w:pPr>
              <w:spacing w:line="400" w:lineRule="exact"/>
              <w:jc w:val="left"/>
              <w:rPr>
                <w:rFonts w:ascii="宋体" w:hAnsi="宋体"/>
                <w:color w:val="auto"/>
                <w:kern w:val="0"/>
                <w:highlight w:val="none"/>
              </w:rPr>
            </w:pPr>
            <w:r>
              <w:rPr>
                <w:rFonts w:ascii="宋体" w:hAnsi="宋体"/>
                <w:color w:val="auto"/>
                <w:szCs w:val="21"/>
                <w:highlight w:val="none"/>
              </w:rPr>
              <w:t>投标截止日投标资格情况</w:t>
            </w:r>
          </w:p>
        </w:tc>
        <w:tc>
          <w:tcPr>
            <w:tcW w:w="5492" w:type="dxa"/>
            <w:vAlign w:val="center"/>
          </w:tcPr>
          <w:p w14:paraId="409EFA82">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14:paraId="2D6ED3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0CE47609">
            <w:pPr>
              <w:spacing w:line="400" w:lineRule="exact"/>
              <w:jc w:val="center"/>
              <w:rPr>
                <w:rFonts w:ascii="宋体" w:hAnsi="宋体"/>
                <w:color w:val="auto"/>
                <w:kern w:val="0"/>
                <w:highlight w:val="none"/>
              </w:rPr>
            </w:pPr>
          </w:p>
        </w:tc>
        <w:tc>
          <w:tcPr>
            <w:tcW w:w="709" w:type="dxa"/>
            <w:vMerge w:val="continue"/>
            <w:tcBorders>
              <w:right w:val="single" w:color="auto" w:sz="4" w:space="0"/>
            </w:tcBorders>
          </w:tcPr>
          <w:p w14:paraId="49119106">
            <w:pPr>
              <w:spacing w:line="400" w:lineRule="exact"/>
              <w:jc w:val="center"/>
              <w:rPr>
                <w:rFonts w:ascii="宋体" w:hAnsi="宋体"/>
                <w:color w:val="auto"/>
                <w:kern w:val="0"/>
                <w:highlight w:val="none"/>
              </w:rPr>
            </w:pPr>
          </w:p>
        </w:tc>
        <w:tc>
          <w:tcPr>
            <w:tcW w:w="2504" w:type="dxa"/>
            <w:gridSpan w:val="4"/>
            <w:tcBorders>
              <w:left w:val="single" w:color="auto" w:sz="4" w:space="0"/>
            </w:tcBorders>
          </w:tcPr>
          <w:p w14:paraId="2615423C">
            <w:pPr>
              <w:spacing w:line="400" w:lineRule="exact"/>
              <w:jc w:val="left"/>
              <w:rPr>
                <w:rFonts w:ascii="宋体" w:hAnsi="宋体"/>
                <w:color w:val="auto"/>
                <w:kern w:val="0"/>
                <w:highlight w:val="none"/>
              </w:rPr>
            </w:pPr>
            <w:r>
              <w:rPr>
                <w:rFonts w:hint="eastAsia" w:ascii="宋体" w:hAnsi="宋体"/>
                <w:color w:val="auto"/>
                <w:kern w:val="0"/>
                <w:highlight w:val="none"/>
              </w:rPr>
              <w:t>工程总承包项目经理</w:t>
            </w:r>
            <w:r>
              <w:rPr>
                <w:rFonts w:ascii="宋体" w:hAnsi="宋体"/>
                <w:color w:val="auto"/>
                <w:kern w:val="0"/>
                <w:highlight w:val="none"/>
              </w:rPr>
              <w:t>资格</w:t>
            </w:r>
            <w:r>
              <w:rPr>
                <w:rFonts w:hint="eastAsia" w:ascii="宋体" w:hAnsi="宋体"/>
                <w:color w:val="auto"/>
                <w:kern w:val="0"/>
                <w:highlight w:val="none"/>
              </w:rPr>
              <w:t>要求</w:t>
            </w:r>
          </w:p>
        </w:tc>
        <w:tc>
          <w:tcPr>
            <w:tcW w:w="5492" w:type="dxa"/>
            <w:vAlign w:val="center"/>
          </w:tcPr>
          <w:p w14:paraId="2ED05B4A">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14:paraId="455DA7A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296F753D">
            <w:pPr>
              <w:spacing w:line="400" w:lineRule="exact"/>
              <w:jc w:val="center"/>
              <w:rPr>
                <w:rFonts w:ascii="宋体" w:hAnsi="宋体"/>
                <w:color w:val="auto"/>
                <w:kern w:val="0"/>
                <w:highlight w:val="none"/>
              </w:rPr>
            </w:pPr>
          </w:p>
        </w:tc>
        <w:tc>
          <w:tcPr>
            <w:tcW w:w="709" w:type="dxa"/>
            <w:vMerge w:val="continue"/>
            <w:tcBorders>
              <w:right w:val="single" w:color="auto" w:sz="4" w:space="0"/>
            </w:tcBorders>
          </w:tcPr>
          <w:p w14:paraId="796E790B">
            <w:pPr>
              <w:spacing w:line="400" w:lineRule="exact"/>
              <w:jc w:val="center"/>
              <w:rPr>
                <w:rFonts w:ascii="宋体" w:hAnsi="宋体"/>
                <w:color w:val="auto"/>
                <w:kern w:val="0"/>
                <w:highlight w:val="none"/>
              </w:rPr>
            </w:pPr>
          </w:p>
        </w:tc>
        <w:tc>
          <w:tcPr>
            <w:tcW w:w="2504" w:type="dxa"/>
            <w:gridSpan w:val="4"/>
            <w:tcBorders>
              <w:left w:val="single" w:color="auto" w:sz="4" w:space="0"/>
            </w:tcBorders>
          </w:tcPr>
          <w:p w14:paraId="3A9CFB30">
            <w:pPr>
              <w:spacing w:line="400" w:lineRule="exact"/>
              <w:jc w:val="left"/>
              <w:rPr>
                <w:rFonts w:ascii="宋体" w:hAnsi="宋体"/>
                <w:color w:val="auto"/>
                <w:kern w:val="0"/>
                <w:highlight w:val="none"/>
              </w:rPr>
            </w:pPr>
            <w:r>
              <w:rPr>
                <w:rFonts w:ascii="宋体" w:hAnsi="宋体"/>
                <w:color w:val="auto"/>
                <w:kern w:val="0"/>
                <w:highlight w:val="none"/>
              </w:rPr>
              <w:t>其他要求</w:t>
            </w:r>
          </w:p>
        </w:tc>
        <w:tc>
          <w:tcPr>
            <w:tcW w:w="5492" w:type="dxa"/>
            <w:vAlign w:val="center"/>
          </w:tcPr>
          <w:p w14:paraId="4CED240D">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符合第二章“投标人须知”第1.4.1项规定</w:t>
            </w:r>
          </w:p>
        </w:tc>
      </w:tr>
      <w:tr w14:paraId="7FEFBAC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tcPr>
          <w:p w14:paraId="0B740CDB">
            <w:pPr>
              <w:spacing w:line="400" w:lineRule="exact"/>
              <w:jc w:val="center"/>
              <w:rPr>
                <w:rFonts w:ascii="宋体" w:hAnsi="宋体"/>
                <w:color w:val="auto"/>
                <w:kern w:val="0"/>
                <w:highlight w:val="none"/>
              </w:rPr>
            </w:pPr>
          </w:p>
        </w:tc>
        <w:tc>
          <w:tcPr>
            <w:tcW w:w="709" w:type="dxa"/>
            <w:vMerge w:val="continue"/>
            <w:tcBorders>
              <w:right w:val="single" w:color="auto" w:sz="4" w:space="0"/>
            </w:tcBorders>
          </w:tcPr>
          <w:p w14:paraId="50386454">
            <w:pPr>
              <w:spacing w:line="400" w:lineRule="exact"/>
              <w:jc w:val="center"/>
              <w:rPr>
                <w:rFonts w:ascii="宋体" w:hAnsi="宋体"/>
                <w:color w:val="auto"/>
                <w:kern w:val="0"/>
                <w:highlight w:val="none"/>
              </w:rPr>
            </w:pPr>
          </w:p>
        </w:tc>
        <w:tc>
          <w:tcPr>
            <w:tcW w:w="2504" w:type="dxa"/>
            <w:gridSpan w:val="4"/>
            <w:tcBorders>
              <w:left w:val="single" w:color="auto" w:sz="4" w:space="0"/>
            </w:tcBorders>
          </w:tcPr>
          <w:p w14:paraId="406651D3">
            <w:pPr>
              <w:spacing w:line="400" w:lineRule="exact"/>
              <w:jc w:val="left"/>
              <w:rPr>
                <w:rFonts w:ascii="宋体" w:hAnsi="宋体"/>
                <w:color w:val="auto"/>
                <w:kern w:val="0"/>
                <w:highlight w:val="none"/>
              </w:rPr>
            </w:pPr>
            <w:r>
              <w:rPr>
                <w:rFonts w:ascii="宋体" w:hAnsi="宋体"/>
                <w:color w:val="auto"/>
                <w:kern w:val="0"/>
                <w:highlight w:val="none"/>
              </w:rPr>
              <w:t>联合体投标人</w:t>
            </w:r>
          </w:p>
        </w:tc>
        <w:tc>
          <w:tcPr>
            <w:tcW w:w="5492" w:type="dxa"/>
            <w:vAlign w:val="center"/>
          </w:tcPr>
          <w:p w14:paraId="2B45AB8C">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符合第二章“投标人须知”第1.4.2项规定</w:t>
            </w:r>
          </w:p>
        </w:tc>
      </w:tr>
      <w:tr w14:paraId="5EE154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restart"/>
            <w:vAlign w:val="center"/>
          </w:tcPr>
          <w:p w14:paraId="56205445">
            <w:pPr>
              <w:spacing w:line="400" w:lineRule="exact"/>
              <w:jc w:val="center"/>
              <w:rPr>
                <w:rFonts w:ascii="宋体" w:hAnsi="宋体"/>
                <w:color w:val="auto"/>
                <w:kern w:val="0"/>
                <w:highlight w:val="none"/>
              </w:rPr>
            </w:pPr>
            <w:r>
              <w:rPr>
                <w:rFonts w:ascii="宋体" w:hAnsi="宋体"/>
                <w:color w:val="auto"/>
                <w:kern w:val="0"/>
                <w:highlight w:val="none"/>
              </w:rPr>
              <w:t>2.1.</w:t>
            </w:r>
            <w:r>
              <w:rPr>
                <w:rFonts w:hint="eastAsia" w:ascii="宋体" w:hAnsi="宋体"/>
                <w:color w:val="auto"/>
                <w:kern w:val="0"/>
                <w:highlight w:val="none"/>
              </w:rPr>
              <w:t>2</w:t>
            </w:r>
          </w:p>
        </w:tc>
        <w:tc>
          <w:tcPr>
            <w:tcW w:w="709" w:type="dxa"/>
            <w:vMerge w:val="restart"/>
            <w:vAlign w:val="center"/>
          </w:tcPr>
          <w:p w14:paraId="6901406B">
            <w:pPr>
              <w:spacing w:line="400" w:lineRule="exact"/>
              <w:jc w:val="center"/>
              <w:rPr>
                <w:rFonts w:ascii="宋体" w:hAnsi="宋体"/>
                <w:color w:val="auto"/>
                <w:kern w:val="0"/>
                <w:highlight w:val="none"/>
              </w:rPr>
            </w:pPr>
            <w:r>
              <w:rPr>
                <w:rFonts w:ascii="宋体" w:hAnsi="宋体"/>
                <w:color w:val="auto"/>
                <w:kern w:val="0"/>
                <w:highlight w:val="none"/>
              </w:rPr>
              <w:t>形式评审标准</w:t>
            </w:r>
          </w:p>
        </w:tc>
        <w:tc>
          <w:tcPr>
            <w:tcW w:w="2504" w:type="dxa"/>
            <w:gridSpan w:val="4"/>
            <w:vAlign w:val="center"/>
          </w:tcPr>
          <w:p w14:paraId="2295AEEE">
            <w:pPr>
              <w:spacing w:line="400" w:lineRule="exact"/>
              <w:jc w:val="left"/>
              <w:rPr>
                <w:rFonts w:ascii="宋体" w:hAnsi="宋体"/>
                <w:color w:val="auto"/>
                <w:kern w:val="0"/>
                <w:highlight w:val="none"/>
              </w:rPr>
            </w:pPr>
            <w:r>
              <w:rPr>
                <w:rFonts w:ascii="宋体" w:hAnsi="宋体"/>
                <w:color w:val="auto"/>
                <w:kern w:val="0"/>
                <w:highlight w:val="none"/>
              </w:rPr>
              <w:t>投标人名称</w:t>
            </w:r>
          </w:p>
        </w:tc>
        <w:tc>
          <w:tcPr>
            <w:tcW w:w="5492" w:type="dxa"/>
            <w:vAlign w:val="center"/>
          </w:tcPr>
          <w:p w14:paraId="46C03735">
            <w:pPr>
              <w:spacing w:line="400" w:lineRule="exact"/>
              <w:ind w:firstLine="420" w:firstLineChars="200"/>
              <w:rPr>
                <w:rFonts w:ascii="宋体" w:hAnsi="宋体"/>
                <w:color w:val="auto"/>
                <w:kern w:val="0"/>
                <w:highlight w:val="none"/>
              </w:rPr>
            </w:pPr>
            <w:r>
              <w:rPr>
                <w:rFonts w:ascii="宋体" w:hAnsi="宋体"/>
                <w:color w:val="auto"/>
                <w:kern w:val="0"/>
                <w:highlight w:val="none"/>
              </w:rPr>
              <w:t>与营业执照、资质证书、安全生产许可证一致</w:t>
            </w:r>
            <w:r>
              <w:rPr>
                <w:rFonts w:hint="eastAsia" w:ascii="宋体" w:hAnsi="宋体"/>
                <w:color w:val="auto"/>
                <w:kern w:val="0"/>
                <w:highlight w:val="none"/>
              </w:rPr>
              <w:t>，依法变更名称的应提交相应证明材料。</w:t>
            </w:r>
          </w:p>
        </w:tc>
      </w:tr>
      <w:tr w14:paraId="58053D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5BFE3B22">
            <w:pPr>
              <w:spacing w:line="400" w:lineRule="exact"/>
              <w:rPr>
                <w:rFonts w:ascii="宋体" w:hAnsi="宋体"/>
                <w:color w:val="auto"/>
                <w:highlight w:val="none"/>
              </w:rPr>
            </w:pPr>
          </w:p>
        </w:tc>
        <w:tc>
          <w:tcPr>
            <w:tcW w:w="709" w:type="dxa"/>
            <w:vMerge w:val="continue"/>
          </w:tcPr>
          <w:p w14:paraId="3A06B6CE">
            <w:pPr>
              <w:spacing w:line="400" w:lineRule="exact"/>
              <w:rPr>
                <w:rFonts w:ascii="宋体" w:hAnsi="宋体"/>
                <w:color w:val="auto"/>
                <w:highlight w:val="none"/>
              </w:rPr>
            </w:pPr>
          </w:p>
        </w:tc>
        <w:tc>
          <w:tcPr>
            <w:tcW w:w="2504" w:type="dxa"/>
            <w:gridSpan w:val="4"/>
            <w:vAlign w:val="center"/>
          </w:tcPr>
          <w:p w14:paraId="33C11084">
            <w:pPr>
              <w:spacing w:line="400" w:lineRule="exact"/>
              <w:jc w:val="left"/>
              <w:rPr>
                <w:rFonts w:ascii="宋体" w:hAnsi="宋体"/>
                <w:color w:val="auto"/>
                <w:kern w:val="0"/>
                <w:highlight w:val="none"/>
              </w:rPr>
            </w:pPr>
            <w:r>
              <w:rPr>
                <w:rFonts w:ascii="宋体" w:hAnsi="宋体"/>
                <w:color w:val="auto"/>
                <w:kern w:val="0"/>
                <w:highlight w:val="none"/>
              </w:rPr>
              <w:t>投标文件格式</w:t>
            </w:r>
          </w:p>
        </w:tc>
        <w:tc>
          <w:tcPr>
            <w:tcW w:w="5492" w:type="dxa"/>
            <w:vAlign w:val="center"/>
          </w:tcPr>
          <w:p w14:paraId="5F45FC53">
            <w:pPr>
              <w:spacing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符合第二章“投标人须知”第3.7款规定（不含投标函部分）。</w:t>
            </w:r>
          </w:p>
        </w:tc>
      </w:tr>
      <w:tr w14:paraId="1F45D2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2C49D17A">
            <w:pPr>
              <w:spacing w:line="400" w:lineRule="exact"/>
              <w:rPr>
                <w:rFonts w:ascii="宋体" w:hAnsi="宋体"/>
                <w:color w:val="auto"/>
                <w:highlight w:val="none"/>
              </w:rPr>
            </w:pPr>
          </w:p>
        </w:tc>
        <w:tc>
          <w:tcPr>
            <w:tcW w:w="709" w:type="dxa"/>
            <w:vMerge w:val="continue"/>
          </w:tcPr>
          <w:p w14:paraId="7386BF64">
            <w:pPr>
              <w:spacing w:line="400" w:lineRule="exact"/>
              <w:rPr>
                <w:rFonts w:ascii="宋体" w:hAnsi="宋体"/>
                <w:color w:val="auto"/>
                <w:highlight w:val="none"/>
              </w:rPr>
            </w:pPr>
          </w:p>
        </w:tc>
        <w:tc>
          <w:tcPr>
            <w:tcW w:w="2504" w:type="dxa"/>
            <w:gridSpan w:val="4"/>
            <w:vAlign w:val="center"/>
          </w:tcPr>
          <w:p w14:paraId="41B12366">
            <w:pPr>
              <w:spacing w:line="400" w:lineRule="exact"/>
              <w:jc w:val="left"/>
              <w:rPr>
                <w:rFonts w:ascii="宋体" w:hAnsi="宋体"/>
                <w:color w:val="auto"/>
                <w:kern w:val="0"/>
                <w:highlight w:val="none"/>
              </w:rPr>
            </w:pPr>
            <w:r>
              <w:rPr>
                <w:rFonts w:ascii="宋体" w:hAnsi="宋体"/>
                <w:color w:val="auto"/>
                <w:kern w:val="0"/>
                <w:highlight w:val="none"/>
              </w:rPr>
              <w:t>联合体投标人</w:t>
            </w:r>
          </w:p>
        </w:tc>
        <w:tc>
          <w:tcPr>
            <w:tcW w:w="5492" w:type="dxa"/>
            <w:vAlign w:val="center"/>
          </w:tcPr>
          <w:p w14:paraId="348562A2">
            <w:pPr>
              <w:spacing w:line="400" w:lineRule="exact"/>
              <w:ind w:firstLine="420" w:firstLineChars="200"/>
              <w:rPr>
                <w:rFonts w:ascii="宋体" w:hAnsi="宋体"/>
                <w:color w:val="auto"/>
                <w:kern w:val="0"/>
                <w:highlight w:val="none"/>
              </w:rPr>
            </w:pPr>
            <w:r>
              <w:rPr>
                <w:rFonts w:ascii="宋体" w:hAnsi="宋体"/>
                <w:color w:val="auto"/>
                <w:kern w:val="0"/>
                <w:highlight w:val="none"/>
              </w:rPr>
              <w:t>提交联合体协议书，并明确联合体牵头人</w:t>
            </w:r>
            <w:r>
              <w:rPr>
                <w:rFonts w:hint="eastAsia" w:ascii="宋体" w:hAnsi="宋体"/>
                <w:color w:val="auto"/>
                <w:kern w:val="0"/>
                <w:highlight w:val="none"/>
              </w:rPr>
              <w:t>。在联合体协议中须明确由联合体牵头人委派委托代理人。</w:t>
            </w:r>
          </w:p>
        </w:tc>
      </w:tr>
      <w:tr w14:paraId="7D99541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3A676C70">
            <w:pPr>
              <w:spacing w:line="400" w:lineRule="exact"/>
              <w:rPr>
                <w:rFonts w:ascii="宋体" w:hAnsi="宋体"/>
                <w:color w:val="auto"/>
                <w:highlight w:val="none"/>
              </w:rPr>
            </w:pPr>
          </w:p>
        </w:tc>
        <w:tc>
          <w:tcPr>
            <w:tcW w:w="709" w:type="dxa"/>
            <w:vMerge w:val="continue"/>
          </w:tcPr>
          <w:p w14:paraId="4A0B9446">
            <w:pPr>
              <w:spacing w:line="400" w:lineRule="exact"/>
              <w:rPr>
                <w:rFonts w:ascii="宋体" w:hAnsi="宋体"/>
                <w:color w:val="auto"/>
                <w:highlight w:val="none"/>
              </w:rPr>
            </w:pPr>
          </w:p>
        </w:tc>
        <w:tc>
          <w:tcPr>
            <w:tcW w:w="2504" w:type="dxa"/>
            <w:gridSpan w:val="4"/>
            <w:vAlign w:val="center"/>
          </w:tcPr>
          <w:p w14:paraId="71928E11">
            <w:pPr>
              <w:spacing w:line="400" w:lineRule="exact"/>
              <w:jc w:val="left"/>
              <w:rPr>
                <w:rFonts w:ascii="宋体" w:hAnsi="宋体"/>
                <w:color w:val="auto"/>
                <w:kern w:val="0"/>
                <w:highlight w:val="none"/>
              </w:rPr>
            </w:pPr>
            <w:r>
              <w:rPr>
                <w:rFonts w:ascii="宋体" w:hAnsi="宋体"/>
                <w:color w:val="auto"/>
                <w:kern w:val="0"/>
                <w:highlight w:val="none"/>
              </w:rPr>
              <w:t>投标文件的签署</w:t>
            </w:r>
          </w:p>
        </w:tc>
        <w:tc>
          <w:tcPr>
            <w:tcW w:w="5492" w:type="dxa"/>
            <w:vAlign w:val="center"/>
          </w:tcPr>
          <w:p w14:paraId="14C91B22">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投标文件格式（不含投标函部分）要求法定代表人或其委托代理人签字（或盖章）的须齐全。</w:t>
            </w:r>
          </w:p>
          <w:p w14:paraId="32A7F428">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联合体协议书中各联合体成员单位签字（或盖章）须齐全，联合体协议书以外的投标文件格式中，要求法定代表人或其委托代理人签字（或盖章）的均由联合体牵头人法定代表人或其委托代理人签字（或盖章）。</w:t>
            </w:r>
          </w:p>
          <w:p w14:paraId="1C28CC46">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w:t>
            </w:r>
          </w:p>
          <w:p w14:paraId="19CFD975">
            <w:pPr>
              <w:autoSpaceDE w:val="0"/>
              <w:autoSpaceDN w:val="0"/>
              <w:adjustRightInd w:val="0"/>
              <w:snapToGrid w:val="0"/>
              <w:spacing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w:t>
            </w:r>
          </w:p>
        </w:tc>
      </w:tr>
      <w:tr w14:paraId="1071399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544F89BD">
            <w:pPr>
              <w:spacing w:line="400" w:lineRule="exact"/>
              <w:rPr>
                <w:rFonts w:ascii="宋体" w:hAnsi="宋体"/>
                <w:color w:val="auto"/>
                <w:highlight w:val="none"/>
              </w:rPr>
            </w:pPr>
          </w:p>
        </w:tc>
        <w:tc>
          <w:tcPr>
            <w:tcW w:w="709" w:type="dxa"/>
            <w:vMerge w:val="continue"/>
          </w:tcPr>
          <w:p w14:paraId="3DCA8868">
            <w:pPr>
              <w:spacing w:line="400" w:lineRule="exact"/>
              <w:rPr>
                <w:rFonts w:ascii="宋体" w:hAnsi="宋体"/>
                <w:color w:val="auto"/>
                <w:highlight w:val="none"/>
              </w:rPr>
            </w:pPr>
          </w:p>
        </w:tc>
        <w:tc>
          <w:tcPr>
            <w:tcW w:w="2504" w:type="dxa"/>
            <w:gridSpan w:val="4"/>
            <w:vAlign w:val="center"/>
          </w:tcPr>
          <w:p w14:paraId="6FBA24C0">
            <w:pPr>
              <w:spacing w:line="400" w:lineRule="exact"/>
              <w:jc w:val="left"/>
              <w:rPr>
                <w:rFonts w:ascii="宋体" w:hAnsi="宋体"/>
                <w:color w:val="auto"/>
                <w:kern w:val="0"/>
                <w:highlight w:val="none"/>
              </w:rPr>
            </w:pPr>
            <w:r>
              <w:rPr>
                <w:rFonts w:ascii="宋体" w:hAnsi="宋体"/>
                <w:color w:val="auto"/>
                <w:kern w:val="0"/>
                <w:highlight w:val="none"/>
              </w:rPr>
              <w:t>委托代理人</w:t>
            </w:r>
          </w:p>
        </w:tc>
        <w:tc>
          <w:tcPr>
            <w:tcW w:w="5492" w:type="dxa"/>
            <w:vAlign w:val="center"/>
          </w:tcPr>
          <w:p w14:paraId="3846E1C6">
            <w:pPr>
              <w:spacing w:line="400" w:lineRule="exact"/>
              <w:ind w:firstLine="420" w:firstLineChars="200"/>
              <w:rPr>
                <w:rFonts w:ascii="宋体" w:hAnsi="宋体"/>
                <w:color w:val="auto"/>
                <w:kern w:val="0"/>
                <w:highlight w:val="none"/>
              </w:rPr>
            </w:pPr>
            <w:r>
              <w:rPr>
                <w:rFonts w:ascii="宋体" w:hAnsi="宋体"/>
                <w:color w:val="auto"/>
                <w:kern w:val="0"/>
                <w:highlight w:val="none"/>
              </w:rPr>
              <w:t>投标人法定代表人的委托代理人有法定代表人签署的授权委托书</w:t>
            </w:r>
            <w:r>
              <w:rPr>
                <w:rFonts w:hint="eastAsia" w:ascii="宋体" w:hAnsi="宋体"/>
                <w:color w:val="auto"/>
                <w:kern w:val="0"/>
                <w:highlight w:val="none"/>
              </w:rPr>
              <w:t>和投标人为其缴纳的养老保险证明材料</w:t>
            </w:r>
            <w:r>
              <w:rPr>
                <w:rFonts w:ascii="宋体" w:hAnsi="宋体"/>
                <w:color w:val="auto"/>
                <w:kern w:val="0"/>
                <w:highlight w:val="none"/>
              </w:rPr>
              <w:t>。</w:t>
            </w:r>
          </w:p>
        </w:tc>
      </w:tr>
      <w:bookmarkEnd w:id="607"/>
      <w:bookmarkEnd w:id="608"/>
      <w:bookmarkEnd w:id="609"/>
      <w:bookmarkEnd w:id="610"/>
      <w:bookmarkEnd w:id="611"/>
      <w:tr w14:paraId="25F8D49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restart"/>
            <w:vAlign w:val="center"/>
          </w:tcPr>
          <w:p w14:paraId="4703CF92">
            <w:pPr>
              <w:spacing w:line="400" w:lineRule="exact"/>
              <w:jc w:val="center"/>
              <w:rPr>
                <w:rFonts w:ascii="宋体" w:hAnsi="宋体"/>
                <w:color w:val="auto"/>
                <w:highlight w:val="none"/>
              </w:rPr>
            </w:pPr>
            <w:r>
              <w:rPr>
                <w:rFonts w:ascii="宋体" w:hAnsi="宋体"/>
                <w:color w:val="auto"/>
                <w:kern w:val="0"/>
                <w:highlight w:val="none"/>
              </w:rPr>
              <w:t>2.1.3</w:t>
            </w:r>
          </w:p>
        </w:tc>
        <w:tc>
          <w:tcPr>
            <w:tcW w:w="709" w:type="dxa"/>
            <w:vMerge w:val="restart"/>
            <w:vAlign w:val="center"/>
          </w:tcPr>
          <w:p w14:paraId="26101C5F">
            <w:pPr>
              <w:spacing w:line="400" w:lineRule="exact"/>
              <w:jc w:val="center"/>
              <w:rPr>
                <w:rFonts w:ascii="宋体" w:hAnsi="宋体"/>
                <w:color w:val="auto"/>
                <w:highlight w:val="none"/>
              </w:rPr>
            </w:pPr>
            <w:r>
              <w:rPr>
                <w:rFonts w:ascii="宋体" w:hAnsi="宋体"/>
                <w:color w:val="auto"/>
                <w:kern w:val="0"/>
                <w:highlight w:val="none"/>
              </w:rPr>
              <w:t>响应性评审标准</w:t>
            </w:r>
          </w:p>
        </w:tc>
        <w:tc>
          <w:tcPr>
            <w:tcW w:w="2504" w:type="dxa"/>
            <w:gridSpan w:val="4"/>
            <w:vAlign w:val="center"/>
          </w:tcPr>
          <w:p w14:paraId="4EE11A8A">
            <w:pPr>
              <w:spacing w:line="400" w:lineRule="exact"/>
              <w:jc w:val="left"/>
              <w:rPr>
                <w:rFonts w:ascii="宋体" w:hAnsi="宋体"/>
                <w:color w:val="auto"/>
                <w:kern w:val="0"/>
                <w:highlight w:val="none"/>
              </w:rPr>
            </w:pPr>
            <w:r>
              <w:rPr>
                <w:rFonts w:ascii="宋体" w:hAnsi="宋体"/>
                <w:color w:val="auto"/>
                <w:kern w:val="0"/>
                <w:highlight w:val="none"/>
              </w:rPr>
              <w:t>投标内容</w:t>
            </w:r>
          </w:p>
        </w:tc>
        <w:tc>
          <w:tcPr>
            <w:tcW w:w="5492" w:type="dxa"/>
            <w:vAlign w:val="center"/>
          </w:tcPr>
          <w:p w14:paraId="4CE13729">
            <w:pPr>
              <w:spacing w:line="400" w:lineRule="exact"/>
              <w:ind w:firstLine="420" w:firstLineChars="200"/>
              <w:rPr>
                <w:rFonts w:ascii="宋体" w:hAnsi="宋体"/>
                <w:color w:val="auto"/>
                <w:kern w:val="0"/>
                <w:highlight w:val="none"/>
              </w:rPr>
            </w:pPr>
            <w:r>
              <w:rPr>
                <w:rFonts w:ascii="宋体" w:hAnsi="宋体"/>
                <w:color w:val="auto"/>
                <w:kern w:val="0"/>
                <w:highlight w:val="none"/>
              </w:rPr>
              <w:t>符合第二章“投标人须知”第1.3.1项规定</w:t>
            </w:r>
          </w:p>
        </w:tc>
      </w:tr>
      <w:tr w14:paraId="51E40FD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2A06BF77">
            <w:pPr>
              <w:spacing w:line="400" w:lineRule="exact"/>
              <w:jc w:val="center"/>
              <w:rPr>
                <w:rFonts w:ascii="宋体" w:hAnsi="宋体"/>
                <w:color w:val="auto"/>
                <w:highlight w:val="none"/>
              </w:rPr>
            </w:pPr>
          </w:p>
        </w:tc>
        <w:tc>
          <w:tcPr>
            <w:tcW w:w="709" w:type="dxa"/>
            <w:vMerge w:val="continue"/>
          </w:tcPr>
          <w:p w14:paraId="46F6F631">
            <w:pPr>
              <w:spacing w:line="400" w:lineRule="exact"/>
              <w:jc w:val="center"/>
              <w:rPr>
                <w:rFonts w:ascii="宋体" w:hAnsi="宋体"/>
                <w:color w:val="auto"/>
                <w:highlight w:val="none"/>
              </w:rPr>
            </w:pPr>
          </w:p>
        </w:tc>
        <w:tc>
          <w:tcPr>
            <w:tcW w:w="2504" w:type="dxa"/>
            <w:gridSpan w:val="4"/>
            <w:vAlign w:val="center"/>
          </w:tcPr>
          <w:p w14:paraId="589E38EA">
            <w:pPr>
              <w:spacing w:line="400" w:lineRule="exact"/>
              <w:jc w:val="left"/>
              <w:rPr>
                <w:rFonts w:ascii="宋体" w:hAnsi="宋体"/>
                <w:color w:val="auto"/>
                <w:kern w:val="0"/>
                <w:highlight w:val="none"/>
              </w:rPr>
            </w:pPr>
            <w:r>
              <w:rPr>
                <w:rFonts w:ascii="宋体" w:hAnsi="宋体"/>
                <w:color w:val="auto"/>
                <w:kern w:val="0"/>
                <w:highlight w:val="none"/>
              </w:rPr>
              <w:t>投标保证金</w:t>
            </w:r>
          </w:p>
        </w:tc>
        <w:tc>
          <w:tcPr>
            <w:tcW w:w="5492" w:type="dxa"/>
            <w:vAlign w:val="center"/>
          </w:tcPr>
          <w:p w14:paraId="71AAE7F7">
            <w:pPr>
              <w:tabs>
                <w:tab w:val="left" w:pos="601"/>
                <w:tab w:val="left" w:pos="669"/>
              </w:tabs>
              <w:snapToGrid w:val="0"/>
              <w:spacing w:line="400" w:lineRule="exact"/>
              <w:ind w:firstLine="420" w:firstLineChars="200"/>
              <w:rPr>
                <w:rFonts w:ascii="宋体" w:hAnsi="宋体"/>
                <w:color w:val="auto"/>
                <w:kern w:val="0"/>
                <w:highlight w:val="none"/>
              </w:rPr>
            </w:pPr>
            <w:r>
              <w:rPr>
                <w:rFonts w:ascii="宋体" w:hAnsi="宋体"/>
                <w:color w:val="auto"/>
                <w:kern w:val="0"/>
                <w:szCs w:val="21"/>
                <w:highlight w:val="none"/>
              </w:rPr>
              <w:t>符合第二章投标人须知前附表第3.4</w:t>
            </w:r>
            <w:r>
              <w:rPr>
                <w:rFonts w:hint="eastAsia" w:ascii="宋体" w:hAnsi="宋体"/>
                <w:color w:val="auto"/>
                <w:kern w:val="0"/>
                <w:szCs w:val="21"/>
                <w:highlight w:val="none"/>
              </w:rPr>
              <w:t>款</w:t>
            </w:r>
            <w:r>
              <w:rPr>
                <w:rFonts w:ascii="宋体" w:hAnsi="宋体"/>
                <w:color w:val="auto"/>
                <w:kern w:val="0"/>
                <w:highlight w:val="none"/>
              </w:rPr>
              <w:t>规定</w:t>
            </w:r>
          </w:p>
        </w:tc>
      </w:tr>
      <w:tr w14:paraId="650B9C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4EE8C154">
            <w:pPr>
              <w:spacing w:line="400" w:lineRule="exact"/>
              <w:jc w:val="center"/>
              <w:rPr>
                <w:rFonts w:ascii="宋体" w:hAnsi="宋体"/>
                <w:color w:val="auto"/>
                <w:highlight w:val="none"/>
              </w:rPr>
            </w:pPr>
          </w:p>
        </w:tc>
        <w:tc>
          <w:tcPr>
            <w:tcW w:w="709" w:type="dxa"/>
            <w:vMerge w:val="continue"/>
          </w:tcPr>
          <w:p w14:paraId="6F482DFB">
            <w:pPr>
              <w:spacing w:line="400" w:lineRule="exact"/>
              <w:jc w:val="center"/>
              <w:rPr>
                <w:rFonts w:ascii="宋体" w:hAnsi="宋体"/>
                <w:color w:val="auto"/>
                <w:highlight w:val="none"/>
              </w:rPr>
            </w:pPr>
          </w:p>
        </w:tc>
        <w:tc>
          <w:tcPr>
            <w:tcW w:w="2504" w:type="dxa"/>
            <w:gridSpan w:val="4"/>
            <w:vAlign w:val="center"/>
          </w:tcPr>
          <w:p w14:paraId="731D8E52">
            <w:pPr>
              <w:spacing w:line="400" w:lineRule="exact"/>
              <w:jc w:val="left"/>
              <w:rPr>
                <w:rFonts w:ascii="宋体" w:hAnsi="宋体"/>
                <w:color w:val="auto"/>
                <w:kern w:val="0"/>
                <w:highlight w:val="none"/>
              </w:rPr>
            </w:pPr>
            <w:r>
              <w:rPr>
                <w:rFonts w:ascii="宋体" w:hAnsi="宋体"/>
                <w:color w:val="auto"/>
                <w:kern w:val="0"/>
                <w:highlight w:val="none"/>
              </w:rPr>
              <w:t>权利义务</w:t>
            </w:r>
          </w:p>
        </w:tc>
        <w:tc>
          <w:tcPr>
            <w:tcW w:w="5492" w:type="dxa"/>
            <w:vAlign w:val="center"/>
          </w:tcPr>
          <w:p w14:paraId="7207B2EA">
            <w:pPr>
              <w:spacing w:after="62" w:afterLines="20" w:line="400" w:lineRule="exact"/>
              <w:ind w:firstLine="420" w:firstLineChars="200"/>
              <w:rPr>
                <w:rFonts w:ascii="宋体" w:hAnsi="宋体"/>
                <w:color w:val="auto"/>
                <w:kern w:val="0"/>
                <w:highlight w:val="none"/>
              </w:rPr>
            </w:pPr>
            <w:r>
              <w:rPr>
                <w:rFonts w:ascii="宋体" w:hAnsi="宋体"/>
                <w:color w:val="auto"/>
                <w:kern w:val="0"/>
                <w:highlight w:val="none"/>
              </w:rPr>
              <w:t>符合第四章“合同条款及格式”规定，投标文件不应附有招标人不能接受的条件。</w:t>
            </w:r>
            <w:r>
              <w:rPr>
                <w:rFonts w:hint="eastAsia" w:ascii="宋体" w:hAnsi="宋体"/>
                <w:color w:val="auto"/>
                <w:kern w:val="0"/>
                <w:highlight w:val="none"/>
              </w:rPr>
              <w:t>（由投标人承诺，承诺书格式详见第八章投标文件格式。）</w:t>
            </w:r>
          </w:p>
        </w:tc>
      </w:tr>
      <w:tr w14:paraId="61FF87C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2B3BEA96">
            <w:pPr>
              <w:spacing w:line="400" w:lineRule="exact"/>
              <w:rPr>
                <w:rFonts w:ascii="宋体" w:hAnsi="宋体"/>
                <w:color w:val="auto"/>
                <w:highlight w:val="none"/>
              </w:rPr>
            </w:pPr>
          </w:p>
        </w:tc>
        <w:tc>
          <w:tcPr>
            <w:tcW w:w="709" w:type="dxa"/>
            <w:vMerge w:val="continue"/>
          </w:tcPr>
          <w:p w14:paraId="05C34BF6">
            <w:pPr>
              <w:spacing w:line="400" w:lineRule="exact"/>
              <w:rPr>
                <w:rFonts w:ascii="宋体" w:hAnsi="宋体"/>
                <w:color w:val="auto"/>
                <w:highlight w:val="none"/>
              </w:rPr>
            </w:pPr>
          </w:p>
        </w:tc>
        <w:tc>
          <w:tcPr>
            <w:tcW w:w="2504" w:type="dxa"/>
            <w:gridSpan w:val="4"/>
            <w:vAlign w:val="center"/>
          </w:tcPr>
          <w:p w14:paraId="1001F0C3">
            <w:pPr>
              <w:spacing w:line="400" w:lineRule="exact"/>
              <w:jc w:val="left"/>
              <w:rPr>
                <w:rFonts w:ascii="宋体" w:hAnsi="宋体"/>
                <w:color w:val="auto"/>
                <w:kern w:val="0"/>
                <w:highlight w:val="none"/>
              </w:rPr>
            </w:pPr>
            <w:r>
              <w:rPr>
                <w:rFonts w:ascii="宋体" w:hAnsi="宋体"/>
                <w:color w:val="auto"/>
                <w:kern w:val="0"/>
                <w:highlight w:val="none"/>
              </w:rPr>
              <w:t>技术标准和要求</w:t>
            </w:r>
          </w:p>
        </w:tc>
        <w:tc>
          <w:tcPr>
            <w:tcW w:w="5492" w:type="dxa"/>
            <w:vAlign w:val="center"/>
          </w:tcPr>
          <w:p w14:paraId="570732D0">
            <w:pPr>
              <w:spacing w:line="400" w:lineRule="exact"/>
              <w:ind w:firstLine="420" w:firstLineChars="200"/>
              <w:rPr>
                <w:rFonts w:ascii="宋体" w:hAnsi="宋体"/>
                <w:color w:val="auto"/>
                <w:kern w:val="0"/>
                <w:highlight w:val="none"/>
              </w:rPr>
            </w:pPr>
            <w:r>
              <w:rPr>
                <w:rFonts w:ascii="宋体" w:hAnsi="宋体"/>
                <w:color w:val="auto"/>
                <w:kern w:val="0"/>
                <w:highlight w:val="none"/>
              </w:rPr>
              <w:t>符合</w:t>
            </w:r>
            <w:r>
              <w:rPr>
                <w:rFonts w:hint="eastAsia" w:ascii="宋体" w:hAnsi="宋体"/>
                <w:color w:val="auto"/>
                <w:kern w:val="0"/>
                <w:highlight w:val="none"/>
              </w:rPr>
              <w:t>第六章</w:t>
            </w:r>
            <w:r>
              <w:rPr>
                <w:rFonts w:ascii="宋体" w:hAnsi="宋体"/>
                <w:color w:val="auto"/>
                <w:kern w:val="0"/>
                <w:highlight w:val="none"/>
              </w:rPr>
              <w:t>“</w:t>
            </w:r>
            <w:r>
              <w:rPr>
                <w:rFonts w:hint="eastAsia" w:ascii="宋体" w:hAnsi="宋体"/>
                <w:color w:val="auto"/>
                <w:kern w:val="0"/>
                <w:highlight w:val="none"/>
              </w:rPr>
              <w:t>发包人要求</w:t>
            </w:r>
            <w:r>
              <w:rPr>
                <w:rFonts w:ascii="宋体" w:hAnsi="宋体"/>
                <w:color w:val="auto"/>
                <w:kern w:val="0"/>
                <w:highlight w:val="none"/>
              </w:rPr>
              <w:t>”</w:t>
            </w:r>
            <w:r>
              <w:rPr>
                <w:rFonts w:hint="eastAsia" w:ascii="宋体" w:hAnsi="宋体"/>
                <w:color w:val="auto"/>
                <w:kern w:val="0"/>
                <w:highlight w:val="none"/>
              </w:rPr>
              <w:t>的</w:t>
            </w:r>
            <w:r>
              <w:rPr>
                <w:rFonts w:ascii="宋体" w:hAnsi="宋体"/>
                <w:color w:val="auto"/>
                <w:kern w:val="0"/>
                <w:highlight w:val="none"/>
              </w:rPr>
              <w:t>规定</w:t>
            </w:r>
            <w:r>
              <w:rPr>
                <w:rFonts w:hint="eastAsia" w:ascii="宋体" w:hAnsi="宋体"/>
                <w:color w:val="auto"/>
                <w:kern w:val="0"/>
                <w:highlight w:val="none"/>
              </w:rPr>
              <w:t>。（由投标人承诺，承诺书格式详见第八章投标文件格式。）</w:t>
            </w:r>
          </w:p>
        </w:tc>
      </w:tr>
      <w:tr w14:paraId="5D155B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Pr>
          <w:p w14:paraId="4D2C109B">
            <w:pPr>
              <w:spacing w:line="400" w:lineRule="exact"/>
              <w:rPr>
                <w:rFonts w:ascii="宋体" w:hAnsi="宋体"/>
                <w:color w:val="auto"/>
                <w:highlight w:val="none"/>
              </w:rPr>
            </w:pPr>
          </w:p>
        </w:tc>
        <w:tc>
          <w:tcPr>
            <w:tcW w:w="709" w:type="dxa"/>
            <w:vMerge w:val="continue"/>
          </w:tcPr>
          <w:p w14:paraId="6B07C5A0">
            <w:pPr>
              <w:spacing w:line="400" w:lineRule="exact"/>
              <w:rPr>
                <w:rFonts w:ascii="宋体" w:hAnsi="宋体"/>
                <w:color w:val="auto"/>
                <w:highlight w:val="none"/>
              </w:rPr>
            </w:pPr>
          </w:p>
        </w:tc>
        <w:tc>
          <w:tcPr>
            <w:tcW w:w="2504" w:type="dxa"/>
            <w:gridSpan w:val="4"/>
            <w:vAlign w:val="center"/>
          </w:tcPr>
          <w:p w14:paraId="016DBD65">
            <w:pPr>
              <w:spacing w:line="400" w:lineRule="exact"/>
              <w:jc w:val="left"/>
              <w:rPr>
                <w:rFonts w:ascii="宋体" w:hAnsi="宋体"/>
                <w:color w:val="auto"/>
                <w:kern w:val="0"/>
                <w:highlight w:val="none"/>
              </w:rPr>
            </w:pPr>
            <w:r>
              <w:rPr>
                <w:rFonts w:ascii="宋体" w:hAnsi="宋体"/>
                <w:color w:val="auto"/>
                <w:kern w:val="0"/>
                <w:highlight w:val="none"/>
              </w:rPr>
              <w:t>实质性要求</w:t>
            </w:r>
          </w:p>
        </w:tc>
        <w:tc>
          <w:tcPr>
            <w:tcW w:w="5492" w:type="dxa"/>
            <w:vAlign w:val="center"/>
          </w:tcPr>
          <w:p w14:paraId="1F9E303E">
            <w:pPr>
              <w:spacing w:after="62"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符合第二章“投标人须知”第1.4.3项规定。</w:t>
            </w:r>
          </w:p>
          <w:p w14:paraId="52B84B3A">
            <w:pPr>
              <w:spacing w:after="62"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本次投标不得有串通投标</w:t>
            </w:r>
            <w:r>
              <w:rPr>
                <w:rFonts w:ascii="宋体" w:hAnsi="宋体"/>
                <w:color w:val="auto"/>
                <w:kern w:val="0"/>
                <w:highlight w:val="none"/>
              </w:rPr>
              <w:t>、弄虚作假等其他违反招投标相关法律、法规行为。</w:t>
            </w:r>
          </w:p>
          <w:p w14:paraId="4EE4C9C5">
            <w:pPr>
              <w:spacing w:after="62" w:afterLines="20" w:line="400" w:lineRule="exact"/>
              <w:ind w:firstLine="420" w:firstLineChars="200"/>
              <w:rPr>
                <w:rFonts w:ascii="宋体" w:hAnsi="宋体"/>
                <w:color w:val="auto"/>
                <w:kern w:val="0"/>
                <w:highlight w:val="none"/>
              </w:rPr>
            </w:pPr>
            <w:r>
              <w:rPr>
                <w:rFonts w:hint="eastAsia" w:ascii="宋体" w:hAnsi="宋体"/>
                <w:color w:val="auto"/>
                <w:kern w:val="0"/>
                <w:highlight w:val="none"/>
              </w:rPr>
              <w:t>按照评标委员会要求澄清、说明或补正。</w:t>
            </w:r>
          </w:p>
        </w:tc>
      </w:tr>
      <w:tr w14:paraId="7B0DE1D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479" w:hRule="atLeast"/>
          <w:jc w:val="center"/>
        </w:trPr>
        <w:tc>
          <w:tcPr>
            <w:tcW w:w="768" w:type="dxa"/>
            <w:tcBorders>
              <w:right w:val="single" w:color="auto" w:sz="4" w:space="0"/>
            </w:tcBorders>
            <w:vAlign w:val="center"/>
          </w:tcPr>
          <w:p w14:paraId="7A3FEDE8">
            <w:pPr>
              <w:spacing w:line="400" w:lineRule="exact"/>
              <w:rPr>
                <w:rFonts w:ascii="宋体" w:hAnsi="宋体"/>
                <w:color w:val="auto"/>
                <w:kern w:val="0"/>
                <w:highlight w:val="none"/>
              </w:rPr>
            </w:pPr>
            <w:r>
              <w:rPr>
                <w:rFonts w:ascii="宋体" w:hAnsi="宋体"/>
                <w:color w:val="auto"/>
                <w:kern w:val="0"/>
                <w:highlight w:val="none"/>
              </w:rPr>
              <w:t>2.2.1</w:t>
            </w:r>
          </w:p>
        </w:tc>
        <w:tc>
          <w:tcPr>
            <w:tcW w:w="3213" w:type="dxa"/>
            <w:gridSpan w:val="5"/>
            <w:tcBorders>
              <w:left w:val="single" w:color="auto" w:sz="4" w:space="0"/>
            </w:tcBorders>
            <w:vAlign w:val="center"/>
          </w:tcPr>
          <w:p w14:paraId="17804A9C">
            <w:pPr>
              <w:tabs>
                <w:tab w:val="left" w:pos="1875"/>
              </w:tabs>
              <w:spacing w:line="400" w:lineRule="exact"/>
              <w:jc w:val="center"/>
              <w:rPr>
                <w:rFonts w:ascii="宋体" w:hAnsi="宋体"/>
                <w:color w:val="auto"/>
                <w:kern w:val="0"/>
                <w:highlight w:val="none"/>
              </w:rPr>
            </w:pPr>
            <w:r>
              <w:rPr>
                <w:rFonts w:ascii="宋体" w:hAnsi="宋体"/>
                <w:color w:val="auto"/>
                <w:kern w:val="0"/>
                <w:highlight w:val="none"/>
              </w:rPr>
              <w:t>分值构成 （总分1</w:t>
            </w:r>
            <w:r>
              <w:rPr>
                <w:rFonts w:hint="eastAsia" w:ascii="宋体" w:hAnsi="宋体"/>
                <w:color w:val="auto"/>
                <w:kern w:val="0"/>
                <w:highlight w:val="none"/>
              </w:rPr>
              <w:t>00</w:t>
            </w:r>
            <w:r>
              <w:rPr>
                <w:rFonts w:ascii="宋体" w:hAnsi="宋体"/>
                <w:color w:val="auto"/>
                <w:kern w:val="0"/>
                <w:highlight w:val="none"/>
              </w:rPr>
              <w:t>分）</w:t>
            </w:r>
          </w:p>
        </w:tc>
        <w:tc>
          <w:tcPr>
            <w:tcW w:w="5492" w:type="dxa"/>
            <w:vAlign w:val="center"/>
          </w:tcPr>
          <w:p w14:paraId="3E9477AB">
            <w:pPr>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w:t>
            </w:r>
            <w:r>
              <w:rPr>
                <w:rFonts w:hint="eastAsia" w:ascii="宋体" w:hAnsi="宋体"/>
                <w:color w:val="auto"/>
                <w:kern w:val="0"/>
                <w:highlight w:val="none"/>
              </w:rPr>
              <w:t>技术部分</w:t>
            </w:r>
            <w:r>
              <w:rPr>
                <w:rFonts w:ascii="宋体" w:hAnsi="宋体"/>
                <w:color w:val="auto"/>
                <w:kern w:val="0"/>
                <w:highlight w:val="none"/>
                <w:u w:val="single"/>
              </w:rPr>
              <w:t>　</w:t>
            </w:r>
            <w:r>
              <w:rPr>
                <w:rFonts w:hint="eastAsia" w:ascii="宋体" w:hAnsi="宋体"/>
                <w:color w:val="auto"/>
                <w:kern w:val="0"/>
                <w:highlight w:val="none"/>
                <w:u w:val="single"/>
              </w:rPr>
              <w:t xml:space="preserve">  </w:t>
            </w:r>
            <w:r>
              <w:rPr>
                <w:rFonts w:ascii="宋体" w:hAnsi="宋体"/>
                <w:color w:val="auto"/>
                <w:kern w:val="0"/>
                <w:highlight w:val="none"/>
                <w:u w:val="single"/>
              </w:rPr>
              <w:t>　</w:t>
            </w:r>
            <w:r>
              <w:rPr>
                <w:rFonts w:ascii="宋体" w:hAnsi="宋体"/>
                <w:color w:val="auto"/>
                <w:kern w:val="0"/>
                <w:highlight w:val="none"/>
              </w:rPr>
              <w:t>分</w:t>
            </w:r>
            <w:r>
              <w:rPr>
                <w:rFonts w:hint="eastAsia" w:ascii="宋体" w:hAnsi="宋体"/>
                <w:color w:val="auto"/>
                <w:kern w:val="0"/>
                <w:highlight w:val="none"/>
              </w:rPr>
              <w:t>；</w:t>
            </w:r>
            <w:r>
              <w:rPr>
                <w:rFonts w:ascii="宋体" w:hAnsi="宋体"/>
                <w:i/>
                <w:iCs/>
                <w:color w:val="auto"/>
                <w:kern w:val="0"/>
                <w:highlight w:val="none"/>
              </w:rPr>
              <w:t>[</w:t>
            </w:r>
            <w:r>
              <w:rPr>
                <w:rFonts w:hint="eastAsia" w:ascii="宋体" w:hAnsi="宋体"/>
                <w:i/>
                <w:iCs/>
                <w:color w:val="auto"/>
                <w:kern w:val="0"/>
                <w:highlight w:val="none"/>
              </w:rPr>
              <w:t>提示：不高于</w:t>
            </w:r>
            <w:r>
              <w:rPr>
                <w:rFonts w:ascii="宋体" w:hAnsi="宋体"/>
                <w:i/>
                <w:iCs/>
                <w:color w:val="auto"/>
                <w:kern w:val="0"/>
                <w:highlight w:val="none"/>
              </w:rPr>
              <w:t>30分]</w:t>
            </w:r>
          </w:p>
          <w:p w14:paraId="58B1323D">
            <w:pPr>
              <w:snapToGrid w:val="0"/>
              <w:spacing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（1）总承包管理及设计方案</w:t>
            </w:r>
            <w:r>
              <w:rPr>
                <w:rFonts w:ascii="宋体" w:hAnsi="宋体"/>
                <w:color w:val="auto"/>
                <w:kern w:val="0"/>
                <w:highlight w:val="none"/>
                <w:u w:val="single"/>
              </w:rPr>
              <w:t>　</w:t>
            </w:r>
            <w:r>
              <w:rPr>
                <w:rFonts w:hint="eastAsia" w:ascii="宋体" w:hAnsi="宋体"/>
                <w:color w:val="auto"/>
                <w:kern w:val="0"/>
                <w:highlight w:val="none"/>
                <w:u w:val="single"/>
              </w:rPr>
              <w:t xml:space="preserve">  </w:t>
            </w:r>
            <w:r>
              <w:rPr>
                <w:rFonts w:ascii="宋体" w:hAnsi="宋体"/>
                <w:color w:val="auto"/>
                <w:kern w:val="0"/>
                <w:highlight w:val="none"/>
                <w:u w:val="single"/>
              </w:rPr>
              <w:t>　</w:t>
            </w:r>
            <w:r>
              <w:rPr>
                <w:rFonts w:ascii="宋体" w:hAnsi="宋体"/>
                <w:color w:val="auto"/>
                <w:kern w:val="0"/>
                <w:highlight w:val="none"/>
              </w:rPr>
              <w:t>分</w:t>
            </w:r>
            <w:r>
              <w:rPr>
                <w:rFonts w:hint="eastAsia" w:ascii="宋体" w:hAnsi="宋体"/>
                <w:color w:val="auto"/>
                <w:kern w:val="0"/>
                <w:highlight w:val="none"/>
              </w:rPr>
              <w:t>；</w:t>
            </w:r>
          </w:p>
          <w:p w14:paraId="22B3EC4E">
            <w:pPr>
              <w:snapToGrid w:val="0"/>
              <w:spacing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（2）施工组织设计</w:t>
            </w:r>
            <w:r>
              <w:rPr>
                <w:rFonts w:ascii="宋体" w:hAnsi="宋体"/>
                <w:color w:val="auto"/>
                <w:kern w:val="0"/>
                <w:highlight w:val="none"/>
                <w:u w:val="single"/>
              </w:rPr>
              <w:t>　</w:t>
            </w:r>
            <w:r>
              <w:rPr>
                <w:rFonts w:hint="eastAsia" w:ascii="宋体" w:hAnsi="宋体"/>
                <w:color w:val="auto"/>
                <w:kern w:val="0"/>
                <w:highlight w:val="none"/>
                <w:u w:val="single"/>
              </w:rPr>
              <w:t xml:space="preserve">  </w:t>
            </w:r>
            <w:r>
              <w:rPr>
                <w:rFonts w:ascii="宋体" w:hAnsi="宋体"/>
                <w:color w:val="auto"/>
                <w:kern w:val="0"/>
                <w:highlight w:val="none"/>
                <w:u w:val="single"/>
              </w:rPr>
              <w:t>　</w:t>
            </w:r>
            <w:r>
              <w:rPr>
                <w:rFonts w:ascii="宋体" w:hAnsi="宋体"/>
                <w:color w:val="auto"/>
                <w:kern w:val="0"/>
                <w:highlight w:val="none"/>
              </w:rPr>
              <w:t>分</w:t>
            </w:r>
            <w:r>
              <w:rPr>
                <w:rFonts w:hint="eastAsia" w:ascii="宋体" w:hAnsi="宋体"/>
                <w:color w:val="auto"/>
                <w:kern w:val="0"/>
                <w:highlight w:val="none"/>
              </w:rPr>
              <w:t>；</w:t>
            </w:r>
          </w:p>
          <w:p w14:paraId="76C4D738">
            <w:pPr>
              <w:snapToGrid w:val="0"/>
              <w:spacing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□（3）设备材料技术性能</w:t>
            </w:r>
            <w:r>
              <w:rPr>
                <w:rFonts w:ascii="宋体" w:hAnsi="宋体"/>
                <w:color w:val="auto"/>
                <w:kern w:val="0"/>
                <w:highlight w:val="none"/>
                <w:u w:val="single"/>
              </w:rPr>
              <w:t>　</w:t>
            </w:r>
            <w:r>
              <w:rPr>
                <w:rFonts w:hint="eastAsia" w:ascii="宋体" w:hAnsi="宋体"/>
                <w:color w:val="auto"/>
                <w:kern w:val="0"/>
                <w:highlight w:val="none"/>
                <w:u w:val="single"/>
              </w:rPr>
              <w:t xml:space="preserve">  </w:t>
            </w:r>
            <w:r>
              <w:rPr>
                <w:rFonts w:ascii="宋体" w:hAnsi="宋体"/>
                <w:color w:val="auto"/>
                <w:kern w:val="0"/>
                <w:highlight w:val="none"/>
                <w:u w:val="single"/>
              </w:rPr>
              <w:t>　</w:t>
            </w:r>
            <w:r>
              <w:rPr>
                <w:rFonts w:ascii="宋体" w:hAnsi="宋体"/>
                <w:color w:val="auto"/>
                <w:kern w:val="0"/>
                <w:highlight w:val="none"/>
              </w:rPr>
              <w:t>分</w:t>
            </w:r>
            <w:r>
              <w:rPr>
                <w:rFonts w:hint="eastAsia" w:ascii="宋体" w:hAnsi="宋体"/>
                <w:color w:val="auto"/>
                <w:kern w:val="0"/>
                <w:highlight w:val="none"/>
              </w:rPr>
              <w:t>；</w:t>
            </w:r>
          </w:p>
          <w:p w14:paraId="64207344">
            <w:pPr>
              <w:snapToGrid w:val="0"/>
              <w:spacing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w:t>
            </w:r>
            <w:r>
              <w:rPr>
                <w:rFonts w:ascii="宋体" w:hAnsi="宋体"/>
                <w:color w:val="auto"/>
                <w:kern w:val="0"/>
                <w:highlight w:val="none"/>
              </w:rPr>
              <w:t>4</w:t>
            </w:r>
            <w:r>
              <w:rPr>
                <w:rFonts w:hint="eastAsia" w:ascii="宋体" w:hAnsi="宋体"/>
                <w:color w:val="auto"/>
                <w:kern w:val="0"/>
                <w:highlight w:val="none"/>
              </w:rPr>
              <w:t>）投标人答辩</w:t>
            </w:r>
            <w:r>
              <w:rPr>
                <w:rFonts w:ascii="宋体" w:hAnsi="宋体"/>
                <w:color w:val="auto"/>
                <w:kern w:val="0"/>
                <w:highlight w:val="none"/>
                <w:u w:val="single"/>
              </w:rPr>
              <w:t>　  　</w:t>
            </w:r>
            <w:r>
              <w:rPr>
                <w:rFonts w:ascii="宋体" w:hAnsi="宋体"/>
                <w:color w:val="auto"/>
                <w:kern w:val="0"/>
                <w:highlight w:val="none"/>
              </w:rPr>
              <w:t>分</w:t>
            </w:r>
            <w:r>
              <w:rPr>
                <w:rFonts w:hint="eastAsia" w:ascii="宋体" w:hAnsi="宋体"/>
                <w:color w:val="auto"/>
                <w:kern w:val="0"/>
                <w:highlight w:val="none"/>
              </w:rPr>
              <w:t>；</w:t>
            </w:r>
            <w:r>
              <w:rPr>
                <w:rFonts w:hint="eastAsia" w:ascii="宋体" w:hAnsi="宋体"/>
                <w:i/>
                <w:iCs/>
                <w:color w:val="auto"/>
                <w:kern w:val="0"/>
                <w:highlight w:val="none"/>
              </w:rPr>
              <w:t>[提示：不高于10</w:t>
            </w:r>
            <w:r>
              <w:rPr>
                <w:rFonts w:ascii="宋体" w:hAnsi="宋体"/>
                <w:i/>
                <w:iCs/>
                <w:color w:val="auto"/>
                <w:kern w:val="0"/>
                <w:highlight w:val="none"/>
              </w:rPr>
              <w:t>分</w:t>
            </w:r>
            <w:r>
              <w:rPr>
                <w:rFonts w:hint="eastAsia" w:ascii="宋体" w:hAnsi="宋体"/>
                <w:i/>
                <w:iCs/>
                <w:color w:val="auto"/>
                <w:kern w:val="0"/>
                <w:highlight w:val="none"/>
              </w:rPr>
              <w:t>]</w:t>
            </w:r>
          </w:p>
          <w:p w14:paraId="6FF042BF">
            <w:pPr>
              <w:snapToGrid w:val="0"/>
              <w:spacing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2.商务部分</w:t>
            </w:r>
            <w:r>
              <w:rPr>
                <w:rFonts w:hint="eastAsia" w:ascii="宋体" w:hAnsi="宋体"/>
                <w:color w:val="auto"/>
                <w:kern w:val="0"/>
                <w:highlight w:val="none"/>
                <w:u w:val="single"/>
              </w:rPr>
              <w:t xml:space="preserve">      </w:t>
            </w:r>
            <w:r>
              <w:rPr>
                <w:rFonts w:hint="eastAsia" w:ascii="宋体" w:hAnsi="宋体"/>
                <w:color w:val="auto"/>
                <w:kern w:val="0"/>
                <w:highlight w:val="none"/>
              </w:rPr>
              <w:t>分；</w:t>
            </w:r>
            <w:r>
              <w:rPr>
                <w:rFonts w:ascii="宋体" w:hAnsi="宋体"/>
                <w:i/>
                <w:iCs/>
                <w:color w:val="auto"/>
                <w:kern w:val="0"/>
                <w:highlight w:val="none"/>
              </w:rPr>
              <w:t>[</w:t>
            </w:r>
            <w:r>
              <w:rPr>
                <w:rFonts w:hint="eastAsia" w:ascii="宋体" w:hAnsi="宋体"/>
                <w:i/>
                <w:iCs/>
                <w:color w:val="auto"/>
                <w:kern w:val="0"/>
                <w:highlight w:val="none"/>
              </w:rPr>
              <w:t>提示：不高于</w:t>
            </w:r>
            <w:r>
              <w:rPr>
                <w:rFonts w:ascii="宋体" w:hAnsi="宋体"/>
                <w:i/>
                <w:iCs/>
                <w:color w:val="auto"/>
                <w:kern w:val="0"/>
                <w:highlight w:val="none"/>
              </w:rPr>
              <w:t>5分]</w:t>
            </w:r>
          </w:p>
          <w:p w14:paraId="0E33E614">
            <w:pPr>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3.经济部分</w:t>
            </w:r>
            <w:r>
              <w:rPr>
                <w:rFonts w:hint="eastAsia" w:ascii="宋体" w:hAnsi="宋体"/>
                <w:color w:val="auto"/>
                <w:kern w:val="0"/>
                <w:highlight w:val="none"/>
                <w:u w:val="single"/>
              </w:rPr>
              <w:t xml:space="preserve">      </w:t>
            </w:r>
            <w:r>
              <w:rPr>
                <w:rFonts w:hint="eastAsia" w:ascii="宋体" w:hAnsi="宋体"/>
                <w:color w:val="auto"/>
                <w:kern w:val="0"/>
                <w:highlight w:val="none"/>
              </w:rPr>
              <w:t>分；</w:t>
            </w:r>
            <w:r>
              <w:rPr>
                <w:rFonts w:ascii="宋体" w:hAnsi="宋体"/>
                <w:i/>
                <w:iCs/>
                <w:color w:val="auto"/>
                <w:kern w:val="0"/>
                <w:highlight w:val="none"/>
              </w:rPr>
              <w:t>[</w:t>
            </w:r>
            <w:r>
              <w:rPr>
                <w:rFonts w:hint="eastAsia" w:ascii="宋体" w:hAnsi="宋体"/>
                <w:i/>
                <w:iCs/>
                <w:color w:val="auto"/>
                <w:kern w:val="0"/>
                <w:highlight w:val="none"/>
              </w:rPr>
              <w:t>提示：不低于</w:t>
            </w:r>
            <w:r>
              <w:rPr>
                <w:rFonts w:ascii="宋体" w:hAnsi="宋体"/>
                <w:i/>
                <w:iCs/>
                <w:color w:val="auto"/>
                <w:kern w:val="0"/>
                <w:highlight w:val="none"/>
              </w:rPr>
              <w:t>65</w:t>
            </w:r>
            <w:r>
              <w:rPr>
                <w:rFonts w:hint="eastAsia" w:ascii="宋体" w:hAnsi="宋体"/>
                <w:i/>
                <w:iCs/>
                <w:color w:val="auto"/>
                <w:kern w:val="0"/>
                <w:highlight w:val="none"/>
              </w:rPr>
              <w:t>分</w:t>
            </w:r>
            <w:r>
              <w:rPr>
                <w:rFonts w:ascii="宋体" w:hAnsi="宋体"/>
                <w:i/>
                <w:iCs/>
                <w:color w:val="auto"/>
                <w:kern w:val="0"/>
                <w:highlight w:val="none"/>
              </w:rPr>
              <w:t>]</w:t>
            </w:r>
          </w:p>
          <w:p w14:paraId="5F625C64">
            <w:pPr>
              <w:snapToGrid w:val="0"/>
              <w:spacing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（1）设计费投标报价</w:t>
            </w:r>
            <w:r>
              <w:rPr>
                <w:rFonts w:ascii="宋体" w:hAnsi="宋体"/>
                <w:color w:val="auto"/>
                <w:kern w:val="0"/>
                <w:highlight w:val="none"/>
                <w:u w:val="single"/>
              </w:rPr>
              <w:t>　</w:t>
            </w:r>
            <w:r>
              <w:rPr>
                <w:rFonts w:hint="eastAsia" w:ascii="宋体" w:hAnsi="宋体"/>
                <w:color w:val="auto"/>
                <w:kern w:val="0"/>
                <w:highlight w:val="none"/>
                <w:u w:val="single"/>
              </w:rPr>
              <w:t xml:space="preserve">  </w:t>
            </w:r>
            <w:r>
              <w:rPr>
                <w:rFonts w:ascii="宋体" w:hAnsi="宋体"/>
                <w:color w:val="auto"/>
                <w:kern w:val="0"/>
                <w:highlight w:val="none"/>
                <w:u w:val="single"/>
              </w:rPr>
              <w:t>　</w:t>
            </w:r>
            <w:r>
              <w:rPr>
                <w:rFonts w:ascii="宋体" w:hAnsi="宋体"/>
                <w:color w:val="auto"/>
                <w:kern w:val="0"/>
                <w:highlight w:val="none"/>
              </w:rPr>
              <w:t>分</w:t>
            </w:r>
            <w:r>
              <w:rPr>
                <w:rFonts w:hint="eastAsia" w:ascii="宋体" w:hAnsi="宋体"/>
                <w:color w:val="auto"/>
                <w:kern w:val="0"/>
                <w:highlight w:val="none"/>
              </w:rPr>
              <w:t>；</w:t>
            </w:r>
          </w:p>
          <w:p w14:paraId="24EEC1F0">
            <w:pPr>
              <w:snapToGrid w:val="0"/>
              <w:spacing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（2）专业设备材料费投标报价</w:t>
            </w:r>
            <w:r>
              <w:rPr>
                <w:rFonts w:ascii="宋体" w:hAnsi="宋体"/>
                <w:color w:val="auto"/>
                <w:kern w:val="0"/>
                <w:highlight w:val="none"/>
                <w:u w:val="single"/>
              </w:rPr>
              <w:t>　</w:t>
            </w:r>
            <w:r>
              <w:rPr>
                <w:rFonts w:hint="eastAsia" w:ascii="宋体" w:hAnsi="宋体"/>
                <w:color w:val="auto"/>
                <w:kern w:val="0"/>
                <w:highlight w:val="none"/>
                <w:u w:val="single"/>
              </w:rPr>
              <w:t xml:space="preserve">  </w:t>
            </w:r>
            <w:r>
              <w:rPr>
                <w:rFonts w:ascii="宋体" w:hAnsi="宋体"/>
                <w:color w:val="auto"/>
                <w:kern w:val="0"/>
                <w:highlight w:val="none"/>
                <w:u w:val="single"/>
              </w:rPr>
              <w:t>　</w:t>
            </w:r>
            <w:r>
              <w:rPr>
                <w:rFonts w:ascii="宋体" w:hAnsi="宋体"/>
                <w:color w:val="auto"/>
                <w:kern w:val="0"/>
                <w:highlight w:val="none"/>
              </w:rPr>
              <w:t>分</w:t>
            </w:r>
            <w:r>
              <w:rPr>
                <w:rFonts w:hint="eastAsia" w:ascii="宋体" w:hAnsi="宋体"/>
                <w:color w:val="auto"/>
                <w:kern w:val="0"/>
                <w:highlight w:val="none"/>
              </w:rPr>
              <w:t>；</w:t>
            </w:r>
          </w:p>
          <w:p w14:paraId="1B4E07DA">
            <w:pPr>
              <w:snapToGrid w:val="0"/>
              <w:spacing w:line="400" w:lineRule="exact"/>
              <w:ind w:firstLine="420" w:firstLineChars="200"/>
              <w:rPr>
                <w:rFonts w:ascii="宋体" w:hAnsi="宋体"/>
                <w:i/>
                <w:color w:val="auto"/>
                <w:kern w:val="0"/>
                <w:highlight w:val="none"/>
              </w:rPr>
            </w:pPr>
            <w:r>
              <w:rPr>
                <w:rFonts w:hint="eastAsia" w:ascii="宋体" w:hAnsi="宋体"/>
                <w:color w:val="auto"/>
                <w:kern w:val="0"/>
                <w:highlight w:val="none"/>
              </w:rPr>
              <w:t>（3）建筑安装工程费投标报价</w:t>
            </w:r>
            <w:r>
              <w:rPr>
                <w:rFonts w:ascii="宋体" w:hAnsi="宋体"/>
                <w:color w:val="auto"/>
                <w:kern w:val="0"/>
                <w:highlight w:val="none"/>
                <w:u w:val="single"/>
              </w:rPr>
              <w:t>　</w:t>
            </w:r>
            <w:r>
              <w:rPr>
                <w:rFonts w:hint="eastAsia" w:ascii="宋体" w:hAnsi="宋体"/>
                <w:color w:val="auto"/>
                <w:kern w:val="0"/>
                <w:highlight w:val="none"/>
                <w:u w:val="single"/>
              </w:rPr>
              <w:t xml:space="preserve">  </w:t>
            </w:r>
            <w:r>
              <w:rPr>
                <w:rFonts w:ascii="宋体" w:hAnsi="宋体"/>
                <w:color w:val="auto"/>
                <w:kern w:val="0"/>
                <w:highlight w:val="none"/>
                <w:u w:val="single"/>
              </w:rPr>
              <w:t>　</w:t>
            </w:r>
            <w:r>
              <w:rPr>
                <w:rFonts w:ascii="宋体" w:hAnsi="宋体"/>
                <w:color w:val="auto"/>
                <w:kern w:val="0"/>
                <w:highlight w:val="none"/>
              </w:rPr>
              <w:t>分</w:t>
            </w:r>
            <w:r>
              <w:rPr>
                <w:rFonts w:hint="eastAsia" w:ascii="宋体" w:hAnsi="宋体"/>
                <w:color w:val="auto"/>
                <w:kern w:val="0"/>
                <w:highlight w:val="none"/>
              </w:rPr>
              <w:t>。</w:t>
            </w:r>
            <w:r>
              <w:rPr>
                <w:rFonts w:hint="eastAsia" w:ascii="宋体" w:hAnsi="宋体"/>
                <w:i/>
                <w:color w:val="auto"/>
                <w:kern w:val="0"/>
                <w:highlight w:val="none"/>
              </w:rPr>
              <w:t>[提示：建筑安装工程费报价分值不低于经济部分分值的70%]</w:t>
            </w:r>
          </w:p>
        </w:tc>
      </w:tr>
      <w:tr w14:paraId="033FC1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restart"/>
            <w:tcBorders>
              <w:right w:val="single" w:color="auto" w:sz="4" w:space="0"/>
            </w:tcBorders>
            <w:vAlign w:val="center"/>
          </w:tcPr>
          <w:p w14:paraId="5A705B2A">
            <w:pPr>
              <w:spacing w:line="400" w:lineRule="exact"/>
              <w:rPr>
                <w:rFonts w:ascii="宋体" w:hAnsi="宋体"/>
                <w:color w:val="auto"/>
                <w:kern w:val="0"/>
                <w:highlight w:val="none"/>
              </w:rPr>
            </w:pPr>
            <w:r>
              <w:rPr>
                <w:rFonts w:hint="eastAsia" w:ascii="宋体" w:hAnsi="宋体"/>
                <w:color w:val="auto"/>
                <w:kern w:val="0"/>
                <w:highlight w:val="none"/>
              </w:rPr>
              <w:t>2.2.2（1）</w:t>
            </w:r>
          </w:p>
        </w:tc>
        <w:tc>
          <w:tcPr>
            <w:tcW w:w="709" w:type="dxa"/>
            <w:vMerge w:val="restart"/>
            <w:tcBorders>
              <w:left w:val="single" w:color="auto" w:sz="4" w:space="0"/>
            </w:tcBorders>
            <w:vAlign w:val="center"/>
          </w:tcPr>
          <w:p w14:paraId="103FFA94">
            <w:pPr>
              <w:spacing w:line="400" w:lineRule="exact"/>
              <w:rPr>
                <w:rFonts w:ascii="宋体" w:hAnsi="宋体"/>
                <w:color w:val="auto"/>
                <w:kern w:val="0"/>
                <w:highlight w:val="none"/>
              </w:rPr>
            </w:pPr>
            <w:r>
              <w:rPr>
                <w:rFonts w:hint="eastAsia" w:ascii="宋体" w:hAnsi="宋体"/>
                <w:color w:val="auto"/>
                <w:kern w:val="0"/>
                <w:highlight w:val="none"/>
              </w:rPr>
              <w:t>技术部分评审标准</w:t>
            </w:r>
          </w:p>
        </w:tc>
        <w:tc>
          <w:tcPr>
            <w:tcW w:w="920" w:type="dxa"/>
            <w:gridSpan w:val="2"/>
            <w:vMerge w:val="restart"/>
            <w:tcBorders>
              <w:right w:val="single" w:color="auto" w:sz="4" w:space="0"/>
            </w:tcBorders>
            <w:vAlign w:val="center"/>
          </w:tcPr>
          <w:p w14:paraId="0462F24A">
            <w:pPr>
              <w:spacing w:line="400" w:lineRule="exact"/>
              <w:rPr>
                <w:rFonts w:ascii="宋体" w:hAnsi="宋体" w:cs="宋体"/>
                <w:color w:val="auto"/>
                <w:kern w:val="0"/>
                <w:highlight w:val="none"/>
              </w:rPr>
            </w:pPr>
          </w:p>
          <w:p w14:paraId="3D442BEA">
            <w:pPr>
              <w:tabs>
                <w:tab w:val="left" w:pos="1875"/>
              </w:tabs>
              <w:spacing w:line="400" w:lineRule="exact"/>
              <w:jc w:val="center"/>
              <w:rPr>
                <w:rFonts w:ascii="宋体" w:hAnsi="宋体" w:cs="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总承包管理及设计方案</w:t>
            </w:r>
          </w:p>
        </w:tc>
        <w:tc>
          <w:tcPr>
            <w:tcW w:w="1584" w:type="dxa"/>
            <w:gridSpan w:val="2"/>
            <w:tcBorders>
              <w:left w:val="single" w:color="auto" w:sz="4" w:space="0"/>
              <w:bottom w:val="single" w:color="auto" w:sz="4" w:space="0"/>
            </w:tcBorders>
            <w:vAlign w:val="center"/>
          </w:tcPr>
          <w:p w14:paraId="2699228D">
            <w:pPr>
              <w:spacing w:line="400" w:lineRule="exact"/>
              <w:rPr>
                <w:rFonts w:ascii="宋体" w:hAnsi="宋体"/>
                <w:color w:val="auto"/>
                <w:kern w:val="0"/>
                <w:highlight w:val="none"/>
              </w:rPr>
            </w:pPr>
            <w:r>
              <w:rPr>
                <w:rFonts w:hint="eastAsia" w:ascii="宋体" w:hAnsi="宋体"/>
                <w:color w:val="auto"/>
                <w:szCs w:val="21"/>
                <w:highlight w:val="none"/>
              </w:rPr>
              <w:t>总承包</w:t>
            </w:r>
            <w:r>
              <w:rPr>
                <w:rFonts w:hint="eastAsia"/>
                <w:color w:val="auto"/>
                <w:szCs w:val="21"/>
                <w:highlight w:val="none"/>
              </w:rPr>
              <w:t>总体实施方案</w:t>
            </w:r>
          </w:p>
        </w:tc>
        <w:tc>
          <w:tcPr>
            <w:tcW w:w="5492" w:type="dxa"/>
            <w:vAlign w:val="center"/>
          </w:tcPr>
          <w:p w14:paraId="0ABE9D7A">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50F328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7136661B">
            <w:pPr>
              <w:spacing w:line="400" w:lineRule="exact"/>
              <w:rPr>
                <w:rFonts w:ascii="宋体" w:hAnsi="宋体"/>
                <w:color w:val="auto"/>
                <w:kern w:val="0"/>
                <w:highlight w:val="none"/>
              </w:rPr>
            </w:pPr>
          </w:p>
        </w:tc>
        <w:tc>
          <w:tcPr>
            <w:tcW w:w="709" w:type="dxa"/>
            <w:vMerge w:val="continue"/>
            <w:tcBorders>
              <w:left w:val="single" w:color="auto" w:sz="4" w:space="0"/>
            </w:tcBorders>
            <w:vAlign w:val="center"/>
          </w:tcPr>
          <w:p w14:paraId="603D1A44">
            <w:pPr>
              <w:spacing w:line="400" w:lineRule="exact"/>
              <w:rPr>
                <w:rFonts w:ascii="宋体" w:hAnsi="宋体"/>
                <w:color w:val="auto"/>
                <w:kern w:val="0"/>
                <w:highlight w:val="none"/>
              </w:rPr>
            </w:pPr>
          </w:p>
        </w:tc>
        <w:tc>
          <w:tcPr>
            <w:tcW w:w="920" w:type="dxa"/>
            <w:gridSpan w:val="2"/>
            <w:vMerge w:val="continue"/>
            <w:tcBorders>
              <w:right w:val="single" w:color="auto" w:sz="4" w:space="0"/>
            </w:tcBorders>
            <w:vAlign w:val="center"/>
          </w:tcPr>
          <w:p w14:paraId="4CB6AF7B">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tcBorders>
            <w:vAlign w:val="center"/>
          </w:tcPr>
          <w:p w14:paraId="5B66E236">
            <w:pPr>
              <w:spacing w:line="400" w:lineRule="exact"/>
              <w:rPr>
                <w:rFonts w:ascii="宋体" w:hAnsi="宋体"/>
                <w:color w:val="auto"/>
                <w:szCs w:val="21"/>
                <w:highlight w:val="none"/>
              </w:rPr>
            </w:pPr>
            <w:r>
              <w:rPr>
                <w:rFonts w:hint="eastAsia"/>
                <w:color w:val="auto"/>
                <w:szCs w:val="21"/>
                <w:highlight w:val="none"/>
              </w:rPr>
              <w:t>项目实施重点</w:t>
            </w:r>
          </w:p>
        </w:tc>
        <w:tc>
          <w:tcPr>
            <w:tcW w:w="5492" w:type="dxa"/>
            <w:vAlign w:val="center"/>
          </w:tcPr>
          <w:p w14:paraId="7EFD090B">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07A22D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65F903CA">
            <w:pPr>
              <w:spacing w:line="400" w:lineRule="exact"/>
              <w:rPr>
                <w:rFonts w:ascii="宋体" w:hAnsi="宋体"/>
                <w:color w:val="auto"/>
                <w:kern w:val="0"/>
                <w:highlight w:val="none"/>
              </w:rPr>
            </w:pPr>
          </w:p>
        </w:tc>
        <w:tc>
          <w:tcPr>
            <w:tcW w:w="709" w:type="dxa"/>
            <w:vMerge w:val="continue"/>
            <w:tcBorders>
              <w:left w:val="single" w:color="auto" w:sz="4" w:space="0"/>
            </w:tcBorders>
            <w:vAlign w:val="center"/>
          </w:tcPr>
          <w:p w14:paraId="2114A9D7">
            <w:pPr>
              <w:spacing w:line="400" w:lineRule="exact"/>
              <w:rPr>
                <w:rFonts w:ascii="宋体" w:hAnsi="宋体"/>
                <w:color w:val="auto"/>
                <w:kern w:val="0"/>
                <w:highlight w:val="none"/>
              </w:rPr>
            </w:pPr>
          </w:p>
        </w:tc>
        <w:tc>
          <w:tcPr>
            <w:tcW w:w="920" w:type="dxa"/>
            <w:gridSpan w:val="2"/>
            <w:vMerge w:val="continue"/>
            <w:tcBorders>
              <w:right w:val="single" w:color="auto" w:sz="4" w:space="0"/>
            </w:tcBorders>
            <w:vAlign w:val="center"/>
          </w:tcPr>
          <w:p w14:paraId="5F9460E3">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tcBorders>
            <w:vAlign w:val="center"/>
          </w:tcPr>
          <w:p w14:paraId="7A82EFD6">
            <w:pPr>
              <w:spacing w:line="400" w:lineRule="exact"/>
              <w:rPr>
                <w:rFonts w:ascii="宋体" w:hAnsi="宋体"/>
                <w:color w:val="auto"/>
                <w:kern w:val="0"/>
                <w:highlight w:val="none"/>
              </w:rPr>
            </w:pPr>
            <w:r>
              <w:rPr>
                <w:rFonts w:hint="eastAsia" w:ascii="宋体" w:hAnsi="宋体" w:cs="宋体"/>
                <w:color w:val="auto"/>
                <w:kern w:val="0"/>
                <w:szCs w:val="21"/>
                <w:highlight w:val="none"/>
              </w:rPr>
              <w:t>项目</w:t>
            </w:r>
            <w:r>
              <w:rPr>
                <w:rFonts w:hint="eastAsia"/>
                <w:color w:val="auto"/>
                <w:szCs w:val="21"/>
                <w:highlight w:val="none"/>
              </w:rPr>
              <w:t>管理要点</w:t>
            </w:r>
          </w:p>
        </w:tc>
        <w:tc>
          <w:tcPr>
            <w:tcW w:w="5492" w:type="dxa"/>
            <w:vAlign w:val="center"/>
          </w:tcPr>
          <w:p w14:paraId="5E381B66">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088C62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024FC136">
            <w:pPr>
              <w:spacing w:line="400" w:lineRule="exact"/>
              <w:rPr>
                <w:rFonts w:ascii="宋体" w:hAnsi="宋体"/>
                <w:color w:val="auto"/>
                <w:kern w:val="0"/>
                <w:highlight w:val="none"/>
              </w:rPr>
            </w:pPr>
          </w:p>
        </w:tc>
        <w:tc>
          <w:tcPr>
            <w:tcW w:w="709" w:type="dxa"/>
            <w:vMerge w:val="continue"/>
            <w:tcBorders>
              <w:left w:val="single" w:color="auto" w:sz="4" w:space="0"/>
            </w:tcBorders>
            <w:vAlign w:val="center"/>
          </w:tcPr>
          <w:p w14:paraId="402A1B5E">
            <w:pPr>
              <w:spacing w:line="400" w:lineRule="exact"/>
              <w:rPr>
                <w:rFonts w:ascii="宋体" w:hAnsi="宋体"/>
                <w:color w:val="auto"/>
                <w:kern w:val="0"/>
                <w:highlight w:val="none"/>
              </w:rPr>
            </w:pPr>
          </w:p>
        </w:tc>
        <w:tc>
          <w:tcPr>
            <w:tcW w:w="920" w:type="dxa"/>
            <w:gridSpan w:val="2"/>
            <w:vMerge w:val="continue"/>
            <w:tcBorders>
              <w:right w:val="single" w:color="auto" w:sz="4" w:space="0"/>
            </w:tcBorders>
            <w:vAlign w:val="center"/>
          </w:tcPr>
          <w:p w14:paraId="17659572">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tcBorders>
            <w:vAlign w:val="center"/>
          </w:tcPr>
          <w:p w14:paraId="25DF1A90">
            <w:pPr>
              <w:spacing w:line="400" w:lineRule="exact"/>
              <w:rPr>
                <w:rFonts w:ascii="宋体" w:hAnsi="宋体" w:cs="宋体"/>
                <w:color w:val="auto"/>
                <w:kern w:val="0"/>
                <w:szCs w:val="21"/>
                <w:highlight w:val="none"/>
              </w:rPr>
            </w:pPr>
            <w:r>
              <w:rPr>
                <w:rFonts w:hint="eastAsia" w:ascii="宋体" w:hAnsi="宋体" w:cs="宋体"/>
                <w:color w:val="auto"/>
                <w:kern w:val="0"/>
                <w:highlight w:val="none"/>
              </w:rPr>
              <w:t>□设计方案</w:t>
            </w:r>
          </w:p>
        </w:tc>
        <w:tc>
          <w:tcPr>
            <w:tcW w:w="5492" w:type="dxa"/>
            <w:vAlign w:val="center"/>
          </w:tcPr>
          <w:p w14:paraId="4419F79D">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4B41770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47457BF4">
            <w:pPr>
              <w:spacing w:line="400" w:lineRule="exact"/>
              <w:rPr>
                <w:rFonts w:ascii="宋体" w:hAnsi="宋体"/>
                <w:color w:val="auto"/>
                <w:kern w:val="0"/>
                <w:highlight w:val="none"/>
              </w:rPr>
            </w:pPr>
          </w:p>
        </w:tc>
        <w:tc>
          <w:tcPr>
            <w:tcW w:w="709" w:type="dxa"/>
            <w:vMerge w:val="continue"/>
            <w:tcBorders>
              <w:left w:val="single" w:color="auto" w:sz="4" w:space="0"/>
            </w:tcBorders>
            <w:vAlign w:val="center"/>
          </w:tcPr>
          <w:p w14:paraId="76BD0763">
            <w:pPr>
              <w:spacing w:line="400" w:lineRule="exact"/>
              <w:rPr>
                <w:rFonts w:ascii="宋体" w:hAnsi="宋体"/>
                <w:color w:val="auto"/>
                <w:kern w:val="0"/>
                <w:highlight w:val="none"/>
              </w:rPr>
            </w:pPr>
          </w:p>
        </w:tc>
        <w:tc>
          <w:tcPr>
            <w:tcW w:w="920" w:type="dxa"/>
            <w:gridSpan w:val="2"/>
            <w:vMerge w:val="continue"/>
            <w:tcBorders>
              <w:right w:val="single" w:color="auto" w:sz="4" w:space="0"/>
            </w:tcBorders>
            <w:vAlign w:val="center"/>
          </w:tcPr>
          <w:p w14:paraId="28DBA352">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tcBorders>
            <w:vAlign w:val="center"/>
          </w:tcPr>
          <w:p w14:paraId="44999F6C">
            <w:pPr>
              <w:snapToGrid w:val="0"/>
              <w:spacing w:line="400" w:lineRule="exac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2" w:type="dxa"/>
            <w:vAlign w:val="center"/>
          </w:tcPr>
          <w:p w14:paraId="31BCD8AC">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733A1BF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7AE22C54">
            <w:pPr>
              <w:spacing w:line="400" w:lineRule="exact"/>
              <w:rPr>
                <w:rFonts w:ascii="宋体" w:hAnsi="宋体"/>
                <w:color w:val="auto"/>
                <w:kern w:val="0"/>
                <w:highlight w:val="none"/>
              </w:rPr>
            </w:pPr>
          </w:p>
        </w:tc>
        <w:tc>
          <w:tcPr>
            <w:tcW w:w="709" w:type="dxa"/>
            <w:vMerge w:val="continue"/>
            <w:tcBorders>
              <w:left w:val="single" w:color="auto" w:sz="4" w:space="0"/>
            </w:tcBorders>
            <w:vAlign w:val="center"/>
          </w:tcPr>
          <w:p w14:paraId="6AF529F4">
            <w:pPr>
              <w:spacing w:line="400" w:lineRule="exact"/>
              <w:rPr>
                <w:rFonts w:ascii="宋体" w:hAnsi="宋体"/>
                <w:color w:val="auto"/>
                <w:kern w:val="0"/>
                <w:highlight w:val="none"/>
              </w:rPr>
            </w:pPr>
          </w:p>
        </w:tc>
        <w:tc>
          <w:tcPr>
            <w:tcW w:w="920" w:type="dxa"/>
            <w:gridSpan w:val="2"/>
            <w:vMerge w:val="restart"/>
            <w:tcBorders>
              <w:right w:val="single" w:color="auto" w:sz="4" w:space="0"/>
            </w:tcBorders>
            <w:vAlign w:val="center"/>
          </w:tcPr>
          <w:p w14:paraId="5B34D43B">
            <w:pPr>
              <w:tabs>
                <w:tab w:val="left" w:pos="1875"/>
              </w:tabs>
              <w:spacing w:line="400" w:lineRule="exact"/>
              <w:jc w:val="center"/>
              <w:rPr>
                <w:rFonts w:ascii="宋体" w:hAnsi="宋体"/>
                <w:color w:val="auto"/>
                <w:kern w:val="0"/>
                <w:highlight w:val="none"/>
              </w:rPr>
            </w:pPr>
            <w:r>
              <w:rPr>
                <w:rFonts w:hint="eastAsia" w:ascii="宋体" w:hAnsi="宋体" w:cs="宋体"/>
                <w:color w:val="auto"/>
                <w:kern w:val="0"/>
                <w:highlight w:val="none"/>
              </w:rPr>
              <w:t>□施工组织设计</w:t>
            </w:r>
          </w:p>
        </w:tc>
        <w:tc>
          <w:tcPr>
            <w:tcW w:w="1584" w:type="dxa"/>
            <w:gridSpan w:val="2"/>
            <w:tcBorders>
              <w:left w:val="single" w:color="auto" w:sz="4" w:space="0"/>
            </w:tcBorders>
            <w:vAlign w:val="center"/>
          </w:tcPr>
          <w:p w14:paraId="25C2379F">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施工方案与技术措施</w:t>
            </w:r>
          </w:p>
        </w:tc>
        <w:tc>
          <w:tcPr>
            <w:tcW w:w="5492" w:type="dxa"/>
            <w:vAlign w:val="center"/>
          </w:tcPr>
          <w:p w14:paraId="16BA4341">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 xml:space="preserve"> </w:t>
            </w:r>
            <w:r>
              <w:rPr>
                <w:rFonts w:ascii="宋体" w:hAnsi="宋体"/>
                <w:color w:val="auto"/>
                <w:highlight w:val="none"/>
              </w:rPr>
              <w:t xml:space="preserve">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6B3BABF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4C41C1C0">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0763AC31">
            <w:pPr>
              <w:spacing w:line="400" w:lineRule="exact"/>
              <w:ind w:firstLine="210" w:firstLineChars="100"/>
              <w:jc w:val="center"/>
              <w:rPr>
                <w:rFonts w:ascii="宋体" w:hAnsi="宋体"/>
                <w:color w:val="auto"/>
                <w:kern w:val="0"/>
                <w:highlight w:val="none"/>
              </w:rPr>
            </w:pPr>
          </w:p>
        </w:tc>
        <w:tc>
          <w:tcPr>
            <w:tcW w:w="920" w:type="dxa"/>
            <w:gridSpan w:val="2"/>
            <w:vMerge w:val="continue"/>
            <w:tcBorders>
              <w:right w:val="single" w:color="auto" w:sz="4" w:space="0"/>
            </w:tcBorders>
            <w:vAlign w:val="center"/>
          </w:tcPr>
          <w:p w14:paraId="026F506C">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tcBorders>
            <w:vAlign w:val="center"/>
          </w:tcPr>
          <w:p w14:paraId="2F43A743">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质量</w:t>
            </w:r>
            <w:r>
              <w:rPr>
                <w:rFonts w:hint="eastAsia" w:ascii="宋体" w:hAnsi="宋体"/>
                <w:color w:val="auto"/>
                <w:kern w:val="0"/>
                <w:highlight w:val="none"/>
              </w:rPr>
              <w:t>、安全、环境管理</w:t>
            </w:r>
            <w:r>
              <w:rPr>
                <w:rFonts w:ascii="宋体" w:hAnsi="宋体"/>
                <w:color w:val="auto"/>
                <w:kern w:val="0"/>
                <w:highlight w:val="none"/>
              </w:rPr>
              <w:t>与措施</w:t>
            </w:r>
          </w:p>
        </w:tc>
        <w:tc>
          <w:tcPr>
            <w:tcW w:w="5492" w:type="dxa"/>
            <w:vAlign w:val="center"/>
          </w:tcPr>
          <w:p w14:paraId="2BE58F5E">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3502579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105969C3">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77EB9AE4">
            <w:pPr>
              <w:spacing w:line="400" w:lineRule="exact"/>
              <w:ind w:firstLine="210" w:firstLineChars="100"/>
              <w:jc w:val="center"/>
              <w:rPr>
                <w:rFonts w:ascii="宋体" w:hAnsi="宋体"/>
                <w:color w:val="auto"/>
                <w:kern w:val="0"/>
                <w:highlight w:val="none"/>
              </w:rPr>
            </w:pPr>
          </w:p>
        </w:tc>
        <w:tc>
          <w:tcPr>
            <w:tcW w:w="920" w:type="dxa"/>
            <w:gridSpan w:val="2"/>
            <w:vMerge w:val="continue"/>
            <w:tcBorders>
              <w:right w:val="single" w:color="auto" w:sz="4" w:space="0"/>
            </w:tcBorders>
            <w:vAlign w:val="center"/>
          </w:tcPr>
          <w:p w14:paraId="15E413BF">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tcBorders>
            <w:vAlign w:val="center"/>
          </w:tcPr>
          <w:p w14:paraId="56FD2576">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工程进度计划与资源配备</w:t>
            </w:r>
          </w:p>
        </w:tc>
        <w:tc>
          <w:tcPr>
            <w:tcW w:w="5492" w:type="dxa"/>
            <w:vAlign w:val="center"/>
          </w:tcPr>
          <w:p w14:paraId="2F832ABE">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3E19F05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1F2AF3CE">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48290D90">
            <w:pPr>
              <w:spacing w:line="400" w:lineRule="exact"/>
              <w:ind w:firstLine="210" w:firstLineChars="100"/>
              <w:jc w:val="center"/>
              <w:rPr>
                <w:rFonts w:ascii="宋体" w:hAnsi="宋体"/>
                <w:color w:val="auto"/>
                <w:kern w:val="0"/>
                <w:highlight w:val="none"/>
              </w:rPr>
            </w:pPr>
          </w:p>
        </w:tc>
        <w:tc>
          <w:tcPr>
            <w:tcW w:w="920" w:type="dxa"/>
            <w:gridSpan w:val="2"/>
            <w:vMerge w:val="continue"/>
            <w:tcBorders>
              <w:right w:val="single" w:color="auto" w:sz="4" w:space="0"/>
            </w:tcBorders>
          </w:tcPr>
          <w:p w14:paraId="20C1000F">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tcBorders>
          </w:tcPr>
          <w:p w14:paraId="04AFFD49">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□危大工程清单安全管理措施</w:t>
            </w:r>
          </w:p>
        </w:tc>
        <w:tc>
          <w:tcPr>
            <w:tcW w:w="5492" w:type="dxa"/>
            <w:vAlign w:val="center"/>
          </w:tcPr>
          <w:p w14:paraId="61482921">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5CA5E0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29E42926">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2E426924">
            <w:pPr>
              <w:spacing w:line="400" w:lineRule="exact"/>
              <w:ind w:firstLine="210" w:firstLineChars="100"/>
              <w:jc w:val="center"/>
              <w:rPr>
                <w:rFonts w:ascii="宋体" w:hAnsi="宋体"/>
                <w:color w:val="auto"/>
                <w:kern w:val="0"/>
                <w:highlight w:val="none"/>
              </w:rPr>
            </w:pPr>
          </w:p>
        </w:tc>
        <w:tc>
          <w:tcPr>
            <w:tcW w:w="920" w:type="dxa"/>
            <w:gridSpan w:val="2"/>
            <w:vMerge w:val="continue"/>
            <w:tcBorders>
              <w:right w:val="single" w:color="auto" w:sz="4" w:space="0"/>
            </w:tcBorders>
          </w:tcPr>
          <w:p w14:paraId="27B93F04">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bottom w:val="single" w:color="auto" w:sz="4" w:space="0"/>
            </w:tcBorders>
          </w:tcPr>
          <w:p w14:paraId="7907768A">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□BIM、智慧工地建设管理方案及措施</w:t>
            </w:r>
          </w:p>
        </w:tc>
        <w:tc>
          <w:tcPr>
            <w:tcW w:w="5492" w:type="dxa"/>
            <w:vAlign w:val="center"/>
          </w:tcPr>
          <w:p w14:paraId="37146A32">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006345B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3B1CF62A">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2B67E329">
            <w:pPr>
              <w:spacing w:line="400" w:lineRule="exact"/>
              <w:ind w:firstLine="210" w:firstLineChars="100"/>
              <w:jc w:val="center"/>
              <w:rPr>
                <w:rFonts w:ascii="宋体" w:hAnsi="宋体"/>
                <w:color w:val="auto"/>
                <w:kern w:val="0"/>
                <w:highlight w:val="none"/>
              </w:rPr>
            </w:pPr>
          </w:p>
        </w:tc>
        <w:tc>
          <w:tcPr>
            <w:tcW w:w="920" w:type="dxa"/>
            <w:gridSpan w:val="2"/>
            <w:vMerge w:val="continue"/>
            <w:tcBorders>
              <w:bottom w:val="single" w:color="auto" w:sz="4" w:space="0"/>
              <w:right w:val="single" w:color="auto" w:sz="4" w:space="0"/>
            </w:tcBorders>
          </w:tcPr>
          <w:p w14:paraId="49C9062F">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bottom w:val="single" w:color="auto" w:sz="4" w:space="0"/>
            </w:tcBorders>
          </w:tcPr>
          <w:p w14:paraId="2C961473">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2" w:type="dxa"/>
            <w:vAlign w:val="center"/>
          </w:tcPr>
          <w:p w14:paraId="141FFB21">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14:paraId="33E9AEA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4CEB9BB4">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617A5645">
            <w:pPr>
              <w:spacing w:line="400" w:lineRule="exact"/>
              <w:ind w:firstLine="210" w:firstLineChars="100"/>
              <w:jc w:val="center"/>
              <w:rPr>
                <w:rFonts w:ascii="宋体" w:hAnsi="宋体"/>
                <w:color w:val="auto"/>
                <w:kern w:val="0"/>
                <w:highlight w:val="none"/>
              </w:rPr>
            </w:pPr>
          </w:p>
        </w:tc>
        <w:tc>
          <w:tcPr>
            <w:tcW w:w="920" w:type="dxa"/>
            <w:gridSpan w:val="2"/>
            <w:vMerge w:val="restart"/>
            <w:tcBorders>
              <w:right w:val="single" w:color="auto" w:sz="4" w:space="0"/>
            </w:tcBorders>
            <w:vAlign w:val="center"/>
          </w:tcPr>
          <w:p w14:paraId="61F8C3D8">
            <w:pPr>
              <w:tabs>
                <w:tab w:val="left" w:pos="1875"/>
              </w:tabs>
              <w:spacing w:line="400" w:lineRule="exact"/>
              <w:jc w:val="center"/>
              <w:rPr>
                <w:rFonts w:ascii="宋体" w:hAnsi="宋体"/>
                <w:color w:val="auto"/>
                <w:kern w:val="0"/>
                <w:highlight w:val="none"/>
              </w:rPr>
            </w:pPr>
            <w:r>
              <w:rPr>
                <w:rFonts w:hint="eastAsia" w:ascii="宋体" w:hAnsi="宋体" w:cs="宋体"/>
                <w:color w:val="auto"/>
                <w:kern w:val="0"/>
                <w:highlight w:val="none"/>
              </w:rPr>
              <w:t>□设备材料技术性能</w:t>
            </w:r>
          </w:p>
        </w:tc>
        <w:tc>
          <w:tcPr>
            <w:tcW w:w="1584" w:type="dxa"/>
            <w:gridSpan w:val="2"/>
            <w:tcBorders>
              <w:left w:val="single" w:color="auto" w:sz="4" w:space="0"/>
              <w:bottom w:val="single" w:color="auto" w:sz="4" w:space="0"/>
            </w:tcBorders>
          </w:tcPr>
          <w:p w14:paraId="5203B3AA">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设备材料功能和技术性能</w:t>
            </w:r>
          </w:p>
        </w:tc>
        <w:tc>
          <w:tcPr>
            <w:tcW w:w="5492" w:type="dxa"/>
            <w:vAlign w:val="center"/>
          </w:tcPr>
          <w:p w14:paraId="4885852B">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2101EE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0C2F0DA5">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4D66F161">
            <w:pPr>
              <w:spacing w:line="400" w:lineRule="exact"/>
              <w:ind w:firstLine="210" w:firstLineChars="100"/>
              <w:jc w:val="center"/>
              <w:rPr>
                <w:rFonts w:ascii="宋体" w:hAnsi="宋体"/>
                <w:color w:val="auto"/>
                <w:kern w:val="0"/>
                <w:highlight w:val="none"/>
              </w:rPr>
            </w:pPr>
          </w:p>
        </w:tc>
        <w:tc>
          <w:tcPr>
            <w:tcW w:w="920" w:type="dxa"/>
            <w:gridSpan w:val="2"/>
            <w:vMerge w:val="continue"/>
            <w:tcBorders>
              <w:right w:val="single" w:color="auto" w:sz="4" w:space="0"/>
            </w:tcBorders>
          </w:tcPr>
          <w:p w14:paraId="07B69E9D">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bottom w:val="single" w:color="auto" w:sz="4" w:space="0"/>
            </w:tcBorders>
          </w:tcPr>
          <w:p w14:paraId="1788C837">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□节能环保</w:t>
            </w:r>
          </w:p>
        </w:tc>
        <w:tc>
          <w:tcPr>
            <w:tcW w:w="5492" w:type="dxa"/>
            <w:vAlign w:val="center"/>
          </w:tcPr>
          <w:p w14:paraId="31D564EF">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032540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0CAE60E6">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65167379">
            <w:pPr>
              <w:spacing w:line="400" w:lineRule="exact"/>
              <w:ind w:firstLine="210" w:firstLineChars="100"/>
              <w:jc w:val="center"/>
              <w:rPr>
                <w:rFonts w:ascii="宋体" w:hAnsi="宋体"/>
                <w:color w:val="auto"/>
                <w:kern w:val="0"/>
                <w:highlight w:val="none"/>
              </w:rPr>
            </w:pPr>
          </w:p>
        </w:tc>
        <w:tc>
          <w:tcPr>
            <w:tcW w:w="920" w:type="dxa"/>
            <w:gridSpan w:val="2"/>
            <w:vMerge w:val="continue"/>
            <w:tcBorders>
              <w:right w:val="single" w:color="auto" w:sz="4" w:space="0"/>
            </w:tcBorders>
          </w:tcPr>
          <w:p w14:paraId="68B10726">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bottom w:val="single" w:color="auto" w:sz="4" w:space="0"/>
            </w:tcBorders>
          </w:tcPr>
          <w:p w14:paraId="00A9955E">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□售后维保</w:t>
            </w:r>
          </w:p>
        </w:tc>
        <w:tc>
          <w:tcPr>
            <w:tcW w:w="5492" w:type="dxa"/>
            <w:vAlign w:val="center"/>
          </w:tcPr>
          <w:p w14:paraId="70BE8C91">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75C4AC4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47C10EEB">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246B9195">
            <w:pPr>
              <w:spacing w:line="400" w:lineRule="exact"/>
              <w:ind w:firstLine="210" w:firstLineChars="100"/>
              <w:jc w:val="center"/>
              <w:rPr>
                <w:rFonts w:ascii="宋体" w:hAnsi="宋体"/>
                <w:color w:val="auto"/>
                <w:kern w:val="0"/>
                <w:highlight w:val="none"/>
              </w:rPr>
            </w:pPr>
          </w:p>
        </w:tc>
        <w:tc>
          <w:tcPr>
            <w:tcW w:w="920" w:type="dxa"/>
            <w:gridSpan w:val="2"/>
            <w:vMerge w:val="continue"/>
            <w:tcBorders>
              <w:right w:val="single" w:color="auto" w:sz="4" w:space="0"/>
            </w:tcBorders>
          </w:tcPr>
          <w:p w14:paraId="44B3383E">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bottom w:val="single" w:color="auto" w:sz="4" w:space="0"/>
            </w:tcBorders>
          </w:tcPr>
          <w:p w14:paraId="2D50B33F">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□质量创优</w:t>
            </w:r>
          </w:p>
        </w:tc>
        <w:tc>
          <w:tcPr>
            <w:tcW w:w="5492" w:type="dxa"/>
            <w:vAlign w:val="center"/>
          </w:tcPr>
          <w:p w14:paraId="62EFC41F">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编制要点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p>
        </w:tc>
      </w:tr>
      <w:tr w14:paraId="47753E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3A66EE2B">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5E5A439D">
            <w:pPr>
              <w:spacing w:line="400" w:lineRule="exact"/>
              <w:ind w:firstLine="210" w:firstLineChars="100"/>
              <w:jc w:val="center"/>
              <w:rPr>
                <w:rFonts w:ascii="宋体" w:hAnsi="宋体"/>
                <w:color w:val="auto"/>
                <w:kern w:val="0"/>
                <w:highlight w:val="none"/>
              </w:rPr>
            </w:pPr>
          </w:p>
        </w:tc>
        <w:tc>
          <w:tcPr>
            <w:tcW w:w="920" w:type="dxa"/>
            <w:gridSpan w:val="2"/>
            <w:vMerge w:val="continue"/>
            <w:tcBorders>
              <w:bottom w:val="single" w:color="auto" w:sz="4" w:space="0"/>
              <w:right w:val="single" w:color="auto" w:sz="4" w:space="0"/>
            </w:tcBorders>
          </w:tcPr>
          <w:p w14:paraId="319D8C03">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bottom w:val="single" w:color="auto" w:sz="4" w:space="0"/>
            </w:tcBorders>
          </w:tcPr>
          <w:p w14:paraId="38C346C7">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2" w:type="dxa"/>
            <w:vAlign w:val="center"/>
          </w:tcPr>
          <w:p w14:paraId="6A3AC629">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14:paraId="6570E5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768" w:type="dxa"/>
            <w:vMerge w:val="continue"/>
            <w:tcBorders>
              <w:right w:val="single" w:color="auto" w:sz="4" w:space="0"/>
            </w:tcBorders>
            <w:vAlign w:val="center"/>
          </w:tcPr>
          <w:p w14:paraId="0DBDEDE1">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6DC0A9E4">
            <w:pPr>
              <w:spacing w:line="400" w:lineRule="exact"/>
              <w:ind w:firstLine="210" w:firstLineChars="100"/>
              <w:jc w:val="center"/>
              <w:rPr>
                <w:rFonts w:ascii="宋体" w:hAnsi="宋体"/>
                <w:color w:val="auto"/>
                <w:kern w:val="0"/>
                <w:highlight w:val="none"/>
              </w:rPr>
            </w:pPr>
          </w:p>
        </w:tc>
        <w:tc>
          <w:tcPr>
            <w:tcW w:w="920" w:type="dxa"/>
            <w:gridSpan w:val="2"/>
            <w:vMerge w:val="restart"/>
            <w:tcBorders>
              <w:top w:val="single" w:color="auto" w:sz="4" w:space="0"/>
              <w:right w:val="single" w:color="auto" w:sz="4" w:space="0"/>
            </w:tcBorders>
            <w:vAlign w:val="center"/>
          </w:tcPr>
          <w:p w14:paraId="2570830F">
            <w:pPr>
              <w:tabs>
                <w:tab w:val="left" w:pos="1875"/>
              </w:tabs>
              <w:spacing w:line="400" w:lineRule="exact"/>
              <w:jc w:val="center"/>
              <w:rPr>
                <w:rFonts w:ascii="宋体" w:hAnsi="宋体"/>
                <w:color w:val="auto"/>
                <w:kern w:val="0"/>
                <w:highlight w:val="none"/>
              </w:rPr>
            </w:pPr>
            <w:r>
              <w:rPr>
                <w:rFonts w:hint="eastAsia" w:ascii="宋体" w:hAnsi="宋体" w:cs="宋体"/>
                <w:color w:val="auto"/>
                <w:kern w:val="0"/>
                <w:highlight w:val="none"/>
              </w:rPr>
              <w:t>□</w:t>
            </w:r>
            <w:r>
              <w:rPr>
                <w:rFonts w:hint="eastAsia" w:ascii="宋体" w:hAnsi="宋体"/>
                <w:color w:val="auto"/>
                <w:kern w:val="0"/>
                <w:highlight w:val="none"/>
              </w:rPr>
              <w:t>投标人答辩</w:t>
            </w:r>
          </w:p>
        </w:tc>
        <w:tc>
          <w:tcPr>
            <w:tcW w:w="1584" w:type="dxa"/>
            <w:gridSpan w:val="2"/>
            <w:tcBorders>
              <w:top w:val="single" w:color="auto" w:sz="4" w:space="0"/>
              <w:left w:val="single" w:color="auto" w:sz="4" w:space="0"/>
            </w:tcBorders>
          </w:tcPr>
          <w:p w14:paraId="39734F87">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□工程总承包项目经理答辩</w:t>
            </w:r>
          </w:p>
        </w:tc>
        <w:tc>
          <w:tcPr>
            <w:tcW w:w="5492" w:type="dxa"/>
            <w:vAlign w:val="center"/>
          </w:tcPr>
          <w:p w14:paraId="5F94F143">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答辩</w:t>
            </w:r>
            <w:r>
              <w:rPr>
                <w:rFonts w:ascii="宋体" w:hAnsi="宋体"/>
                <w:color w:val="auto"/>
                <w:highlight w:val="none"/>
              </w:rPr>
              <w:t>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rPr>
              <w:t>。采用暗标评审的，</w:t>
            </w:r>
            <w:r>
              <w:rPr>
                <w:rFonts w:hint="eastAsia" w:ascii="宋体" w:hAnsi="宋体"/>
                <w:color w:val="auto"/>
                <w:highlight w:val="none"/>
                <w:u w:val="none"/>
              </w:rPr>
              <w:t>答辩过程中不得透露与投标人企业有关的任何信息。</w:t>
            </w:r>
          </w:p>
        </w:tc>
      </w:tr>
      <w:tr w14:paraId="2E9995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1A6E6056">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7F38C211">
            <w:pPr>
              <w:spacing w:line="400" w:lineRule="exact"/>
              <w:ind w:firstLine="210" w:firstLineChars="100"/>
              <w:jc w:val="center"/>
              <w:rPr>
                <w:rFonts w:ascii="宋体" w:hAnsi="宋体"/>
                <w:color w:val="auto"/>
                <w:kern w:val="0"/>
                <w:highlight w:val="none"/>
              </w:rPr>
            </w:pPr>
          </w:p>
        </w:tc>
        <w:tc>
          <w:tcPr>
            <w:tcW w:w="920" w:type="dxa"/>
            <w:gridSpan w:val="2"/>
            <w:vMerge w:val="continue"/>
            <w:tcBorders>
              <w:right w:val="single" w:color="auto" w:sz="4" w:space="0"/>
            </w:tcBorders>
          </w:tcPr>
          <w:p w14:paraId="530E83B7">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tcBorders>
          </w:tcPr>
          <w:p w14:paraId="3018C3D5">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□设计负责人答辩</w:t>
            </w:r>
          </w:p>
        </w:tc>
        <w:tc>
          <w:tcPr>
            <w:tcW w:w="5492" w:type="dxa"/>
            <w:vAlign w:val="center"/>
          </w:tcPr>
          <w:p w14:paraId="22AAC4CF">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 xml:space="preserve">分   </w:t>
            </w:r>
            <w:r>
              <w:rPr>
                <w:rFonts w:hint="eastAsia" w:ascii="宋体" w:hAnsi="宋体"/>
                <w:color w:val="auto"/>
                <w:highlight w:val="none"/>
              </w:rPr>
              <w:t>答辩</w:t>
            </w:r>
            <w:r>
              <w:rPr>
                <w:rFonts w:ascii="宋体" w:hAnsi="宋体"/>
                <w:color w:val="auto"/>
                <w:highlight w:val="none"/>
              </w:rPr>
              <w:t>要点</w:t>
            </w:r>
            <w:r>
              <w:rPr>
                <w:rFonts w:hint="eastAsia" w:ascii="宋体" w:hAnsi="宋体"/>
                <w:color w:val="auto"/>
                <w:highlight w:val="none"/>
              </w:rPr>
              <w:t>：</w:t>
            </w: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hint="eastAsia" w:ascii="宋体" w:hAnsi="宋体"/>
                <w:color w:val="auto"/>
                <w:highlight w:val="none"/>
              </w:rPr>
              <w:t>。采用暗标评审的，</w:t>
            </w:r>
            <w:r>
              <w:rPr>
                <w:rFonts w:hint="eastAsia" w:ascii="宋体" w:hAnsi="宋体"/>
                <w:color w:val="auto"/>
                <w:highlight w:val="none"/>
                <w:u w:val="none"/>
              </w:rPr>
              <w:t>答辩过程中不得透露与投标人企业有关的任何信息。</w:t>
            </w:r>
          </w:p>
        </w:tc>
      </w:tr>
      <w:tr w14:paraId="66C4B6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187A7D54">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7FE465B9">
            <w:pPr>
              <w:spacing w:line="400" w:lineRule="exact"/>
              <w:ind w:firstLine="210" w:firstLineChars="100"/>
              <w:jc w:val="center"/>
              <w:rPr>
                <w:rFonts w:ascii="宋体" w:hAnsi="宋体"/>
                <w:color w:val="auto"/>
                <w:kern w:val="0"/>
                <w:highlight w:val="none"/>
              </w:rPr>
            </w:pPr>
          </w:p>
        </w:tc>
        <w:tc>
          <w:tcPr>
            <w:tcW w:w="920" w:type="dxa"/>
            <w:gridSpan w:val="2"/>
            <w:vMerge w:val="continue"/>
            <w:tcBorders>
              <w:right w:val="single" w:color="auto" w:sz="4" w:space="0"/>
            </w:tcBorders>
          </w:tcPr>
          <w:p w14:paraId="47580576">
            <w:pPr>
              <w:tabs>
                <w:tab w:val="left" w:pos="1875"/>
              </w:tabs>
              <w:spacing w:line="400" w:lineRule="exact"/>
              <w:jc w:val="left"/>
              <w:rPr>
                <w:rFonts w:ascii="宋体" w:hAnsi="宋体"/>
                <w:color w:val="auto"/>
                <w:kern w:val="0"/>
                <w:highlight w:val="none"/>
              </w:rPr>
            </w:pPr>
          </w:p>
        </w:tc>
        <w:tc>
          <w:tcPr>
            <w:tcW w:w="1584" w:type="dxa"/>
            <w:gridSpan w:val="2"/>
            <w:tcBorders>
              <w:left w:val="single" w:color="auto" w:sz="4" w:space="0"/>
            </w:tcBorders>
          </w:tcPr>
          <w:p w14:paraId="3E75A0B6">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2" w:type="dxa"/>
            <w:vAlign w:val="center"/>
          </w:tcPr>
          <w:p w14:paraId="56B8CE11">
            <w:pPr>
              <w:snapToGrid w:val="0"/>
              <w:spacing w:line="400" w:lineRule="exact"/>
              <w:ind w:firstLine="420" w:firstLineChars="200"/>
              <w:rPr>
                <w:rFonts w:ascii="宋体" w:hAnsi="宋体"/>
                <w:color w:val="auto"/>
                <w:kern w:val="0"/>
                <w:highlight w:val="non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14:paraId="1C0133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restart"/>
            <w:tcBorders>
              <w:right w:val="single" w:color="auto" w:sz="4" w:space="0"/>
            </w:tcBorders>
            <w:vAlign w:val="center"/>
          </w:tcPr>
          <w:p w14:paraId="741DE5EA">
            <w:pPr>
              <w:spacing w:line="400" w:lineRule="exact"/>
              <w:rPr>
                <w:rFonts w:ascii="宋体" w:hAnsi="宋体"/>
                <w:color w:val="auto"/>
                <w:kern w:val="0"/>
                <w:highlight w:val="none"/>
              </w:rPr>
            </w:pPr>
            <w:r>
              <w:rPr>
                <w:rFonts w:hint="eastAsia" w:ascii="宋体" w:hAnsi="宋体"/>
                <w:color w:val="auto"/>
                <w:kern w:val="0"/>
                <w:highlight w:val="none"/>
              </w:rPr>
              <w:t>2.2.2（2）</w:t>
            </w:r>
          </w:p>
        </w:tc>
        <w:tc>
          <w:tcPr>
            <w:tcW w:w="709" w:type="dxa"/>
            <w:vMerge w:val="restart"/>
            <w:tcBorders>
              <w:left w:val="single" w:color="auto" w:sz="4" w:space="0"/>
            </w:tcBorders>
            <w:vAlign w:val="center"/>
          </w:tcPr>
          <w:p w14:paraId="6D068DF7">
            <w:pPr>
              <w:spacing w:line="400" w:lineRule="exact"/>
              <w:rPr>
                <w:rFonts w:ascii="宋体" w:hAnsi="宋体"/>
                <w:color w:val="auto"/>
                <w:kern w:val="0"/>
                <w:highlight w:val="none"/>
              </w:rPr>
            </w:pPr>
            <w:r>
              <w:rPr>
                <w:rFonts w:hint="eastAsia" w:ascii="宋体" w:hAnsi="宋体"/>
                <w:color w:val="auto"/>
                <w:kern w:val="0"/>
                <w:highlight w:val="none"/>
              </w:rPr>
              <w:t>商务部分评审标准</w:t>
            </w:r>
          </w:p>
        </w:tc>
        <w:tc>
          <w:tcPr>
            <w:tcW w:w="2504" w:type="dxa"/>
            <w:gridSpan w:val="4"/>
          </w:tcPr>
          <w:p w14:paraId="542E46C4">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□类似工程总承包业绩</w:t>
            </w:r>
          </w:p>
        </w:tc>
        <w:tc>
          <w:tcPr>
            <w:tcW w:w="5492" w:type="dxa"/>
            <w:vAlign w:val="center"/>
          </w:tcPr>
          <w:p w14:paraId="29DD6E2F">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14:paraId="006403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2F86EC8C">
            <w:pPr>
              <w:spacing w:line="400" w:lineRule="exact"/>
              <w:rPr>
                <w:rFonts w:ascii="宋体" w:hAnsi="宋体"/>
                <w:color w:val="auto"/>
                <w:kern w:val="0"/>
                <w:highlight w:val="none"/>
              </w:rPr>
            </w:pPr>
          </w:p>
        </w:tc>
        <w:tc>
          <w:tcPr>
            <w:tcW w:w="709" w:type="dxa"/>
            <w:vMerge w:val="continue"/>
            <w:tcBorders>
              <w:left w:val="single" w:color="auto" w:sz="4" w:space="0"/>
            </w:tcBorders>
            <w:vAlign w:val="center"/>
          </w:tcPr>
          <w:p w14:paraId="5E62065B">
            <w:pPr>
              <w:spacing w:line="400" w:lineRule="exact"/>
              <w:rPr>
                <w:rFonts w:ascii="宋体" w:hAnsi="宋体"/>
                <w:color w:val="auto"/>
                <w:kern w:val="0"/>
                <w:highlight w:val="none"/>
              </w:rPr>
            </w:pPr>
          </w:p>
        </w:tc>
        <w:tc>
          <w:tcPr>
            <w:tcW w:w="2504" w:type="dxa"/>
            <w:gridSpan w:val="4"/>
          </w:tcPr>
          <w:p w14:paraId="10DA4D62">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□类似设计业绩</w:t>
            </w:r>
          </w:p>
        </w:tc>
        <w:tc>
          <w:tcPr>
            <w:tcW w:w="5492" w:type="dxa"/>
            <w:vAlign w:val="center"/>
          </w:tcPr>
          <w:p w14:paraId="3773D6F4">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14:paraId="606EB10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74E6B42E">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153CABD2">
            <w:pPr>
              <w:spacing w:line="400" w:lineRule="exact"/>
              <w:ind w:firstLine="210" w:firstLineChars="100"/>
              <w:jc w:val="center"/>
              <w:rPr>
                <w:rFonts w:ascii="宋体" w:hAnsi="宋体"/>
                <w:color w:val="auto"/>
                <w:kern w:val="0"/>
                <w:highlight w:val="none"/>
              </w:rPr>
            </w:pPr>
          </w:p>
        </w:tc>
        <w:tc>
          <w:tcPr>
            <w:tcW w:w="2504" w:type="dxa"/>
            <w:gridSpan w:val="4"/>
          </w:tcPr>
          <w:p w14:paraId="77ECB287">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hint="eastAsia"/>
                <w:color w:val="auto"/>
                <w:highlight w:val="none"/>
              </w:rPr>
              <w:t>工程总承包项目经理资历和（或）业绩</w:t>
            </w:r>
          </w:p>
        </w:tc>
        <w:tc>
          <w:tcPr>
            <w:tcW w:w="5492" w:type="dxa"/>
            <w:vAlign w:val="center"/>
          </w:tcPr>
          <w:p w14:paraId="3CC5CDEE">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14:paraId="0AB1C5C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790DC533">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1A3D3889">
            <w:pPr>
              <w:spacing w:line="400" w:lineRule="exact"/>
              <w:ind w:firstLine="210" w:firstLineChars="100"/>
              <w:jc w:val="center"/>
              <w:rPr>
                <w:rFonts w:ascii="宋体" w:hAnsi="宋体"/>
                <w:color w:val="auto"/>
                <w:kern w:val="0"/>
                <w:highlight w:val="none"/>
              </w:rPr>
            </w:pPr>
          </w:p>
        </w:tc>
        <w:tc>
          <w:tcPr>
            <w:tcW w:w="2504" w:type="dxa"/>
            <w:gridSpan w:val="4"/>
          </w:tcPr>
          <w:p w14:paraId="49B39A41">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color w:val="auto"/>
                <w:highlight w:val="none"/>
              </w:rPr>
              <w:t>设计负责人</w:t>
            </w:r>
            <w:r>
              <w:rPr>
                <w:rFonts w:hint="eastAsia"/>
                <w:color w:val="auto"/>
                <w:highlight w:val="none"/>
              </w:rPr>
              <w:t>资历和（或）业绩</w:t>
            </w:r>
          </w:p>
        </w:tc>
        <w:tc>
          <w:tcPr>
            <w:tcW w:w="5492" w:type="dxa"/>
            <w:vAlign w:val="center"/>
          </w:tcPr>
          <w:p w14:paraId="0B3E0FB3">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14:paraId="5AFB49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297FC591">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5A069F1F">
            <w:pPr>
              <w:spacing w:line="400" w:lineRule="exact"/>
              <w:ind w:firstLine="210" w:firstLineChars="100"/>
              <w:jc w:val="center"/>
              <w:rPr>
                <w:rFonts w:ascii="宋体" w:hAnsi="宋体"/>
                <w:color w:val="auto"/>
                <w:kern w:val="0"/>
                <w:highlight w:val="none"/>
              </w:rPr>
            </w:pPr>
          </w:p>
        </w:tc>
        <w:tc>
          <w:tcPr>
            <w:tcW w:w="2504" w:type="dxa"/>
            <w:gridSpan w:val="4"/>
          </w:tcPr>
          <w:p w14:paraId="66052946">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2" w:type="dxa"/>
            <w:vAlign w:val="center"/>
          </w:tcPr>
          <w:p w14:paraId="015CF6CB">
            <w:pPr>
              <w:snapToGrid w:val="0"/>
              <w:spacing w:line="400" w:lineRule="exact"/>
              <w:ind w:firstLine="420" w:firstLineChars="200"/>
              <w:rPr>
                <w:rFonts w:ascii="宋体" w:hAnsi="宋体"/>
                <w:color w:val="auto"/>
                <w:highlight w:val="none"/>
                <w:u w:val="single"/>
              </w:rPr>
            </w:pPr>
            <w:r>
              <w:rPr>
                <w:rFonts w:ascii="宋体" w:hAnsi="宋体"/>
                <w:color w:val="auto"/>
                <w:highlight w:val="none"/>
                <w:u w:val="single"/>
              </w:rPr>
              <w:t xml:space="preserve"> </w:t>
            </w:r>
            <w:r>
              <w:rPr>
                <w:rFonts w:hint="eastAsia" w:ascii="宋体" w:hAnsi="宋体"/>
                <w:color w:val="auto"/>
                <w:highlight w:val="none"/>
                <w:u w:val="single"/>
              </w:rPr>
              <w:t xml:space="preserve">     </w:t>
            </w:r>
            <w:r>
              <w:rPr>
                <w:rFonts w:ascii="宋体" w:hAnsi="宋体"/>
                <w:color w:val="auto"/>
                <w:highlight w:val="none"/>
                <w:u w:val="single"/>
              </w:rPr>
              <w:t xml:space="preserve"> 　</w:t>
            </w:r>
            <w:r>
              <w:rPr>
                <w:rFonts w:ascii="宋体" w:hAnsi="宋体"/>
                <w:color w:val="auto"/>
                <w:highlight w:val="none"/>
              </w:rPr>
              <w:t>分   ……</w:t>
            </w:r>
          </w:p>
        </w:tc>
      </w:tr>
      <w:tr w14:paraId="03DD350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restart"/>
            <w:tcBorders>
              <w:right w:val="single" w:color="auto" w:sz="4" w:space="0"/>
            </w:tcBorders>
            <w:vAlign w:val="center"/>
          </w:tcPr>
          <w:p w14:paraId="540E2887">
            <w:pPr>
              <w:spacing w:line="400" w:lineRule="exact"/>
              <w:rPr>
                <w:rFonts w:ascii="宋体" w:hAnsi="宋体"/>
                <w:color w:val="auto"/>
                <w:kern w:val="0"/>
                <w:highlight w:val="none"/>
              </w:rPr>
            </w:pPr>
            <w:r>
              <w:rPr>
                <w:rFonts w:hint="eastAsia" w:ascii="宋体" w:hAnsi="宋体"/>
                <w:color w:val="auto"/>
                <w:kern w:val="0"/>
                <w:highlight w:val="none"/>
              </w:rPr>
              <w:t>2.2.2（3）</w:t>
            </w:r>
          </w:p>
        </w:tc>
        <w:tc>
          <w:tcPr>
            <w:tcW w:w="709" w:type="dxa"/>
            <w:vMerge w:val="restart"/>
            <w:tcBorders>
              <w:left w:val="single" w:color="auto" w:sz="4" w:space="0"/>
            </w:tcBorders>
            <w:vAlign w:val="center"/>
          </w:tcPr>
          <w:p w14:paraId="067E2D53">
            <w:pPr>
              <w:spacing w:line="400" w:lineRule="exact"/>
              <w:rPr>
                <w:rFonts w:ascii="宋体" w:hAnsi="宋体"/>
                <w:color w:val="auto"/>
                <w:kern w:val="0"/>
                <w:highlight w:val="none"/>
              </w:rPr>
            </w:pPr>
            <w:r>
              <w:rPr>
                <w:rFonts w:hint="eastAsia" w:ascii="宋体" w:hAnsi="宋体"/>
                <w:color w:val="auto"/>
                <w:kern w:val="0"/>
                <w:highlight w:val="none"/>
              </w:rPr>
              <w:t>投标</w:t>
            </w:r>
            <w:r>
              <w:rPr>
                <w:rFonts w:ascii="宋体" w:hAnsi="宋体"/>
                <w:color w:val="auto"/>
                <w:kern w:val="0"/>
                <w:highlight w:val="none"/>
              </w:rPr>
              <w:t>函</w:t>
            </w:r>
            <w:r>
              <w:rPr>
                <w:rFonts w:hint="eastAsia" w:ascii="宋体" w:hAnsi="宋体"/>
                <w:color w:val="auto"/>
                <w:kern w:val="0"/>
                <w:highlight w:val="none"/>
              </w:rPr>
              <w:t>部分</w:t>
            </w:r>
            <w:r>
              <w:rPr>
                <w:rFonts w:ascii="宋体" w:hAnsi="宋体"/>
                <w:color w:val="auto"/>
                <w:kern w:val="0"/>
                <w:highlight w:val="none"/>
              </w:rPr>
              <w:t>及经济部分</w:t>
            </w:r>
            <w:r>
              <w:rPr>
                <w:rFonts w:hint="eastAsia" w:ascii="宋体" w:hAnsi="宋体"/>
                <w:color w:val="auto"/>
                <w:kern w:val="0"/>
                <w:highlight w:val="none"/>
              </w:rPr>
              <w:t>评审标准</w:t>
            </w:r>
          </w:p>
        </w:tc>
        <w:tc>
          <w:tcPr>
            <w:tcW w:w="2504" w:type="dxa"/>
            <w:gridSpan w:val="4"/>
            <w:vAlign w:val="center"/>
          </w:tcPr>
          <w:p w14:paraId="499126D5">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投标函部分的格式</w:t>
            </w:r>
          </w:p>
        </w:tc>
        <w:tc>
          <w:tcPr>
            <w:tcW w:w="5492" w:type="dxa"/>
            <w:vAlign w:val="center"/>
          </w:tcPr>
          <w:p w14:paraId="5974825B">
            <w:pPr>
              <w:snapToGrid w:val="0"/>
              <w:spacing w:line="400" w:lineRule="exact"/>
              <w:ind w:firstLine="420" w:firstLineChars="200"/>
              <w:rPr>
                <w:rFonts w:ascii="宋体" w:hAnsi="宋体"/>
                <w:color w:val="auto"/>
                <w:highlight w:val="none"/>
                <w:u w:val="single"/>
              </w:rPr>
            </w:pPr>
            <w:r>
              <w:rPr>
                <w:rFonts w:hint="eastAsia" w:ascii="宋体" w:hAnsi="宋体" w:cs="宋体"/>
                <w:color w:val="auto"/>
                <w:kern w:val="0"/>
                <w:highlight w:val="none"/>
              </w:rPr>
              <w:t>符合第二章“投标人须知”第3.7款规定。</w:t>
            </w:r>
          </w:p>
        </w:tc>
      </w:tr>
      <w:tr w14:paraId="71867F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766A27B5">
            <w:pPr>
              <w:spacing w:line="400" w:lineRule="exact"/>
              <w:rPr>
                <w:rFonts w:ascii="宋体" w:hAnsi="宋体"/>
                <w:color w:val="auto"/>
                <w:kern w:val="0"/>
                <w:highlight w:val="none"/>
              </w:rPr>
            </w:pPr>
          </w:p>
        </w:tc>
        <w:tc>
          <w:tcPr>
            <w:tcW w:w="709" w:type="dxa"/>
            <w:vMerge w:val="continue"/>
            <w:tcBorders>
              <w:left w:val="single" w:color="auto" w:sz="4" w:space="0"/>
            </w:tcBorders>
            <w:vAlign w:val="center"/>
          </w:tcPr>
          <w:p w14:paraId="12CB78B4">
            <w:pPr>
              <w:spacing w:line="400" w:lineRule="exact"/>
              <w:rPr>
                <w:rFonts w:ascii="宋体" w:hAnsi="宋体"/>
                <w:color w:val="auto"/>
                <w:kern w:val="0"/>
                <w:highlight w:val="none"/>
              </w:rPr>
            </w:pPr>
          </w:p>
        </w:tc>
        <w:tc>
          <w:tcPr>
            <w:tcW w:w="2504" w:type="dxa"/>
            <w:gridSpan w:val="4"/>
            <w:tcBorders>
              <w:right w:val="single" w:color="auto" w:sz="4" w:space="0"/>
            </w:tcBorders>
            <w:vAlign w:val="center"/>
          </w:tcPr>
          <w:p w14:paraId="1A5032BF">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投标函部分的签字盖章</w:t>
            </w:r>
          </w:p>
        </w:tc>
        <w:tc>
          <w:tcPr>
            <w:tcW w:w="5492" w:type="dxa"/>
            <w:tcBorders>
              <w:left w:val="single" w:color="auto" w:sz="4" w:space="0"/>
            </w:tcBorders>
            <w:vAlign w:val="center"/>
          </w:tcPr>
          <w:p w14:paraId="79FC253A">
            <w:pPr>
              <w:snapToGrid w:val="0"/>
              <w:spacing w:line="400" w:lineRule="exact"/>
              <w:ind w:firstLine="420" w:firstLineChars="200"/>
              <w:rPr>
                <w:rFonts w:ascii="宋体" w:hAnsi="宋体" w:cs="宋体"/>
                <w:color w:val="auto"/>
                <w:kern w:val="0"/>
                <w:highlight w:val="none"/>
              </w:rPr>
            </w:pPr>
            <w:r>
              <w:rPr>
                <w:rFonts w:ascii="宋体" w:hAnsi="宋体" w:cs="宋体"/>
                <w:color w:val="auto"/>
                <w:kern w:val="0"/>
                <w:highlight w:val="none"/>
              </w:rPr>
              <w:t>投标函部分的格式</w:t>
            </w:r>
            <w:r>
              <w:rPr>
                <w:rFonts w:hint="eastAsia" w:ascii="宋体" w:hAnsi="宋体" w:cs="宋体"/>
                <w:color w:val="auto"/>
                <w:kern w:val="0"/>
                <w:highlight w:val="none"/>
              </w:rPr>
              <w:t>要求法定代表人或其委托代理人签字（或盖章）的须齐全。要求加盖单位法人章的，应使用 CA 数字证书加盖投标人的单位电子印章。</w:t>
            </w:r>
          </w:p>
          <w:p w14:paraId="423D6955">
            <w:pPr>
              <w:snapToGrid w:val="0"/>
              <w:spacing w:line="400" w:lineRule="exact"/>
              <w:ind w:firstLine="420" w:firstLineChars="200"/>
              <w:rPr>
                <w:rFonts w:ascii="宋体" w:hAnsi="宋体"/>
                <w:color w:val="auto"/>
                <w:kern w:val="0"/>
                <w:highlight w:val="none"/>
              </w:rPr>
            </w:pPr>
            <w:r>
              <w:rPr>
                <w:rFonts w:hint="eastAsia" w:ascii="宋体" w:hAnsi="宋体" w:cs="宋体"/>
                <w:color w:val="auto"/>
                <w:kern w:val="0"/>
                <w:highlight w:val="none"/>
              </w:rPr>
              <w:t>若投标单位为联合体，则联合体协议书中要求各联合体成员盖单位法人章的，各联合体成员盖章须齐全，联合体协议书以外的投标函部分的格式中要求投标人加盖单位法人章的，均由联合体牵头人使用 CA 数字证书加盖其单位电子印章。</w:t>
            </w:r>
          </w:p>
        </w:tc>
      </w:tr>
      <w:tr w14:paraId="283426D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6B368B05">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5CC5F367">
            <w:pPr>
              <w:spacing w:line="400" w:lineRule="exact"/>
              <w:ind w:firstLine="210" w:firstLineChars="100"/>
              <w:jc w:val="center"/>
              <w:rPr>
                <w:rFonts w:ascii="宋体" w:hAnsi="宋体"/>
                <w:color w:val="auto"/>
                <w:kern w:val="0"/>
                <w:highlight w:val="none"/>
              </w:rPr>
            </w:pPr>
          </w:p>
        </w:tc>
        <w:tc>
          <w:tcPr>
            <w:tcW w:w="2504" w:type="dxa"/>
            <w:gridSpan w:val="4"/>
            <w:vAlign w:val="center"/>
          </w:tcPr>
          <w:p w14:paraId="2E22D5F7">
            <w:pPr>
              <w:tabs>
                <w:tab w:val="left" w:pos="1875"/>
              </w:tabs>
              <w:spacing w:line="400" w:lineRule="exact"/>
              <w:jc w:val="left"/>
              <w:rPr>
                <w:rFonts w:ascii="宋体" w:hAnsi="宋体" w:cs="宋体"/>
                <w:color w:val="auto"/>
                <w:kern w:val="0"/>
                <w:highlight w:val="none"/>
              </w:rPr>
            </w:pPr>
            <w:r>
              <w:rPr>
                <w:rFonts w:ascii="宋体" w:hAnsi="宋体"/>
                <w:color w:val="auto"/>
                <w:kern w:val="0"/>
                <w:highlight w:val="none"/>
              </w:rPr>
              <w:t>工期</w:t>
            </w:r>
          </w:p>
        </w:tc>
        <w:tc>
          <w:tcPr>
            <w:tcW w:w="5492" w:type="dxa"/>
            <w:vAlign w:val="center"/>
          </w:tcPr>
          <w:p w14:paraId="0A1A2E13">
            <w:pPr>
              <w:snapToGrid w:val="0"/>
              <w:spacing w:line="400" w:lineRule="exact"/>
              <w:ind w:firstLine="420" w:firstLineChars="200"/>
              <w:rPr>
                <w:rFonts w:ascii="宋体" w:hAnsi="宋体"/>
                <w:color w:val="auto"/>
                <w:highlight w:val="none"/>
                <w:u w:val="single"/>
              </w:rPr>
            </w:pPr>
            <w:r>
              <w:rPr>
                <w:rFonts w:ascii="宋体" w:hAnsi="宋体"/>
                <w:color w:val="auto"/>
                <w:kern w:val="0"/>
                <w:highlight w:val="none"/>
              </w:rPr>
              <w:t>符合第二章“投标人须知”第1.3.2项规定</w:t>
            </w:r>
          </w:p>
        </w:tc>
      </w:tr>
      <w:tr w14:paraId="658EBF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5DD1C11A">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7F5ADB19">
            <w:pPr>
              <w:spacing w:line="400" w:lineRule="exact"/>
              <w:ind w:firstLine="210" w:firstLineChars="100"/>
              <w:jc w:val="center"/>
              <w:rPr>
                <w:rFonts w:ascii="宋体" w:hAnsi="宋体"/>
                <w:color w:val="auto"/>
                <w:kern w:val="0"/>
                <w:highlight w:val="none"/>
              </w:rPr>
            </w:pPr>
          </w:p>
        </w:tc>
        <w:tc>
          <w:tcPr>
            <w:tcW w:w="2504" w:type="dxa"/>
            <w:gridSpan w:val="4"/>
            <w:vAlign w:val="center"/>
          </w:tcPr>
          <w:p w14:paraId="5384D62F">
            <w:pPr>
              <w:tabs>
                <w:tab w:val="left" w:pos="1875"/>
              </w:tabs>
              <w:spacing w:line="400" w:lineRule="exact"/>
              <w:jc w:val="left"/>
              <w:rPr>
                <w:rFonts w:ascii="宋体" w:hAnsi="宋体" w:cs="宋体"/>
                <w:color w:val="auto"/>
                <w:kern w:val="0"/>
                <w:highlight w:val="none"/>
              </w:rPr>
            </w:pPr>
            <w:r>
              <w:rPr>
                <w:rFonts w:hint="eastAsia" w:ascii="宋体" w:hAnsi="宋体"/>
                <w:color w:val="auto"/>
                <w:kern w:val="0"/>
                <w:highlight w:val="none"/>
              </w:rPr>
              <w:t>质量标准</w:t>
            </w:r>
          </w:p>
        </w:tc>
        <w:tc>
          <w:tcPr>
            <w:tcW w:w="5492" w:type="dxa"/>
            <w:vAlign w:val="center"/>
          </w:tcPr>
          <w:p w14:paraId="36E570CA">
            <w:pPr>
              <w:snapToGrid w:val="0"/>
              <w:spacing w:line="400" w:lineRule="exact"/>
              <w:ind w:firstLine="420" w:firstLineChars="200"/>
              <w:rPr>
                <w:rFonts w:ascii="宋体" w:hAnsi="宋体"/>
                <w:color w:val="auto"/>
                <w:highlight w:val="none"/>
                <w:u w:val="single"/>
              </w:rPr>
            </w:pPr>
            <w:r>
              <w:rPr>
                <w:rFonts w:ascii="宋体" w:hAnsi="宋体"/>
                <w:color w:val="auto"/>
                <w:kern w:val="0"/>
                <w:highlight w:val="none"/>
              </w:rPr>
              <w:t>符合第二章“投标人须知”第1.3.3项规定</w:t>
            </w:r>
          </w:p>
        </w:tc>
      </w:tr>
      <w:tr w14:paraId="6169C13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535ED0C7">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29A59632">
            <w:pPr>
              <w:spacing w:line="400" w:lineRule="exact"/>
              <w:ind w:firstLine="210" w:firstLineChars="100"/>
              <w:jc w:val="center"/>
              <w:rPr>
                <w:rFonts w:ascii="宋体" w:hAnsi="宋体"/>
                <w:color w:val="auto"/>
                <w:kern w:val="0"/>
                <w:highlight w:val="none"/>
              </w:rPr>
            </w:pPr>
          </w:p>
        </w:tc>
        <w:tc>
          <w:tcPr>
            <w:tcW w:w="2504" w:type="dxa"/>
            <w:gridSpan w:val="4"/>
            <w:vAlign w:val="center"/>
          </w:tcPr>
          <w:p w14:paraId="2A9DB749">
            <w:pPr>
              <w:tabs>
                <w:tab w:val="left" w:pos="1875"/>
              </w:tabs>
              <w:spacing w:line="400" w:lineRule="exact"/>
              <w:jc w:val="left"/>
              <w:rPr>
                <w:rFonts w:ascii="宋体" w:hAnsi="宋体" w:cs="宋体"/>
                <w:color w:val="auto"/>
                <w:kern w:val="0"/>
                <w:highlight w:val="none"/>
              </w:rPr>
            </w:pPr>
            <w:r>
              <w:rPr>
                <w:rFonts w:ascii="宋体" w:hAnsi="宋体"/>
                <w:color w:val="auto"/>
                <w:kern w:val="0"/>
                <w:highlight w:val="none"/>
              </w:rPr>
              <w:t>投标有效期</w:t>
            </w:r>
          </w:p>
        </w:tc>
        <w:tc>
          <w:tcPr>
            <w:tcW w:w="5492" w:type="dxa"/>
            <w:vAlign w:val="center"/>
          </w:tcPr>
          <w:p w14:paraId="0B5850F3">
            <w:pPr>
              <w:snapToGrid w:val="0"/>
              <w:spacing w:line="400" w:lineRule="exact"/>
              <w:ind w:firstLine="420" w:firstLineChars="200"/>
              <w:rPr>
                <w:rFonts w:ascii="宋体" w:hAnsi="宋体"/>
                <w:color w:val="auto"/>
                <w:highlight w:val="none"/>
                <w:u w:val="single"/>
              </w:rPr>
            </w:pPr>
            <w:r>
              <w:rPr>
                <w:rFonts w:ascii="宋体" w:hAnsi="宋体"/>
                <w:color w:val="auto"/>
                <w:kern w:val="0"/>
                <w:highlight w:val="none"/>
              </w:rPr>
              <w:t>符合第二章“投标人须知”第3.3.1项规定</w:t>
            </w:r>
          </w:p>
        </w:tc>
      </w:tr>
      <w:tr w14:paraId="1966321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2265F7A6">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54B0BC93">
            <w:pPr>
              <w:spacing w:line="400" w:lineRule="exact"/>
              <w:ind w:firstLine="210" w:firstLineChars="100"/>
              <w:jc w:val="center"/>
              <w:rPr>
                <w:rFonts w:ascii="宋体" w:hAnsi="宋体"/>
                <w:color w:val="auto"/>
                <w:kern w:val="0"/>
                <w:highlight w:val="none"/>
              </w:rPr>
            </w:pPr>
          </w:p>
        </w:tc>
        <w:tc>
          <w:tcPr>
            <w:tcW w:w="2504" w:type="dxa"/>
            <w:gridSpan w:val="4"/>
            <w:vAlign w:val="center"/>
          </w:tcPr>
          <w:p w14:paraId="1595F007">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投标报价</w:t>
            </w:r>
          </w:p>
        </w:tc>
        <w:tc>
          <w:tcPr>
            <w:tcW w:w="5492" w:type="dxa"/>
            <w:vAlign w:val="center"/>
          </w:tcPr>
          <w:p w14:paraId="2D47676B">
            <w:pPr>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1</w:t>
            </w:r>
            <w:r>
              <w:rPr>
                <w:rFonts w:ascii="宋体" w:hAnsi="宋体"/>
                <w:color w:val="auto"/>
                <w:kern w:val="0"/>
                <w:highlight w:val="none"/>
              </w:rPr>
              <w:t>.投标总报价不得高于招标人公布的投标总报价最高限价</w:t>
            </w:r>
            <w:r>
              <w:rPr>
                <w:rFonts w:hint="eastAsia" w:ascii="宋体" w:hAnsi="宋体"/>
                <w:color w:val="auto"/>
                <w:kern w:val="0"/>
                <w:highlight w:val="none"/>
              </w:rPr>
              <w:t>。</w:t>
            </w:r>
            <w:r>
              <w:rPr>
                <w:rFonts w:hint="eastAsia" w:ascii="宋体" w:hAnsi="宋体" w:cs="宋体"/>
                <w:color w:val="auto"/>
                <w:kern w:val="0"/>
                <w:highlight w:val="none"/>
              </w:rPr>
              <w:t>投标分项报价不得高于招标人公布的投标分项报价最高限价。投标</w:t>
            </w:r>
            <w:r>
              <w:rPr>
                <w:rFonts w:hint="eastAsia" w:ascii="宋体" w:hAnsi="宋体" w:cs="宋体"/>
                <w:color w:val="auto"/>
                <w:szCs w:val="21"/>
                <w:highlight w:val="none"/>
              </w:rPr>
              <w:t>总报价与依据分项</w:t>
            </w:r>
            <w:r>
              <w:rPr>
                <w:rFonts w:ascii="宋体" w:hAnsi="宋体" w:cs="宋体"/>
                <w:color w:val="auto"/>
                <w:szCs w:val="21"/>
                <w:highlight w:val="none"/>
              </w:rPr>
              <w:t>报价、</w:t>
            </w:r>
            <w:r>
              <w:rPr>
                <w:rFonts w:hint="eastAsia" w:ascii="宋体" w:hAnsi="宋体" w:cs="宋体"/>
                <w:color w:val="auto"/>
                <w:szCs w:val="21"/>
                <w:highlight w:val="none"/>
              </w:rPr>
              <w:t>单价/费率报价计算出的结果应一致。</w:t>
            </w:r>
          </w:p>
        </w:tc>
      </w:tr>
      <w:tr w14:paraId="78517F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1F07A912">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20B1657A">
            <w:pPr>
              <w:spacing w:line="400" w:lineRule="exact"/>
              <w:ind w:firstLine="210" w:firstLineChars="100"/>
              <w:jc w:val="center"/>
              <w:rPr>
                <w:rFonts w:ascii="宋体" w:hAnsi="宋体"/>
                <w:color w:val="auto"/>
                <w:kern w:val="0"/>
                <w:highlight w:val="none"/>
              </w:rPr>
            </w:pPr>
          </w:p>
        </w:tc>
        <w:tc>
          <w:tcPr>
            <w:tcW w:w="2504" w:type="dxa"/>
            <w:gridSpan w:val="4"/>
            <w:vAlign w:val="center"/>
          </w:tcPr>
          <w:p w14:paraId="6515EC53">
            <w:pPr>
              <w:tabs>
                <w:tab w:val="left" w:pos="1875"/>
              </w:tabs>
              <w:spacing w:line="400" w:lineRule="exact"/>
              <w:jc w:val="left"/>
              <w:rPr>
                <w:rFonts w:ascii="宋体" w:hAnsi="宋体"/>
                <w:color w:val="auto"/>
                <w:kern w:val="0"/>
                <w:highlight w:val="none"/>
              </w:rPr>
            </w:pPr>
            <w:r>
              <w:rPr>
                <w:rFonts w:hint="eastAsia" w:ascii="宋体" w:hAnsi="宋体"/>
                <w:color w:val="auto"/>
                <w:kern w:val="0"/>
                <w:highlight w:val="none"/>
              </w:rPr>
              <w:t>暂定金额（暂列金）</w:t>
            </w:r>
          </w:p>
        </w:tc>
        <w:tc>
          <w:tcPr>
            <w:tcW w:w="5492" w:type="dxa"/>
            <w:vAlign w:val="center"/>
          </w:tcPr>
          <w:p w14:paraId="55D29BA2">
            <w:pPr>
              <w:snapToGrid w:val="0"/>
              <w:spacing w:line="400" w:lineRule="exact"/>
              <w:ind w:firstLine="420" w:firstLineChars="200"/>
              <w:rPr>
                <w:rFonts w:ascii="宋体" w:hAnsi="宋体"/>
                <w:color w:val="auto"/>
                <w:kern w:val="0"/>
                <w:highlight w:val="none"/>
              </w:rPr>
            </w:pPr>
            <w:r>
              <w:rPr>
                <w:rFonts w:hint="eastAsia" w:ascii="宋体" w:hAnsi="宋体"/>
                <w:color w:val="auto"/>
                <w:kern w:val="0"/>
                <w:highlight w:val="none"/>
              </w:rPr>
              <w:t>暂定金额（暂列金）必须按照招标文件给定的金额填报</w:t>
            </w:r>
          </w:p>
        </w:tc>
      </w:tr>
      <w:tr w14:paraId="4EB113B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546AECFD">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27D99C50">
            <w:pPr>
              <w:spacing w:line="400" w:lineRule="exact"/>
              <w:ind w:firstLine="210" w:firstLineChars="100"/>
              <w:jc w:val="center"/>
              <w:rPr>
                <w:rFonts w:ascii="宋体" w:hAnsi="宋体"/>
                <w:color w:val="auto"/>
                <w:kern w:val="0"/>
                <w:highlight w:val="none"/>
              </w:rPr>
            </w:pPr>
          </w:p>
        </w:tc>
        <w:tc>
          <w:tcPr>
            <w:tcW w:w="2504" w:type="dxa"/>
            <w:gridSpan w:val="4"/>
            <w:vAlign w:val="center"/>
          </w:tcPr>
          <w:p w14:paraId="3B277033">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报价唯一</w:t>
            </w:r>
          </w:p>
        </w:tc>
        <w:tc>
          <w:tcPr>
            <w:tcW w:w="5492" w:type="dxa"/>
            <w:vAlign w:val="center"/>
          </w:tcPr>
          <w:p w14:paraId="40CD3C7D">
            <w:pPr>
              <w:snapToGrid w:val="0"/>
              <w:spacing w:line="400" w:lineRule="exact"/>
              <w:ind w:firstLine="420" w:firstLineChars="200"/>
              <w:rPr>
                <w:rFonts w:ascii="宋体" w:hAnsi="宋体"/>
                <w:color w:val="auto"/>
                <w:kern w:val="0"/>
                <w:highlight w:val="none"/>
              </w:rPr>
            </w:pPr>
            <w:r>
              <w:rPr>
                <w:rFonts w:ascii="宋体" w:hAnsi="宋体"/>
                <w:color w:val="auto"/>
                <w:kern w:val="0"/>
                <w:highlight w:val="none"/>
              </w:rPr>
              <w:t>只能有一个有效报价，在招标文件没有规定的情况下，不得提交选择性报价。</w:t>
            </w:r>
          </w:p>
        </w:tc>
      </w:tr>
      <w:tr w14:paraId="5AD1CE9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0A012C5C">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5BE8315B">
            <w:pPr>
              <w:spacing w:line="400" w:lineRule="exact"/>
              <w:ind w:firstLine="210" w:firstLineChars="100"/>
              <w:jc w:val="center"/>
              <w:rPr>
                <w:rFonts w:ascii="宋体" w:hAnsi="宋体"/>
                <w:color w:val="auto"/>
                <w:kern w:val="0"/>
                <w:highlight w:val="none"/>
              </w:rPr>
            </w:pPr>
          </w:p>
        </w:tc>
        <w:tc>
          <w:tcPr>
            <w:tcW w:w="2504" w:type="dxa"/>
            <w:gridSpan w:val="4"/>
            <w:vAlign w:val="center"/>
          </w:tcPr>
          <w:p w14:paraId="33EAE8D6">
            <w:pPr>
              <w:tabs>
                <w:tab w:val="left" w:pos="1875"/>
              </w:tabs>
              <w:spacing w:line="400" w:lineRule="exact"/>
              <w:rPr>
                <w:rFonts w:ascii="宋体" w:hAnsi="宋体" w:cs="宋体"/>
                <w:color w:val="auto"/>
                <w:kern w:val="0"/>
                <w:highlight w:val="none"/>
              </w:rPr>
            </w:pPr>
            <w:r>
              <w:rPr>
                <w:rFonts w:hint="eastAsia" w:ascii="宋体" w:hAnsi="宋体" w:cs="宋体"/>
                <w:color w:val="auto"/>
                <w:kern w:val="0"/>
                <w:highlight w:val="none"/>
              </w:rPr>
              <w:t>已标价招标清单（如有）</w:t>
            </w:r>
          </w:p>
        </w:tc>
        <w:tc>
          <w:tcPr>
            <w:tcW w:w="5492" w:type="dxa"/>
            <w:vAlign w:val="center"/>
          </w:tcPr>
          <w:p w14:paraId="262186C7">
            <w:pPr>
              <w:snapToGrid w:val="0"/>
              <w:spacing w:after="31" w:afterLines="10"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1.</w:t>
            </w:r>
            <w:r>
              <w:rPr>
                <w:rFonts w:hint="eastAsia" w:ascii="宋体" w:hAnsi="宋体"/>
                <w:color w:val="auto"/>
                <w:szCs w:val="21"/>
                <w:highlight w:val="none"/>
              </w:rPr>
              <w:t>投标人必须按招标清单要求填报价格。</w:t>
            </w:r>
          </w:p>
          <w:p w14:paraId="79112E34">
            <w:pPr>
              <w:snapToGrid w:val="0"/>
              <w:spacing w:line="400" w:lineRule="exact"/>
              <w:ind w:firstLine="420" w:firstLineChars="200"/>
              <w:rPr>
                <w:rFonts w:ascii="宋体" w:hAnsi="宋体"/>
                <w:color w:val="auto"/>
                <w:highlight w:val="none"/>
                <w:u w:val="single"/>
              </w:rPr>
            </w:pPr>
            <w:r>
              <w:rPr>
                <w:rFonts w:hint="eastAsia" w:ascii="宋体" w:hAnsi="宋体"/>
                <w:color w:val="auto"/>
                <w:szCs w:val="21"/>
                <w:highlight w:val="none"/>
              </w:rPr>
              <w:t>2.每项清单综合单价报价不得超过每项清单综合单价最高限价。</w:t>
            </w:r>
          </w:p>
        </w:tc>
      </w:tr>
      <w:tr w14:paraId="2E06BC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tcBorders>
              <w:right w:val="single" w:color="auto" w:sz="4" w:space="0"/>
            </w:tcBorders>
            <w:vAlign w:val="center"/>
          </w:tcPr>
          <w:p w14:paraId="7B1DAAAE">
            <w:pPr>
              <w:spacing w:line="400" w:lineRule="exact"/>
              <w:ind w:firstLine="210" w:firstLineChars="100"/>
              <w:jc w:val="center"/>
              <w:rPr>
                <w:rFonts w:ascii="宋体" w:hAnsi="宋体"/>
                <w:color w:val="auto"/>
                <w:kern w:val="0"/>
                <w:highlight w:val="none"/>
              </w:rPr>
            </w:pPr>
          </w:p>
        </w:tc>
        <w:tc>
          <w:tcPr>
            <w:tcW w:w="709" w:type="dxa"/>
            <w:vMerge w:val="continue"/>
            <w:tcBorders>
              <w:left w:val="single" w:color="auto" w:sz="4" w:space="0"/>
            </w:tcBorders>
            <w:vAlign w:val="center"/>
          </w:tcPr>
          <w:p w14:paraId="616D8E4B">
            <w:pPr>
              <w:spacing w:line="400" w:lineRule="exact"/>
              <w:ind w:firstLine="210" w:firstLineChars="100"/>
              <w:jc w:val="center"/>
              <w:rPr>
                <w:rFonts w:ascii="宋体" w:hAnsi="宋体"/>
                <w:color w:val="auto"/>
                <w:kern w:val="0"/>
                <w:highlight w:val="none"/>
              </w:rPr>
            </w:pPr>
          </w:p>
        </w:tc>
        <w:tc>
          <w:tcPr>
            <w:tcW w:w="2504" w:type="dxa"/>
            <w:gridSpan w:val="4"/>
            <w:vAlign w:val="center"/>
          </w:tcPr>
          <w:p w14:paraId="2F654725">
            <w:pPr>
              <w:tabs>
                <w:tab w:val="left" w:pos="1875"/>
              </w:tabs>
              <w:spacing w:line="400" w:lineRule="exact"/>
              <w:jc w:val="left"/>
              <w:rPr>
                <w:rFonts w:ascii="宋体" w:hAnsi="宋体" w:cs="宋体"/>
                <w:color w:val="auto"/>
                <w:kern w:val="0"/>
                <w:highlight w:val="none"/>
              </w:rPr>
            </w:pPr>
            <w:r>
              <w:rPr>
                <w:rFonts w:ascii="宋体" w:hAnsi="宋体"/>
                <w:color w:val="auto"/>
                <w:kern w:val="0"/>
                <w:highlight w:val="none"/>
              </w:rPr>
              <w:t>投标报价算术错误修正</w:t>
            </w:r>
          </w:p>
        </w:tc>
        <w:tc>
          <w:tcPr>
            <w:tcW w:w="5492" w:type="dxa"/>
            <w:vAlign w:val="center"/>
          </w:tcPr>
          <w:p w14:paraId="0CA8DFD9">
            <w:pPr>
              <w:snapToGrid w:val="0"/>
              <w:spacing w:line="400" w:lineRule="exact"/>
              <w:ind w:firstLine="420" w:firstLineChars="200"/>
              <w:rPr>
                <w:rFonts w:ascii="宋体" w:hAnsi="宋体"/>
                <w:color w:val="auto"/>
                <w:highlight w:val="none"/>
                <w:u w:val="single"/>
              </w:rPr>
            </w:pPr>
            <w:r>
              <w:rPr>
                <w:rFonts w:ascii="宋体" w:hAnsi="宋体"/>
                <w:color w:val="auto"/>
                <w:kern w:val="0"/>
                <w:highlight w:val="none"/>
              </w:rPr>
              <w:t>符合第三章</w:t>
            </w:r>
            <w:r>
              <w:rPr>
                <w:rFonts w:hint="eastAsia" w:ascii="宋体" w:hAnsi="宋体" w:cs="宋体"/>
                <w:color w:val="auto"/>
                <w:kern w:val="0"/>
                <w:highlight w:val="none"/>
              </w:rPr>
              <w:t>“评标办法”</w:t>
            </w:r>
            <w:r>
              <w:rPr>
                <w:rFonts w:ascii="宋体" w:hAnsi="宋体"/>
                <w:color w:val="auto"/>
                <w:kern w:val="0"/>
                <w:highlight w:val="none"/>
              </w:rPr>
              <w:t>第3.1.3项规定。</w:t>
            </w:r>
          </w:p>
        </w:tc>
      </w:tr>
      <w:tr w14:paraId="076CC93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tcBorders>
              <w:right w:val="single" w:color="auto" w:sz="4" w:space="0"/>
            </w:tcBorders>
            <w:vAlign w:val="center"/>
          </w:tcPr>
          <w:p w14:paraId="07287436">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60" w:type="dxa"/>
            <w:gridSpan w:val="2"/>
            <w:tcBorders>
              <w:left w:val="single" w:color="auto" w:sz="4" w:space="0"/>
            </w:tcBorders>
            <w:vAlign w:val="center"/>
          </w:tcPr>
          <w:p w14:paraId="2E327147">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□选项一：</w:t>
            </w:r>
          </w:p>
          <w:p w14:paraId="3B04074D">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653" w:type="dxa"/>
            <w:gridSpan w:val="3"/>
            <w:vAlign w:val="center"/>
          </w:tcPr>
          <w:p w14:paraId="767CF1A9">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492" w:type="dxa"/>
          </w:tcPr>
          <w:p w14:paraId="6BC73FB7">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的投标总报</w:t>
            </w:r>
            <w:r>
              <w:rPr>
                <w:rFonts w:ascii="宋体" w:hAnsi="宋体"/>
                <w:color w:val="auto"/>
                <w:kern w:val="0"/>
                <w:szCs w:val="21"/>
                <w:highlight w:val="none"/>
              </w:rPr>
              <w:t>价中去掉六分之一（不能整除的按小数点前整数取整，不足六家报价则不去掉）的最低价和相同家数的最高价后的算术平均值P1。</w:t>
            </w:r>
          </w:p>
          <w:p w14:paraId="273CDAEB">
            <w:pPr>
              <w:snapToGrid w:val="0"/>
              <w:spacing w:line="400" w:lineRule="exact"/>
              <w:ind w:firstLine="420" w:firstLineChars="200"/>
              <w:jc w:val="left"/>
              <w:rPr>
                <w:rFonts w:ascii="宋体" w:hAnsi="宋体"/>
                <w:color w:val="auto"/>
                <w:kern w:val="0"/>
                <w:szCs w:val="21"/>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 xml:space="preserve"> </w:t>
            </w:r>
            <w:r>
              <w:rPr>
                <w:rFonts w:ascii="宋体" w:hAnsi="宋体"/>
                <w:color w:val="auto"/>
                <w:kern w:val="0"/>
                <w:szCs w:val="21"/>
                <w:highlight w:val="none"/>
              </w:rPr>
              <w:t>算术平均值P1乘以本项目总价评标基准价浮动值</w:t>
            </w:r>
            <w:r>
              <w:rPr>
                <w:rFonts w:hint="eastAsia" w:ascii="宋体" w:hAnsi="宋体"/>
                <w:color w:val="auto"/>
                <w:kern w:val="0"/>
                <w:szCs w:val="21"/>
                <w:highlight w:val="none"/>
              </w:rPr>
              <w:t>（</w:t>
            </w:r>
            <w:r>
              <w:rPr>
                <w:rFonts w:ascii="宋体" w:hAnsi="宋体"/>
                <w:color w:val="auto"/>
                <w:kern w:val="0"/>
                <w:szCs w:val="21"/>
                <w:highlight w:val="none"/>
              </w:rPr>
              <w:t>1-N1</w:t>
            </w:r>
            <w:r>
              <w:rPr>
                <w:rFonts w:hint="eastAsia" w:ascii="宋体" w:hAnsi="宋体"/>
                <w:color w:val="auto"/>
                <w:kern w:val="0"/>
                <w:szCs w:val="21"/>
                <w:highlight w:val="none"/>
              </w:rPr>
              <w:t>）</w:t>
            </w:r>
            <w:r>
              <w:rPr>
                <w:rFonts w:ascii="宋体" w:hAnsi="宋体"/>
                <w:color w:val="auto"/>
                <w:kern w:val="0"/>
                <w:szCs w:val="21"/>
                <w:highlight w:val="none"/>
              </w:rPr>
              <w:t>，即为本项目的投标总报价的评标基准价P2。（总价评标基准价浮动值N1范围为</w:t>
            </w:r>
            <w:r>
              <w:rPr>
                <w:rFonts w:hint="eastAsia" w:ascii="宋体" w:hAnsi="宋体"/>
                <w:color w:val="auto"/>
                <w:kern w:val="0"/>
                <w:highlight w:val="none"/>
              </w:rPr>
              <w:t>0</w:t>
            </w:r>
            <w:r>
              <w:rPr>
                <w:rFonts w:ascii="宋体" w:hAnsi="宋体"/>
                <w:color w:val="auto"/>
                <w:kern w:val="0"/>
                <w:highlight w:val="none"/>
              </w:rPr>
              <w:t>%～</w:t>
            </w:r>
            <w:r>
              <w:rPr>
                <w:rFonts w:hint="eastAsia" w:ascii="宋体" w:hAnsi="宋体"/>
                <w:color w:val="auto"/>
                <w:kern w:val="0"/>
                <w:highlight w:val="none"/>
              </w:rPr>
              <w:t>5%</w:t>
            </w:r>
            <w:r>
              <w:rPr>
                <w:rFonts w:ascii="宋体" w:hAnsi="宋体"/>
                <w:color w:val="auto"/>
                <w:kern w:val="0"/>
                <w:highlight w:val="none"/>
              </w:rPr>
              <w:t>，浮动值</w:t>
            </w:r>
            <w:r>
              <w:rPr>
                <w:rFonts w:ascii="宋体" w:hAnsi="宋体"/>
                <w:color w:val="auto"/>
                <w:kern w:val="0"/>
                <w:szCs w:val="21"/>
                <w:highlight w:val="none"/>
              </w:rPr>
              <w:t>N1在开标现场随机抽取决定</w:t>
            </w:r>
            <w:r>
              <w:rPr>
                <w:rFonts w:hint="eastAsia" w:ascii="宋体" w:hAnsi="宋体"/>
                <w:color w:val="auto"/>
                <w:kern w:val="0"/>
                <w:szCs w:val="21"/>
                <w:highlight w:val="none"/>
              </w:rPr>
              <w:t>或由招标人直接确定</w:t>
            </w:r>
            <w:r>
              <w:rPr>
                <w:rFonts w:ascii="宋体" w:hAnsi="宋体"/>
                <w:color w:val="auto"/>
                <w:kern w:val="0"/>
                <w:szCs w:val="21"/>
                <w:highlight w:val="none"/>
              </w:rPr>
              <w:t xml:space="preserve">） </w:t>
            </w:r>
          </w:p>
          <w:p w14:paraId="1E37096D">
            <w:pPr>
              <w:snapToGrid w:val="0"/>
              <w:spacing w:line="400" w:lineRule="exact"/>
              <w:ind w:firstLine="420" w:firstLineChars="200"/>
              <w:rPr>
                <w:rFonts w:ascii="宋体" w:hAnsi="宋体"/>
                <w:i/>
                <w:color w:val="auto"/>
                <w:kern w:val="0"/>
                <w:szCs w:val="21"/>
                <w:highlight w:val="none"/>
              </w:rPr>
            </w:pPr>
            <w:r>
              <w:rPr>
                <w:rFonts w:hint="eastAsia" w:ascii="宋体" w:hAnsi="宋体"/>
                <w:bCs/>
                <w:i/>
                <w:color w:val="auto"/>
                <w:szCs w:val="21"/>
                <w:highlight w:val="none"/>
              </w:rPr>
              <w:t>[提示：</w:t>
            </w:r>
            <w:r>
              <w:rPr>
                <w:rFonts w:hint="eastAsia" w:ascii="宋体" w:hAnsi="宋体"/>
                <w:i/>
                <w:color w:val="auto"/>
                <w:kern w:val="0"/>
                <w:szCs w:val="21"/>
                <w:highlight w:val="none"/>
              </w:rPr>
              <w:t>可以以P1作为投标总报价的评标基准价，若采用P1时，浮动值N1填“0”</w:t>
            </w:r>
            <w:r>
              <w:rPr>
                <w:rFonts w:hint="eastAsia" w:ascii="宋体" w:hAnsi="宋体"/>
                <w:i/>
                <w:color w:val="auto"/>
                <w:kern w:val="0"/>
                <w:highlight w:val="none"/>
              </w:rPr>
              <w:t>]</w:t>
            </w:r>
            <w:r>
              <w:rPr>
                <w:rFonts w:hint="eastAsia" w:ascii="宋体" w:hAnsi="宋体"/>
                <w:i/>
                <w:color w:val="auto"/>
                <w:kern w:val="0"/>
                <w:szCs w:val="21"/>
                <w:highlight w:val="none"/>
              </w:rPr>
              <w:t>。</w:t>
            </w:r>
          </w:p>
          <w:p w14:paraId="6489CE8E">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w:t>
            </w:r>
            <w:r>
              <w:rPr>
                <w:rFonts w:ascii="宋体" w:hAnsi="宋体"/>
                <w:color w:val="auto"/>
                <w:kern w:val="0"/>
                <w:szCs w:val="21"/>
                <w:highlight w:val="none"/>
              </w:rPr>
              <w:t>计算</w:t>
            </w:r>
            <w:r>
              <w:rPr>
                <w:rFonts w:hint="eastAsia" w:ascii="宋体" w:hAnsi="宋体"/>
                <w:color w:val="auto"/>
                <w:kern w:val="0"/>
                <w:szCs w:val="21"/>
                <w:highlight w:val="none"/>
              </w:rPr>
              <w:t>的最终结果</w:t>
            </w:r>
            <w:r>
              <w:rPr>
                <w:rFonts w:ascii="宋体" w:hAnsi="宋体"/>
                <w:color w:val="auto"/>
                <w:kern w:val="0"/>
                <w:szCs w:val="21"/>
                <w:highlight w:val="none"/>
              </w:rPr>
              <w:t>取小数点后两位，第三位四舍五入。</w:t>
            </w:r>
          </w:p>
          <w:p w14:paraId="0C531CD4">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p w14:paraId="55DB3D82">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浮动值N1的范围百分数取整。</w:t>
            </w:r>
          </w:p>
        </w:tc>
      </w:tr>
      <w:tr w14:paraId="4F0C4A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tcBorders>
              <w:right w:val="single" w:color="auto" w:sz="4" w:space="0"/>
            </w:tcBorders>
            <w:vAlign w:val="center"/>
          </w:tcPr>
          <w:p w14:paraId="173D31E1">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60" w:type="dxa"/>
            <w:gridSpan w:val="2"/>
            <w:tcBorders>
              <w:left w:val="single" w:color="auto" w:sz="4" w:space="0"/>
            </w:tcBorders>
            <w:vAlign w:val="center"/>
          </w:tcPr>
          <w:p w14:paraId="74B2EE54">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□选项二：</w:t>
            </w:r>
          </w:p>
          <w:p w14:paraId="1D6F00F0">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653" w:type="dxa"/>
            <w:gridSpan w:val="3"/>
            <w:vAlign w:val="center"/>
          </w:tcPr>
          <w:p w14:paraId="1A1F5212">
            <w:pPr>
              <w:spacing w:line="400" w:lineRule="exact"/>
              <w:jc w:val="center"/>
              <w:rPr>
                <w:rFonts w:ascii="宋体" w:hAnsi="宋体"/>
                <w:color w:val="auto"/>
                <w:kern w:val="0"/>
                <w:highlight w:val="none"/>
              </w:rPr>
            </w:pPr>
            <w:r>
              <w:rPr>
                <w:rFonts w:ascii="宋体" w:hAnsi="宋体"/>
                <w:color w:val="auto"/>
                <w:kern w:val="0"/>
                <w:highlight w:val="none"/>
              </w:rPr>
              <w:t>投标总报价</w:t>
            </w:r>
          </w:p>
        </w:tc>
        <w:tc>
          <w:tcPr>
            <w:tcW w:w="5492" w:type="dxa"/>
          </w:tcPr>
          <w:p w14:paraId="5860BAA7">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 xml:space="preserve">1. </w:t>
            </w: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w:t>
            </w:r>
            <w:r>
              <w:rPr>
                <w:rFonts w:hint="eastAsia" w:ascii="宋体" w:hAnsi="宋体"/>
                <w:color w:val="auto"/>
                <w:kern w:val="0"/>
                <w:szCs w:val="21"/>
                <w:highlight w:val="none"/>
              </w:rPr>
              <w:t>的</w:t>
            </w:r>
            <w:r>
              <w:rPr>
                <w:rFonts w:ascii="宋体" w:hAnsi="宋体"/>
                <w:color w:val="auto"/>
                <w:kern w:val="0"/>
                <w:szCs w:val="21"/>
                <w:highlight w:val="none"/>
              </w:rPr>
              <w:t>投标人</w:t>
            </w:r>
            <w:r>
              <w:rPr>
                <w:rFonts w:ascii="宋体" w:hAnsi="宋体"/>
                <w:color w:val="auto"/>
                <w:szCs w:val="21"/>
                <w:highlight w:val="none"/>
              </w:rPr>
              <w:t>的投标总报</w:t>
            </w:r>
            <w:r>
              <w:rPr>
                <w:rFonts w:ascii="宋体" w:hAnsi="宋体"/>
                <w:color w:val="auto"/>
                <w:kern w:val="0"/>
                <w:szCs w:val="21"/>
                <w:highlight w:val="none"/>
              </w:rPr>
              <w:t>价中</w:t>
            </w:r>
            <w:r>
              <w:rPr>
                <w:rFonts w:hint="eastAsia" w:ascii="宋体" w:hAnsi="宋体"/>
                <w:color w:val="auto"/>
                <w:kern w:val="0"/>
                <w:szCs w:val="21"/>
                <w:highlight w:val="none"/>
              </w:rPr>
              <w:t>，报价</w:t>
            </w:r>
            <w:r>
              <w:rPr>
                <w:rFonts w:ascii="宋体" w:hAnsi="宋体"/>
                <w:color w:val="auto"/>
                <w:kern w:val="0"/>
                <w:szCs w:val="21"/>
                <w:highlight w:val="none"/>
              </w:rPr>
              <w:t>最低</w:t>
            </w:r>
            <w:r>
              <w:rPr>
                <w:rFonts w:hint="eastAsia" w:ascii="宋体" w:hAnsi="宋体"/>
                <w:color w:val="auto"/>
                <w:kern w:val="0"/>
                <w:szCs w:val="21"/>
                <w:highlight w:val="none"/>
              </w:rPr>
              <w:t>的为评标基准价</w:t>
            </w:r>
            <w:r>
              <w:rPr>
                <w:rFonts w:ascii="宋体" w:hAnsi="宋体"/>
                <w:color w:val="auto"/>
                <w:kern w:val="0"/>
                <w:szCs w:val="21"/>
                <w:highlight w:val="none"/>
              </w:rPr>
              <w:t>P1。</w:t>
            </w:r>
          </w:p>
          <w:p w14:paraId="2EE15657">
            <w:pPr>
              <w:snapToGrid w:val="0"/>
              <w:spacing w:line="400" w:lineRule="exact"/>
              <w:ind w:firstLine="420" w:firstLineChars="200"/>
              <w:jc w:val="left"/>
              <w:rPr>
                <w:rFonts w:ascii="宋体" w:hAnsi="宋体"/>
                <w:color w:val="auto"/>
                <w:kern w:val="0"/>
                <w:szCs w:val="21"/>
                <w:highlight w:val="none"/>
              </w:rPr>
            </w:pPr>
            <w:r>
              <w:rPr>
                <w:rFonts w:hint="eastAsia" w:ascii="宋体" w:hAnsi="宋体"/>
                <w:color w:val="auto"/>
                <w:kern w:val="0"/>
                <w:szCs w:val="21"/>
                <w:highlight w:val="none"/>
              </w:rPr>
              <w:t>评标基准价</w:t>
            </w:r>
            <w:r>
              <w:rPr>
                <w:rFonts w:ascii="宋体" w:hAnsi="宋体"/>
                <w:color w:val="auto"/>
                <w:kern w:val="0"/>
                <w:szCs w:val="21"/>
                <w:highlight w:val="none"/>
              </w:rPr>
              <w:t>计算</w:t>
            </w:r>
            <w:r>
              <w:rPr>
                <w:rFonts w:hint="eastAsia" w:ascii="宋体" w:hAnsi="宋体"/>
                <w:color w:val="auto"/>
                <w:kern w:val="0"/>
                <w:szCs w:val="21"/>
                <w:highlight w:val="none"/>
              </w:rPr>
              <w:t>的最终结果</w:t>
            </w:r>
            <w:r>
              <w:rPr>
                <w:rFonts w:ascii="宋体" w:hAnsi="宋体"/>
                <w:color w:val="auto"/>
                <w:kern w:val="0"/>
                <w:szCs w:val="21"/>
                <w:highlight w:val="none"/>
              </w:rPr>
              <w:t>取小数点后两位，第三位四舍五入。</w:t>
            </w:r>
          </w:p>
          <w:p w14:paraId="63FA5331">
            <w:pPr>
              <w:snapToGrid w:val="0"/>
              <w:spacing w:line="400" w:lineRule="exact"/>
              <w:ind w:firstLine="420" w:firstLineChars="200"/>
              <w:jc w:val="left"/>
              <w:rPr>
                <w:rFonts w:ascii="宋体" w:hAnsi="宋体"/>
                <w:color w:val="auto"/>
                <w:kern w:val="0"/>
                <w:highlight w:val="none"/>
              </w:rPr>
            </w:pPr>
            <w:r>
              <w:rPr>
                <w:rFonts w:ascii="宋体" w:hAnsi="宋体"/>
                <w:color w:val="auto"/>
                <w:kern w:val="0"/>
                <w:szCs w:val="21"/>
                <w:highlight w:val="none"/>
              </w:rPr>
              <w:t>在评标基准价计算完成后（除计算错误外），在后续的评审中不得再对其做出调整。</w:t>
            </w:r>
          </w:p>
        </w:tc>
      </w:tr>
      <w:tr w14:paraId="0D57C30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restart"/>
            <w:tcBorders>
              <w:right w:val="single" w:color="auto" w:sz="4" w:space="0"/>
            </w:tcBorders>
            <w:vAlign w:val="center"/>
          </w:tcPr>
          <w:p w14:paraId="21A64E5D">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3</w:t>
            </w:r>
          </w:p>
        </w:tc>
        <w:tc>
          <w:tcPr>
            <w:tcW w:w="1560" w:type="dxa"/>
            <w:gridSpan w:val="2"/>
            <w:vMerge w:val="restart"/>
            <w:tcBorders>
              <w:left w:val="single" w:color="auto" w:sz="4" w:space="0"/>
            </w:tcBorders>
            <w:vAlign w:val="center"/>
          </w:tcPr>
          <w:p w14:paraId="5939FF41">
            <w:pPr>
              <w:snapToGrid w:val="0"/>
              <w:spacing w:line="400" w:lineRule="exact"/>
              <w:jc w:val="left"/>
              <w:rPr>
                <w:rFonts w:ascii="宋体" w:hAnsi="宋体"/>
                <w:b/>
                <w:color w:val="auto"/>
                <w:kern w:val="0"/>
                <w:highlight w:val="none"/>
              </w:rPr>
            </w:pPr>
            <w:r>
              <w:rPr>
                <w:rFonts w:hint="eastAsia" w:ascii="宋体" w:hAnsi="宋体"/>
                <w:b/>
                <w:color w:val="auto"/>
                <w:kern w:val="0"/>
                <w:highlight w:val="none"/>
              </w:rPr>
              <w:t>□选项三：</w:t>
            </w:r>
          </w:p>
          <w:p w14:paraId="7C4BF99D">
            <w:pPr>
              <w:spacing w:line="400" w:lineRule="exact"/>
              <w:jc w:val="center"/>
              <w:rPr>
                <w:rFonts w:ascii="宋体" w:hAnsi="宋体"/>
                <w:color w:val="auto"/>
                <w:kern w:val="0"/>
                <w:highlight w:val="none"/>
              </w:rPr>
            </w:pPr>
            <w:r>
              <w:rPr>
                <w:rFonts w:ascii="宋体" w:hAnsi="宋体"/>
                <w:color w:val="auto"/>
                <w:kern w:val="0"/>
                <w:highlight w:val="none"/>
              </w:rPr>
              <w:t>评标基准价计算方法</w:t>
            </w:r>
          </w:p>
        </w:tc>
        <w:tc>
          <w:tcPr>
            <w:tcW w:w="1653" w:type="dxa"/>
            <w:gridSpan w:val="3"/>
            <w:vAlign w:val="center"/>
          </w:tcPr>
          <w:p w14:paraId="7C3FADD7">
            <w:pPr>
              <w:spacing w:line="400" w:lineRule="exact"/>
              <w:jc w:val="center"/>
              <w:rPr>
                <w:rFonts w:ascii="宋体" w:hAnsi="宋体"/>
                <w:color w:val="auto"/>
                <w:kern w:val="0"/>
                <w:highlight w:val="none"/>
              </w:rPr>
            </w:pPr>
            <w:r>
              <w:rPr>
                <w:rFonts w:hint="eastAsia" w:ascii="宋体" w:hAnsi="宋体"/>
                <w:bCs/>
                <w:color w:val="auto"/>
                <w:kern w:val="0"/>
                <w:highlight w:val="none"/>
              </w:rPr>
              <w:t>□</w:t>
            </w:r>
            <w:r>
              <w:rPr>
                <w:rFonts w:hint="eastAsia" w:ascii="宋体" w:hAnsi="宋体" w:cs="宋体"/>
                <w:color w:val="auto"/>
                <w:kern w:val="0"/>
                <w:highlight w:val="none"/>
              </w:rPr>
              <w:t>设计费报价</w:t>
            </w:r>
          </w:p>
        </w:tc>
        <w:tc>
          <w:tcPr>
            <w:tcW w:w="5492" w:type="dxa"/>
          </w:tcPr>
          <w:p w14:paraId="2F8CD054">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w:t>
            </w:r>
            <w:r>
              <w:rPr>
                <w:rFonts w:hint="eastAsia" w:ascii="宋体" w:hAnsi="宋体"/>
                <w:color w:val="auto"/>
                <w:szCs w:val="21"/>
                <w:highlight w:val="none"/>
              </w:rPr>
              <w:t>暂定设计费</w:t>
            </w:r>
            <w:r>
              <w:rPr>
                <w:rFonts w:ascii="宋体" w:hAnsi="宋体"/>
                <w:color w:val="auto"/>
                <w:szCs w:val="21"/>
                <w:highlight w:val="none"/>
              </w:rPr>
              <w:t>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s="宋体"/>
                <w:color w:val="auto"/>
                <w:kern w:val="0"/>
                <w:szCs w:val="21"/>
                <w:highlight w:val="none"/>
              </w:rPr>
              <w:t>即为</w:t>
            </w:r>
            <w:r>
              <w:rPr>
                <w:rFonts w:ascii="宋体" w:hAnsi="宋体"/>
                <w:color w:val="auto"/>
                <w:kern w:val="0"/>
                <w:szCs w:val="21"/>
                <w:highlight w:val="none"/>
              </w:rPr>
              <w:t>本项目的</w:t>
            </w:r>
            <w:r>
              <w:rPr>
                <w:rFonts w:hint="eastAsia" w:ascii="宋体" w:hAnsi="宋体"/>
                <w:color w:val="auto"/>
                <w:kern w:val="0"/>
                <w:szCs w:val="21"/>
                <w:highlight w:val="none"/>
              </w:rPr>
              <w:t>暂定</w:t>
            </w:r>
            <w:r>
              <w:rPr>
                <w:rFonts w:hint="eastAsia" w:ascii="宋体" w:hAnsi="宋体" w:cs="宋体"/>
                <w:color w:val="auto"/>
                <w:kern w:val="0"/>
                <w:szCs w:val="21"/>
                <w:highlight w:val="none"/>
              </w:rPr>
              <w:t>设计费评标基准价</w:t>
            </w:r>
            <w:r>
              <w:rPr>
                <w:rFonts w:ascii="宋体" w:hAnsi="宋体"/>
                <w:color w:val="auto"/>
                <w:kern w:val="0"/>
                <w:szCs w:val="21"/>
                <w:highlight w:val="none"/>
              </w:rPr>
              <w:t>P1。</w:t>
            </w:r>
          </w:p>
          <w:p w14:paraId="742FA703">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w:t>
            </w:r>
            <w:r>
              <w:rPr>
                <w:rFonts w:ascii="宋体" w:hAnsi="宋体"/>
                <w:color w:val="auto"/>
                <w:kern w:val="0"/>
                <w:szCs w:val="21"/>
                <w:highlight w:val="none"/>
              </w:rPr>
              <w:t>计算</w:t>
            </w:r>
            <w:r>
              <w:rPr>
                <w:rFonts w:hint="eastAsia" w:ascii="宋体" w:hAnsi="宋体"/>
                <w:color w:val="auto"/>
                <w:kern w:val="0"/>
                <w:szCs w:val="21"/>
                <w:highlight w:val="none"/>
              </w:rPr>
              <w:t>的最终结果</w:t>
            </w:r>
            <w:r>
              <w:rPr>
                <w:rFonts w:ascii="宋体" w:hAnsi="宋体"/>
                <w:color w:val="auto"/>
                <w:kern w:val="0"/>
                <w:szCs w:val="21"/>
                <w:highlight w:val="none"/>
              </w:rPr>
              <w:t>取小数点后两位，第三位四舍五入。</w:t>
            </w:r>
          </w:p>
          <w:p w14:paraId="1AE087C4">
            <w:pPr>
              <w:snapToGrid w:val="0"/>
              <w:spacing w:line="400" w:lineRule="exact"/>
              <w:ind w:firstLine="420" w:firstLineChars="200"/>
              <w:jc w:val="left"/>
              <w:rPr>
                <w:rFonts w:ascii="宋体" w:hAnsi="宋体"/>
                <w:color w:val="auto"/>
                <w:kern w:val="0"/>
                <w:highlight w:val="none"/>
              </w:rPr>
            </w:pPr>
            <w:r>
              <w:rPr>
                <w:rFonts w:ascii="宋体" w:hAnsi="宋体"/>
                <w:color w:val="auto"/>
                <w:kern w:val="0"/>
                <w:szCs w:val="21"/>
                <w:highlight w:val="none"/>
              </w:rPr>
              <w:t>在评标基准价计算完成后（除计算错误外），在后续的评审中不得再对其做出调整。</w:t>
            </w:r>
          </w:p>
        </w:tc>
      </w:tr>
      <w:tr w14:paraId="720FCD9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Borders>
              <w:right w:val="single" w:color="auto" w:sz="4" w:space="0"/>
            </w:tcBorders>
            <w:vAlign w:val="center"/>
          </w:tcPr>
          <w:p w14:paraId="033C7635">
            <w:pPr>
              <w:spacing w:line="400" w:lineRule="exact"/>
              <w:jc w:val="center"/>
              <w:rPr>
                <w:rFonts w:ascii="宋体" w:hAnsi="宋体"/>
                <w:color w:val="auto"/>
                <w:kern w:val="0"/>
                <w:highlight w:val="none"/>
              </w:rPr>
            </w:pPr>
          </w:p>
        </w:tc>
        <w:tc>
          <w:tcPr>
            <w:tcW w:w="1560" w:type="dxa"/>
            <w:gridSpan w:val="2"/>
            <w:vMerge w:val="continue"/>
            <w:tcBorders>
              <w:left w:val="single" w:color="auto" w:sz="4" w:space="0"/>
            </w:tcBorders>
            <w:vAlign w:val="center"/>
          </w:tcPr>
          <w:p w14:paraId="2F6A83B2">
            <w:pPr>
              <w:spacing w:line="400" w:lineRule="exact"/>
              <w:jc w:val="center"/>
              <w:rPr>
                <w:rFonts w:ascii="宋体" w:hAnsi="宋体"/>
                <w:color w:val="auto"/>
                <w:kern w:val="0"/>
                <w:highlight w:val="none"/>
              </w:rPr>
            </w:pPr>
          </w:p>
        </w:tc>
        <w:tc>
          <w:tcPr>
            <w:tcW w:w="1653" w:type="dxa"/>
            <w:gridSpan w:val="3"/>
            <w:vAlign w:val="center"/>
          </w:tcPr>
          <w:p w14:paraId="115AC1C8">
            <w:pPr>
              <w:spacing w:line="400" w:lineRule="exact"/>
              <w:jc w:val="center"/>
              <w:rPr>
                <w:rFonts w:ascii="宋体" w:hAnsi="宋体" w:cs="宋体"/>
                <w:color w:val="auto"/>
                <w:kern w:val="0"/>
                <w:highlight w:val="none"/>
              </w:rPr>
            </w:pPr>
            <w:r>
              <w:rPr>
                <w:rFonts w:hint="eastAsia" w:ascii="宋体" w:hAnsi="宋体"/>
                <w:bCs/>
                <w:color w:val="auto"/>
                <w:kern w:val="0"/>
                <w:highlight w:val="none"/>
              </w:rPr>
              <w:t>□</w:t>
            </w:r>
            <w:r>
              <w:rPr>
                <w:rFonts w:hint="eastAsia" w:ascii="宋体" w:hAnsi="宋体" w:cs="宋体"/>
                <w:color w:val="auto"/>
                <w:kern w:val="0"/>
                <w:highlight w:val="none"/>
              </w:rPr>
              <w:t>专业设备材料费报价</w:t>
            </w:r>
          </w:p>
        </w:tc>
        <w:tc>
          <w:tcPr>
            <w:tcW w:w="5492" w:type="dxa"/>
          </w:tcPr>
          <w:p w14:paraId="22691FB2">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w:t>
            </w:r>
            <w:r>
              <w:rPr>
                <w:rFonts w:hint="eastAsia" w:ascii="宋体" w:hAnsi="宋体"/>
                <w:color w:val="auto"/>
                <w:szCs w:val="21"/>
                <w:highlight w:val="none"/>
              </w:rPr>
              <w:t>暂定专业设备材料费</w:t>
            </w:r>
            <w:r>
              <w:rPr>
                <w:rFonts w:ascii="宋体" w:hAnsi="宋体"/>
                <w:color w:val="auto"/>
                <w:szCs w:val="21"/>
                <w:highlight w:val="none"/>
              </w:rPr>
              <w:t>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s="宋体"/>
                <w:color w:val="auto"/>
                <w:kern w:val="0"/>
                <w:szCs w:val="21"/>
                <w:highlight w:val="none"/>
              </w:rPr>
              <w:t>即为</w:t>
            </w:r>
            <w:r>
              <w:rPr>
                <w:rFonts w:ascii="宋体" w:hAnsi="宋体"/>
                <w:color w:val="auto"/>
                <w:kern w:val="0"/>
                <w:szCs w:val="21"/>
                <w:highlight w:val="none"/>
              </w:rPr>
              <w:t>本项目的</w:t>
            </w:r>
            <w:r>
              <w:rPr>
                <w:rFonts w:hint="eastAsia" w:ascii="宋体" w:hAnsi="宋体"/>
                <w:color w:val="auto"/>
                <w:kern w:val="0"/>
                <w:szCs w:val="21"/>
                <w:highlight w:val="none"/>
              </w:rPr>
              <w:t>暂定</w:t>
            </w:r>
            <w:r>
              <w:rPr>
                <w:rFonts w:hint="eastAsia" w:ascii="宋体" w:hAnsi="宋体"/>
                <w:color w:val="auto"/>
                <w:szCs w:val="21"/>
                <w:highlight w:val="none"/>
              </w:rPr>
              <w:t>专业设备材料费</w:t>
            </w:r>
            <w:r>
              <w:rPr>
                <w:rFonts w:hint="eastAsia" w:ascii="宋体" w:hAnsi="宋体" w:cs="宋体"/>
                <w:color w:val="auto"/>
                <w:kern w:val="0"/>
                <w:szCs w:val="21"/>
                <w:highlight w:val="none"/>
              </w:rPr>
              <w:t>评标基准价</w:t>
            </w:r>
            <w:r>
              <w:rPr>
                <w:rFonts w:hint="eastAsia" w:ascii="宋体" w:hAnsi="宋体"/>
                <w:color w:val="auto"/>
                <w:kern w:val="0"/>
                <w:szCs w:val="21"/>
                <w:highlight w:val="none"/>
              </w:rPr>
              <w:t>Q</w:t>
            </w:r>
            <w:r>
              <w:rPr>
                <w:rFonts w:ascii="宋体" w:hAnsi="宋体"/>
                <w:color w:val="auto"/>
                <w:kern w:val="0"/>
                <w:szCs w:val="21"/>
                <w:highlight w:val="none"/>
              </w:rPr>
              <w:t>1。</w:t>
            </w:r>
          </w:p>
          <w:p w14:paraId="3496B446">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w:t>
            </w:r>
            <w:r>
              <w:rPr>
                <w:rFonts w:ascii="宋体" w:hAnsi="宋体"/>
                <w:color w:val="auto"/>
                <w:kern w:val="0"/>
                <w:szCs w:val="21"/>
                <w:highlight w:val="none"/>
              </w:rPr>
              <w:t>计算</w:t>
            </w:r>
            <w:r>
              <w:rPr>
                <w:rFonts w:hint="eastAsia" w:ascii="宋体" w:hAnsi="宋体"/>
                <w:color w:val="auto"/>
                <w:kern w:val="0"/>
                <w:szCs w:val="21"/>
                <w:highlight w:val="none"/>
              </w:rPr>
              <w:t>的最终结果</w:t>
            </w:r>
            <w:r>
              <w:rPr>
                <w:rFonts w:ascii="宋体" w:hAnsi="宋体"/>
                <w:color w:val="auto"/>
                <w:kern w:val="0"/>
                <w:szCs w:val="21"/>
                <w:highlight w:val="none"/>
              </w:rPr>
              <w:t>取小数点后两位，第三位四舍五入。</w:t>
            </w:r>
          </w:p>
          <w:p w14:paraId="083A9141">
            <w:pPr>
              <w:snapToGrid w:val="0"/>
              <w:spacing w:line="400" w:lineRule="exact"/>
              <w:ind w:firstLine="420" w:firstLineChars="200"/>
              <w:jc w:val="left"/>
              <w:rPr>
                <w:rFonts w:ascii="宋体" w:hAnsi="宋体"/>
                <w:color w:val="auto"/>
                <w:kern w:val="0"/>
                <w:highlight w:val="none"/>
              </w:rPr>
            </w:pPr>
            <w:r>
              <w:rPr>
                <w:rFonts w:ascii="宋体" w:hAnsi="宋体"/>
                <w:color w:val="auto"/>
                <w:kern w:val="0"/>
                <w:szCs w:val="21"/>
                <w:highlight w:val="none"/>
              </w:rPr>
              <w:t>在评标基准价计算完成后（除计算错误外），在后续的评审中不得再对其做出调整。</w:t>
            </w:r>
          </w:p>
        </w:tc>
      </w:tr>
      <w:tr w14:paraId="6D78210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Merge w:val="continue"/>
            <w:tcBorders>
              <w:right w:val="single" w:color="auto" w:sz="4" w:space="0"/>
            </w:tcBorders>
            <w:vAlign w:val="center"/>
          </w:tcPr>
          <w:p w14:paraId="4110D113">
            <w:pPr>
              <w:spacing w:line="400" w:lineRule="exact"/>
              <w:jc w:val="center"/>
              <w:rPr>
                <w:rFonts w:ascii="宋体" w:hAnsi="宋体"/>
                <w:color w:val="auto"/>
                <w:kern w:val="0"/>
                <w:highlight w:val="none"/>
              </w:rPr>
            </w:pPr>
          </w:p>
        </w:tc>
        <w:tc>
          <w:tcPr>
            <w:tcW w:w="1560" w:type="dxa"/>
            <w:gridSpan w:val="2"/>
            <w:vMerge w:val="continue"/>
            <w:tcBorders>
              <w:left w:val="single" w:color="auto" w:sz="4" w:space="0"/>
            </w:tcBorders>
            <w:vAlign w:val="center"/>
          </w:tcPr>
          <w:p w14:paraId="29E56E23">
            <w:pPr>
              <w:spacing w:line="400" w:lineRule="exact"/>
              <w:jc w:val="center"/>
              <w:rPr>
                <w:rFonts w:ascii="宋体" w:hAnsi="宋体"/>
                <w:color w:val="auto"/>
                <w:kern w:val="0"/>
                <w:highlight w:val="none"/>
              </w:rPr>
            </w:pPr>
          </w:p>
        </w:tc>
        <w:tc>
          <w:tcPr>
            <w:tcW w:w="1653" w:type="dxa"/>
            <w:gridSpan w:val="3"/>
            <w:vAlign w:val="center"/>
          </w:tcPr>
          <w:p w14:paraId="76A55BCA">
            <w:pPr>
              <w:spacing w:line="400" w:lineRule="exact"/>
              <w:jc w:val="center"/>
              <w:rPr>
                <w:rFonts w:ascii="宋体" w:hAnsi="宋体"/>
                <w:color w:val="auto"/>
                <w:kern w:val="0"/>
                <w:highlight w:val="none"/>
              </w:rPr>
            </w:pPr>
            <w:r>
              <w:rPr>
                <w:rFonts w:hint="eastAsia" w:ascii="宋体" w:hAnsi="宋体" w:cs="宋体"/>
                <w:color w:val="auto"/>
                <w:kern w:val="0"/>
                <w:highlight w:val="none"/>
              </w:rPr>
              <w:t>建筑安装工程费报价</w:t>
            </w:r>
          </w:p>
        </w:tc>
        <w:tc>
          <w:tcPr>
            <w:tcW w:w="5492" w:type="dxa"/>
          </w:tcPr>
          <w:p w14:paraId="7E6E05DA">
            <w:pPr>
              <w:snapToGrid w:val="0"/>
              <w:spacing w:line="400" w:lineRule="exact"/>
              <w:ind w:firstLine="420" w:firstLineChars="200"/>
              <w:jc w:val="left"/>
              <w:rPr>
                <w:rFonts w:ascii="宋体" w:hAnsi="宋体"/>
                <w:color w:val="auto"/>
                <w:kern w:val="0"/>
                <w:szCs w:val="21"/>
                <w:highlight w:val="none"/>
              </w:rPr>
            </w:pPr>
            <w:r>
              <w:rPr>
                <w:rFonts w:ascii="宋体" w:hAnsi="宋体"/>
                <w:color w:val="auto"/>
                <w:kern w:val="0"/>
                <w:highlight w:val="none"/>
              </w:rPr>
              <w:t>1.</w:t>
            </w:r>
            <w:r>
              <w:rPr>
                <w:rFonts w:hint="eastAsia" w:ascii="宋体" w:hAnsi="宋体"/>
                <w:color w:val="auto"/>
                <w:kern w:val="0"/>
                <w:highlight w:val="none"/>
              </w:rPr>
              <w:t xml:space="preserve"> </w:t>
            </w: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w:t>
            </w:r>
            <w:r>
              <w:rPr>
                <w:rFonts w:hint="eastAsia" w:ascii="宋体" w:hAnsi="宋体"/>
                <w:color w:val="auto"/>
                <w:szCs w:val="21"/>
                <w:highlight w:val="none"/>
              </w:rPr>
              <w:t>暂定建筑安装工程费</w:t>
            </w:r>
            <w:r>
              <w:rPr>
                <w:rFonts w:ascii="宋体" w:hAnsi="宋体"/>
                <w:color w:val="auto"/>
                <w:szCs w:val="21"/>
                <w:highlight w:val="none"/>
              </w:rPr>
              <w:t>报</w:t>
            </w:r>
            <w:r>
              <w:rPr>
                <w:rFonts w:ascii="宋体" w:hAnsi="宋体"/>
                <w:color w:val="auto"/>
                <w:kern w:val="0"/>
                <w:szCs w:val="21"/>
                <w:highlight w:val="none"/>
              </w:rPr>
              <w:t>价中去掉六分之一（不能整除的按小数点前整数取整，不足六家报价则不去掉）的最低价和相同家数的最高价后的算术平均值</w:t>
            </w:r>
            <w:r>
              <w:rPr>
                <w:rFonts w:hint="eastAsia" w:ascii="宋体" w:hAnsi="宋体"/>
                <w:color w:val="auto"/>
                <w:kern w:val="0"/>
                <w:szCs w:val="21"/>
                <w:highlight w:val="none"/>
              </w:rPr>
              <w:t>M</w:t>
            </w:r>
            <w:r>
              <w:rPr>
                <w:rFonts w:ascii="宋体" w:hAnsi="宋体"/>
                <w:color w:val="auto"/>
                <w:kern w:val="0"/>
                <w:szCs w:val="21"/>
                <w:highlight w:val="none"/>
              </w:rPr>
              <w:t>1。</w:t>
            </w:r>
          </w:p>
          <w:p w14:paraId="16C1C722">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2</w:t>
            </w:r>
            <w:r>
              <w:rPr>
                <w:rFonts w:ascii="宋体" w:hAnsi="宋体"/>
                <w:color w:val="auto"/>
                <w:kern w:val="0"/>
                <w:highlight w:val="none"/>
              </w:rPr>
              <w:t>.</w:t>
            </w:r>
            <w:r>
              <w:rPr>
                <w:rFonts w:hint="eastAsia" w:ascii="宋体" w:hAnsi="宋体"/>
                <w:color w:val="auto"/>
                <w:kern w:val="0"/>
                <w:highlight w:val="none"/>
              </w:rPr>
              <w:t xml:space="preserve"> </w:t>
            </w:r>
            <w:r>
              <w:rPr>
                <w:rFonts w:ascii="宋体" w:hAnsi="宋体"/>
                <w:color w:val="auto"/>
                <w:kern w:val="0"/>
                <w:szCs w:val="21"/>
                <w:highlight w:val="none"/>
              </w:rPr>
              <w:t>算术平均值</w:t>
            </w:r>
            <w:r>
              <w:rPr>
                <w:rFonts w:hint="eastAsia" w:ascii="宋体" w:hAnsi="宋体"/>
                <w:color w:val="auto"/>
                <w:kern w:val="0"/>
                <w:szCs w:val="21"/>
                <w:highlight w:val="none"/>
              </w:rPr>
              <w:t>M</w:t>
            </w:r>
            <w:r>
              <w:rPr>
                <w:rFonts w:ascii="宋体" w:hAnsi="宋体"/>
                <w:color w:val="auto"/>
                <w:kern w:val="0"/>
                <w:szCs w:val="21"/>
                <w:highlight w:val="none"/>
              </w:rPr>
              <w:t>1乘以本项目</w:t>
            </w:r>
            <w:r>
              <w:rPr>
                <w:rFonts w:hint="eastAsia" w:ascii="宋体" w:hAnsi="宋体"/>
                <w:color w:val="auto"/>
                <w:kern w:val="0"/>
                <w:szCs w:val="21"/>
                <w:highlight w:val="none"/>
              </w:rPr>
              <w:t>暂定建筑安装工程费报价</w:t>
            </w:r>
            <w:r>
              <w:rPr>
                <w:rFonts w:ascii="宋体" w:hAnsi="宋体"/>
                <w:color w:val="auto"/>
                <w:kern w:val="0"/>
                <w:szCs w:val="21"/>
                <w:highlight w:val="none"/>
              </w:rPr>
              <w:t>评标基准价浮动值</w:t>
            </w:r>
            <w:r>
              <w:rPr>
                <w:rFonts w:hint="eastAsia" w:ascii="宋体" w:hAnsi="宋体"/>
                <w:color w:val="auto"/>
                <w:kern w:val="0"/>
                <w:szCs w:val="21"/>
                <w:highlight w:val="none"/>
              </w:rPr>
              <w:t>（</w:t>
            </w:r>
            <w:r>
              <w:rPr>
                <w:rFonts w:ascii="宋体" w:hAnsi="宋体"/>
                <w:color w:val="auto"/>
                <w:kern w:val="0"/>
                <w:szCs w:val="21"/>
                <w:highlight w:val="none"/>
              </w:rPr>
              <w:t>1-N1</w:t>
            </w:r>
            <w:r>
              <w:rPr>
                <w:rFonts w:hint="eastAsia" w:ascii="宋体" w:hAnsi="宋体"/>
                <w:color w:val="auto"/>
                <w:kern w:val="0"/>
                <w:szCs w:val="21"/>
                <w:highlight w:val="none"/>
              </w:rPr>
              <w:t>）</w:t>
            </w:r>
            <w:r>
              <w:rPr>
                <w:rFonts w:ascii="宋体" w:hAnsi="宋体"/>
                <w:color w:val="auto"/>
                <w:kern w:val="0"/>
                <w:szCs w:val="21"/>
                <w:highlight w:val="none"/>
              </w:rPr>
              <w:t>，即为本项目的</w:t>
            </w:r>
            <w:r>
              <w:rPr>
                <w:rFonts w:hint="eastAsia" w:ascii="宋体" w:hAnsi="宋体"/>
                <w:color w:val="auto"/>
                <w:kern w:val="0"/>
                <w:szCs w:val="21"/>
                <w:highlight w:val="none"/>
              </w:rPr>
              <w:t>暂定建筑安装工程费报价</w:t>
            </w:r>
            <w:r>
              <w:rPr>
                <w:rFonts w:ascii="宋体" w:hAnsi="宋体"/>
                <w:color w:val="auto"/>
                <w:kern w:val="0"/>
                <w:szCs w:val="21"/>
                <w:highlight w:val="none"/>
              </w:rPr>
              <w:t>的评标基准价</w:t>
            </w:r>
            <w:r>
              <w:rPr>
                <w:rFonts w:hint="eastAsia" w:ascii="宋体" w:hAnsi="宋体"/>
                <w:color w:val="auto"/>
                <w:kern w:val="0"/>
                <w:szCs w:val="21"/>
                <w:highlight w:val="none"/>
              </w:rPr>
              <w:t>M</w:t>
            </w:r>
            <w:r>
              <w:rPr>
                <w:rFonts w:ascii="宋体" w:hAnsi="宋体"/>
                <w:color w:val="auto"/>
                <w:kern w:val="0"/>
                <w:szCs w:val="21"/>
                <w:highlight w:val="none"/>
              </w:rPr>
              <w:t>2。（</w:t>
            </w:r>
            <w:r>
              <w:rPr>
                <w:rFonts w:hint="eastAsia" w:ascii="宋体" w:hAnsi="宋体"/>
                <w:color w:val="auto"/>
                <w:kern w:val="0"/>
                <w:szCs w:val="21"/>
                <w:highlight w:val="none"/>
              </w:rPr>
              <w:t>暂定建筑安装工程费报价</w:t>
            </w:r>
            <w:r>
              <w:rPr>
                <w:rFonts w:ascii="宋体" w:hAnsi="宋体"/>
                <w:color w:val="auto"/>
                <w:kern w:val="0"/>
                <w:szCs w:val="21"/>
                <w:highlight w:val="none"/>
              </w:rPr>
              <w:t>评标基准价浮动值N1范围为</w:t>
            </w:r>
            <w:r>
              <w:rPr>
                <w:rFonts w:hint="eastAsia" w:ascii="宋体" w:hAnsi="宋体"/>
                <w:color w:val="auto"/>
                <w:kern w:val="0"/>
                <w:highlight w:val="none"/>
              </w:rPr>
              <w:t>0</w:t>
            </w:r>
            <w:r>
              <w:rPr>
                <w:rFonts w:ascii="宋体" w:hAnsi="宋体"/>
                <w:color w:val="auto"/>
                <w:kern w:val="0"/>
                <w:highlight w:val="none"/>
              </w:rPr>
              <w:t>%～</w:t>
            </w:r>
            <w:r>
              <w:rPr>
                <w:rFonts w:hint="eastAsia" w:ascii="宋体" w:hAnsi="宋体"/>
                <w:color w:val="auto"/>
                <w:kern w:val="0"/>
                <w:highlight w:val="none"/>
              </w:rPr>
              <w:t>5%</w:t>
            </w:r>
            <w:r>
              <w:rPr>
                <w:rFonts w:ascii="宋体" w:hAnsi="宋体"/>
                <w:color w:val="auto"/>
                <w:kern w:val="0"/>
                <w:highlight w:val="none"/>
              </w:rPr>
              <w:t>，浮动值</w:t>
            </w:r>
            <w:r>
              <w:rPr>
                <w:rFonts w:ascii="宋体" w:hAnsi="宋体"/>
                <w:color w:val="auto"/>
                <w:kern w:val="0"/>
                <w:szCs w:val="21"/>
                <w:highlight w:val="none"/>
              </w:rPr>
              <w:t>N1在开标现场随机抽取决定</w:t>
            </w:r>
            <w:r>
              <w:rPr>
                <w:rFonts w:hint="eastAsia" w:ascii="宋体" w:hAnsi="宋体"/>
                <w:color w:val="auto"/>
                <w:kern w:val="0"/>
                <w:szCs w:val="21"/>
                <w:highlight w:val="none"/>
              </w:rPr>
              <w:t>或由招标人直接确定</w:t>
            </w:r>
            <w:r>
              <w:rPr>
                <w:rFonts w:ascii="宋体" w:hAnsi="宋体"/>
                <w:color w:val="auto"/>
                <w:kern w:val="0"/>
                <w:szCs w:val="21"/>
                <w:highlight w:val="none"/>
              </w:rPr>
              <w:t>）</w:t>
            </w:r>
          </w:p>
          <w:p w14:paraId="570A0065">
            <w:pPr>
              <w:snapToGrid w:val="0"/>
              <w:spacing w:line="400" w:lineRule="exact"/>
              <w:ind w:firstLine="420" w:firstLineChars="200"/>
              <w:rPr>
                <w:rFonts w:ascii="宋体" w:hAnsi="宋体"/>
                <w:color w:val="auto"/>
                <w:kern w:val="0"/>
                <w:szCs w:val="21"/>
                <w:highlight w:val="none"/>
              </w:rPr>
            </w:pPr>
            <w:r>
              <w:rPr>
                <w:rFonts w:hint="eastAsia" w:ascii="宋体" w:hAnsi="宋体"/>
                <w:bCs/>
                <w:i/>
                <w:color w:val="auto"/>
                <w:szCs w:val="21"/>
                <w:highlight w:val="none"/>
              </w:rPr>
              <w:t>[提示：</w:t>
            </w:r>
            <w:r>
              <w:rPr>
                <w:rFonts w:hint="eastAsia" w:ascii="宋体" w:hAnsi="宋体"/>
                <w:i/>
                <w:color w:val="auto"/>
                <w:kern w:val="0"/>
                <w:szCs w:val="21"/>
                <w:highlight w:val="none"/>
              </w:rPr>
              <w:t>可以以M1作为暂定建筑安装工程费报价的评标基准价，若采用M1时，浮动值N1填“0”</w:t>
            </w:r>
            <w:r>
              <w:rPr>
                <w:rFonts w:hint="eastAsia" w:ascii="宋体" w:hAnsi="宋体"/>
                <w:i/>
                <w:color w:val="auto"/>
                <w:kern w:val="0"/>
                <w:highlight w:val="none"/>
              </w:rPr>
              <w:t>]</w:t>
            </w:r>
            <w:r>
              <w:rPr>
                <w:rFonts w:hint="eastAsia" w:ascii="宋体" w:hAnsi="宋体"/>
                <w:i/>
                <w:color w:val="auto"/>
                <w:kern w:val="0"/>
                <w:szCs w:val="21"/>
                <w:highlight w:val="none"/>
              </w:rPr>
              <w:t>。</w:t>
            </w:r>
          </w:p>
          <w:p w14:paraId="5BA2D5FA">
            <w:pPr>
              <w:snapToGrid w:val="0"/>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评标基准价</w:t>
            </w:r>
            <w:r>
              <w:rPr>
                <w:rFonts w:ascii="宋体" w:hAnsi="宋体"/>
                <w:color w:val="auto"/>
                <w:kern w:val="0"/>
                <w:szCs w:val="21"/>
                <w:highlight w:val="none"/>
              </w:rPr>
              <w:t>计算</w:t>
            </w:r>
            <w:r>
              <w:rPr>
                <w:rFonts w:hint="eastAsia" w:ascii="宋体" w:hAnsi="宋体"/>
                <w:color w:val="auto"/>
                <w:kern w:val="0"/>
                <w:szCs w:val="21"/>
                <w:highlight w:val="none"/>
              </w:rPr>
              <w:t>的最终结果</w:t>
            </w:r>
            <w:r>
              <w:rPr>
                <w:rFonts w:ascii="宋体" w:hAnsi="宋体"/>
                <w:color w:val="auto"/>
                <w:kern w:val="0"/>
                <w:szCs w:val="21"/>
                <w:highlight w:val="none"/>
              </w:rPr>
              <w:t>取小数点后两位，第三位四舍五入。</w:t>
            </w:r>
          </w:p>
          <w:p w14:paraId="6CBCB6AC">
            <w:pPr>
              <w:snapToGrid w:val="0"/>
              <w:spacing w:line="400" w:lineRule="exact"/>
              <w:ind w:firstLine="420" w:firstLineChars="200"/>
              <w:rPr>
                <w:rFonts w:ascii="宋体" w:hAnsi="宋体"/>
                <w:color w:val="auto"/>
                <w:kern w:val="0"/>
                <w:szCs w:val="21"/>
                <w:highlight w:val="none"/>
              </w:rPr>
            </w:pPr>
            <w:r>
              <w:rPr>
                <w:rFonts w:ascii="宋体" w:hAnsi="宋体"/>
                <w:color w:val="auto"/>
                <w:kern w:val="0"/>
                <w:szCs w:val="21"/>
                <w:highlight w:val="none"/>
              </w:rPr>
              <w:t>在评标基准价计算完成后（除计算错误外），在后续的评审中不得再对其做出调整。</w:t>
            </w:r>
          </w:p>
          <w:p w14:paraId="65C85016">
            <w:pPr>
              <w:snapToGrid w:val="0"/>
              <w:spacing w:line="400" w:lineRule="exact"/>
              <w:ind w:firstLine="420" w:firstLineChars="200"/>
              <w:jc w:val="left"/>
              <w:rPr>
                <w:rFonts w:ascii="宋体" w:hAnsi="宋体"/>
                <w:color w:val="auto"/>
                <w:kern w:val="0"/>
                <w:highlight w:val="none"/>
              </w:rPr>
            </w:pPr>
            <w:r>
              <w:rPr>
                <w:rFonts w:ascii="宋体" w:hAnsi="宋体"/>
                <w:color w:val="auto"/>
                <w:kern w:val="0"/>
                <w:szCs w:val="21"/>
                <w:highlight w:val="none"/>
              </w:rPr>
              <w:t>浮动值N1的范围百分数取整。</w:t>
            </w:r>
          </w:p>
        </w:tc>
      </w:tr>
      <w:tr w14:paraId="56AA990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tcBorders>
              <w:right w:val="single" w:color="auto" w:sz="4" w:space="0"/>
            </w:tcBorders>
            <w:vAlign w:val="center"/>
          </w:tcPr>
          <w:p w14:paraId="79D1EBC9">
            <w:pPr>
              <w:spacing w:line="400" w:lineRule="exact"/>
              <w:jc w:val="center"/>
              <w:rPr>
                <w:rFonts w:ascii="宋体" w:hAnsi="宋体"/>
                <w:color w:val="auto"/>
                <w:kern w:val="0"/>
                <w:highlight w:val="none"/>
              </w:rPr>
            </w:pPr>
            <w:r>
              <w:rPr>
                <w:rFonts w:ascii="宋体" w:hAnsi="宋体"/>
                <w:color w:val="auto"/>
                <w:kern w:val="0"/>
                <w:highlight w:val="none"/>
              </w:rPr>
              <w:t>2.2.</w:t>
            </w:r>
            <w:r>
              <w:rPr>
                <w:rFonts w:hint="eastAsia" w:ascii="宋体" w:hAnsi="宋体"/>
                <w:color w:val="auto"/>
                <w:kern w:val="0"/>
                <w:highlight w:val="none"/>
              </w:rPr>
              <w:t>4</w:t>
            </w:r>
          </w:p>
        </w:tc>
        <w:tc>
          <w:tcPr>
            <w:tcW w:w="3213" w:type="dxa"/>
            <w:gridSpan w:val="5"/>
            <w:tcBorders>
              <w:left w:val="single" w:color="auto" w:sz="4" w:space="0"/>
            </w:tcBorders>
            <w:vAlign w:val="center"/>
          </w:tcPr>
          <w:p w14:paraId="4551C273">
            <w:pPr>
              <w:spacing w:line="400" w:lineRule="exact"/>
              <w:jc w:val="center"/>
              <w:rPr>
                <w:rFonts w:ascii="宋体" w:hAnsi="宋体"/>
                <w:color w:val="auto"/>
                <w:kern w:val="0"/>
                <w:highlight w:val="none"/>
              </w:rPr>
            </w:pPr>
            <w:r>
              <w:rPr>
                <w:rFonts w:hint="eastAsia" w:ascii="宋体" w:hAnsi="宋体"/>
                <w:color w:val="auto"/>
                <w:kern w:val="0"/>
                <w:highlight w:val="none"/>
              </w:rPr>
              <w:t>偏差率计算</w:t>
            </w:r>
          </w:p>
        </w:tc>
        <w:tc>
          <w:tcPr>
            <w:tcW w:w="5492" w:type="dxa"/>
            <w:vAlign w:val="center"/>
          </w:tcPr>
          <w:p w14:paraId="2799F337">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投标报价的偏差率计算公式</w:t>
            </w:r>
          </w:p>
          <w:p w14:paraId="622EF3AE">
            <w:pPr>
              <w:spacing w:line="400" w:lineRule="exact"/>
              <w:ind w:firstLine="420" w:firstLineChars="200"/>
              <w:jc w:val="left"/>
              <w:rPr>
                <w:rFonts w:ascii="宋体" w:hAnsi="宋体"/>
                <w:color w:val="auto"/>
                <w:kern w:val="0"/>
                <w:highlight w:val="none"/>
              </w:rPr>
            </w:pPr>
            <w:r>
              <w:rPr>
                <w:rFonts w:ascii="宋体" w:hAnsi="宋体"/>
                <w:color w:val="auto"/>
                <w:kern w:val="0"/>
                <w:highlight w:val="none"/>
              </w:rPr>
              <w:t>偏差率</w:t>
            </w:r>
            <w:r>
              <w:rPr>
                <w:rFonts w:ascii="宋体" w:hAnsi="宋体"/>
                <w:color w:val="auto"/>
                <w:kern w:val="0"/>
                <w:sz w:val="28"/>
                <w:szCs w:val="28"/>
                <w:highlight w:val="none"/>
              </w:rPr>
              <w:t>=</w:t>
            </w:r>
            <w:r>
              <w:rPr>
                <w:rFonts w:ascii="宋体" w:hAnsi="宋体"/>
                <w:color w:val="auto"/>
                <w:kern w:val="0"/>
                <w:highlight w:val="none"/>
              </w:rPr>
              <w:t>100％×（投标报价一评标基准价P</w:t>
            </w:r>
            <w:r>
              <w:rPr>
                <w:rFonts w:hint="eastAsia" w:ascii="宋体" w:hAnsi="宋体"/>
                <w:color w:val="auto"/>
                <w:kern w:val="0"/>
                <w:highlight w:val="none"/>
              </w:rPr>
              <w:t>1</w:t>
            </w:r>
            <w:r>
              <w:rPr>
                <w:rFonts w:ascii="宋体" w:hAnsi="宋体"/>
                <w:color w:val="auto"/>
                <w:kern w:val="0"/>
                <w:highlight w:val="none"/>
              </w:rPr>
              <w:t>（或P</w:t>
            </w:r>
            <w:r>
              <w:rPr>
                <w:rFonts w:hint="eastAsia" w:ascii="宋体" w:hAnsi="宋体"/>
                <w:color w:val="auto"/>
                <w:kern w:val="0"/>
                <w:highlight w:val="none"/>
              </w:rPr>
              <w:t>2</w:t>
            </w:r>
            <w:r>
              <w:rPr>
                <w:rFonts w:ascii="宋体" w:hAnsi="宋体"/>
                <w:color w:val="auto"/>
                <w:kern w:val="0"/>
                <w:highlight w:val="none"/>
              </w:rPr>
              <w:t>或</w:t>
            </w:r>
            <w:r>
              <w:rPr>
                <w:rFonts w:hint="eastAsia" w:ascii="宋体" w:hAnsi="宋体"/>
                <w:color w:val="auto"/>
                <w:kern w:val="0"/>
                <w:highlight w:val="none"/>
              </w:rPr>
              <w:t>Q1或M1或M2</w:t>
            </w:r>
            <w:r>
              <w:rPr>
                <w:rFonts w:ascii="宋体" w:hAnsi="宋体"/>
                <w:color w:val="auto"/>
                <w:kern w:val="0"/>
                <w:highlight w:val="none"/>
              </w:rPr>
              <w:t>））／评标基准价P</w:t>
            </w:r>
            <w:r>
              <w:rPr>
                <w:rFonts w:hint="eastAsia" w:ascii="宋体" w:hAnsi="宋体"/>
                <w:color w:val="auto"/>
                <w:kern w:val="0"/>
                <w:highlight w:val="none"/>
              </w:rPr>
              <w:t>1</w:t>
            </w:r>
            <w:r>
              <w:rPr>
                <w:rFonts w:ascii="宋体" w:hAnsi="宋体"/>
                <w:color w:val="auto"/>
                <w:kern w:val="0"/>
                <w:highlight w:val="none"/>
              </w:rPr>
              <w:t>（或P</w:t>
            </w:r>
            <w:r>
              <w:rPr>
                <w:rFonts w:hint="eastAsia" w:ascii="宋体" w:hAnsi="宋体"/>
                <w:color w:val="auto"/>
                <w:kern w:val="0"/>
                <w:highlight w:val="none"/>
              </w:rPr>
              <w:t>2</w:t>
            </w:r>
            <w:r>
              <w:rPr>
                <w:rFonts w:ascii="宋体" w:hAnsi="宋体"/>
                <w:color w:val="auto"/>
                <w:kern w:val="0"/>
                <w:highlight w:val="none"/>
              </w:rPr>
              <w:t>或</w:t>
            </w:r>
            <w:r>
              <w:rPr>
                <w:rFonts w:hint="eastAsia" w:ascii="宋体" w:hAnsi="宋体"/>
                <w:color w:val="auto"/>
                <w:kern w:val="0"/>
                <w:highlight w:val="none"/>
              </w:rPr>
              <w:t>Q1或M1或M2</w:t>
            </w:r>
            <w:r>
              <w:rPr>
                <w:rFonts w:ascii="宋体" w:hAnsi="宋体"/>
                <w:color w:val="auto"/>
                <w:kern w:val="0"/>
                <w:highlight w:val="none"/>
              </w:rPr>
              <w:t>）</w:t>
            </w:r>
          </w:p>
          <w:p w14:paraId="28A35313">
            <w:pPr>
              <w:spacing w:line="400" w:lineRule="exact"/>
              <w:ind w:firstLine="200"/>
              <w:rPr>
                <w:rFonts w:ascii="宋体" w:hAnsi="宋体"/>
                <w:color w:val="auto"/>
                <w:kern w:val="0"/>
                <w:highlight w:val="none"/>
              </w:rPr>
            </w:pPr>
            <w:r>
              <w:rPr>
                <w:rFonts w:ascii="宋体" w:hAnsi="宋体"/>
                <w:color w:val="auto"/>
                <w:kern w:val="0"/>
                <w:highlight w:val="none"/>
              </w:rPr>
              <w:t xml:space="preserve">  偏差率</w:t>
            </w:r>
            <w:r>
              <w:rPr>
                <w:rFonts w:ascii="宋体" w:hAnsi="宋体"/>
                <w:color w:val="auto"/>
                <w:kern w:val="0"/>
                <w:szCs w:val="21"/>
                <w:highlight w:val="none"/>
              </w:rPr>
              <w:t>计算</w:t>
            </w:r>
            <w:r>
              <w:rPr>
                <w:rFonts w:hint="eastAsia" w:ascii="宋体" w:hAnsi="宋体"/>
                <w:color w:val="auto"/>
                <w:kern w:val="0"/>
                <w:szCs w:val="21"/>
                <w:highlight w:val="none"/>
              </w:rPr>
              <w:t>的最终结果</w:t>
            </w:r>
            <w:r>
              <w:rPr>
                <w:rFonts w:ascii="宋体" w:hAnsi="宋体"/>
                <w:color w:val="auto"/>
                <w:kern w:val="0"/>
                <w:szCs w:val="21"/>
                <w:highlight w:val="none"/>
              </w:rPr>
              <w:t>取小数点后两位，第三位四舍五入。</w:t>
            </w:r>
          </w:p>
        </w:tc>
      </w:tr>
      <w:tr w14:paraId="3B6AD46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cantSplit/>
          <w:jc w:val="center"/>
        </w:trPr>
        <w:tc>
          <w:tcPr>
            <w:tcW w:w="768" w:type="dxa"/>
            <w:vAlign w:val="center"/>
          </w:tcPr>
          <w:p w14:paraId="49A8AA43">
            <w:pPr>
              <w:spacing w:line="400" w:lineRule="exact"/>
              <w:jc w:val="center"/>
              <w:rPr>
                <w:rFonts w:ascii="宋体" w:hAnsi="宋体"/>
                <w:color w:val="auto"/>
                <w:kern w:val="0"/>
                <w:highlight w:val="none"/>
              </w:rPr>
            </w:pPr>
            <w:r>
              <w:rPr>
                <w:rFonts w:ascii="宋体" w:hAnsi="宋体"/>
                <w:color w:val="auto"/>
                <w:highlight w:val="none"/>
              </w:rPr>
              <w:t>3</w:t>
            </w:r>
          </w:p>
        </w:tc>
        <w:tc>
          <w:tcPr>
            <w:tcW w:w="709" w:type="dxa"/>
            <w:vAlign w:val="center"/>
          </w:tcPr>
          <w:p w14:paraId="1E9BAA4D">
            <w:pPr>
              <w:spacing w:line="400" w:lineRule="exact"/>
              <w:jc w:val="center"/>
              <w:rPr>
                <w:rFonts w:ascii="宋体" w:hAnsi="宋体"/>
                <w:color w:val="auto"/>
                <w:kern w:val="0"/>
                <w:highlight w:val="none"/>
              </w:rPr>
            </w:pPr>
            <w:r>
              <w:rPr>
                <w:rFonts w:ascii="宋体" w:hAnsi="宋体"/>
                <w:color w:val="auto"/>
                <w:highlight w:val="none"/>
              </w:rPr>
              <w:t>评标程序</w:t>
            </w:r>
          </w:p>
        </w:tc>
        <w:tc>
          <w:tcPr>
            <w:tcW w:w="7996" w:type="dxa"/>
            <w:gridSpan w:val="5"/>
            <w:tcBorders>
              <w:bottom w:val="single" w:color="auto" w:sz="4" w:space="0"/>
            </w:tcBorders>
          </w:tcPr>
          <w:p w14:paraId="1847BD8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1.按本章评标办法第3.1款进行初步评审，未通过初步评审或评标委员会认定为无效的投标文件不再参与后续评审。</w:t>
            </w:r>
          </w:p>
          <w:p w14:paraId="4C75FF4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2.按本章评标办法前附表第2.2.2（1）目及第3.2.1（1）目的规定对技术部分进行评审。采用“投标人答辩”的，答辩顺序的确定原则为：</w:t>
            </w:r>
            <w:r>
              <w:rPr>
                <w:rFonts w:ascii="宋体" w:hAnsi="宋体"/>
                <w:color w:val="auto"/>
                <w:szCs w:val="21"/>
                <w:highlight w:val="none"/>
              </w:rPr>
              <w:t xml:space="preserve">          </w:t>
            </w:r>
            <w:r>
              <w:rPr>
                <w:rFonts w:hint="eastAsia" w:ascii="宋体" w:hAnsi="宋体"/>
                <w:color w:val="auto"/>
                <w:szCs w:val="21"/>
                <w:highlight w:val="none"/>
              </w:rPr>
              <w:t>。</w:t>
            </w:r>
          </w:p>
          <w:p w14:paraId="54F59597">
            <w:pPr>
              <w:spacing w:line="400" w:lineRule="exact"/>
              <w:ind w:firstLine="420" w:firstLineChars="200"/>
              <w:rPr>
                <w:rFonts w:ascii="宋体" w:hAnsi="宋体"/>
                <w:color w:val="auto"/>
                <w:szCs w:val="21"/>
                <w:highlight w:val="none"/>
              </w:rPr>
            </w:pPr>
            <w:r>
              <w:rPr>
                <w:rFonts w:ascii="宋体" w:hAnsi="宋体"/>
                <w:color w:val="auto"/>
                <w:szCs w:val="21"/>
                <w:highlight w:val="none"/>
              </w:rPr>
              <w:t>3</w:t>
            </w:r>
            <w:r>
              <w:rPr>
                <w:rFonts w:hint="eastAsia" w:ascii="宋体" w:hAnsi="宋体"/>
                <w:color w:val="auto"/>
                <w:szCs w:val="21"/>
                <w:highlight w:val="none"/>
              </w:rPr>
              <w:t>.按本章评标办法前附表第2.2.2（</w:t>
            </w:r>
            <w:r>
              <w:rPr>
                <w:rFonts w:ascii="宋体" w:hAnsi="宋体"/>
                <w:color w:val="auto"/>
                <w:szCs w:val="21"/>
                <w:highlight w:val="none"/>
              </w:rPr>
              <w:t>2</w:t>
            </w:r>
            <w:r>
              <w:rPr>
                <w:rFonts w:hint="eastAsia" w:ascii="宋体" w:hAnsi="宋体"/>
                <w:color w:val="auto"/>
                <w:szCs w:val="21"/>
                <w:highlight w:val="none"/>
              </w:rPr>
              <w:t>）目及第3.2.1（</w:t>
            </w:r>
            <w:r>
              <w:rPr>
                <w:rFonts w:ascii="宋体" w:hAnsi="宋体"/>
                <w:color w:val="auto"/>
                <w:szCs w:val="21"/>
                <w:highlight w:val="none"/>
              </w:rPr>
              <w:t>2</w:t>
            </w:r>
            <w:r>
              <w:rPr>
                <w:rFonts w:hint="eastAsia" w:ascii="宋体" w:hAnsi="宋体"/>
                <w:color w:val="auto"/>
                <w:szCs w:val="21"/>
                <w:highlight w:val="none"/>
              </w:rPr>
              <w:t>）目的规定对商务部分进行评审。</w:t>
            </w:r>
          </w:p>
          <w:p w14:paraId="1992C81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4.按本章评标办法前附表第2.2.2（</w:t>
            </w:r>
            <w:r>
              <w:rPr>
                <w:rFonts w:ascii="宋体" w:hAnsi="宋体"/>
                <w:color w:val="auto"/>
                <w:szCs w:val="21"/>
                <w:highlight w:val="none"/>
              </w:rPr>
              <w:t>3</w:t>
            </w:r>
            <w:r>
              <w:rPr>
                <w:rFonts w:hint="eastAsia" w:ascii="宋体" w:hAnsi="宋体"/>
                <w:color w:val="auto"/>
                <w:szCs w:val="21"/>
                <w:highlight w:val="none"/>
              </w:rPr>
              <w:t>）目的规定对投标函</w:t>
            </w:r>
            <w:r>
              <w:rPr>
                <w:rFonts w:ascii="宋体" w:hAnsi="宋体"/>
                <w:color w:val="auto"/>
                <w:szCs w:val="21"/>
                <w:highlight w:val="none"/>
              </w:rPr>
              <w:t>及经济部分</w:t>
            </w:r>
            <w:r>
              <w:rPr>
                <w:rFonts w:hint="eastAsia" w:ascii="宋体" w:hAnsi="宋体"/>
                <w:color w:val="auto"/>
                <w:szCs w:val="21"/>
                <w:highlight w:val="none"/>
              </w:rPr>
              <w:t>进行评审，经评审不合格的投标文件不再参与后续评审。</w:t>
            </w:r>
          </w:p>
          <w:p w14:paraId="422DFFD0">
            <w:pPr>
              <w:spacing w:line="400" w:lineRule="exact"/>
              <w:ind w:firstLine="420" w:firstLineChars="200"/>
              <w:rPr>
                <w:rFonts w:ascii="宋体" w:hAnsi="宋体"/>
                <w:color w:val="auto"/>
                <w:szCs w:val="21"/>
                <w:highlight w:val="none"/>
              </w:rPr>
            </w:pPr>
            <w:r>
              <w:rPr>
                <w:rFonts w:ascii="宋体" w:hAnsi="宋体"/>
                <w:color w:val="auto"/>
                <w:szCs w:val="21"/>
                <w:highlight w:val="none"/>
              </w:rPr>
              <w:t>5</w:t>
            </w:r>
            <w:r>
              <w:rPr>
                <w:rFonts w:hint="eastAsia" w:ascii="宋体" w:hAnsi="宋体"/>
                <w:color w:val="auto"/>
                <w:szCs w:val="21"/>
                <w:highlight w:val="none"/>
              </w:rPr>
              <w:t>.因评标委员会作否决投标处理导致有效投标人不足三个的，评标委员会应当否决所有投标。但是有效投标人的经济、技术等指标仍然具有市场竞争力，能够满足招标文件要求的，评标委员会可以继续评标并确定中标候选人。</w:t>
            </w:r>
          </w:p>
          <w:p w14:paraId="15248BF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6</w:t>
            </w:r>
            <w:r>
              <w:rPr>
                <w:rFonts w:ascii="宋体" w:hAnsi="宋体"/>
                <w:color w:val="auto"/>
                <w:szCs w:val="21"/>
                <w:highlight w:val="none"/>
              </w:rPr>
              <w:t>.</w:t>
            </w:r>
            <w:r>
              <w:rPr>
                <w:rFonts w:hint="eastAsia" w:ascii="宋体" w:hAnsi="宋体"/>
                <w:color w:val="auto"/>
                <w:szCs w:val="21"/>
                <w:highlight w:val="none"/>
              </w:rPr>
              <w:t>经评审合格的投标人按照本章第2.2.3项计算方法计算评标基准价，并按本附表第3.2.1（</w:t>
            </w:r>
            <w:r>
              <w:rPr>
                <w:rFonts w:ascii="宋体" w:hAnsi="宋体"/>
                <w:color w:val="auto"/>
                <w:szCs w:val="21"/>
                <w:highlight w:val="none"/>
              </w:rPr>
              <w:t>3</w:t>
            </w:r>
            <w:r>
              <w:rPr>
                <w:rFonts w:hint="eastAsia" w:ascii="宋体" w:hAnsi="宋体"/>
                <w:color w:val="auto"/>
                <w:szCs w:val="21"/>
                <w:highlight w:val="none"/>
              </w:rPr>
              <w:t>）目规定的评分方法对经济部分进行评分。</w:t>
            </w:r>
          </w:p>
          <w:p w14:paraId="6630CAC6">
            <w:pPr>
              <w:spacing w:line="400" w:lineRule="exact"/>
              <w:ind w:firstLine="420" w:firstLineChars="200"/>
              <w:rPr>
                <w:rFonts w:ascii="宋体" w:hAnsi="宋体"/>
                <w:color w:val="auto"/>
                <w:szCs w:val="21"/>
                <w:highlight w:val="none"/>
              </w:rPr>
            </w:pPr>
            <w:r>
              <w:rPr>
                <w:rFonts w:ascii="宋体" w:hAnsi="宋体"/>
                <w:color w:val="auto"/>
                <w:szCs w:val="21"/>
                <w:highlight w:val="none"/>
              </w:rPr>
              <w:t>7</w:t>
            </w:r>
            <w:r>
              <w:rPr>
                <w:rFonts w:hint="eastAsia" w:ascii="宋体" w:hAnsi="宋体"/>
                <w:color w:val="auto"/>
                <w:szCs w:val="21"/>
                <w:highlight w:val="none"/>
              </w:rPr>
              <w:t>.对技术部分、商务部分、经济部分得分进行汇总，确定得分由高至低前三名投标人为中标候选人。</w:t>
            </w:r>
          </w:p>
        </w:tc>
      </w:tr>
      <w:tr w14:paraId="5158D0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18" w:hRule="atLeast"/>
          <w:jc w:val="center"/>
        </w:trPr>
        <w:tc>
          <w:tcPr>
            <w:tcW w:w="768" w:type="dxa"/>
            <w:vMerge w:val="restart"/>
            <w:vAlign w:val="center"/>
          </w:tcPr>
          <w:p w14:paraId="6CD361D6">
            <w:pPr>
              <w:spacing w:line="400" w:lineRule="exact"/>
              <w:jc w:val="center"/>
              <w:rPr>
                <w:rFonts w:ascii="宋体" w:hAnsi="宋体"/>
                <w:color w:val="auto"/>
                <w:highlight w:val="none"/>
              </w:rPr>
            </w:pPr>
            <w:r>
              <w:rPr>
                <w:rFonts w:ascii="宋体" w:hAnsi="宋体"/>
                <w:color w:val="auto"/>
                <w:highlight w:val="none"/>
              </w:rPr>
              <w:t>3.2.1</w:t>
            </w:r>
          </w:p>
          <w:p w14:paraId="1EA8FC13">
            <w:pPr>
              <w:spacing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1</w:t>
            </w:r>
            <w:r>
              <w:rPr>
                <w:rFonts w:ascii="宋体" w:hAnsi="宋体"/>
                <w:color w:val="auto"/>
                <w:highlight w:val="none"/>
              </w:rPr>
              <w:t>）</w:t>
            </w:r>
          </w:p>
        </w:tc>
        <w:tc>
          <w:tcPr>
            <w:tcW w:w="709" w:type="dxa"/>
            <w:vMerge w:val="restart"/>
            <w:vAlign w:val="center"/>
          </w:tcPr>
          <w:p w14:paraId="652868D0">
            <w:pPr>
              <w:spacing w:line="400" w:lineRule="exact"/>
              <w:jc w:val="center"/>
              <w:rPr>
                <w:rFonts w:ascii="宋体" w:hAnsi="宋体"/>
                <w:color w:val="auto"/>
                <w:highlight w:val="none"/>
              </w:rPr>
            </w:pPr>
            <w:r>
              <w:rPr>
                <w:rFonts w:hint="eastAsia" w:ascii="宋体" w:hAnsi="宋体"/>
                <w:color w:val="auto"/>
                <w:highlight w:val="none"/>
              </w:rPr>
              <w:t>技术部分</w:t>
            </w:r>
            <w:r>
              <w:rPr>
                <w:rFonts w:ascii="宋体" w:hAnsi="宋体"/>
                <w:color w:val="auto"/>
                <w:kern w:val="0"/>
                <w:highlight w:val="none"/>
              </w:rPr>
              <w:t>得分</w:t>
            </w:r>
            <w:r>
              <w:rPr>
                <w:rFonts w:ascii="宋体" w:hAnsi="宋体"/>
                <w:color w:val="auto"/>
                <w:spacing w:val="-4"/>
                <w:highlight w:val="none"/>
              </w:rPr>
              <w:t>（</w:t>
            </w:r>
            <w:r>
              <w:rPr>
                <w:rFonts w:hint="eastAsia" w:ascii="宋体" w:hAnsi="宋体"/>
                <w:color w:val="auto"/>
                <w:spacing w:val="-4"/>
                <w:highlight w:val="none"/>
              </w:rPr>
              <w:t>A）</w:t>
            </w:r>
          </w:p>
        </w:tc>
        <w:tc>
          <w:tcPr>
            <w:tcW w:w="1134" w:type="dxa"/>
            <w:gridSpan w:val="3"/>
            <w:vMerge w:val="restart"/>
            <w:tcBorders>
              <w:right w:val="single" w:color="auto" w:sz="4" w:space="0"/>
            </w:tcBorders>
            <w:vAlign w:val="center"/>
          </w:tcPr>
          <w:p w14:paraId="0D4838AF">
            <w:pPr>
              <w:spacing w:line="400" w:lineRule="exact"/>
              <w:jc w:val="center"/>
              <w:rPr>
                <w:rFonts w:ascii="宋体" w:hAnsi="宋体"/>
                <w:color w:val="auto"/>
                <w:highlight w:val="none"/>
              </w:rPr>
            </w:pPr>
            <w:r>
              <w:rPr>
                <w:rFonts w:hint="eastAsia" w:ascii="宋体" w:hAnsi="宋体" w:cs="宋体"/>
                <w:color w:val="auto"/>
                <w:kern w:val="0"/>
                <w:highlight w:val="none"/>
              </w:rPr>
              <w:t>□</w:t>
            </w:r>
            <w:r>
              <w:rPr>
                <w:rFonts w:hint="eastAsia" w:ascii="宋体" w:hAnsi="宋体"/>
                <w:color w:val="auto"/>
                <w:kern w:val="0"/>
                <w:highlight w:val="none"/>
              </w:rPr>
              <w:t>总承包管理及设计方案</w:t>
            </w:r>
          </w:p>
        </w:tc>
        <w:tc>
          <w:tcPr>
            <w:tcW w:w="1370" w:type="dxa"/>
            <w:tcBorders>
              <w:left w:val="single" w:color="auto" w:sz="4" w:space="0"/>
              <w:bottom w:val="single" w:color="auto" w:sz="4" w:space="0"/>
            </w:tcBorders>
            <w:vAlign w:val="center"/>
          </w:tcPr>
          <w:p w14:paraId="3056258E">
            <w:pPr>
              <w:spacing w:line="400" w:lineRule="exact"/>
              <w:rPr>
                <w:rFonts w:ascii="宋体" w:hAnsi="宋体"/>
                <w:color w:val="auto"/>
                <w:kern w:val="0"/>
                <w:highlight w:val="none"/>
              </w:rPr>
            </w:pPr>
            <w:r>
              <w:rPr>
                <w:rFonts w:hint="eastAsia" w:ascii="宋体" w:hAnsi="宋体"/>
                <w:color w:val="auto"/>
                <w:szCs w:val="21"/>
                <w:highlight w:val="none"/>
              </w:rPr>
              <w:t>总承包</w:t>
            </w:r>
            <w:r>
              <w:rPr>
                <w:rFonts w:hint="eastAsia"/>
                <w:color w:val="auto"/>
                <w:szCs w:val="21"/>
                <w:highlight w:val="none"/>
              </w:rPr>
              <w:t>总体实施方案</w:t>
            </w:r>
          </w:p>
        </w:tc>
        <w:tc>
          <w:tcPr>
            <w:tcW w:w="5492" w:type="dxa"/>
            <w:vMerge w:val="restart"/>
            <w:vAlign w:val="center"/>
          </w:tcPr>
          <w:p w14:paraId="795CAF09">
            <w:pPr>
              <w:autoSpaceDE w:val="0"/>
              <w:autoSpaceDN w:val="0"/>
              <w:adjustRightInd w:val="0"/>
              <w:snapToGrid w:val="0"/>
              <w:spacing w:line="400" w:lineRule="exact"/>
              <w:ind w:firstLine="420" w:firstLineChars="200"/>
              <w:rPr>
                <w:rFonts w:ascii="宋体" w:hAnsi="宋体" w:cs="宋体"/>
                <w:color w:val="auto"/>
                <w:kern w:val="0"/>
                <w:highlight w:val="none"/>
                <w:u w:val="single"/>
              </w:rPr>
            </w:pPr>
            <w:r>
              <w:rPr>
                <w:rFonts w:hint="eastAsia" w:ascii="宋体" w:hAnsi="宋体" w:cs="宋体"/>
                <w:color w:val="auto"/>
                <w:kern w:val="0"/>
                <w:highlight w:val="none"/>
              </w:rPr>
              <w:t>不符合第二章“投标人须知前附表”第3.7.5项的规定</w:t>
            </w:r>
            <w:r>
              <w:rPr>
                <w:rFonts w:hint="eastAsia" w:ascii="宋体" w:hAnsi="宋体" w:cs="宋体"/>
                <w:color w:val="auto"/>
                <w:kern w:val="0"/>
                <w:highlight w:val="none"/>
                <w:u w:val="none"/>
              </w:rPr>
              <w:t>的，技术部分得</w:t>
            </w:r>
            <w:r>
              <w:rPr>
                <w:rFonts w:ascii="宋体" w:hAnsi="宋体" w:cs="宋体"/>
                <w:color w:val="auto"/>
                <w:kern w:val="0"/>
                <w:highlight w:val="none"/>
                <w:u w:val="none"/>
              </w:rPr>
              <w:t>0分。</w:t>
            </w:r>
          </w:p>
          <w:p w14:paraId="3D9DCE3D">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评标委员会按第2.2.</w:t>
            </w:r>
            <w:r>
              <w:rPr>
                <w:rFonts w:hint="eastAsia" w:ascii="宋体" w:hAnsi="宋体"/>
                <w:color w:val="auto"/>
                <w:szCs w:val="21"/>
                <w:highlight w:val="none"/>
              </w:rPr>
              <w:t>2（1）项</w:t>
            </w:r>
            <w:r>
              <w:rPr>
                <w:rFonts w:ascii="宋体" w:hAnsi="宋体"/>
                <w:color w:val="auto"/>
                <w:szCs w:val="21"/>
                <w:highlight w:val="none"/>
              </w:rPr>
              <w:t>各评审因素设定的分值评分。</w:t>
            </w:r>
          </w:p>
          <w:p w14:paraId="4CC7C08A">
            <w:pPr>
              <w:spacing w:line="4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评标委员会成员为5人及以上时，所有评委</w:t>
            </w:r>
            <w:r>
              <w:rPr>
                <w:rFonts w:hint="eastAsia" w:ascii="宋体" w:hAnsi="宋体"/>
                <w:snapToGrid w:val="0"/>
                <w:color w:val="auto"/>
                <w:kern w:val="0"/>
                <w:szCs w:val="21"/>
                <w:highlight w:val="none"/>
              </w:rPr>
              <w:t>评</w:t>
            </w:r>
            <w:r>
              <w:rPr>
                <w:rFonts w:ascii="宋体" w:hAnsi="宋体"/>
                <w:snapToGrid w:val="0"/>
                <w:color w:val="auto"/>
                <w:kern w:val="0"/>
                <w:szCs w:val="21"/>
                <w:highlight w:val="none"/>
              </w:rPr>
              <w:t>分中去掉一个最高和一个最低分，余下评委</w:t>
            </w:r>
            <w:r>
              <w:rPr>
                <w:rFonts w:hint="eastAsia" w:ascii="宋体" w:hAnsi="宋体"/>
                <w:snapToGrid w:val="0"/>
                <w:color w:val="auto"/>
                <w:kern w:val="0"/>
                <w:szCs w:val="21"/>
                <w:highlight w:val="none"/>
              </w:rPr>
              <w:t>评</w:t>
            </w:r>
            <w:r>
              <w:rPr>
                <w:rFonts w:ascii="宋体" w:hAnsi="宋体"/>
                <w:snapToGrid w:val="0"/>
                <w:color w:val="auto"/>
                <w:kern w:val="0"/>
                <w:szCs w:val="21"/>
                <w:highlight w:val="none"/>
              </w:rPr>
              <w:t>分取算术平均值为该投标人</w:t>
            </w:r>
            <w:r>
              <w:rPr>
                <w:rFonts w:hint="eastAsia" w:ascii="宋体" w:hAnsi="宋体"/>
                <w:snapToGrid w:val="0"/>
                <w:color w:val="auto"/>
                <w:kern w:val="0"/>
                <w:szCs w:val="21"/>
                <w:highlight w:val="none"/>
              </w:rPr>
              <w:t>技术部分</w:t>
            </w:r>
            <w:r>
              <w:rPr>
                <w:rFonts w:ascii="宋体" w:hAnsi="宋体"/>
                <w:snapToGrid w:val="0"/>
                <w:color w:val="auto"/>
                <w:kern w:val="0"/>
                <w:szCs w:val="21"/>
                <w:highlight w:val="none"/>
              </w:rPr>
              <w:t>得分。</w:t>
            </w:r>
          </w:p>
          <w:p w14:paraId="57E239EA">
            <w:pPr>
              <w:spacing w:line="400" w:lineRule="exact"/>
              <w:ind w:firstLine="420" w:firstLineChars="200"/>
              <w:rPr>
                <w:rFonts w:ascii="宋体" w:hAnsi="宋体"/>
                <w:color w:val="auto"/>
                <w:kern w:val="0"/>
                <w:szCs w:val="21"/>
                <w:highlight w:val="none"/>
              </w:rPr>
            </w:pPr>
            <w:r>
              <w:rPr>
                <w:rFonts w:hint="eastAsia" w:ascii="宋体" w:hAnsi="宋体"/>
                <w:color w:val="auto"/>
                <w:kern w:val="0"/>
                <w:highlight w:val="none"/>
              </w:rPr>
              <w:t>技术部分</w:t>
            </w:r>
            <w:r>
              <w:rPr>
                <w:rFonts w:hint="eastAsia" w:ascii="宋体" w:hAnsi="宋体"/>
                <w:color w:val="auto"/>
                <w:kern w:val="0"/>
                <w:szCs w:val="21"/>
                <w:highlight w:val="none"/>
              </w:rPr>
              <w:t>评分的最终结果</w:t>
            </w:r>
            <w:r>
              <w:rPr>
                <w:rFonts w:ascii="宋体" w:hAnsi="宋体"/>
                <w:color w:val="auto"/>
                <w:kern w:val="0"/>
                <w:szCs w:val="21"/>
                <w:highlight w:val="none"/>
              </w:rPr>
              <w:t>取小数点后两位，第三位四舍五入。</w:t>
            </w:r>
          </w:p>
        </w:tc>
      </w:tr>
      <w:tr w14:paraId="46DA687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6" w:hRule="atLeast"/>
          <w:jc w:val="center"/>
        </w:trPr>
        <w:tc>
          <w:tcPr>
            <w:tcW w:w="768" w:type="dxa"/>
            <w:vMerge w:val="continue"/>
            <w:vAlign w:val="center"/>
          </w:tcPr>
          <w:p w14:paraId="38D55A9A">
            <w:pPr>
              <w:spacing w:line="400" w:lineRule="exact"/>
              <w:jc w:val="center"/>
              <w:rPr>
                <w:rFonts w:ascii="宋体" w:hAnsi="宋体"/>
                <w:color w:val="auto"/>
                <w:highlight w:val="none"/>
              </w:rPr>
            </w:pPr>
          </w:p>
        </w:tc>
        <w:tc>
          <w:tcPr>
            <w:tcW w:w="709" w:type="dxa"/>
            <w:vMerge w:val="continue"/>
            <w:vAlign w:val="center"/>
          </w:tcPr>
          <w:p w14:paraId="7CB5A35B">
            <w:pPr>
              <w:spacing w:line="400" w:lineRule="exact"/>
              <w:jc w:val="center"/>
              <w:rPr>
                <w:rFonts w:ascii="宋体" w:hAnsi="宋体"/>
                <w:color w:val="auto"/>
                <w:highlight w:val="none"/>
              </w:rPr>
            </w:pPr>
          </w:p>
        </w:tc>
        <w:tc>
          <w:tcPr>
            <w:tcW w:w="1134" w:type="dxa"/>
            <w:gridSpan w:val="3"/>
            <w:vMerge w:val="continue"/>
            <w:tcBorders>
              <w:right w:val="single" w:color="auto" w:sz="4" w:space="0"/>
            </w:tcBorders>
            <w:vAlign w:val="center"/>
          </w:tcPr>
          <w:p w14:paraId="5DE31F60">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vAlign w:val="center"/>
          </w:tcPr>
          <w:p w14:paraId="56CCD205">
            <w:pPr>
              <w:spacing w:line="400" w:lineRule="exact"/>
              <w:rPr>
                <w:rFonts w:ascii="宋体" w:hAnsi="宋体"/>
                <w:color w:val="auto"/>
                <w:szCs w:val="21"/>
                <w:highlight w:val="none"/>
              </w:rPr>
            </w:pPr>
            <w:r>
              <w:rPr>
                <w:rFonts w:hint="eastAsia"/>
                <w:color w:val="auto"/>
                <w:szCs w:val="21"/>
                <w:highlight w:val="none"/>
              </w:rPr>
              <w:t>项目实施重点</w:t>
            </w:r>
          </w:p>
        </w:tc>
        <w:tc>
          <w:tcPr>
            <w:tcW w:w="5492" w:type="dxa"/>
            <w:vMerge w:val="continue"/>
            <w:vAlign w:val="center"/>
          </w:tcPr>
          <w:p w14:paraId="61E23C61">
            <w:pPr>
              <w:autoSpaceDE w:val="0"/>
              <w:autoSpaceDN w:val="0"/>
              <w:adjustRightInd w:val="0"/>
              <w:snapToGrid w:val="0"/>
              <w:spacing w:line="400" w:lineRule="exact"/>
              <w:ind w:firstLine="420" w:firstLineChars="200"/>
              <w:rPr>
                <w:rFonts w:ascii="宋体" w:hAnsi="宋体"/>
                <w:color w:val="auto"/>
                <w:szCs w:val="21"/>
                <w:highlight w:val="none"/>
              </w:rPr>
            </w:pPr>
          </w:p>
        </w:tc>
      </w:tr>
      <w:tr w14:paraId="1C6940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51" w:hRule="atLeast"/>
          <w:jc w:val="center"/>
        </w:trPr>
        <w:tc>
          <w:tcPr>
            <w:tcW w:w="768" w:type="dxa"/>
            <w:vMerge w:val="continue"/>
            <w:vAlign w:val="center"/>
          </w:tcPr>
          <w:p w14:paraId="2ACAC96F">
            <w:pPr>
              <w:spacing w:line="400" w:lineRule="exact"/>
              <w:jc w:val="center"/>
              <w:rPr>
                <w:rFonts w:ascii="宋体" w:hAnsi="宋体"/>
                <w:color w:val="auto"/>
                <w:highlight w:val="none"/>
              </w:rPr>
            </w:pPr>
          </w:p>
        </w:tc>
        <w:tc>
          <w:tcPr>
            <w:tcW w:w="709" w:type="dxa"/>
            <w:vMerge w:val="continue"/>
            <w:vAlign w:val="center"/>
          </w:tcPr>
          <w:p w14:paraId="59FEE565">
            <w:pPr>
              <w:spacing w:line="400" w:lineRule="exact"/>
              <w:jc w:val="center"/>
              <w:rPr>
                <w:rFonts w:ascii="宋体" w:hAnsi="宋体"/>
                <w:color w:val="auto"/>
                <w:highlight w:val="none"/>
              </w:rPr>
            </w:pPr>
          </w:p>
        </w:tc>
        <w:tc>
          <w:tcPr>
            <w:tcW w:w="1134" w:type="dxa"/>
            <w:gridSpan w:val="3"/>
            <w:vMerge w:val="continue"/>
            <w:tcBorders>
              <w:right w:val="single" w:color="auto" w:sz="4" w:space="0"/>
            </w:tcBorders>
            <w:vAlign w:val="center"/>
          </w:tcPr>
          <w:p w14:paraId="55D88BE5">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vAlign w:val="center"/>
          </w:tcPr>
          <w:p w14:paraId="46BA9E9E">
            <w:pPr>
              <w:spacing w:line="400" w:lineRule="exact"/>
              <w:rPr>
                <w:rFonts w:ascii="宋体" w:hAnsi="宋体"/>
                <w:color w:val="auto"/>
                <w:kern w:val="0"/>
                <w:highlight w:val="none"/>
              </w:rPr>
            </w:pPr>
            <w:r>
              <w:rPr>
                <w:rFonts w:hint="eastAsia" w:ascii="宋体" w:hAnsi="宋体" w:cs="宋体"/>
                <w:color w:val="auto"/>
                <w:kern w:val="0"/>
                <w:szCs w:val="21"/>
                <w:highlight w:val="none"/>
              </w:rPr>
              <w:t>项目</w:t>
            </w:r>
            <w:r>
              <w:rPr>
                <w:rFonts w:hint="eastAsia"/>
                <w:color w:val="auto"/>
                <w:szCs w:val="21"/>
                <w:highlight w:val="none"/>
              </w:rPr>
              <w:t>管理要点</w:t>
            </w:r>
          </w:p>
        </w:tc>
        <w:tc>
          <w:tcPr>
            <w:tcW w:w="5492" w:type="dxa"/>
            <w:vMerge w:val="continue"/>
            <w:vAlign w:val="center"/>
          </w:tcPr>
          <w:p w14:paraId="252D4736">
            <w:pPr>
              <w:autoSpaceDE w:val="0"/>
              <w:autoSpaceDN w:val="0"/>
              <w:adjustRightInd w:val="0"/>
              <w:snapToGrid w:val="0"/>
              <w:spacing w:line="400" w:lineRule="exact"/>
              <w:ind w:firstLine="420" w:firstLineChars="200"/>
              <w:rPr>
                <w:rFonts w:ascii="宋体" w:hAnsi="宋体"/>
                <w:color w:val="auto"/>
                <w:szCs w:val="21"/>
                <w:highlight w:val="none"/>
              </w:rPr>
            </w:pPr>
          </w:p>
        </w:tc>
      </w:tr>
      <w:tr w14:paraId="39F3C2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585" w:hRule="atLeast"/>
          <w:jc w:val="center"/>
        </w:trPr>
        <w:tc>
          <w:tcPr>
            <w:tcW w:w="768" w:type="dxa"/>
            <w:vMerge w:val="continue"/>
            <w:vAlign w:val="center"/>
          </w:tcPr>
          <w:p w14:paraId="5AB00ABB">
            <w:pPr>
              <w:spacing w:line="400" w:lineRule="exact"/>
              <w:jc w:val="center"/>
              <w:rPr>
                <w:rFonts w:ascii="宋体" w:hAnsi="宋体"/>
                <w:color w:val="auto"/>
                <w:highlight w:val="none"/>
              </w:rPr>
            </w:pPr>
          </w:p>
        </w:tc>
        <w:tc>
          <w:tcPr>
            <w:tcW w:w="709" w:type="dxa"/>
            <w:vMerge w:val="continue"/>
            <w:vAlign w:val="center"/>
          </w:tcPr>
          <w:p w14:paraId="08DC0B95">
            <w:pPr>
              <w:spacing w:line="400" w:lineRule="exact"/>
              <w:jc w:val="center"/>
              <w:rPr>
                <w:rFonts w:ascii="宋体" w:hAnsi="宋体"/>
                <w:color w:val="auto"/>
                <w:highlight w:val="none"/>
              </w:rPr>
            </w:pPr>
          </w:p>
        </w:tc>
        <w:tc>
          <w:tcPr>
            <w:tcW w:w="1134" w:type="dxa"/>
            <w:gridSpan w:val="3"/>
            <w:vMerge w:val="continue"/>
            <w:tcBorders>
              <w:right w:val="single" w:color="auto" w:sz="4" w:space="0"/>
            </w:tcBorders>
            <w:vAlign w:val="center"/>
          </w:tcPr>
          <w:p w14:paraId="728A62D5">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vAlign w:val="center"/>
          </w:tcPr>
          <w:p w14:paraId="36E3E182">
            <w:pPr>
              <w:spacing w:line="400" w:lineRule="exact"/>
              <w:rPr>
                <w:rFonts w:ascii="宋体" w:hAnsi="宋体" w:cs="宋体"/>
                <w:color w:val="auto"/>
                <w:kern w:val="0"/>
                <w:szCs w:val="21"/>
                <w:highlight w:val="none"/>
              </w:rPr>
            </w:pPr>
            <w:r>
              <w:rPr>
                <w:rFonts w:hint="eastAsia" w:ascii="宋体" w:hAnsi="宋体" w:cs="宋体"/>
                <w:color w:val="auto"/>
                <w:kern w:val="0"/>
                <w:highlight w:val="none"/>
              </w:rPr>
              <w:t>□设计方案</w:t>
            </w:r>
          </w:p>
        </w:tc>
        <w:tc>
          <w:tcPr>
            <w:tcW w:w="5492" w:type="dxa"/>
            <w:vMerge w:val="continue"/>
            <w:vAlign w:val="center"/>
          </w:tcPr>
          <w:p w14:paraId="2CD00F3D">
            <w:pPr>
              <w:autoSpaceDE w:val="0"/>
              <w:autoSpaceDN w:val="0"/>
              <w:adjustRightInd w:val="0"/>
              <w:snapToGrid w:val="0"/>
              <w:spacing w:line="400" w:lineRule="exact"/>
              <w:ind w:firstLine="420" w:firstLineChars="200"/>
              <w:rPr>
                <w:rFonts w:ascii="宋体" w:hAnsi="宋体"/>
                <w:color w:val="auto"/>
                <w:szCs w:val="21"/>
                <w:highlight w:val="none"/>
              </w:rPr>
            </w:pPr>
          </w:p>
        </w:tc>
      </w:tr>
      <w:tr w14:paraId="76659EA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768" w:type="dxa"/>
            <w:vMerge w:val="continue"/>
            <w:vAlign w:val="center"/>
          </w:tcPr>
          <w:p w14:paraId="15A0E370">
            <w:pPr>
              <w:spacing w:line="400" w:lineRule="exact"/>
              <w:jc w:val="center"/>
              <w:rPr>
                <w:rFonts w:ascii="宋体" w:hAnsi="宋体"/>
                <w:color w:val="auto"/>
                <w:highlight w:val="none"/>
              </w:rPr>
            </w:pPr>
          </w:p>
        </w:tc>
        <w:tc>
          <w:tcPr>
            <w:tcW w:w="709" w:type="dxa"/>
            <w:vMerge w:val="continue"/>
            <w:vAlign w:val="center"/>
          </w:tcPr>
          <w:p w14:paraId="77FA6CEE">
            <w:pPr>
              <w:spacing w:line="400" w:lineRule="exact"/>
              <w:jc w:val="center"/>
              <w:rPr>
                <w:rFonts w:ascii="宋体" w:hAnsi="宋体"/>
                <w:color w:val="auto"/>
                <w:highlight w:val="none"/>
              </w:rPr>
            </w:pPr>
          </w:p>
        </w:tc>
        <w:tc>
          <w:tcPr>
            <w:tcW w:w="1134" w:type="dxa"/>
            <w:gridSpan w:val="3"/>
            <w:vMerge w:val="continue"/>
            <w:tcBorders>
              <w:bottom w:val="single" w:color="auto" w:sz="4" w:space="0"/>
              <w:right w:val="single" w:color="auto" w:sz="4" w:space="0"/>
            </w:tcBorders>
            <w:vAlign w:val="center"/>
          </w:tcPr>
          <w:p w14:paraId="7DEF6F9E">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vAlign w:val="center"/>
          </w:tcPr>
          <w:p w14:paraId="7EAE9A40">
            <w:pPr>
              <w:snapToGrid w:val="0"/>
              <w:spacing w:line="400" w:lineRule="exac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2" w:type="dxa"/>
            <w:vMerge w:val="continue"/>
            <w:vAlign w:val="center"/>
          </w:tcPr>
          <w:p w14:paraId="57905E9A">
            <w:pPr>
              <w:autoSpaceDE w:val="0"/>
              <w:autoSpaceDN w:val="0"/>
              <w:adjustRightInd w:val="0"/>
              <w:snapToGrid w:val="0"/>
              <w:spacing w:line="400" w:lineRule="exact"/>
              <w:ind w:firstLine="420" w:firstLineChars="200"/>
              <w:rPr>
                <w:rFonts w:ascii="宋体" w:hAnsi="宋体"/>
                <w:color w:val="auto"/>
                <w:szCs w:val="21"/>
                <w:highlight w:val="none"/>
              </w:rPr>
            </w:pPr>
          </w:p>
        </w:tc>
      </w:tr>
      <w:tr w14:paraId="2A3B64F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18" w:hRule="atLeast"/>
          <w:jc w:val="center"/>
        </w:trPr>
        <w:tc>
          <w:tcPr>
            <w:tcW w:w="768" w:type="dxa"/>
            <w:vMerge w:val="continue"/>
            <w:vAlign w:val="center"/>
          </w:tcPr>
          <w:p w14:paraId="7BA7ED40">
            <w:pPr>
              <w:spacing w:line="400" w:lineRule="exact"/>
              <w:jc w:val="center"/>
              <w:rPr>
                <w:rFonts w:ascii="宋体" w:hAnsi="宋体"/>
                <w:color w:val="auto"/>
                <w:highlight w:val="none"/>
              </w:rPr>
            </w:pPr>
          </w:p>
        </w:tc>
        <w:tc>
          <w:tcPr>
            <w:tcW w:w="709" w:type="dxa"/>
            <w:vMerge w:val="continue"/>
            <w:vAlign w:val="center"/>
          </w:tcPr>
          <w:p w14:paraId="2040B783">
            <w:pPr>
              <w:spacing w:line="400" w:lineRule="exact"/>
              <w:jc w:val="center"/>
              <w:rPr>
                <w:rFonts w:ascii="宋体" w:hAnsi="宋体"/>
                <w:color w:val="auto"/>
                <w:highlight w:val="none"/>
              </w:rPr>
            </w:pPr>
          </w:p>
        </w:tc>
        <w:tc>
          <w:tcPr>
            <w:tcW w:w="1134" w:type="dxa"/>
            <w:gridSpan w:val="3"/>
            <w:vMerge w:val="restart"/>
            <w:tcBorders>
              <w:top w:val="single" w:color="auto" w:sz="4" w:space="0"/>
              <w:right w:val="single" w:color="auto" w:sz="4" w:space="0"/>
            </w:tcBorders>
            <w:vAlign w:val="center"/>
          </w:tcPr>
          <w:p w14:paraId="5CCBD61E">
            <w:pPr>
              <w:tabs>
                <w:tab w:val="left" w:pos="1875"/>
              </w:tabs>
              <w:spacing w:line="400" w:lineRule="exact"/>
              <w:jc w:val="center"/>
              <w:rPr>
                <w:rFonts w:ascii="宋体" w:hAnsi="宋体"/>
                <w:color w:val="auto"/>
                <w:kern w:val="0"/>
                <w:highlight w:val="none"/>
              </w:rPr>
            </w:pPr>
            <w:r>
              <w:rPr>
                <w:rFonts w:hint="eastAsia" w:ascii="宋体" w:hAnsi="宋体" w:cs="宋体"/>
                <w:color w:val="auto"/>
                <w:kern w:val="0"/>
                <w:highlight w:val="none"/>
              </w:rPr>
              <w:t>□施工组织设计</w:t>
            </w:r>
          </w:p>
        </w:tc>
        <w:tc>
          <w:tcPr>
            <w:tcW w:w="1370" w:type="dxa"/>
            <w:tcBorders>
              <w:top w:val="single" w:color="auto" w:sz="4" w:space="0"/>
              <w:left w:val="single" w:color="auto" w:sz="4" w:space="0"/>
              <w:bottom w:val="single" w:color="auto" w:sz="4" w:space="0"/>
            </w:tcBorders>
            <w:vAlign w:val="center"/>
          </w:tcPr>
          <w:p w14:paraId="3DAD6DC4">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施工方案与技术措施</w:t>
            </w:r>
          </w:p>
        </w:tc>
        <w:tc>
          <w:tcPr>
            <w:tcW w:w="5492" w:type="dxa"/>
            <w:vMerge w:val="continue"/>
            <w:vAlign w:val="center"/>
          </w:tcPr>
          <w:p w14:paraId="7E8B4F96">
            <w:pPr>
              <w:autoSpaceDE w:val="0"/>
              <w:autoSpaceDN w:val="0"/>
              <w:adjustRightInd w:val="0"/>
              <w:snapToGrid w:val="0"/>
              <w:spacing w:line="400" w:lineRule="exact"/>
              <w:ind w:firstLine="420" w:firstLineChars="200"/>
              <w:rPr>
                <w:rFonts w:ascii="宋体" w:hAnsi="宋体"/>
                <w:color w:val="auto"/>
                <w:szCs w:val="21"/>
                <w:highlight w:val="none"/>
              </w:rPr>
            </w:pPr>
          </w:p>
        </w:tc>
      </w:tr>
      <w:tr w14:paraId="468F50D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02" w:hRule="atLeast"/>
          <w:jc w:val="center"/>
        </w:trPr>
        <w:tc>
          <w:tcPr>
            <w:tcW w:w="768" w:type="dxa"/>
            <w:vMerge w:val="continue"/>
            <w:vAlign w:val="center"/>
          </w:tcPr>
          <w:p w14:paraId="53CA8C69">
            <w:pPr>
              <w:spacing w:line="400" w:lineRule="exact"/>
              <w:jc w:val="center"/>
              <w:rPr>
                <w:rFonts w:ascii="宋体" w:hAnsi="宋体"/>
                <w:color w:val="auto"/>
                <w:highlight w:val="none"/>
              </w:rPr>
            </w:pPr>
          </w:p>
        </w:tc>
        <w:tc>
          <w:tcPr>
            <w:tcW w:w="709" w:type="dxa"/>
            <w:vMerge w:val="continue"/>
            <w:vAlign w:val="center"/>
          </w:tcPr>
          <w:p w14:paraId="5B2B3A17">
            <w:pPr>
              <w:spacing w:line="400" w:lineRule="exact"/>
              <w:jc w:val="center"/>
              <w:rPr>
                <w:rFonts w:ascii="宋体" w:hAnsi="宋体"/>
                <w:color w:val="auto"/>
                <w:highlight w:val="none"/>
              </w:rPr>
            </w:pPr>
          </w:p>
        </w:tc>
        <w:tc>
          <w:tcPr>
            <w:tcW w:w="1134" w:type="dxa"/>
            <w:gridSpan w:val="3"/>
            <w:vMerge w:val="continue"/>
            <w:tcBorders>
              <w:right w:val="single" w:color="auto" w:sz="4" w:space="0"/>
            </w:tcBorders>
            <w:vAlign w:val="center"/>
          </w:tcPr>
          <w:p w14:paraId="1FA4A527">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vAlign w:val="center"/>
          </w:tcPr>
          <w:p w14:paraId="389C49F3">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质量</w:t>
            </w:r>
            <w:r>
              <w:rPr>
                <w:rFonts w:hint="eastAsia" w:ascii="宋体" w:hAnsi="宋体"/>
                <w:color w:val="auto"/>
                <w:kern w:val="0"/>
                <w:highlight w:val="none"/>
              </w:rPr>
              <w:t>、安全、环境管理</w:t>
            </w:r>
            <w:r>
              <w:rPr>
                <w:rFonts w:ascii="宋体" w:hAnsi="宋体"/>
                <w:color w:val="auto"/>
                <w:kern w:val="0"/>
                <w:highlight w:val="none"/>
              </w:rPr>
              <w:t>与措施</w:t>
            </w:r>
          </w:p>
        </w:tc>
        <w:tc>
          <w:tcPr>
            <w:tcW w:w="5492" w:type="dxa"/>
            <w:vMerge w:val="continue"/>
            <w:vAlign w:val="center"/>
          </w:tcPr>
          <w:p w14:paraId="76936B1A">
            <w:pPr>
              <w:autoSpaceDE w:val="0"/>
              <w:autoSpaceDN w:val="0"/>
              <w:adjustRightInd w:val="0"/>
              <w:snapToGrid w:val="0"/>
              <w:spacing w:line="400" w:lineRule="exact"/>
              <w:ind w:firstLine="420" w:firstLineChars="200"/>
              <w:rPr>
                <w:rFonts w:ascii="宋体" w:hAnsi="宋体"/>
                <w:color w:val="auto"/>
                <w:szCs w:val="21"/>
                <w:highlight w:val="none"/>
              </w:rPr>
            </w:pPr>
          </w:p>
        </w:tc>
      </w:tr>
      <w:tr w14:paraId="1B45C05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4D0F668D">
            <w:pPr>
              <w:spacing w:line="400" w:lineRule="exact"/>
              <w:jc w:val="center"/>
              <w:rPr>
                <w:rFonts w:ascii="宋体" w:hAnsi="宋体"/>
                <w:color w:val="auto"/>
                <w:highlight w:val="none"/>
              </w:rPr>
            </w:pPr>
          </w:p>
        </w:tc>
        <w:tc>
          <w:tcPr>
            <w:tcW w:w="709" w:type="dxa"/>
            <w:vMerge w:val="continue"/>
            <w:vAlign w:val="center"/>
          </w:tcPr>
          <w:p w14:paraId="510087C2">
            <w:pPr>
              <w:spacing w:line="400" w:lineRule="exact"/>
              <w:jc w:val="center"/>
              <w:rPr>
                <w:rFonts w:ascii="宋体" w:hAnsi="宋体"/>
                <w:color w:val="auto"/>
                <w:highlight w:val="none"/>
              </w:rPr>
            </w:pPr>
          </w:p>
        </w:tc>
        <w:tc>
          <w:tcPr>
            <w:tcW w:w="1134" w:type="dxa"/>
            <w:gridSpan w:val="3"/>
            <w:vMerge w:val="continue"/>
            <w:tcBorders>
              <w:right w:val="single" w:color="auto" w:sz="4" w:space="0"/>
            </w:tcBorders>
          </w:tcPr>
          <w:p w14:paraId="061E14E8">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vAlign w:val="center"/>
          </w:tcPr>
          <w:p w14:paraId="41A1A1D3">
            <w:pPr>
              <w:tabs>
                <w:tab w:val="left" w:pos="1875"/>
              </w:tabs>
              <w:spacing w:line="400" w:lineRule="exact"/>
              <w:jc w:val="left"/>
              <w:rPr>
                <w:rFonts w:ascii="宋体" w:hAnsi="宋体"/>
                <w:color w:val="auto"/>
                <w:kern w:val="0"/>
                <w:highlight w:val="none"/>
              </w:rPr>
            </w:pPr>
            <w:r>
              <w:rPr>
                <w:rFonts w:ascii="宋体" w:hAnsi="宋体"/>
                <w:color w:val="auto"/>
                <w:kern w:val="0"/>
                <w:highlight w:val="none"/>
              </w:rPr>
              <w:t>工程进度计划与</w:t>
            </w:r>
            <w:r>
              <w:rPr>
                <w:rFonts w:hint="eastAsia" w:ascii="宋体" w:hAnsi="宋体"/>
                <w:color w:val="auto"/>
                <w:kern w:val="0"/>
                <w:highlight w:val="none"/>
              </w:rPr>
              <w:t>资源配备</w:t>
            </w:r>
          </w:p>
        </w:tc>
        <w:tc>
          <w:tcPr>
            <w:tcW w:w="5492" w:type="dxa"/>
            <w:vMerge w:val="continue"/>
            <w:vAlign w:val="center"/>
          </w:tcPr>
          <w:p w14:paraId="3DED6B4E">
            <w:pPr>
              <w:autoSpaceDE w:val="0"/>
              <w:autoSpaceDN w:val="0"/>
              <w:adjustRightInd w:val="0"/>
              <w:snapToGrid w:val="0"/>
              <w:spacing w:line="400" w:lineRule="exact"/>
              <w:ind w:firstLine="420" w:firstLineChars="200"/>
              <w:rPr>
                <w:rFonts w:ascii="宋体" w:hAnsi="宋体"/>
                <w:color w:val="auto"/>
                <w:szCs w:val="21"/>
                <w:highlight w:val="none"/>
              </w:rPr>
            </w:pPr>
          </w:p>
        </w:tc>
      </w:tr>
      <w:tr w14:paraId="42D0B36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301D5982">
            <w:pPr>
              <w:spacing w:line="400" w:lineRule="exact"/>
              <w:jc w:val="center"/>
              <w:rPr>
                <w:rFonts w:ascii="宋体" w:hAnsi="宋体"/>
                <w:color w:val="auto"/>
                <w:highlight w:val="none"/>
              </w:rPr>
            </w:pPr>
          </w:p>
        </w:tc>
        <w:tc>
          <w:tcPr>
            <w:tcW w:w="709" w:type="dxa"/>
            <w:vMerge w:val="continue"/>
            <w:vAlign w:val="center"/>
          </w:tcPr>
          <w:p w14:paraId="6864F74D">
            <w:pPr>
              <w:spacing w:line="400" w:lineRule="exact"/>
              <w:jc w:val="center"/>
              <w:rPr>
                <w:rFonts w:ascii="宋体" w:hAnsi="宋体"/>
                <w:color w:val="auto"/>
                <w:highlight w:val="none"/>
              </w:rPr>
            </w:pPr>
          </w:p>
        </w:tc>
        <w:tc>
          <w:tcPr>
            <w:tcW w:w="1134" w:type="dxa"/>
            <w:gridSpan w:val="3"/>
            <w:vMerge w:val="continue"/>
            <w:tcBorders>
              <w:right w:val="single" w:color="auto" w:sz="4" w:space="0"/>
            </w:tcBorders>
          </w:tcPr>
          <w:p w14:paraId="0FE4D001">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tcPr>
          <w:p w14:paraId="309FE161">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□危大工程清单安全管理措施</w:t>
            </w:r>
          </w:p>
        </w:tc>
        <w:tc>
          <w:tcPr>
            <w:tcW w:w="5492" w:type="dxa"/>
            <w:vMerge w:val="continue"/>
            <w:vAlign w:val="center"/>
          </w:tcPr>
          <w:p w14:paraId="07206AE3">
            <w:pPr>
              <w:autoSpaceDE w:val="0"/>
              <w:autoSpaceDN w:val="0"/>
              <w:adjustRightInd w:val="0"/>
              <w:snapToGrid w:val="0"/>
              <w:spacing w:line="400" w:lineRule="exact"/>
              <w:ind w:firstLine="420" w:firstLineChars="200"/>
              <w:rPr>
                <w:rFonts w:ascii="宋体" w:hAnsi="宋体"/>
                <w:color w:val="auto"/>
                <w:szCs w:val="21"/>
                <w:highlight w:val="none"/>
              </w:rPr>
            </w:pPr>
          </w:p>
        </w:tc>
      </w:tr>
      <w:tr w14:paraId="041A8C8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595FD70C">
            <w:pPr>
              <w:spacing w:line="400" w:lineRule="exact"/>
              <w:jc w:val="center"/>
              <w:rPr>
                <w:rFonts w:ascii="宋体" w:hAnsi="宋体"/>
                <w:color w:val="auto"/>
                <w:highlight w:val="none"/>
              </w:rPr>
            </w:pPr>
          </w:p>
        </w:tc>
        <w:tc>
          <w:tcPr>
            <w:tcW w:w="709" w:type="dxa"/>
            <w:vMerge w:val="continue"/>
            <w:vAlign w:val="center"/>
          </w:tcPr>
          <w:p w14:paraId="51B03BD3">
            <w:pPr>
              <w:spacing w:line="400" w:lineRule="exact"/>
              <w:jc w:val="center"/>
              <w:rPr>
                <w:rFonts w:ascii="宋体" w:hAnsi="宋体"/>
                <w:color w:val="auto"/>
                <w:highlight w:val="none"/>
              </w:rPr>
            </w:pPr>
          </w:p>
        </w:tc>
        <w:tc>
          <w:tcPr>
            <w:tcW w:w="1134" w:type="dxa"/>
            <w:gridSpan w:val="3"/>
            <w:vMerge w:val="continue"/>
            <w:tcBorders>
              <w:right w:val="single" w:color="auto" w:sz="4" w:space="0"/>
            </w:tcBorders>
          </w:tcPr>
          <w:p w14:paraId="71ED49DD">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tcPr>
          <w:p w14:paraId="421DD2E9">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□BIM、智慧工地建设管理方案及措施</w:t>
            </w:r>
          </w:p>
        </w:tc>
        <w:tc>
          <w:tcPr>
            <w:tcW w:w="5492" w:type="dxa"/>
            <w:vMerge w:val="continue"/>
            <w:vAlign w:val="center"/>
          </w:tcPr>
          <w:p w14:paraId="45F8C28D">
            <w:pPr>
              <w:autoSpaceDE w:val="0"/>
              <w:autoSpaceDN w:val="0"/>
              <w:adjustRightInd w:val="0"/>
              <w:snapToGrid w:val="0"/>
              <w:spacing w:line="400" w:lineRule="exact"/>
              <w:ind w:firstLine="420" w:firstLineChars="200"/>
              <w:rPr>
                <w:rFonts w:ascii="宋体" w:hAnsi="宋体"/>
                <w:color w:val="auto"/>
                <w:szCs w:val="21"/>
                <w:highlight w:val="none"/>
              </w:rPr>
            </w:pPr>
          </w:p>
        </w:tc>
      </w:tr>
      <w:tr w14:paraId="29D074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2F320A69">
            <w:pPr>
              <w:spacing w:line="400" w:lineRule="exact"/>
              <w:jc w:val="center"/>
              <w:rPr>
                <w:rFonts w:ascii="宋体" w:hAnsi="宋体"/>
                <w:color w:val="auto"/>
                <w:highlight w:val="none"/>
              </w:rPr>
            </w:pPr>
          </w:p>
        </w:tc>
        <w:tc>
          <w:tcPr>
            <w:tcW w:w="709" w:type="dxa"/>
            <w:vMerge w:val="continue"/>
            <w:vAlign w:val="center"/>
          </w:tcPr>
          <w:p w14:paraId="73C9CF69">
            <w:pPr>
              <w:spacing w:line="400" w:lineRule="exact"/>
              <w:jc w:val="center"/>
              <w:rPr>
                <w:rFonts w:ascii="宋体" w:hAnsi="宋体"/>
                <w:color w:val="auto"/>
                <w:highlight w:val="none"/>
              </w:rPr>
            </w:pPr>
          </w:p>
        </w:tc>
        <w:tc>
          <w:tcPr>
            <w:tcW w:w="1134" w:type="dxa"/>
            <w:gridSpan w:val="3"/>
            <w:vMerge w:val="continue"/>
            <w:tcBorders>
              <w:bottom w:val="single" w:color="auto" w:sz="4" w:space="0"/>
              <w:right w:val="single" w:color="auto" w:sz="4" w:space="0"/>
            </w:tcBorders>
          </w:tcPr>
          <w:p w14:paraId="1B47A38C">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tcPr>
          <w:p w14:paraId="2FF5D6AD">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2" w:type="dxa"/>
            <w:vMerge w:val="continue"/>
            <w:vAlign w:val="center"/>
          </w:tcPr>
          <w:p w14:paraId="24941840">
            <w:pPr>
              <w:autoSpaceDE w:val="0"/>
              <w:autoSpaceDN w:val="0"/>
              <w:adjustRightInd w:val="0"/>
              <w:snapToGrid w:val="0"/>
              <w:spacing w:line="400" w:lineRule="exact"/>
              <w:ind w:firstLine="420" w:firstLineChars="200"/>
              <w:rPr>
                <w:rFonts w:ascii="宋体" w:hAnsi="宋体"/>
                <w:color w:val="auto"/>
                <w:szCs w:val="21"/>
                <w:highlight w:val="none"/>
              </w:rPr>
            </w:pPr>
          </w:p>
        </w:tc>
      </w:tr>
      <w:tr w14:paraId="5D8AA79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3B503122">
            <w:pPr>
              <w:spacing w:line="400" w:lineRule="exact"/>
              <w:jc w:val="center"/>
              <w:rPr>
                <w:rFonts w:ascii="宋体" w:hAnsi="宋体"/>
                <w:color w:val="auto"/>
                <w:highlight w:val="none"/>
              </w:rPr>
            </w:pPr>
          </w:p>
        </w:tc>
        <w:tc>
          <w:tcPr>
            <w:tcW w:w="709" w:type="dxa"/>
            <w:vMerge w:val="continue"/>
            <w:vAlign w:val="center"/>
          </w:tcPr>
          <w:p w14:paraId="569C7406">
            <w:pPr>
              <w:spacing w:line="400" w:lineRule="exact"/>
              <w:jc w:val="center"/>
              <w:rPr>
                <w:rFonts w:ascii="宋体" w:hAnsi="宋体"/>
                <w:color w:val="auto"/>
                <w:highlight w:val="none"/>
              </w:rPr>
            </w:pPr>
          </w:p>
        </w:tc>
        <w:tc>
          <w:tcPr>
            <w:tcW w:w="1134" w:type="dxa"/>
            <w:gridSpan w:val="3"/>
            <w:vMerge w:val="restart"/>
            <w:tcBorders>
              <w:right w:val="single" w:color="auto" w:sz="4" w:space="0"/>
            </w:tcBorders>
            <w:vAlign w:val="center"/>
          </w:tcPr>
          <w:p w14:paraId="681F3B12">
            <w:pPr>
              <w:spacing w:line="400" w:lineRule="exact"/>
              <w:jc w:val="center"/>
              <w:rPr>
                <w:rFonts w:ascii="宋体" w:hAnsi="宋体"/>
                <w:color w:val="auto"/>
                <w:highlight w:val="none"/>
              </w:rPr>
            </w:pPr>
            <w:r>
              <w:rPr>
                <w:rFonts w:hint="eastAsia" w:ascii="宋体" w:hAnsi="宋体" w:cs="宋体"/>
                <w:color w:val="auto"/>
                <w:kern w:val="0"/>
                <w:highlight w:val="none"/>
              </w:rPr>
              <w:t>□设备材料技术性能</w:t>
            </w:r>
          </w:p>
        </w:tc>
        <w:tc>
          <w:tcPr>
            <w:tcW w:w="1370" w:type="dxa"/>
            <w:tcBorders>
              <w:top w:val="single" w:color="auto" w:sz="4" w:space="0"/>
              <w:left w:val="single" w:color="auto" w:sz="4" w:space="0"/>
              <w:bottom w:val="single" w:color="auto" w:sz="4" w:space="0"/>
            </w:tcBorders>
          </w:tcPr>
          <w:p w14:paraId="37348220">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设备材料功能和技术性能</w:t>
            </w:r>
          </w:p>
        </w:tc>
        <w:tc>
          <w:tcPr>
            <w:tcW w:w="5492" w:type="dxa"/>
            <w:vMerge w:val="continue"/>
            <w:vAlign w:val="center"/>
          </w:tcPr>
          <w:p w14:paraId="4E662822">
            <w:pPr>
              <w:autoSpaceDE w:val="0"/>
              <w:autoSpaceDN w:val="0"/>
              <w:adjustRightInd w:val="0"/>
              <w:snapToGrid w:val="0"/>
              <w:spacing w:line="400" w:lineRule="exact"/>
              <w:ind w:firstLine="420" w:firstLineChars="200"/>
              <w:rPr>
                <w:rFonts w:ascii="宋体" w:hAnsi="宋体"/>
                <w:color w:val="auto"/>
                <w:szCs w:val="21"/>
                <w:highlight w:val="none"/>
              </w:rPr>
            </w:pPr>
          </w:p>
        </w:tc>
      </w:tr>
      <w:tr w14:paraId="081CEF8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61EA2394">
            <w:pPr>
              <w:spacing w:line="400" w:lineRule="exact"/>
              <w:jc w:val="center"/>
              <w:rPr>
                <w:rFonts w:ascii="宋体" w:hAnsi="宋体"/>
                <w:color w:val="auto"/>
                <w:highlight w:val="none"/>
              </w:rPr>
            </w:pPr>
          </w:p>
        </w:tc>
        <w:tc>
          <w:tcPr>
            <w:tcW w:w="709" w:type="dxa"/>
            <w:vMerge w:val="continue"/>
            <w:vAlign w:val="center"/>
          </w:tcPr>
          <w:p w14:paraId="52D2E777">
            <w:pPr>
              <w:spacing w:line="400" w:lineRule="exact"/>
              <w:jc w:val="center"/>
              <w:rPr>
                <w:rFonts w:ascii="宋体" w:hAnsi="宋体"/>
                <w:color w:val="auto"/>
                <w:highlight w:val="none"/>
              </w:rPr>
            </w:pPr>
          </w:p>
        </w:tc>
        <w:tc>
          <w:tcPr>
            <w:tcW w:w="1134" w:type="dxa"/>
            <w:gridSpan w:val="3"/>
            <w:vMerge w:val="continue"/>
            <w:tcBorders>
              <w:right w:val="single" w:color="auto" w:sz="4" w:space="0"/>
            </w:tcBorders>
          </w:tcPr>
          <w:p w14:paraId="7A056F2B">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tcPr>
          <w:p w14:paraId="6D5ECC36">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□节能环保</w:t>
            </w:r>
          </w:p>
        </w:tc>
        <w:tc>
          <w:tcPr>
            <w:tcW w:w="5492" w:type="dxa"/>
            <w:vMerge w:val="continue"/>
            <w:vAlign w:val="center"/>
          </w:tcPr>
          <w:p w14:paraId="306B6954">
            <w:pPr>
              <w:autoSpaceDE w:val="0"/>
              <w:autoSpaceDN w:val="0"/>
              <w:adjustRightInd w:val="0"/>
              <w:snapToGrid w:val="0"/>
              <w:spacing w:line="400" w:lineRule="exact"/>
              <w:ind w:firstLine="420" w:firstLineChars="200"/>
              <w:rPr>
                <w:rFonts w:ascii="宋体" w:hAnsi="宋体"/>
                <w:color w:val="auto"/>
                <w:szCs w:val="21"/>
                <w:highlight w:val="none"/>
              </w:rPr>
            </w:pPr>
          </w:p>
        </w:tc>
      </w:tr>
      <w:tr w14:paraId="62FAD07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76387887">
            <w:pPr>
              <w:spacing w:line="400" w:lineRule="exact"/>
              <w:jc w:val="center"/>
              <w:rPr>
                <w:rFonts w:ascii="宋体" w:hAnsi="宋体"/>
                <w:color w:val="auto"/>
                <w:highlight w:val="none"/>
              </w:rPr>
            </w:pPr>
          </w:p>
        </w:tc>
        <w:tc>
          <w:tcPr>
            <w:tcW w:w="709" w:type="dxa"/>
            <w:vMerge w:val="continue"/>
            <w:vAlign w:val="center"/>
          </w:tcPr>
          <w:p w14:paraId="425A11CD">
            <w:pPr>
              <w:spacing w:line="400" w:lineRule="exact"/>
              <w:jc w:val="center"/>
              <w:rPr>
                <w:rFonts w:ascii="宋体" w:hAnsi="宋体"/>
                <w:color w:val="auto"/>
                <w:highlight w:val="none"/>
              </w:rPr>
            </w:pPr>
          </w:p>
        </w:tc>
        <w:tc>
          <w:tcPr>
            <w:tcW w:w="1134" w:type="dxa"/>
            <w:gridSpan w:val="3"/>
            <w:vMerge w:val="continue"/>
            <w:tcBorders>
              <w:right w:val="single" w:color="auto" w:sz="4" w:space="0"/>
            </w:tcBorders>
          </w:tcPr>
          <w:p w14:paraId="4EED013A">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tcPr>
          <w:p w14:paraId="7024A78F">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□售后维保</w:t>
            </w:r>
          </w:p>
        </w:tc>
        <w:tc>
          <w:tcPr>
            <w:tcW w:w="5492" w:type="dxa"/>
            <w:vMerge w:val="continue"/>
            <w:vAlign w:val="center"/>
          </w:tcPr>
          <w:p w14:paraId="65AAB13B">
            <w:pPr>
              <w:autoSpaceDE w:val="0"/>
              <w:autoSpaceDN w:val="0"/>
              <w:adjustRightInd w:val="0"/>
              <w:snapToGrid w:val="0"/>
              <w:spacing w:line="400" w:lineRule="exact"/>
              <w:ind w:firstLine="420" w:firstLineChars="200"/>
              <w:rPr>
                <w:rFonts w:ascii="宋体" w:hAnsi="宋体"/>
                <w:color w:val="auto"/>
                <w:szCs w:val="21"/>
                <w:highlight w:val="none"/>
              </w:rPr>
            </w:pPr>
          </w:p>
        </w:tc>
      </w:tr>
      <w:tr w14:paraId="6463C7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6E1C4CDC">
            <w:pPr>
              <w:spacing w:line="400" w:lineRule="exact"/>
              <w:jc w:val="center"/>
              <w:rPr>
                <w:rFonts w:ascii="宋体" w:hAnsi="宋体"/>
                <w:color w:val="auto"/>
                <w:highlight w:val="none"/>
              </w:rPr>
            </w:pPr>
          </w:p>
        </w:tc>
        <w:tc>
          <w:tcPr>
            <w:tcW w:w="709" w:type="dxa"/>
            <w:vMerge w:val="continue"/>
            <w:vAlign w:val="center"/>
          </w:tcPr>
          <w:p w14:paraId="5D9385C3">
            <w:pPr>
              <w:spacing w:line="400" w:lineRule="exact"/>
              <w:jc w:val="center"/>
              <w:rPr>
                <w:rFonts w:ascii="宋体" w:hAnsi="宋体"/>
                <w:color w:val="auto"/>
                <w:highlight w:val="none"/>
              </w:rPr>
            </w:pPr>
          </w:p>
        </w:tc>
        <w:tc>
          <w:tcPr>
            <w:tcW w:w="1134" w:type="dxa"/>
            <w:gridSpan w:val="3"/>
            <w:vMerge w:val="continue"/>
            <w:tcBorders>
              <w:right w:val="single" w:color="auto" w:sz="4" w:space="0"/>
            </w:tcBorders>
          </w:tcPr>
          <w:p w14:paraId="6408D856">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tcPr>
          <w:p w14:paraId="03258238">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□质量创优</w:t>
            </w:r>
          </w:p>
        </w:tc>
        <w:tc>
          <w:tcPr>
            <w:tcW w:w="5492" w:type="dxa"/>
            <w:vMerge w:val="continue"/>
            <w:vAlign w:val="center"/>
          </w:tcPr>
          <w:p w14:paraId="33998914">
            <w:pPr>
              <w:autoSpaceDE w:val="0"/>
              <w:autoSpaceDN w:val="0"/>
              <w:adjustRightInd w:val="0"/>
              <w:snapToGrid w:val="0"/>
              <w:spacing w:line="400" w:lineRule="exact"/>
              <w:ind w:firstLine="420" w:firstLineChars="200"/>
              <w:rPr>
                <w:rFonts w:ascii="宋体" w:hAnsi="宋体"/>
                <w:color w:val="auto"/>
                <w:szCs w:val="21"/>
                <w:highlight w:val="none"/>
              </w:rPr>
            </w:pPr>
          </w:p>
        </w:tc>
      </w:tr>
      <w:tr w14:paraId="3252CB6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58150B8A">
            <w:pPr>
              <w:spacing w:line="400" w:lineRule="exact"/>
              <w:jc w:val="center"/>
              <w:rPr>
                <w:rFonts w:ascii="宋体" w:hAnsi="宋体"/>
                <w:color w:val="auto"/>
                <w:highlight w:val="none"/>
              </w:rPr>
            </w:pPr>
          </w:p>
        </w:tc>
        <w:tc>
          <w:tcPr>
            <w:tcW w:w="709" w:type="dxa"/>
            <w:vMerge w:val="continue"/>
            <w:vAlign w:val="center"/>
          </w:tcPr>
          <w:p w14:paraId="58152E17">
            <w:pPr>
              <w:spacing w:line="400" w:lineRule="exact"/>
              <w:jc w:val="center"/>
              <w:rPr>
                <w:rFonts w:ascii="宋体" w:hAnsi="宋体"/>
                <w:color w:val="auto"/>
                <w:highlight w:val="none"/>
              </w:rPr>
            </w:pPr>
          </w:p>
        </w:tc>
        <w:tc>
          <w:tcPr>
            <w:tcW w:w="1134" w:type="dxa"/>
            <w:gridSpan w:val="3"/>
            <w:vMerge w:val="continue"/>
            <w:tcBorders>
              <w:bottom w:val="single" w:color="auto" w:sz="4" w:space="0"/>
              <w:right w:val="single" w:color="auto" w:sz="4" w:space="0"/>
            </w:tcBorders>
          </w:tcPr>
          <w:p w14:paraId="4F794AAD">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tcPr>
          <w:p w14:paraId="105C46C5">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2" w:type="dxa"/>
            <w:vMerge w:val="continue"/>
            <w:vAlign w:val="center"/>
          </w:tcPr>
          <w:p w14:paraId="17AA4F8E">
            <w:pPr>
              <w:autoSpaceDE w:val="0"/>
              <w:autoSpaceDN w:val="0"/>
              <w:adjustRightInd w:val="0"/>
              <w:snapToGrid w:val="0"/>
              <w:spacing w:line="400" w:lineRule="exact"/>
              <w:ind w:firstLine="420" w:firstLineChars="200"/>
              <w:rPr>
                <w:rFonts w:ascii="宋体" w:hAnsi="宋体"/>
                <w:color w:val="auto"/>
                <w:szCs w:val="21"/>
                <w:highlight w:val="none"/>
              </w:rPr>
            </w:pPr>
          </w:p>
        </w:tc>
      </w:tr>
      <w:tr w14:paraId="015FD23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936" w:hRule="atLeast"/>
          <w:jc w:val="center"/>
        </w:trPr>
        <w:tc>
          <w:tcPr>
            <w:tcW w:w="768" w:type="dxa"/>
            <w:vMerge w:val="continue"/>
            <w:vAlign w:val="center"/>
          </w:tcPr>
          <w:p w14:paraId="59CC1A8D">
            <w:pPr>
              <w:spacing w:line="400" w:lineRule="exact"/>
              <w:jc w:val="center"/>
              <w:rPr>
                <w:rFonts w:ascii="宋体" w:hAnsi="宋体"/>
                <w:color w:val="auto"/>
                <w:highlight w:val="none"/>
              </w:rPr>
            </w:pPr>
          </w:p>
        </w:tc>
        <w:tc>
          <w:tcPr>
            <w:tcW w:w="709" w:type="dxa"/>
            <w:vMerge w:val="continue"/>
            <w:vAlign w:val="center"/>
          </w:tcPr>
          <w:p w14:paraId="70E8F7C5">
            <w:pPr>
              <w:spacing w:line="400" w:lineRule="exact"/>
              <w:jc w:val="center"/>
              <w:rPr>
                <w:rFonts w:ascii="宋体" w:hAnsi="宋体"/>
                <w:color w:val="auto"/>
                <w:highlight w:val="none"/>
              </w:rPr>
            </w:pPr>
          </w:p>
        </w:tc>
        <w:tc>
          <w:tcPr>
            <w:tcW w:w="1134" w:type="dxa"/>
            <w:gridSpan w:val="3"/>
            <w:vMerge w:val="restart"/>
            <w:tcBorders>
              <w:top w:val="single" w:color="auto" w:sz="4" w:space="0"/>
              <w:right w:val="single" w:color="auto" w:sz="4" w:space="0"/>
            </w:tcBorders>
            <w:vAlign w:val="center"/>
          </w:tcPr>
          <w:p w14:paraId="773346BF">
            <w:pPr>
              <w:spacing w:line="400" w:lineRule="exact"/>
              <w:jc w:val="center"/>
              <w:rPr>
                <w:rFonts w:ascii="宋体" w:hAnsi="宋体"/>
                <w:color w:val="auto"/>
                <w:highlight w:val="none"/>
              </w:rPr>
            </w:pPr>
            <w:r>
              <w:rPr>
                <w:rFonts w:hint="eastAsia" w:ascii="宋体" w:hAnsi="宋体" w:cs="宋体"/>
                <w:color w:val="auto"/>
                <w:kern w:val="0"/>
                <w:highlight w:val="none"/>
              </w:rPr>
              <w:t>□</w:t>
            </w:r>
            <w:r>
              <w:rPr>
                <w:rFonts w:hint="eastAsia" w:ascii="宋体" w:hAnsi="宋体"/>
                <w:color w:val="auto"/>
                <w:kern w:val="0"/>
                <w:highlight w:val="none"/>
              </w:rPr>
              <w:t>投标人答辩</w:t>
            </w:r>
          </w:p>
        </w:tc>
        <w:tc>
          <w:tcPr>
            <w:tcW w:w="1370" w:type="dxa"/>
            <w:tcBorders>
              <w:top w:val="single" w:color="auto" w:sz="4" w:space="0"/>
              <w:left w:val="single" w:color="auto" w:sz="4" w:space="0"/>
              <w:bottom w:val="single" w:color="auto" w:sz="4" w:space="0"/>
            </w:tcBorders>
          </w:tcPr>
          <w:p w14:paraId="61EB5C3C">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□工程总承包项目经理答辩</w:t>
            </w:r>
          </w:p>
        </w:tc>
        <w:tc>
          <w:tcPr>
            <w:tcW w:w="5492" w:type="dxa"/>
            <w:vMerge w:val="restart"/>
            <w:vAlign w:val="center"/>
          </w:tcPr>
          <w:p w14:paraId="233FC982">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评标委员会按第2.2.</w:t>
            </w:r>
            <w:r>
              <w:rPr>
                <w:rFonts w:hint="eastAsia" w:ascii="宋体" w:hAnsi="宋体"/>
                <w:color w:val="auto"/>
                <w:szCs w:val="21"/>
                <w:highlight w:val="none"/>
              </w:rPr>
              <w:t>2（1）项</w:t>
            </w:r>
            <w:r>
              <w:rPr>
                <w:rFonts w:ascii="宋体" w:hAnsi="宋体"/>
                <w:color w:val="auto"/>
                <w:szCs w:val="21"/>
                <w:highlight w:val="none"/>
              </w:rPr>
              <w:t>各评审因素设定的分值评分。</w:t>
            </w:r>
          </w:p>
          <w:p w14:paraId="02614720">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投标人不参与答辩的，其答辩部分分值为0分；采用暗标评审的，若答辩过程中透露与投标人企业有关的任何信息的，其答辩部分分值为0分。</w:t>
            </w:r>
          </w:p>
          <w:p w14:paraId="52EE848B">
            <w:pPr>
              <w:autoSpaceDE w:val="0"/>
              <w:autoSpaceDN w:val="0"/>
              <w:adjustRightInd w:val="0"/>
              <w:snapToGrid w:val="0"/>
              <w:spacing w:line="400" w:lineRule="exact"/>
              <w:ind w:firstLine="420" w:firstLineChars="200"/>
              <w:rPr>
                <w:rFonts w:ascii="宋体" w:hAnsi="宋体"/>
                <w:color w:val="auto"/>
                <w:szCs w:val="21"/>
                <w:highlight w:val="none"/>
              </w:rPr>
            </w:pPr>
            <w:r>
              <w:rPr>
                <w:rFonts w:ascii="宋体" w:hAnsi="宋体"/>
                <w:color w:val="auto"/>
                <w:szCs w:val="21"/>
                <w:highlight w:val="none"/>
              </w:rPr>
              <w:t>评标委员会成员为5人及以上时，所有评委评分中去掉一个最高和一个最低分，余下评委评分取算术平均值为该投标人</w:t>
            </w:r>
            <w:r>
              <w:rPr>
                <w:rFonts w:hint="eastAsia" w:ascii="宋体" w:hAnsi="宋体"/>
                <w:color w:val="auto"/>
                <w:szCs w:val="21"/>
                <w:highlight w:val="none"/>
              </w:rPr>
              <w:t>答辩</w:t>
            </w:r>
            <w:r>
              <w:rPr>
                <w:rFonts w:ascii="宋体" w:hAnsi="宋体"/>
                <w:color w:val="auto"/>
                <w:szCs w:val="21"/>
                <w:highlight w:val="none"/>
              </w:rPr>
              <w:t>得分。</w:t>
            </w:r>
          </w:p>
          <w:p w14:paraId="36AD3FB9">
            <w:pPr>
              <w:autoSpaceDE w:val="0"/>
              <w:autoSpaceDN w:val="0"/>
              <w:adjustRightInd w:val="0"/>
              <w:snapToGrid w:val="0"/>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投标人</w:t>
            </w:r>
            <w:r>
              <w:rPr>
                <w:rFonts w:ascii="宋体" w:hAnsi="宋体"/>
                <w:color w:val="auto"/>
                <w:szCs w:val="21"/>
                <w:highlight w:val="none"/>
              </w:rPr>
              <w:t>答辩评分</w:t>
            </w:r>
            <w:r>
              <w:rPr>
                <w:rFonts w:hint="eastAsia" w:ascii="宋体" w:hAnsi="宋体"/>
                <w:color w:val="auto"/>
                <w:kern w:val="0"/>
                <w:szCs w:val="21"/>
                <w:highlight w:val="none"/>
              </w:rPr>
              <w:t>的最终结果</w:t>
            </w:r>
            <w:r>
              <w:rPr>
                <w:rFonts w:ascii="宋体" w:hAnsi="宋体"/>
                <w:color w:val="auto"/>
                <w:szCs w:val="21"/>
                <w:highlight w:val="none"/>
              </w:rPr>
              <w:t>取小数点后两位，第三位四舍五入。</w:t>
            </w:r>
          </w:p>
        </w:tc>
      </w:tr>
      <w:tr w14:paraId="7E36C7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966" w:hRule="atLeast"/>
          <w:jc w:val="center"/>
        </w:trPr>
        <w:tc>
          <w:tcPr>
            <w:tcW w:w="768" w:type="dxa"/>
            <w:vMerge w:val="continue"/>
            <w:vAlign w:val="center"/>
          </w:tcPr>
          <w:p w14:paraId="226AE257">
            <w:pPr>
              <w:spacing w:line="400" w:lineRule="exact"/>
              <w:jc w:val="center"/>
              <w:rPr>
                <w:rFonts w:ascii="宋体" w:hAnsi="宋体"/>
                <w:color w:val="auto"/>
                <w:highlight w:val="none"/>
              </w:rPr>
            </w:pPr>
          </w:p>
        </w:tc>
        <w:tc>
          <w:tcPr>
            <w:tcW w:w="709" w:type="dxa"/>
            <w:vMerge w:val="continue"/>
            <w:vAlign w:val="center"/>
          </w:tcPr>
          <w:p w14:paraId="58021E2E">
            <w:pPr>
              <w:spacing w:line="400" w:lineRule="exact"/>
              <w:jc w:val="center"/>
              <w:rPr>
                <w:rFonts w:ascii="宋体" w:hAnsi="宋体"/>
                <w:color w:val="auto"/>
                <w:highlight w:val="none"/>
              </w:rPr>
            </w:pPr>
          </w:p>
        </w:tc>
        <w:tc>
          <w:tcPr>
            <w:tcW w:w="1134" w:type="dxa"/>
            <w:gridSpan w:val="3"/>
            <w:vMerge w:val="continue"/>
            <w:tcBorders>
              <w:right w:val="single" w:color="auto" w:sz="4" w:space="0"/>
            </w:tcBorders>
          </w:tcPr>
          <w:p w14:paraId="3E8F9C86">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tcPr>
          <w:p w14:paraId="62944470">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□设计负责人答辩</w:t>
            </w:r>
          </w:p>
        </w:tc>
        <w:tc>
          <w:tcPr>
            <w:tcW w:w="5492" w:type="dxa"/>
            <w:vMerge w:val="continue"/>
            <w:vAlign w:val="center"/>
          </w:tcPr>
          <w:p w14:paraId="6DF6216A">
            <w:pPr>
              <w:autoSpaceDE w:val="0"/>
              <w:autoSpaceDN w:val="0"/>
              <w:adjustRightInd w:val="0"/>
              <w:snapToGrid w:val="0"/>
              <w:spacing w:line="400" w:lineRule="exact"/>
              <w:ind w:firstLine="420" w:firstLineChars="200"/>
              <w:rPr>
                <w:rFonts w:ascii="宋体" w:hAnsi="宋体"/>
                <w:color w:val="auto"/>
                <w:szCs w:val="21"/>
                <w:highlight w:val="none"/>
              </w:rPr>
            </w:pPr>
          </w:p>
        </w:tc>
      </w:tr>
      <w:tr w14:paraId="6692C48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179D4227">
            <w:pPr>
              <w:spacing w:line="400" w:lineRule="exact"/>
              <w:jc w:val="center"/>
              <w:rPr>
                <w:rFonts w:ascii="宋体" w:hAnsi="宋体"/>
                <w:color w:val="auto"/>
                <w:highlight w:val="none"/>
              </w:rPr>
            </w:pPr>
          </w:p>
        </w:tc>
        <w:tc>
          <w:tcPr>
            <w:tcW w:w="709" w:type="dxa"/>
            <w:vMerge w:val="continue"/>
            <w:vAlign w:val="center"/>
          </w:tcPr>
          <w:p w14:paraId="4F8557D1">
            <w:pPr>
              <w:spacing w:line="400" w:lineRule="exact"/>
              <w:jc w:val="center"/>
              <w:rPr>
                <w:rFonts w:ascii="宋体" w:hAnsi="宋体"/>
                <w:color w:val="auto"/>
                <w:highlight w:val="none"/>
              </w:rPr>
            </w:pPr>
          </w:p>
        </w:tc>
        <w:tc>
          <w:tcPr>
            <w:tcW w:w="1134" w:type="dxa"/>
            <w:gridSpan w:val="3"/>
            <w:vMerge w:val="continue"/>
            <w:tcBorders>
              <w:bottom w:val="single" w:color="auto" w:sz="4" w:space="0"/>
              <w:right w:val="single" w:color="auto" w:sz="4" w:space="0"/>
            </w:tcBorders>
          </w:tcPr>
          <w:p w14:paraId="6906D016">
            <w:pPr>
              <w:spacing w:line="400" w:lineRule="exact"/>
              <w:jc w:val="left"/>
              <w:rPr>
                <w:rFonts w:ascii="宋体" w:hAnsi="宋体"/>
                <w:color w:val="auto"/>
                <w:highlight w:val="none"/>
              </w:rPr>
            </w:pPr>
          </w:p>
        </w:tc>
        <w:tc>
          <w:tcPr>
            <w:tcW w:w="1370" w:type="dxa"/>
            <w:tcBorders>
              <w:top w:val="single" w:color="auto" w:sz="4" w:space="0"/>
              <w:left w:val="single" w:color="auto" w:sz="4" w:space="0"/>
              <w:bottom w:val="single" w:color="auto" w:sz="4" w:space="0"/>
            </w:tcBorders>
          </w:tcPr>
          <w:p w14:paraId="4BA9CA7D">
            <w:pPr>
              <w:tabs>
                <w:tab w:val="left" w:pos="1875"/>
              </w:tabs>
              <w:spacing w:line="400" w:lineRule="exact"/>
              <w:jc w:val="left"/>
              <w:rPr>
                <w:rFonts w:ascii="宋体" w:hAnsi="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2" w:type="dxa"/>
            <w:vMerge w:val="continue"/>
            <w:vAlign w:val="center"/>
          </w:tcPr>
          <w:p w14:paraId="3735DBC3">
            <w:pPr>
              <w:autoSpaceDE w:val="0"/>
              <w:autoSpaceDN w:val="0"/>
              <w:adjustRightInd w:val="0"/>
              <w:snapToGrid w:val="0"/>
              <w:spacing w:line="400" w:lineRule="exact"/>
              <w:ind w:firstLine="420" w:firstLineChars="200"/>
              <w:rPr>
                <w:rFonts w:ascii="宋体" w:hAnsi="宋体"/>
                <w:color w:val="auto"/>
                <w:szCs w:val="21"/>
                <w:highlight w:val="none"/>
              </w:rPr>
            </w:pPr>
          </w:p>
        </w:tc>
      </w:tr>
      <w:tr w14:paraId="77E8B0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restart"/>
            <w:vAlign w:val="center"/>
          </w:tcPr>
          <w:p w14:paraId="6988E846">
            <w:pPr>
              <w:spacing w:line="400" w:lineRule="exact"/>
              <w:jc w:val="center"/>
              <w:rPr>
                <w:rFonts w:ascii="宋体" w:hAnsi="宋体"/>
                <w:color w:val="auto"/>
                <w:highlight w:val="none"/>
              </w:rPr>
            </w:pPr>
            <w:r>
              <w:rPr>
                <w:rFonts w:ascii="宋体" w:hAnsi="宋体"/>
                <w:color w:val="auto"/>
                <w:highlight w:val="none"/>
              </w:rPr>
              <w:t>3.2.1</w:t>
            </w:r>
          </w:p>
          <w:p w14:paraId="48907F2B">
            <w:pPr>
              <w:spacing w:line="400" w:lineRule="exact"/>
              <w:jc w:val="center"/>
              <w:rPr>
                <w:rFonts w:ascii="宋体" w:hAnsi="宋体"/>
                <w:color w:val="auto"/>
                <w:highlight w:val="none"/>
              </w:rPr>
            </w:pPr>
            <w:r>
              <w:rPr>
                <w:rFonts w:ascii="宋体" w:hAnsi="宋体"/>
                <w:color w:val="auto"/>
                <w:highlight w:val="none"/>
              </w:rPr>
              <w:t>（</w:t>
            </w:r>
            <w:r>
              <w:rPr>
                <w:rFonts w:hint="eastAsia" w:ascii="宋体" w:hAnsi="宋体"/>
                <w:color w:val="auto"/>
                <w:highlight w:val="none"/>
              </w:rPr>
              <w:t>2</w:t>
            </w:r>
            <w:r>
              <w:rPr>
                <w:rFonts w:ascii="宋体" w:hAnsi="宋体"/>
                <w:color w:val="auto"/>
                <w:highlight w:val="none"/>
              </w:rPr>
              <w:t>）</w:t>
            </w:r>
          </w:p>
        </w:tc>
        <w:tc>
          <w:tcPr>
            <w:tcW w:w="709" w:type="dxa"/>
            <w:vMerge w:val="restart"/>
            <w:vAlign w:val="center"/>
          </w:tcPr>
          <w:p w14:paraId="2A7B93D6">
            <w:pPr>
              <w:spacing w:line="400" w:lineRule="exact"/>
              <w:jc w:val="center"/>
              <w:rPr>
                <w:rFonts w:ascii="宋体" w:hAnsi="宋体"/>
                <w:color w:val="auto"/>
                <w:highlight w:val="none"/>
              </w:rPr>
            </w:pPr>
            <w:r>
              <w:rPr>
                <w:rFonts w:hint="eastAsia" w:ascii="宋体" w:hAnsi="宋体"/>
                <w:color w:val="auto"/>
                <w:highlight w:val="none"/>
              </w:rPr>
              <w:t>商务部分</w:t>
            </w:r>
            <w:r>
              <w:rPr>
                <w:rFonts w:ascii="宋体" w:hAnsi="宋体"/>
                <w:color w:val="auto"/>
                <w:kern w:val="0"/>
                <w:highlight w:val="none"/>
              </w:rPr>
              <w:t>得分</w:t>
            </w:r>
            <w:r>
              <w:rPr>
                <w:rFonts w:ascii="宋体" w:hAnsi="宋体"/>
                <w:color w:val="auto"/>
                <w:spacing w:val="-4"/>
                <w:highlight w:val="none"/>
              </w:rPr>
              <w:t>（</w:t>
            </w:r>
            <w:r>
              <w:rPr>
                <w:rFonts w:hint="eastAsia" w:ascii="宋体" w:hAnsi="宋体"/>
                <w:color w:val="auto"/>
                <w:spacing w:val="-4"/>
                <w:highlight w:val="none"/>
              </w:rPr>
              <w:t>B）</w:t>
            </w:r>
          </w:p>
        </w:tc>
        <w:tc>
          <w:tcPr>
            <w:tcW w:w="2504" w:type="dxa"/>
            <w:gridSpan w:val="4"/>
          </w:tcPr>
          <w:p w14:paraId="1D0D13C0">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□类似工程总承包业绩</w:t>
            </w:r>
          </w:p>
        </w:tc>
        <w:tc>
          <w:tcPr>
            <w:tcW w:w="5492" w:type="dxa"/>
            <w:vMerge w:val="restart"/>
            <w:vAlign w:val="center"/>
          </w:tcPr>
          <w:p w14:paraId="1B5870FA">
            <w:pPr>
              <w:autoSpaceDE w:val="0"/>
              <w:autoSpaceDN w:val="0"/>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rPr>
              <w:t>商务</w:t>
            </w:r>
            <w:r>
              <w:rPr>
                <w:rFonts w:ascii="宋体" w:hAnsi="宋体"/>
                <w:color w:val="auto"/>
                <w:szCs w:val="21"/>
                <w:highlight w:val="none"/>
              </w:rPr>
              <w:t>部分</w:t>
            </w:r>
            <w:r>
              <w:rPr>
                <w:rFonts w:hint="eastAsia" w:ascii="宋体" w:hAnsi="宋体"/>
                <w:color w:val="auto"/>
                <w:szCs w:val="21"/>
                <w:highlight w:val="none"/>
              </w:rPr>
              <w:t>评分为客观评分，</w:t>
            </w:r>
            <w:r>
              <w:rPr>
                <w:rFonts w:ascii="宋体" w:hAnsi="宋体"/>
                <w:color w:val="auto"/>
                <w:szCs w:val="21"/>
                <w:highlight w:val="none"/>
              </w:rPr>
              <w:t>评标委员会按第2.2.</w:t>
            </w:r>
            <w:r>
              <w:rPr>
                <w:rFonts w:hint="eastAsia" w:ascii="宋体" w:hAnsi="宋体"/>
                <w:color w:val="auto"/>
                <w:szCs w:val="21"/>
                <w:highlight w:val="none"/>
              </w:rPr>
              <w:t>2（2）项</w:t>
            </w:r>
            <w:r>
              <w:rPr>
                <w:rFonts w:ascii="宋体" w:hAnsi="宋体"/>
                <w:color w:val="auto"/>
                <w:szCs w:val="21"/>
                <w:highlight w:val="none"/>
              </w:rPr>
              <w:t>各评审因素设定的分值</w:t>
            </w:r>
            <w:r>
              <w:rPr>
                <w:rFonts w:hint="eastAsia" w:ascii="宋体" w:hAnsi="宋体"/>
                <w:color w:val="auto"/>
                <w:szCs w:val="21"/>
                <w:highlight w:val="none"/>
              </w:rPr>
              <w:t>统一进行</w:t>
            </w:r>
            <w:r>
              <w:rPr>
                <w:rFonts w:ascii="宋体" w:hAnsi="宋体"/>
                <w:color w:val="auto"/>
                <w:szCs w:val="21"/>
                <w:highlight w:val="none"/>
              </w:rPr>
              <w:t>评分。</w:t>
            </w:r>
            <w:r>
              <w:rPr>
                <w:rFonts w:hint="eastAsia" w:ascii="宋体" w:hAnsi="宋体"/>
                <w:color w:val="auto"/>
                <w:kern w:val="0"/>
                <w:szCs w:val="21"/>
                <w:highlight w:val="none"/>
              </w:rPr>
              <w:t>商务评分的最终结果</w:t>
            </w:r>
            <w:r>
              <w:rPr>
                <w:rFonts w:ascii="宋体" w:hAnsi="宋体"/>
                <w:color w:val="auto"/>
                <w:kern w:val="0"/>
                <w:szCs w:val="21"/>
                <w:highlight w:val="none"/>
              </w:rPr>
              <w:t>取小数点后两位，第三位四舍五入。</w:t>
            </w:r>
          </w:p>
        </w:tc>
      </w:tr>
      <w:tr w14:paraId="1A4DE51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373AF907">
            <w:pPr>
              <w:spacing w:line="400" w:lineRule="exact"/>
              <w:jc w:val="center"/>
              <w:rPr>
                <w:rFonts w:ascii="宋体" w:hAnsi="宋体"/>
                <w:color w:val="auto"/>
                <w:highlight w:val="none"/>
              </w:rPr>
            </w:pPr>
          </w:p>
        </w:tc>
        <w:tc>
          <w:tcPr>
            <w:tcW w:w="709" w:type="dxa"/>
            <w:vMerge w:val="continue"/>
            <w:vAlign w:val="center"/>
          </w:tcPr>
          <w:p w14:paraId="14846190">
            <w:pPr>
              <w:spacing w:line="400" w:lineRule="exact"/>
              <w:jc w:val="center"/>
              <w:rPr>
                <w:rFonts w:ascii="宋体" w:hAnsi="宋体"/>
                <w:color w:val="auto"/>
                <w:highlight w:val="none"/>
              </w:rPr>
            </w:pPr>
          </w:p>
        </w:tc>
        <w:tc>
          <w:tcPr>
            <w:tcW w:w="2504" w:type="dxa"/>
            <w:gridSpan w:val="4"/>
          </w:tcPr>
          <w:p w14:paraId="5633783C">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□类似设计业绩</w:t>
            </w:r>
          </w:p>
        </w:tc>
        <w:tc>
          <w:tcPr>
            <w:tcW w:w="5492" w:type="dxa"/>
            <w:vMerge w:val="continue"/>
            <w:vAlign w:val="center"/>
          </w:tcPr>
          <w:p w14:paraId="7E31B057">
            <w:pPr>
              <w:autoSpaceDE w:val="0"/>
              <w:autoSpaceDN w:val="0"/>
              <w:adjustRightInd w:val="0"/>
              <w:snapToGrid w:val="0"/>
              <w:spacing w:line="400" w:lineRule="exact"/>
              <w:ind w:firstLine="420" w:firstLineChars="200"/>
              <w:rPr>
                <w:rFonts w:ascii="宋体" w:hAnsi="宋体"/>
                <w:color w:val="auto"/>
                <w:szCs w:val="21"/>
                <w:highlight w:val="none"/>
              </w:rPr>
            </w:pPr>
          </w:p>
        </w:tc>
      </w:tr>
      <w:tr w14:paraId="363F6F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32B14AF5">
            <w:pPr>
              <w:spacing w:line="400" w:lineRule="exact"/>
              <w:jc w:val="center"/>
              <w:rPr>
                <w:rFonts w:ascii="宋体" w:hAnsi="宋体"/>
                <w:color w:val="auto"/>
                <w:highlight w:val="none"/>
              </w:rPr>
            </w:pPr>
          </w:p>
        </w:tc>
        <w:tc>
          <w:tcPr>
            <w:tcW w:w="709" w:type="dxa"/>
            <w:vMerge w:val="continue"/>
            <w:vAlign w:val="center"/>
          </w:tcPr>
          <w:p w14:paraId="462BF00F">
            <w:pPr>
              <w:spacing w:line="400" w:lineRule="exact"/>
              <w:jc w:val="center"/>
              <w:rPr>
                <w:rFonts w:ascii="宋体" w:hAnsi="宋体"/>
                <w:color w:val="auto"/>
                <w:highlight w:val="none"/>
              </w:rPr>
            </w:pPr>
          </w:p>
        </w:tc>
        <w:tc>
          <w:tcPr>
            <w:tcW w:w="2504" w:type="dxa"/>
            <w:gridSpan w:val="4"/>
          </w:tcPr>
          <w:p w14:paraId="51F668F5">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hint="eastAsia"/>
                <w:color w:val="auto"/>
                <w:highlight w:val="none"/>
              </w:rPr>
              <w:t>工程总承包项目经理资历和（或）业绩</w:t>
            </w:r>
          </w:p>
        </w:tc>
        <w:tc>
          <w:tcPr>
            <w:tcW w:w="5492" w:type="dxa"/>
            <w:vMerge w:val="continue"/>
            <w:vAlign w:val="center"/>
          </w:tcPr>
          <w:p w14:paraId="3DE9717F">
            <w:pPr>
              <w:autoSpaceDE w:val="0"/>
              <w:autoSpaceDN w:val="0"/>
              <w:adjustRightInd w:val="0"/>
              <w:snapToGrid w:val="0"/>
              <w:spacing w:line="400" w:lineRule="exact"/>
              <w:ind w:firstLine="420" w:firstLineChars="200"/>
              <w:rPr>
                <w:rFonts w:ascii="宋体" w:hAnsi="宋体"/>
                <w:color w:val="auto"/>
                <w:szCs w:val="21"/>
                <w:highlight w:val="none"/>
              </w:rPr>
            </w:pPr>
          </w:p>
        </w:tc>
      </w:tr>
      <w:tr w14:paraId="6FD84E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54F7F07D">
            <w:pPr>
              <w:spacing w:line="400" w:lineRule="exact"/>
              <w:jc w:val="center"/>
              <w:rPr>
                <w:rFonts w:ascii="宋体" w:hAnsi="宋体"/>
                <w:color w:val="auto"/>
                <w:highlight w:val="none"/>
              </w:rPr>
            </w:pPr>
          </w:p>
        </w:tc>
        <w:tc>
          <w:tcPr>
            <w:tcW w:w="709" w:type="dxa"/>
            <w:vMerge w:val="continue"/>
            <w:vAlign w:val="center"/>
          </w:tcPr>
          <w:p w14:paraId="20919B37">
            <w:pPr>
              <w:spacing w:line="400" w:lineRule="exact"/>
              <w:jc w:val="center"/>
              <w:rPr>
                <w:rFonts w:ascii="宋体" w:hAnsi="宋体"/>
                <w:color w:val="auto"/>
                <w:highlight w:val="none"/>
              </w:rPr>
            </w:pPr>
          </w:p>
        </w:tc>
        <w:tc>
          <w:tcPr>
            <w:tcW w:w="2504" w:type="dxa"/>
            <w:gridSpan w:val="4"/>
          </w:tcPr>
          <w:p w14:paraId="2043DCD3">
            <w:pPr>
              <w:tabs>
                <w:tab w:val="left" w:pos="1875"/>
              </w:tabs>
              <w:spacing w:line="400" w:lineRule="exact"/>
              <w:jc w:val="left"/>
              <w:rPr>
                <w:color w:val="auto"/>
                <w:highlight w:val="none"/>
              </w:rPr>
            </w:pPr>
            <w:r>
              <w:rPr>
                <w:rFonts w:hint="eastAsia" w:ascii="宋体" w:hAnsi="宋体" w:cs="宋体"/>
                <w:color w:val="auto"/>
                <w:kern w:val="0"/>
                <w:highlight w:val="none"/>
              </w:rPr>
              <w:t>□</w:t>
            </w:r>
            <w:r>
              <w:rPr>
                <w:color w:val="auto"/>
                <w:highlight w:val="none"/>
              </w:rPr>
              <w:t>设计负责人</w:t>
            </w:r>
            <w:r>
              <w:rPr>
                <w:rFonts w:hint="eastAsia"/>
                <w:color w:val="auto"/>
                <w:highlight w:val="none"/>
              </w:rPr>
              <w:t>资历和（或）业绩</w:t>
            </w:r>
          </w:p>
        </w:tc>
        <w:tc>
          <w:tcPr>
            <w:tcW w:w="5492" w:type="dxa"/>
            <w:vMerge w:val="continue"/>
            <w:vAlign w:val="center"/>
          </w:tcPr>
          <w:p w14:paraId="1F661395">
            <w:pPr>
              <w:autoSpaceDE w:val="0"/>
              <w:autoSpaceDN w:val="0"/>
              <w:adjustRightInd w:val="0"/>
              <w:snapToGrid w:val="0"/>
              <w:spacing w:line="400" w:lineRule="exact"/>
              <w:ind w:firstLine="420" w:firstLineChars="200"/>
              <w:rPr>
                <w:rFonts w:ascii="宋体" w:hAnsi="宋体"/>
                <w:color w:val="auto"/>
                <w:szCs w:val="21"/>
                <w:highlight w:val="none"/>
              </w:rPr>
            </w:pPr>
          </w:p>
        </w:tc>
      </w:tr>
      <w:tr w14:paraId="4608ADD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335" w:hRule="atLeast"/>
          <w:jc w:val="center"/>
        </w:trPr>
        <w:tc>
          <w:tcPr>
            <w:tcW w:w="768" w:type="dxa"/>
            <w:vMerge w:val="continue"/>
            <w:vAlign w:val="center"/>
          </w:tcPr>
          <w:p w14:paraId="64F3675E">
            <w:pPr>
              <w:spacing w:line="400" w:lineRule="exact"/>
              <w:jc w:val="center"/>
              <w:rPr>
                <w:rFonts w:ascii="宋体" w:hAnsi="宋体"/>
                <w:color w:val="auto"/>
                <w:highlight w:val="none"/>
              </w:rPr>
            </w:pPr>
          </w:p>
        </w:tc>
        <w:tc>
          <w:tcPr>
            <w:tcW w:w="709" w:type="dxa"/>
            <w:vMerge w:val="continue"/>
            <w:vAlign w:val="center"/>
          </w:tcPr>
          <w:p w14:paraId="2E5BB9D8">
            <w:pPr>
              <w:spacing w:line="400" w:lineRule="exact"/>
              <w:jc w:val="center"/>
              <w:rPr>
                <w:rFonts w:ascii="宋体" w:hAnsi="宋体"/>
                <w:color w:val="auto"/>
                <w:highlight w:val="none"/>
              </w:rPr>
            </w:pPr>
          </w:p>
        </w:tc>
        <w:tc>
          <w:tcPr>
            <w:tcW w:w="2504" w:type="dxa"/>
            <w:gridSpan w:val="4"/>
            <w:tcBorders>
              <w:top w:val="single" w:color="auto" w:sz="4" w:space="0"/>
              <w:bottom w:val="single" w:color="auto" w:sz="4" w:space="0"/>
            </w:tcBorders>
          </w:tcPr>
          <w:p w14:paraId="1F5C54E2">
            <w:pPr>
              <w:tabs>
                <w:tab w:val="left" w:pos="1875"/>
              </w:tabs>
              <w:spacing w:line="400" w:lineRule="exact"/>
              <w:jc w:val="left"/>
              <w:rPr>
                <w:rFonts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w:t>
            </w:r>
          </w:p>
        </w:tc>
        <w:tc>
          <w:tcPr>
            <w:tcW w:w="5492" w:type="dxa"/>
            <w:vMerge w:val="continue"/>
            <w:vAlign w:val="center"/>
          </w:tcPr>
          <w:p w14:paraId="4FEABA75">
            <w:pPr>
              <w:autoSpaceDE w:val="0"/>
              <w:autoSpaceDN w:val="0"/>
              <w:adjustRightInd w:val="0"/>
              <w:snapToGrid w:val="0"/>
              <w:spacing w:line="400" w:lineRule="exact"/>
              <w:ind w:firstLine="420" w:firstLineChars="200"/>
              <w:rPr>
                <w:rFonts w:ascii="宋体" w:hAnsi="宋体"/>
                <w:color w:val="auto"/>
                <w:szCs w:val="21"/>
                <w:highlight w:val="none"/>
              </w:rPr>
            </w:pPr>
          </w:p>
        </w:tc>
      </w:tr>
      <w:tr w14:paraId="5917364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768" w:type="dxa"/>
            <w:vAlign w:val="center"/>
          </w:tcPr>
          <w:p w14:paraId="1A35169F">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560" w:type="dxa"/>
            <w:gridSpan w:val="2"/>
            <w:vAlign w:val="center"/>
          </w:tcPr>
          <w:p w14:paraId="2AA1F9CE">
            <w:pPr>
              <w:spacing w:line="400" w:lineRule="exact"/>
              <w:rPr>
                <w:rFonts w:ascii="宋体" w:hAnsi="宋体"/>
                <w:b/>
                <w:color w:val="auto"/>
                <w:kern w:val="0"/>
                <w:szCs w:val="21"/>
                <w:highlight w:val="none"/>
              </w:rPr>
            </w:pPr>
            <w:r>
              <w:rPr>
                <w:rFonts w:hint="eastAsia" w:ascii="宋体" w:hAnsi="宋体"/>
                <w:b/>
                <w:color w:val="auto"/>
                <w:kern w:val="0"/>
                <w:szCs w:val="21"/>
                <w:highlight w:val="none"/>
              </w:rPr>
              <w:t>□</w:t>
            </w:r>
            <w:r>
              <w:rPr>
                <w:rFonts w:ascii="宋体" w:hAnsi="宋体"/>
                <w:b/>
                <w:color w:val="auto"/>
                <w:kern w:val="0"/>
                <w:szCs w:val="21"/>
                <w:highlight w:val="none"/>
              </w:rPr>
              <w:t>选项一</w:t>
            </w:r>
            <w:r>
              <w:rPr>
                <w:rFonts w:ascii="宋体" w:hAnsi="宋体"/>
                <w:b/>
                <w:color w:val="auto"/>
                <w:kern w:val="0"/>
                <w:highlight w:val="none"/>
              </w:rPr>
              <w:t>：</w:t>
            </w:r>
          </w:p>
          <w:p w14:paraId="692000BB">
            <w:pPr>
              <w:spacing w:line="400" w:lineRule="exact"/>
              <w:jc w:val="center"/>
              <w:rPr>
                <w:rFonts w:ascii="宋体" w:hAnsi="宋体"/>
                <w:color w:val="auto"/>
                <w:highlight w:val="none"/>
              </w:rPr>
            </w:pPr>
            <w:r>
              <w:rPr>
                <w:rFonts w:hint="eastAsia" w:ascii="宋体" w:hAnsi="宋体"/>
                <w:color w:val="auto"/>
                <w:highlight w:val="none"/>
              </w:rPr>
              <w:t>经济部分</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1653" w:type="dxa"/>
            <w:gridSpan w:val="3"/>
            <w:tcBorders>
              <w:top w:val="single" w:color="auto" w:sz="4" w:space="0"/>
            </w:tcBorders>
            <w:vAlign w:val="center"/>
          </w:tcPr>
          <w:p w14:paraId="5338CCC6">
            <w:pPr>
              <w:spacing w:line="400" w:lineRule="exact"/>
              <w:jc w:val="center"/>
              <w:rPr>
                <w:rFonts w:ascii="宋体" w:hAnsi="宋体"/>
                <w:color w:val="auto"/>
                <w:highlight w:val="none"/>
              </w:rPr>
            </w:pPr>
            <w:r>
              <w:rPr>
                <w:rFonts w:ascii="宋体" w:hAnsi="宋体"/>
                <w:color w:val="auto"/>
                <w:highlight w:val="none"/>
              </w:rPr>
              <w:t>投标总报价</w:t>
            </w:r>
          </w:p>
        </w:tc>
        <w:tc>
          <w:tcPr>
            <w:tcW w:w="5492" w:type="dxa"/>
            <w:vAlign w:val="center"/>
          </w:tcPr>
          <w:p w14:paraId="1D58329D">
            <w:pPr>
              <w:spacing w:line="400" w:lineRule="exact"/>
              <w:ind w:firstLine="420" w:firstLineChars="200"/>
              <w:rPr>
                <w:rFonts w:ascii="宋体" w:hAnsi="宋体"/>
                <w:color w:val="auto"/>
                <w:szCs w:val="21"/>
                <w:highlight w:val="none"/>
              </w:rPr>
            </w:pPr>
            <w:r>
              <w:rPr>
                <w:rFonts w:ascii="宋体" w:hAnsi="宋体"/>
                <w:color w:val="auto"/>
                <w:kern w:val="0"/>
                <w:highlight w:val="none"/>
              </w:rPr>
              <w:t>所有通过初步评审</w:t>
            </w:r>
            <w:r>
              <w:rPr>
                <w:rFonts w:hint="eastAsia" w:ascii="宋体" w:hAnsi="宋体"/>
                <w:color w:val="auto"/>
                <w:kern w:val="0"/>
                <w:highlight w:val="none"/>
              </w:rPr>
              <w:t>和</w:t>
            </w:r>
            <w:r>
              <w:rPr>
                <w:rFonts w:hint="eastAsia" w:ascii="宋体" w:hAnsi="宋体"/>
                <w:color w:val="auto"/>
                <w:kern w:val="0"/>
                <w:szCs w:val="21"/>
                <w:highlight w:val="none"/>
              </w:rPr>
              <w:t>本章</w:t>
            </w:r>
            <w:r>
              <w:rPr>
                <w:rFonts w:hint="eastAsia" w:ascii="宋体" w:hAnsi="宋体"/>
                <w:color w:val="auto"/>
                <w:kern w:val="0"/>
                <w:highlight w:val="none"/>
              </w:rPr>
              <w:t>第2.2.2（3）目评审</w:t>
            </w:r>
            <w:r>
              <w:rPr>
                <w:rFonts w:ascii="宋体" w:hAnsi="宋体"/>
                <w:color w:val="auto"/>
                <w:kern w:val="0"/>
                <w:highlight w:val="none"/>
              </w:rPr>
              <w:t>合格的</w:t>
            </w:r>
            <w:r>
              <w:rPr>
                <w:rFonts w:ascii="宋体" w:hAnsi="宋体"/>
                <w:color w:val="auto"/>
                <w:kern w:val="0"/>
                <w:szCs w:val="21"/>
                <w:highlight w:val="none"/>
              </w:rPr>
              <w:t>投标人</w:t>
            </w:r>
            <w:r>
              <w:rPr>
                <w:rFonts w:ascii="宋体" w:hAnsi="宋体"/>
                <w:color w:val="auto"/>
                <w:szCs w:val="21"/>
                <w:highlight w:val="none"/>
              </w:rPr>
              <w:t>的</w:t>
            </w:r>
            <w:r>
              <w:rPr>
                <w:rFonts w:ascii="宋体" w:hAnsi="宋体"/>
                <w:color w:val="auto"/>
                <w:kern w:val="0"/>
                <w:highlight w:val="none"/>
              </w:rPr>
              <w:t>投标总报价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ascii="宋体" w:hAnsi="宋体"/>
                <w:color w:val="auto"/>
                <w:szCs w:val="21"/>
                <w:highlight w:val="none"/>
              </w:rPr>
              <w:t>分。在此基础上，投标总报价与评标基准价相比，每增加1%扣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（1～2）</w:t>
            </w:r>
            <w:r>
              <w:rPr>
                <w:rFonts w:ascii="宋体" w:hAnsi="宋体"/>
                <w:color w:val="auto"/>
                <w:szCs w:val="21"/>
                <w:highlight w:val="none"/>
              </w:rPr>
              <w:t>分，每减少1%扣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（0.5～1）</w:t>
            </w:r>
            <w:r>
              <w:rPr>
                <w:rFonts w:ascii="宋体" w:hAnsi="宋体"/>
                <w:color w:val="auto"/>
                <w:szCs w:val="21"/>
                <w:highlight w:val="none"/>
              </w:rPr>
              <w:t>分，扣完为止。</w:t>
            </w:r>
          </w:p>
          <w:p w14:paraId="13DE5978">
            <w:pPr>
              <w:spacing w:line="400" w:lineRule="exact"/>
              <w:ind w:firstLine="420" w:firstLineChars="200"/>
              <w:rPr>
                <w:rFonts w:ascii="宋体" w:hAnsi="宋体"/>
                <w:color w:val="auto"/>
                <w:szCs w:val="21"/>
                <w:highlight w:val="none"/>
              </w:rPr>
            </w:pPr>
            <w:r>
              <w:rPr>
                <w:rFonts w:ascii="宋体" w:hAnsi="宋体"/>
                <w:color w:val="auto"/>
                <w:szCs w:val="21"/>
                <w:highlight w:val="none"/>
              </w:rPr>
              <w:t>按插入法计算得分。</w:t>
            </w:r>
          </w:p>
          <w:p w14:paraId="4E0E039E">
            <w:pPr>
              <w:spacing w:line="400" w:lineRule="exact"/>
              <w:ind w:firstLine="420" w:firstLineChars="200"/>
              <w:rPr>
                <w:rFonts w:ascii="宋体" w:hAnsi="宋体"/>
                <w:color w:val="auto"/>
                <w:szCs w:val="21"/>
                <w:highlight w:val="none"/>
              </w:rPr>
            </w:pPr>
            <w:r>
              <w:rPr>
                <w:rFonts w:ascii="宋体" w:hAnsi="宋体"/>
                <w:color w:val="auto"/>
                <w:szCs w:val="21"/>
                <w:highlight w:val="none"/>
              </w:rPr>
              <w:t>未参与评标基准价计算的投标报价，仍应参加计算相应分值。</w:t>
            </w:r>
          </w:p>
          <w:p w14:paraId="42A32FA0">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投标总报价</w:t>
            </w:r>
            <w:r>
              <w:rPr>
                <w:rFonts w:ascii="宋体" w:hAnsi="宋体"/>
                <w:color w:val="auto"/>
                <w:kern w:val="0"/>
                <w:szCs w:val="21"/>
                <w:highlight w:val="none"/>
              </w:rPr>
              <w:t>评分</w:t>
            </w:r>
            <w:r>
              <w:rPr>
                <w:rFonts w:hint="eastAsia" w:ascii="宋体" w:hAnsi="宋体"/>
                <w:color w:val="auto"/>
                <w:kern w:val="0"/>
                <w:szCs w:val="21"/>
                <w:highlight w:val="none"/>
              </w:rPr>
              <w:t>的最终结果</w:t>
            </w:r>
            <w:r>
              <w:rPr>
                <w:rFonts w:ascii="宋体" w:hAnsi="宋体"/>
                <w:color w:val="auto"/>
                <w:kern w:val="0"/>
                <w:szCs w:val="21"/>
                <w:highlight w:val="none"/>
              </w:rPr>
              <w:t>取小数点后两位，第三位四舍五入。</w:t>
            </w:r>
          </w:p>
        </w:tc>
      </w:tr>
      <w:tr w14:paraId="0232920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rHeight w:val="435" w:hRule="atLeast"/>
          <w:jc w:val="center"/>
        </w:trPr>
        <w:tc>
          <w:tcPr>
            <w:tcW w:w="768" w:type="dxa"/>
            <w:vAlign w:val="center"/>
          </w:tcPr>
          <w:p w14:paraId="2E738ECC">
            <w:pPr>
              <w:spacing w:line="400" w:lineRule="exact"/>
              <w:jc w:val="center"/>
              <w:rPr>
                <w:rFonts w:ascii="宋体" w:hAnsi="宋体"/>
                <w:color w:val="auto"/>
                <w:highlight w:val="none"/>
              </w:rPr>
            </w:pPr>
            <w:r>
              <w:rPr>
                <w:rFonts w:hint="eastAsia" w:ascii="宋体" w:hAnsi="宋体"/>
                <w:color w:val="auto"/>
                <w:highlight w:val="none"/>
              </w:rPr>
              <w:t>3.2.1（3）</w:t>
            </w:r>
          </w:p>
        </w:tc>
        <w:tc>
          <w:tcPr>
            <w:tcW w:w="1560" w:type="dxa"/>
            <w:gridSpan w:val="2"/>
            <w:vAlign w:val="center"/>
          </w:tcPr>
          <w:p w14:paraId="52B443EE">
            <w:pPr>
              <w:spacing w:line="400" w:lineRule="exact"/>
              <w:rPr>
                <w:rFonts w:ascii="宋体" w:hAnsi="宋体"/>
                <w:b/>
                <w:color w:val="auto"/>
                <w:kern w:val="0"/>
                <w:szCs w:val="21"/>
                <w:highlight w:val="none"/>
              </w:rPr>
            </w:pPr>
            <w:r>
              <w:rPr>
                <w:rFonts w:hint="eastAsia" w:ascii="宋体" w:hAnsi="宋体"/>
                <w:b/>
                <w:color w:val="auto"/>
                <w:kern w:val="0"/>
                <w:szCs w:val="21"/>
                <w:highlight w:val="none"/>
              </w:rPr>
              <w:t>□</w:t>
            </w:r>
            <w:r>
              <w:rPr>
                <w:rFonts w:ascii="宋体" w:hAnsi="宋体"/>
                <w:b/>
                <w:color w:val="auto"/>
                <w:kern w:val="0"/>
                <w:szCs w:val="21"/>
                <w:highlight w:val="none"/>
              </w:rPr>
              <w:t>选项</w:t>
            </w:r>
            <w:r>
              <w:rPr>
                <w:rFonts w:hint="eastAsia" w:ascii="宋体" w:hAnsi="宋体"/>
                <w:b/>
                <w:color w:val="auto"/>
                <w:kern w:val="0"/>
                <w:szCs w:val="21"/>
                <w:highlight w:val="none"/>
              </w:rPr>
              <w:t>二</w:t>
            </w:r>
            <w:r>
              <w:rPr>
                <w:rFonts w:ascii="宋体" w:hAnsi="宋体"/>
                <w:b/>
                <w:color w:val="auto"/>
                <w:kern w:val="0"/>
                <w:highlight w:val="none"/>
              </w:rPr>
              <w:t>：</w:t>
            </w:r>
          </w:p>
          <w:p w14:paraId="206A007E">
            <w:pPr>
              <w:spacing w:line="400" w:lineRule="exact"/>
              <w:jc w:val="center"/>
              <w:rPr>
                <w:rFonts w:ascii="宋体" w:hAnsi="宋体"/>
                <w:color w:val="auto"/>
                <w:highlight w:val="none"/>
              </w:rPr>
            </w:pPr>
            <w:r>
              <w:rPr>
                <w:rFonts w:hint="eastAsia" w:ascii="宋体" w:hAnsi="宋体"/>
                <w:color w:val="auto"/>
                <w:highlight w:val="none"/>
              </w:rPr>
              <w:t>经济部分</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1653" w:type="dxa"/>
            <w:gridSpan w:val="3"/>
            <w:tcBorders>
              <w:top w:val="single" w:color="auto" w:sz="4" w:space="0"/>
            </w:tcBorders>
            <w:vAlign w:val="center"/>
          </w:tcPr>
          <w:p w14:paraId="51E30819">
            <w:pPr>
              <w:spacing w:line="400" w:lineRule="exact"/>
              <w:jc w:val="center"/>
              <w:rPr>
                <w:rFonts w:ascii="宋体" w:hAnsi="宋体"/>
                <w:color w:val="auto"/>
                <w:highlight w:val="none"/>
              </w:rPr>
            </w:pPr>
            <w:r>
              <w:rPr>
                <w:rFonts w:ascii="宋体" w:hAnsi="宋体"/>
                <w:color w:val="auto"/>
                <w:highlight w:val="none"/>
              </w:rPr>
              <w:t>投标总报价</w:t>
            </w:r>
          </w:p>
        </w:tc>
        <w:tc>
          <w:tcPr>
            <w:tcW w:w="5492" w:type="dxa"/>
            <w:vAlign w:val="center"/>
          </w:tcPr>
          <w:p w14:paraId="1D30CBB8">
            <w:pPr>
              <w:spacing w:line="400" w:lineRule="exact"/>
              <w:ind w:firstLine="420" w:firstLineChars="200"/>
              <w:rPr>
                <w:rFonts w:ascii="宋体" w:hAnsi="宋体"/>
                <w:color w:val="auto"/>
                <w:szCs w:val="21"/>
                <w:highlight w:val="none"/>
              </w:rPr>
            </w:pPr>
            <w:r>
              <w:rPr>
                <w:rFonts w:ascii="宋体" w:hAnsi="宋体"/>
                <w:color w:val="auto"/>
                <w:kern w:val="0"/>
                <w:highlight w:val="none"/>
              </w:rPr>
              <w:t>所有通过初步评审</w:t>
            </w:r>
            <w:r>
              <w:rPr>
                <w:rFonts w:hint="eastAsia" w:ascii="宋体" w:hAnsi="宋体"/>
                <w:color w:val="auto"/>
                <w:kern w:val="0"/>
                <w:highlight w:val="none"/>
              </w:rPr>
              <w:t>和</w:t>
            </w:r>
            <w:r>
              <w:rPr>
                <w:rFonts w:hint="eastAsia" w:ascii="宋体" w:hAnsi="宋体"/>
                <w:color w:val="auto"/>
                <w:kern w:val="0"/>
                <w:szCs w:val="21"/>
                <w:highlight w:val="none"/>
              </w:rPr>
              <w:t>本章</w:t>
            </w:r>
            <w:r>
              <w:rPr>
                <w:rFonts w:hint="eastAsia" w:ascii="宋体" w:hAnsi="宋体"/>
                <w:color w:val="auto"/>
                <w:kern w:val="0"/>
                <w:highlight w:val="none"/>
              </w:rPr>
              <w:t>第2.2.2（3）目评审</w:t>
            </w:r>
            <w:r>
              <w:rPr>
                <w:rFonts w:ascii="宋体" w:hAnsi="宋体"/>
                <w:color w:val="auto"/>
                <w:kern w:val="0"/>
                <w:highlight w:val="none"/>
              </w:rPr>
              <w:t>合格的</w:t>
            </w:r>
            <w:r>
              <w:rPr>
                <w:rFonts w:ascii="宋体" w:hAnsi="宋体"/>
                <w:color w:val="auto"/>
                <w:kern w:val="0"/>
                <w:szCs w:val="21"/>
                <w:highlight w:val="none"/>
              </w:rPr>
              <w:t>投标人</w:t>
            </w:r>
            <w:r>
              <w:rPr>
                <w:rFonts w:ascii="宋体" w:hAnsi="宋体"/>
                <w:color w:val="auto"/>
                <w:szCs w:val="21"/>
                <w:highlight w:val="none"/>
              </w:rPr>
              <w:t>的</w:t>
            </w:r>
            <w:r>
              <w:rPr>
                <w:rFonts w:ascii="宋体" w:hAnsi="宋体"/>
                <w:color w:val="auto"/>
                <w:kern w:val="0"/>
                <w:highlight w:val="none"/>
              </w:rPr>
              <w:t>投标总报价</w:t>
            </w:r>
            <w:r>
              <w:rPr>
                <w:rFonts w:ascii="宋体" w:hAnsi="宋体"/>
                <w:color w:val="auto"/>
                <w:szCs w:val="21"/>
                <w:highlight w:val="none"/>
              </w:rPr>
              <w:t>，</w:t>
            </w:r>
            <w:r>
              <w:rPr>
                <w:rFonts w:hint="eastAsia" w:ascii="宋体" w:hAnsi="宋体"/>
                <w:color w:val="auto"/>
                <w:szCs w:val="21"/>
                <w:highlight w:val="none"/>
              </w:rPr>
              <w:t>等于评标基准价P1的</w:t>
            </w:r>
            <w:r>
              <w:rPr>
                <w:rFonts w:ascii="宋体" w:hAnsi="宋体"/>
                <w:bCs/>
                <w:color w:val="auto"/>
                <w:szCs w:val="28"/>
                <w:highlight w:val="none"/>
              </w:rPr>
              <w:t>满分</w:t>
            </w:r>
            <w:r>
              <w:rPr>
                <w:rFonts w:ascii="宋体" w:hAnsi="宋体"/>
                <w:bCs/>
                <w:color w:val="auto"/>
                <w:szCs w:val="28"/>
                <w:highlight w:val="none"/>
                <w:u w:val="single"/>
              </w:rPr>
              <w:t xml:space="preserve">     </w:t>
            </w:r>
            <w:r>
              <w:rPr>
                <w:rFonts w:ascii="宋体" w:hAnsi="宋体"/>
                <w:color w:val="auto"/>
                <w:szCs w:val="21"/>
                <w:highlight w:val="none"/>
              </w:rPr>
              <w:t>分。在此基础上，投标总报价与评标基准价相比，每增加1%扣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w:t>
            </w:r>
            <w:r>
              <w:rPr>
                <w:rFonts w:hint="eastAsia" w:ascii="宋体" w:hAnsi="宋体"/>
                <w:color w:val="auto"/>
                <w:szCs w:val="21"/>
                <w:highlight w:val="none"/>
              </w:rPr>
              <w:t>（1～2）</w:t>
            </w:r>
            <w:r>
              <w:rPr>
                <w:rFonts w:ascii="宋体" w:hAnsi="宋体"/>
                <w:color w:val="auto"/>
                <w:szCs w:val="21"/>
                <w:highlight w:val="none"/>
              </w:rPr>
              <w:t>分，扣完为止。</w:t>
            </w:r>
          </w:p>
          <w:p w14:paraId="40235E0E">
            <w:pPr>
              <w:spacing w:line="400" w:lineRule="exact"/>
              <w:ind w:firstLine="420" w:firstLineChars="200"/>
              <w:rPr>
                <w:rFonts w:ascii="宋体" w:hAnsi="宋体"/>
                <w:color w:val="auto"/>
                <w:szCs w:val="21"/>
                <w:highlight w:val="none"/>
              </w:rPr>
            </w:pPr>
            <w:r>
              <w:rPr>
                <w:rFonts w:ascii="宋体" w:hAnsi="宋体"/>
                <w:color w:val="auto"/>
                <w:szCs w:val="21"/>
                <w:highlight w:val="none"/>
              </w:rPr>
              <w:t>按插入法计算得分。</w:t>
            </w:r>
          </w:p>
          <w:p w14:paraId="027A6ABC">
            <w:pPr>
              <w:spacing w:line="400" w:lineRule="exact"/>
              <w:ind w:firstLine="420" w:firstLineChars="200"/>
              <w:rPr>
                <w:rFonts w:ascii="宋体" w:hAnsi="宋体"/>
                <w:color w:val="auto"/>
                <w:szCs w:val="21"/>
                <w:highlight w:val="none"/>
              </w:rPr>
            </w:pPr>
            <w:r>
              <w:rPr>
                <w:rFonts w:ascii="宋体" w:hAnsi="宋体"/>
                <w:color w:val="auto"/>
                <w:szCs w:val="21"/>
                <w:highlight w:val="none"/>
              </w:rPr>
              <w:t>未参与评标基准价计算的投标报价，仍应参加计算相应分值。</w:t>
            </w:r>
          </w:p>
          <w:p w14:paraId="3F2D132B">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投标总报价</w:t>
            </w:r>
            <w:r>
              <w:rPr>
                <w:rFonts w:ascii="宋体" w:hAnsi="宋体"/>
                <w:color w:val="auto"/>
                <w:kern w:val="0"/>
                <w:szCs w:val="21"/>
                <w:highlight w:val="none"/>
              </w:rPr>
              <w:t>评分</w:t>
            </w:r>
            <w:r>
              <w:rPr>
                <w:rFonts w:hint="eastAsia" w:ascii="宋体" w:hAnsi="宋体"/>
                <w:color w:val="auto"/>
                <w:kern w:val="0"/>
                <w:szCs w:val="21"/>
                <w:highlight w:val="none"/>
              </w:rPr>
              <w:t>的最终结果</w:t>
            </w:r>
            <w:r>
              <w:rPr>
                <w:rFonts w:ascii="宋体" w:hAnsi="宋体"/>
                <w:color w:val="auto"/>
                <w:kern w:val="0"/>
                <w:szCs w:val="21"/>
                <w:highlight w:val="none"/>
              </w:rPr>
              <w:t>取小数点后两位，第三位四舍五入。</w:t>
            </w:r>
          </w:p>
        </w:tc>
      </w:tr>
      <w:tr w14:paraId="79CC19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restart"/>
            <w:vAlign w:val="center"/>
          </w:tcPr>
          <w:p w14:paraId="016F54EC">
            <w:pPr>
              <w:spacing w:line="400" w:lineRule="exact"/>
              <w:jc w:val="center"/>
              <w:rPr>
                <w:rFonts w:ascii="宋体" w:hAnsi="宋体"/>
                <w:color w:val="auto"/>
                <w:highlight w:val="none"/>
              </w:rPr>
            </w:pPr>
            <w:r>
              <w:rPr>
                <w:rFonts w:ascii="宋体" w:hAnsi="宋体"/>
                <w:color w:val="auto"/>
                <w:highlight w:val="none"/>
              </w:rPr>
              <w:t>3.2.1（</w:t>
            </w:r>
            <w:r>
              <w:rPr>
                <w:rFonts w:hint="eastAsia" w:ascii="宋体" w:hAnsi="宋体"/>
                <w:color w:val="auto"/>
                <w:highlight w:val="none"/>
              </w:rPr>
              <w:t>3</w:t>
            </w:r>
            <w:r>
              <w:rPr>
                <w:rFonts w:ascii="宋体" w:hAnsi="宋体"/>
                <w:color w:val="auto"/>
                <w:highlight w:val="none"/>
              </w:rPr>
              <w:t>）</w:t>
            </w:r>
          </w:p>
        </w:tc>
        <w:tc>
          <w:tcPr>
            <w:tcW w:w="1560" w:type="dxa"/>
            <w:gridSpan w:val="2"/>
            <w:vMerge w:val="restart"/>
            <w:vAlign w:val="center"/>
          </w:tcPr>
          <w:p w14:paraId="109321BF">
            <w:pPr>
              <w:spacing w:line="400" w:lineRule="exact"/>
              <w:rPr>
                <w:rFonts w:ascii="宋体" w:hAnsi="宋体"/>
                <w:b/>
                <w:color w:val="auto"/>
                <w:kern w:val="0"/>
                <w:szCs w:val="21"/>
                <w:highlight w:val="none"/>
              </w:rPr>
            </w:pPr>
            <w:r>
              <w:rPr>
                <w:rFonts w:hint="eastAsia" w:ascii="宋体" w:hAnsi="宋体"/>
                <w:b/>
                <w:color w:val="auto"/>
                <w:kern w:val="0"/>
                <w:szCs w:val="21"/>
                <w:highlight w:val="none"/>
              </w:rPr>
              <w:t>□</w:t>
            </w:r>
            <w:r>
              <w:rPr>
                <w:rFonts w:ascii="宋体" w:hAnsi="宋体"/>
                <w:b/>
                <w:color w:val="auto"/>
                <w:kern w:val="0"/>
                <w:szCs w:val="21"/>
                <w:highlight w:val="none"/>
              </w:rPr>
              <w:t>选项</w:t>
            </w:r>
            <w:r>
              <w:rPr>
                <w:rFonts w:hint="eastAsia" w:ascii="宋体" w:hAnsi="宋体"/>
                <w:b/>
                <w:color w:val="auto"/>
                <w:kern w:val="0"/>
                <w:szCs w:val="21"/>
                <w:highlight w:val="none"/>
              </w:rPr>
              <w:t>三</w:t>
            </w:r>
            <w:r>
              <w:rPr>
                <w:rFonts w:ascii="宋体" w:hAnsi="宋体"/>
                <w:b/>
                <w:color w:val="auto"/>
                <w:kern w:val="0"/>
                <w:highlight w:val="none"/>
              </w:rPr>
              <w:t>：</w:t>
            </w:r>
          </w:p>
          <w:p w14:paraId="54B9D5C1">
            <w:pPr>
              <w:spacing w:line="400" w:lineRule="exact"/>
              <w:jc w:val="center"/>
              <w:rPr>
                <w:rFonts w:ascii="宋体" w:hAnsi="宋体"/>
                <w:color w:val="auto"/>
                <w:highlight w:val="none"/>
              </w:rPr>
            </w:pPr>
            <w:r>
              <w:rPr>
                <w:rFonts w:hint="eastAsia" w:ascii="宋体" w:hAnsi="宋体"/>
                <w:color w:val="auto"/>
                <w:highlight w:val="none"/>
              </w:rPr>
              <w:t>经济部分</w:t>
            </w:r>
            <w:r>
              <w:rPr>
                <w:rFonts w:ascii="宋体" w:hAnsi="宋体"/>
                <w:color w:val="auto"/>
                <w:kern w:val="0"/>
                <w:highlight w:val="none"/>
              </w:rPr>
              <w:t>得分</w:t>
            </w:r>
            <w:r>
              <w:rPr>
                <w:rFonts w:ascii="宋体" w:hAnsi="宋体"/>
                <w:color w:val="auto"/>
                <w:spacing w:val="-8"/>
                <w:highlight w:val="none"/>
              </w:rPr>
              <w:t>（</w:t>
            </w:r>
            <w:r>
              <w:rPr>
                <w:rFonts w:hint="eastAsia" w:ascii="宋体" w:hAnsi="宋体"/>
                <w:color w:val="auto"/>
                <w:spacing w:val="-8"/>
                <w:highlight w:val="none"/>
              </w:rPr>
              <w:t>C</w:t>
            </w:r>
            <w:r>
              <w:rPr>
                <w:rFonts w:ascii="宋体" w:hAnsi="宋体"/>
                <w:color w:val="auto"/>
                <w:spacing w:val="-8"/>
                <w:highlight w:val="none"/>
              </w:rPr>
              <w:t>）</w:t>
            </w:r>
          </w:p>
        </w:tc>
        <w:tc>
          <w:tcPr>
            <w:tcW w:w="1653" w:type="dxa"/>
            <w:gridSpan w:val="3"/>
            <w:vAlign w:val="center"/>
          </w:tcPr>
          <w:p w14:paraId="75D9DCC7">
            <w:pPr>
              <w:spacing w:line="400" w:lineRule="exact"/>
              <w:jc w:val="center"/>
              <w:rPr>
                <w:rFonts w:ascii="宋体" w:hAnsi="宋体"/>
                <w:color w:val="auto"/>
                <w:highlight w:val="none"/>
              </w:rPr>
            </w:pPr>
            <w:r>
              <w:rPr>
                <w:rFonts w:hint="eastAsia" w:ascii="宋体" w:hAnsi="宋体"/>
                <w:bCs/>
                <w:color w:val="auto"/>
                <w:kern w:val="0"/>
                <w:highlight w:val="none"/>
              </w:rPr>
              <w:t>□</w:t>
            </w:r>
            <w:r>
              <w:rPr>
                <w:rFonts w:hint="eastAsia" w:ascii="宋体" w:hAnsi="宋体"/>
                <w:color w:val="auto"/>
                <w:highlight w:val="none"/>
              </w:rPr>
              <w:t>设计费</w:t>
            </w:r>
            <w:r>
              <w:rPr>
                <w:rFonts w:ascii="宋体" w:hAnsi="宋体"/>
                <w:color w:val="auto"/>
                <w:highlight w:val="none"/>
              </w:rPr>
              <w:t>报价</w:t>
            </w:r>
          </w:p>
        </w:tc>
        <w:tc>
          <w:tcPr>
            <w:tcW w:w="5492" w:type="dxa"/>
            <w:vAlign w:val="center"/>
          </w:tcPr>
          <w:p w14:paraId="5336C10D">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w:t>
            </w:r>
            <w:r>
              <w:rPr>
                <w:rFonts w:hint="eastAsia" w:ascii="宋体" w:hAnsi="宋体"/>
                <w:color w:val="auto"/>
                <w:szCs w:val="21"/>
                <w:highlight w:val="none"/>
              </w:rPr>
              <w:t>暂定设计费</w:t>
            </w:r>
            <w:r>
              <w:rPr>
                <w:rFonts w:ascii="宋体" w:hAnsi="宋体"/>
                <w:color w:val="auto"/>
                <w:szCs w:val="21"/>
                <w:highlight w:val="none"/>
              </w:rPr>
              <w:t>报</w:t>
            </w:r>
            <w:r>
              <w:rPr>
                <w:rFonts w:ascii="宋体" w:hAnsi="宋体"/>
                <w:color w:val="auto"/>
                <w:kern w:val="0"/>
                <w:szCs w:val="21"/>
                <w:highlight w:val="none"/>
              </w:rPr>
              <w:t>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ascii="宋体" w:hAnsi="宋体"/>
                <w:color w:val="auto"/>
                <w:szCs w:val="21"/>
                <w:highlight w:val="none"/>
              </w:rPr>
              <w:t>分。在此基础上，</w:t>
            </w:r>
            <w:r>
              <w:rPr>
                <w:rFonts w:hint="eastAsia" w:ascii="宋体" w:hAnsi="宋体"/>
                <w:color w:val="auto"/>
                <w:szCs w:val="21"/>
                <w:highlight w:val="none"/>
              </w:rPr>
              <w:t>暂定设计费</w:t>
            </w:r>
            <w:r>
              <w:rPr>
                <w:rFonts w:ascii="宋体" w:hAnsi="宋体"/>
                <w:color w:val="auto"/>
                <w:szCs w:val="21"/>
                <w:highlight w:val="none"/>
              </w:rPr>
              <w:t>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ascii="宋体" w:hAnsi="宋体"/>
                <w:color w:val="auto"/>
                <w:szCs w:val="21"/>
                <w:highlight w:val="none"/>
                <w:u w:val="single"/>
              </w:rPr>
              <w:t xml:space="preserve">  </w:t>
            </w:r>
            <w:r>
              <w:rPr>
                <w:rFonts w:hint="eastAsia" w:ascii="宋体" w:hAnsi="宋体"/>
                <w:color w:val="auto"/>
                <w:szCs w:val="21"/>
                <w:highlight w:val="none"/>
              </w:rPr>
              <w:t>（0.2～0.4）</w:t>
            </w:r>
            <w:r>
              <w:rPr>
                <w:rFonts w:ascii="宋体" w:hAnsi="宋体"/>
                <w:color w:val="auto"/>
                <w:szCs w:val="21"/>
                <w:highlight w:val="none"/>
              </w:rPr>
              <w:t>分，每减少1%</w:t>
            </w:r>
            <w:r>
              <w:rPr>
                <w:rFonts w:hint="eastAsia" w:ascii="宋体" w:hAnsi="宋体"/>
                <w:color w:val="auto"/>
                <w:szCs w:val="21"/>
                <w:highlight w:val="none"/>
              </w:rPr>
              <w:t>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hint="eastAsia" w:ascii="宋体" w:hAnsi="宋体"/>
                <w:color w:val="auto"/>
                <w:szCs w:val="21"/>
                <w:highlight w:val="none"/>
              </w:rPr>
              <w:t>（0.1～0.2）</w:t>
            </w:r>
            <w:r>
              <w:rPr>
                <w:rFonts w:ascii="宋体" w:hAnsi="宋体"/>
                <w:color w:val="auto"/>
                <w:szCs w:val="21"/>
                <w:highlight w:val="none"/>
              </w:rPr>
              <w:t>分，扣完为止。</w:t>
            </w:r>
          </w:p>
          <w:p w14:paraId="63CA7814">
            <w:pPr>
              <w:spacing w:line="400" w:lineRule="exact"/>
              <w:ind w:firstLine="420" w:firstLineChars="200"/>
              <w:rPr>
                <w:rFonts w:ascii="宋体" w:hAnsi="宋体"/>
                <w:color w:val="auto"/>
                <w:szCs w:val="21"/>
                <w:highlight w:val="none"/>
              </w:rPr>
            </w:pPr>
            <w:r>
              <w:rPr>
                <w:rFonts w:ascii="宋体" w:hAnsi="宋体"/>
                <w:color w:val="auto"/>
                <w:szCs w:val="21"/>
                <w:highlight w:val="none"/>
              </w:rPr>
              <w:t>按插入法计算得分。</w:t>
            </w:r>
          </w:p>
          <w:p w14:paraId="02914F1D">
            <w:pPr>
              <w:spacing w:line="400" w:lineRule="exact"/>
              <w:ind w:firstLine="420" w:firstLineChars="200"/>
              <w:rPr>
                <w:rFonts w:ascii="宋体" w:hAnsi="宋体"/>
                <w:color w:val="auto"/>
                <w:szCs w:val="21"/>
                <w:highlight w:val="none"/>
              </w:rPr>
            </w:pPr>
            <w:r>
              <w:rPr>
                <w:rFonts w:ascii="宋体" w:hAnsi="宋体"/>
                <w:color w:val="auto"/>
                <w:szCs w:val="21"/>
                <w:highlight w:val="none"/>
              </w:rPr>
              <w:t>未参与评标基准价计算的</w:t>
            </w:r>
            <w:r>
              <w:rPr>
                <w:rFonts w:hint="eastAsia" w:ascii="宋体" w:hAnsi="宋体"/>
                <w:color w:val="auto"/>
                <w:szCs w:val="21"/>
                <w:highlight w:val="none"/>
              </w:rPr>
              <w:t>暂定设计费</w:t>
            </w:r>
            <w:r>
              <w:rPr>
                <w:rFonts w:ascii="宋体" w:hAnsi="宋体"/>
                <w:color w:val="auto"/>
                <w:szCs w:val="21"/>
                <w:highlight w:val="none"/>
              </w:rPr>
              <w:t>投标报价，仍应参加计算相应分值。</w:t>
            </w:r>
          </w:p>
          <w:p w14:paraId="18C58D17">
            <w:pPr>
              <w:spacing w:line="400" w:lineRule="exact"/>
              <w:ind w:firstLine="420" w:firstLineChars="200"/>
              <w:rPr>
                <w:rFonts w:ascii="宋体" w:hAnsi="宋体"/>
                <w:color w:val="auto"/>
                <w:kern w:val="0"/>
                <w:highlight w:val="none"/>
              </w:rPr>
            </w:pPr>
            <w:r>
              <w:rPr>
                <w:rFonts w:hint="eastAsia" w:ascii="宋体" w:hAnsi="宋体"/>
                <w:color w:val="auto"/>
                <w:kern w:val="0"/>
                <w:szCs w:val="21"/>
                <w:highlight w:val="none"/>
              </w:rPr>
              <w:t>设计费</w:t>
            </w:r>
            <w:r>
              <w:rPr>
                <w:rFonts w:ascii="宋体" w:hAnsi="宋体"/>
                <w:color w:val="auto"/>
                <w:kern w:val="0"/>
                <w:szCs w:val="21"/>
                <w:highlight w:val="none"/>
              </w:rPr>
              <w:t>报价评</w:t>
            </w:r>
            <w:r>
              <w:rPr>
                <w:rFonts w:hint="eastAsia" w:ascii="宋体" w:hAnsi="宋体"/>
                <w:color w:val="auto"/>
                <w:kern w:val="0"/>
                <w:szCs w:val="21"/>
                <w:highlight w:val="none"/>
              </w:rPr>
              <w:t>分的最终结果</w:t>
            </w:r>
            <w:r>
              <w:rPr>
                <w:rFonts w:ascii="宋体" w:hAnsi="宋体"/>
                <w:color w:val="auto"/>
                <w:kern w:val="0"/>
                <w:szCs w:val="21"/>
                <w:highlight w:val="none"/>
              </w:rPr>
              <w:t>取小数点后两位，第三位四舍五入。</w:t>
            </w:r>
          </w:p>
        </w:tc>
      </w:tr>
      <w:tr w14:paraId="60360D7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vAlign w:val="center"/>
          </w:tcPr>
          <w:p w14:paraId="2095A519">
            <w:pPr>
              <w:spacing w:line="400" w:lineRule="exact"/>
              <w:jc w:val="center"/>
              <w:rPr>
                <w:rFonts w:ascii="宋体" w:hAnsi="宋体"/>
                <w:color w:val="auto"/>
                <w:highlight w:val="none"/>
              </w:rPr>
            </w:pPr>
          </w:p>
        </w:tc>
        <w:tc>
          <w:tcPr>
            <w:tcW w:w="1560" w:type="dxa"/>
            <w:gridSpan w:val="2"/>
            <w:vMerge w:val="continue"/>
            <w:vAlign w:val="center"/>
          </w:tcPr>
          <w:p w14:paraId="5DBB932B">
            <w:pPr>
              <w:spacing w:line="400" w:lineRule="exact"/>
              <w:jc w:val="center"/>
              <w:rPr>
                <w:rFonts w:ascii="宋体" w:hAnsi="宋体"/>
                <w:color w:val="auto"/>
                <w:highlight w:val="none"/>
              </w:rPr>
            </w:pPr>
          </w:p>
        </w:tc>
        <w:tc>
          <w:tcPr>
            <w:tcW w:w="1653" w:type="dxa"/>
            <w:gridSpan w:val="3"/>
            <w:vAlign w:val="center"/>
          </w:tcPr>
          <w:p w14:paraId="30E49588">
            <w:pPr>
              <w:spacing w:line="400" w:lineRule="exact"/>
              <w:jc w:val="center"/>
              <w:rPr>
                <w:rFonts w:ascii="宋体" w:hAnsi="宋体"/>
                <w:color w:val="auto"/>
                <w:highlight w:val="none"/>
              </w:rPr>
            </w:pPr>
            <w:r>
              <w:rPr>
                <w:rFonts w:hint="eastAsia" w:ascii="宋体" w:hAnsi="宋体"/>
                <w:bCs/>
                <w:color w:val="auto"/>
                <w:kern w:val="0"/>
                <w:highlight w:val="none"/>
              </w:rPr>
              <w:t>□</w:t>
            </w:r>
            <w:r>
              <w:rPr>
                <w:rFonts w:hint="eastAsia" w:ascii="宋体" w:hAnsi="宋体" w:cs="宋体"/>
                <w:color w:val="auto"/>
                <w:kern w:val="0"/>
                <w:highlight w:val="none"/>
              </w:rPr>
              <w:t>专业设备材料费报价</w:t>
            </w:r>
          </w:p>
        </w:tc>
        <w:tc>
          <w:tcPr>
            <w:tcW w:w="5492" w:type="dxa"/>
            <w:vAlign w:val="center"/>
          </w:tcPr>
          <w:p w14:paraId="2D64A75E">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w:t>
            </w:r>
            <w:r>
              <w:rPr>
                <w:rFonts w:hint="eastAsia" w:ascii="宋体" w:hAnsi="宋体"/>
                <w:color w:val="auto"/>
                <w:kern w:val="0"/>
                <w:highlight w:val="none"/>
              </w:rPr>
              <w:t>暂定</w:t>
            </w:r>
            <w:r>
              <w:rPr>
                <w:rFonts w:hint="eastAsia" w:ascii="宋体" w:hAnsi="宋体" w:cs="宋体"/>
                <w:color w:val="auto"/>
                <w:kern w:val="0"/>
                <w:highlight w:val="none"/>
              </w:rPr>
              <w:t>专业设备材料费</w:t>
            </w:r>
            <w:r>
              <w:rPr>
                <w:rFonts w:hint="eastAsia" w:ascii="宋体" w:hAnsi="宋体"/>
                <w:color w:val="auto"/>
                <w:kern w:val="0"/>
                <w:highlight w:val="none"/>
              </w:rPr>
              <w:t>报价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ascii="宋体" w:hAnsi="宋体"/>
                <w:color w:val="auto"/>
                <w:szCs w:val="21"/>
                <w:highlight w:val="none"/>
              </w:rPr>
              <w:t>分。在此基础上，</w:t>
            </w:r>
            <w:r>
              <w:rPr>
                <w:rFonts w:hint="eastAsia" w:ascii="宋体" w:hAnsi="宋体"/>
                <w:color w:val="auto"/>
                <w:szCs w:val="21"/>
                <w:highlight w:val="none"/>
              </w:rPr>
              <w:t>暂定</w:t>
            </w:r>
            <w:r>
              <w:rPr>
                <w:rFonts w:hint="eastAsia" w:ascii="宋体" w:hAnsi="宋体" w:cs="宋体"/>
                <w:color w:val="auto"/>
                <w:kern w:val="0"/>
                <w:highlight w:val="none"/>
              </w:rPr>
              <w:t>专业设备材料费</w:t>
            </w:r>
            <w:r>
              <w:rPr>
                <w:rFonts w:ascii="宋体" w:hAnsi="宋体"/>
                <w:color w:val="auto"/>
                <w:szCs w:val="21"/>
                <w:highlight w:val="none"/>
              </w:rPr>
              <w:t>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hint="eastAsia" w:ascii="宋体" w:hAnsi="宋体"/>
                <w:color w:val="auto"/>
                <w:szCs w:val="21"/>
                <w:highlight w:val="none"/>
              </w:rPr>
              <w:t>（0.5～1）</w:t>
            </w:r>
            <w:r>
              <w:rPr>
                <w:rFonts w:ascii="宋体" w:hAnsi="宋体"/>
                <w:color w:val="auto"/>
                <w:szCs w:val="21"/>
                <w:highlight w:val="none"/>
              </w:rPr>
              <w:t>分，每减少1%扣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hint="eastAsia" w:ascii="宋体" w:hAnsi="宋体"/>
                <w:color w:val="auto"/>
                <w:szCs w:val="21"/>
                <w:highlight w:val="none"/>
              </w:rPr>
              <w:t>（0.25～0.5）</w:t>
            </w:r>
            <w:r>
              <w:rPr>
                <w:rFonts w:ascii="宋体" w:hAnsi="宋体"/>
                <w:color w:val="auto"/>
                <w:szCs w:val="21"/>
                <w:highlight w:val="none"/>
              </w:rPr>
              <w:t>分，扣完为止。</w:t>
            </w:r>
          </w:p>
          <w:p w14:paraId="6DD4E180">
            <w:pPr>
              <w:spacing w:line="400" w:lineRule="exact"/>
              <w:ind w:firstLine="420" w:firstLineChars="200"/>
              <w:rPr>
                <w:rFonts w:ascii="宋体" w:hAnsi="宋体"/>
                <w:color w:val="auto"/>
                <w:szCs w:val="21"/>
                <w:highlight w:val="none"/>
              </w:rPr>
            </w:pPr>
            <w:r>
              <w:rPr>
                <w:rFonts w:ascii="宋体" w:hAnsi="宋体"/>
                <w:color w:val="auto"/>
                <w:szCs w:val="21"/>
                <w:highlight w:val="none"/>
              </w:rPr>
              <w:t>按插入法计算得分。</w:t>
            </w:r>
          </w:p>
          <w:p w14:paraId="6B363E1D">
            <w:pPr>
              <w:spacing w:line="400" w:lineRule="exact"/>
              <w:ind w:firstLine="420" w:firstLineChars="200"/>
              <w:rPr>
                <w:rFonts w:ascii="宋体" w:hAnsi="宋体"/>
                <w:color w:val="auto"/>
                <w:szCs w:val="21"/>
                <w:highlight w:val="none"/>
              </w:rPr>
            </w:pPr>
            <w:r>
              <w:rPr>
                <w:rFonts w:ascii="宋体" w:hAnsi="宋体"/>
                <w:color w:val="auto"/>
                <w:szCs w:val="21"/>
                <w:highlight w:val="none"/>
              </w:rPr>
              <w:t>未参与评标基准价计算的</w:t>
            </w:r>
            <w:r>
              <w:rPr>
                <w:rFonts w:hint="eastAsia" w:ascii="宋体" w:hAnsi="宋体"/>
                <w:color w:val="auto"/>
                <w:szCs w:val="21"/>
                <w:highlight w:val="none"/>
              </w:rPr>
              <w:t>暂定</w:t>
            </w:r>
            <w:r>
              <w:rPr>
                <w:rFonts w:hint="eastAsia" w:ascii="宋体" w:hAnsi="宋体" w:cs="宋体"/>
                <w:color w:val="auto"/>
                <w:kern w:val="0"/>
                <w:highlight w:val="none"/>
              </w:rPr>
              <w:t>专业设备材料费</w:t>
            </w:r>
            <w:r>
              <w:rPr>
                <w:rFonts w:ascii="宋体" w:hAnsi="宋体"/>
                <w:color w:val="auto"/>
                <w:szCs w:val="21"/>
                <w:highlight w:val="none"/>
              </w:rPr>
              <w:t>投标报价，仍应参加计算相应分值。</w:t>
            </w:r>
          </w:p>
          <w:p w14:paraId="2F33FEC4">
            <w:pPr>
              <w:spacing w:line="400" w:lineRule="exact"/>
              <w:ind w:firstLine="420" w:firstLineChars="200"/>
              <w:rPr>
                <w:rFonts w:ascii="宋体" w:hAnsi="宋体"/>
                <w:color w:val="auto"/>
                <w:kern w:val="0"/>
                <w:szCs w:val="21"/>
                <w:highlight w:val="none"/>
              </w:rPr>
            </w:pPr>
            <w:r>
              <w:rPr>
                <w:rFonts w:hint="eastAsia" w:ascii="宋体" w:hAnsi="宋体" w:cs="宋体"/>
                <w:color w:val="auto"/>
                <w:kern w:val="0"/>
                <w:highlight w:val="none"/>
              </w:rPr>
              <w:t>专业设备材料费报价</w:t>
            </w:r>
            <w:r>
              <w:rPr>
                <w:rFonts w:hint="eastAsia" w:ascii="宋体" w:hAnsi="宋体"/>
                <w:color w:val="auto"/>
                <w:kern w:val="0"/>
                <w:szCs w:val="21"/>
                <w:highlight w:val="none"/>
              </w:rPr>
              <w:t>评分的最终结果</w:t>
            </w:r>
            <w:r>
              <w:rPr>
                <w:rFonts w:ascii="宋体" w:hAnsi="宋体"/>
                <w:color w:val="auto"/>
                <w:kern w:val="0"/>
                <w:szCs w:val="21"/>
                <w:highlight w:val="none"/>
              </w:rPr>
              <w:t>取小数点后两位，第三位四舍五入。</w:t>
            </w:r>
          </w:p>
        </w:tc>
      </w:tr>
      <w:tr w14:paraId="25CDB8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768" w:type="dxa"/>
            <w:vMerge w:val="continue"/>
            <w:vAlign w:val="center"/>
          </w:tcPr>
          <w:p w14:paraId="3B9E0758">
            <w:pPr>
              <w:spacing w:line="400" w:lineRule="exact"/>
              <w:jc w:val="center"/>
              <w:rPr>
                <w:rFonts w:ascii="宋体" w:hAnsi="宋体"/>
                <w:color w:val="auto"/>
                <w:highlight w:val="none"/>
              </w:rPr>
            </w:pPr>
          </w:p>
        </w:tc>
        <w:tc>
          <w:tcPr>
            <w:tcW w:w="1560" w:type="dxa"/>
            <w:gridSpan w:val="2"/>
            <w:vMerge w:val="continue"/>
            <w:vAlign w:val="center"/>
          </w:tcPr>
          <w:p w14:paraId="598F1BEE">
            <w:pPr>
              <w:spacing w:line="400" w:lineRule="exact"/>
              <w:jc w:val="center"/>
              <w:rPr>
                <w:rFonts w:ascii="宋体" w:hAnsi="宋体"/>
                <w:color w:val="auto"/>
                <w:highlight w:val="none"/>
              </w:rPr>
            </w:pPr>
          </w:p>
        </w:tc>
        <w:tc>
          <w:tcPr>
            <w:tcW w:w="1653" w:type="dxa"/>
            <w:gridSpan w:val="3"/>
            <w:vAlign w:val="center"/>
          </w:tcPr>
          <w:p w14:paraId="53484D50">
            <w:pPr>
              <w:spacing w:line="400" w:lineRule="exact"/>
              <w:jc w:val="center"/>
              <w:rPr>
                <w:rFonts w:ascii="宋体" w:hAnsi="宋体"/>
                <w:color w:val="auto"/>
                <w:highlight w:val="none"/>
              </w:rPr>
            </w:pPr>
            <w:r>
              <w:rPr>
                <w:rFonts w:hint="eastAsia" w:ascii="宋体" w:hAnsi="宋体"/>
                <w:color w:val="auto"/>
                <w:highlight w:val="none"/>
              </w:rPr>
              <w:t>建筑安装工程费报价</w:t>
            </w:r>
          </w:p>
        </w:tc>
        <w:tc>
          <w:tcPr>
            <w:tcW w:w="5492" w:type="dxa"/>
            <w:vAlign w:val="center"/>
          </w:tcPr>
          <w:p w14:paraId="671AA9D1">
            <w:pPr>
              <w:spacing w:line="400" w:lineRule="exact"/>
              <w:ind w:firstLine="420" w:firstLineChars="200"/>
              <w:rPr>
                <w:rFonts w:ascii="宋体" w:hAnsi="宋体"/>
                <w:color w:val="auto"/>
                <w:szCs w:val="21"/>
                <w:highlight w:val="none"/>
              </w:rPr>
            </w:pPr>
            <w:r>
              <w:rPr>
                <w:rFonts w:ascii="宋体" w:hAnsi="宋体"/>
                <w:color w:val="auto"/>
                <w:kern w:val="0"/>
                <w:szCs w:val="21"/>
                <w:highlight w:val="none"/>
              </w:rPr>
              <w:t>所有通过初步评审</w:t>
            </w:r>
            <w:r>
              <w:rPr>
                <w:rFonts w:hint="eastAsia" w:ascii="宋体" w:hAnsi="宋体"/>
                <w:color w:val="auto"/>
                <w:kern w:val="0"/>
                <w:szCs w:val="21"/>
                <w:highlight w:val="none"/>
              </w:rPr>
              <w:t>和本章第2.2.2（3）目评审</w:t>
            </w:r>
            <w:r>
              <w:rPr>
                <w:rFonts w:ascii="宋体" w:hAnsi="宋体"/>
                <w:color w:val="auto"/>
                <w:kern w:val="0"/>
                <w:szCs w:val="21"/>
                <w:highlight w:val="none"/>
              </w:rPr>
              <w:t>合格的投标人</w:t>
            </w:r>
            <w:r>
              <w:rPr>
                <w:rFonts w:ascii="宋体" w:hAnsi="宋体"/>
                <w:color w:val="auto"/>
                <w:szCs w:val="21"/>
                <w:highlight w:val="none"/>
              </w:rPr>
              <w:t>的</w:t>
            </w:r>
            <w:r>
              <w:rPr>
                <w:rFonts w:hint="eastAsia" w:ascii="宋体" w:hAnsi="宋体"/>
                <w:color w:val="auto"/>
                <w:kern w:val="0"/>
                <w:highlight w:val="none"/>
              </w:rPr>
              <w:t>暂定建筑安装工程费报价</w:t>
            </w:r>
            <w:r>
              <w:rPr>
                <w:rFonts w:ascii="宋体" w:hAnsi="宋体"/>
                <w:color w:val="auto"/>
                <w:szCs w:val="21"/>
                <w:highlight w:val="none"/>
              </w:rPr>
              <w:t>，得</w:t>
            </w:r>
            <w:r>
              <w:rPr>
                <w:rFonts w:ascii="宋体" w:hAnsi="宋体"/>
                <w:bCs/>
                <w:color w:val="auto"/>
                <w:szCs w:val="28"/>
                <w:highlight w:val="none"/>
              </w:rPr>
              <w:t>本附表第2.2.1项规定分值的满分</w:t>
            </w:r>
            <w:r>
              <w:rPr>
                <w:rFonts w:ascii="宋体" w:hAnsi="宋体"/>
                <w:bCs/>
                <w:color w:val="auto"/>
                <w:szCs w:val="28"/>
                <w:highlight w:val="none"/>
                <w:u w:val="single"/>
              </w:rPr>
              <w:t xml:space="preserve">    </w:t>
            </w:r>
            <w:r>
              <w:rPr>
                <w:rFonts w:ascii="宋体" w:hAnsi="宋体"/>
                <w:color w:val="auto"/>
                <w:szCs w:val="21"/>
                <w:highlight w:val="none"/>
              </w:rPr>
              <w:t>分。在此基础上，</w:t>
            </w:r>
            <w:r>
              <w:rPr>
                <w:rFonts w:hint="eastAsia" w:ascii="宋体" w:hAnsi="宋体"/>
                <w:color w:val="auto"/>
                <w:szCs w:val="21"/>
                <w:highlight w:val="none"/>
              </w:rPr>
              <w:t>暂定建筑安装工程费</w:t>
            </w:r>
            <w:r>
              <w:rPr>
                <w:rFonts w:ascii="宋体" w:hAnsi="宋体"/>
                <w:color w:val="auto"/>
                <w:szCs w:val="21"/>
                <w:highlight w:val="none"/>
              </w:rPr>
              <w:t>报价与评标基准价相比，每增加1%扣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hint="eastAsia" w:ascii="宋体" w:hAnsi="宋体"/>
                <w:color w:val="auto"/>
                <w:szCs w:val="21"/>
                <w:highlight w:val="none"/>
              </w:rPr>
              <w:t>（1～2）</w:t>
            </w:r>
            <w:r>
              <w:rPr>
                <w:rFonts w:ascii="宋体" w:hAnsi="宋体"/>
                <w:color w:val="auto"/>
                <w:szCs w:val="21"/>
                <w:highlight w:val="none"/>
              </w:rPr>
              <w:t>分，每减少1%扣</w:t>
            </w:r>
            <w:r>
              <w:rPr>
                <w:rFonts w:ascii="宋体" w:hAnsi="宋体"/>
                <w:color w:val="auto"/>
                <w:szCs w:val="21"/>
                <w:highlight w:val="none"/>
                <w:u w:val="single"/>
              </w:rPr>
              <w:t>　</w:t>
            </w:r>
            <w:r>
              <w:rPr>
                <w:rFonts w:hint="eastAsia" w:ascii="宋体" w:hAnsi="宋体"/>
                <w:color w:val="auto"/>
                <w:szCs w:val="21"/>
                <w:highlight w:val="none"/>
                <w:u w:val="single"/>
              </w:rPr>
              <w:t xml:space="preserve">  </w:t>
            </w:r>
            <w:r>
              <w:rPr>
                <w:rFonts w:hint="eastAsia" w:ascii="宋体" w:hAnsi="宋体"/>
                <w:color w:val="auto"/>
                <w:szCs w:val="21"/>
                <w:highlight w:val="none"/>
              </w:rPr>
              <w:t>（0.5～1）</w:t>
            </w:r>
            <w:r>
              <w:rPr>
                <w:rFonts w:ascii="宋体" w:hAnsi="宋体"/>
                <w:color w:val="auto"/>
                <w:szCs w:val="21"/>
                <w:highlight w:val="none"/>
              </w:rPr>
              <w:t>分，扣完为止。</w:t>
            </w:r>
          </w:p>
          <w:p w14:paraId="2B0DB435">
            <w:pPr>
              <w:spacing w:line="400" w:lineRule="exact"/>
              <w:ind w:firstLine="420" w:firstLineChars="200"/>
              <w:rPr>
                <w:rFonts w:ascii="宋体" w:hAnsi="宋体"/>
                <w:color w:val="auto"/>
                <w:szCs w:val="21"/>
                <w:highlight w:val="none"/>
              </w:rPr>
            </w:pPr>
            <w:r>
              <w:rPr>
                <w:rFonts w:ascii="宋体" w:hAnsi="宋体"/>
                <w:color w:val="auto"/>
                <w:szCs w:val="21"/>
                <w:highlight w:val="none"/>
              </w:rPr>
              <w:t>按插入法计算得分。</w:t>
            </w:r>
          </w:p>
          <w:p w14:paraId="628F8350">
            <w:pPr>
              <w:spacing w:line="400" w:lineRule="exact"/>
              <w:ind w:firstLine="420" w:firstLineChars="200"/>
              <w:rPr>
                <w:rFonts w:ascii="宋体" w:hAnsi="宋体"/>
                <w:color w:val="auto"/>
                <w:szCs w:val="21"/>
                <w:highlight w:val="none"/>
              </w:rPr>
            </w:pPr>
            <w:r>
              <w:rPr>
                <w:rFonts w:ascii="宋体" w:hAnsi="宋体"/>
                <w:color w:val="auto"/>
                <w:szCs w:val="21"/>
                <w:highlight w:val="none"/>
              </w:rPr>
              <w:t>未参与评标基准价计算的</w:t>
            </w:r>
            <w:r>
              <w:rPr>
                <w:rFonts w:hint="eastAsia" w:ascii="宋体" w:hAnsi="宋体"/>
                <w:color w:val="auto"/>
                <w:szCs w:val="21"/>
                <w:highlight w:val="none"/>
              </w:rPr>
              <w:t>暂定建筑安装工程费</w:t>
            </w:r>
            <w:r>
              <w:rPr>
                <w:rFonts w:ascii="宋体" w:hAnsi="宋体"/>
                <w:color w:val="auto"/>
                <w:szCs w:val="21"/>
                <w:highlight w:val="none"/>
              </w:rPr>
              <w:t>投标报价，仍应参加计算相应分值。</w:t>
            </w:r>
          </w:p>
          <w:p w14:paraId="3F6C1225">
            <w:pPr>
              <w:spacing w:line="400" w:lineRule="exact"/>
              <w:ind w:firstLine="420" w:firstLineChars="200"/>
              <w:rPr>
                <w:rFonts w:ascii="宋体" w:hAnsi="宋体"/>
                <w:color w:val="auto"/>
                <w:kern w:val="0"/>
                <w:szCs w:val="21"/>
                <w:highlight w:val="none"/>
              </w:rPr>
            </w:pPr>
            <w:r>
              <w:rPr>
                <w:rFonts w:hint="eastAsia" w:ascii="宋体" w:hAnsi="宋体"/>
                <w:color w:val="auto"/>
                <w:kern w:val="0"/>
                <w:szCs w:val="21"/>
                <w:highlight w:val="none"/>
              </w:rPr>
              <w:t>建筑安装工程费</w:t>
            </w:r>
            <w:r>
              <w:rPr>
                <w:rFonts w:ascii="宋体" w:hAnsi="宋体"/>
                <w:color w:val="auto"/>
                <w:kern w:val="0"/>
                <w:szCs w:val="21"/>
                <w:highlight w:val="none"/>
              </w:rPr>
              <w:t>报价评</w:t>
            </w:r>
            <w:r>
              <w:rPr>
                <w:rFonts w:hint="eastAsia" w:ascii="宋体" w:hAnsi="宋体"/>
                <w:color w:val="auto"/>
                <w:kern w:val="0"/>
                <w:szCs w:val="21"/>
                <w:highlight w:val="none"/>
              </w:rPr>
              <w:t>分的最终结果</w:t>
            </w:r>
            <w:r>
              <w:rPr>
                <w:rFonts w:ascii="宋体" w:hAnsi="宋体"/>
                <w:color w:val="auto"/>
                <w:kern w:val="0"/>
                <w:szCs w:val="21"/>
                <w:highlight w:val="none"/>
              </w:rPr>
              <w:t>取小数点后两位，第三位四舍五入。</w:t>
            </w:r>
          </w:p>
        </w:tc>
      </w:tr>
      <w:tr w14:paraId="2E08C9F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2328" w:type="dxa"/>
            <w:gridSpan w:val="3"/>
            <w:vAlign w:val="center"/>
          </w:tcPr>
          <w:p w14:paraId="26F78377">
            <w:pPr>
              <w:spacing w:line="400" w:lineRule="exact"/>
              <w:ind w:firstLine="18" w:firstLineChars="9"/>
              <w:jc w:val="center"/>
              <w:rPr>
                <w:rFonts w:ascii="宋体" w:hAnsi="宋体"/>
                <w:color w:val="auto"/>
                <w:szCs w:val="21"/>
                <w:highlight w:val="none"/>
              </w:rPr>
            </w:pPr>
            <w:r>
              <w:rPr>
                <w:rFonts w:ascii="宋体" w:hAnsi="宋体"/>
                <w:color w:val="auto"/>
                <w:szCs w:val="21"/>
                <w:highlight w:val="none"/>
              </w:rPr>
              <w:t>3.2.3</w:t>
            </w:r>
          </w:p>
        </w:tc>
        <w:tc>
          <w:tcPr>
            <w:tcW w:w="1653" w:type="dxa"/>
            <w:gridSpan w:val="3"/>
            <w:vAlign w:val="center"/>
          </w:tcPr>
          <w:p w14:paraId="5FAC349E">
            <w:pPr>
              <w:spacing w:line="400" w:lineRule="exact"/>
              <w:ind w:firstLine="18" w:firstLineChars="9"/>
              <w:jc w:val="center"/>
              <w:rPr>
                <w:rFonts w:ascii="宋体" w:hAnsi="宋体"/>
                <w:color w:val="auto"/>
                <w:szCs w:val="21"/>
                <w:highlight w:val="none"/>
              </w:rPr>
            </w:pPr>
            <w:r>
              <w:rPr>
                <w:rFonts w:ascii="宋体" w:hAnsi="宋体"/>
                <w:color w:val="auto"/>
                <w:szCs w:val="21"/>
                <w:highlight w:val="none"/>
              </w:rPr>
              <w:t>投标人得分</w:t>
            </w:r>
          </w:p>
        </w:tc>
        <w:tc>
          <w:tcPr>
            <w:tcW w:w="5492" w:type="dxa"/>
            <w:vAlign w:val="center"/>
          </w:tcPr>
          <w:p w14:paraId="3E14FAFD">
            <w:pPr>
              <w:spacing w:line="400" w:lineRule="exact"/>
              <w:jc w:val="center"/>
              <w:rPr>
                <w:rFonts w:ascii="宋体" w:hAnsi="宋体"/>
                <w:color w:val="auto"/>
                <w:szCs w:val="21"/>
                <w:highlight w:val="none"/>
                <w:u w:val="single"/>
              </w:rPr>
            </w:pPr>
            <w:r>
              <w:rPr>
                <w:rFonts w:ascii="宋体" w:hAnsi="宋体"/>
                <w:color w:val="auto"/>
                <w:szCs w:val="21"/>
                <w:highlight w:val="none"/>
              </w:rPr>
              <w:t>投标人得分=A+B</w:t>
            </w:r>
            <w:r>
              <w:rPr>
                <w:rFonts w:hint="eastAsia" w:ascii="宋体" w:hAnsi="宋体"/>
                <w:color w:val="auto"/>
                <w:szCs w:val="21"/>
                <w:highlight w:val="none"/>
              </w:rPr>
              <w:t>+C</w:t>
            </w:r>
          </w:p>
        </w:tc>
      </w:tr>
    </w:tbl>
    <w:p w14:paraId="75FCE67E">
      <w:pPr>
        <w:pStyle w:val="4"/>
        <w:spacing w:before="0" w:after="0" w:line="360" w:lineRule="auto"/>
        <w:rPr>
          <w:rFonts w:ascii="宋体" w:hAnsi="宋体"/>
          <w:b w:val="0"/>
          <w:snapToGrid w:val="0"/>
          <w:color w:val="auto"/>
          <w:highlight w:val="none"/>
        </w:rPr>
      </w:pPr>
      <w:bookmarkStart w:id="614" w:name="_Toc509218776"/>
      <w:r>
        <w:rPr>
          <w:rFonts w:ascii="宋体" w:hAnsi="宋体"/>
          <w:b w:val="0"/>
          <w:snapToGrid w:val="0"/>
          <w:color w:val="auto"/>
          <w:highlight w:val="none"/>
        </w:rPr>
        <w:br w:type="page"/>
      </w:r>
      <w:bookmarkStart w:id="615" w:name="_Toc58860134"/>
      <w:r>
        <w:rPr>
          <w:rFonts w:ascii="宋体" w:hAnsi="宋体"/>
          <w:b w:val="0"/>
          <w:snapToGrid w:val="0"/>
          <w:color w:val="auto"/>
          <w:highlight w:val="none"/>
        </w:rPr>
        <w:t>1.  评标方法</w:t>
      </w:r>
      <w:bookmarkEnd w:id="599"/>
      <w:bookmarkEnd w:id="600"/>
      <w:bookmarkEnd w:id="601"/>
      <w:bookmarkEnd w:id="602"/>
      <w:bookmarkEnd w:id="603"/>
      <w:bookmarkEnd w:id="604"/>
      <w:bookmarkEnd w:id="614"/>
      <w:bookmarkEnd w:id="615"/>
    </w:p>
    <w:p w14:paraId="1D75E7D6">
      <w:pPr>
        <w:autoSpaceDE w:val="0"/>
        <w:autoSpaceDN w:val="0"/>
        <w:adjustRightInd w:val="0"/>
        <w:snapToGrid w:val="0"/>
        <w:spacing w:line="360" w:lineRule="auto"/>
        <w:ind w:firstLine="420"/>
        <w:rPr>
          <w:rFonts w:ascii="宋体" w:hAnsi="宋体"/>
          <w:color w:val="auto"/>
          <w:kern w:val="0"/>
          <w:szCs w:val="21"/>
          <w:highlight w:val="none"/>
        </w:rPr>
      </w:pPr>
      <w:r>
        <w:rPr>
          <w:rFonts w:ascii="宋体" w:hAnsi="宋体"/>
          <w:color w:val="auto"/>
          <w:kern w:val="0"/>
          <w:szCs w:val="21"/>
          <w:highlight w:val="none"/>
        </w:rPr>
        <w:t>本次评标采用综合评估法</w:t>
      </w:r>
      <w:r>
        <w:rPr>
          <w:rFonts w:ascii="宋体" w:hAnsi="宋体"/>
          <w:color w:val="auto"/>
          <w:spacing w:val="-47"/>
          <w:kern w:val="0"/>
          <w:szCs w:val="21"/>
          <w:highlight w:val="none"/>
        </w:rPr>
        <w:t>。</w:t>
      </w:r>
      <w:r>
        <w:rPr>
          <w:rFonts w:ascii="宋体" w:hAnsi="宋体"/>
          <w:color w:val="auto"/>
          <w:kern w:val="0"/>
          <w:szCs w:val="21"/>
          <w:highlight w:val="none"/>
        </w:rPr>
        <w:t xml:space="preserve">评标委员会按照本章第 </w:t>
      </w:r>
      <w:r>
        <w:rPr>
          <w:rFonts w:ascii="宋体" w:hAnsi="宋体"/>
          <w:color w:val="auto"/>
          <w:spacing w:val="1"/>
          <w:kern w:val="0"/>
          <w:szCs w:val="21"/>
          <w:highlight w:val="none"/>
        </w:rPr>
        <w:t>2</w:t>
      </w:r>
      <w:r>
        <w:rPr>
          <w:rFonts w:ascii="宋体" w:hAnsi="宋体"/>
          <w:color w:val="auto"/>
          <w:spacing w:val="-1"/>
          <w:kern w:val="0"/>
          <w:szCs w:val="21"/>
          <w:highlight w:val="none"/>
        </w:rPr>
        <w:t>.</w:t>
      </w:r>
      <w:r>
        <w:rPr>
          <w:rFonts w:ascii="宋体" w:hAnsi="宋体"/>
          <w:color w:val="auto"/>
          <w:kern w:val="0"/>
          <w:szCs w:val="21"/>
          <w:highlight w:val="none"/>
        </w:rPr>
        <w:t>2</w:t>
      </w:r>
      <w:r>
        <w:rPr>
          <w:rFonts w:ascii="宋体" w:hAnsi="宋体"/>
          <w:color w:val="auto"/>
          <w:spacing w:val="1"/>
          <w:kern w:val="0"/>
          <w:szCs w:val="21"/>
          <w:highlight w:val="none"/>
        </w:rPr>
        <w:t xml:space="preserve"> </w:t>
      </w:r>
      <w:r>
        <w:rPr>
          <w:rFonts w:ascii="宋体" w:hAnsi="宋体"/>
          <w:color w:val="auto"/>
          <w:kern w:val="0"/>
          <w:szCs w:val="21"/>
          <w:highlight w:val="none"/>
        </w:rPr>
        <w:t>款</w:t>
      </w:r>
      <w:r>
        <w:rPr>
          <w:rFonts w:ascii="宋体" w:hAnsi="宋体"/>
          <w:color w:val="auto"/>
          <w:spacing w:val="-1"/>
          <w:kern w:val="0"/>
          <w:szCs w:val="21"/>
          <w:highlight w:val="none"/>
        </w:rPr>
        <w:t>规</w:t>
      </w:r>
      <w:r>
        <w:rPr>
          <w:rFonts w:ascii="宋体" w:hAnsi="宋体"/>
          <w:color w:val="auto"/>
          <w:kern w:val="0"/>
          <w:szCs w:val="21"/>
          <w:highlight w:val="none"/>
        </w:rPr>
        <w:t>定的评分标准进行打分，按得分由高到低顺序推荐中标候选人</w:t>
      </w:r>
      <w:r>
        <w:rPr>
          <w:rFonts w:ascii="宋体" w:hAnsi="宋体"/>
          <w:color w:val="auto"/>
          <w:spacing w:val="-20"/>
          <w:kern w:val="0"/>
          <w:szCs w:val="21"/>
          <w:highlight w:val="none"/>
        </w:rPr>
        <w:t>，</w:t>
      </w:r>
      <w:r>
        <w:rPr>
          <w:rFonts w:ascii="宋体" w:hAnsi="宋体"/>
          <w:color w:val="auto"/>
          <w:kern w:val="0"/>
          <w:szCs w:val="21"/>
          <w:highlight w:val="none"/>
        </w:rPr>
        <w:t>或根据招标人授权直接确定中标人</w:t>
      </w:r>
      <w:r>
        <w:rPr>
          <w:rFonts w:hint="eastAsia" w:ascii="宋体" w:hAnsi="宋体"/>
          <w:color w:val="auto"/>
          <w:kern w:val="0"/>
          <w:szCs w:val="21"/>
          <w:highlight w:val="none"/>
        </w:rPr>
        <w:t>，若出现投标人投标报价相同的，以评标办法前附表约定的原则确定排序</w:t>
      </w:r>
      <w:r>
        <w:rPr>
          <w:rFonts w:ascii="宋体" w:hAnsi="宋体"/>
          <w:color w:val="auto"/>
          <w:spacing w:val="-31"/>
          <w:kern w:val="0"/>
          <w:szCs w:val="21"/>
          <w:highlight w:val="none"/>
        </w:rPr>
        <w:t>。</w:t>
      </w:r>
    </w:p>
    <w:p w14:paraId="5FD10AB7">
      <w:pPr>
        <w:pStyle w:val="4"/>
        <w:spacing w:before="0" w:after="0" w:line="360" w:lineRule="auto"/>
        <w:rPr>
          <w:rFonts w:ascii="宋体" w:hAnsi="宋体"/>
          <w:b w:val="0"/>
          <w:snapToGrid w:val="0"/>
          <w:color w:val="auto"/>
          <w:highlight w:val="none"/>
        </w:rPr>
      </w:pPr>
      <w:bookmarkStart w:id="616" w:name="_Toc509218777"/>
      <w:bookmarkStart w:id="617" w:name="_Toc224103385"/>
      <w:bookmarkStart w:id="618" w:name="_Toc287620752"/>
      <w:bookmarkStart w:id="619" w:name="_Toc287607813"/>
      <w:bookmarkStart w:id="620" w:name="_Toc277082619"/>
      <w:bookmarkStart w:id="621" w:name="_Toc430530501"/>
      <w:bookmarkStart w:id="622" w:name="_Toc58860135"/>
      <w:bookmarkStart w:id="623" w:name="_Toc200513199"/>
      <w:r>
        <w:rPr>
          <w:rFonts w:ascii="宋体" w:hAnsi="宋体"/>
          <w:b w:val="0"/>
          <w:snapToGrid w:val="0"/>
          <w:color w:val="auto"/>
          <w:highlight w:val="none"/>
        </w:rPr>
        <w:t>2.  评审标准</w:t>
      </w:r>
      <w:bookmarkEnd w:id="616"/>
      <w:bookmarkEnd w:id="617"/>
      <w:bookmarkEnd w:id="618"/>
      <w:bookmarkEnd w:id="619"/>
      <w:bookmarkEnd w:id="620"/>
      <w:bookmarkEnd w:id="621"/>
      <w:bookmarkEnd w:id="622"/>
      <w:bookmarkEnd w:id="623"/>
    </w:p>
    <w:p w14:paraId="5BC56F80">
      <w:pPr>
        <w:pStyle w:val="5"/>
        <w:snapToGrid w:val="0"/>
        <w:spacing w:before="0" w:after="0" w:line="360" w:lineRule="auto"/>
        <w:rPr>
          <w:rFonts w:ascii="宋体" w:hAnsi="宋体"/>
          <w:b w:val="0"/>
          <w:snapToGrid w:val="0"/>
          <w:color w:val="auto"/>
          <w:sz w:val="24"/>
          <w:szCs w:val="24"/>
          <w:highlight w:val="none"/>
        </w:rPr>
      </w:pPr>
      <w:bookmarkStart w:id="624" w:name="_Toc287607814"/>
      <w:bookmarkStart w:id="625" w:name="_Toc58860136"/>
      <w:bookmarkStart w:id="626" w:name="_Toc224103386"/>
      <w:bookmarkStart w:id="627" w:name="_Toc430530502"/>
      <w:bookmarkStart w:id="628" w:name="_Toc509218778"/>
      <w:bookmarkStart w:id="629" w:name="_Toc200513200"/>
      <w:bookmarkStart w:id="630" w:name="_Toc277082620"/>
      <w:bookmarkStart w:id="631" w:name="_Toc287620753"/>
      <w:r>
        <w:rPr>
          <w:rFonts w:ascii="宋体" w:hAnsi="宋体"/>
          <w:b w:val="0"/>
          <w:snapToGrid w:val="0"/>
          <w:color w:val="auto"/>
          <w:sz w:val="24"/>
          <w:szCs w:val="24"/>
          <w:highlight w:val="none"/>
        </w:rPr>
        <w:t>2.1  初步评审标准</w:t>
      </w:r>
      <w:bookmarkEnd w:id="624"/>
      <w:bookmarkEnd w:id="625"/>
      <w:bookmarkEnd w:id="626"/>
      <w:bookmarkEnd w:id="627"/>
      <w:bookmarkEnd w:id="628"/>
      <w:bookmarkEnd w:id="629"/>
      <w:bookmarkEnd w:id="630"/>
      <w:bookmarkEnd w:id="631"/>
    </w:p>
    <w:p w14:paraId="1E517A5A">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1A</w:t>
      </w:r>
      <w:r>
        <w:rPr>
          <w:rFonts w:ascii="宋体" w:hAnsi="宋体"/>
          <w:color w:val="auto"/>
          <w:kern w:val="0"/>
          <w:szCs w:val="21"/>
          <w:highlight w:val="none"/>
        </w:rPr>
        <w:t xml:space="preserve">  资格评审标准：见评标办法前附表（适用于未进行资格预审的）。</w:t>
      </w:r>
    </w:p>
    <w:p w14:paraId="1E5CB0A1">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1B</w:t>
      </w:r>
      <w:r>
        <w:rPr>
          <w:rFonts w:ascii="宋体" w:hAnsi="宋体"/>
          <w:color w:val="auto"/>
          <w:kern w:val="0"/>
          <w:szCs w:val="21"/>
          <w:highlight w:val="none"/>
        </w:rPr>
        <w:t xml:space="preserve">  资格评审标准：见资格预审文件第三章“资格审查办法”详细审查标准（适用于已进行资格预审的）。</w:t>
      </w:r>
    </w:p>
    <w:p w14:paraId="558AE1F7">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w:t>
      </w:r>
      <w:r>
        <w:rPr>
          <w:rFonts w:hint="eastAsia" w:ascii="宋体" w:hAnsi="宋体"/>
          <w:color w:val="auto"/>
          <w:kern w:val="0"/>
          <w:szCs w:val="21"/>
          <w:highlight w:val="none"/>
        </w:rPr>
        <w:t>2</w:t>
      </w:r>
      <w:r>
        <w:rPr>
          <w:rFonts w:ascii="宋体" w:hAnsi="宋体"/>
          <w:color w:val="auto"/>
          <w:kern w:val="0"/>
          <w:szCs w:val="21"/>
          <w:highlight w:val="none"/>
        </w:rPr>
        <w:t xml:space="preserve">  形式评审标准：见评标办法前附表。</w:t>
      </w:r>
    </w:p>
    <w:p w14:paraId="46BEF3ED">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2.1.3  响应性评审标准：见评标办法前附表。</w:t>
      </w:r>
    </w:p>
    <w:p w14:paraId="3C7BC0A5">
      <w:pPr>
        <w:pStyle w:val="5"/>
        <w:snapToGrid w:val="0"/>
        <w:spacing w:before="0" w:after="0" w:line="360" w:lineRule="auto"/>
        <w:rPr>
          <w:rFonts w:ascii="宋体" w:hAnsi="宋体"/>
          <w:b w:val="0"/>
          <w:snapToGrid w:val="0"/>
          <w:color w:val="auto"/>
          <w:sz w:val="24"/>
          <w:szCs w:val="24"/>
          <w:highlight w:val="none"/>
        </w:rPr>
      </w:pPr>
      <w:bookmarkStart w:id="632" w:name="_Toc200513201"/>
      <w:bookmarkStart w:id="633" w:name="_Toc224103387"/>
      <w:bookmarkStart w:id="634" w:name="_Toc287607815"/>
      <w:bookmarkStart w:id="635" w:name="_Toc430530503"/>
      <w:bookmarkStart w:id="636" w:name="_Toc58860137"/>
      <w:bookmarkStart w:id="637" w:name="_Toc277082621"/>
      <w:bookmarkStart w:id="638" w:name="_Toc287620754"/>
      <w:bookmarkStart w:id="639" w:name="_Toc509218779"/>
      <w:r>
        <w:rPr>
          <w:rFonts w:ascii="宋体" w:hAnsi="宋体"/>
          <w:b w:val="0"/>
          <w:snapToGrid w:val="0"/>
          <w:color w:val="auto"/>
          <w:sz w:val="24"/>
          <w:szCs w:val="24"/>
          <w:highlight w:val="none"/>
        </w:rPr>
        <w:t>2.2  分值构成与评分标准</w:t>
      </w:r>
      <w:bookmarkEnd w:id="632"/>
      <w:bookmarkEnd w:id="633"/>
      <w:bookmarkEnd w:id="634"/>
      <w:bookmarkEnd w:id="635"/>
      <w:bookmarkEnd w:id="636"/>
      <w:bookmarkEnd w:id="637"/>
      <w:bookmarkEnd w:id="638"/>
      <w:bookmarkEnd w:id="639"/>
    </w:p>
    <w:p w14:paraId="6C5ED08B">
      <w:pPr>
        <w:autoSpaceDE w:val="0"/>
        <w:autoSpaceDN w:val="0"/>
        <w:adjustRightInd w:val="0"/>
        <w:snapToGrid w:val="0"/>
        <w:spacing w:line="360" w:lineRule="auto"/>
        <w:ind w:firstLine="525" w:firstLineChars="250"/>
        <w:rPr>
          <w:rFonts w:ascii="宋体" w:hAnsi="宋体"/>
          <w:color w:val="auto"/>
          <w:kern w:val="0"/>
          <w:szCs w:val="21"/>
          <w:highlight w:val="none"/>
        </w:rPr>
      </w:pPr>
      <w:r>
        <w:rPr>
          <w:rFonts w:ascii="宋体" w:hAnsi="宋体"/>
          <w:color w:val="auto"/>
          <w:kern w:val="0"/>
          <w:szCs w:val="21"/>
          <w:highlight w:val="none"/>
        </w:rPr>
        <w:t>2.2.1  分值构成</w:t>
      </w:r>
    </w:p>
    <w:p w14:paraId="280AC74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1</w:t>
      </w:r>
      <w:r>
        <w:rPr>
          <w:rFonts w:ascii="宋体" w:hAnsi="宋体"/>
          <w:color w:val="auto"/>
          <w:kern w:val="0"/>
          <w:szCs w:val="21"/>
          <w:highlight w:val="none"/>
        </w:rPr>
        <w:t>）</w:t>
      </w:r>
      <w:r>
        <w:rPr>
          <w:rFonts w:hint="eastAsia" w:ascii="宋体" w:hAnsi="宋体"/>
          <w:color w:val="auto"/>
          <w:kern w:val="0"/>
          <w:szCs w:val="21"/>
          <w:highlight w:val="none"/>
        </w:rPr>
        <w:t>技术部分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71ABBC9A">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商务部分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4BCCEEA1">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rPr>
        <w:t>经济部分</w:t>
      </w:r>
      <w:r>
        <w:rPr>
          <w:rFonts w:ascii="宋体" w:hAnsi="宋体"/>
          <w:color w:val="auto"/>
          <w:kern w:val="0"/>
          <w:szCs w:val="21"/>
          <w:highlight w:val="none"/>
        </w:rPr>
        <w:t>：见评标办法前附表</w:t>
      </w:r>
      <w:r>
        <w:rPr>
          <w:rFonts w:hint="eastAsia" w:ascii="宋体" w:hAnsi="宋体"/>
          <w:color w:val="auto"/>
          <w:kern w:val="0"/>
          <w:szCs w:val="21"/>
          <w:highlight w:val="none"/>
        </w:rPr>
        <w:t>。</w:t>
      </w:r>
    </w:p>
    <w:p w14:paraId="03A3C584">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2  评审</w:t>
      </w:r>
      <w:r>
        <w:rPr>
          <w:rFonts w:ascii="宋体" w:hAnsi="宋体"/>
          <w:color w:val="auto"/>
          <w:kern w:val="0"/>
          <w:szCs w:val="21"/>
          <w:highlight w:val="none"/>
        </w:rPr>
        <w:t>标准</w:t>
      </w:r>
    </w:p>
    <w:p w14:paraId="5F99446B">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w:t>
      </w:r>
      <w:r>
        <w:rPr>
          <w:rFonts w:hint="eastAsia" w:ascii="宋体" w:hAnsi="宋体"/>
          <w:color w:val="auto"/>
          <w:kern w:val="0"/>
          <w:szCs w:val="21"/>
          <w:highlight w:val="none"/>
        </w:rPr>
        <w:t>技术部分评审</w:t>
      </w:r>
      <w:r>
        <w:rPr>
          <w:rFonts w:ascii="宋体" w:hAnsi="宋体"/>
          <w:color w:val="auto"/>
          <w:kern w:val="0"/>
          <w:szCs w:val="21"/>
          <w:highlight w:val="none"/>
        </w:rPr>
        <w:t>标准：见评标办法前附表；（对于施工难度大、专业技术复杂的项目，应由招标人提出</w:t>
      </w:r>
      <w:r>
        <w:rPr>
          <w:rFonts w:hint="eastAsia" w:ascii="宋体" w:hAnsi="宋体"/>
          <w:color w:val="auto"/>
          <w:kern w:val="0"/>
          <w:szCs w:val="21"/>
          <w:highlight w:val="none"/>
        </w:rPr>
        <w:t>技术部分</w:t>
      </w:r>
      <w:r>
        <w:rPr>
          <w:rFonts w:ascii="宋体" w:hAnsi="宋体"/>
          <w:color w:val="auto"/>
          <w:kern w:val="0"/>
          <w:szCs w:val="21"/>
          <w:highlight w:val="none"/>
        </w:rPr>
        <w:t>方案编写要点，作为评分标准）。</w:t>
      </w:r>
    </w:p>
    <w:p w14:paraId="4EA94D25">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w:t>
      </w:r>
      <w:r>
        <w:rPr>
          <w:rFonts w:hint="eastAsia" w:ascii="宋体" w:hAnsi="宋体"/>
          <w:color w:val="auto"/>
          <w:kern w:val="0"/>
          <w:szCs w:val="21"/>
          <w:highlight w:val="none"/>
        </w:rPr>
        <w:t>商务部分评审</w:t>
      </w:r>
      <w:r>
        <w:rPr>
          <w:rFonts w:ascii="宋体" w:hAnsi="宋体"/>
          <w:color w:val="auto"/>
          <w:kern w:val="0"/>
          <w:szCs w:val="21"/>
          <w:highlight w:val="none"/>
        </w:rPr>
        <w:t>标准：见评标办法前附表；</w:t>
      </w:r>
    </w:p>
    <w:p w14:paraId="09417977">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spacing w:val="1"/>
          <w:kern w:val="0"/>
          <w:szCs w:val="21"/>
          <w:highlight w:val="none"/>
        </w:rPr>
        <w:t>3</w:t>
      </w:r>
      <w:r>
        <w:rPr>
          <w:rFonts w:ascii="宋体" w:hAnsi="宋体"/>
          <w:color w:val="auto"/>
          <w:kern w:val="0"/>
          <w:szCs w:val="21"/>
          <w:highlight w:val="none"/>
        </w:rPr>
        <w:t>）</w:t>
      </w:r>
      <w:r>
        <w:rPr>
          <w:rFonts w:hint="eastAsia" w:ascii="宋体" w:hAnsi="宋体"/>
          <w:color w:val="auto"/>
          <w:kern w:val="0"/>
          <w:szCs w:val="21"/>
          <w:highlight w:val="none"/>
        </w:rPr>
        <w:t>投标</w:t>
      </w:r>
      <w:r>
        <w:rPr>
          <w:rFonts w:ascii="宋体" w:hAnsi="宋体"/>
          <w:color w:val="auto"/>
          <w:kern w:val="0"/>
          <w:szCs w:val="21"/>
          <w:highlight w:val="none"/>
        </w:rPr>
        <w:t>函及</w:t>
      </w:r>
      <w:r>
        <w:rPr>
          <w:rFonts w:hint="eastAsia" w:ascii="宋体" w:hAnsi="宋体"/>
          <w:color w:val="auto"/>
          <w:kern w:val="0"/>
          <w:szCs w:val="21"/>
          <w:highlight w:val="none"/>
        </w:rPr>
        <w:t>经济部分评审</w:t>
      </w:r>
      <w:r>
        <w:rPr>
          <w:rFonts w:ascii="宋体" w:hAnsi="宋体"/>
          <w:color w:val="auto"/>
          <w:kern w:val="0"/>
          <w:szCs w:val="21"/>
          <w:highlight w:val="none"/>
        </w:rPr>
        <w:t>标准：见评标办法前附表</w:t>
      </w:r>
      <w:r>
        <w:rPr>
          <w:rFonts w:hint="eastAsia" w:ascii="宋体" w:hAnsi="宋体"/>
          <w:color w:val="auto"/>
          <w:kern w:val="0"/>
          <w:szCs w:val="21"/>
          <w:highlight w:val="none"/>
        </w:rPr>
        <w:t>。</w:t>
      </w:r>
    </w:p>
    <w:p w14:paraId="0166EC21">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3</w:t>
      </w:r>
      <w:r>
        <w:rPr>
          <w:rFonts w:ascii="宋体" w:hAnsi="宋体"/>
          <w:color w:val="auto"/>
          <w:kern w:val="0"/>
          <w:szCs w:val="21"/>
          <w:highlight w:val="none"/>
        </w:rPr>
        <w:t xml:space="preserve">  评标基准价计算</w:t>
      </w:r>
    </w:p>
    <w:p w14:paraId="2F18CC3B">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评标基准价计算方法：见评标办法前附表。</w:t>
      </w:r>
    </w:p>
    <w:p w14:paraId="7F60B30B">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2.2.</w:t>
      </w:r>
      <w:r>
        <w:rPr>
          <w:rFonts w:hint="eastAsia" w:ascii="宋体" w:hAnsi="宋体"/>
          <w:color w:val="auto"/>
          <w:kern w:val="0"/>
          <w:szCs w:val="21"/>
          <w:highlight w:val="none"/>
        </w:rPr>
        <w:t>4</w:t>
      </w:r>
      <w:r>
        <w:rPr>
          <w:rFonts w:ascii="宋体" w:hAnsi="宋体"/>
          <w:color w:val="auto"/>
          <w:kern w:val="0"/>
          <w:szCs w:val="21"/>
          <w:highlight w:val="none"/>
        </w:rPr>
        <w:t xml:space="preserve"> 投标报价的偏差率计算</w:t>
      </w:r>
    </w:p>
    <w:p w14:paraId="61753E1E">
      <w:pPr>
        <w:autoSpaceDE w:val="0"/>
        <w:autoSpaceDN w:val="0"/>
        <w:adjustRightInd w:val="0"/>
        <w:snapToGrid w:val="0"/>
        <w:spacing w:line="360" w:lineRule="auto"/>
        <w:ind w:firstLine="535" w:firstLineChars="255"/>
        <w:rPr>
          <w:rFonts w:ascii="宋体" w:hAnsi="宋体"/>
          <w:color w:val="auto"/>
          <w:kern w:val="0"/>
          <w:szCs w:val="21"/>
          <w:highlight w:val="none"/>
        </w:rPr>
      </w:pPr>
      <w:r>
        <w:rPr>
          <w:rFonts w:ascii="宋体" w:hAnsi="宋体"/>
          <w:color w:val="auto"/>
          <w:kern w:val="0"/>
          <w:szCs w:val="21"/>
          <w:highlight w:val="none"/>
        </w:rPr>
        <w:t>投标报价的偏差率计算公式：见评标办法前附表</w:t>
      </w:r>
      <w:r>
        <w:rPr>
          <w:rFonts w:hint="eastAsia" w:ascii="宋体" w:hAnsi="宋体"/>
          <w:color w:val="auto"/>
          <w:kern w:val="0"/>
          <w:szCs w:val="21"/>
          <w:highlight w:val="none"/>
        </w:rPr>
        <w:t>；</w:t>
      </w:r>
    </w:p>
    <w:p w14:paraId="7A13368C">
      <w:pPr>
        <w:pStyle w:val="4"/>
        <w:spacing w:before="0" w:after="0" w:line="360" w:lineRule="auto"/>
        <w:rPr>
          <w:rFonts w:ascii="宋体" w:hAnsi="宋体"/>
          <w:b w:val="0"/>
          <w:snapToGrid w:val="0"/>
          <w:color w:val="auto"/>
          <w:highlight w:val="none"/>
        </w:rPr>
      </w:pPr>
      <w:bookmarkStart w:id="640" w:name="_Toc277082622"/>
      <w:bookmarkStart w:id="641" w:name="_Toc509218780"/>
      <w:bookmarkStart w:id="642" w:name="_Toc224103388"/>
      <w:bookmarkStart w:id="643" w:name="_Toc430530504"/>
      <w:bookmarkStart w:id="644" w:name="_Toc200513202"/>
      <w:bookmarkStart w:id="645" w:name="_Toc287607816"/>
      <w:bookmarkStart w:id="646" w:name="_Toc58860138"/>
      <w:bookmarkStart w:id="647" w:name="_Toc287620755"/>
      <w:r>
        <w:rPr>
          <w:rFonts w:ascii="宋体" w:hAnsi="宋体"/>
          <w:b w:val="0"/>
          <w:snapToGrid w:val="0"/>
          <w:color w:val="auto"/>
          <w:highlight w:val="none"/>
        </w:rPr>
        <w:t>3.  评标程序</w:t>
      </w:r>
      <w:bookmarkEnd w:id="640"/>
      <w:bookmarkEnd w:id="641"/>
      <w:bookmarkEnd w:id="642"/>
      <w:bookmarkEnd w:id="643"/>
      <w:bookmarkEnd w:id="644"/>
      <w:bookmarkEnd w:id="645"/>
      <w:bookmarkEnd w:id="646"/>
      <w:bookmarkEnd w:id="647"/>
    </w:p>
    <w:p w14:paraId="201E1B3B">
      <w:pPr>
        <w:pStyle w:val="5"/>
        <w:snapToGrid w:val="0"/>
        <w:spacing w:before="0" w:after="0" w:line="360" w:lineRule="auto"/>
        <w:rPr>
          <w:rFonts w:ascii="宋体" w:hAnsi="宋体"/>
          <w:b w:val="0"/>
          <w:snapToGrid w:val="0"/>
          <w:color w:val="auto"/>
          <w:sz w:val="24"/>
          <w:szCs w:val="24"/>
          <w:highlight w:val="none"/>
        </w:rPr>
      </w:pPr>
      <w:bookmarkStart w:id="648" w:name="_Toc430530505"/>
      <w:bookmarkStart w:id="649" w:name="_Toc224103389"/>
      <w:bookmarkStart w:id="650" w:name="_Toc287620756"/>
      <w:bookmarkStart w:id="651" w:name="_Toc58860139"/>
      <w:bookmarkStart w:id="652" w:name="_Toc200513203"/>
      <w:bookmarkStart w:id="653" w:name="_Toc277082623"/>
      <w:bookmarkStart w:id="654" w:name="_Toc509218781"/>
      <w:bookmarkStart w:id="655" w:name="_Toc287607817"/>
      <w:r>
        <w:rPr>
          <w:rFonts w:ascii="宋体" w:hAnsi="宋体"/>
          <w:b w:val="0"/>
          <w:snapToGrid w:val="0"/>
          <w:color w:val="auto"/>
          <w:sz w:val="24"/>
          <w:szCs w:val="24"/>
          <w:highlight w:val="none"/>
        </w:rPr>
        <w:t>3.1  初步评审</w:t>
      </w:r>
      <w:bookmarkEnd w:id="648"/>
      <w:bookmarkEnd w:id="649"/>
      <w:bookmarkEnd w:id="650"/>
      <w:bookmarkEnd w:id="651"/>
      <w:bookmarkEnd w:id="652"/>
      <w:bookmarkEnd w:id="653"/>
      <w:bookmarkEnd w:id="654"/>
      <w:bookmarkEnd w:id="655"/>
    </w:p>
    <w:p w14:paraId="3EB07418">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 2.1 款规定的标准对投标文件进行初步评审。有一项不符合评审标准的，作否决投标处理。（适用于未进行资格预审的）</w:t>
      </w:r>
    </w:p>
    <w:p w14:paraId="1E7C020F">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3.1.1  评标委员会依据本章第2.1.1项</w:t>
      </w:r>
      <w:r>
        <w:rPr>
          <w:rFonts w:hint="eastAsia" w:ascii="宋体" w:hAnsi="宋体"/>
          <w:color w:val="auto"/>
          <w:kern w:val="0"/>
          <w:szCs w:val="21"/>
          <w:highlight w:val="none"/>
        </w:rPr>
        <w:t>至</w:t>
      </w:r>
      <w:r>
        <w:rPr>
          <w:rFonts w:ascii="宋体" w:hAnsi="宋体"/>
          <w:color w:val="auto"/>
          <w:kern w:val="0"/>
          <w:szCs w:val="21"/>
          <w:highlight w:val="none"/>
        </w:rPr>
        <w:t>第2.1.3项规定的评审标准对投标文件进行初步评审。有一项不符合评审标准的，作否决投标处理。当投标人资格预审申请文件的内容发生重大变化时，评标委员会依据本章第2.1.2项规定的标准对其更新资料进行评审。（适用于已进行资格预审的）</w:t>
      </w:r>
    </w:p>
    <w:p w14:paraId="52379FEC">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3.1.2  投标人有以下情形之一的，其投标作否决投标处理：</w:t>
      </w:r>
    </w:p>
    <w:p w14:paraId="112262D9">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1</w:t>
      </w:r>
      <w:r>
        <w:rPr>
          <w:rFonts w:ascii="宋体" w:hAnsi="宋体"/>
          <w:color w:val="auto"/>
          <w:kern w:val="0"/>
          <w:szCs w:val="21"/>
          <w:highlight w:val="none"/>
        </w:rPr>
        <w:t>）第二</w:t>
      </w:r>
      <w:r>
        <w:rPr>
          <w:rFonts w:ascii="宋体" w:hAnsi="宋体"/>
          <w:color w:val="auto"/>
          <w:spacing w:val="-1"/>
          <w:kern w:val="0"/>
          <w:szCs w:val="21"/>
          <w:highlight w:val="none"/>
        </w:rPr>
        <w:t>章</w:t>
      </w:r>
      <w:r>
        <w:rPr>
          <w:rFonts w:ascii="宋体" w:hAnsi="宋体"/>
          <w:color w:val="auto"/>
          <w:kern w:val="0"/>
          <w:szCs w:val="21"/>
          <w:highlight w:val="none"/>
        </w:rPr>
        <w:t>“投标人须知”第</w:t>
      </w:r>
      <w:r>
        <w:rPr>
          <w:rFonts w:ascii="宋体" w:hAnsi="宋体"/>
          <w:color w:val="auto"/>
          <w:spacing w:val="1"/>
          <w:kern w:val="0"/>
          <w:szCs w:val="21"/>
          <w:highlight w:val="none"/>
        </w:rPr>
        <w:t>1</w:t>
      </w:r>
      <w:r>
        <w:rPr>
          <w:rFonts w:ascii="宋体" w:hAnsi="宋体"/>
          <w:color w:val="auto"/>
          <w:spacing w:val="-1"/>
          <w:kern w:val="0"/>
          <w:szCs w:val="21"/>
          <w:highlight w:val="none"/>
        </w:rPr>
        <w:t>.</w:t>
      </w:r>
      <w:r>
        <w:rPr>
          <w:rFonts w:ascii="宋体" w:hAnsi="宋体"/>
          <w:color w:val="auto"/>
          <w:spacing w:val="1"/>
          <w:kern w:val="0"/>
          <w:szCs w:val="21"/>
          <w:highlight w:val="none"/>
        </w:rPr>
        <w:t>4</w:t>
      </w:r>
      <w:r>
        <w:rPr>
          <w:rFonts w:ascii="宋体" w:hAnsi="宋体"/>
          <w:color w:val="auto"/>
          <w:spacing w:val="-1"/>
          <w:kern w:val="0"/>
          <w:szCs w:val="21"/>
          <w:highlight w:val="none"/>
        </w:rPr>
        <w:t>.</w:t>
      </w:r>
      <w:r>
        <w:rPr>
          <w:rFonts w:ascii="宋体" w:hAnsi="宋体"/>
          <w:color w:val="auto"/>
          <w:kern w:val="0"/>
          <w:szCs w:val="21"/>
          <w:highlight w:val="none"/>
        </w:rPr>
        <w:t>3项规定的任何一种情形的；</w:t>
      </w:r>
    </w:p>
    <w:p w14:paraId="28BA9EF8">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2</w:t>
      </w:r>
      <w:r>
        <w:rPr>
          <w:rFonts w:ascii="宋体" w:hAnsi="宋体"/>
          <w:color w:val="auto"/>
          <w:kern w:val="0"/>
          <w:szCs w:val="21"/>
          <w:highlight w:val="none"/>
        </w:rPr>
        <w:t>）串通</w:t>
      </w:r>
      <w:r>
        <w:rPr>
          <w:rFonts w:ascii="宋体" w:hAnsi="宋体"/>
          <w:color w:val="auto"/>
          <w:spacing w:val="-1"/>
          <w:kern w:val="0"/>
          <w:szCs w:val="21"/>
          <w:highlight w:val="none"/>
        </w:rPr>
        <w:t>投</w:t>
      </w:r>
      <w:r>
        <w:rPr>
          <w:rFonts w:ascii="宋体" w:hAnsi="宋体"/>
          <w:color w:val="auto"/>
          <w:kern w:val="0"/>
          <w:szCs w:val="21"/>
          <w:highlight w:val="none"/>
        </w:rPr>
        <w:t>标或弄虚作假或有其他违法行为的；</w:t>
      </w:r>
    </w:p>
    <w:p w14:paraId="3DBD0FFB">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ascii="宋体" w:hAnsi="宋体"/>
          <w:color w:val="auto"/>
          <w:spacing w:val="1"/>
          <w:kern w:val="0"/>
          <w:szCs w:val="21"/>
          <w:highlight w:val="none"/>
        </w:rPr>
        <w:t>3</w:t>
      </w:r>
      <w:r>
        <w:rPr>
          <w:rFonts w:ascii="宋体" w:hAnsi="宋体"/>
          <w:color w:val="auto"/>
          <w:kern w:val="0"/>
          <w:szCs w:val="21"/>
          <w:highlight w:val="none"/>
        </w:rPr>
        <w:t>）不按</w:t>
      </w:r>
      <w:r>
        <w:rPr>
          <w:rFonts w:ascii="宋体" w:hAnsi="宋体"/>
          <w:color w:val="auto"/>
          <w:spacing w:val="-1"/>
          <w:kern w:val="0"/>
          <w:szCs w:val="21"/>
          <w:highlight w:val="none"/>
        </w:rPr>
        <w:t>评</w:t>
      </w:r>
      <w:r>
        <w:rPr>
          <w:rFonts w:ascii="宋体" w:hAnsi="宋体"/>
          <w:color w:val="auto"/>
          <w:kern w:val="0"/>
          <w:szCs w:val="21"/>
          <w:highlight w:val="none"/>
        </w:rPr>
        <w:t>标委员会要求澄清、说明或补正的；</w:t>
      </w:r>
    </w:p>
    <w:p w14:paraId="1ABCEBB7">
      <w:pPr>
        <w:pStyle w:val="5"/>
        <w:snapToGrid w:val="0"/>
        <w:spacing w:before="0" w:after="0" w:line="360" w:lineRule="auto"/>
        <w:rPr>
          <w:rFonts w:ascii="宋体" w:hAnsi="宋体"/>
          <w:b w:val="0"/>
          <w:snapToGrid w:val="0"/>
          <w:color w:val="auto"/>
          <w:sz w:val="24"/>
          <w:szCs w:val="24"/>
          <w:highlight w:val="none"/>
        </w:rPr>
      </w:pPr>
      <w:bookmarkStart w:id="656" w:name="_Toc287620757"/>
      <w:bookmarkStart w:id="657" w:name="_Toc277082624"/>
      <w:bookmarkStart w:id="658" w:name="_Toc224103390"/>
      <w:bookmarkStart w:id="659" w:name="_Toc200513204"/>
      <w:bookmarkStart w:id="660" w:name="_Toc287607818"/>
      <w:bookmarkStart w:id="661" w:name="_Toc430530506"/>
      <w:bookmarkStart w:id="662" w:name="_Toc509218782"/>
      <w:bookmarkStart w:id="663" w:name="_Toc58860140"/>
      <w:r>
        <w:rPr>
          <w:rFonts w:ascii="宋体" w:hAnsi="宋体"/>
          <w:b w:val="0"/>
          <w:snapToGrid w:val="0"/>
          <w:color w:val="auto"/>
          <w:sz w:val="24"/>
          <w:szCs w:val="24"/>
          <w:highlight w:val="none"/>
        </w:rPr>
        <w:t>3.2  详细评审</w:t>
      </w:r>
      <w:bookmarkEnd w:id="656"/>
      <w:bookmarkEnd w:id="657"/>
      <w:bookmarkEnd w:id="658"/>
      <w:bookmarkEnd w:id="659"/>
      <w:bookmarkEnd w:id="660"/>
      <w:bookmarkEnd w:id="661"/>
      <w:bookmarkEnd w:id="662"/>
      <w:bookmarkEnd w:id="663"/>
    </w:p>
    <w:p w14:paraId="15E1CAD6">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3.2.1  评标委员会按本章第2.2款规定的量化因素和分值进行</w:t>
      </w:r>
      <w:r>
        <w:rPr>
          <w:rFonts w:hint="eastAsia" w:ascii="宋体" w:hAnsi="宋体"/>
          <w:color w:val="auto"/>
          <w:kern w:val="0"/>
          <w:szCs w:val="21"/>
          <w:highlight w:val="none"/>
        </w:rPr>
        <w:t>评审</w:t>
      </w:r>
      <w:r>
        <w:rPr>
          <w:rFonts w:ascii="宋体" w:hAnsi="宋体"/>
          <w:color w:val="auto"/>
          <w:kern w:val="0"/>
          <w:szCs w:val="21"/>
          <w:highlight w:val="none"/>
        </w:rPr>
        <w:t>，并计算出综合评估得分。</w:t>
      </w:r>
    </w:p>
    <w:p w14:paraId="460BD244">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1</w:t>
      </w:r>
      <w:r>
        <w:rPr>
          <w:rFonts w:ascii="宋体" w:hAnsi="宋体"/>
          <w:color w:val="auto"/>
          <w:kern w:val="0"/>
          <w:szCs w:val="21"/>
          <w:highlight w:val="none"/>
        </w:rPr>
        <w:t>）按本章第3.2.1（</w:t>
      </w:r>
      <w:r>
        <w:rPr>
          <w:rFonts w:hint="eastAsia" w:ascii="宋体" w:hAnsi="宋体"/>
          <w:color w:val="auto"/>
          <w:kern w:val="0"/>
          <w:szCs w:val="21"/>
          <w:highlight w:val="none"/>
        </w:rPr>
        <w:t>1</w:t>
      </w:r>
      <w:r>
        <w:rPr>
          <w:rFonts w:ascii="宋体" w:hAnsi="宋体"/>
          <w:color w:val="auto"/>
          <w:kern w:val="0"/>
          <w:szCs w:val="21"/>
          <w:highlight w:val="none"/>
        </w:rPr>
        <w:t>）目规定的评审因素和分值对技术</w:t>
      </w:r>
      <w:r>
        <w:rPr>
          <w:rFonts w:hint="eastAsia" w:ascii="宋体" w:hAnsi="宋体"/>
          <w:color w:val="auto"/>
          <w:kern w:val="0"/>
          <w:szCs w:val="21"/>
          <w:highlight w:val="none"/>
        </w:rPr>
        <w:t>部分</w:t>
      </w:r>
      <w:r>
        <w:rPr>
          <w:rFonts w:ascii="宋体" w:hAnsi="宋体"/>
          <w:color w:val="auto"/>
          <w:kern w:val="0"/>
          <w:szCs w:val="21"/>
          <w:highlight w:val="none"/>
        </w:rPr>
        <w:t>计算出得分</w:t>
      </w:r>
      <w:r>
        <w:rPr>
          <w:rFonts w:hint="eastAsia" w:ascii="宋体" w:hAnsi="宋体"/>
          <w:color w:val="auto"/>
          <w:kern w:val="0"/>
          <w:szCs w:val="21"/>
          <w:highlight w:val="none"/>
        </w:rPr>
        <w:t>A（</w:t>
      </w:r>
      <w:r>
        <w:rPr>
          <w:rFonts w:ascii="宋体" w:hAnsi="宋体"/>
          <w:snapToGrid w:val="0"/>
          <w:color w:val="auto"/>
          <w:kern w:val="0"/>
          <w:szCs w:val="21"/>
          <w:highlight w:val="none"/>
        </w:rPr>
        <w:t>所有评委打分中去掉一个最高和一个最低分，余下评委打分取算术平均值为该投标人</w:t>
      </w:r>
      <w:r>
        <w:rPr>
          <w:rFonts w:hint="eastAsia" w:ascii="宋体" w:hAnsi="宋体"/>
          <w:snapToGrid w:val="0"/>
          <w:color w:val="auto"/>
          <w:kern w:val="0"/>
          <w:szCs w:val="21"/>
          <w:highlight w:val="none"/>
        </w:rPr>
        <w:t>技术部分</w:t>
      </w:r>
      <w:r>
        <w:rPr>
          <w:rFonts w:ascii="宋体" w:hAnsi="宋体"/>
          <w:snapToGrid w:val="0"/>
          <w:color w:val="auto"/>
          <w:kern w:val="0"/>
          <w:szCs w:val="21"/>
          <w:highlight w:val="none"/>
        </w:rPr>
        <w:t>得分。</w:t>
      </w:r>
      <w:r>
        <w:rPr>
          <w:rFonts w:ascii="宋体" w:hAnsi="宋体"/>
          <w:color w:val="auto"/>
          <w:kern w:val="0"/>
          <w:szCs w:val="21"/>
          <w:highlight w:val="none"/>
        </w:rPr>
        <w:t>）</w:t>
      </w:r>
    </w:p>
    <w:p w14:paraId="6E24A370">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2</w:t>
      </w:r>
      <w:r>
        <w:rPr>
          <w:rFonts w:ascii="宋体" w:hAnsi="宋体"/>
          <w:color w:val="auto"/>
          <w:kern w:val="0"/>
          <w:szCs w:val="21"/>
          <w:highlight w:val="none"/>
        </w:rPr>
        <w:t>）按本章第3.2.1（</w:t>
      </w:r>
      <w:r>
        <w:rPr>
          <w:rFonts w:hint="eastAsia" w:ascii="宋体" w:hAnsi="宋体"/>
          <w:color w:val="auto"/>
          <w:kern w:val="0"/>
          <w:szCs w:val="21"/>
          <w:highlight w:val="none"/>
        </w:rPr>
        <w:t>2</w:t>
      </w:r>
      <w:r>
        <w:rPr>
          <w:rFonts w:ascii="宋体" w:hAnsi="宋体"/>
          <w:color w:val="auto"/>
          <w:kern w:val="0"/>
          <w:szCs w:val="21"/>
          <w:highlight w:val="none"/>
        </w:rPr>
        <w:t>）目规定的评审因素和分值对</w:t>
      </w:r>
      <w:r>
        <w:rPr>
          <w:rFonts w:hint="eastAsia" w:ascii="宋体" w:hAnsi="宋体"/>
          <w:color w:val="auto"/>
          <w:kern w:val="0"/>
          <w:szCs w:val="21"/>
          <w:highlight w:val="none"/>
        </w:rPr>
        <w:t>商务部分</w:t>
      </w:r>
      <w:r>
        <w:rPr>
          <w:rFonts w:ascii="宋体" w:hAnsi="宋体"/>
          <w:color w:val="auto"/>
          <w:kern w:val="0"/>
          <w:szCs w:val="21"/>
          <w:highlight w:val="none"/>
        </w:rPr>
        <w:t>计算出得分</w:t>
      </w:r>
      <w:r>
        <w:rPr>
          <w:rFonts w:hint="eastAsia" w:ascii="宋体" w:hAnsi="宋体"/>
          <w:color w:val="auto"/>
          <w:kern w:val="0"/>
          <w:szCs w:val="21"/>
          <w:highlight w:val="none"/>
        </w:rPr>
        <w:t>B。</w:t>
      </w:r>
    </w:p>
    <w:p w14:paraId="22C67FD7">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w:t>
      </w:r>
      <w:r>
        <w:rPr>
          <w:rFonts w:hint="eastAsia" w:ascii="宋体" w:hAnsi="宋体"/>
          <w:color w:val="auto"/>
          <w:kern w:val="0"/>
          <w:szCs w:val="21"/>
          <w:highlight w:val="none"/>
        </w:rPr>
        <w:t>3</w:t>
      </w:r>
      <w:r>
        <w:rPr>
          <w:rFonts w:ascii="宋体" w:hAnsi="宋体"/>
          <w:color w:val="auto"/>
          <w:kern w:val="0"/>
          <w:szCs w:val="21"/>
          <w:highlight w:val="none"/>
        </w:rPr>
        <w:t>）按本章第3.2.1（</w:t>
      </w:r>
      <w:r>
        <w:rPr>
          <w:rFonts w:hint="eastAsia" w:ascii="宋体" w:hAnsi="宋体"/>
          <w:color w:val="auto"/>
          <w:kern w:val="0"/>
          <w:szCs w:val="21"/>
          <w:highlight w:val="none"/>
        </w:rPr>
        <w:t>3</w:t>
      </w:r>
      <w:r>
        <w:rPr>
          <w:rFonts w:ascii="宋体" w:hAnsi="宋体"/>
          <w:color w:val="auto"/>
          <w:kern w:val="0"/>
          <w:szCs w:val="21"/>
          <w:highlight w:val="none"/>
        </w:rPr>
        <w:t>）目规定的评审因素和分值对</w:t>
      </w:r>
      <w:r>
        <w:rPr>
          <w:rFonts w:hint="eastAsia" w:ascii="宋体" w:hAnsi="宋体"/>
          <w:color w:val="auto"/>
          <w:kern w:val="0"/>
          <w:szCs w:val="21"/>
          <w:highlight w:val="none"/>
        </w:rPr>
        <w:t>经济部分</w:t>
      </w:r>
      <w:r>
        <w:rPr>
          <w:rFonts w:ascii="宋体" w:hAnsi="宋体"/>
          <w:color w:val="auto"/>
          <w:kern w:val="0"/>
          <w:szCs w:val="21"/>
          <w:highlight w:val="none"/>
        </w:rPr>
        <w:t>计算出得分</w:t>
      </w:r>
      <w:r>
        <w:rPr>
          <w:rFonts w:hint="eastAsia" w:ascii="宋体" w:hAnsi="宋体"/>
          <w:color w:val="auto"/>
          <w:kern w:val="0"/>
          <w:szCs w:val="21"/>
          <w:highlight w:val="none"/>
        </w:rPr>
        <w:t>C。</w:t>
      </w:r>
    </w:p>
    <w:p w14:paraId="32665EC2">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3.2.2  评分分值计算保留小数点后两位，小数点后第三位“四舍五入”。</w:t>
      </w:r>
    </w:p>
    <w:p w14:paraId="2B1E11D8">
      <w:pPr>
        <w:tabs>
          <w:tab w:val="left" w:pos="3870"/>
        </w:tabs>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3.2.3  投标人得分=A+B</w:t>
      </w:r>
      <w:r>
        <w:rPr>
          <w:rFonts w:hint="eastAsia" w:ascii="宋体" w:hAnsi="宋体"/>
          <w:color w:val="auto"/>
          <w:kern w:val="0"/>
          <w:szCs w:val="21"/>
          <w:highlight w:val="none"/>
        </w:rPr>
        <w:t>+C。</w:t>
      </w:r>
    </w:p>
    <w:p w14:paraId="64A67033">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3.2.4  投标报价有算术错误的，评标委员会按以下原则对投标报价进行修正，修正的价格经投标人书面确认后具有约束力。投标人不接受修正价格的，其投标作否决投标处理。</w:t>
      </w:r>
    </w:p>
    <w:p w14:paraId="5AAC48BC">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（1）投标文件中的大写金额与小写金额不一致的，以大写金额为准；</w:t>
      </w:r>
    </w:p>
    <w:p w14:paraId="7E6A1120">
      <w:pPr>
        <w:autoSpaceDE w:val="0"/>
        <w:autoSpaceDN w:val="0"/>
        <w:adjustRightInd w:val="0"/>
        <w:snapToGrid w:val="0"/>
        <w:spacing w:line="360" w:lineRule="auto"/>
        <w:ind w:firstLine="420" w:firstLineChars="200"/>
        <w:rPr>
          <w:color w:val="auto"/>
          <w:highlight w:val="none"/>
        </w:rPr>
      </w:pPr>
      <w:r>
        <w:rPr>
          <w:rFonts w:ascii="宋体" w:hAnsi="宋体"/>
          <w:color w:val="auto"/>
          <w:kern w:val="0"/>
          <w:szCs w:val="21"/>
          <w:highlight w:val="none"/>
        </w:rPr>
        <w:t>（2）</w:t>
      </w:r>
      <w:r>
        <w:rPr>
          <w:rFonts w:hint="eastAsia" w:ascii="宋体" w:hAnsi="宋体" w:cs="宋体"/>
          <w:color w:val="auto"/>
          <w:szCs w:val="21"/>
          <w:highlight w:val="none"/>
        </w:rPr>
        <w:t>总报价与依据分项报价、单价/费率报价计算出的结果不一致的，由评标委员会作否决投标处理。</w:t>
      </w:r>
    </w:p>
    <w:p w14:paraId="3764FC93">
      <w:pPr>
        <w:pStyle w:val="5"/>
        <w:snapToGrid w:val="0"/>
        <w:spacing w:before="0" w:after="0" w:line="360" w:lineRule="auto"/>
        <w:rPr>
          <w:rFonts w:ascii="宋体" w:hAnsi="宋体"/>
          <w:b w:val="0"/>
          <w:snapToGrid w:val="0"/>
          <w:color w:val="auto"/>
          <w:sz w:val="24"/>
          <w:szCs w:val="24"/>
          <w:highlight w:val="none"/>
        </w:rPr>
      </w:pPr>
      <w:bookmarkStart w:id="664" w:name="_Toc509218783"/>
      <w:bookmarkStart w:id="665" w:name="_Toc224103391"/>
      <w:bookmarkStart w:id="666" w:name="_Toc58860141"/>
      <w:bookmarkStart w:id="667" w:name="_Toc287620758"/>
      <w:bookmarkStart w:id="668" w:name="_Toc277082625"/>
      <w:bookmarkStart w:id="669" w:name="_Toc287607819"/>
      <w:bookmarkStart w:id="670" w:name="_Toc200513205"/>
      <w:bookmarkStart w:id="671" w:name="_Toc430530507"/>
      <w:r>
        <w:rPr>
          <w:rFonts w:ascii="宋体" w:hAnsi="宋体"/>
          <w:b w:val="0"/>
          <w:snapToGrid w:val="0"/>
          <w:color w:val="auto"/>
          <w:sz w:val="24"/>
          <w:szCs w:val="24"/>
          <w:highlight w:val="none"/>
        </w:rPr>
        <w:t>3.3  投标文件的澄清和补正</w:t>
      </w:r>
      <w:bookmarkEnd w:id="664"/>
      <w:bookmarkEnd w:id="665"/>
      <w:bookmarkEnd w:id="666"/>
      <w:bookmarkEnd w:id="667"/>
      <w:bookmarkEnd w:id="668"/>
      <w:bookmarkEnd w:id="669"/>
      <w:bookmarkEnd w:id="670"/>
      <w:bookmarkEnd w:id="671"/>
    </w:p>
    <w:p w14:paraId="745B9605">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3.3.1  在评标过程中，评标委员会可以书面形式要求投标人对所提交投标文件中不明确的内容进行书面澄清或说明，或者对细微偏差进行补正。评标委员会不接受投标人主动提出的澄清、说明或补正。</w:t>
      </w:r>
    </w:p>
    <w:p w14:paraId="5A523A28">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3.3.2  澄清、说明和补正不得改变投标文件的实质性内容（算术性错误修正的除外）。投标人的书面澄清、说明和补正属于投标文件的组成部分。</w:t>
      </w:r>
    </w:p>
    <w:p w14:paraId="6E78C281">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3.3.3  评标委员会对投标人提交的澄清、说明或补正有疑问的，可以要求投标人进一步澄清、说明或补正，直至满足评标委员会的要求。</w:t>
      </w:r>
    </w:p>
    <w:p w14:paraId="631ECB87">
      <w:pPr>
        <w:pStyle w:val="5"/>
        <w:snapToGrid w:val="0"/>
        <w:spacing w:before="0" w:after="0" w:line="360" w:lineRule="auto"/>
        <w:rPr>
          <w:rFonts w:ascii="宋体" w:hAnsi="宋体"/>
          <w:b w:val="0"/>
          <w:snapToGrid w:val="0"/>
          <w:color w:val="auto"/>
          <w:sz w:val="24"/>
          <w:szCs w:val="24"/>
          <w:highlight w:val="none"/>
        </w:rPr>
      </w:pPr>
      <w:bookmarkStart w:id="672" w:name="_Toc200513206"/>
      <w:bookmarkStart w:id="673" w:name="_Toc224103392"/>
      <w:bookmarkStart w:id="674" w:name="_Toc277082626"/>
      <w:bookmarkStart w:id="675" w:name="_Toc58860142"/>
      <w:bookmarkStart w:id="676" w:name="_Toc287620759"/>
      <w:bookmarkStart w:id="677" w:name="_Toc509218784"/>
      <w:bookmarkStart w:id="678" w:name="_Toc430530508"/>
      <w:bookmarkStart w:id="679" w:name="_Toc287607820"/>
      <w:r>
        <w:rPr>
          <w:rFonts w:ascii="宋体" w:hAnsi="宋体"/>
          <w:b w:val="0"/>
          <w:snapToGrid w:val="0"/>
          <w:color w:val="auto"/>
          <w:sz w:val="24"/>
          <w:szCs w:val="24"/>
          <w:highlight w:val="none"/>
        </w:rPr>
        <w:t>3.4  评标结果</w:t>
      </w:r>
      <w:bookmarkEnd w:id="672"/>
      <w:bookmarkEnd w:id="673"/>
      <w:bookmarkEnd w:id="674"/>
      <w:bookmarkEnd w:id="675"/>
      <w:bookmarkEnd w:id="676"/>
      <w:bookmarkEnd w:id="677"/>
      <w:bookmarkEnd w:id="678"/>
      <w:bookmarkEnd w:id="679"/>
    </w:p>
    <w:p w14:paraId="4D794F8F">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3.</w:t>
      </w:r>
      <w:r>
        <w:rPr>
          <w:rFonts w:ascii="宋体" w:hAnsi="宋体"/>
          <w:color w:val="auto"/>
          <w:spacing w:val="-1"/>
          <w:kern w:val="0"/>
          <w:szCs w:val="21"/>
          <w:highlight w:val="none"/>
        </w:rPr>
        <w:t>4</w:t>
      </w:r>
      <w:r>
        <w:rPr>
          <w:rFonts w:ascii="宋体" w:hAnsi="宋体"/>
          <w:color w:val="auto"/>
          <w:kern w:val="0"/>
          <w:szCs w:val="21"/>
          <w:highlight w:val="none"/>
        </w:rPr>
        <w:t xml:space="preserve">.1 </w:t>
      </w:r>
      <w:r>
        <w:rPr>
          <w:rFonts w:ascii="宋体" w:hAnsi="宋体"/>
          <w:color w:val="auto"/>
          <w:spacing w:val="1"/>
          <w:kern w:val="0"/>
          <w:szCs w:val="21"/>
          <w:highlight w:val="none"/>
        </w:rPr>
        <w:t xml:space="preserve"> </w:t>
      </w:r>
      <w:r>
        <w:rPr>
          <w:rFonts w:ascii="宋体" w:hAnsi="宋体"/>
          <w:color w:val="auto"/>
          <w:kern w:val="0"/>
          <w:szCs w:val="21"/>
          <w:highlight w:val="none"/>
        </w:rPr>
        <w:t>除第二章“投标</w:t>
      </w:r>
      <w:r>
        <w:rPr>
          <w:rFonts w:ascii="宋体" w:hAnsi="宋体"/>
          <w:color w:val="auto"/>
          <w:spacing w:val="1"/>
          <w:kern w:val="0"/>
          <w:szCs w:val="21"/>
          <w:highlight w:val="none"/>
        </w:rPr>
        <w:t>人</w:t>
      </w:r>
      <w:r>
        <w:rPr>
          <w:rFonts w:ascii="宋体" w:hAnsi="宋体"/>
          <w:color w:val="auto"/>
          <w:kern w:val="0"/>
          <w:szCs w:val="21"/>
          <w:highlight w:val="none"/>
        </w:rPr>
        <w:t>须知”前</w:t>
      </w:r>
      <w:r>
        <w:rPr>
          <w:rFonts w:ascii="宋体" w:hAnsi="宋体"/>
          <w:color w:val="auto"/>
          <w:spacing w:val="1"/>
          <w:kern w:val="0"/>
          <w:szCs w:val="21"/>
          <w:highlight w:val="none"/>
        </w:rPr>
        <w:t>附</w:t>
      </w:r>
      <w:r>
        <w:rPr>
          <w:rFonts w:ascii="宋体" w:hAnsi="宋体"/>
          <w:color w:val="auto"/>
          <w:kern w:val="0"/>
          <w:szCs w:val="21"/>
          <w:highlight w:val="none"/>
        </w:rPr>
        <w:t>表授权直</w:t>
      </w:r>
      <w:r>
        <w:rPr>
          <w:rFonts w:ascii="宋体" w:hAnsi="宋体"/>
          <w:color w:val="auto"/>
          <w:spacing w:val="1"/>
          <w:kern w:val="0"/>
          <w:szCs w:val="21"/>
          <w:highlight w:val="none"/>
        </w:rPr>
        <w:t>接</w:t>
      </w:r>
      <w:r>
        <w:rPr>
          <w:rFonts w:ascii="宋体" w:hAnsi="宋体"/>
          <w:color w:val="auto"/>
          <w:kern w:val="0"/>
          <w:szCs w:val="21"/>
          <w:highlight w:val="none"/>
        </w:rPr>
        <w:t>确定中标</w:t>
      </w:r>
      <w:r>
        <w:rPr>
          <w:rFonts w:ascii="宋体" w:hAnsi="宋体"/>
          <w:color w:val="auto"/>
          <w:spacing w:val="1"/>
          <w:kern w:val="0"/>
          <w:szCs w:val="21"/>
          <w:highlight w:val="none"/>
        </w:rPr>
        <w:t>人</w:t>
      </w:r>
      <w:r>
        <w:rPr>
          <w:rFonts w:ascii="宋体" w:hAnsi="宋体"/>
          <w:color w:val="auto"/>
          <w:kern w:val="0"/>
          <w:szCs w:val="21"/>
          <w:highlight w:val="none"/>
        </w:rPr>
        <w:t>外，评标</w:t>
      </w:r>
      <w:r>
        <w:rPr>
          <w:rFonts w:ascii="宋体" w:hAnsi="宋体"/>
          <w:color w:val="auto"/>
          <w:spacing w:val="1"/>
          <w:kern w:val="0"/>
          <w:szCs w:val="21"/>
          <w:highlight w:val="none"/>
        </w:rPr>
        <w:t>委</w:t>
      </w:r>
      <w:r>
        <w:rPr>
          <w:rFonts w:ascii="宋体" w:hAnsi="宋体"/>
          <w:color w:val="auto"/>
          <w:kern w:val="0"/>
          <w:szCs w:val="21"/>
          <w:highlight w:val="none"/>
        </w:rPr>
        <w:t>员会按照</w:t>
      </w:r>
      <w:r>
        <w:rPr>
          <w:rFonts w:ascii="宋体" w:hAnsi="宋体"/>
          <w:color w:val="auto"/>
          <w:spacing w:val="1"/>
          <w:kern w:val="0"/>
          <w:szCs w:val="21"/>
          <w:highlight w:val="none"/>
        </w:rPr>
        <w:t>得分</w:t>
      </w:r>
      <w:r>
        <w:rPr>
          <w:rFonts w:ascii="宋体" w:hAnsi="宋体"/>
          <w:color w:val="auto"/>
          <w:kern w:val="0"/>
          <w:szCs w:val="21"/>
          <w:highlight w:val="none"/>
        </w:rPr>
        <w:t>由高到低的顺序推荐中标候选人。</w:t>
      </w:r>
    </w:p>
    <w:p w14:paraId="2F803AF3">
      <w:pPr>
        <w:autoSpaceDE w:val="0"/>
        <w:autoSpaceDN w:val="0"/>
        <w:adjustRightInd w:val="0"/>
        <w:snapToGrid w:val="0"/>
        <w:spacing w:line="360" w:lineRule="auto"/>
        <w:ind w:firstLine="424" w:firstLineChars="200"/>
        <w:rPr>
          <w:rFonts w:ascii="宋体" w:hAnsi="宋体"/>
          <w:color w:val="auto"/>
          <w:kern w:val="0"/>
          <w:sz w:val="20"/>
          <w:szCs w:val="20"/>
          <w:highlight w:val="none"/>
        </w:rPr>
      </w:pPr>
      <w:r>
        <w:rPr>
          <w:rFonts w:ascii="宋体" w:hAnsi="宋体"/>
          <w:color w:val="auto"/>
          <w:spacing w:val="1"/>
          <w:kern w:val="0"/>
          <w:szCs w:val="21"/>
          <w:highlight w:val="none"/>
        </w:rPr>
        <w:t>3</w:t>
      </w:r>
      <w:r>
        <w:rPr>
          <w:rFonts w:ascii="宋体" w:hAnsi="宋体"/>
          <w:color w:val="auto"/>
          <w:kern w:val="0"/>
          <w:szCs w:val="21"/>
          <w:highlight w:val="none"/>
        </w:rPr>
        <w:t>.4.2  评标</w:t>
      </w:r>
      <w:r>
        <w:rPr>
          <w:rFonts w:ascii="宋体" w:hAnsi="宋体"/>
          <w:color w:val="auto"/>
          <w:spacing w:val="-1"/>
          <w:kern w:val="0"/>
          <w:szCs w:val="21"/>
          <w:highlight w:val="none"/>
        </w:rPr>
        <w:t>委</w:t>
      </w:r>
      <w:r>
        <w:rPr>
          <w:rFonts w:ascii="宋体" w:hAnsi="宋体"/>
          <w:color w:val="auto"/>
          <w:kern w:val="0"/>
          <w:szCs w:val="21"/>
          <w:highlight w:val="none"/>
        </w:rPr>
        <w:t>员会完成评标后，应当向招标人提交书面评标报告。</w:t>
      </w:r>
    </w:p>
    <w:p w14:paraId="42FDDE75">
      <w:pPr>
        <w:spacing w:line="360" w:lineRule="auto"/>
        <w:rPr>
          <w:rFonts w:ascii="宋体" w:hAnsi="宋体"/>
          <w:b/>
          <w:color w:val="auto"/>
          <w:szCs w:val="20"/>
          <w:highlight w:val="none"/>
        </w:rPr>
      </w:pPr>
      <w:r>
        <w:rPr>
          <w:rFonts w:ascii="宋体" w:hAnsi="宋体"/>
          <w:color w:val="auto"/>
          <w:kern w:val="0"/>
          <w:sz w:val="20"/>
          <w:szCs w:val="20"/>
          <w:highlight w:val="none"/>
        </w:rPr>
        <w:br w:type="page"/>
      </w:r>
    </w:p>
    <w:p w14:paraId="4CFAEC64">
      <w:pPr>
        <w:pStyle w:val="33"/>
        <w:spacing w:line="360" w:lineRule="auto"/>
        <w:rPr>
          <w:rFonts w:ascii="宋体" w:hAnsi="宋体"/>
          <w:b/>
          <w:color w:val="auto"/>
          <w:sz w:val="28"/>
          <w:szCs w:val="28"/>
          <w:highlight w:val="none"/>
          <w:u w:val="none"/>
          <w:lang w:eastAsia="zh-CN"/>
        </w:rPr>
      </w:pPr>
      <w:bookmarkStart w:id="680" w:name="招标文件03章02评标办法综合评估法02附件02"/>
      <w:bookmarkEnd w:id="680"/>
      <w:bookmarkStart w:id="681" w:name="招标文件04章合同条款及格式"/>
      <w:bookmarkEnd w:id="681"/>
      <w:bookmarkStart w:id="682" w:name="_Toc230410480"/>
      <w:bookmarkStart w:id="683" w:name="_Toc277082627"/>
      <w:r>
        <w:rPr>
          <w:rFonts w:ascii="宋体" w:hAnsi="宋体"/>
          <w:b/>
          <w:color w:val="auto"/>
          <w:sz w:val="28"/>
          <w:szCs w:val="28"/>
          <w:highlight w:val="none"/>
          <w:u w:val="none"/>
          <w:lang w:eastAsia="zh-CN"/>
        </w:rPr>
        <w:t>附件A：综合评估法否决投标情况一览表</w:t>
      </w:r>
      <w:bookmarkEnd w:id="682"/>
    </w:p>
    <w:bookmarkEnd w:id="683"/>
    <w:p w14:paraId="453951EC">
      <w:pPr>
        <w:pStyle w:val="33"/>
        <w:spacing w:line="360" w:lineRule="auto"/>
        <w:ind w:firstLine="420" w:firstLineChars="200"/>
        <w:jc w:val="both"/>
        <w:rPr>
          <w:rFonts w:ascii="宋体" w:hAnsi="宋体"/>
          <w:color w:val="auto"/>
          <w:sz w:val="21"/>
          <w:szCs w:val="21"/>
          <w:highlight w:val="none"/>
          <w:u w:val="none"/>
          <w:lang w:eastAsia="zh-CN"/>
        </w:rPr>
      </w:pPr>
      <w:r>
        <w:rPr>
          <w:rFonts w:hint="eastAsia" w:ascii="宋体" w:hAnsi="宋体"/>
          <w:color w:val="auto"/>
          <w:sz w:val="21"/>
          <w:szCs w:val="21"/>
          <w:highlight w:val="none"/>
          <w:u w:val="none"/>
          <w:lang w:eastAsia="zh-CN"/>
        </w:rPr>
        <w:t>投标文件存在本一览表下列情形之一的，投标文件视为重大偏差并作否决投标处理，否则，评标委员会不得视为重大偏差而否决投标人的投标文件。</w:t>
      </w:r>
    </w:p>
    <w:tbl>
      <w:tblPr>
        <w:tblStyle w:val="45"/>
        <w:tblW w:w="9050"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108" w:type="dxa"/>
          <w:bottom w:w="0" w:type="dxa"/>
          <w:right w:w="108" w:type="dxa"/>
        </w:tblCellMar>
      </w:tblPr>
      <w:tblGrid>
        <w:gridCol w:w="1899"/>
        <w:gridCol w:w="7151"/>
      </w:tblGrid>
      <w:tr w14:paraId="2D0BE0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Align w:val="center"/>
          </w:tcPr>
          <w:p w14:paraId="4A110ADB">
            <w:pPr>
              <w:spacing w:line="400" w:lineRule="exact"/>
              <w:jc w:val="center"/>
              <w:rPr>
                <w:rFonts w:ascii="宋体" w:hAnsi="宋体"/>
                <w:b/>
                <w:color w:val="auto"/>
                <w:szCs w:val="21"/>
                <w:highlight w:val="none"/>
              </w:rPr>
            </w:pPr>
            <w:r>
              <w:rPr>
                <w:rFonts w:ascii="宋体" w:hAnsi="宋体"/>
                <w:b/>
                <w:color w:val="auto"/>
                <w:szCs w:val="21"/>
                <w:highlight w:val="none"/>
              </w:rPr>
              <w:t>条款名称</w:t>
            </w:r>
          </w:p>
        </w:tc>
        <w:tc>
          <w:tcPr>
            <w:tcW w:w="7151" w:type="dxa"/>
            <w:vAlign w:val="center"/>
          </w:tcPr>
          <w:p w14:paraId="3607DC44">
            <w:pPr>
              <w:spacing w:line="400" w:lineRule="exact"/>
              <w:jc w:val="center"/>
              <w:rPr>
                <w:rFonts w:ascii="宋体" w:hAnsi="宋体"/>
                <w:b/>
                <w:color w:val="auto"/>
                <w:szCs w:val="21"/>
                <w:highlight w:val="none"/>
              </w:rPr>
            </w:pPr>
            <w:r>
              <w:rPr>
                <w:rFonts w:ascii="宋体" w:hAnsi="宋体"/>
                <w:b/>
                <w:color w:val="auto"/>
                <w:szCs w:val="21"/>
                <w:highlight w:val="none"/>
              </w:rPr>
              <w:t>否决投标条件</w:t>
            </w:r>
          </w:p>
        </w:tc>
      </w:tr>
      <w:tr w14:paraId="0A6649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restart"/>
            <w:vAlign w:val="center"/>
          </w:tcPr>
          <w:p w14:paraId="3FDB47BB">
            <w:pPr>
              <w:spacing w:line="400" w:lineRule="exact"/>
              <w:jc w:val="center"/>
              <w:rPr>
                <w:rFonts w:ascii="宋体" w:hAnsi="宋体"/>
                <w:color w:val="auto"/>
                <w:szCs w:val="21"/>
                <w:highlight w:val="none"/>
              </w:rPr>
            </w:pPr>
            <w:r>
              <w:rPr>
                <w:rFonts w:hint="eastAsia" w:ascii="宋体" w:hAnsi="宋体"/>
                <w:color w:val="auto"/>
                <w:szCs w:val="21"/>
                <w:highlight w:val="none"/>
              </w:rPr>
              <w:t>资格评审</w:t>
            </w:r>
          </w:p>
        </w:tc>
        <w:tc>
          <w:tcPr>
            <w:tcW w:w="7151" w:type="dxa"/>
            <w:vAlign w:val="center"/>
          </w:tcPr>
          <w:p w14:paraId="0508B30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A-1投标人的资质条件、营业执照及安全生产条件须满足投标人须知前附表1.4.1项第1条的要求，否则由评标委员会作否决投标处理。</w:t>
            </w:r>
          </w:p>
        </w:tc>
      </w:tr>
      <w:tr w14:paraId="549BC8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3F5FE026">
            <w:pPr>
              <w:spacing w:line="400" w:lineRule="exact"/>
              <w:jc w:val="center"/>
              <w:rPr>
                <w:rFonts w:ascii="宋体" w:hAnsi="宋体"/>
                <w:color w:val="auto"/>
                <w:szCs w:val="21"/>
                <w:highlight w:val="none"/>
              </w:rPr>
            </w:pPr>
          </w:p>
        </w:tc>
        <w:tc>
          <w:tcPr>
            <w:tcW w:w="7151" w:type="dxa"/>
            <w:vAlign w:val="center"/>
          </w:tcPr>
          <w:p w14:paraId="487264C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A-2投标人的财务须满足投标人须知前附表1.4.1项第2条的要求，否则由评标委员会作否决投标处理（如有）。</w:t>
            </w:r>
          </w:p>
        </w:tc>
      </w:tr>
      <w:tr w14:paraId="66A562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2C66DC76">
            <w:pPr>
              <w:spacing w:line="400" w:lineRule="exact"/>
              <w:jc w:val="center"/>
              <w:rPr>
                <w:rFonts w:ascii="宋体" w:hAnsi="宋体"/>
                <w:color w:val="auto"/>
                <w:szCs w:val="21"/>
                <w:highlight w:val="none"/>
              </w:rPr>
            </w:pPr>
          </w:p>
        </w:tc>
        <w:tc>
          <w:tcPr>
            <w:tcW w:w="7151" w:type="dxa"/>
            <w:vAlign w:val="center"/>
          </w:tcPr>
          <w:p w14:paraId="1EAE601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A-3投标人的业绩须满足投标人须知前附表1.4.1项第3条的要求，否则由评标委员会作否决投标处理（如有）。</w:t>
            </w:r>
          </w:p>
        </w:tc>
      </w:tr>
      <w:tr w14:paraId="211661B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5661936F">
            <w:pPr>
              <w:spacing w:line="400" w:lineRule="exact"/>
              <w:jc w:val="center"/>
              <w:rPr>
                <w:rFonts w:ascii="宋体" w:hAnsi="宋体"/>
                <w:color w:val="auto"/>
                <w:szCs w:val="21"/>
                <w:highlight w:val="none"/>
              </w:rPr>
            </w:pPr>
          </w:p>
        </w:tc>
        <w:tc>
          <w:tcPr>
            <w:tcW w:w="7151" w:type="dxa"/>
            <w:vAlign w:val="center"/>
          </w:tcPr>
          <w:p w14:paraId="64DA9D4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A-4投标人的专业设备材料供货资格须满足投标人须知前附表第1.4.1项第4条的要求，否则由评标委员会作否决投标处理（如有）。</w:t>
            </w:r>
          </w:p>
        </w:tc>
      </w:tr>
      <w:tr w14:paraId="10AD78C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36B06896">
            <w:pPr>
              <w:spacing w:line="400" w:lineRule="exact"/>
              <w:jc w:val="center"/>
              <w:rPr>
                <w:rFonts w:ascii="宋体" w:hAnsi="宋体"/>
                <w:color w:val="auto"/>
                <w:szCs w:val="21"/>
                <w:highlight w:val="none"/>
              </w:rPr>
            </w:pPr>
          </w:p>
        </w:tc>
        <w:tc>
          <w:tcPr>
            <w:tcW w:w="7151" w:type="dxa"/>
            <w:vAlign w:val="center"/>
          </w:tcPr>
          <w:p w14:paraId="36818BA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A-5投标人的投标截止日投标资格情况须满足投标人须知前附表1.4.1项第5条的要求，否则由评标委员会作否决投标处理。</w:t>
            </w:r>
          </w:p>
        </w:tc>
      </w:tr>
      <w:tr w14:paraId="2824CA8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43E93783">
            <w:pPr>
              <w:spacing w:line="400" w:lineRule="exact"/>
              <w:jc w:val="center"/>
              <w:rPr>
                <w:rFonts w:ascii="宋体" w:hAnsi="宋体"/>
                <w:color w:val="auto"/>
                <w:szCs w:val="21"/>
                <w:highlight w:val="none"/>
              </w:rPr>
            </w:pPr>
          </w:p>
        </w:tc>
        <w:tc>
          <w:tcPr>
            <w:tcW w:w="7151" w:type="dxa"/>
            <w:vAlign w:val="center"/>
          </w:tcPr>
          <w:p w14:paraId="164651E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A-6投标人的工程总承包项目经理资格须满足投标人须知前附表1.4.1项第6条的要求，否则由评标委员会作否决投标处理。</w:t>
            </w:r>
          </w:p>
        </w:tc>
      </w:tr>
      <w:tr w14:paraId="3EBCAA3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0276E08D">
            <w:pPr>
              <w:spacing w:line="400" w:lineRule="exact"/>
              <w:jc w:val="center"/>
              <w:rPr>
                <w:rFonts w:ascii="宋体" w:hAnsi="宋体"/>
                <w:color w:val="auto"/>
                <w:szCs w:val="21"/>
                <w:highlight w:val="none"/>
              </w:rPr>
            </w:pPr>
          </w:p>
        </w:tc>
        <w:tc>
          <w:tcPr>
            <w:tcW w:w="7151" w:type="dxa"/>
            <w:vAlign w:val="center"/>
          </w:tcPr>
          <w:p w14:paraId="5F0FAD0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A-7投标人的其他要求须满足投标人须知前附表1.4.1项第7条的要求，否则由评标委员会作否决投标处理。</w:t>
            </w:r>
          </w:p>
        </w:tc>
      </w:tr>
      <w:tr w14:paraId="49E927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tblHeader/>
          <w:jc w:val="center"/>
        </w:trPr>
        <w:tc>
          <w:tcPr>
            <w:tcW w:w="1899" w:type="dxa"/>
            <w:vMerge w:val="continue"/>
            <w:vAlign w:val="center"/>
          </w:tcPr>
          <w:p w14:paraId="350B058C">
            <w:pPr>
              <w:spacing w:line="400" w:lineRule="exact"/>
              <w:jc w:val="center"/>
              <w:rPr>
                <w:rFonts w:ascii="宋体" w:hAnsi="宋体"/>
                <w:color w:val="auto"/>
                <w:szCs w:val="21"/>
                <w:highlight w:val="none"/>
              </w:rPr>
            </w:pPr>
          </w:p>
        </w:tc>
        <w:tc>
          <w:tcPr>
            <w:tcW w:w="7151" w:type="dxa"/>
            <w:vAlign w:val="center"/>
          </w:tcPr>
          <w:p w14:paraId="0E6DC41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A-8联合体投标人应满足：</w:t>
            </w:r>
          </w:p>
          <w:p w14:paraId="5CFE899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（1）联合体各方应按照招标文件提供的格式签订联合体协议书，明确联合体牵头人和各方权利义务；</w:t>
            </w:r>
          </w:p>
          <w:p w14:paraId="050D405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（2）联合体各方均应当具备承担招标项目的相应能力，联合体协议约定同一专业分工由两个及以上单位共同承担的，按照资质等级较低的单位确定资质等级；</w:t>
            </w:r>
          </w:p>
          <w:p w14:paraId="5F3B1B2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（3）联合体各方不得再以自己名义单独或参加其他联合体在同一标段中投标。</w:t>
            </w:r>
          </w:p>
          <w:p w14:paraId="59141E03">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否则由评标委员会作否决投标处理。</w:t>
            </w:r>
          </w:p>
        </w:tc>
      </w:tr>
      <w:tr w14:paraId="271D834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restart"/>
            <w:vAlign w:val="center"/>
          </w:tcPr>
          <w:p w14:paraId="7EF84BE2">
            <w:pPr>
              <w:spacing w:line="400" w:lineRule="exact"/>
              <w:jc w:val="center"/>
              <w:rPr>
                <w:rFonts w:ascii="宋体" w:hAnsi="宋体"/>
                <w:color w:val="auto"/>
                <w:szCs w:val="21"/>
                <w:highlight w:val="none"/>
              </w:rPr>
            </w:pPr>
            <w:r>
              <w:rPr>
                <w:rFonts w:hint="eastAsia" w:ascii="宋体" w:hAnsi="宋体"/>
                <w:color w:val="auto"/>
                <w:szCs w:val="21"/>
                <w:highlight w:val="none"/>
              </w:rPr>
              <w:t>形式评审</w:t>
            </w:r>
          </w:p>
        </w:tc>
        <w:tc>
          <w:tcPr>
            <w:tcW w:w="7151" w:type="dxa"/>
          </w:tcPr>
          <w:p w14:paraId="097A226C">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A-9投标人名称必须与营业执照、资质证书、安全生产许可证一致，依法变更名称的应提交相应证明材料，</w:t>
            </w:r>
            <w:r>
              <w:rPr>
                <w:rFonts w:ascii="宋体" w:hAnsi="宋体"/>
                <w:color w:val="auto"/>
                <w:szCs w:val="21"/>
                <w:highlight w:val="none"/>
              </w:rPr>
              <w:t>否则</w:t>
            </w:r>
            <w:r>
              <w:rPr>
                <w:rFonts w:hint="eastAsia" w:ascii="宋体" w:hAnsi="宋体"/>
                <w:color w:val="auto"/>
                <w:szCs w:val="21"/>
                <w:highlight w:val="none"/>
              </w:rPr>
              <w:t>由评标委员会</w:t>
            </w:r>
            <w:r>
              <w:rPr>
                <w:rFonts w:ascii="宋体" w:hAnsi="宋体"/>
                <w:color w:val="auto"/>
                <w:szCs w:val="21"/>
                <w:highlight w:val="none"/>
              </w:rPr>
              <w:t>作否决投标处理。</w:t>
            </w:r>
          </w:p>
        </w:tc>
      </w:tr>
      <w:tr w14:paraId="58D2B06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5F6F07EC">
            <w:pPr>
              <w:spacing w:line="400" w:lineRule="exact"/>
              <w:jc w:val="center"/>
              <w:rPr>
                <w:rFonts w:ascii="宋体" w:hAnsi="宋体"/>
                <w:color w:val="auto"/>
                <w:szCs w:val="21"/>
                <w:highlight w:val="none"/>
              </w:rPr>
            </w:pPr>
          </w:p>
        </w:tc>
        <w:tc>
          <w:tcPr>
            <w:tcW w:w="7151" w:type="dxa"/>
          </w:tcPr>
          <w:p w14:paraId="3A1F0B9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ascii="宋体" w:hAnsi="宋体"/>
                <w:color w:val="auto"/>
                <w:szCs w:val="21"/>
                <w:highlight w:val="none"/>
              </w:rPr>
              <w:t>0</w:t>
            </w:r>
            <w:r>
              <w:rPr>
                <w:rFonts w:hint="eastAsia" w:ascii="宋体" w:hAnsi="宋体"/>
                <w:color w:val="auto"/>
                <w:szCs w:val="21"/>
                <w:highlight w:val="none"/>
              </w:rPr>
              <w:t>投标文件格式（不含投标函部分）</w:t>
            </w:r>
            <w:r>
              <w:rPr>
                <w:rFonts w:hint="eastAsia" w:ascii="宋体" w:hAnsi="宋体" w:cs="宋体"/>
                <w:color w:val="auto"/>
                <w:kern w:val="0"/>
                <w:highlight w:val="none"/>
              </w:rPr>
              <w:t>符合第二章“投标人须知”第3.7款规定</w:t>
            </w:r>
            <w:r>
              <w:rPr>
                <w:rFonts w:hint="eastAsia" w:ascii="宋体" w:hAnsi="宋体"/>
                <w:color w:val="auto"/>
                <w:szCs w:val="21"/>
                <w:highlight w:val="none"/>
              </w:rPr>
              <w:t>，否则由评标委员会作否决投标处理。</w:t>
            </w:r>
          </w:p>
          <w:p w14:paraId="1C45F18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编制投标文件时不得对第八章“投标文件格式”的相应要素作实质性修改，否则视为重大偏差，由评标委员会作否决投标处理。</w:t>
            </w:r>
          </w:p>
        </w:tc>
      </w:tr>
      <w:tr w14:paraId="5C981C2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3DAFB64E">
            <w:pPr>
              <w:spacing w:line="400" w:lineRule="exact"/>
              <w:jc w:val="center"/>
              <w:rPr>
                <w:rFonts w:ascii="宋体" w:hAnsi="宋体"/>
                <w:color w:val="auto"/>
                <w:szCs w:val="21"/>
                <w:highlight w:val="none"/>
              </w:rPr>
            </w:pPr>
          </w:p>
        </w:tc>
        <w:tc>
          <w:tcPr>
            <w:tcW w:w="7151" w:type="dxa"/>
          </w:tcPr>
          <w:p w14:paraId="4EDA4A77">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ascii="宋体" w:hAnsi="宋体"/>
                <w:color w:val="auto"/>
                <w:szCs w:val="21"/>
                <w:highlight w:val="none"/>
              </w:rPr>
              <w:t>1</w:t>
            </w:r>
            <w:r>
              <w:rPr>
                <w:rFonts w:hint="eastAsia" w:ascii="宋体" w:hAnsi="宋体"/>
                <w:color w:val="auto"/>
                <w:szCs w:val="21"/>
                <w:highlight w:val="none"/>
              </w:rPr>
              <w:t>联合体参与投标的应提交联合体协议书，并明确联合体牵头人。若有委托代理人的，在联合体协议中须明确由联合体牵头人委派委托代理人，否则由评标委员会作否决投标处理。</w:t>
            </w:r>
          </w:p>
        </w:tc>
      </w:tr>
      <w:tr w14:paraId="0C6A438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426CE04C">
            <w:pPr>
              <w:spacing w:line="400" w:lineRule="exact"/>
              <w:jc w:val="center"/>
              <w:rPr>
                <w:rFonts w:ascii="宋体" w:hAnsi="宋体"/>
                <w:color w:val="auto"/>
                <w:szCs w:val="21"/>
                <w:highlight w:val="none"/>
              </w:rPr>
            </w:pPr>
          </w:p>
        </w:tc>
        <w:tc>
          <w:tcPr>
            <w:tcW w:w="7151" w:type="dxa"/>
          </w:tcPr>
          <w:p w14:paraId="77B2673D">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olor w:val="auto"/>
                <w:szCs w:val="21"/>
                <w:highlight w:val="none"/>
              </w:rPr>
              <w:t>A-1</w:t>
            </w:r>
            <w:r>
              <w:rPr>
                <w:rFonts w:ascii="宋体" w:hAnsi="宋体"/>
                <w:color w:val="auto"/>
                <w:szCs w:val="21"/>
                <w:highlight w:val="none"/>
              </w:rPr>
              <w:t xml:space="preserve">2 </w:t>
            </w:r>
            <w:r>
              <w:rPr>
                <w:rFonts w:hint="eastAsia" w:ascii="宋体" w:hAnsi="宋体" w:cs="宋体"/>
                <w:color w:val="auto"/>
                <w:kern w:val="0"/>
                <w:highlight w:val="none"/>
              </w:rPr>
              <w:t>第八章 投标文件格式（不含投标函部分）要求法定代表人或其委托代理人签字（或盖章）的须齐全，否则由评标委员会作否决投标处理。</w:t>
            </w:r>
          </w:p>
          <w:p w14:paraId="1B751AAC">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若投标单位为联合体，则联合体协议书中各联合体成员单位签字（或盖章）须齐全，联合体协议书以外的投标文件格式中，要求法定代表人或其委托代理人签字（或盖章）的均由联合体牵头人法定代表人或其委托代理人签字（或盖章）。否则由评标委员会作否决投标处理。</w:t>
            </w:r>
          </w:p>
          <w:p w14:paraId="204F852D">
            <w:pPr>
              <w:autoSpaceDE w:val="0"/>
              <w:autoSpaceDN w:val="0"/>
              <w:adjustRightInd w:val="0"/>
              <w:snapToGrid w:val="0"/>
              <w:spacing w:line="400" w:lineRule="exact"/>
              <w:ind w:firstLine="420" w:firstLineChars="200"/>
              <w:rPr>
                <w:rFonts w:ascii="宋体" w:hAnsi="宋体" w:cs="宋体"/>
                <w:color w:val="auto"/>
                <w:kern w:val="0"/>
                <w:highlight w:val="none"/>
              </w:rPr>
            </w:pPr>
            <w:r>
              <w:rPr>
                <w:rFonts w:hint="eastAsia" w:ascii="宋体" w:hAnsi="宋体" w:cs="宋体"/>
                <w:color w:val="auto"/>
                <w:kern w:val="0"/>
                <w:highlight w:val="none"/>
              </w:rPr>
              <w:t>第八章 投标文件格式（不含投标函部分）要求加盖单位法人章的，应使用 CA 数字证书加盖投标人的单位电子印章，否则由评标委员会作否决投标处理。</w:t>
            </w:r>
          </w:p>
          <w:p w14:paraId="1F1A233E">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若投标单位为联合体，则联合体协议书中要求各联合体成员盖单位法人章的，各联合体成员盖章须齐全，联合体协议书以外的投标文件格式中要求投标人加盖单位法人章的，均由联合体牵头人使用 CA 数字证书加盖其单位电子印章。否则由评标委员会作否决投标处理。</w:t>
            </w:r>
          </w:p>
        </w:tc>
      </w:tr>
      <w:tr w14:paraId="210F836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291367FF">
            <w:pPr>
              <w:spacing w:line="400" w:lineRule="exact"/>
              <w:jc w:val="center"/>
              <w:rPr>
                <w:rFonts w:ascii="宋体" w:hAnsi="宋体"/>
                <w:color w:val="auto"/>
                <w:szCs w:val="21"/>
                <w:highlight w:val="none"/>
              </w:rPr>
            </w:pPr>
          </w:p>
        </w:tc>
        <w:tc>
          <w:tcPr>
            <w:tcW w:w="7151" w:type="dxa"/>
          </w:tcPr>
          <w:p w14:paraId="2BE1619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ascii="宋体" w:hAnsi="宋体"/>
                <w:color w:val="auto"/>
                <w:szCs w:val="21"/>
                <w:highlight w:val="none"/>
              </w:rPr>
              <w:t>3</w:t>
            </w:r>
            <w:r>
              <w:rPr>
                <w:rFonts w:hint="eastAsia" w:ascii="宋体" w:hAnsi="宋体"/>
                <w:color w:val="auto"/>
                <w:szCs w:val="21"/>
                <w:highlight w:val="none"/>
              </w:rPr>
              <w:t>投标人法定代表人的委托代理人有法定代表人签署的授权委托书和投标人为其缴纳的养老保险证明材料，否则由评标委员会作否决投标处理。</w:t>
            </w:r>
          </w:p>
        </w:tc>
      </w:tr>
      <w:tr w14:paraId="76499E8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restart"/>
            <w:vAlign w:val="center"/>
          </w:tcPr>
          <w:p w14:paraId="76C56DAA">
            <w:pPr>
              <w:spacing w:line="400" w:lineRule="exact"/>
              <w:jc w:val="center"/>
              <w:rPr>
                <w:rFonts w:ascii="宋体" w:hAnsi="宋体"/>
                <w:color w:val="auto"/>
                <w:szCs w:val="21"/>
                <w:highlight w:val="none"/>
              </w:rPr>
            </w:pPr>
            <w:r>
              <w:rPr>
                <w:rFonts w:hint="eastAsia" w:ascii="宋体" w:hAnsi="宋体"/>
                <w:color w:val="auto"/>
                <w:szCs w:val="21"/>
                <w:highlight w:val="none"/>
              </w:rPr>
              <w:t>响应性评审</w:t>
            </w:r>
          </w:p>
        </w:tc>
        <w:tc>
          <w:tcPr>
            <w:tcW w:w="7151" w:type="dxa"/>
            <w:vAlign w:val="center"/>
          </w:tcPr>
          <w:p w14:paraId="16C001A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A-1</w:t>
            </w:r>
            <w:r>
              <w:rPr>
                <w:rFonts w:ascii="宋体" w:hAnsi="宋体"/>
                <w:color w:val="auto"/>
                <w:szCs w:val="21"/>
                <w:highlight w:val="none"/>
              </w:rPr>
              <w:t>4</w:t>
            </w:r>
            <w:r>
              <w:rPr>
                <w:rFonts w:hint="eastAsia" w:ascii="宋体" w:hAnsi="宋体"/>
                <w:color w:val="auto"/>
                <w:szCs w:val="21"/>
                <w:highlight w:val="none"/>
              </w:rPr>
              <w:t>投标内容符合第二章“投标人须知”第1.3.1项规定，否则由评标委员会作否决投标处理。</w:t>
            </w:r>
          </w:p>
        </w:tc>
      </w:tr>
      <w:tr w14:paraId="13E6BA8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042A0160">
            <w:pPr>
              <w:spacing w:line="400" w:lineRule="exact"/>
              <w:jc w:val="center"/>
              <w:rPr>
                <w:rFonts w:ascii="宋体" w:hAnsi="宋体"/>
                <w:color w:val="auto"/>
                <w:szCs w:val="21"/>
                <w:highlight w:val="none"/>
              </w:rPr>
            </w:pPr>
          </w:p>
        </w:tc>
        <w:tc>
          <w:tcPr>
            <w:tcW w:w="7151" w:type="dxa"/>
            <w:vAlign w:val="center"/>
          </w:tcPr>
          <w:p w14:paraId="2DFAD179">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15</w:t>
            </w:r>
            <w:r>
              <w:rPr>
                <w:rFonts w:hint="eastAsia" w:ascii="宋体" w:hAnsi="宋体"/>
                <w:color w:val="auto"/>
                <w:szCs w:val="21"/>
                <w:highlight w:val="none"/>
              </w:rPr>
              <w:t>投标人应按投标人须知前附表第3.4款的规定递交投标保证金，并作为其投标文件的组成部分。否则由评标委员会作否决投标处理。</w:t>
            </w:r>
          </w:p>
        </w:tc>
      </w:tr>
      <w:tr w14:paraId="053514C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20425689">
            <w:pPr>
              <w:spacing w:line="400" w:lineRule="exact"/>
              <w:jc w:val="center"/>
              <w:rPr>
                <w:rFonts w:ascii="宋体" w:hAnsi="宋体"/>
                <w:color w:val="auto"/>
                <w:szCs w:val="21"/>
                <w:highlight w:val="none"/>
              </w:rPr>
            </w:pPr>
          </w:p>
        </w:tc>
        <w:tc>
          <w:tcPr>
            <w:tcW w:w="7151" w:type="dxa"/>
            <w:vAlign w:val="center"/>
          </w:tcPr>
          <w:p w14:paraId="66228DC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16符合第四章“合同条款及格式”规定，投标文件不应附有招标人不能接受的条件</w:t>
            </w:r>
            <w:r>
              <w:rPr>
                <w:rFonts w:hint="eastAsia" w:ascii="宋体" w:hAnsi="宋体"/>
                <w:color w:val="auto"/>
                <w:szCs w:val="21"/>
                <w:highlight w:val="none"/>
              </w:rPr>
              <w:t>，否则交由评标委员会作否决投标处理。</w:t>
            </w:r>
          </w:p>
        </w:tc>
      </w:tr>
      <w:tr w14:paraId="1668130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43178B15">
            <w:pPr>
              <w:spacing w:line="400" w:lineRule="exact"/>
              <w:jc w:val="center"/>
              <w:rPr>
                <w:rFonts w:ascii="宋体" w:hAnsi="宋体"/>
                <w:color w:val="auto"/>
                <w:szCs w:val="21"/>
                <w:highlight w:val="none"/>
              </w:rPr>
            </w:pPr>
          </w:p>
        </w:tc>
        <w:tc>
          <w:tcPr>
            <w:tcW w:w="7151" w:type="dxa"/>
            <w:vAlign w:val="center"/>
          </w:tcPr>
          <w:p w14:paraId="7BAD748D">
            <w:pPr>
              <w:spacing w:line="400" w:lineRule="exact"/>
              <w:ind w:firstLine="420" w:firstLineChars="200"/>
              <w:rPr>
                <w:rFonts w:ascii="宋体" w:hAnsi="宋体"/>
                <w:color w:val="auto"/>
                <w:szCs w:val="21"/>
                <w:highlight w:val="none"/>
              </w:rPr>
            </w:pPr>
            <w:r>
              <w:rPr>
                <w:rFonts w:hint="eastAsia" w:ascii="宋体" w:hAnsi="宋体" w:cs="宋体"/>
                <w:color w:val="auto"/>
                <w:kern w:val="0"/>
                <w:highlight w:val="none"/>
              </w:rPr>
              <w:t>A-</w:t>
            </w:r>
            <w:r>
              <w:rPr>
                <w:rFonts w:ascii="宋体" w:hAnsi="宋体" w:cs="宋体"/>
                <w:color w:val="auto"/>
                <w:kern w:val="0"/>
                <w:highlight w:val="none"/>
              </w:rPr>
              <w:t>17</w:t>
            </w:r>
            <w:r>
              <w:rPr>
                <w:rFonts w:hint="eastAsia" w:ascii="宋体" w:hAnsi="宋体" w:cs="宋体"/>
                <w:color w:val="auto"/>
                <w:kern w:val="0"/>
                <w:highlight w:val="none"/>
              </w:rPr>
              <w:t>技术标准和要求符合第六章“发包人要求”的规定，不得有负偏离，</w:t>
            </w:r>
            <w:r>
              <w:rPr>
                <w:rFonts w:hint="eastAsia" w:ascii="宋体" w:hAnsi="宋体"/>
                <w:color w:val="auto"/>
                <w:szCs w:val="21"/>
                <w:highlight w:val="none"/>
              </w:rPr>
              <w:t>否则由评标委员会作否决投标处理。</w:t>
            </w:r>
          </w:p>
        </w:tc>
      </w:tr>
      <w:tr w14:paraId="64BCAF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621B682A">
            <w:pPr>
              <w:spacing w:line="400" w:lineRule="exact"/>
              <w:jc w:val="center"/>
              <w:rPr>
                <w:rFonts w:ascii="宋体" w:hAnsi="宋体"/>
                <w:color w:val="auto"/>
                <w:szCs w:val="21"/>
                <w:highlight w:val="none"/>
              </w:rPr>
            </w:pPr>
          </w:p>
        </w:tc>
        <w:tc>
          <w:tcPr>
            <w:tcW w:w="7151" w:type="dxa"/>
            <w:vAlign w:val="center"/>
          </w:tcPr>
          <w:p w14:paraId="6965640E">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18</w:t>
            </w:r>
            <w:r>
              <w:rPr>
                <w:rFonts w:hint="eastAsia" w:ascii="宋体" w:hAnsi="宋体"/>
                <w:color w:val="auto"/>
                <w:szCs w:val="21"/>
                <w:highlight w:val="none"/>
              </w:rPr>
              <w:t>投标人有以下情形之一的，其投标文件由评标委员会</w:t>
            </w:r>
            <w:r>
              <w:rPr>
                <w:rFonts w:ascii="宋体" w:hAnsi="宋体"/>
                <w:color w:val="auto"/>
                <w:szCs w:val="21"/>
                <w:highlight w:val="none"/>
              </w:rPr>
              <w:t>作否决投标处理</w:t>
            </w:r>
            <w:r>
              <w:rPr>
                <w:rFonts w:hint="eastAsia" w:ascii="宋体" w:hAnsi="宋体"/>
                <w:color w:val="auto"/>
                <w:szCs w:val="21"/>
                <w:highlight w:val="none"/>
              </w:rPr>
              <w:t>：</w:t>
            </w:r>
          </w:p>
          <w:p w14:paraId="53F88F3B">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1.第二章“投标人须知”第1.4.3项规定的任何一种情形的；</w:t>
            </w:r>
          </w:p>
          <w:p w14:paraId="0E0C258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2.本次投标有串通投标、弄虚作假等违反招投标相关法律、法规的行为的；</w:t>
            </w:r>
          </w:p>
          <w:p w14:paraId="38BD9640">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3.不按评标委员会要求澄清、说明或补正的。</w:t>
            </w:r>
          </w:p>
        </w:tc>
      </w:tr>
      <w:tr w14:paraId="4048C7E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restart"/>
            <w:vAlign w:val="center"/>
          </w:tcPr>
          <w:p w14:paraId="2805D1AA">
            <w:pPr>
              <w:spacing w:line="400" w:lineRule="exact"/>
              <w:jc w:val="center"/>
              <w:rPr>
                <w:rFonts w:ascii="宋体" w:hAnsi="宋体"/>
                <w:color w:val="auto"/>
                <w:szCs w:val="21"/>
                <w:highlight w:val="none"/>
              </w:rPr>
            </w:pPr>
            <w:r>
              <w:rPr>
                <w:rFonts w:hint="eastAsia" w:ascii="宋体" w:hAnsi="宋体"/>
                <w:color w:val="auto"/>
                <w:szCs w:val="21"/>
                <w:highlight w:val="none"/>
              </w:rPr>
              <w:t>投标函部分</w:t>
            </w:r>
            <w:r>
              <w:rPr>
                <w:rFonts w:ascii="宋体" w:hAnsi="宋体"/>
                <w:color w:val="auto"/>
                <w:szCs w:val="21"/>
                <w:highlight w:val="none"/>
              </w:rPr>
              <w:t>及经济部分评审</w:t>
            </w:r>
          </w:p>
        </w:tc>
        <w:tc>
          <w:tcPr>
            <w:tcW w:w="7151" w:type="dxa"/>
            <w:vAlign w:val="center"/>
          </w:tcPr>
          <w:p w14:paraId="064279D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19</w:t>
            </w:r>
            <w:r>
              <w:rPr>
                <w:rFonts w:hint="eastAsia" w:ascii="宋体" w:hAnsi="宋体"/>
                <w:color w:val="auto"/>
                <w:szCs w:val="21"/>
                <w:highlight w:val="none"/>
              </w:rPr>
              <w:t>投标函部分的格式符合第二章“投标人须知”第3.7款规定，否则由评标委员会作否决投标处理。</w:t>
            </w:r>
          </w:p>
        </w:tc>
      </w:tr>
      <w:tr w14:paraId="262ED2F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50FB6445">
            <w:pPr>
              <w:spacing w:line="400" w:lineRule="exact"/>
              <w:jc w:val="center"/>
              <w:rPr>
                <w:rFonts w:ascii="宋体" w:hAnsi="宋体"/>
                <w:color w:val="auto"/>
                <w:szCs w:val="21"/>
                <w:highlight w:val="none"/>
              </w:rPr>
            </w:pPr>
          </w:p>
        </w:tc>
        <w:tc>
          <w:tcPr>
            <w:tcW w:w="7151" w:type="dxa"/>
            <w:vAlign w:val="center"/>
          </w:tcPr>
          <w:p w14:paraId="0B0AA12A">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20投标函部分的格式</w:t>
            </w:r>
            <w:r>
              <w:rPr>
                <w:rFonts w:hint="eastAsia" w:ascii="宋体" w:hAnsi="宋体"/>
                <w:color w:val="auto"/>
                <w:szCs w:val="21"/>
                <w:highlight w:val="none"/>
              </w:rPr>
              <w:t>要求法定代表人或其委托代理人签字（或盖章）的须齐全。要求加盖单位法人章的，应使用 CA 数字证书加盖投标人的单位电子印章。否则由评标委员会作否决投标处理。</w:t>
            </w:r>
          </w:p>
          <w:p w14:paraId="6AB2E184">
            <w:pPr>
              <w:spacing w:line="400" w:lineRule="exact"/>
              <w:ind w:firstLine="420" w:firstLineChars="200"/>
              <w:rPr>
                <w:color w:val="auto"/>
                <w:highlight w:val="none"/>
              </w:rPr>
            </w:pPr>
            <w:r>
              <w:rPr>
                <w:rFonts w:hint="eastAsia"/>
                <w:color w:val="auto"/>
                <w:highlight w:val="none"/>
              </w:rPr>
              <w:t>若投标单位为联合体，则联合体协议书中要求各联合体成员盖单位法人章的，各联合体成员盖章须齐全，联合体协议书以外的投标函部分的格式中要求投标人加盖单位法人章的，均由联合体牵头人使用 CA 数字证书加盖其单位电子印章。否则由评标委员会作否决投标处理。</w:t>
            </w:r>
          </w:p>
        </w:tc>
      </w:tr>
      <w:tr w14:paraId="6A9686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58514276">
            <w:pPr>
              <w:spacing w:line="400" w:lineRule="exact"/>
              <w:jc w:val="center"/>
              <w:rPr>
                <w:rFonts w:ascii="宋体" w:hAnsi="宋体"/>
                <w:color w:val="auto"/>
                <w:szCs w:val="21"/>
                <w:highlight w:val="none"/>
              </w:rPr>
            </w:pPr>
          </w:p>
        </w:tc>
        <w:tc>
          <w:tcPr>
            <w:tcW w:w="7151" w:type="dxa"/>
            <w:vAlign w:val="center"/>
          </w:tcPr>
          <w:p w14:paraId="7BBB636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21</w:t>
            </w:r>
            <w:r>
              <w:rPr>
                <w:rFonts w:hint="eastAsia" w:ascii="宋体" w:hAnsi="宋体"/>
                <w:color w:val="auto"/>
                <w:szCs w:val="21"/>
                <w:highlight w:val="none"/>
              </w:rPr>
              <w:t>工期符合第二章“投标人须知”第1.3.2项规定，否则由评标委员会作否决投标处理。</w:t>
            </w:r>
          </w:p>
        </w:tc>
      </w:tr>
      <w:tr w14:paraId="466EE76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78CF1046">
            <w:pPr>
              <w:spacing w:line="400" w:lineRule="exact"/>
              <w:jc w:val="center"/>
              <w:rPr>
                <w:rFonts w:ascii="宋体" w:hAnsi="宋体"/>
                <w:color w:val="auto"/>
                <w:szCs w:val="21"/>
                <w:highlight w:val="none"/>
              </w:rPr>
            </w:pPr>
          </w:p>
        </w:tc>
        <w:tc>
          <w:tcPr>
            <w:tcW w:w="7151" w:type="dxa"/>
            <w:vAlign w:val="center"/>
          </w:tcPr>
          <w:p w14:paraId="081846F4">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ascii="宋体" w:hAnsi="宋体"/>
                <w:color w:val="auto"/>
                <w:szCs w:val="21"/>
                <w:highlight w:val="none"/>
              </w:rPr>
              <w:t>2</w:t>
            </w:r>
            <w:r>
              <w:rPr>
                <w:rFonts w:hint="eastAsia" w:ascii="宋体" w:hAnsi="宋体"/>
                <w:color w:val="auto"/>
                <w:szCs w:val="21"/>
                <w:highlight w:val="none"/>
              </w:rPr>
              <w:t>质量标准符合第二章“投标人须知”第1.3.3项规定，否则由评标委员会作否决投标处理。</w:t>
            </w:r>
          </w:p>
        </w:tc>
      </w:tr>
      <w:tr w14:paraId="7471A8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19DAA8B7">
            <w:pPr>
              <w:spacing w:line="400" w:lineRule="exact"/>
              <w:jc w:val="center"/>
              <w:rPr>
                <w:rFonts w:ascii="宋体" w:hAnsi="宋体"/>
                <w:color w:val="auto"/>
                <w:szCs w:val="21"/>
                <w:highlight w:val="none"/>
              </w:rPr>
            </w:pPr>
          </w:p>
        </w:tc>
        <w:tc>
          <w:tcPr>
            <w:tcW w:w="7151" w:type="dxa"/>
            <w:vAlign w:val="center"/>
          </w:tcPr>
          <w:p w14:paraId="5C03ADE2">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ascii="宋体" w:hAnsi="宋体"/>
                <w:color w:val="auto"/>
                <w:szCs w:val="21"/>
                <w:highlight w:val="none"/>
              </w:rPr>
              <w:t>3</w:t>
            </w:r>
            <w:r>
              <w:rPr>
                <w:rFonts w:hint="eastAsia" w:ascii="宋体" w:hAnsi="宋体"/>
                <w:color w:val="auto"/>
                <w:szCs w:val="21"/>
                <w:highlight w:val="none"/>
              </w:rPr>
              <w:t>投标有效期符合第二章“投标人须知”第3.3.1项规定，否则由评标委员会作否决投标处理。</w:t>
            </w:r>
          </w:p>
        </w:tc>
      </w:tr>
      <w:tr w14:paraId="6F45B05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748F2C3C">
            <w:pPr>
              <w:spacing w:line="400" w:lineRule="exact"/>
              <w:jc w:val="center"/>
              <w:rPr>
                <w:rFonts w:ascii="宋体" w:hAnsi="宋体"/>
                <w:color w:val="auto"/>
                <w:szCs w:val="21"/>
                <w:highlight w:val="none"/>
              </w:rPr>
            </w:pPr>
          </w:p>
        </w:tc>
        <w:tc>
          <w:tcPr>
            <w:tcW w:w="7151" w:type="dxa"/>
            <w:vAlign w:val="center"/>
          </w:tcPr>
          <w:p w14:paraId="747FE06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24</w:t>
            </w:r>
            <w:r>
              <w:rPr>
                <w:rFonts w:ascii="宋体" w:hAnsi="宋体"/>
                <w:color w:val="auto"/>
                <w:kern w:val="0"/>
                <w:highlight w:val="none"/>
              </w:rPr>
              <w:t>投标总报价不得高于招标人公布的投标总报价最高限价</w:t>
            </w:r>
            <w:r>
              <w:rPr>
                <w:rFonts w:hint="eastAsia" w:ascii="宋体" w:hAnsi="宋体"/>
                <w:color w:val="auto"/>
                <w:kern w:val="0"/>
                <w:highlight w:val="none"/>
              </w:rPr>
              <w:t>，</w:t>
            </w:r>
            <w:r>
              <w:rPr>
                <w:rFonts w:hint="eastAsia" w:ascii="宋体" w:hAnsi="宋体" w:cs="宋体"/>
                <w:color w:val="auto"/>
                <w:kern w:val="0"/>
                <w:highlight w:val="none"/>
              </w:rPr>
              <w:t>投标分项报价不得高于招标人公布的投标分项报价最高限价，投标</w:t>
            </w:r>
            <w:r>
              <w:rPr>
                <w:rFonts w:hint="eastAsia" w:ascii="宋体" w:hAnsi="宋体" w:cs="宋体"/>
                <w:color w:val="auto"/>
                <w:szCs w:val="21"/>
                <w:highlight w:val="none"/>
              </w:rPr>
              <w:t>总报价与依据分项</w:t>
            </w:r>
            <w:r>
              <w:rPr>
                <w:rFonts w:ascii="宋体" w:hAnsi="宋体" w:cs="宋体"/>
                <w:color w:val="auto"/>
                <w:szCs w:val="21"/>
                <w:highlight w:val="none"/>
              </w:rPr>
              <w:t>报价、</w:t>
            </w:r>
            <w:r>
              <w:rPr>
                <w:rFonts w:hint="eastAsia" w:ascii="宋体" w:hAnsi="宋体" w:cs="宋体"/>
                <w:color w:val="auto"/>
                <w:szCs w:val="21"/>
                <w:highlight w:val="none"/>
              </w:rPr>
              <w:t>单价/费率报价计算出的结果应一致，</w:t>
            </w:r>
            <w:r>
              <w:rPr>
                <w:rFonts w:hint="eastAsia" w:ascii="宋体" w:hAnsi="宋体"/>
                <w:color w:val="auto"/>
                <w:szCs w:val="21"/>
                <w:highlight w:val="none"/>
              </w:rPr>
              <w:t>否则由评标委员会作否决投标处理。</w:t>
            </w:r>
          </w:p>
        </w:tc>
      </w:tr>
      <w:tr w14:paraId="6BB807B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7E6DA00F">
            <w:pPr>
              <w:spacing w:line="400" w:lineRule="exact"/>
              <w:jc w:val="center"/>
              <w:rPr>
                <w:rFonts w:ascii="宋体" w:hAnsi="宋体"/>
                <w:color w:val="auto"/>
                <w:szCs w:val="21"/>
                <w:highlight w:val="none"/>
              </w:rPr>
            </w:pPr>
          </w:p>
        </w:tc>
        <w:tc>
          <w:tcPr>
            <w:tcW w:w="7151" w:type="dxa"/>
            <w:vAlign w:val="center"/>
          </w:tcPr>
          <w:p w14:paraId="4E0B459F">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25</w:t>
            </w:r>
            <w:r>
              <w:rPr>
                <w:rFonts w:hint="eastAsia" w:ascii="宋体" w:hAnsi="宋体"/>
                <w:color w:val="auto"/>
                <w:kern w:val="0"/>
                <w:highlight w:val="none"/>
              </w:rPr>
              <w:t>暂定金额（暂列金）必须按照招标文件给定的金额填报</w:t>
            </w:r>
            <w:r>
              <w:rPr>
                <w:rFonts w:hint="eastAsia" w:ascii="宋体" w:hAnsi="宋体"/>
                <w:color w:val="auto"/>
                <w:szCs w:val="21"/>
                <w:highlight w:val="none"/>
              </w:rPr>
              <w:t>，否则由评标委员会作否决投标处理。</w:t>
            </w:r>
          </w:p>
        </w:tc>
      </w:tr>
      <w:tr w14:paraId="6A4D17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19F1D3E0">
            <w:pPr>
              <w:spacing w:line="400" w:lineRule="exact"/>
              <w:jc w:val="center"/>
              <w:rPr>
                <w:rFonts w:ascii="宋体" w:hAnsi="宋体"/>
                <w:color w:val="auto"/>
                <w:szCs w:val="21"/>
                <w:highlight w:val="none"/>
              </w:rPr>
            </w:pPr>
          </w:p>
        </w:tc>
        <w:tc>
          <w:tcPr>
            <w:tcW w:w="7151" w:type="dxa"/>
            <w:vAlign w:val="center"/>
          </w:tcPr>
          <w:p w14:paraId="0C8FF981">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26</w:t>
            </w:r>
            <w:r>
              <w:rPr>
                <w:rFonts w:hint="eastAsia" w:ascii="宋体" w:hAnsi="宋体"/>
                <w:color w:val="auto"/>
                <w:szCs w:val="21"/>
                <w:highlight w:val="none"/>
              </w:rPr>
              <w:t>只能有一个有效报价。在招标文件没有规定的情况下，不得提交选择性报价，否则由评标委员会作否决投标处理。</w:t>
            </w:r>
          </w:p>
        </w:tc>
      </w:tr>
      <w:tr w14:paraId="1C3F0D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78884E06">
            <w:pPr>
              <w:spacing w:line="400" w:lineRule="exact"/>
              <w:jc w:val="center"/>
              <w:rPr>
                <w:rFonts w:ascii="宋体" w:hAnsi="宋体"/>
                <w:color w:val="auto"/>
                <w:szCs w:val="21"/>
                <w:highlight w:val="none"/>
              </w:rPr>
            </w:pPr>
          </w:p>
        </w:tc>
        <w:tc>
          <w:tcPr>
            <w:tcW w:w="7151" w:type="dxa"/>
            <w:vAlign w:val="center"/>
          </w:tcPr>
          <w:p w14:paraId="5E7F34AD">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27</w:t>
            </w:r>
            <w:r>
              <w:rPr>
                <w:rFonts w:hint="eastAsia" w:ascii="宋体" w:hAnsi="宋体"/>
                <w:color w:val="auto"/>
                <w:szCs w:val="21"/>
                <w:highlight w:val="none"/>
              </w:rPr>
              <w:t>投标人必须按招标清单（如有）要求填报价格。内容必须与招标清单一致，否则交由评标委员会作否决投标处理。</w:t>
            </w:r>
          </w:p>
        </w:tc>
      </w:tr>
      <w:tr w14:paraId="18664F9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01510606">
            <w:pPr>
              <w:spacing w:line="400" w:lineRule="exact"/>
              <w:jc w:val="center"/>
              <w:rPr>
                <w:rFonts w:ascii="宋体" w:hAnsi="宋体"/>
                <w:color w:val="auto"/>
                <w:szCs w:val="21"/>
                <w:highlight w:val="none"/>
              </w:rPr>
            </w:pPr>
          </w:p>
        </w:tc>
        <w:tc>
          <w:tcPr>
            <w:tcW w:w="7151" w:type="dxa"/>
            <w:vAlign w:val="center"/>
          </w:tcPr>
          <w:p w14:paraId="01C0B4F5">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w:t>
            </w:r>
            <w:r>
              <w:rPr>
                <w:rFonts w:ascii="宋体" w:hAnsi="宋体"/>
                <w:color w:val="auto"/>
                <w:szCs w:val="21"/>
                <w:highlight w:val="none"/>
              </w:rPr>
              <w:t>28</w:t>
            </w:r>
            <w:r>
              <w:rPr>
                <w:rFonts w:hint="eastAsia" w:ascii="宋体" w:hAnsi="宋体"/>
                <w:color w:val="auto"/>
                <w:szCs w:val="21"/>
                <w:highlight w:val="none"/>
              </w:rPr>
              <w:t>投标人的每项清单综合单价报价（如有）不得超过每项清单综合单价最高限价，否则由评标委员会作否决投标处理。</w:t>
            </w:r>
          </w:p>
        </w:tc>
      </w:tr>
      <w:tr w14:paraId="6CE3A7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Merge w:val="continue"/>
            <w:vAlign w:val="center"/>
          </w:tcPr>
          <w:p w14:paraId="1AF2C077">
            <w:pPr>
              <w:spacing w:line="400" w:lineRule="exact"/>
              <w:jc w:val="center"/>
              <w:rPr>
                <w:rFonts w:ascii="宋体" w:hAnsi="宋体"/>
                <w:color w:val="auto"/>
                <w:szCs w:val="21"/>
                <w:highlight w:val="none"/>
              </w:rPr>
            </w:pPr>
          </w:p>
        </w:tc>
        <w:tc>
          <w:tcPr>
            <w:tcW w:w="7151" w:type="dxa"/>
            <w:vAlign w:val="center"/>
          </w:tcPr>
          <w:p w14:paraId="4957DFD6">
            <w:pPr>
              <w:spacing w:line="400" w:lineRule="exact"/>
              <w:ind w:firstLine="420" w:firstLineChars="200"/>
              <w:rPr>
                <w:rFonts w:ascii="宋体" w:hAnsi="宋体"/>
                <w:color w:val="auto"/>
                <w:szCs w:val="21"/>
                <w:highlight w:val="none"/>
              </w:rPr>
            </w:pPr>
            <w:r>
              <w:rPr>
                <w:rFonts w:hint="eastAsia" w:ascii="宋体" w:hAnsi="宋体"/>
                <w:color w:val="auto"/>
                <w:szCs w:val="21"/>
                <w:highlight w:val="none"/>
              </w:rPr>
              <w:t>A-2</w:t>
            </w:r>
            <w:r>
              <w:rPr>
                <w:rFonts w:ascii="宋体" w:hAnsi="宋体"/>
                <w:color w:val="auto"/>
                <w:szCs w:val="21"/>
                <w:highlight w:val="none"/>
              </w:rPr>
              <w:t>9</w:t>
            </w:r>
            <w:r>
              <w:rPr>
                <w:rFonts w:hint="eastAsia" w:ascii="宋体" w:hAnsi="宋体"/>
                <w:color w:val="auto"/>
                <w:szCs w:val="21"/>
                <w:highlight w:val="none"/>
              </w:rPr>
              <w:t>投标报价有算术错误的，按照第三章“评标办法”第3.</w:t>
            </w:r>
            <w:r>
              <w:rPr>
                <w:rFonts w:ascii="宋体" w:hAnsi="宋体"/>
                <w:color w:val="auto"/>
                <w:szCs w:val="21"/>
                <w:highlight w:val="none"/>
              </w:rPr>
              <w:t>2</w:t>
            </w:r>
            <w:r>
              <w:rPr>
                <w:rFonts w:hint="eastAsia" w:ascii="宋体" w:hAnsi="宋体"/>
                <w:color w:val="auto"/>
                <w:szCs w:val="21"/>
                <w:highlight w:val="none"/>
              </w:rPr>
              <w:t>.</w:t>
            </w:r>
            <w:r>
              <w:rPr>
                <w:rFonts w:ascii="宋体" w:hAnsi="宋体"/>
                <w:color w:val="auto"/>
                <w:szCs w:val="21"/>
                <w:highlight w:val="none"/>
              </w:rPr>
              <w:t>4</w:t>
            </w:r>
            <w:r>
              <w:rPr>
                <w:rFonts w:hint="eastAsia" w:ascii="宋体" w:hAnsi="宋体"/>
                <w:color w:val="auto"/>
                <w:szCs w:val="21"/>
                <w:highlight w:val="none"/>
              </w:rPr>
              <w:t>项规定执行，否则由评标委员会作否决投标处理。</w:t>
            </w:r>
          </w:p>
        </w:tc>
      </w:tr>
      <w:tr w14:paraId="4D94A59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108" w:type="dxa"/>
            <w:bottom w:w="0" w:type="dxa"/>
            <w:right w:w="108" w:type="dxa"/>
          </w:tblCellMar>
        </w:tblPrEx>
        <w:trPr>
          <w:jc w:val="center"/>
        </w:trPr>
        <w:tc>
          <w:tcPr>
            <w:tcW w:w="1899" w:type="dxa"/>
            <w:vAlign w:val="center"/>
          </w:tcPr>
          <w:p w14:paraId="7A4E81A8">
            <w:pPr>
              <w:spacing w:line="400" w:lineRule="exact"/>
              <w:jc w:val="center"/>
              <w:rPr>
                <w:rFonts w:ascii="宋体" w:hAnsi="宋体"/>
                <w:color w:val="auto"/>
                <w:szCs w:val="21"/>
                <w:highlight w:val="none"/>
              </w:rPr>
            </w:pPr>
            <w:r>
              <w:rPr>
                <w:rFonts w:hint="eastAsia" w:ascii="宋体" w:hAnsi="宋体"/>
                <w:color w:val="auto"/>
                <w:szCs w:val="21"/>
                <w:highlight w:val="none"/>
              </w:rPr>
              <w:t>其他</w:t>
            </w:r>
          </w:p>
        </w:tc>
        <w:tc>
          <w:tcPr>
            <w:tcW w:w="7151" w:type="dxa"/>
          </w:tcPr>
          <w:p w14:paraId="08581B42">
            <w:pPr>
              <w:spacing w:line="400" w:lineRule="exact"/>
              <w:ind w:firstLine="420" w:firstLineChars="200"/>
              <w:rPr>
                <w:rFonts w:ascii="宋体" w:hAnsi="宋体"/>
                <w:i/>
                <w:color w:val="auto"/>
                <w:szCs w:val="21"/>
                <w:highlight w:val="none"/>
              </w:rPr>
            </w:pPr>
            <w:r>
              <w:rPr>
                <w:rFonts w:hint="eastAsia" w:ascii="宋体" w:hAnsi="宋体"/>
                <w:i/>
                <w:color w:val="auto"/>
                <w:szCs w:val="21"/>
                <w:highlight w:val="none"/>
              </w:rPr>
              <w:t>[提示：招标人必须将所有否决投标条款集中罗列于此表，若无其他否决投标条款则在该条写无。]</w:t>
            </w:r>
          </w:p>
        </w:tc>
      </w:tr>
    </w:tbl>
    <w:p w14:paraId="6C257FA6">
      <w:pPr>
        <w:autoSpaceDE w:val="0"/>
        <w:autoSpaceDN w:val="0"/>
        <w:adjustRightInd w:val="0"/>
        <w:snapToGrid w:val="0"/>
        <w:spacing w:line="360" w:lineRule="auto"/>
        <w:jc w:val="left"/>
        <w:rPr>
          <w:rFonts w:ascii="宋体" w:hAnsi="宋体"/>
          <w:b/>
          <w:color w:val="auto"/>
          <w:kern w:val="0"/>
          <w:sz w:val="20"/>
          <w:szCs w:val="20"/>
          <w:highlight w:val="none"/>
        </w:rPr>
      </w:pPr>
    </w:p>
    <w:p w14:paraId="698D1813">
      <w:pPr>
        <w:autoSpaceDE w:val="0"/>
        <w:autoSpaceDN w:val="0"/>
        <w:adjustRightInd w:val="0"/>
        <w:snapToGrid w:val="0"/>
        <w:spacing w:before="340" w:after="330" w:line="360" w:lineRule="auto"/>
        <w:jc w:val="left"/>
        <w:rPr>
          <w:rFonts w:ascii="宋体" w:hAnsi="宋体"/>
          <w:color w:val="auto"/>
          <w:kern w:val="0"/>
          <w:sz w:val="52"/>
          <w:szCs w:val="52"/>
          <w:highlight w:val="none"/>
        </w:rPr>
      </w:pPr>
      <w:r>
        <w:rPr>
          <w:rFonts w:ascii="宋体" w:hAnsi="宋体"/>
          <w:color w:val="auto"/>
          <w:kern w:val="0"/>
          <w:highlight w:val="none"/>
        </w:rPr>
        <w:br w:type="page"/>
      </w:r>
    </w:p>
    <w:p w14:paraId="408C3BA5">
      <w:pPr>
        <w:pStyle w:val="3"/>
        <w:spacing w:line="360" w:lineRule="auto"/>
        <w:jc w:val="center"/>
        <w:rPr>
          <w:rFonts w:ascii="宋体" w:hAnsi="宋体"/>
          <w:color w:val="auto"/>
          <w:kern w:val="0"/>
          <w:highlight w:val="none"/>
        </w:rPr>
      </w:pPr>
      <w:bookmarkStart w:id="684" w:name="_Toc430530509"/>
      <w:bookmarkStart w:id="685" w:name="_Toc509218785"/>
      <w:bookmarkStart w:id="686" w:name="_Toc58860143"/>
      <w:r>
        <w:rPr>
          <w:rFonts w:hint="eastAsia" w:ascii="宋体" w:hAnsi="宋体"/>
          <w:color w:val="auto"/>
          <w:kern w:val="0"/>
          <w:highlight w:val="none"/>
        </w:rPr>
        <w:t>第四章  合同条款及格式</w:t>
      </w:r>
      <w:bookmarkEnd w:id="684"/>
      <w:bookmarkEnd w:id="685"/>
      <w:bookmarkEnd w:id="686"/>
    </w:p>
    <w:p w14:paraId="36B96538">
      <w:pPr>
        <w:rPr>
          <w:rFonts w:ascii="宋体" w:hAnsi="宋体"/>
          <w:color w:val="auto"/>
          <w:sz w:val="44"/>
          <w:szCs w:val="44"/>
          <w:highlight w:val="none"/>
        </w:rPr>
      </w:pPr>
      <w:r>
        <w:rPr>
          <w:rFonts w:ascii="宋体" w:hAnsi="宋体"/>
          <w:color w:val="auto"/>
          <w:highlight w:val="none"/>
        </w:rPr>
        <w:br w:type="page"/>
      </w:r>
      <w:bookmarkStart w:id="687" w:name="_Toc296890982"/>
      <w:bookmarkStart w:id="688" w:name="_Toc351203480"/>
      <w:bookmarkStart w:id="689" w:name="_Toc296503025"/>
    </w:p>
    <w:p w14:paraId="349A2660">
      <w:pPr>
        <w:rPr>
          <w:rFonts w:ascii="华文中宋" w:hAnsi="华文中宋" w:eastAsia="华文中宋"/>
          <w:b/>
          <w:color w:val="auto"/>
          <w:kern w:val="44"/>
          <w:sz w:val="24"/>
          <w:highlight w:val="none"/>
          <w:lang w:bidi="ar"/>
        </w:rPr>
        <w:sectPr>
          <w:footerReference r:id="rId9" w:type="default"/>
          <w:footerReference r:id="rId10" w:type="even"/>
          <w:pgSz w:w="11906" w:h="16838"/>
          <w:pgMar w:top="1304" w:right="1135" w:bottom="1304" w:left="1304" w:header="720" w:footer="720" w:gutter="0"/>
          <w:cols w:space="720" w:num="1"/>
          <w:docGrid w:type="lines" w:linePitch="312" w:charSpace="0"/>
        </w:sectPr>
      </w:pPr>
      <w:bookmarkStart w:id="690" w:name="_Toc351203632"/>
    </w:p>
    <w:p w14:paraId="452FCA65">
      <w:pPr>
        <w:widowControl/>
        <w:adjustRightInd w:val="0"/>
        <w:snapToGrid w:val="0"/>
        <w:spacing w:after="50" w:line="360" w:lineRule="auto"/>
        <w:jc w:val="center"/>
        <w:outlineLvl w:val="0"/>
        <w:rPr>
          <w:rFonts w:ascii="宋体" w:hAnsi="宋体" w:cs="宋体"/>
          <w:b/>
          <w:color w:val="auto"/>
          <w:kern w:val="44"/>
          <w:highlight w:val="none"/>
        </w:rPr>
      </w:pPr>
      <w:bookmarkStart w:id="691" w:name="_Toc20171709"/>
      <w:bookmarkEnd w:id="691"/>
      <w:bookmarkStart w:id="692" w:name="_Toc58860144"/>
      <w:bookmarkStart w:id="693" w:name="_Hlk59010609"/>
      <w:r>
        <w:rPr>
          <w:rFonts w:hint="eastAsia" w:ascii="宋体" w:hAnsi="宋体" w:cs="宋体"/>
          <w:b/>
          <w:color w:val="auto"/>
          <w:kern w:val="44"/>
          <w:szCs w:val="21"/>
          <w:highlight w:val="none"/>
          <w:lang w:bidi="ar"/>
        </w:rPr>
        <w:t>第一部分 合同协议书</w:t>
      </w:r>
      <w:bookmarkEnd w:id="692"/>
    </w:p>
    <w:p w14:paraId="776DF362">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发包人（全称）：</w:t>
      </w:r>
      <w:r>
        <w:rPr>
          <w:rFonts w:hint="eastAsia" w:ascii="宋体" w:hAnsi="宋体" w:cs="宋体"/>
          <w:color w:val="auto"/>
          <w:kern w:val="0"/>
          <w:szCs w:val="21"/>
          <w:highlight w:val="none"/>
          <w:u w:val="single"/>
          <w:lang w:bidi="ar"/>
        </w:rPr>
        <w:t xml:space="preserve">                                    </w:t>
      </w:r>
    </w:p>
    <w:p w14:paraId="749A4DA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承包人（全称）：</w:t>
      </w:r>
      <w:r>
        <w:rPr>
          <w:rFonts w:hint="eastAsia" w:ascii="宋体" w:hAnsi="宋体" w:cs="宋体"/>
          <w:color w:val="auto"/>
          <w:kern w:val="0"/>
          <w:szCs w:val="21"/>
          <w:highlight w:val="none"/>
          <w:u w:val="single"/>
          <w:lang w:bidi="ar"/>
        </w:rPr>
        <w:t xml:space="preserve">                                    </w:t>
      </w:r>
    </w:p>
    <w:p w14:paraId="7A25454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根据《中华人民共和国民法典》、《中华人民共和国建筑法》及有关法律规定，遵循平等、自愿、公平和诚实信用的原则，双方就</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项目的工程总承包及有关事项协商一致，共同达成如下协议：</w:t>
      </w:r>
    </w:p>
    <w:p w14:paraId="3EE2D885">
      <w:pPr>
        <w:widowControl/>
        <w:adjustRightInd w:val="0"/>
        <w:snapToGrid w:val="0"/>
        <w:spacing w:after="163" w:afterLines="50" w:line="360" w:lineRule="auto"/>
        <w:jc w:val="left"/>
        <w:outlineLvl w:val="1"/>
        <w:rPr>
          <w:rFonts w:ascii="宋体" w:hAnsi="宋体" w:cs="宋体"/>
          <w:color w:val="auto"/>
          <w:kern w:val="0"/>
          <w:highlight w:val="none"/>
        </w:rPr>
      </w:pPr>
      <w:bookmarkStart w:id="694" w:name="_Toc20171710"/>
      <w:bookmarkEnd w:id="694"/>
      <w:bookmarkStart w:id="695" w:name="_Toc58860145"/>
      <w:r>
        <w:rPr>
          <w:rFonts w:hint="eastAsia" w:ascii="宋体" w:hAnsi="宋体" w:cs="宋体"/>
          <w:color w:val="auto"/>
          <w:kern w:val="0"/>
          <w:szCs w:val="21"/>
          <w:highlight w:val="none"/>
          <w:lang w:bidi="ar"/>
        </w:rPr>
        <w:t>一、工程概况</w:t>
      </w:r>
      <w:bookmarkEnd w:id="695"/>
    </w:p>
    <w:p w14:paraId="16C8E75C">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 工程名称：</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36C3A68">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 工程地点：</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CBE9EB1">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 工程审批、核准或备案文号：</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53452E9">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 资金来源：</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D039752">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 工程内容及规模：</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E80B913">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 工程承包范围：</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781633C">
      <w:pPr>
        <w:widowControl/>
        <w:adjustRightInd w:val="0"/>
        <w:snapToGrid w:val="0"/>
        <w:spacing w:after="163" w:afterLines="50" w:line="360" w:lineRule="auto"/>
        <w:jc w:val="left"/>
        <w:outlineLvl w:val="1"/>
        <w:rPr>
          <w:rFonts w:ascii="宋体" w:hAnsi="宋体" w:cs="宋体"/>
          <w:color w:val="auto"/>
          <w:kern w:val="0"/>
          <w:highlight w:val="none"/>
        </w:rPr>
      </w:pPr>
      <w:bookmarkStart w:id="696" w:name="_Toc20171711"/>
      <w:bookmarkEnd w:id="696"/>
      <w:bookmarkStart w:id="697" w:name="_Toc58860146"/>
      <w:r>
        <w:rPr>
          <w:rFonts w:hint="eastAsia" w:ascii="宋体" w:hAnsi="宋体" w:cs="宋体"/>
          <w:color w:val="auto"/>
          <w:kern w:val="0"/>
          <w:szCs w:val="21"/>
          <w:highlight w:val="none"/>
          <w:lang w:bidi="ar"/>
        </w:rPr>
        <w:t>二、合同工期</w:t>
      </w:r>
      <w:bookmarkEnd w:id="697"/>
    </w:p>
    <w:p w14:paraId="6CE84A7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计划开始工作日期：</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年</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月</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日。</w:t>
      </w:r>
    </w:p>
    <w:p w14:paraId="3BCE2DB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计划开始现场施工日期：</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年</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月</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日。</w:t>
      </w:r>
    </w:p>
    <w:p w14:paraId="0D056E2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计划竣工日期：</w:t>
      </w:r>
      <w:r>
        <w:rPr>
          <w:rFonts w:hint="eastAsia" w:ascii="宋体" w:hAnsi="MingLiU_HKSCS" w:cs="MingLiU_HKSCS"/>
          <w:color w:val="auto"/>
          <w:kern w:val="0"/>
          <w:szCs w:val="21"/>
          <w:highlight w:val="none"/>
          <w:u w:val="single"/>
          <w:lang w:bidi="ar"/>
        </w:rPr>
        <w:t xml:space="preserve">        </w:t>
      </w:r>
      <w:r>
        <w:rPr>
          <w:rFonts w:hint="eastAsia" w:ascii="宋体" w:hAnsi="宋体" w:cs="宋体"/>
          <w:color w:val="auto"/>
          <w:kern w:val="0"/>
          <w:szCs w:val="21"/>
          <w:highlight w:val="none"/>
          <w:lang w:bidi="ar"/>
        </w:rPr>
        <w:t>年</w:t>
      </w:r>
      <w:r>
        <w:rPr>
          <w:rFonts w:hint="eastAsia" w:ascii="宋体" w:hAnsi="MingLiU_HKSCS" w:cs="MingLiU_HKSCS"/>
          <w:color w:val="auto"/>
          <w:kern w:val="0"/>
          <w:szCs w:val="21"/>
          <w:highlight w:val="none"/>
          <w:u w:val="single"/>
          <w:lang w:bidi="ar"/>
        </w:rPr>
        <w:t xml:space="preserve">       </w:t>
      </w:r>
      <w:r>
        <w:rPr>
          <w:rFonts w:hint="eastAsia" w:ascii="宋体" w:hAnsi="宋体" w:cs="宋体"/>
          <w:color w:val="auto"/>
          <w:kern w:val="0"/>
          <w:szCs w:val="21"/>
          <w:highlight w:val="none"/>
          <w:lang w:bidi="ar"/>
        </w:rPr>
        <w:t>月</w:t>
      </w:r>
      <w:r>
        <w:rPr>
          <w:rFonts w:hint="eastAsia" w:ascii="宋体" w:hAnsi="MingLiU_HKSCS" w:cs="MingLiU_HKSCS"/>
          <w:color w:val="auto"/>
          <w:kern w:val="0"/>
          <w:szCs w:val="21"/>
          <w:highlight w:val="none"/>
          <w:u w:val="single"/>
          <w:lang w:bidi="ar"/>
        </w:rPr>
        <w:t xml:space="preserve">     </w:t>
      </w:r>
      <w:r>
        <w:rPr>
          <w:rFonts w:hint="eastAsia" w:ascii="宋体" w:hAnsi="宋体" w:cs="宋体"/>
          <w:color w:val="auto"/>
          <w:kern w:val="0"/>
          <w:szCs w:val="21"/>
          <w:highlight w:val="none"/>
          <w:lang w:bidi="ar"/>
        </w:rPr>
        <w:t>日，实际竣工日期以工程竣工验收合格之日为准。</w:t>
      </w:r>
    </w:p>
    <w:p w14:paraId="6E40669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工期总日历天数：</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天，工期总日历天数与根据前述计划日期计算的工期天数不一致的，以工期总日历天数为准。</w:t>
      </w:r>
    </w:p>
    <w:p w14:paraId="35B73B64">
      <w:pPr>
        <w:widowControl/>
        <w:adjustRightInd w:val="0"/>
        <w:snapToGrid w:val="0"/>
        <w:spacing w:after="163" w:afterLines="50" w:line="360" w:lineRule="auto"/>
        <w:jc w:val="left"/>
        <w:outlineLvl w:val="1"/>
        <w:rPr>
          <w:rFonts w:ascii="宋体" w:hAnsi="宋体" w:cs="宋体"/>
          <w:color w:val="auto"/>
          <w:kern w:val="0"/>
          <w:highlight w:val="none"/>
        </w:rPr>
      </w:pPr>
      <w:bookmarkStart w:id="698" w:name="_Toc20171712"/>
      <w:bookmarkEnd w:id="698"/>
      <w:bookmarkStart w:id="699" w:name="_Toc58860147"/>
      <w:r>
        <w:rPr>
          <w:rFonts w:hint="eastAsia" w:ascii="宋体" w:hAnsi="宋体" w:cs="宋体"/>
          <w:color w:val="auto"/>
          <w:kern w:val="0"/>
          <w:szCs w:val="21"/>
          <w:highlight w:val="none"/>
          <w:lang w:bidi="ar"/>
        </w:rPr>
        <w:t>三、质量标准</w:t>
      </w:r>
      <w:bookmarkEnd w:id="699"/>
    </w:p>
    <w:p w14:paraId="674745A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工程设计质量标准：</w:t>
      </w:r>
      <w:r>
        <w:rPr>
          <w:rFonts w:hint="eastAsia" w:ascii="宋体" w:hAnsi="宋体" w:cs="宋体"/>
          <w:color w:val="auto"/>
          <w:kern w:val="0"/>
          <w:szCs w:val="21"/>
          <w:highlight w:val="none"/>
          <w:u w:val="single"/>
          <w:lang w:bidi="ar"/>
        </w:rPr>
        <w:t xml:space="preserve"> </w:t>
      </w:r>
      <w:r>
        <w:rPr>
          <w:rFonts w:ascii="宋体" w:hAnsi="宋体" w:cs="宋体"/>
          <w:color w:val="auto"/>
          <w:kern w:val="0"/>
          <w:szCs w:val="21"/>
          <w:highlight w:val="none"/>
          <w:u w:val="single"/>
          <w:lang w:bidi="ar"/>
        </w:rPr>
        <w:t xml:space="preserve">                    </w:t>
      </w:r>
    </w:p>
    <w:p w14:paraId="6AF1ACAB">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专业设备材料质量标准：</w:t>
      </w:r>
      <w:r>
        <w:rPr>
          <w:rFonts w:hint="eastAsia" w:ascii="宋体" w:hAnsi="宋体" w:cs="宋体"/>
          <w:color w:val="auto"/>
          <w:kern w:val="0"/>
          <w:szCs w:val="21"/>
          <w:highlight w:val="none"/>
          <w:u w:val="single"/>
          <w:lang w:bidi="ar"/>
        </w:rPr>
        <w:t xml:space="preserve">                          </w:t>
      </w:r>
    </w:p>
    <w:p w14:paraId="43F7EA9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工程施工质量标准：</w:t>
      </w:r>
      <w:r>
        <w:rPr>
          <w:rFonts w:hint="eastAsia" w:ascii="宋体" w:hAnsi="宋体" w:cs="宋体"/>
          <w:color w:val="auto"/>
          <w:kern w:val="0"/>
          <w:szCs w:val="21"/>
          <w:highlight w:val="none"/>
          <w:u w:val="single"/>
          <w:lang w:bidi="ar"/>
        </w:rPr>
        <w:t>工程质量符合国家和重庆市现行有关施工质量验收规范要求，并达到合格标准</w:t>
      </w:r>
      <w:r>
        <w:rPr>
          <w:rFonts w:hint="eastAsia" w:ascii="宋体" w:hAnsi="宋体" w:cs="宋体"/>
          <w:color w:val="auto"/>
          <w:kern w:val="0"/>
          <w:szCs w:val="21"/>
          <w:highlight w:val="none"/>
          <w:lang w:bidi="ar"/>
        </w:rPr>
        <w:t>。</w:t>
      </w:r>
    </w:p>
    <w:p w14:paraId="45912D52">
      <w:pPr>
        <w:widowControl/>
        <w:adjustRightInd w:val="0"/>
        <w:snapToGrid w:val="0"/>
        <w:spacing w:after="163" w:afterLines="50" w:line="360" w:lineRule="auto"/>
        <w:jc w:val="left"/>
        <w:outlineLvl w:val="1"/>
        <w:rPr>
          <w:rFonts w:ascii="宋体" w:hAnsi="宋体" w:cs="宋体"/>
          <w:color w:val="auto"/>
          <w:kern w:val="0"/>
          <w:highlight w:val="none"/>
        </w:rPr>
      </w:pPr>
      <w:bookmarkStart w:id="700" w:name="_Toc20171713"/>
      <w:bookmarkEnd w:id="700"/>
      <w:bookmarkStart w:id="701" w:name="_Toc58860148"/>
      <w:r>
        <w:rPr>
          <w:rFonts w:hint="eastAsia" w:ascii="宋体" w:hAnsi="宋体" w:cs="宋体"/>
          <w:color w:val="auto"/>
          <w:kern w:val="0"/>
          <w:szCs w:val="21"/>
          <w:highlight w:val="none"/>
          <w:lang w:bidi="ar"/>
        </w:rPr>
        <w:t>四、签约合同价与合同价格形式</w:t>
      </w:r>
      <w:bookmarkEnd w:id="701"/>
    </w:p>
    <w:p w14:paraId="3ECC0D8D">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 签约合同价（含税）为：</w:t>
      </w:r>
    </w:p>
    <w:p w14:paraId="70B98FD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人民币（大写) </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w:t>
      </w:r>
    </w:p>
    <w:p w14:paraId="5E40AAA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具体构成详见价格清单。其中： </w:t>
      </w:r>
    </w:p>
    <w:p w14:paraId="3818022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（1）设计费（含税）：</w:t>
      </w:r>
    </w:p>
    <w:p w14:paraId="7087879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人民币（大写) </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w:t>
      </w:r>
      <w:r>
        <w:rPr>
          <w:rFonts w:hint="eastAsia" w:ascii="宋体" w:hAnsi="宋体" w:cs="宋体"/>
          <w:color w:val="auto"/>
          <w:szCs w:val="21"/>
          <w:highlight w:val="none"/>
          <w:lang w:bidi="ar"/>
        </w:rPr>
        <w:t>□固定费率：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%；适用税率：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%，税金为人民币（大写)</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元）； </w:t>
      </w:r>
    </w:p>
    <w:p w14:paraId="6ADA88B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（2）专业设备材料费（含税）：</w:t>
      </w:r>
    </w:p>
    <w:p w14:paraId="6091F62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人民币（大写) </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元）；适用税率：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%，税金为人民币（大写)</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元）； </w:t>
      </w:r>
    </w:p>
    <w:p w14:paraId="580D8A9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（3）建筑安装工程费（含税）：</w:t>
      </w:r>
    </w:p>
    <w:p w14:paraId="6FD8728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人民币（大写)</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w:t>
      </w:r>
      <w:r>
        <w:rPr>
          <w:rFonts w:hint="eastAsia" w:ascii="宋体" w:hAnsi="宋体" w:cs="宋体"/>
          <w:color w:val="auto"/>
          <w:szCs w:val="21"/>
          <w:highlight w:val="none"/>
          <w:lang w:bidi="ar"/>
        </w:rPr>
        <w:t>□固定费率：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%；适用税率：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%，税金为人民币（大写)</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元）； </w:t>
      </w:r>
    </w:p>
    <w:p w14:paraId="00552C0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（4）暂估价（含税）：</w:t>
      </w:r>
    </w:p>
    <w:p w14:paraId="5CCE6CB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人民币（大写)</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w:t>
      </w:r>
    </w:p>
    <w:p w14:paraId="743B196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（5）暂列金额（含税）：</w:t>
      </w:r>
    </w:p>
    <w:p w14:paraId="5B9CAEF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人民币（大写)</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w:t>
      </w:r>
    </w:p>
    <w:p w14:paraId="20AB387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（6）双方约定的其他费用（含税）：</w:t>
      </w:r>
    </w:p>
    <w:p w14:paraId="6B63078D">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人民币（大写)</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元）；适用税率：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%，税金为人民币（大写)</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元）。</w:t>
      </w:r>
    </w:p>
    <w:p w14:paraId="4376E22A">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 合同价格形式：</w:t>
      </w:r>
    </w:p>
    <w:p w14:paraId="6539F2D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szCs w:val="21"/>
          <w:highlight w:val="none"/>
          <w:lang w:bidi="ar"/>
        </w:rPr>
        <w:t>□</w:t>
      </w:r>
      <w:r>
        <w:rPr>
          <w:rFonts w:hint="eastAsia" w:ascii="宋体" w:hAnsi="宋体" w:cs="宋体"/>
          <w:color w:val="auto"/>
          <w:kern w:val="0"/>
          <w:szCs w:val="21"/>
          <w:highlight w:val="none"/>
          <w:lang w:bidi="ar"/>
        </w:rPr>
        <w:t>合同价格形式为总价合同，除根据合同约定的在工程实施过程中需进行增减的款项外，合同价格不予调整，但合同当事人另有约定的除外。</w:t>
      </w:r>
    </w:p>
    <w:p w14:paraId="3E027F6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szCs w:val="21"/>
          <w:highlight w:val="none"/>
          <w:lang w:bidi="ar"/>
        </w:rPr>
        <w:t>□</w:t>
      </w:r>
      <w:r>
        <w:rPr>
          <w:rFonts w:hint="eastAsia" w:ascii="宋体" w:hAnsi="宋体" w:cs="宋体"/>
          <w:color w:val="auto"/>
          <w:kern w:val="0"/>
          <w:szCs w:val="21"/>
          <w:highlight w:val="none"/>
          <w:lang w:bidi="ar"/>
        </w:rPr>
        <w:t>合同价格形式为固定单价/费率合同，除根据合同约定的在工程实施过程中需进行增减的款项外，固定单价/费率不予调整，但合同当事人另有约定的除外。</w:t>
      </w:r>
    </w:p>
    <w:p w14:paraId="36E7FC96">
      <w:pPr>
        <w:widowControl/>
        <w:kinsoku w:val="0"/>
        <w:adjustRightInd w:val="0"/>
        <w:snapToGrid w:val="0"/>
        <w:spacing w:after="163" w:afterLines="50" w:line="360" w:lineRule="auto"/>
        <w:ind w:left="263" w:leftChars="125" w:firstLine="210" w:firstLineChars="100"/>
        <w:jc w:val="left"/>
        <w:rPr>
          <w:rFonts w:ascii="宋体" w:hAnsi="宋体" w:cs="宋体"/>
          <w:color w:val="auto"/>
          <w:kern w:val="0"/>
          <w:highlight w:val="none"/>
        </w:rPr>
      </w:pPr>
      <w:r>
        <w:rPr>
          <w:rFonts w:hint="eastAsia" w:ascii="宋体" w:hAnsi="宋体" w:cs="宋体"/>
          <w:color w:val="auto"/>
          <w:kern w:val="0"/>
          <w:szCs w:val="21"/>
          <w:highlight w:val="none"/>
          <w:lang w:bidi="ar"/>
        </w:rPr>
        <w:t>合同当事人对合同价格形式的其他约定：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6A83B2CF">
      <w:pPr>
        <w:widowControl/>
        <w:adjustRightInd w:val="0"/>
        <w:snapToGrid w:val="0"/>
        <w:spacing w:after="163" w:afterLines="50" w:line="360" w:lineRule="auto"/>
        <w:jc w:val="left"/>
        <w:outlineLvl w:val="1"/>
        <w:rPr>
          <w:rFonts w:ascii="宋体" w:hAnsi="宋体" w:cs="宋体"/>
          <w:color w:val="auto"/>
          <w:kern w:val="0"/>
          <w:highlight w:val="none"/>
        </w:rPr>
      </w:pPr>
      <w:bookmarkStart w:id="702" w:name="_Toc58860149"/>
      <w:r>
        <w:rPr>
          <w:rFonts w:hint="eastAsia" w:ascii="宋体" w:hAnsi="宋体" w:cs="宋体"/>
          <w:color w:val="auto"/>
          <w:kern w:val="0"/>
          <w:szCs w:val="21"/>
          <w:highlight w:val="none"/>
          <w:lang w:bidi="ar"/>
        </w:rPr>
        <w:t>五、工程总承包主要管理人员</w:t>
      </w:r>
      <w:bookmarkEnd w:id="702"/>
    </w:p>
    <w:p w14:paraId="2C85CCF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工程总承包项目经理：</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8C0950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设计负责人：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79B3E0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szCs w:val="21"/>
          <w:highlight w:val="none"/>
          <w:lang w:bidi="ar"/>
        </w:rPr>
        <w:t>□采购负责人：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9A6E25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施工负责人：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0542D60">
      <w:pPr>
        <w:widowControl/>
        <w:adjustRightInd w:val="0"/>
        <w:snapToGrid w:val="0"/>
        <w:spacing w:after="163" w:afterLines="50" w:line="360" w:lineRule="auto"/>
        <w:jc w:val="left"/>
        <w:outlineLvl w:val="1"/>
        <w:rPr>
          <w:rFonts w:ascii="宋体" w:hAnsi="宋体" w:cs="宋体"/>
          <w:color w:val="auto"/>
          <w:kern w:val="0"/>
          <w:highlight w:val="none"/>
        </w:rPr>
      </w:pPr>
      <w:bookmarkStart w:id="703" w:name="_Toc20171715"/>
      <w:bookmarkEnd w:id="703"/>
      <w:bookmarkStart w:id="704" w:name="_Toc58860150"/>
      <w:r>
        <w:rPr>
          <w:rFonts w:hint="eastAsia" w:ascii="宋体" w:hAnsi="宋体" w:cs="宋体"/>
          <w:color w:val="auto"/>
          <w:kern w:val="0"/>
          <w:szCs w:val="21"/>
          <w:highlight w:val="none"/>
          <w:lang w:bidi="ar"/>
        </w:rPr>
        <w:t>六、合同文件构成</w:t>
      </w:r>
      <w:bookmarkEnd w:id="704"/>
    </w:p>
    <w:p w14:paraId="167F394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本协议书与下列文件一起构成合同文件： </w:t>
      </w:r>
    </w:p>
    <w:p w14:paraId="36704F3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（1）中标通知书（如果有）；</w:t>
      </w:r>
    </w:p>
    <w:p w14:paraId="5F072D0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（2）投标函及投标函附录（如果有）；</w:t>
      </w:r>
    </w:p>
    <w:p w14:paraId="4C7C087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（3）专用合同条件及《发包人要求》等附件；</w:t>
      </w:r>
    </w:p>
    <w:p w14:paraId="2417C22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（4）通用合同条件；</w:t>
      </w:r>
    </w:p>
    <w:p w14:paraId="67FC6D5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（5）招标文件及其澄清修改文件；</w:t>
      </w:r>
    </w:p>
    <w:p w14:paraId="2BBF45C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（6）投标文件和（或）承包人建议书； </w:t>
      </w:r>
    </w:p>
    <w:p w14:paraId="793EF46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（7）价格清单；</w:t>
      </w:r>
    </w:p>
    <w:p w14:paraId="58BBD02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（8）双方约定的其他合同文件。</w:t>
      </w:r>
    </w:p>
    <w:p w14:paraId="35FA91B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上述各项合同文件包括双方就该项合同文件所作出的补充和修改，属于同一类内容的合同文件应以最新签署的为准。专用合同条件及其附件须经合同当事人签字或盖章。</w:t>
      </w:r>
    </w:p>
    <w:p w14:paraId="15EB9DE1">
      <w:pPr>
        <w:widowControl/>
        <w:adjustRightInd w:val="0"/>
        <w:snapToGrid w:val="0"/>
        <w:spacing w:after="163" w:afterLines="50" w:line="360" w:lineRule="auto"/>
        <w:jc w:val="left"/>
        <w:outlineLvl w:val="1"/>
        <w:rPr>
          <w:rFonts w:ascii="宋体" w:hAnsi="宋体" w:cs="宋体"/>
          <w:color w:val="auto"/>
          <w:kern w:val="0"/>
          <w:highlight w:val="none"/>
        </w:rPr>
      </w:pPr>
      <w:bookmarkStart w:id="705" w:name="_Toc20171716"/>
      <w:bookmarkEnd w:id="705"/>
      <w:bookmarkStart w:id="706" w:name="_Toc58860151"/>
      <w:r>
        <w:rPr>
          <w:rFonts w:hint="eastAsia" w:ascii="宋体" w:hAnsi="宋体" w:cs="宋体"/>
          <w:color w:val="auto"/>
          <w:kern w:val="0"/>
          <w:szCs w:val="21"/>
          <w:highlight w:val="none"/>
          <w:lang w:bidi="ar"/>
        </w:rPr>
        <w:t>七、承诺</w:t>
      </w:r>
      <w:bookmarkEnd w:id="706"/>
    </w:p>
    <w:p w14:paraId="5E774BAD">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 发包人承诺按照法律规定履行项目审批手续、筹集工程建设资金并按照合同约定的期限和方式支付合同价款。</w:t>
      </w:r>
    </w:p>
    <w:p w14:paraId="2DDC3544">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 承包人承诺按照法律规定及合同约定组织完成工程的设计、采购和施工等工作，确保工程质量和安全，不进行转包及违法分包，并在缺陷责任期及保修期内承担相应的工程维修责任。</w:t>
      </w:r>
    </w:p>
    <w:p w14:paraId="6FD107D2">
      <w:pPr>
        <w:widowControl/>
        <w:adjustRightInd w:val="0"/>
        <w:snapToGrid w:val="0"/>
        <w:spacing w:after="163" w:afterLines="50" w:line="360" w:lineRule="auto"/>
        <w:jc w:val="left"/>
        <w:outlineLvl w:val="1"/>
        <w:rPr>
          <w:rFonts w:ascii="宋体" w:hAnsi="宋体" w:cs="宋体"/>
          <w:color w:val="auto"/>
          <w:kern w:val="0"/>
          <w:highlight w:val="none"/>
        </w:rPr>
      </w:pPr>
      <w:bookmarkStart w:id="707" w:name="_Toc20171717"/>
      <w:bookmarkEnd w:id="707"/>
      <w:bookmarkStart w:id="708" w:name="_Toc58860152"/>
      <w:r>
        <w:rPr>
          <w:rFonts w:hint="eastAsia" w:ascii="宋体" w:hAnsi="宋体" w:cs="宋体"/>
          <w:color w:val="auto"/>
          <w:kern w:val="0"/>
          <w:szCs w:val="21"/>
          <w:highlight w:val="none"/>
          <w:lang w:bidi="ar"/>
        </w:rPr>
        <w:t>八、订立时间</w:t>
      </w:r>
      <w:bookmarkEnd w:id="708"/>
    </w:p>
    <w:p w14:paraId="04C9634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本合同于</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年</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月</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日订立。</w:t>
      </w:r>
    </w:p>
    <w:p w14:paraId="67C330FE">
      <w:pPr>
        <w:widowControl/>
        <w:adjustRightInd w:val="0"/>
        <w:snapToGrid w:val="0"/>
        <w:spacing w:after="163" w:afterLines="50" w:line="360" w:lineRule="auto"/>
        <w:jc w:val="left"/>
        <w:outlineLvl w:val="1"/>
        <w:rPr>
          <w:rFonts w:ascii="宋体" w:hAnsi="宋体" w:cs="宋体"/>
          <w:color w:val="auto"/>
          <w:kern w:val="0"/>
          <w:highlight w:val="none"/>
        </w:rPr>
      </w:pPr>
      <w:bookmarkStart w:id="709" w:name="_Toc20171718"/>
      <w:bookmarkEnd w:id="709"/>
      <w:bookmarkStart w:id="710" w:name="_Toc58860153"/>
      <w:r>
        <w:rPr>
          <w:rFonts w:hint="eastAsia" w:ascii="宋体" w:hAnsi="宋体" w:cs="宋体"/>
          <w:color w:val="auto"/>
          <w:kern w:val="0"/>
          <w:szCs w:val="21"/>
          <w:highlight w:val="none"/>
          <w:lang w:bidi="ar"/>
        </w:rPr>
        <w:t>九、订立地点</w:t>
      </w:r>
      <w:bookmarkEnd w:id="710"/>
    </w:p>
    <w:p w14:paraId="0E0437C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本合同在</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订立。</w:t>
      </w:r>
    </w:p>
    <w:p w14:paraId="0574D9A1">
      <w:pPr>
        <w:widowControl/>
        <w:adjustRightInd w:val="0"/>
        <w:snapToGrid w:val="0"/>
        <w:spacing w:after="163" w:afterLines="50" w:line="360" w:lineRule="auto"/>
        <w:jc w:val="left"/>
        <w:outlineLvl w:val="1"/>
        <w:rPr>
          <w:rFonts w:ascii="宋体" w:hAnsi="宋体" w:cs="宋体"/>
          <w:color w:val="auto"/>
          <w:kern w:val="0"/>
          <w:highlight w:val="none"/>
        </w:rPr>
      </w:pPr>
      <w:bookmarkStart w:id="711" w:name="_Toc20171719"/>
      <w:bookmarkEnd w:id="711"/>
      <w:bookmarkStart w:id="712" w:name="_Toc58860154"/>
      <w:r>
        <w:rPr>
          <w:rFonts w:hint="eastAsia" w:ascii="宋体" w:hAnsi="宋体" w:cs="宋体"/>
          <w:color w:val="auto"/>
          <w:kern w:val="0"/>
          <w:szCs w:val="21"/>
          <w:highlight w:val="none"/>
          <w:lang w:bidi="ar"/>
        </w:rPr>
        <w:t>十、合同生效</w:t>
      </w:r>
      <w:bookmarkEnd w:id="712"/>
    </w:p>
    <w:p w14:paraId="1CDFDFA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本合同经双方签字或盖章后成立，并自</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生效。</w:t>
      </w:r>
    </w:p>
    <w:p w14:paraId="3B5A1AA0">
      <w:pPr>
        <w:widowControl/>
        <w:adjustRightInd w:val="0"/>
        <w:snapToGrid w:val="0"/>
        <w:spacing w:after="163" w:afterLines="50" w:line="360" w:lineRule="auto"/>
        <w:jc w:val="left"/>
        <w:outlineLvl w:val="1"/>
        <w:rPr>
          <w:rFonts w:ascii="宋体" w:hAnsi="宋体" w:cs="宋体"/>
          <w:color w:val="auto"/>
          <w:kern w:val="0"/>
          <w:highlight w:val="none"/>
        </w:rPr>
      </w:pPr>
      <w:bookmarkStart w:id="713" w:name="_Toc20171720"/>
      <w:bookmarkEnd w:id="713"/>
      <w:bookmarkStart w:id="714" w:name="_Toc58860155"/>
      <w:r>
        <w:rPr>
          <w:rFonts w:hint="eastAsia" w:ascii="宋体" w:hAnsi="宋体" w:cs="宋体"/>
          <w:color w:val="auto"/>
          <w:kern w:val="0"/>
          <w:szCs w:val="21"/>
          <w:highlight w:val="none"/>
          <w:lang w:bidi="ar"/>
        </w:rPr>
        <w:t>十一、合同份数</w:t>
      </w:r>
      <w:bookmarkEnd w:id="714"/>
    </w:p>
    <w:p w14:paraId="7A47BD9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本合同一式</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份，均具有同等法律效力，发包人执</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份，承包人执</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份。</w:t>
      </w:r>
    </w:p>
    <w:p w14:paraId="3ECA701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1DEF655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tbl>
      <w:tblPr>
        <w:tblStyle w:val="45"/>
        <w:tblW w:w="9072" w:type="dxa"/>
        <w:tblInd w:w="135" w:type="dxa"/>
        <w:tblLayout w:type="fixed"/>
        <w:tblCellMar>
          <w:top w:w="0" w:type="dxa"/>
          <w:left w:w="108" w:type="dxa"/>
          <w:bottom w:w="0" w:type="dxa"/>
          <w:right w:w="108" w:type="dxa"/>
        </w:tblCellMar>
      </w:tblPr>
      <w:tblGrid>
        <w:gridCol w:w="4507"/>
        <w:gridCol w:w="4565"/>
      </w:tblGrid>
      <w:tr w14:paraId="68AB67DD">
        <w:tblPrEx>
          <w:tblCellMar>
            <w:top w:w="0" w:type="dxa"/>
            <w:left w:w="108" w:type="dxa"/>
            <w:bottom w:w="0" w:type="dxa"/>
            <w:right w:w="108" w:type="dxa"/>
          </w:tblCellMar>
        </w:tblPrEx>
        <w:tc>
          <w:tcPr>
            <w:tcW w:w="4507" w:type="dxa"/>
            <w:shd w:val="clear" w:color="auto" w:fill="auto"/>
          </w:tcPr>
          <w:p w14:paraId="54D55F86">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发包人：（公章）</w:t>
            </w:r>
          </w:p>
          <w:p w14:paraId="2E44D1DD">
            <w:pPr>
              <w:widowControl/>
              <w:adjustRightInd w:val="0"/>
              <w:snapToGrid w:val="0"/>
              <w:spacing w:after="50" w:line="360" w:lineRule="auto"/>
              <w:jc w:val="left"/>
              <w:rPr>
                <w:rFonts w:ascii="宋体" w:hAnsi="宋体" w:cs="宋体"/>
                <w:color w:val="auto"/>
                <w:kern w:val="0"/>
                <w:highlight w:val="none"/>
              </w:rPr>
            </w:pPr>
          </w:p>
          <w:p w14:paraId="126A646A">
            <w:pPr>
              <w:widowControl/>
              <w:adjustRightInd w:val="0"/>
              <w:snapToGrid w:val="0"/>
              <w:spacing w:after="50" w:line="360" w:lineRule="auto"/>
              <w:jc w:val="left"/>
              <w:rPr>
                <w:rFonts w:ascii="宋体" w:hAnsi="宋体" w:cs="宋体"/>
                <w:color w:val="auto"/>
                <w:kern w:val="0"/>
                <w:highlight w:val="none"/>
              </w:rPr>
            </w:pPr>
          </w:p>
        </w:tc>
        <w:tc>
          <w:tcPr>
            <w:tcW w:w="4565" w:type="dxa"/>
            <w:shd w:val="clear" w:color="auto" w:fill="auto"/>
          </w:tcPr>
          <w:p w14:paraId="4723EA20">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承包人：（公章）</w:t>
            </w:r>
          </w:p>
          <w:p w14:paraId="474204C5">
            <w:pPr>
              <w:widowControl/>
              <w:adjustRightInd w:val="0"/>
              <w:snapToGrid w:val="0"/>
              <w:spacing w:after="50" w:line="360" w:lineRule="auto"/>
              <w:jc w:val="left"/>
              <w:rPr>
                <w:rFonts w:ascii="宋体" w:hAnsi="宋体" w:cs="宋体"/>
                <w:color w:val="auto"/>
                <w:kern w:val="0"/>
                <w:highlight w:val="none"/>
              </w:rPr>
            </w:pPr>
          </w:p>
          <w:p w14:paraId="4FA29E67">
            <w:pPr>
              <w:widowControl/>
              <w:adjustRightInd w:val="0"/>
              <w:snapToGrid w:val="0"/>
              <w:spacing w:after="50" w:line="360" w:lineRule="auto"/>
              <w:jc w:val="left"/>
              <w:rPr>
                <w:rFonts w:ascii="宋体" w:hAnsi="宋体" w:cs="宋体"/>
                <w:color w:val="auto"/>
                <w:kern w:val="0"/>
                <w:highlight w:val="none"/>
              </w:rPr>
            </w:pPr>
          </w:p>
        </w:tc>
      </w:tr>
      <w:tr w14:paraId="1CAEDFB6">
        <w:tblPrEx>
          <w:tblCellMar>
            <w:top w:w="0" w:type="dxa"/>
            <w:left w:w="108" w:type="dxa"/>
            <w:bottom w:w="0" w:type="dxa"/>
            <w:right w:w="108" w:type="dxa"/>
          </w:tblCellMar>
        </w:tblPrEx>
        <w:tc>
          <w:tcPr>
            <w:tcW w:w="4507" w:type="dxa"/>
            <w:shd w:val="clear" w:color="auto" w:fill="auto"/>
          </w:tcPr>
          <w:p w14:paraId="7E76FEFE">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法定代表人或其委托代理人：</w:t>
            </w:r>
          </w:p>
          <w:p w14:paraId="52DA8D22">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（签字）</w:t>
            </w:r>
          </w:p>
          <w:p w14:paraId="5801B8A6">
            <w:pPr>
              <w:widowControl/>
              <w:adjustRightInd w:val="0"/>
              <w:snapToGrid w:val="0"/>
              <w:spacing w:after="50" w:line="360" w:lineRule="auto"/>
              <w:jc w:val="left"/>
              <w:rPr>
                <w:rFonts w:ascii="宋体" w:hAnsi="宋体" w:cs="宋体"/>
                <w:color w:val="auto"/>
                <w:kern w:val="0"/>
                <w:highlight w:val="none"/>
              </w:rPr>
            </w:pPr>
          </w:p>
        </w:tc>
        <w:tc>
          <w:tcPr>
            <w:tcW w:w="4565" w:type="dxa"/>
            <w:shd w:val="clear" w:color="auto" w:fill="auto"/>
          </w:tcPr>
          <w:p w14:paraId="4099D5F1">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法定代表人或其委托代理人：</w:t>
            </w:r>
          </w:p>
          <w:p w14:paraId="35399AC7">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（签字）</w:t>
            </w:r>
          </w:p>
          <w:p w14:paraId="03EC28B1">
            <w:pPr>
              <w:widowControl/>
              <w:adjustRightInd w:val="0"/>
              <w:snapToGrid w:val="0"/>
              <w:spacing w:after="50" w:line="360" w:lineRule="auto"/>
              <w:jc w:val="left"/>
              <w:rPr>
                <w:rFonts w:ascii="宋体" w:hAnsi="宋体" w:cs="宋体"/>
                <w:color w:val="auto"/>
                <w:kern w:val="0"/>
                <w:highlight w:val="none"/>
              </w:rPr>
            </w:pPr>
          </w:p>
        </w:tc>
      </w:tr>
      <w:tr w14:paraId="0EA17636">
        <w:tblPrEx>
          <w:tblCellMar>
            <w:top w:w="0" w:type="dxa"/>
            <w:left w:w="108" w:type="dxa"/>
            <w:bottom w:w="0" w:type="dxa"/>
            <w:right w:w="108" w:type="dxa"/>
          </w:tblCellMar>
        </w:tblPrEx>
        <w:tc>
          <w:tcPr>
            <w:tcW w:w="4507" w:type="dxa"/>
            <w:shd w:val="clear" w:color="auto" w:fill="auto"/>
          </w:tcPr>
          <w:p w14:paraId="5D82914A">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统一社会信用代码：</w:t>
            </w:r>
            <w:r>
              <w:rPr>
                <w:rFonts w:hint="eastAsia" w:ascii="宋体" w:hAnsi="宋体" w:cs="宋体"/>
                <w:color w:val="auto"/>
                <w:kern w:val="0"/>
                <w:szCs w:val="21"/>
                <w:highlight w:val="none"/>
                <w:u w:val="single"/>
                <w:lang w:bidi="ar"/>
              </w:rPr>
              <w:t xml:space="preserve">            </w:t>
            </w:r>
          </w:p>
          <w:p w14:paraId="15DDDFD2">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地址：</w:t>
            </w:r>
            <w:r>
              <w:rPr>
                <w:rFonts w:hint="eastAsia" w:ascii="宋体" w:hAnsi="宋体" w:cs="宋体"/>
                <w:color w:val="auto"/>
                <w:kern w:val="0"/>
                <w:szCs w:val="21"/>
                <w:highlight w:val="none"/>
                <w:u w:val="single"/>
                <w:lang w:bidi="ar"/>
              </w:rPr>
              <w:t xml:space="preserve">                       </w:t>
            </w:r>
          </w:p>
          <w:p w14:paraId="3CD1AA4E">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邮政编码：</w:t>
            </w:r>
            <w:r>
              <w:rPr>
                <w:rFonts w:hint="eastAsia" w:ascii="宋体" w:hAnsi="宋体" w:cs="宋体"/>
                <w:color w:val="auto"/>
                <w:kern w:val="0"/>
                <w:szCs w:val="21"/>
                <w:highlight w:val="none"/>
                <w:u w:val="single"/>
                <w:lang w:bidi="ar"/>
              </w:rPr>
              <w:t xml:space="preserve">                      </w:t>
            </w:r>
          </w:p>
          <w:p w14:paraId="03CD94B2">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法定代表人：</w:t>
            </w:r>
            <w:r>
              <w:rPr>
                <w:rFonts w:hint="eastAsia" w:ascii="宋体" w:hAnsi="宋体" w:cs="宋体"/>
                <w:color w:val="auto"/>
                <w:kern w:val="0"/>
                <w:szCs w:val="21"/>
                <w:highlight w:val="none"/>
                <w:u w:val="single"/>
                <w:lang w:bidi="ar"/>
              </w:rPr>
              <w:t xml:space="preserve">                 </w:t>
            </w:r>
          </w:p>
          <w:p w14:paraId="0D4856E5">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委托代理人：</w:t>
            </w:r>
            <w:r>
              <w:rPr>
                <w:rFonts w:hint="eastAsia" w:ascii="宋体" w:hAnsi="宋体" w:cs="宋体"/>
                <w:color w:val="auto"/>
                <w:kern w:val="0"/>
                <w:szCs w:val="21"/>
                <w:highlight w:val="none"/>
                <w:u w:val="single"/>
                <w:lang w:bidi="ar"/>
              </w:rPr>
              <w:t xml:space="preserve">                 </w:t>
            </w:r>
          </w:p>
          <w:p w14:paraId="49CC3CF3">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电话：</w:t>
            </w:r>
            <w:r>
              <w:rPr>
                <w:rFonts w:hint="eastAsia" w:ascii="宋体" w:hAnsi="宋体" w:cs="宋体"/>
                <w:color w:val="auto"/>
                <w:kern w:val="0"/>
                <w:szCs w:val="21"/>
                <w:highlight w:val="none"/>
                <w:u w:val="single"/>
                <w:lang w:bidi="ar"/>
              </w:rPr>
              <w:t xml:space="preserve">                       </w:t>
            </w:r>
          </w:p>
          <w:p w14:paraId="0A46148B">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传真： </w:t>
            </w:r>
            <w:r>
              <w:rPr>
                <w:rFonts w:hint="eastAsia" w:ascii="宋体" w:hAnsi="宋体" w:cs="宋体"/>
                <w:color w:val="auto"/>
                <w:kern w:val="0"/>
                <w:szCs w:val="21"/>
                <w:highlight w:val="none"/>
                <w:u w:val="single"/>
                <w:lang w:bidi="ar"/>
              </w:rPr>
              <w:t xml:space="preserve">                      </w:t>
            </w:r>
          </w:p>
          <w:p w14:paraId="55D514BE">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电子信箱：</w:t>
            </w:r>
            <w:r>
              <w:rPr>
                <w:rFonts w:hint="eastAsia" w:ascii="宋体" w:hAnsi="宋体" w:cs="宋体"/>
                <w:color w:val="auto"/>
                <w:kern w:val="0"/>
                <w:szCs w:val="21"/>
                <w:highlight w:val="none"/>
                <w:u w:val="single"/>
                <w:lang w:bidi="ar"/>
              </w:rPr>
              <w:t xml:space="preserve">                    </w:t>
            </w:r>
          </w:p>
          <w:p w14:paraId="730C641E">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开户银行：</w:t>
            </w:r>
            <w:r>
              <w:rPr>
                <w:rFonts w:hint="eastAsia" w:ascii="宋体" w:hAnsi="宋体" w:cs="宋体"/>
                <w:color w:val="auto"/>
                <w:kern w:val="0"/>
                <w:szCs w:val="21"/>
                <w:highlight w:val="none"/>
                <w:u w:val="single"/>
                <w:lang w:bidi="ar"/>
              </w:rPr>
              <w:t xml:space="preserve">                   </w:t>
            </w:r>
          </w:p>
          <w:p w14:paraId="6174A6FA">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账号：</w:t>
            </w:r>
            <w:r>
              <w:rPr>
                <w:rFonts w:hint="eastAsia" w:ascii="宋体" w:hAnsi="宋体" w:cs="宋体"/>
                <w:color w:val="auto"/>
                <w:kern w:val="0"/>
                <w:szCs w:val="21"/>
                <w:highlight w:val="none"/>
                <w:u w:val="single"/>
                <w:lang w:bidi="ar"/>
              </w:rPr>
              <w:t xml:space="preserve">                       </w:t>
            </w:r>
          </w:p>
        </w:tc>
        <w:tc>
          <w:tcPr>
            <w:tcW w:w="4565" w:type="dxa"/>
            <w:shd w:val="clear" w:color="auto" w:fill="auto"/>
          </w:tcPr>
          <w:p w14:paraId="723C2D8A">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统一社会信用代码：</w:t>
            </w:r>
            <w:r>
              <w:rPr>
                <w:rFonts w:hint="eastAsia" w:ascii="宋体" w:hAnsi="宋体" w:cs="宋体"/>
                <w:color w:val="auto"/>
                <w:kern w:val="0"/>
                <w:szCs w:val="21"/>
                <w:highlight w:val="none"/>
                <w:u w:val="single"/>
                <w:lang w:bidi="ar"/>
              </w:rPr>
              <w:t xml:space="preserve">            </w:t>
            </w:r>
          </w:p>
          <w:p w14:paraId="1593BA0D">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地址：</w:t>
            </w:r>
            <w:r>
              <w:rPr>
                <w:rFonts w:hint="eastAsia" w:ascii="宋体" w:hAnsi="宋体" w:cs="宋体"/>
                <w:color w:val="auto"/>
                <w:kern w:val="0"/>
                <w:szCs w:val="21"/>
                <w:highlight w:val="none"/>
                <w:u w:val="single"/>
                <w:lang w:bidi="ar"/>
              </w:rPr>
              <w:t xml:space="preserve">                        </w:t>
            </w:r>
          </w:p>
          <w:p w14:paraId="44A96B81">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邮政编码：</w:t>
            </w:r>
            <w:r>
              <w:rPr>
                <w:rFonts w:hint="eastAsia" w:ascii="宋体" w:hAnsi="宋体" w:cs="宋体"/>
                <w:color w:val="auto"/>
                <w:kern w:val="0"/>
                <w:szCs w:val="21"/>
                <w:highlight w:val="none"/>
                <w:u w:val="single"/>
                <w:lang w:bidi="ar"/>
              </w:rPr>
              <w:t xml:space="preserve">                      </w:t>
            </w:r>
          </w:p>
          <w:p w14:paraId="2D8B59EA">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法定代表人：</w:t>
            </w:r>
            <w:r>
              <w:rPr>
                <w:rFonts w:hint="eastAsia" w:ascii="宋体" w:hAnsi="宋体" w:cs="宋体"/>
                <w:color w:val="auto"/>
                <w:kern w:val="0"/>
                <w:szCs w:val="21"/>
                <w:highlight w:val="none"/>
                <w:u w:val="single"/>
                <w:lang w:bidi="ar"/>
              </w:rPr>
              <w:t xml:space="preserve">                  </w:t>
            </w:r>
          </w:p>
          <w:p w14:paraId="30ACC241">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委托代理人：</w:t>
            </w:r>
            <w:r>
              <w:rPr>
                <w:rFonts w:hint="eastAsia" w:ascii="宋体" w:hAnsi="宋体" w:cs="宋体"/>
                <w:color w:val="auto"/>
                <w:kern w:val="0"/>
                <w:szCs w:val="21"/>
                <w:highlight w:val="none"/>
                <w:u w:val="single"/>
                <w:lang w:bidi="ar"/>
              </w:rPr>
              <w:t xml:space="preserve">                 </w:t>
            </w:r>
          </w:p>
          <w:p w14:paraId="1547ADE4">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电话：</w:t>
            </w:r>
            <w:r>
              <w:rPr>
                <w:rFonts w:hint="eastAsia" w:ascii="宋体" w:hAnsi="宋体" w:cs="宋体"/>
                <w:color w:val="auto"/>
                <w:kern w:val="0"/>
                <w:szCs w:val="21"/>
                <w:highlight w:val="none"/>
                <w:u w:val="single"/>
                <w:lang w:bidi="ar"/>
              </w:rPr>
              <w:t xml:space="preserve">                       </w:t>
            </w:r>
          </w:p>
          <w:p w14:paraId="6A96B76C">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传真：</w:t>
            </w:r>
            <w:r>
              <w:rPr>
                <w:rFonts w:hint="eastAsia" w:ascii="宋体" w:hAnsi="宋体" w:cs="宋体"/>
                <w:color w:val="auto"/>
                <w:kern w:val="0"/>
                <w:szCs w:val="21"/>
                <w:highlight w:val="none"/>
                <w:u w:val="single"/>
                <w:lang w:bidi="ar"/>
              </w:rPr>
              <w:t xml:space="preserve">                       </w:t>
            </w:r>
          </w:p>
          <w:p w14:paraId="7D087397">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电子信箱：</w:t>
            </w:r>
            <w:r>
              <w:rPr>
                <w:rFonts w:hint="eastAsia" w:ascii="宋体" w:hAnsi="宋体" w:cs="宋体"/>
                <w:color w:val="auto"/>
                <w:kern w:val="0"/>
                <w:szCs w:val="21"/>
                <w:highlight w:val="none"/>
                <w:u w:val="single"/>
                <w:lang w:bidi="ar"/>
              </w:rPr>
              <w:t xml:space="preserve">                   </w:t>
            </w:r>
          </w:p>
          <w:p w14:paraId="1EB4A30F">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开户银行：</w:t>
            </w:r>
            <w:r>
              <w:rPr>
                <w:rFonts w:hint="eastAsia" w:ascii="宋体" w:hAnsi="宋体" w:cs="宋体"/>
                <w:color w:val="auto"/>
                <w:kern w:val="0"/>
                <w:szCs w:val="21"/>
                <w:highlight w:val="none"/>
                <w:u w:val="single"/>
                <w:lang w:bidi="ar"/>
              </w:rPr>
              <w:t xml:space="preserve">                   </w:t>
            </w:r>
          </w:p>
          <w:p w14:paraId="28837FCE">
            <w:pPr>
              <w:widowControl/>
              <w:adjustRightInd w:val="0"/>
              <w:snapToGrid w:val="0"/>
              <w:spacing w:after="50"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账号：</w:t>
            </w:r>
            <w:r>
              <w:rPr>
                <w:rFonts w:hint="eastAsia" w:ascii="宋体" w:hAnsi="宋体" w:cs="宋体"/>
                <w:color w:val="auto"/>
                <w:kern w:val="0"/>
                <w:szCs w:val="21"/>
                <w:highlight w:val="none"/>
                <w:u w:val="single"/>
                <w:lang w:bidi="ar"/>
              </w:rPr>
              <w:t xml:space="preserve">                       </w:t>
            </w:r>
          </w:p>
        </w:tc>
      </w:tr>
    </w:tbl>
    <w:p w14:paraId="5CAB8213">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kern w:val="0"/>
          <w:szCs w:val="21"/>
          <w:highlight w:val="none"/>
          <w:lang w:bidi="ar"/>
        </w:rPr>
        <w:tab/>
      </w:r>
    </w:p>
    <w:p w14:paraId="59385661">
      <w:pPr>
        <w:spacing w:line="360" w:lineRule="auto"/>
        <w:rPr>
          <w:rFonts w:ascii="宋体" w:hAnsi="宋体"/>
          <w:b/>
          <w:color w:val="auto"/>
          <w:kern w:val="44"/>
          <w:szCs w:val="21"/>
          <w:highlight w:val="none"/>
          <w:lang w:bidi="ar"/>
        </w:rPr>
        <w:sectPr>
          <w:type w:val="continuous"/>
          <w:pgSz w:w="11906" w:h="16838"/>
          <w:pgMar w:top="1304" w:right="1135" w:bottom="1304" w:left="1304" w:header="720" w:footer="720" w:gutter="0"/>
          <w:cols w:space="720" w:num="1"/>
          <w:docGrid w:type="lines" w:linePitch="326" w:charSpace="0"/>
        </w:sectPr>
      </w:pPr>
    </w:p>
    <w:p w14:paraId="78851918">
      <w:pPr>
        <w:widowControl/>
        <w:adjustRightInd w:val="0"/>
        <w:snapToGrid w:val="0"/>
        <w:spacing w:after="50" w:line="360" w:lineRule="auto"/>
        <w:jc w:val="center"/>
        <w:outlineLvl w:val="0"/>
        <w:rPr>
          <w:rFonts w:ascii="宋体" w:hAnsi="宋体" w:cs="宋体"/>
          <w:b/>
          <w:color w:val="auto"/>
          <w:kern w:val="44"/>
          <w:highlight w:val="none"/>
        </w:rPr>
      </w:pPr>
      <w:bookmarkStart w:id="715" w:name="_Toc20171721"/>
      <w:bookmarkEnd w:id="715"/>
      <w:bookmarkStart w:id="716" w:name="_Toc58860156"/>
      <w:r>
        <w:rPr>
          <w:rFonts w:hint="eastAsia" w:ascii="宋体" w:hAnsi="宋体" w:cs="宋体"/>
          <w:b/>
          <w:color w:val="auto"/>
          <w:kern w:val="44"/>
          <w:szCs w:val="21"/>
          <w:highlight w:val="none"/>
          <w:lang w:bidi="ar"/>
        </w:rPr>
        <w:t>第二部分 通用合同条件</w:t>
      </w:r>
      <w:bookmarkEnd w:id="716"/>
    </w:p>
    <w:p w14:paraId="3B639CEE">
      <w:pPr>
        <w:widowControl/>
        <w:adjustRightInd w:val="0"/>
        <w:snapToGrid w:val="0"/>
        <w:spacing w:after="163" w:afterLines="50" w:line="360" w:lineRule="auto"/>
        <w:outlineLvl w:val="1"/>
        <w:rPr>
          <w:rFonts w:ascii="宋体" w:hAnsi="宋体" w:cs="宋体"/>
          <w:color w:val="auto"/>
          <w:kern w:val="0"/>
          <w:highlight w:val="none"/>
        </w:rPr>
      </w:pPr>
      <w:bookmarkStart w:id="717" w:name="_Ref509040831"/>
      <w:bookmarkEnd w:id="717"/>
      <w:bookmarkStart w:id="718" w:name="_Ref508893699"/>
      <w:bookmarkEnd w:id="718"/>
      <w:bookmarkStart w:id="719" w:name="_Ref531952761"/>
      <w:bookmarkEnd w:id="719"/>
      <w:bookmarkStart w:id="720" w:name="_Ref509040826"/>
      <w:bookmarkEnd w:id="720"/>
      <w:bookmarkStart w:id="721" w:name="_Toc20171722"/>
      <w:bookmarkEnd w:id="721"/>
      <w:bookmarkStart w:id="722" w:name="_Ref531952756"/>
      <w:bookmarkStart w:id="723" w:name="_Toc58860157"/>
      <w:r>
        <w:rPr>
          <w:rFonts w:hint="eastAsia" w:ascii="宋体" w:hAnsi="宋体" w:cs="宋体"/>
          <w:color w:val="auto"/>
          <w:kern w:val="0"/>
          <w:szCs w:val="21"/>
          <w:highlight w:val="none"/>
          <w:lang w:bidi="ar"/>
        </w:rPr>
        <w:t xml:space="preserve">第1条 </w:t>
      </w:r>
      <w:bookmarkEnd w:id="722"/>
      <w:r>
        <w:rPr>
          <w:rFonts w:hint="eastAsia" w:ascii="宋体" w:hAnsi="宋体" w:cs="宋体"/>
          <w:color w:val="auto"/>
          <w:kern w:val="0"/>
          <w:szCs w:val="21"/>
          <w:highlight w:val="none"/>
          <w:lang w:bidi="ar"/>
        </w:rPr>
        <w:t xml:space="preserve"> 一般约定</w:t>
      </w:r>
      <w:bookmarkEnd w:id="723"/>
    </w:p>
    <w:p w14:paraId="305C0EEC">
      <w:pPr>
        <w:widowControl/>
        <w:wordWrap w:val="0"/>
        <w:topLinePunct/>
        <w:adjustRightInd w:val="0"/>
        <w:snapToGrid w:val="0"/>
        <w:spacing w:after="163" w:afterLines="50" w:line="360" w:lineRule="auto"/>
        <w:outlineLvl w:val="2"/>
        <w:rPr>
          <w:rFonts w:ascii="宋体" w:hAnsi="宋体" w:cs="宋体"/>
          <w:color w:val="auto"/>
          <w:highlight w:val="none"/>
        </w:rPr>
      </w:pPr>
      <w:bookmarkStart w:id="724" w:name="_Toc20171723"/>
      <w:bookmarkEnd w:id="724"/>
      <w:bookmarkStart w:id="725" w:name="_Ref523741471"/>
      <w:bookmarkEnd w:id="725"/>
      <w:bookmarkStart w:id="726" w:name="_Ref523741474"/>
      <w:bookmarkStart w:id="727" w:name="_Toc51766571"/>
      <w:bookmarkStart w:id="728" w:name="_Toc58860158"/>
      <w:bookmarkStart w:id="729" w:name="_Toc24072"/>
      <w:r>
        <w:rPr>
          <w:rFonts w:hint="eastAsia" w:ascii="宋体" w:hAnsi="宋体" w:cs="宋体"/>
          <w:color w:val="auto"/>
          <w:szCs w:val="21"/>
          <w:highlight w:val="none"/>
          <w:lang w:bidi="ar"/>
        </w:rPr>
        <w:t>1</w:t>
      </w:r>
      <w:bookmarkEnd w:id="726"/>
      <w:r>
        <w:rPr>
          <w:rFonts w:hint="eastAsia" w:ascii="宋体" w:hAnsi="宋体" w:cs="宋体"/>
          <w:color w:val="auto"/>
          <w:szCs w:val="21"/>
          <w:highlight w:val="none"/>
          <w:lang w:bidi="ar"/>
        </w:rPr>
        <w:t>.1  词语定义和解释</w:t>
      </w:r>
      <w:bookmarkEnd w:id="727"/>
      <w:bookmarkEnd w:id="728"/>
      <w:bookmarkEnd w:id="729"/>
    </w:p>
    <w:p w14:paraId="16ACE49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合同协议书、通用合同条件、专用合同条件中的下列词语应具有本款所赋予的含义：</w:t>
      </w:r>
    </w:p>
    <w:p w14:paraId="574B78BF">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730" w:name="_Ref4757289"/>
      <w:bookmarkEnd w:id="730"/>
      <w:bookmarkStart w:id="731" w:name="_Ref521288340"/>
      <w:r>
        <w:rPr>
          <w:rFonts w:hint="eastAsia" w:ascii="宋体" w:hAnsi="宋体" w:cs="宋体"/>
          <w:color w:val="auto"/>
          <w:szCs w:val="21"/>
          <w:highlight w:val="none"/>
          <w:lang w:bidi="ar"/>
        </w:rPr>
        <w:t>1</w:t>
      </w:r>
      <w:bookmarkEnd w:id="731"/>
      <w:r>
        <w:rPr>
          <w:rFonts w:hint="eastAsia" w:ascii="宋体" w:hAnsi="宋体" w:cs="宋体"/>
          <w:color w:val="auto"/>
          <w:szCs w:val="21"/>
          <w:highlight w:val="none"/>
          <w:lang w:bidi="ar"/>
        </w:rPr>
        <w:t>.1.1合同</w:t>
      </w:r>
    </w:p>
    <w:p w14:paraId="08D6E71C">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1.1.1.1合同：是指根据法律规定和合同当事人约定具有约束力的文件，构成合同的文件包括合同协议书、中标通知书（如果有）、投标函及其附录（如果有）、专用合同条件及其附件、通用合同条件、《发包人要求》、承包人建议书、价格清单以及双方约定的其他合同文件。</w:t>
      </w:r>
    </w:p>
    <w:p w14:paraId="09215AFF">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1.1.1.2合同协议书：是指构成合同的由发包人和承包人共同签署的称为“合同协议书”的书面文件。</w:t>
      </w:r>
    </w:p>
    <w:p w14:paraId="3AA70BCC">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1.1.1.3中标通知书：是指构成合同的由发包人通知承包人中标的书面文件。中标通知书随附的澄清、说明、补正事项纪要等，是中标通知书的组成部分。</w:t>
      </w:r>
    </w:p>
    <w:p w14:paraId="6FE29541">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1.1.1.4投标函：是指构成合同的由承包人填写并签署的用于投标的称为“投标函”的文件。</w:t>
      </w:r>
    </w:p>
    <w:p w14:paraId="4C4A98F8">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1.1.1.5投标函附录：是指构成合同的附在投标函后的称为“投标函附录”的文件。</w:t>
      </w:r>
    </w:p>
    <w:p w14:paraId="65D84819">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1.1.1.6《发包人要求》：指构成合同文件组成部分的名为《发包人要求》的文件，其中列明工程的目的、范围、设计与其他技术标准和要求，以及合同双方当事人约定对其所作的修改或补充。</w:t>
      </w:r>
    </w:p>
    <w:p w14:paraId="2F3D7AAF">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1.1.1.7项目清单：是指发包人提供的载明工程总承包项目勘察费（如果有）、设计费、建筑安装工程费、设备购置费、暂估价、暂列金额和双方约定的其他费用的名称和相应数量等内容的项目明细。</w:t>
      </w:r>
    </w:p>
    <w:p w14:paraId="0D190190">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1.1.1.8价格清单：指构成合同文件组成部分的由承包人按发包人提供的项目清单规定的格式和要求填写并标明价格的清单。</w:t>
      </w:r>
    </w:p>
    <w:p w14:paraId="3A4195CE">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1.1.1.9承包人建议书：指构成合同文件组成部分的名为承包人建议书的文件。承包人建议书由承包人随投标函一起提交。</w:t>
      </w:r>
    </w:p>
    <w:p w14:paraId="37CEFC66">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bookmarkStart w:id="732" w:name="_Ref4415300"/>
      <w:bookmarkEnd w:id="732"/>
      <w:r>
        <w:rPr>
          <w:rFonts w:hint="eastAsia" w:ascii="宋体" w:hAnsi="宋体" w:cs="宋体"/>
          <w:color w:val="auto"/>
          <w:szCs w:val="21"/>
          <w:highlight w:val="none"/>
          <w:lang w:bidi="ar"/>
        </w:rPr>
        <w:t>1.1.1.10其他合同文件：是指经合同当事人约定的与工程实施有关的具有合同约束力的文件或书面协议。合同当事人可以在专用合同条件中进行约定。</w:t>
      </w:r>
    </w:p>
    <w:p w14:paraId="01EEB1C3">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733" w:name="_Ref4757418"/>
      <w:bookmarkEnd w:id="733"/>
      <w:r>
        <w:rPr>
          <w:rFonts w:hint="eastAsia" w:ascii="宋体" w:hAnsi="宋体" w:cs="宋体"/>
          <w:color w:val="auto"/>
          <w:szCs w:val="21"/>
          <w:highlight w:val="none"/>
          <w:lang w:bidi="ar"/>
        </w:rPr>
        <w:t>1.1.2合同当事人及其他相关方</w:t>
      </w:r>
    </w:p>
    <w:p w14:paraId="103745AC">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1.1.2.1合同当事人：是指发包人和（或）承包人。</w:t>
      </w:r>
    </w:p>
    <w:p w14:paraId="02374E1A">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1.1.2.2发包人：是指与承包人订立合同协议书的当事人及取得该当事人资格的合法继受人。本合同中“因发包人原因”里的“发包人”包括发包人及所有发包人人员。</w:t>
      </w:r>
    </w:p>
    <w:p w14:paraId="40CB2315">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1.1.2.3承包人：是指与发包人订立合同协议书的当事人及取得该当事人资格的合法继受人。</w:t>
      </w:r>
    </w:p>
    <w:p w14:paraId="42C5FF73">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1.1.2.4联合体：是指经发包人同意由两个或两个以上法人或者其他组织组成的，作为承包人的临时机构。</w:t>
      </w:r>
    </w:p>
    <w:p w14:paraId="08AF34C5">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bookmarkStart w:id="734" w:name="_Ref4420046"/>
      <w:bookmarkEnd w:id="734"/>
      <w:r>
        <w:rPr>
          <w:rFonts w:hint="eastAsia" w:ascii="宋体" w:hAnsi="宋体" w:cs="宋体"/>
          <w:color w:val="auto"/>
          <w:szCs w:val="21"/>
          <w:highlight w:val="none"/>
          <w:lang w:bidi="ar"/>
        </w:rPr>
        <w:t>1.1.2.5发包人代表：是指由发包人任命并派驻工作现场，在发包人授权范围内行使发包人权利和履行发包人义务的人。</w:t>
      </w:r>
    </w:p>
    <w:p w14:paraId="0F66FFC1">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bookmarkStart w:id="735" w:name="_Ref4756982"/>
      <w:bookmarkEnd w:id="735"/>
      <w:r>
        <w:rPr>
          <w:rFonts w:hint="eastAsia" w:ascii="宋体" w:hAnsi="宋体" w:cs="宋体"/>
          <w:color w:val="auto"/>
          <w:szCs w:val="21"/>
          <w:highlight w:val="none"/>
          <w:lang w:bidi="ar"/>
        </w:rPr>
        <w:t>1.1.2.6工程师：是指在专用合同条件中指明的，受发包人委托按照法律规定和发包人的授权进行合同履行管理、工程监督管理等工作的法人或其他组织；该法人或其他组织应雇用一名具有相应执业资格和职业能力的自然人作为工程师代表，并授予其根据本合同代表工程师行事的权利。</w:t>
      </w:r>
    </w:p>
    <w:p w14:paraId="34744281">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1.1.2.7工程总承包项目经理：是指由承包人任命的，在承包人授权范围内负责合同履行的管理，且按照法律规定具有相应资格的项目负责人。</w:t>
      </w:r>
    </w:p>
    <w:p w14:paraId="7124906A">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1.1.2.8设计负责人：是指承包人指定负责组织、指导、协调设计工作并具有相应资格的人员。</w:t>
      </w:r>
    </w:p>
    <w:p w14:paraId="45BAD186">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1.1.2.9采购负责人：是指承包人指定负责组织、指导、协调采购工作的人员。</w:t>
      </w:r>
    </w:p>
    <w:p w14:paraId="22340683">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1.1.2.10施工负责人：是指承包人指定负责组织、指导、协调施工工作并具有相应资格的人员。</w:t>
      </w:r>
    </w:p>
    <w:p w14:paraId="65A1A756">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1.1.2.11分包人：是指按照法律规定和合同约定，分包部分工程或工作，并与承包人订立分包合同的具有相应资质或资格的法人或其他组织。</w:t>
      </w:r>
    </w:p>
    <w:p w14:paraId="69CA3CF6">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736" w:name="_Ref4758319"/>
      <w:bookmarkEnd w:id="736"/>
      <w:r>
        <w:rPr>
          <w:rFonts w:hint="eastAsia" w:ascii="宋体" w:hAnsi="宋体" w:cs="宋体"/>
          <w:color w:val="auto"/>
          <w:szCs w:val="21"/>
          <w:highlight w:val="none"/>
          <w:lang w:bidi="ar"/>
        </w:rPr>
        <w:t>1.1.3工程和设备</w:t>
      </w:r>
    </w:p>
    <w:p w14:paraId="6EC3244C">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1.1.3.1工程：是指与合同协议书中工程承包范围对应的永久工程和（或）临时工程。</w:t>
      </w:r>
    </w:p>
    <w:p w14:paraId="7CFE0FFF">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1.1.3.2工程实施：是指进行工程的设计、采购、施工和竣工以及对工程任何缺陷的修复。</w:t>
      </w:r>
    </w:p>
    <w:p w14:paraId="1B8C1736">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1.1.3.3永久工程：是指按合同约定建造并移交给发包人的工程，包括工程设备。</w:t>
      </w:r>
    </w:p>
    <w:p w14:paraId="0411638A">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1.1.3.4临时工程：是指为完成合同约定的永久工程所修建的各类临时性工程，不包括施工设备。</w:t>
      </w:r>
    </w:p>
    <w:p w14:paraId="0D4870A4">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bookmarkStart w:id="737" w:name="_Ref4419825"/>
      <w:bookmarkEnd w:id="737"/>
      <w:r>
        <w:rPr>
          <w:rFonts w:hint="eastAsia" w:ascii="宋体" w:hAnsi="宋体" w:cs="宋体"/>
          <w:color w:val="auto"/>
          <w:szCs w:val="21"/>
          <w:highlight w:val="none"/>
          <w:lang w:bidi="ar"/>
        </w:rPr>
        <w:t>1.1.3.5单位/区段工程：是指在专用合同条件中指明特定范围的，能单独接收并使用的永久工程。</w:t>
      </w:r>
    </w:p>
    <w:p w14:paraId="105AC2F8">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1.1.3.6工程设备：指构成永久工程的机电设备、仪器装置、运载工具及其他类似的设备和装置，包括其配件及备品、备件、易损易耗件等。</w:t>
      </w:r>
    </w:p>
    <w:p w14:paraId="155EB5A1">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1.1.3.7施工设备：指为完成合同约定的各项工作所需的设备、器具和其他物品，不包括工程设备、临时工程和材料。</w:t>
      </w:r>
    </w:p>
    <w:p w14:paraId="071BA163">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1.1.3.8临时设施：指为完成合同约定的各项工作所服务的临时性生产和生活设施。</w:t>
      </w:r>
    </w:p>
    <w:p w14:paraId="6C1BBE81">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bookmarkStart w:id="738" w:name="_Ref4420577"/>
      <w:bookmarkEnd w:id="738"/>
      <w:r>
        <w:rPr>
          <w:rFonts w:hint="eastAsia" w:ascii="宋体" w:hAnsi="宋体" w:cs="宋体"/>
          <w:color w:val="auto"/>
          <w:szCs w:val="21"/>
          <w:highlight w:val="none"/>
          <w:lang w:bidi="ar"/>
        </w:rPr>
        <w:t>1.1.3.9施工现场：是指用于工程施工的场所，以及在专用合同条件中指明作为施工场所组成部分的其他场所，包括永久占地和临时占地。</w:t>
      </w:r>
    </w:p>
    <w:p w14:paraId="2676A305">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bookmarkStart w:id="739" w:name="_Ref4420746"/>
      <w:bookmarkEnd w:id="739"/>
      <w:r>
        <w:rPr>
          <w:rFonts w:hint="eastAsia" w:ascii="宋体" w:hAnsi="宋体" w:cs="宋体"/>
          <w:color w:val="auto"/>
          <w:szCs w:val="21"/>
          <w:highlight w:val="none"/>
          <w:lang w:bidi="ar"/>
        </w:rPr>
        <w:t>1.1.3.10永久占地：是指专用合同条件中指明为实施工程需永久占用的土地。</w:t>
      </w:r>
    </w:p>
    <w:p w14:paraId="076A7278">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bookmarkStart w:id="740" w:name="_Ref4420821"/>
      <w:bookmarkEnd w:id="740"/>
      <w:r>
        <w:rPr>
          <w:rFonts w:hint="eastAsia" w:ascii="宋体" w:hAnsi="宋体" w:cs="宋体"/>
          <w:color w:val="auto"/>
          <w:szCs w:val="21"/>
          <w:highlight w:val="none"/>
          <w:lang w:bidi="ar"/>
        </w:rPr>
        <w:t>1.1.3.11临时占地：是指专用合同条件中指明为实施工程需临时占用的土地。</w:t>
      </w:r>
    </w:p>
    <w:p w14:paraId="08DFFE6C">
      <w:pPr>
        <w:widowControl/>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1.1.4日期和期限</w:t>
      </w:r>
    </w:p>
    <w:p w14:paraId="40A708FD">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1.1.4.1开始工作通知：指工程师按第8.1.2项[开始工作通知]的约定通知承包人开始工作的函件。</w:t>
      </w:r>
    </w:p>
    <w:p w14:paraId="0C0143F9">
      <w:pPr>
        <w:widowControl/>
        <w:autoSpaceDE w:val="0"/>
        <w:autoSpaceDN w:val="0"/>
        <w:adjustRightInd w:val="0"/>
        <w:snapToGrid w:val="0"/>
        <w:spacing w:after="163" w:afterLines="50" w:line="360" w:lineRule="auto"/>
        <w:ind w:firstLine="420" w:firstLineChars="200"/>
        <w:rPr>
          <w:rFonts w:ascii="宋体" w:hAnsi="宋体" w:cs="宋体"/>
          <w:color w:val="auto"/>
          <w:szCs w:val="21"/>
          <w:highlight w:val="none"/>
          <w:lang w:bidi="ar"/>
        </w:rPr>
      </w:pPr>
      <w:r>
        <w:rPr>
          <w:rFonts w:hint="eastAsia" w:ascii="宋体" w:hAnsi="宋体" w:cs="宋体"/>
          <w:color w:val="auto"/>
          <w:szCs w:val="21"/>
          <w:highlight w:val="none"/>
          <w:lang w:bidi="ar"/>
        </w:rPr>
        <w:t>1.1.4.2开始工作日期：包括计划开始工作日期和实际开始工作日期。计划开始工作日期是指合同协议书约定的开始工作日期；实际开始工作日期是指工程师按照第8.1款[开始工作]约定发出的符合法律规定的开始工作通知中载明的开始工作日期。</w:t>
      </w:r>
    </w:p>
    <w:p w14:paraId="18921418">
      <w:pPr>
        <w:widowControl/>
        <w:autoSpaceDE w:val="0"/>
        <w:autoSpaceDN w:val="0"/>
        <w:adjustRightInd w:val="0"/>
        <w:snapToGrid w:val="0"/>
        <w:spacing w:after="163" w:afterLines="50" w:line="360" w:lineRule="auto"/>
        <w:ind w:firstLine="420" w:firstLineChars="200"/>
        <w:rPr>
          <w:rFonts w:ascii="宋体" w:hAnsi="宋体" w:cs="宋体"/>
          <w:color w:val="auto"/>
          <w:szCs w:val="21"/>
          <w:highlight w:val="none"/>
          <w:lang w:bidi="ar"/>
        </w:rPr>
      </w:pPr>
      <w:r>
        <w:rPr>
          <w:rFonts w:hint="eastAsia" w:ascii="宋体" w:hAnsi="宋体" w:cs="宋体"/>
          <w:color w:val="auto"/>
          <w:szCs w:val="21"/>
          <w:highlight w:val="none"/>
          <w:lang w:bidi="ar"/>
        </w:rPr>
        <w:t>1</w:t>
      </w:r>
      <w:r>
        <w:rPr>
          <w:rFonts w:ascii="宋体" w:hAnsi="宋体" w:cs="宋体"/>
          <w:color w:val="auto"/>
          <w:szCs w:val="21"/>
          <w:highlight w:val="none"/>
          <w:lang w:bidi="ar"/>
        </w:rPr>
        <w:t xml:space="preserve">.1.4.3 </w:t>
      </w:r>
      <w:r>
        <w:rPr>
          <w:rFonts w:hint="eastAsia" w:ascii="宋体" w:hAnsi="宋体" w:cs="宋体"/>
          <w:color w:val="auto"/>
          <w:szCs w:val="21"/>
          <w:highlight w:val="none"/>
          <w:lang w:bidi="ar"/>
        </w:rPr>
        <w:t>开始现场施工日期：包括计划开始现场施工日期和实际开始现场施工日期。计划开始现场施工日期是指合同协议书约定的开始现场施工日期；实际开始现场施工日期是指工程师发出的符合法律规定的开工通知中载明的开始现场施工日期。</w:t>
      </w:r>
    </w:p>
    <w:p w14:paraId="297E4E4C">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1.1.4.</w:t>
      </w:r>
      <w:r>
        <w:rPr>
          <w:rFonts w:ascii="宋体" w:hAnsi="宋体" w:cs="宋体"/>
          <w:color w:val="auto"/>
          <w:szCs w:val="21"/>
          <w:highlight w:val="none"/>
          <w:lang w:bidi="ar"/>
        </w:rPr>
        <w:t>4</w:t>
      </w:r>
      <w:r>
        <w:rPr>
          <w:rFonts w:hint="eastAsia" w:ascii="宋体" w:hAnsi="宋体" w:cs="宋体"/>
          <w:color w:val="auto"/>
          <w:szCs w:val="21"/>
          <w:highlight w:val="none"/>
          <w:lang w:bidi="ar"/>
        </w:rPr>
        <w:t>竣工日期：包括计划竣工日期和实际竣工日期。计划竣工日期是指合同协议书约定的竣工日期；实际竣工日期按照第8.2款[竣工日期]的约定确定。</w:t>
      </w:r>
    </w:p>
    <w:p w14:paraId="66014883">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1.1.4.</w:t>
      </w:r>
      <w:r>
        <w:rPr>
          <w:rFonts w:ascii="宋体" w:hAnsi="宋体" w:cs="宋体"/>
          <w:color w:val="auto"/>
          <w:szCs w:val="21"/>
          <w:highlight w:val="none"/>
          <w:lang w:bidi="ar"/>
        </w:rPr>
        <w:t>5</w:t>
      </w:r>
      <w:r>
        <w:rPr>
          <w:rFonts w:hint="eastAsia" w:ascii="宋体" w:hAnsi="宋体" w:cs="宋体"/>
          <w:color w:val="auto"/>
          <w:szCs w:val="21"/>
          <w:highlight w:val="none"/>
          <w:lang w:bidi="ar"/>
        </w:rPr>
        <w:t>工期：是指在合同协议书约定的承包人完成合同工作所需的期限，包括按照合同约定所作的期限变更及按合同约定承包人有权取得的工期延长。</w:t>
      </w:r>
    </w:p>
    <w:p w14:paraId="5FEE6B4C">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1.1.4.</w:t>
      </w:r>
      <w:r>
        <w:rPr>
          <w:rFonts w:ascii="宋体" w:hAnsi="宋体" w:cs="宋体"/>
          <w:color w:val="auto"/>
          <w:szCs w:val="21"/>
          <w:highlight w:val="none"/>
          <w:lang w:bidi="ar"/>
        </w:rPr>
        <w:t>6</w:t>
      </w:r>
      <w:r>
        <w:rPr>
          <w:rFonts w:hint="eastAsia" w:ascii="宋体" w:hAnsi="宋体" w:cs="宋体"/>
          <w:color w:val="auto"/>
          <w:szCs w:val="21"/>
          <w:highlight w:val="none"/>
          <w:lang w:bidi="ar"/>
        </w:rPr>
        <w:t>缺陷责任期：是指发包人预留工程质量保证金以保证承包人履行第</w:t>
      </w:r>
      <w:r>
        <w:rPr>
          <w:rFonts w:ascii="宋体" w:hAnsi="宋体" w:cs="宋体"/>
          <w:color w:val="auto"/>
          <w:szCs w:val="21"/>
          <w:highlight w:val="none"/>
          <w:lang w:bidi="ar"/>
        </w:rPr>
        <w:t>11.3</w:t>
      </w:r>
      <w:r>
        <w:rPr>
          <w:rFonts w:hint="eastAsia" w:ascii="宋体" w:hAnsi="宋体" w:cs="宋体"/>
          <w:color w:val="auto"/>
          <w:szCs w:val="21"/>
          <w:highlight w:val="none"/>
          <w:lang w:bidi="ar"/>
        </w:rPr>
        <w:t>款[缺陷调查]</w:t>
      </w:r>
      <w:r>
        <w:rPr>
          <w:rFonts w:ascii="宋体" w:hAnsi="宋体" w:cs="宋体"/>
          <w:color w:val="auto"/>
          <w:szCs w:val="21"/>
          <w:highlight w:val="none"/>
          <w:lang w:bidi="ar"/>
        </w:rPr>
        <w:t>下质量缺陷责任的期限</w:t>
      </w:r>
      <w:r>
        <w:rPr>
          <w:rFonts w:hint="eastAsia" w:ascii="宋体" w:hAnsi="宋体" w:cs="宋体"/>
          <w:color w:val="auto"/>
          <w:szCs w:val="21"/>
          <w:highlight w:val="none"/>
          <w:lang w:bidi="ar"/>
        </w:rPr>
        <w:t>。</w:t>
      </w:r>
    </w:p>
    <w:p w14:paraId="45BC0A32">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1.1.4.</w:t>
      </w:r>
      <w:r>
        <w:rPr>
          <w:rFonts w:ascii="宋体" w:hAnsi="宋体" w:cs="宋体"/>
          <w:color w:val="auto"/>
          <w:szCs w:val="21"/>
          <w:highlight w:val="none"/>
          <w:lang w:bidi="ar"/>
        </w:rPr>
        <w:t>7</w:t>
      </w:r>
      <w:r>
        <w:rPr>
          <w:rFonts w:hint="eastAsia" w:ascii="宋体" w:hAnsi="宋体" w:cs="宋体"/>
          <w:color w:val="auto"/>
          <w:szCs w:val="21"/>
          <w:highlight w:val="none"/>
          <w:lang w:bidi="ar"/>
        </w:rPr>
        <w:t>保修期：是指承包人按照合同约定和法律规定对工程质量承担保修责任的期限，该期限自缺陷责任期起算之日起计算。</w:t>
      </w:r>
    </w:p>
    <w:p w14:paraId="5DFFD9D0">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1.1.4.</w:t>
      </w:r>
      <w:r>
        <w:rPr>
          <w:rFonts w:ascii="宋体" w:hAnsi="宋体" w:cs="宋体"/>
          <w:color w:val="auto"/>
          <w:szCs w:val="21"/>
          <w:highlight w:val="none"/>
          <w:lang w:bidi="ar"/>
        </w:rPr>
        <w:t>8</w:t>
      </w:r>
      <w:r>
        <w:rPr>
          <w:rFonts w:hint="eastAsia" w:ascii="宋体" w:hAnsi="宋体" w:cs="宋体"/>
          <w:color w:val="auto"/>
          <w:szCs w:val="21"/>
          <w:highlight w:val="none"/>
          <w:lang w:bidi="ar"/>
        </w:rPr>
        <w:t>基准日期：招标发包的工程以投标截止日前28天的日期为基准日期，直接发包的工程以合同订立日前28天的日期为基准日期。</w:t>
      </w:r>
    </w:p>
    <w:p w14:paraId="6E5B3EC1">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1.1.4.</w:t>
      </w:r>
      <w:r>
        <w:rPr>
          <w:rFonts w:ascii="宋体" w:hAnsi="宋体" w:cs="宋体"/>
          <w:color w:val="auto"/>
          <w:szCs w:val="21"/>
          <w:highlight w:val="none"/>
          <w:lang w:bidi="ar"/>
        </w:rPr>
        <w:t>9</w:t>
      </w:r>
      <w:r>
        <w:rPr>
          <w:rFonts w:hint="eastAsia" w:ascii="宋体" w:hAnsi="宋体" w:cs="宋体"/>
          <w:color w:val="auto"/>
          <w:szCs w:val="21"/>
          <w:highlight w:val="none"/>
          <w:lang w:bidi="ar"/>
        </w:rPr>
        <w:t>天：除特别指明外，均指日历天。合同中按天计算时间的，开始当天不计入，从次日开始计算。期限最后一天的截止时间为当天24:00。</w:t>
      </w:r>
    </w:p>
    <w:p w14:paraId="40B20474">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1.1.4.</w:t>
      </w:r>
      <w:r>
        <w:rPr>
          <w:rFonts w:ascii="宋体" w:hAnsi="宋体" w:cs="宋体"/>
          <w:color w:val="auto"/>
          <w:szCs w:val="21"/>
          <w:highlight w:val="none"/>
          <w:lang w:bidi="ar"/>
        </w:rPr>
        <w:t>10</w:t>
      </w:r>
      <w:r>
        <w:rPr>
          <w:rFonts w:hint="eastAsia" w:ascii="宋体" w:hAnsi="宋体" w:cs="宋体"/>
          <w:color w:val="auto"/>
          <w:szCs w:val="21"/>
          <w:highlight w:val="none"/>
          <w:lang w:bidi="ar"/>
        </w:rPr>
        <w:t>竣工试验：是指在工程竣工验收前，根据第9条[竣工试验]要求进行的试验。</w:t>
      </w:r>
    </w:p>
    <w:p w14:paraId="15F35D6A">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1.1.4.1</w:t>
      </w:r>
      <w:r>
        <w:rPr>
          <w:rFonts w:ascii="宋体" w:hAnsi="宋体" w:cs="宋体"/>
          <w:color w:val="auto"/>
          <w:szCs w:val="21"/>
          <w:highlight w:val="none"/>
          <w:lang w:bidi="ar"/>
        </w:rPr>
        <w:t>1</w:t>
      </w:r>
      <w:r>
        <w:rPr>
          <w:rFonts w:hint="eastAsia" w:ascii="宋体" w:hAnsi="宋体" w:cs="宋体"/>
          <w:color w:val="auto"/>
          <w:szCs w:val="21"/>
          <w:highlight w:val="none"/>
          <w:lang w:bidi="ar"/>
        </w:rPr>
        <w:t>竣工验收：是指承包人完成了合同约定的各项内容后，发包人按合同要求进行的验收。</w:t>
      </w:r>
    </w:p>
    <w:p w14:paraId="4789955C">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1.1.4.1</w:t>
      </w:r>
      <w:r>
        <w:rPr>
          <w:rFonts w:ascii="宋体" w:hAnsi="宋体" w:cs="宋体"/>
          <w:color w:val="auto"/>
          <w:szCs w:val="21"/>
          <w:highlight w:val="none"/>
          <w:lang w:bidi="ar"/>
        </w:rPr>
        <w:t>2</w:t>
      </w:r>
      <w:r>
        <w:rPr>
          <w:rFonts w:hint="eastAsia" w:ascii="宋体" w:hAnsi="宋体" w:cs="宋体"/>
          <w:color w:val="auto"/>
          <w:szCs w:val="21"/>
          <w:highlight w:val="none"/>
          <w:lang w:bidi="ar"/>
        </w:rPr>
        <w:t>竣工后试验：是指在工程竣工验收后，根据第12条[竣工后试验]约定进行的试验。</w:t>
      </w:r>
    </w:p>
    <w:p w14:paraId="77140C22">
      <w:pPr>
        <w:widowControl/>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1.1.5合同价格和费用</w:t>
      </w:r>
    </w:p>
    <w:p w14:paraId="3CC3ED27">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1.1.5.1签约合同价：是指发包人和承包人在合同协议书中确定的总金额，包括暂估价及暂列金额等。</w:t>
      </w:r>
    </w:p>
    <w:p w14:paraId="536675D8">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1.1.5.2合同价格：是指发包人用于支付承包人按照合同约定完成承包范围内全部工作的金额，包括合同履行过程中按合同约定发生的价格变化。</w:t>
      </w:r>
    </w:p>
    <w:p w14:paraId="484A83AB">
      <w:pPr>
        <w:widowControl/>
        <w:autoSpaceDE w:val="0"/>
        <w:autoSpaceDN w:val="0"/>
        <w:adjustRightInd w:val="0"/>
        <w:snapToGrid w:val="0"/>
        <w:spacing w:after="163" w:afterLines="50" w:line="360" w:lineRule="auto"/>
        <w:ind w:firstLine="420" w:firstLineChars="200"/>
        <w:rPr>
          <w:rFonts w:ascii="宋体" w:hAnsi="宋体" w:cs="宋体"/>
          <w:color w:val="auto"/>
          <w:szCs w:val="21"/>
          <w:highlight w:val="none"/>
          <w:lang w:bidi="ar"/>
        </w:rPr>
      </w:pPr>
      <w:r>
        <w:rPr>
          <w:rFonts w:hint="eastAsia" w:ascii="宋体" w:hAnsi="宋体" w:cs="宋体"/>
          <w:color w:val="auto"/>
          <w:szCs w:val="21"/>
          <w:highlight w:val="none"/>
          <w:lang w:bidi="ar"/>
        </w:rPr>
        <w:t>1.1.5.3费用：是指为履行合同所发生的或将要发生的所有合理开支，包括管理费和应分摊的其他费用，但不包括利润。</w:t>
      </w:r>
    </w:p>
    <w:p w14:paraId="5A9FDDBF">
      <w:pPr>
        <w:widowControl/>
        <w:autoSpaceDE w:val="0"/>
        <w:autoSpaceDN w:val="0"/>
        <w:adjustRightInd w:val="0"/>
        <w:snapToGrid w:val="0"/>
        <w:spacing w:after="163" w:afterLines="50" w:line="360" w:lineRule="auto"/>
        <w:ind w:firstLine="420" w:firstLineChars="200"/>
        <w:rPr>
          <w:rFonts w:ascii="宋体" w:hAnsi="宋体" w:cs="宋体"/>
          <w:color w:val="auto"/>
          <w:szCs w:val="21"/>
          <w:highlight w:val="none"/>
          <w:lang w:bidi="ar"/>
        </w:rPr>
      </w:pPr>
      <w:r>
        <w:rPr>
          <w:rFonts w:hint="eastAsia" w:ascii="宋体" w:hAnsi="宋体" w:cs="宋体"/>
          <w:color w:val="auto"/>
          <w:szCs w:val="21"/>
          <w:highlight w:val="none"/>
          <w:lang w:bidi="ar"/>
        </w:rPr>
        <w:t>1</w:t>
      </w:r>
      <w:r>
        <w:rPr>
          <w:rFonts w:ascii="宋体" w:hAnsi="宋体" w:cs="宋体"/>
          <w:color w:val="auto"/>
          <w:szCs w:val="21"/>
          <w:highlight w:val="none"/>
          <w:lang w:bidi="ar"/>
        </w:rPr>
        <w:t xml:space="preserve">.1.5.4 </w:t>
      </w:r>
      <w:r>
        <w:rPr>
          <w:rFonts w:hint="eastAsia" w:ascii="宋体" w:hAnsi="宋体" w:cs="宋体"/>
          <w:color w:val="auto"/>
          <w:szCs w:val="21"/>
          <w:highlight w:val="none"/>
          <w:lang w:bidi="ar"/>
        </w:rPr>
        <w:t>人工费：是指支付给直接从事建筑安装工程施工作业的建筑工人的各项费用。</w:t>
      </w:r>
    </w:p>
    <w:p w14:paraId="170E368B">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1.1.5.</w:t>
      </w:r>
      <w:r>
        <w:rPr>
          <w:rFonts w:ascii="宋体" w:hAnsi="宋体" w:cs="宋体"/>
          <w:color w:val="auto"/>
          <w:szCs w:val="21"/>
          <w:highlight w:val="none"/>
          <w:lang w:bidi="ar"/>
        </w:rPr>
        <w:t>5</w:t>
      </w:r>
      <w:r>
        <w:rPr>
          <w:rFonts w:hint="eastAsia" w:ascii="宋体" w:hAnsi="宋体" w:cs="宋体"/>
          <w:color w:val="auto"/>
          <w:szCs w:val="21"/>
          <w:highlight w:val="none"/>
          <w:lang w:bidi="ar"/>
        </w:rPr>
        <w:t>暂估价：</w:t>
      </w:r>
      <w:bookmarkStart w:id="741" w:name="_Hlk18973781"/>
      <w:r>
        <w:rPr>
          <w:rFonts w:hint="eastAsia" w:ascii="宋体" w:hAnsi="宋体" w:cs="宋体"/>
          <w:color w:val="auto"/>
          <w:szCs w:val="21"/>
          <w:highlight w:val="none"/>
          <w:lang w:bidi="ar"/>
        </w:rPr>
        <w:t>是指发包人在项目清单中给定的，用于支付必然发生但暂时不能确定价格的专业服务、材料、设备、专业工程的金额。</w:t>
      </w:r>
      <w:bookmarkEnd w:id="741"/>
    </w:p>
    <w:p w14:paraId="66FA1C98">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1.1.5.</w:t>
      </w:r>
      <w:r>
        <w:rPr>
          <w:rFonts w:ascii="宋体" w:hAnsi="宋体" w:cs="宋体"/>
          <w:color w:val="auto"/>
          <w:szCs w:val="21"/>
          <w:highlight w:val="none"/>
          <w:lang w:bidi="ar"/>
        </w:rPr>
        <w:t>6</w:t>
      </w:r>
      <w:r>
        <w:rPr>
          <w:rFonts w:hint="eastAsia" w:ascii="宋体" w:hAnsi="宋体" w:cs="宋体"/>
          <w:color w:val="auto"/>
          <w:szCs w:val="21"/>
          <w:highlight w:val="none"/>
          <w:lang w:bidi="ar"/>
        </w:rPr>
        <w:t>暂列金额：是指发包人在项目清单中给定的，用于在订立协议书时尚未确定或不可预见变更的设计、施工及其所需材料、工程设备、服务等的金额，包括以计日工方式支付的金额。</w:t>
      </w:r>
    </w:p>
    <w:p w14:paraId="01057E8D">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1.1.5.</w:t>
      </w:r>
      <w:r>
        <w:rPr>
          <w:rFonts w:ascii="宋体" w:hAnsi="宋体" w:cs="宋体"/>
          <w:color w:val="auto"/>
          <w:szCs w:val="21"/>
          <w:highlight w:val="none"/>
          <w:lang w:bidi="ar"/>
        </w:rPr>
        <w:t>7</w:t>
      </w:r>
      <w:r>
        <w:rPr>
          <w:rFonts w:hint="eastAsia" w:ascii="宋体" w:hAnsi="宋体" w:cs="宋体"/>
          <w:color w:val="auto"/>
          <w:szCs w:val="21"/>
          <w:highlight w:val="none"/>
          <w:lang w:bidi="ar"/>
        </w:rPr>
        <w:t>计日工：是指合同履行过程中，承包人完成发包人提出的零星工作或需要采用计日工计价的变更工作时，按合同中约定的单价计价的一种方式。</w:t>
      </w:r>
    </w:p>
    <w:p w14:paraId="6EB242B8">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1.1.5.</w:t>
      </w:r>
      <w:r>
        <w:rPr>
          <w:rFonts w:ascii="宋体" w:hAnsi="宋体" w:cs="宋体"/>
          <w:color w:val="auto"/>
          <w:szCs w:val="21"/>
          <w:highlight w:val="none"/>
          <w:lang w:bidi="ar"/>
        </w:rPr>
        <w:t>8</w:t>
      </w:r>
      <w:r>
        <w:rPr>
          <w:rFonts w:hint="eastAsia" w:ascii="宋体" w:hAnsi="宋体" w:cs="宋体"/>
          <w:color w:val="auto"/>
          <w:szCs w:val="21"/>
          <w:highlight w:val="none"/>
          <w:lang w:bidi="ar"/>
        </w:rPr>
        <w:t>质量保证金：是指按第14.6款[质量保证金]约定承包人用于保证其在缺陷责任期内履行缺陷修复义务的担保。</w:t>
      </w:r>
    </w:p>
    <w:p w14:paraId="3A840309">
      <w:pPr>
        <w:widowControl/>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1.1.6其他</w:t>
      </w:r>
    </w:p>
    <w:p w14:paraId="3BE8905F">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1.1.6.1书面形式：指合同文件、信函、电报、传真、数据电文、电子邮件、会议纪要等可以有形地表现所载内容的形式。</w:t>
      </w:r>
    </w:p>
    <w:p w14:paraId="622AA9BC">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1.1.6.2承包人文件：指由承包人根据合同约定应提交的所有图纸、手册、模型、计算书、软件、函件、洽商性文件和其他技术性文件。</w:t>
      </w:r>
    </w:p>
    <w:p w14:paraId="1E41E281">
      <w:pPr>
        <w:widowControl/>
        <w:autoSpaceDE w:val="0"/>
        <w:autoSpaceDN w:val="0"/>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1.1.6.3变更：指根据第13条[变更与调整]的约定，经指示或批准对《发包人要求》或工程所做的改变。</w:t>
      </w:r>
    </w:p>
    <w:p w14:paraId="493BE6DF">
      <w:pPr>
        <w:widowControl/>
        <w:wordWrap w:val="0"/>
        <w:topLinePunct/>
        <w:adjustRightInd w:val="0"/>
        <w:snapToGrid w:val="0"/>
        <w:spacing w:after="163" w:afterLines="50" w:line="360" w:lineRule="auto"/>
        <w:outlineLvl w:val="2"/>
        <w:rPr>
          <w:rFonts w:ascii="宋体" w:hAnsi="宋体" w:cs="宋体"/>
          <w:color w:val="auto"/>
          <w:highlight w:val="none"/>
        </w:rPr>
      </w:pPr>
      <w:bookmarkStart w:id="742" w:name="_Ref509042104"/>
      <w:bookmarkEnd w:id="742"/>
      <w:bookmarkStart w:id="743" w:name="_Toc20171724"/>
      <w:bookmarkEnd w:id="743"/>
      <w:bookmarkStart w:id="744" w:name="_Ref509042101"/>
      <w:bookmarkEnd w:id="744"/>
      <w:bookmarkStart w:id="745" w:name="_Ref522730353"/>
      <w:bookmarkEnd w:id="745"/>
      <w:bookmarkStart w:id="746" w:name="_Ref522730349"/>
      <w:bookmarkStart w:id="747" w:name="_Toc58860159"/>
      <w:bookmarkStart w:id="748" w:name="_Toc51766572"/>
      <w:bookmarkStart w:id="749" w:name="_Toc22618"/>
      <w:r>
        <w:rPr>
          <w:rFonts w:hint="eastAsia" w:ascii="宋体" w:hAnsi="宋体" w:cs="宋体"/>
          <w:color w:val="auto"/>
          <w:szCs w:val="21"/>
          <w:highlight w:val="none"/>
          <w:lang w:bidi="ar"/>
        </w:rPr>
        <w:t>1</w:t>
      </w:r>
      <w:bookmarkEnd w:id="746"/>
      <w:r>
        <w:rPr>
          <w:rFonts w:hint="eastAsia" w:ascii="宋体" w:hAnsi="宋体" w:cs="宋体"/>
          <w:color w:val="auto"/>
          <w:szCs w:val="21"/>
          <w:highlight w:val="none"/>
          <w:lang w:bidi="ar"/>
        </w:rPr>
        <w:t>.2  语言文字</w:t>
      </w:r>
      <w:bookmarkEnd w:id="747"/>
      <w:bookmarkEnd w:id="748"/>
      <w:bookmarkEnd w:id="749"/>
      <w:r>
        <w:rPr>
          <w:rFonts w:hint="eastAsia" w:ascii="宋体" w:hAnsi="宋体" w:cs="宋体"/>
          <w:color w:val="auto"/>
          <w:szCs w:val="21"/>
          <w:highlight w:val="none"/>
          <w:lang w:bidi="ar"/>
        </w:rPr>
        <w:t xml:space="preserve"> </w:t>
      </w:r>
    </w:p>
    <w:p w14:paraId="2867F85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合同文件以中国的汉语简体语言文字编写、解释和说明。专用术语使用外文的，应附有中文注释。合同当事人在专用合同条件约定使用两种及以上语言时，汉语为优先解释和说明合同的语言。</w:t>
      </w:r>
    </w:p>
    <w:p w14:paraId="44080C0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与合同有关的联络应使用专用合同条件约定的语言。如没有约定，则应使用中国的汉语简体语言文字。</w:t>
      </w:r>
    </w:p>
    <w:p w14:paraId="3B20B577">
      <w:pPr>
        <w:widowControl/>
        <w:wordWrap w:val="0"/>
        <w:topLinePunct/>
        <w:adjustRightInd w:val="0"/>
        <w:snapToGrid w:val="0"/>
        <w:spacing w:after="163" w:afterLines="50" w:line="360" w:lineRule="auto"/>
        <w:outlineLvl w:val="2"/>
        <w:rPr>
          <w:rFonts w:ascii="宋体" w:hAnsi="宋体" w:cs="宋体"/>
          <w:color w:val="auto"/>
          <w:highlight w:val="none"/>
        </w:rPr>
      </w:pPr>
      <w:bookmarkStart w:id="750" w:name="_Ref531949539"/>
      <w:bookmarkEnd w:id="750"/>
      <w:bookmarkStart w:id="751" w:name="_Toc20171725"/>
      <w:bookmarkEnd w:id="751"/>
      <w:bookmarkStart w:id="752" w:name="_Ref531949543"/>
      <w:bookmarkStart w:id="753" w:name="_Toc58860160"/>
      <w:bookmarkStart w:id="754" w:name="_Toc51766573"/>
      <w:bookmarkStart w:id="755" w:name="_Toc8304"/>
      <w:r>
        <w:rPr>
          <w:rFonts w:hint="eastAsia" w:ascii="宋体" w:hAnsi="宋体" w:cs="宋体"/>
          <w:color w:val="auto"/>
          <w:szCs w:val="21"/>
          <w:highlight w:val="none"/>
          <w:lang w:bidi="ar"/>
        </w:rPr>
        <w:t>1</w:t>
      </w:r>
      <w:bookmarkEnd w:id="752"/>
      <w:r>
        <w:rPr>
          <w:rFonts w:hint="eastAsia" w:ascii="宋体" w:hAnsi="宋体" w:cs="宋体"/>
          <w:color w:val="auto"/>
          <w:szCs w:val="21"/>
          <w:highlight w:val="none"/>
          <w:lang w:bidi="ar"/>
        </w:rPr>
        <w:t>.3  法律</w:t>
      </w:r>
      <w:bookmarkEnd w:id="753"/>
      <w:bookmarkEnd w:id="754"/>
      <w:bookmarkEnd w:id="755"/>
    </w:p>
    <w:p w14:paraId="175ECDF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合同所称法律是指中华人民共和国法律、行政法规、部门规章，以及工程所在地的地方法规、自治条例、单行条例和地方政府规章等。</w:t>
      </w:r>
    </w:p>
    <w:p w14:paraId="27BCC28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合同当事人可以在专用合同条件中约定合同适用的其他规范性文件。</w:t>
      </w:r>
    </w:p>
    <w:p w14:paraId="720C4F82">
      <w:pPr>
        <w:widowControl/>
        <w:wordWrap w:val="0"/>
        <w:topLinePunct/>
        <w:adjustRightInd w:val="0"/>
        <w:snapToGrid w:val="0"/>
        <w:spacing w:after="163" w:afterLines="50" w:line="360" w:lineRule="auto"/>
        <w:outlineLvl w:val="2"/>
        <w:rPr>
          <w:rFonts w:ascii="宋体" w:hAnsi="宋体" w:cs="宋体"/>
          <w:color w:val="auto"/>
          <w:highlight w:val="none"/>
        </w:rPr>
      </w:pPr>
      <w:bookmarkStart w:id="756" w:name="_Ref531949594"/>
      <w:bookmarkEnd w:id="756"/>
      <w:bookmarkStart w:id="757" w:name="_Toc20171726"/>
      <w:bookmarkEnd w:id="757"/>
      <w:bookmarkStart w:id="758" w:name="_Ref531949589"/>
      <w:bookmarkStart w:id="759" w:name="_Toc51766574"/>
      <w:bookmarkStart w:id="760" w:name="_Toc17914"/>
      <w:bookmarkStart w:id="761" w:name="_Toc58860161"/>
      <w:r>
        <w:rPr>
          <w:rFonts w:hint="eastAsia" w:ascii="宋体" w:hAnsi="宋体" w:cs="宋体"/>
          <w:color w:val="auto"/>
          <w:szCs w:val="21"/>
          <w:highlight w:val="none"/>
          <w:lang w:bidi="ar"/>
        </w:rPr>
        <w:t>1</w:t>
      </w:r>
      <w:bookmarkEnd w:id="758"/>
      <w:r>
        <w:rPr>
          <w:rFonts w:hint="eastAsia" w:ascii="宋体" w:hAnsi="宋体" w:cs="宋体"/>
          <w:color w:val="auto"/>
          <w:szCs w:val="21"/>
          <w:highlight w:val="none"/>
          <w:lang w:bidi="ar"/>
        </w:rPr>
        <w:t>.4  标准和规范</w:t>
      </w:r>
      <w:bookmarkEnd w:id="759"/>
      <w:bookmarkEnd w:id="760"/>
      <w:bookmarkEnd w:id="761"/>
    </w:p>
    <w:p w14:paraId="24E2CF7F">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762" w:name="_Ref4420991"/>
      <w:bookmarkEnd w:id="762"/>
      <w:r>
        <w:rPr>
          <w:rFonts w:hint="eastAsia" w:ascii="宋体" w:hAnsi="宋体" w:cs="宋体"/>
          <w:color w:val="auto"/>
          <w:szCs w:val="21"/>
          <w:highlight w:val="none"/>
          <w:lang w:bidi="ar"/>
        </w:rPr>
        <w:t>1.4.1适用于工程的国家标准、行业标准、工程所在地的地方性标准，以及相应的规范、规程等，合同当事人有特别要求的，应在专用合同条件中约定。</w:t>
      </w:r>
    </w:p>
    <w:p w14:paraId="04A951BD">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763" w:name="_Ref531949642"/>
      <w:bookmarkEnd w:id="763"/>
      <w:r>
        <w:rPr>
          <w:rFonts w:hint="eastAsia" w:ascii="宋体" w:hAnsi="宋体" w:cs="宋体"/>
          <w:color w:val="auto"/>
          <w:szCs w:val="21"/>
          <w:highlight w:val="none"/>
          <w:lang w:bidi="ar"/>
        </w:rPr>
        <w:t>1.4.2发包人要求使用国外标准、规范的，发包人负责提供原文版本和中文译本，并在专用合同条件中约定提供标准规范的名称、份数和时间。</w:t>
      </w:r>
    </w:p>
    <w:p w14:paraId="07549DD7">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764" w:name="_Ref531949657"/>
      <w:bookmarkEnd w:id="764"/>
      <w:r>
        <w:rPr>
          <w:rFonts w:hint="eastAsia" w:ascii="宋体" w:hAnsi="宋体" w:cs="宋体"/>
          <w:color w:val="auto"/>
          <w:szCs w:val="21"/>
          <w:highlight w:val="none"/>
          <w:lang w:bidi="ar"/>
        </w:rPr>
        <w:t>1.4.3没有相应成文规定的标准、规范时，由发包人在专用合同条件中约定的时间向承包人列明技术要求，承包人按约定的时间和技术要求提出实施方法，经发包人认可后执行。承包人需要对实施方法进行研发试验的，或须对项目人员进行特殊培训及其有特殊要求的，除签约合同价已包含此项费用外，双方应另行订立协议作为合同附件，其费用由发包人承担。</w:t>
      </w:r>
    </w:p>
    <w:p w14:paraId="5EBA32D6">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765" w:name="_Ref4421272"/>
      <w:bookmarkEnd w:id="765"/>
      <w:r>
        <w:rPr>
          <w:rFonts w:hint="eastAsia" w:ascii="宋体" w:hAnsi="宋体" w:cs="宋体"/>
          <w:color w:val="auto"/>
          <w:szCs w:val="21"/>
          <w:highlight w:val="none"/>
          <w:lang w:bidi="ar"/>
        </w:rPr>
        <w:t>1.4.4发包人对于工程的技术标准、功能要求高于或严于现行国家、行业或地方标准的，应当在《发包人要求》中予以明确。除专用合同条件另有约定外，应视为承包人在订立合同前已充分预见前述技术标准和功能要求的复杂程度，签约合同价中已包含由此产生的费用。</w:t>
      </w:r>
    </w:p>
    <w:p w14:paraId="3BCF5440">
      <w:pPr>
        <w:widowControl/>
        <w:wordWrap w:val="0"/>
        <w:topLinePunct/>
        <w:adjustRightInd w:val="0"/>
        <w:snapToGrid w:val="0"/>
        <w:spacing w:after="163" w:afterLines="50" w:line="360" w:lineRule="auto"/>
        <w:outlineLvl w:val="2"/>
        <w:rPr>
          <w:rFonts w:ascii="宋体" w:hAnsi="宋体" w:cs="宋体"/>
          <w:color w:val="auto"/>
          <w:highlight w:val="none"/>
        </w:rPr>
      </w:pPr>
      <w:bookmarkStart w:id="766" w:name="_Toc20171727"/>
      <w:bookmarkEnd w:id="766"/>
      <w:bookmarkStart w:id="767" w:name="_Ref4421717"/>
      <w:bookmarkStart w:id="768" w:name="_Toc51766575"/>
      <w:bookmarkStart w:id="769" w:name="_Toc13096"/>
      <w:bookmarkStart w:id="770" w:name="_Toc58860162"/>
      <w:r>
        <w:rPr>
          <w:rFonts w:hint="eastAsia" w:ascii="宋体" w:hAnsi="宋体" w:cs="宋体"/>
          <w:color w:val="auto"/>
          <w:szCs w:val="21"/>
          <w:highlight w:val="none"/>
          <w:lang w:bidi="ar"/>
        </w:rPr>
        <w:t>1</w:t>
      </w:r>
      <w:bookmarkEnd w:id="767"/>
      <w:r>
        <w:rPr>
          <w:rFonts w:hint="eastAsia" w:ascii="宋体" w:hAnsi="宋体" w:cs="宋体"/>
          <w:color w:val="auto"/>
          <w:szCs w:val="21"/>
          <w:highlight w:val="none"/>
          <w:lang w:bidi="ar"/>
        </w:rPr>
        <w:t>.5  合同文件的优先顺序</w:t>
      </w:r>
      <w:bookmarkEnd w:id="768"/>
      <w:bookmarkEnd w:id="769"/>
      <w:bookmarkEnd w:id="770"/>
    </w:p>
    <w:p w14:paraId="5917D2B4">
      <w:pPr>
        <w:widowControl/>
        <w:adjustRightInd w:val="0"/>
        <w:snapToGrid w:val="0"/>
        <w:spacing w:after="163" w:afterLines="50" w:line="360" w:lineRule="auto"/>
        <w:ind w:firstLine="420" w:firstLineChars="200"/>
        <w:rPr>
          <w:rFonts w:ascii="宋体" w:hAnsi="宋体" w:cs="宋体"/>
          <w:color w:val="auto"/>
          <w:kern w:val="0"/>
          <w:highlight w:val="none"/>
        </w:rPr>
      </w:pPr>
      <w:bookmarkStart w:id="771" w:name="_Ref531948776"/>
      <w:bookmarkEnd w:id="771"/>
      <w:r>
        <w:rPr>
          <w:rFonts w:hint="eastAsia" w:ascii="宋体" w:hAnsi="宋体" w:cs="宋体"/>
          <w:color w:val="auto"/>
          <w:kern w:val="0"/>
          <w:szCs w:val="21"/>
          <w:highlight w:val="none"/>
          <w:lang w:bidi="ar"/>
        </w:rPr>
        <w:t>组成合同的各项文件应互相解释，互为说明。除专用合同条件另有约定外，解释合同文件的优先顺序如下：</w:t>
      </w:r>
    </w:p>
    <w:p w14:paraId="1914900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（1）合同协议书；</w:t>
      </w:r>
    </w:p>
    <w:p w14:paraId="0D17E23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（2）中标通知书（如果有）；</w:t>
      </w:r>
    </w:p>
    <w:p w14:paraId="515E52B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（3）投标函及投标函附录（如果有）；</w:t>
      </w:r>
    </w:p>
    <w:p w14:paraId="2507E21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（4）专用合同条件及《发包人要求》等附件；</w:t>
      </w:r>
    </w:p>
    <w:p w14:paraId="295D8AF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（5）通用合同条件；</w:t>
      </w:r>
    </w:p>
    <w:p w14:paraId="345EC10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（6）承包人建议书； </w:t>
      </w:r>
    </w:p>
    <w:p w14:paraId="2C538CC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w:t>
      </w:r>
      <w:r>
        <w:rPr>
          <w:rFonts w:ascii="宋体" w:hAnsi="宋体" w:cs="宋体"/>
          <w:color w:val="auto"/>
          <w:kern w:val="0"/>
          <w:szCs w:val="21"/>
          <w:highlight w:val="none"/>
          <w:lang w:bidi="ar"/>
        </w:rPr>
        <w:t>7</w:t>
      </w:r>
      <w:r>
        <w:rPr>
          <w:rFonts w:hint="eastAsia" w:ascii="宋体" w:hAnsi="宋体" w:cs="宋体"/>
          <w:color w:val="auto"/>
          <w:kern w:val="0"/>
          <w:szCs w:val="21"/>
          <w:highlight w:val="none"/>
          <w:lang w:bidi="ar"/>
        </w:rPr>
        <w:t>）价格清单；</w:t>
      </w:r>
    </w:p>
    <w:p w14:paraId="5B45E71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w:t>
      </w:r>
      <w:r>
        <w:rPr>
          <w:rFonts w:ascii="宋体" w:hAnsi="宋体" w:cs="宋体"/>
          <w:color w:val="auto"/>
          <w:kern w:val="0"/>
          <w:szCs w:val="21"/>
          <w:highlight w:val="none"/>
          <w:lang w:bidi="ar"/>
        </w:rPr>
        <w:t>8</w:t>
      </w:r>
      <w:r>
        <w:rPr>
          <w:rFonts w:hint="eastAsia" w:ascii="宋体" w:hAnsi="宋体" w:cs="宋体"/>
          <w:color w:val="auto"/>
          <w:kern w:val="0"/>
          <w:szCs w:val="21"/>
          <w:highlight w:val="none"/>
          <w:lang w:bidi="ar"/>
        </w:rPr>
        <w:t>）双方约定的其他合同文件。</w:t>
      </w:r>
    </w:p>
    <w:p w14:paraId="009EF10B">
      <w:pPr>
        <w:widowControl/>
        <w:adjustRightInd w:val="0"/>
        <w:snapToGrid w:val="0"/>
        <w:spacing w:after="163" w:afterLines="50" w:line="360" w:lineRule="auto"/>
        <w:ind w:firstLine="420" w:firstLineChars="200"/>
        <w:rPr>
          <w:rFonts w:ascii="宋体" w:hAnsi="宋体" w:cs="宋体"/>
          <w:color w:val="auto"/>
          <w:kern w:val="0"/>
          <w:highlight w:val="none"/>
        </w:rPr>
      </w:pPr>
      <w:bookmarkStart w:id="772" w:name="_Hlk18951547"/>
      <w:bookmarkEnd w:id="772"/>
      <w:r>
        <w:rPr>
          <w:rFonts w:hint="eastAsia" w:ascii="宋体" w:hAnsi="宋体" w:cs="宋体"/>
          <w:color w:val="auto"/>
          <w:kern w:val="0"/>
          <w:szCs w:val="21"/>
          <w:highlight w:val="none"/>
          <w:lang w:bidi="ar"/>
        </w:rPr>
        <w:t>上述各项合同文件包括合同当事人就该项合同文件所作出的补充和修改，属于同一类内容的文件，应以最新签署的为准。</w:t>
      </w:r>
    </w:p>
    <w:p w14:paraId="7BCF5CC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在合同订立及履行过程中形成的与合同有关的文件均构成合同文件组成部分，并根据其性质确定优先解释顺序。</w:t>
      </w:r>
    </w:p>
    <w:p w14:paraId="09B7EC39">
      <w:pPr>
        <w:widowControl/>
        <w:wordWrap w:val="0"/>
        <w:topLinePunct/>
        <w:adjustRightInd w:val="0"/>
        <w:snapToGrid w:val="0"/>
        <w:spacing w:after="163" w:afterLines="50" w:line="360" w:lineRule="auto"/>
        <w:outlineLvl w:val="2"/>
        <w:rPr>
          <w:rFonts w:ascii="宋体" w:hAnsi="宋体" w:cs="宋体"/>
          <w:color w:val="auto"/>
          <w:highlight w:val="none"/>
        </w:rPr>
      </w:pPr>
      <w:bookmarkStart w:id="773" w:name="_Ref531949807"/>
      <w:bookmarkEnd w:id="773"/>
      <w:bookmarkStart w:id="774" w:name="_Ref531949803"/>
      <w:bookmarkEnd w:id="774"/>
      <w:bookmarkStart w:id="775" w:name="_Ref4422060"/>
      <w:bookmarkEnd w:id="775"/>
      <w:bookmarkStart w:id="776" w:name="_Ref523403409"/>
      <w:bookmarkEnd w:id="776"/>
      <w:bookmarkStart w:id="777" w:name="_Ref531949822"/>
      <w:bookmarkEnd w:id="777"/>
      <w:bookmarkStart w:id="778" w:name="_Toc20171728"/>
      <w:bookmarkEnd w:id="778"/>
      <w:bookmarkStart w:id="779" w:name="_Ref523403776"/>
      <w:bookmarkEnd w:id="779"/>
      <w:bookmarkStart w:id="780" w:name="_Ref11917818"/>
      <w:bookmarkStart w:id="781" w:name="_Toc51766576"/>
      <w:bookmarkStart w:id="782" w:name="_Toc58860163"/>
      <w:bookmarkStart w:id="783" w:name="_Toc3242"/>
      <w:r>
        <w:rPr>
          <w:rFonts w:hint="eastAsia" w:ascii="宋体" w:hAnsi="宋体" w:cs="宋体"/>
          <w:color w:val="auto"/>
          <w:szCs w:val="21"/>
          <w:highlight w:val="none"/>
          <w:lang w:bidi="ar"/>
        </w:rPr>
        <w:t>1</w:t>
      </w:r>
      <w:bookmarkEnd w:id="780"/>
      <w:r>
        <w:rPr>
          <w:rFonts w:hint="eastAsia" w:ascii="宋体" w:hAnsi="宋体" w:cs="宋体"/>
          <w:color w:val="auto"/>
          <w:szCs w:val="21"/>
          <w:highlight w:val="none"/>
          <w:lang w:bidi="ar"/>
        </w:rPr>
        <w:t>.6  文件的提供和照管</w:t>
      </w:r>
      <w:bookmarkEnd w:id="781"/>
      <w:bookmarkEnd w:id="782"/>
      <w:bookmarkEnd w:id="783"/>
    </w:p>
    <w:p w14:paraId="1DB0AE85">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784" w:name="_Ref4421991"/>
      <w:bookmarkEnd w:id="784"/>
      <w:r>
        <w:rPr>
          <w:rFonts w:hint="eastAsia" w:ascii="宋体" w:hAnsi="宋体" w:cs="宋体"/>
          <w:color w:val="auto"/>
          <w:szCs w:val="21"/>
          <w:highlight w:val="none"/>
          <w:lang w:bidi="ar"/>
        </w:rPr>
        <w:t>1.6.1发包人文件的提供</w:t>
      </w:r>
    </w:p>
    <w:p w14:paraId="541D8E7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按照专用合同条件约定的期限、数量和形式向承包人免费提供前期工作相关资料、环境保护、气象水文、地质条件进行工程设计、现场施工等工程实施所需的文件。因发包人未按合同约定提供文件造成工期延误的，按照第8.7.1项[因发包人原因导致工期延误]约定办理。</w:t>
      </w:r>
    </w:p>
    <w:p w14:paraId="058063B0">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785" w:name="_Ref4422317"/>
      <w:bookmarkEnd w:id="785"/>
      <w:r>
        <w:rPr>
          <w:rFonts w:hint="eastAsia" w:ascii="宋体" w:hAnsi="宋体" w:cs="宋体"/>
          <w:color w:val="auto"/>
          <w:szCs w:val="21"/>
          <w:highlight w:val="none"/>
          <w:lang w:bidi="ar"/>
        </w:rPr>
        <w:t>1.6.2承包人文件的提供</w:t>
      </w:r>
    </w:p>
    <w:p w14:paraId="7F0ECC8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除专用合同条件另有约定外，承包人文件应包含下列内容，并用第1.2款[语言文字]约定的语言制作：</w:t>
      </w:r>
    </w:p>
    <w:p w14:paraId="7B38177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（1）《发包人要求》中规定的相关文件；</w:t>
      </w:r>
    </w:p>
    <w:p w14:paraId="0004D5A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（2）满足工程相关行政审批手续所必须的应由承包人负责的相关文件；</w:t>
      </w:r>
    </w:p>
    <w:p w14:paraId="5722A65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（3）第5.4款[竣工文件]与第5.5款[操作和维修手册]中要求的相关文件。</w:t>
      </w:r>
    </w:p>
    <w:p w14:paraId="05FA456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照专用合同条件约定的期限、名称、数量和形式向工程师提供应当由承包人编制的与工程设计、现场施工等工程实施有关的承包人文件。工程师对承包人文件有异议的，承包人应予以修改，并重新报送工程师。合同约定承包人文件应经审查的，工程师应在合同约定的期限内审查完毕，但工程师的审查并不减轻或免除承包人根据合同约定应当承担的责任。承包人文件的提供和审查还应遵守第5.2款[承包人文件审查]和第5.4款[竣工文件]的约定。</w:t>
      </w:r>
    </w:p>
    <w:p w14:paraId="1F48E3BE">
      <w:pPr>
        <w:widowControl/>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1.6.3文件错误的通知</w:t>
      </w:r>
    </w:p>
    <w:p w14:paraId="3596BD0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任何一方发现文件中存在明显的错误或疏忽，应及时通知另一方。</w:t>
      </w:r>
    </w:p>
    <w:p w14:paraId="6E76F24D">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786" w:name="_Ref4678410"/>
      <w:bookmarkEnd w:id="786"/>
      <w:bookmarkStart w:id="787" w:name="_Ref11957673"/>
      <w:r>
        <w:rPr>
          <w:rFonts w:hint="eastAsia" w:ascii="宋体" w:hAnsi="宋体" w:cs="宋体"/>
          <w:color w:val="auto"/>
          <w:szCs w:val="21"/>
          <w:highlight w:val="none"/>
          <w:lang w:bidi="ar"/>
        </w:rPr>
        <w:t>1</w:t>
      </w:r>
      <w:bookmarkEnd w:id="787"/>
      <w:r>
        <w:rPr>
          <w:rFonts w:hint="eastAsia" w:ascii="宋体" w:hAnsi="宋体" w:cs="宋体"/>
          <w:color w:val="auto"/>
          <w:szCs w:val="21"/>
          <w:highlight w:val="none"/>
          <w:lang w:bidi="ar"/>
        </w:rPr>
        <w:t>.6.4文件的照管</w:t>
      </w:r>
    </w:p>
    <w:p w14:paraId="63CB740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承包人应在现场保留一份合同、《发包人要求》中列出的所有文件、承包人文件、变更以及其他根据合同收发的往来信函。发包人和工程师有权在任何合理的时间查阅和使用上述所有文件。</w:t>
      </w:r>
    </w:p>
    <w:p w14:paraId="1256D3C0">
      <w:pPr>
        <w:widowControl/>
        <w:wordWrap w:val="0"/>
        <w:topLinePunct/>
        <w:adjustRightInd w:val="0"/>
        <w:snapToGrid w:val="0"/>
        <w:spacing w:after="163" w:afterLines="50" w:line="360" w:lineRule="auto"/>
        <w:outlineLvl w:val="2"/>
        <w:rPr>
          <w:rFonts w:ascii="宋体" w:hAnsi="宋体" w:cs="宋体"/>
          <w:color w:val="auto"/>
          <w:highlight w:val="none"/>
        </w:rPr>
      </w:pPr>
      <w:bookmarkStart w:id="788" w:name="_Ref4415170"/>
      <w:bookmarkEnd w:id="788"/>
      <w:bookmarkStart w:id="789" w:name="_Toc20171729"/>
      <w:bookmarkStart w:id="790" w:name="_Toc51766577"/>
      <w:bookmarkStart w:id="791" w:name="_Toc11695"/>
      <w:bookmarkStart w:id="792" w:name="_Toc58860164"/>
      <w:r>
        <w:rPr>
          <w:rFonts w:hint="eastAsia" w:ascii="宋体" w:hAnsi="宋体" w:cs="宋体"/>
          <w:color w:val="auto"/>
          <w:szCs w:val="21"/>
          <w:highlight w:val="none"/>
          <w:lang w:bidi="ar"/>
        </w:rPr>
        <w:t>1</w:t>
      </w:r>
      <w:bookmarkEnd w:id="789"/>
      <w:r>
        <w:rPr>
          <w:rFonts w:hint="eastAsia" w:ascii="宋体" w:hAnsi="宋体" w:cs="宋体"/>
          <w:color w:val="auto"/>
          <w:szCs w:val="21"/>
          <w:highlight w:val="none"/>
          <w:lang w:bidi="ar"/>
        </w:rPr>
        <w:t>.7  联络</w:t>
      </w:r>
      <w:bookmarkEnd w:id="790"/>
      <w:bookmarkEnd w:id="791"/>
      <w:bookmarkEnd w:id="792"/>
    </w:p>
    <w:p w14:paraId="1D5FBA3C">
      <w:pPr>
        <w:widowControl/>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1.7.1与合同有关的通知、批准、证明、证书、指示、指令、要求、请求、同意、意见、确定和决定等，均应采用书面形式，并应在合同约定的期限内（如无约定，应在合理期限内）通过特快专递或专人、挂号信、传真或双方商定的电子传输方式送达收件地址。</w:t>
      </w:r>
    </w:p>
    <w:p w14:paraId="3B5B97CB">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793" w:name="_Ref531949897"/>
      <w:bookmarkEnd w:id="793"/>
      <w:r>
        <w:rPr>
          <w:rFonts w:hint="eastAsia" w:ascii="宋体" w:hAnsi="宋体" w:cs="宋体"/>
          <w:color w:val="auto"/>
          <w:szCs w:val="21"/>
          <w:highlight w:val="none"/>
          <w:lang w:bidi="ar"/>
        </w:rPr>
        <w:t>1.7.2发包人和承包人应在专用合同条件中约定各自的送达方式和收件地址。任何一方合同当事人指定的送达方式或收件地址发生变动的，应提前3天以书面形式通知对方。</w:t>
      </w:r>
    </w:p>
    <w:p w14:paraId="64E10EC8">
      <w:pPr>
        <w:widowControl/>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1.7.3发包人和承包人应当及时签收另一方通过约定的送达方式送达至收件地址的来往文件。拒不签收的，由此增加的费用和（或）延误的工期由拒绝接收一方承担。</w:t>
      </w:r>
    </w:p>
    <w:p w14:paraId="077A51BE">
      <w:pPr>
        <w:widowControl/>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1.7.4对于工程师向承包人发出的任何通知，均应以书面形式由工程师或其代表签认后送交承包人实施，并抄送发包人；对于合同一方向另一方发出的任何通知，均应抄送工程师。对于由工程师审查后报发包人批准的事项，应由工程师向承包人出具经发包人签认的批准文件。</w:t>
      </w:r>
    </w:p>
    <w:p w14:paraId="369DBD21">
      <w:pPr>
        <w:widowControl/>
        <w:wordWrap w:val="0"/>
        <w:topLinePunct/>
        <w:adjustRightInd w:val="0"/>
        <w:snapToGrid w:val="0"/>
        <w:spacing w:after="163" w:afterLines="50" w:line="360" w:lineRule="auto"/>
        <w:outlineLvl w:val="2"/>
        <w:rPr>
          <w:rFonts w:ascii="宋体" w:hAnsi="宋体" w:cs="宋体"/>
          <w:color w:val="auto"/>
          <w:highlight w:val="none"/>
        </w:rPr>
      </w:pPr>
      <w:bookmarkStart w:id="794" w:name="_Toc20171730"/>
      <w:bookmarkEnd w:id="794"/>
      <w:bookmarkStart w:id="795" w:name="_Toc51766578"/>
      <w:bookmarkStart w:id="796" w:name="_Toc20465"/>
      <w:bookmarkStart w:id="797" w:name="_Toc58860165"/>
      <w:r>
        <w:rPr>
          <w:rFonts w:hint="eastAsia" w:ascii="宋体" w:hAnsi="宋体" w:cs="宋体"/>
          <w:color w:val="auto"/>
          <w:szCs w:val="21"/>
          <w:highlight w:val="none"/>
          <w:lang w:bidi="ar"/>
        </w:rPr>
        <w:t>1.8  严禁贿赂</w:t>
      </w:r>
      <w:bookmarkEnd w:id="795"/>
      <w:bookmarkEnd w:id="796"/>
      <w:bookmarkEnd w:id="797"/>
    </w:p>
    <w:p w14:paraId="3F01998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合同当事人不得以贿赂或变相贿赂的方式，谋取非法利益或损害对方权益。因一方合同当事人的贿赂造成对方损失的，应赔偿损失，并承担相应的法律责任。</w:t>
      </w:r>
    </w:p>
    <w:p w14:paraId="13C228E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承包人不得与工程师或发包人聘请的第三方串通损害发包人利益。未经发包人书面同意，承包人不得为工程师提供合同约定以外的通讯设备、交通工具及其他任何形式的利益，不得向工程师支付报酬。</w:t>
      </w:r>
    </w:p>
    <w:p w14:paraId="753ED072">
      <w:pPr>
        <w:widowControl/>
        <w:wordWrap w:val="0"/>
        <w:topLinePunct/>
        <w:adjustRightInd w:val="0"/>
        <w:snapToGrid w:val="0"/>
        <w:spacing w:after="163" w:afterLines="50" w:line="360" w:lineRule="auto"/>
        <w:outlineLvl w:val="2"/>
        <w:rPr>
          <w:rFonts w:ascii="宋体" w:hAnsi="宋体" w:cs="宋体"/>
          <w:color w:val="auto"/>
          <w:highlight w:val="none"/>
        </w:rPr>
      </w:pPr>
      <w:bookmarkStart w:id="798" w:name="_Toc20171731"/>
      <w:bookmarkEnd w:id="798"/>
      <w:bookmarkStart w:id="799" w:name="_Toc28524"/>
      <w:bookmarkStart w:id="800" w:name="_Toc51766579"/>
      <w:bookmarkStart w:id="801" w:name="_Toc58860166"/>
      <w:r>
        <w:rPr>
          <w:rFonts w:hint="eastAsia" w:ascii="宋体" w:hAnsi="宋体" w:cs="宋体"/>
          <w:color w:val="auto"/>
          <w:szCs w:val="21"/>
          <w:highlight w:val="none"/>
          <w:lang w:bidi="ar"/>
        </w:rPr>
        <w:t>1.9  化石、文物</w:t>
      </w:r>
      <w:bookmarkEnd w:id="799"/>
      <w:bookmarkEnd w:id="800"/>
      <w:bookmarkEnd w:id="801"/>
    </w:p>
    <w:p w14:paraId="4138799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工程师。</w:t>
      </w:r>
    </w:p>
    <w:p w14:paraId="59B4122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发包人、工程师和承包人应按有关政府行政管理部门要求采取妥善的保护措施，由此增加的费用和（或）延误的工期由发包人承担。</w:t>
      </w:r>
    </w:p>
    <w:p w14:paraId="6D7E05B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承包人发现文物后不及时报告或隐瞒不报，致使文物丢失或损坏的，应赔偿损失，并承担相应的法律责任。</w:t>
      </w:r>
    </w:p>
    <w:p w14:paraId="38149D3A">
      <w:pPr>
        <w:widowControl/>
        <w:wordWrap w:val="0"/>
        <w:topLinePunct/>
        <w:adjustRightInd w:val="0"/>
        <w:snapToGrid w:val="0"/>
        <w:spacing w:after="163" w:afterLines="50" w:line="360" w:lineRule="auto"/>
        <w:outlineLvl w:val="2"/>
        <w:rPr>
          <w:rFonts w:ascii="宋体" w:hAnsi="宋体" w:cs="宋体"/>
          <w:color w:val="auto"/>
          <w:highlight w:val="none"/>
        </w:rPr>
      </w:pPr>
      <w:bookmarkStart w:id="802" w:name="_Ref531949826"/>
      <w:bookmarkEnd w:id="802"/>
      <w:bookmarkStart w:id="803" w:name="_Ref531949766"/>
      <w:bookmarkEnd w:id="803"/>
      <w:bookmarkStart w:id="804" w:name="_Toc20171732"/>
      <w:bookmarkEnd w:id="804"/>
      <w:bookmarkStart w:id="805" w:name="_Ref4423426"/>
      <w:bookmarkEnd w:id="805"/>
      <w:bookmarkStart w:id="806" w:name="_Ref531949855"/>
      <w:bookmarkEnd w:id="806"/>
      <w:bookmarkStart w:id="807" w:name="_Ref531949770"/>
      <w:bookmarkEnd w:id="807"/>
      <w:bookmarkStart w:id="808" w:name="_Ref531949841"/>
      <w:bookmarkStart w:id="809" w:name="_Toc58860167"/>
      <w:bookmarkStart w:id="810" w:name="_Toc31658"/>
      <w:bookmarkStart w:id="811" w:name="_Toc51766580"/>
      <w:r>
        <w:rPr>
          <w:rFonts w:hint="eastAsia" w:ascii="宋体" w:hAnsi="宋体" w:cs="宋体"/>
          <w:color w:val="auto"/>
          <w:szCs w:val="21"/>
          <w:highlight w:val="none"/>
          <w:lang w:bidi="ar"/>
        </w:rPr>
        <w:t>1</w:t>
      </w:r>
      <w:bookmarkEnd w:id="808"/>
      <w:r>
        <w:rPr>
          <w:rFonts w:hint="eastAsia" w:ascii="宋体" w:hAnsi="宋体" w:cs="宋体"/>
          <w:color w:val="auto"/>
          <w:szCs w:val="21"/>
          <w:highlight w:val="none"/>
          <w:lang w:bidi="ar"/>
        </w:rPr>
        <w:t>.10  知识产权</w:t>
      </w:r>
      <w:bookmarkEnd w:id="809"/>
      <w:bookmarkEnd w:id="810"/>
      <w:bookmarkEnd w:id="811"/>
      <w:r>
        <w:rPr>
          <w:rFonts w:hint="eastAsia" w:ascii="宋体" w:hAnsi="宋体" w:cs="宋体"/>
          <w:color w:val="auto"/>
          <w:szCs w:val="21"/>
          <w:highlight w:val="none"/>
          <w:lang w:bidi="ar"/>
        </w:rPr>
        <w:t xml:space="preserve"> </w:t>
      </w:r>
    </w:p>
    <w:p w14:paraId="32CBC553">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812" w:name="_Ref4423563"/>
      <w:bookmarkEnd w:id="812"/>
      <w:r>
        <w:rPr>
          <w:rFonts w:hint="eastAsia" w:ascii="宋体" w:hAnsi="宋体" w:cs="宋体"/>
          <w:color w:val="auto"/>
          <w:szCs w:val="21"/>
          <w:highlight w:val="none"/>
          <w:lang w:bidi="ar"/>
        </w:rPr>
        <w:t>1.10.1除专用合同条件另有约定外，由发包人（或以发包人名义）编制的《发包人要求》和其他文件，就合同当事人之间而言，其著作权和其他知识产权应归发包人所有。承包人可以为实现合同目的而复制、使用此类文件，但不能用于与合同无关的其他事项。未经发包人书面同意，承包人不得为了合同以外的目的而复制、使用上述文件或将之提供给任何第三方。</w:t>
      </w:r>
    </w:p>
    <w:p w14:paraId="1D473C05">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813" w:name="_Ref4423604"/>
      <w:bookmarkEnd w:id="813"/>
      <w:r>
        <w:rPr>
          <w:rFonts w:hint="eastAsia" w:ascii="宋体" w:hAnsi="宋体" w:cs="宋体"/>
          <w:color w:val="auto"/>
          <w:szCs w:val="21"/>
          <w:highlight w:val="none"/>
          <w:lang w:bidi="ar"/>
        </w:rPr>
        <w:t>1.10.2除专用合同条件另有约定外，由承包人（或以承包人名义）为实施工程所编制的文件、承包人完成的设计工作成果和建造完成的建筑物，就合同当事人之间而言，其著作权和其他知识产权应归承包人享有。发包人可因实施工程的运行、调试、维修、改造等目的而复制、使用此类文件，但不能用于与合同无关的其他事项。未经承包人书面同意，发包人不得为了合同以外的目的而复制、使用上述文件或将之提供给任何第三方。</w:t>
      </w:r>
    </w:p>
    <w:p w14:paraId="2A80B959">
      <w:pPr>
        <w:widowControl/>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1.10.3合同当事人保证在履行合同过程中不侵犯对方及第三方的知识产权。承包人在工程设计、使用材料、施工设备、工程设备或采用施工工艺时，因侵犯他人的专利权或其他知识产权所引起的责任，由承包人承担；因发包人提供的材料、施工设备、工程设备或施工工艺导致侵权的，由发包人承担责任。</w:t>
      </w:r>
    </w:p>
    <w:p w14:paraId="5A418A0B">
      <w:pPr>
        <w:widowControl/>
        <w:adjustRightInd w:val="0"/>
        <w:snapToGrid w:val="0"/>
        <w:spacing w:after="163" w:afterLines="50" w:line="360" w:lineRule="auto"/>
        <w:ind w:firstLine="420" w:firstLineChars="200"/>
        <w:outlineLvl w:val="3"/>
        <w:rPr>
          <w:rFonts w:ascii="宋体" w:hAnsi="宋体" w:cs="宋体"/>
          <w:color w:val="auto"/>
          <w:highlight w:val="none"/>
        </w:rPr>
      </w:pPr>
      <w:bookmarkStart w:id="814" w:name="_Ref4423695"/>
      <w:bookmarkEnd w:id="814"/>
      <w:r>
        <w:rPr>
          <w:rFonts w:hint="eastAsia" w:ascii="宋体" w:hAnsi="宋体" w:cs="宋体"/>
          <w:color w:val="auto"/>
          <w:szCs w:val="21"/>
          <w:highlight w:val="none"/>
          <w:lang w:bidi="ar"/>
        </w:rPr>
        <w:t>1.10.4除专用合同条件另有约定外，承包人在投标文件中采用的专利、专有技术、商业软件、技术秘密的使用费已包含在签约合同价中。</w:t>
      </w:r>
    </w:p>
    <w:p w14:paraId="420A95C6">
      <w:pPr>
        <w:widowControl/>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1.10.5合同当事人可就本合同涉及的合同一方、或合同双方（含一方或双方相关的专利商或第三方设计单位)的技术专利、建筑设计方案、专有技术、设计文件著作权等知识产权，订立知识产权及保密协议，作为本合同的组成部分。</w:t>
      </w:r>
    </w:p>
    <w:p w14:paraId="41F1D3EF">
      <w:pPr>
        <w:widowControl/>
        <w:wordWrap w:val="0"/>
        <w:topLinePunct/>
        <w:adjustRightInd w:val="0"/>
        <w:snapToGrid w:val="0"/>
        <w:spacing w:after="163" w:afterLines="50" w:line="360" w:lineRule="auto"/>
        <w:outlineLvl w:val="2"/>
        <w:rPr>
          <w:rFonts w:ascii="宋体" w:hAnsi="宋体" w:cs="宋体"/>
          <w:color w:val="auto"/>
          <w:highlight w:val="none"/>
        </w:rPr>
      </w:pPr>
      <w:bookmarkStart w:id="815" w:name="_Ref4423873"/>
      <w:bookmarkEnd w:id="815"/>
      <w:bookmarkStart w:id="816" w:name="_Ref4423898"/>
      <w:bookmarkEnd w:id="816"/>
      <w:bookmarkStart w:id="817" w:name="_Toc20171733"/>
      <w:bookmarkStart w:id="818" w:name="_Toc24212"/>
      <w:bookmarkStart w:id="819" w:name="_Toc51766581"/>
      <w:bookmarkStart w:id="820" w:name="_Toc58860168"/>
      <w:r>
        <w:rPr>
          <w:rFonts w:hint="eastAsia" w:ascii="宋体" w:hAnsi="宋体" w:cs="宋体"/>
          <w:color w:val="auto"/>
          <w:szCs w:val="21"/>
          <w:highlight w:val="none"/>
          <w:lang w:bidi="ar"/>
        </w:rPr>
        <w:t xml:space="preserve">1.11  </w:t>
      </w:r>
      <w:bookmarkEnd w:id="817"/>
      <w:r>
        <w:rPr>
          <w:rFonts w:hint="eastAsia" w:ascii="宋体" w:hAnsi="宋体" w:cs="宋体"/>
          <w:color w:val="auto"/>
          <w:szCs w:val="21"/>
          <w:highlight w:val="none"/>
          <w:lang w:bidi="ar"/>
        </w:rPr>
        <w:t>保密</w:t>
      </w:r>
      <w:bookmarkEnd w:id="818"/>
      <w:bookmarkEnd w:id="819"/>
      <w:bookmarkEnd w:id="820"/>
    </w:p>
    <w:p w14:paraId="6C36D65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合同当事人一方对在订立和履行合同过程中知悉的另一方的商业秘密、技术秘密，以及任何一方明确要求保密的其它信息，负有保密责任。</w:t>
      </w:r>
    </w:p>
    <w:p w14:paraId="0565F2F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除法律规定或合同另有约定外，未经对方同意，任何一方当事人不得将对方提供的文件、技术秘密以及声明需要保密的资料信息等商业秘密泄露给第三方或者用于本合同以外的目的。</w:t>
      </w:r>
    </w:p>
    <w:p w14:paraId="4BD6A3D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一方泄露或者在本合同以外使用该商业秘密、技术秘密等保密信息给另一方造成损失的，应承担损害赔偿责任。当事人为履行合同所需要的信息，另一方应予以提供。当事人认为必要时，可订立保密协议，作为合同附件。</w:t>
      </w:r>
    </w:p>
    <w:p w14:paraId="3D947411">
      <w:pPr>
        <w:widowControl/>
        <w:wordWrap w:val="0"/>
        <w:topLinePunct/>
        <w:adjustRightInd w:val="0"/>
        <w:snapToGrid w:val="0"/>
        <w:spacing w:after="163" w:afterLines="50" w:line="360" w:lineRule="auto"/>
        <w:outlineLvl w:val="2"/>
        <w:rPr>
          <w:rFonts w:ascii="宋体" w:hAnsi="宋体" w:cs="宋体"/>
          <w:color w:val="auto"/>
          <w:highlight w:val="none"/>
        </w:rPr>
      </w:pPr>
      <w:bookmarkStart w:id="821" w:name="_Ref532336812"/>
      <w:bookmarkEnd w:id="821"/>
      <w:bookmarkStart w:id="822" w:name="_Toc20171734"/>
      <w:bookmarkStart w:id="823" w:name="_Toc2004"/>
      <w:bookmarkStart w:id="824" w:name="_Toc58860169"/>
      <w:bookmarkStart w:id="825" w:name="_Toc51766582"/>
      <w:r>
        <w:rPr>
          <w:rFonts w:hint="eastAsia" w:ascii="宋体" w:hAnsi="宋体" w:cs="宋体"/>
          <w:color w:val="auto"/>
          <w:szCs w:val="21"/>
          <w:highlight w:val="none"/>
          <w:lang w:bidi="ar"/>
        </w:rPr>
        <w:t>1</w:t>
      </w:r>
      <w:bookmarkEnd w:id="822"/>
      <w:r>
        <w:rPr>
          <w:rFonts w:hint="eastAsia" w:ascii="宋体" w:hAnsi="宋体" w:cs="宋体"/>
          <w:color w:val="auto"/>
          <w:szCs w:val="21"/>
          <w:highlight w:val="none"/>
          <w:lang w:bidi="ar"/>
        </w:rPr>
        <w:t>.12  《发包人要求》和基础资料中的错误</w:t>
      </w:r>
      <w:bookmarkEnd w:id="823"/>
      <w:bookmarkEnd w:id="824"/>
      <w:bookmarkEnd w:id="825"/>
    </w:p>
    <w:p w14:paraId="5EA2A907">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承包人应尽早认真阅读、复核《发包人要求》以及其提供的基础资料，发现错误的，应及时书面通知发包人补正。发包人作相应修改的，按照第13条[变更与调整]的约定处理。</w:t>
      </w:r>
    </w:p>
    <w:p w14:paraId="37735902">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《发包人要求》或其提供的基础资料中的错误导致承包人增加费用和（或）工期延误的，发包人应承担由此增加的费用和（或）工期延误，并向承包人支付合理利润。</w:t>
      </w:r>
    </w:p>
    <w:p w14:paraId="2BBFBF22">
      <w:pPr>
        <w:widowControl/>
        <w:wordWrap w:val="0"/>
        <w:topLinePunct/>
        <w:adjustRightInd w:val="0"/>
        <w:snapToGrid w:val="0"/>
        <w:spacing w:after="163" w:afterLines="50" w:line="360" w:lineRule="auto"/>
        <w:outlineLvl w:val="2"/>
        <w:rPr>
          <w:rFonts w:ascii="宋体" w:hAnsi="宋体" w:cs="宋体"/>
          <w:color w:val="auto"/>
          <w:highlight w:val="none"/>
        </w:rPr>
      </w:pPr>
      <w:bookmarkStart w:id="826" w:name="_Toc20171735"/>
      <w:bookmarkEnd w:id="826"/>
      <w:bookmarkStart w:id="827" w:name="_Ref531949937"/>
      <w:bookmarkEnd w:id="827"/>
      <w:bookmarkStart w:id="828" w:name="_Ref531949933"/>
      <w:bookmarkStart w:id="829" w:name="_Toc51766583"/>
      <w:bookmarkStart w:id="830" w:name="_Toc6982"/>
      <w:bookmarkStart w:id="831" w:name="_Toc58860170"/>
      <w:r>
        <w:rPr>
          <w:rFonts w:hint="eastAsia" w:ascii="宋体" w:hAnsi="宋体" w:cs="宋体"/>
          <w:color w:val="auto"/>
          <w:szCs w:val="21"/>
          <w:highlight w:val="none"/>
          <w:lang w:bidi="ar"/>
        </w:rPr>
        <w:t>1</w:t>
      </w:r>
      <w:bookmarkEnd w:id="828"/>
      <w:r>
        <w:rPr>
          <w:rFonts w:hint="eastAsia" w:ascii="宋体" w:hAnsi="宋体" w:cs="宋体"/>
          <w:color w:val="auto"/>
          <w:szCs w:val="21"/>
          <w:highlight w:val="none"/>
          <w:lang w:bidi="ar"/>
        </w:rPr>
        <w:t>.13  责任限制</w:t>
      </w:r>
      <w:bookmarkEnd w:id="829"/>
      <w:bookmarkEnd w:id="830"/>
      <w:bookmarkEnd w:id="831"/>
    </w:p>
    <w:p w14:paraId="3B4B453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对发包人的赔偿责任不应超过专用合同条件约定的赔偿最高限额。若专用合同条件未约定，则承包人对发包人的赔偿责任不应超过签约合同价。但对于因欺诈、犯罪、故意、重大过失、人身伤害等不当行为造成的损失，赔偿的责任限度不受上述最高限额的限制。</w:t>
      </w:r>
    </w:p>
    <w:p w14:paraId="5399492B">
      <w:pPr>
        <w:widowControl/>
        <w:wordWrap w:val="0"/>
        <w:topLinePunct/>
        <w:adjustRightInd w:val="0"/>
        <w:snapToGrid w:val="0"/>
        <w:spacing w:after="163" w:afterLines="50" w:line="360" w:lineRule="auto"/>
        <w:outlineLvl w:val="2"/>
        <w:rPr>
          <w:rFonts w:ascii="宋体" w:hAnsi="宋体" w:cs="宋体"/>
          <w:color w:val="auto"/>
          <w:highlight w:val="none"/>
        </w:rPr>
      </w:pPr>
      <w:bookmarkStart w:id="832" w:name="_Toc51766584"/>
      <w:bookmarkStart w:id="833" w:name="_Toc25550"/>
      <w:bookmarkStart w:id="834" w:name="_Toc58860171"/>
      <w:r>
        <w:rPr>
          <w:rFonts w:hint="eastAsia" w:ascii="宋体" w:hAnsi="宋体" w:cs="宋体"/>
          <w:color w:val="auto"/>
          <w:szCs w:val="21"/>
          <w:highlight w:val="none"/>
          <w:lang w:bidi="ar"/>
        </w:rPr>
        <w:t>1.14  建筑信息模型技术的应用</w:t>
      </w:r>
      <w:bookmarkEnd w:id="832"/>
      <w:bookmarkEnd w:id="833"/>
      <w:bookmarkEnd w:id="834"/>
    </w:p>
    <w:p w14:paraId="14C32632">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如果项目中拟采用建筑信息模型技术，合同双方应遵守国家现行相关标准的规定，并符合项目所在地的相关地方标准或指南。合同双方应在专用合同条件中就建筑信息模型的开发、使用、存储、传输、交付及费用等相关内容进行约定。除专用合同条件另有约定外，承包人应负责与本项目中其他使用方协商。</w:t>
      </w:r>
    </w:p>
    <w:p w14:paraId="2B2166BB">
      <w:pPr>
        <w:widowControl/>
        <w:adjustRightInd w:val="0"/>
        <w:snapToGrid w:val="0"/>
        <w:spacing w:after="163" w:afterLines="50" w:line="360" w:lineRule="auto"/>
        <w:outlineLvl w:val="1"/>
        <w:rPr>
          <w:rFonts w:ascii="宋体" w:hAnsi="宋体" w:cs="宋体"/>
          <w:color w:val="auto"/>
          <w:kern w:val="0"/>
          <w:highlight w:val="none"/>
        </w:rPr>
      </w:pPr>
      <w:bookmarkStart w:id="835" w:name="_Toc20171736"/>
      <w:bookmarkEnd w:id="835"/>
      <w:bookmarkStart w:id="836" w:name="_Ref4796511"/>
      <w:bookmarkStart w:id="837" w:name="_Toc58860172"/>
      <w:r>
        <w:rPr>
          <w:rFonts w:hint="eastAsia" w:ascii="宋体" w:hAnsi="宋体" w:cs="宋体"/>
          <w:color w:val="auto"/>
          <w:kern w:val="0"/>
          <w:szCs w:val="21"/>
          <w:highlight w:val="none"/>
          <w:lang w:bidi="ar"/>
        </w:rPr>
        <w:t xml:space="preserve">第2条 </w:t>
      </w:r>
      <w:bookmarkEnd w:id="836"/>
      <w:r>
        <w:rPr>
          <w:rFonts w:hint="eastAsia" w:ascii="宋体" w:hAnsi="宋体" w:cs="宋体"/>
          <w:color w:val="auto"/>
          <w:kern w:val="0"/>
          <w:szCs w:val="21"/>
          <w:highlight w:val="none"/>
          <w:lang w:bidi="ar"/>
        </w:rPr>
        <w:t xml:space="preserve"> 发包人</w:t>
      </w:r>
      <w:bookmarkEnd w:id="837"/>
      <w:bookmarkStart w:id="838" w:name="_Toc20171737"/>
      <w:bookmarkEnd w:id="838"/>
    </w:p>
    <w:p w14:paraId="4095D020">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839" w:name="_Toc58860173"/>
      <w:bookmarkStart w:id="840" w:name="_Toc51766586"/>
      <w:bookmarkStart w:id="841" w:name="_Toc3169"/>
      <w:r>
        <w:rPr>
          <w:rFonts w:hint="eastAsia" w:ascii="宋体" w:hAnsi="宋体" w:cs="宋体"/>
          <w:color w:val="auto"/>
          <w:kern w:val="0"/>
          <w:szCs w:val="21"/>
          <w:highlight w:val="none"/>
          <w:lang w:bidi="ar"/>
        </w:rPr>
        <w:t>2.1  遵守法律</w:t>
      </w:r>
      <w:bookmarkEnd w:id="839"/>
      <w:bookmarkEnd w:id="840"/>
      <w:bookmarkEnd w:id="841"/>
    </w:p>
    <w:p w14:paraId="6440863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在履行合同过程中应遵守法律，并承担因发包人违反法律给承包人造成的任何费用和损失。发包人不得以任何理由，要求承包人在工程实施过程中违反法律、行政法规以及建设工程质量、安全、环保标准，任意压缩合理工期或者降低工程质量。</w:t>
      </w:r>
    </w:p>
    <w:p w14:paraId="32B2BE73">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842" w:name="_Toc20171738"/>
      <w:bookmarkEnd w:id="842"/>
      <w:bookmarkStart w:id="843" w:name="_Ref11917977"/>
      <w:bookmarkEnd w:id="843"/>
      <w:bookmarkStart w:id="844" w:name="_Ref11917995"/>
      <w:bookmarkStart w:id="845" w:name="_Toc51766587"/>
      <w:bookmarkStart w:id="846" w:name="_Toc22419"/>
      <w:bookmarkStart w:id="847" w:name="_Toc58860174"/>
      <w:r>
        <w:rPr>
          <w:rFonts w:hint="eastAsia" w:ascii="宋体" w:hAnsi="宋体" w:cs="宋体"/>
          <w:color w:val="auto"/>
          <w:kern w:val="0"/>
          <w:szCs w:val="21"/>
          <w:highlight w:val="none"/>
          <w:lang w:bidi="ar"/>
        </w:rPr>
        <w:t>2</w:t>
      </w:r>
      <w:bookmarkEnd w:id="844"/>
      <w:r>
        <w:rPr>
          <w:rFonts w:hint="eastAsia" w:ascii="宋体" w:hAnsi="宋体" w:cs="宋体"/>
          <w:color w:val="auto"/>
          <w:kern w:val="0"/>
          <w:szCs w:val="21"/>
          <w:highlight w:val="none"/>
          <w:lang w:bidi="ar"/>
        </w:rPr>
        <w:t>.2  提供施工现场和工作条件</w:t>
      </w:r>
      <w:bookmarkEnd w:id="845"/>
      <w:bookmarkEnd w:id="846"/>
      <w:bookmarkEnd w:id="847"/>
    </w:p>
    <w:p w14:paraId="411D5FBD">
      <w:pPr>
        <w:widowControl/>
        <w:numPr>
          <w:ilvl w:val="0"/>
          <w:numId w:val="1"/>
        </w:numPr>
        <w:wordWrap w:val="0"/>
        <w:topLinePunct/>
        <w:adjustRightInd w:val="0"/>
        <w:snapToGrid w:val="0"/>
        <w:spacing w:after="163" w:afterLines="50" w:line="360" w:lineRule="auto"/>
        <w:ind w:firstLine="422" w:firstLineChars="200"/>
        <w:outlineLvl w:val="2"/>
        <w:rPr>
          <w:rFonts w:ascii="宋体" w:hAnsi="宋体" w:cs="宋体"/>
          <w:b/>
          <w:vanish/>
          <w:color w:val="auto"/>
          <w:highlight w:val="none"/>
        </w:rPr>
      </w:pPr>
      <w:bookmarkStart w:id="848" w:name="_Toc51766588"/>
      <w:bookmarkEnd w:id="848"/>
      <w:bookmarkStart w:id="849" w:name="_Ref531950085"/>
      <w:bookmarkEnd w:id="849"/>
      <w:bookmarkStart w:id="850" w:name="_Toc58860175"/>
      <w:bookmarkEnd w:id="850"/>
      <w:bookmarkStart w:id="851" w:name="_Toc11090"/>
      <w:bookmarkEnd w:id="851"/>
    </w:p>
    <w:p w14:paraId="319130AE">
      <w:pPr>
        <w:widowControl/>
        <w:numPr>
          <w:ilvl w:val="1"/>
          <w:numId w:val="1"/>
        </w:numPr>
        <w:wordWrap w:val="0"/>
        <w:topLinePunct/>
        <w:adjustRightInd w:val="0"/>
        <w:snapToGrid w:val="0"/>
        <w:spacing w:after="163" w:afterLines="50" w:line="360" w:lineRule="auto"/>
        <w:ind w:firstLine="422" w:firstLineChars="200"/>
        <w:outlineLvl w:val="2"/>
        <w:rPr>
          <w:rFonts w:ascii="宋体" w:hAnsi="宋体" w:cs="宋体"/>
          <w:b/>
          <w:vanish/>
          <w:color w:val="auto"/>
          <w:highlight w:val="none"/>
        </w:rPr>
      </w:pPr>
      <w:bookmarkStart w:id="852" w:name="_Toc58860176"/>
      <w:bookmarkEnd w:id="852"/>
      <w:bookmarkStart w:id="853" w:name="_Toc51766589"/>
      <w:bookmarkEnd w:id="853"/>
      <w:bookmarkStart w:id="854" w:name="_Toc21955"/>
      <w:bookmarkEnd w:id="854"/>
    </w:p>
    <w:p w14:paraId="5943C477">
      <w:pPr>
        <w:widowControl/>
        <w:numPr>
          <w:ilvl w:val="1"/>
          <w:numId w:val="1"/>
        </w:numPr>
        <w:wordWrap w:val="0"/>
        <w:topLinePunct/>
        <w:adjustRightInd w:val="0"/>
        <w:snapToGrid w:val="0"/>
        <w:spacing w:after="163" w:afterLines="50" w:line="360" w:lineRule="auto"/>
        <w:ind w:firstLine="422" w:firstLineChars="200"/>
        <w:outlineLvl w:val="2"/>
        <w:rPr>
          <w:rFonts w:ascii="宋体" w:hAnsi="宋体" w:cs="宋体"/>
          <w:b/>
          <w:vanish/>
          <w:color w:val="auto"/>
          <w:highlight w:val="none"/>
        </w:rPr>
      </w:pPr>
      <w:bookmarkStart w:id="855" w:name="_Toc21587"/>
      <w:bookmarkEnd w:id="855"/>
      <w:bookmarkStart w:id="856" w:name="_Toc58860177"/>
      <w:bookmarkEnd w:id="856"/>
      <w:bookmarkStart w:id="857" w:name="_Toc51766590"/>
      <w:bookmarkEnd w:id="857"/>
    </w:p>
    <w:p w14:paraId="0CD41726">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2.2.1提供施工现场</w:t>
      </w:r>
    </w:p>
    <w:p w14:paraId="246BC58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按专用合同条件约定向承包人移交施工现场，给承包人进入和占用施工现场各部分的权利，并明确与承包人的交接界面，上述进入和占用权可不为承包人独享。如专用合同条件没有约定移交时间的，则发包人应最迟于计划开始现场施工日期7天前向承包人移交施工现场，但承包人未能按照第4.2款[履约担保]提供履约担保的除外。</w:t>
      </w:r>
    </w:p>
    <w:p w14:paraId="3284E647">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858" w:name="_Ref531950101"/>
      <w:bookmarkEnd w:id="858"/>
      <w:r>
        <w:rPr>
          <w:rFonts w:hint="eastAsia" w:ascii="宋体" w:hAnsi="宋体" w:cs="宋体"/>
          <w:color w:val="auto"/>
          <w:szCs w:val="21"/>
          <w:highlight w:val="none"/>
          <w:lang w:bidi="ar"/>
        </w:rPr>
        <w:t>2.2.2提供工作条件</w:t>
      </w:r>
    </w:p>
    <w:p w14:paraId="694693E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发包人应按专用合同条件约定向承包人提供工作条件。专用合同条件对此没有约定的，发包人应负责提供开展本合同相关工作所需要的条件，包括：</w:t>
      </w:r>
    </w:p>
    <w:p w14:paraId="6467926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（1）将施工用水、电力、通讯线路等施工所必需的条件接至施工现场内；</w:t>
      </w:r>
    </w:p>
    <w:p w14:paraId="1A9F26D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（2）保证向承包人提供正常施工所需要的进入施工现场的交通条件；</w:t>
      </w:r>
    </w:p>
    <w:p w14:paraId="4D773F4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（3）协调处理施工现场周围地下管线和邻近建筑物、构筑物、古树名木、文物、化石及坟墓等的保护工作，并承担相关费用；</w:t>
      </w:r>
    </w:p>
    <w:p w14:paraId="18F4F36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（4）对工程现场临近发包人正在使用、运行、或由发包人用于生产的建筑物、构筑物、生产装置、设施、设备等，设置隔离设施，竖立禁止入内、禁止动火的明显标志， 并以书面形式通知承包人须遵守的安全规定和位置范围；</w:t>
      </w:r>
    </w:p>
    <w:p w14:paraId="19DA5F3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（5）按照专用合同条件约定应提供的其他设施和条件。</w:t>
      </w:r>
    </w:p>
    <w:p w14:paraId="35E583D2">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2.2.3逾期提供的责任</w:t>
      </w:r>
    </w:p>
    <w:p w14:paraId="5DE3F1D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因发包人原因未能按合同约定及时向承包人提供施工现场和施工条件的，由发包人承担由此增加的费用和（或）延误的工期。</w:t>
      </w:r>
    </w:p>
    <w:p w14:paraId="69306BF7">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859" w:name="_Ref11956647"/>
      <w:bookmarkEnd w:id="859"/>
      <w:bookmarkStart w:id="860" w:name="_Toc20171739"/>
      <w:bookmarkEnd w:id="860"/>
      <w:bookmarkStart w:id="861" w:name="_Ref11956654"/>
      <w:bookmarkEnd w:id="861"/>
      <w:bookmarkStart w:id="862" w:name="_Ref11918036"/>
      <w:bookmarkEnd w:id="862"/>
      <w:bookmarkStart w:id="863" w:name="_Ref11918025"/>
      <w:bookmarkStart w:id="864" w:name="_Toc21035"/>
      <w:bookmarkStart w:id="865" w:name="_Toc51766591"/>
      <w:bookmarkStart w:id="866" w:name="_Toc58860178"/>
      <w:r>
        <w:rPr>
          <w:rFonts w:hint="eastAsia" w:ascii="宋体" w:hAnsi="宋体" w:cs="宋体"/>
          <w:color w:val="auto"/>
          <w:kern w:val="0"/>
          <w:szCs w:val="21"/>
          <w:highlight w:val="none"/>
          <w:lang w:bidi="ar"/>
        </w:rPr>
        <w:t>2</w:t>
      </w:r>
      <w:bookmarkEnd w:id="863"/>
      <w:r>
        <w:rPr>
          <w:rFonts w:hint="eastAsia" w:ascii="宋体" w:hAnsi="宋体" w:cs="宋体"/>
          <w:color w:val="auto"/>
          <w:kern w:val="0"/>
          <w:szCs w:val="21"/>
          <w:highlight w:val="none"/>
          <w:lang w:bidi="ar"/>
        </w:rPr>
        <w:t>.3  提供基础资料</w:t>
      </w:r>
      <w:bookmarkEnd w:id="864"/>
      <w:bookmarkEnd w:id="865"/>
      <w:bookmarkEnd w:id="866"/>
    </w:p>
    <w:p w14:paraId="17FE740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按专用合同条件和《发包人要求》中的约定向承包人提供施工现场及工程实施所必需的毗邻区域内的供水、排水、供电、供气、供热、通信、广播电视等地上、地下管线和设施资料，气象和水文观测资料，地质勘察资料，相邻建筑物、构筑物和地下工程等有关基础资料，并根据第1.12款[《发包人要求》和基础资料中的错误]承担基础资料错误造成的责任。按照法律规定确需在开工后方能提供的基础资料，发包人应尽其努力及时地在相应工程实施前的合理期限内提供，合理期限应以不影响承包人的正常履约为限。因发包人原因未能在合理期限内提供相应基础资料的，由发包人承担由此增加的费用和延误的工期。</w:t>
      </w:r>
    </w:p>
    <w:p w14:paraId="16A24882">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867" w:name="_Toc20171740"/>
      <w:bookmarkEnd w:id="867"/>
      <w:bookmarkStart w:id="868" w:name="_Ref531950045"/>
      <w:bookmarkEnd w:id="868"/>
      <w:bookmarkStart w:id="869" w:name="_Ref531950041"/>
      <w:bookmarkStart w:id="870" w:name="_Toc51766592"/>
      <w:bookmarkStart w:id="871" w:name="_Toc21118"/>
      <w:bookmarkStart w:id="872" w:name="_Toc58860179"/>
      <w:r>
        <w:rPr>
          <w:rFonts w:hint="eastAsia" w:ascii="宋体" w:hAnsi="宋体" w:cs="宋体"/>
          <w:color w:val="auto"/>
          <w:kern w:val="0"/>
          <w:szCs w:val="21"/>
          <w:highlight w:val="none"/>
          <w:lang w:bidi="ar"/>
        </w:rPr>
        <w:t>2</w:t>
      </w:r>
      <w:bookmarkEnd w:id="869"/>
      <w:r>
        <w:rPr>
          <w:rFonts w:hint="eastAsia" w:ascii="宋体" w:hAnsi="宋体" w:cs="宋体"/>
          <w:color w:val="auto"/>
          <w:kern w:val="0"/>
          <w:szCs w:val="21"/>
          <w:highlight w:val="none"/>
          <w:lang w:bidi="ar"/>
        </w:rPr>
        <w:t>.4  办理许可和批准</w:t>
      </w:r>
      <w:bookmarkEnd w:id="870"/>
      <w:bookmarkEnd w:id="871"/>
      <w:bookmarkEnd w:id="872"/>
    </w:p>
    <w:p w14:paraId="1B926556">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2.4.1发包人在履行合同过程中应遵守法律，并办理法律规定或合同约定由其办理的许可、批准或备案，包括但不限于建设用地规划许可证、建设工程规划许可证、建设工程施工许可证等许可和批准。对于法律规定或合同约定由承包人负责的有关设计、施工证件、批件或备案，发包人应给予必要的协助。</w:t>
      </w:r>
    </w:p>
    <w:p w14:paraId="7B19F67F">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2.4.2因发包人原因未能及时办理完毕前述许可、批准或备案，由发包人承担由此增加的费用和（或）延误的工期，并支付承包人合理的利润。</w:t>
      </w:r>
    </w:p>
    <w:p w14:paraId="480C37D2">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873" w:name="_Ref11956525"/>
      <w:bookmarkEnd w:id="873"/>
      <w:bookmarkStart w:id="874" w:name="_Ref11918060"/>
      <w:bookmarkEnd w:id="874"/>
      <w:bookmarkStart w:id="875" w:name="_Ref11918070"/>
      <w:bookmarkEnd w:id="875"/>
      <w:bookmarkStart w:id="876" w:name="_Toc20171741"/>
      <w:bookmarkEnd w:id="876"/>
      <w:bookmarkStart w:id="877" w:name="_Toc58860180"/>
      <w:bookmarkStart w:id="878" w:name="_Toc51766593"/>
      <w:bookmarkStart w:id="879" w:name="_Toc28834"/>
      <w:bookmarkStart w:id="880" w:name="_Ref11956533"/>
      <w:r>
        <w:rPr>
          <w:rFonts w:hint="eastAsia" w:ascii="宋体" w:hAnsi="宋体" w:cs="宋体"/>
          <w:color w:val="auto"/>
          <w:kern w:val="0"/>
          <w:szCs w:val="21"/>
          <w:highlight w:val="none"/>
          <w:lang w:bidi="ar"/>
        </w:rPr>
        <w:t>2.5  支付合同价款</w:t>
      </w:r>
      <w:bookmarkEnd w:id="877"/>
      <w:bookmarkEnd w:id="878"/>
      <w:bookmarkEnd w:id="879"/>
      <w:bookmarkEnd w:id="880"/>
    </w:p>
    <w:p w14:paraId="2E10A284">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881" w:name="_Ref531950147"/>
      <w:bookmarkEnd w:id="881"/>
      <w:r>
        <w:rPr>
          <w:rFonts w:hint="eastAsia" w:ascii="宋体" w:hAnsi="宋体" w:cs="宋体"/>
          <w:color w:val="auto"/>
          <w:szCs w:val="21"/>
          <w:highlight w:val="none"/>
          <w:lang w:bidi="ar"/>
        </w:rPr>
        <w:t>2.5.1发包人应按合同约定向承包人及时支付合同价款。</w:t>
      </w:r>
    </w:p>
    <w:p w14:paraId="6B1DD23A">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2.5.2发包人应当制定资金安排计划，除专用合同条件另有约定外，如发包人拟对资金安排做任何重要变更，应将变更的详细情况通知承包人。如发生承包人收到价格大于签约合同价10%的变更指示或累计变更的总价超过签约合同价30%；或承包人未能根据第14条[合同价格与支付]收到付款，或承包人得知发包人的资金安排发生重要变更但并未收到发包人上述重要变更通知的情况，则承包人可随时要求发包人在28天内补充提供能够按照合同约定支付合同价款的相应资金来源证明。</w:t>
      </w:r>
    </w:p>
    <w:p w14:paraId="067B2412">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882" w:name="_Ref531950161"/>
      <w:bookmarkEnd w:id="882"/>
      <w:r>
        <w:rPr>
          <w:rFonts w:hint="eastAsia" w:ascii="宋体" w:hAnsi="宋体" w:cs="宋体"/>
          <w:color w:val="auto"/>
          <w:szCs w:val="21"/>
          <w:highlight w:val="none"/>
          <w:lang w:bidi="ar"/>
        </w:rPr>
        <w:t>2.5.3发包人应当向承包人提供支付担保。支付担保可以采用银行保函或担保公司担保等形式，具体由合同当事人在专用合同条件中约定。</w:t>
      </w:r>
    </w:p>
    <w:p w14:paraId="1E3613BB">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883" w:name="_Toc20171742"/>
      <w:bookmarkEnd w:id="883"/>
      <w:bookmarkStart w:id="884" w:name="_Toc58860181"/>
      <w:bookmarkStart w:id="885" w:name="_Toc51766594"/>
      <w:bookmarkStart w:id="886" w:name="_Toc21197"/>
      <w:r>
        <w:rPr>
          <w:rFonts w:hint="eastAsia" w:ascii="宋体" w:hAnsi="宋体" w:cs="宋体"/>
          <w:color w:val="auto"/>
          <w:kern w:val="0"/>
          <w:szCs w:val="21"/>
          <w:highlight w:val="none"/>
          <w:lang w:bidi="ar"/>
        </w:rPr>
        <w:t>2.6  现场管理配合</w:t>
      </w:r>
      <w:bookmarkEnd w:id="884"/>
      <w:bookmarkEnd w:id="885"/>
      <w:bookmarkEnd w:id="886"/>
    </w:p>
    <w:p w14:paraId="6CDE99B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发包人应负责保证在现场或现场附近的发包人人员和发包人的其他承包人（如有）：</w:t>
      </w:r>
    </w:p>
    <w:p w14:paraId="74358A7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（1）根据第7.3款[现场合作]的约定，与承包人进行合作；</w:t>
      </w:r>
    </w:p>
    <w:p w14:paraId="78BBCF6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（2）遵守第</w:t>
      </w:r>
      <w:r>
        <w:rPr>
          <w:rFonts w:ascii="宋体" w:hAnsi="宋体" w:cs="宋体"/>
          <w:color w:val="auto"/>
          <w:kern w:val="0"/>
          <w:szCs w:val="21"/>
          <w:highlight w:val="none"/>
          <w:lang w:bidi="ar"/>
        </w:rPr>
        <w:t>7.5</w:t>
      </w:r>
      <w:r>
        <w:rPr>
          <w:rFonts w:hint="eastAsia" w:ascii="宋体" w:hAnsi="宋体" w:cs="宋体"/>
          <w:color w:val="auto"/>
          <w:kern w:val="0"/>
          <w:szCs w:val="21"/>
          <w:highlight w:val="none"/>
          <w:lang w:bidi="ar"/>
        </w:rPr>
        <w:t>款[现场劳动用工</w:t>
      </w:r>
      <w:r>
        <w:rPr>
          <w:rFonts w:ascii="宋体" w:hAnsi="宋体" w:cs="宋体"/>
          <w:color w:val="auto"/>
          <w:kern w:val="0"/>
          <w:szCs w:val="21"/>
          <w:highlight w:val="none"/>
          <w:lang w:bidi="ar"/>
        </w:rPr>
        <w:t>]</w:t>
      </w:r>
      <w:r>
        <w:rPr>
          <w:rFonts w:hint="eastAsia" w:ascii="宋体" w:hAnsi="宋体" w:cs="宋体"/>
          <w:color w:val="auto"/>
          <w:kern w:val="0"/>
          <w:szCs w:val="21"/>
          <w:highlight w:val="none"/>
          <w:lang w:bidi="ar"/>
        </w:rPr>
        <w:t>、第7.6款[安全文明施工]、第7.7款[职业健康]和第7.8款[环境保护]的相关约定。</w:t>
      </w:r>
    </w:p>
    <w:p w14:paraId="0C93618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发包人应与承包人、由发包人直接发包的其他承包人（如有）订立施工现场统一管理协议，明确各方的权利义务。</w:t>
      </w:r>
    </w:p>
    <w:p w14:paraId="2D5604D7">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887" w:name="_Toc20171743"/>
      <w:bookmarkEnd w:id="887"/>
      <w:bookmarkStart w:id="888" w:name="_Ref11959376"/>
      <w:bookmarkEnd w:id="888"/>
      <w:bookmarkStart w:id="889" w:name="_Ref11959372"/>
      <w:bookmarkStart w:id="890" w:name="_Toc58860182"/>
      <w:bookmarkStart w:id="891" w:name="_Toc26806"/>
      <w:bookmarkStart w:id="892" w:name="_Toc51766595"/>
      <w:r>
        <w:rPr>
          <w:rFonts w:hint="eastAsia" w:ascii="宋体" w:hAnsi="宋体" w:cs="宋体"/>
          <w:color w:val="auto"/>
          <w:kern w:val="0"/>
          <w:szCs w:val="21"/>
          <w:highlight w:val="none"/>
          <w:lang w:bidi="ar"/>
        </w:rPr>
        <w:t>2</w:t>
      </w:r>
      <w:bookmarkEnd w:id="889"/>
      <w:r>
        <w:rPr>
          <w:rFonts w:hint="eastAsia" w:ascii="宋体" w:hAnsi="宋体" w:cs="宋体"/>
          <w:color w:val="auto"/>
          <w:kern w:val="0"/>
          <w:szCs w:val="21"/>
          <w:highlight w:val="none"/>
          <w:lang w:bidi="ar"/>
        </w:rPr>
        <w:t>.7  其他义务</w:t>
      </w:r>
      <w:bookmarkEnd w:id="890"/>
      <w:bookmarkEnd w:id="891"/>
      <w:bookmarkEnd w:id="892"/>
    </w:p>
    <w:p w14:paraId="3553103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发包人应履行合同约定的其他义务，双方可在专用合同条件内对发包人应履行的其他义务进行补充约定。</w:t>
      </w:r>
    </w:p>
    <w:p w14:paraId="1EBFDDFB">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893" w:name="_Toc20171744"/>
      <w:bookmarkEnd w:id="893"/>
      <w:bookmarkStart w:id="894" w:name="_Ref531952791"/>
      <w:bookmarkEnd w:id="894"/>
      <w:bookmarkStart w:id="895" w:name="_Toc58860183"/>
      <w:r>
        <w:rPr>
          <w:rFonts w:hint="eastAsia" w:ascii="宋体" w:hAnsi="宋体" w:cs="宋体"/>
          <w:color w:val="auto"/>
          <w:kern w:val="0"/>
          <w:szCs w:val="21"/>
          <w:highlight w:val="none"/>
          <w:lang w:bidi="ar"/>
        </w:rPr>
        <w:t>第3条  发包人的管理</w:t>
      </w:r>
      <w:bookmarkEnd w:id="895"/>
    </w:p>
    <w:p w14:paraId="59F5BFAC">
      <w:pPr>
        <w:widowControl/>
        <w:wordWrap w:val="0"/>
        <w:topLinePunct/>
        <w:adjustRightInd w:val="0"/>
        <w:snapToGrid w:val="0"/>
        <w:spacing w:after="163" w:afterLines="50" w:line="360" w:lineRule="auto"/>
        <w:outlineLvl w:val="2"/>
        <w:rPr>
          <w:rFonts w:ascii="宋体" w:hAnsi="宋体" w:cs="宋体"/>
          <w:color w:val="auto"/>
          <w:highlight w:val="none"/>
        </w:rPr>
      </w:pPr>
      <w:bookmarkStart w:id="896" w:name="_Ref531951533"/>
      <w:bookmarkEnd w:id="896"/>
      <w:bookmarkStart w:id="897" w:name="_Toc20171745"/>
      <w:bookmarkEnd w:id="897"/>
      <w:bookmarkStart w:id="898" w:name="_Ref522810094"/>
      <w:bookmarkEnd w:id="898"/>
      <w:bookmarkStart w:id="899" w:name="_Ref522810097"/>
      <w:bookmarkEnd w:id="899"/>
      <w:bookmarkStart w:id="900" w:name="_Ref531951538"/>
      <w:bookmarkStart w:id="901" w:name="_Toc51766597"/>
      <w:bookmarkStart w:id="902" w:name="_Toc27386"/>
      <w:bookmarkStart w:id="903" w:name="_Toc58860184"/>
      <w:r>
        <w:rPr>
          <w:rFonts w:hint="eastAsia" w:ascii="宋体" w:hAnsi="宋体" w:cs="宋体"/>
          <w:color w:val="auto"/>
          <w:szCs w:val="21"/>
          <w:highlight w:val="none"/>
          <w:lang w:bidi="ar"/>
        </w:rPr>
        <w:t>3</w:t>
      </w:r>
      <w:bookmarkEnd w:id="900"/>
      <w:r>
        <w:rPr>
          <w:rFonts w:hint="eastAsia" w:ascii="宋体" w:hAnsi="宋体" w:cs="宋体"/>
          <w:color w:val="auto"/>
          <w:szCs w:val="21"/>
          <w:highlight w:val="none"/>
          <w:lang w:bidi="ar"/>
        </w:rPr>
        <w:t>.1  发包人代表</w:t>
      </w:r>
      <w:bookmarkEnd w:id="901"/>
      <w:bookmarkEnd w:id="902"/>
      <w:bookmarkEnd w:id="903"/>
    </w:p>
    <w:p w14:paraId="0772C0C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任命发包人代表，并在专用合同条件中明确发包人代表的姓名、职务、联系方式及授权范围等事项。发包人代表应在发包人的授权范围内，负责处理合同履行过程中与发包人有关的具体事宜。发包人代表在授权范围内的行为由发包人承担法律责任。</w:t>
      </w:r>
    </w:p>
    <w:p w14:paraId="39991EA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除非发包人另行通知承包人，发包人代表应被授予并且被认为具有发包人在授权范围内享有的相应权利，涉及第16.1款[由发包人解除合同]的权利除外。</w:t>
      </w:r>
    </w:p>
    <w:p w14:paraId="0BB1740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发包人代表（或者在其为法人的情况下，被任命代表其行事的自然人）应：</w:t>
      </w:r>
    </w:p>
    <w:p w14:paraId="69579F7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（1）履行指派给其的职责，行使发包人托付给的权利；</w:t>
      </w:r>
    </w:p>
    <w:p w14:paraId="637F55A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（2）具备履行这些职责、行使这些权利的能力；</w:t>
      </w:r>
    </w:p>
    <w:p w14:paraId="1EBEFDF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（3）作为熟练的专业人员行事。</w:t>
      </w:r>
    </w:p>
    <w:p w14:paraId="6E68B70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如果发包人代表为法人且在订立本合同时未能确定授权代表的，发包人代表应在本合同订立之日起3日内向双方发出书面通知，告知被任命和授权的自然人以及任何替代人员。此授权在双方收到本通知后生效。发包人代表撤销该授权或者变更授权代表时也应同样发出该通知。</w:t>
      </w:r>
    </w:p>
    <w:p w14:paraId="61FE2EE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发包人更换发包人代表的，应提前14天将更换人的姓名、地址、任务和权利</w:t>
      </w:r>
      <w:r>
        <w:rPr>
          <w:rFonts w:hint="eastAsia" w:ascii="宋体" w:hAnsi="宋体" w:cs="宋体"/>
          <w:color w:val="auto"/>
          <w:kern w:val="0"/>
          <w:szCs w:val="21"/>
          <w:highlight w:val="none"/>
          <w:lang w:eastAsia="zh-CN" w:bidi="ar"/>
        </w:rPr>
        <w:t>以及</w:t>
      </w:r>
      <w:r>
        <w:rPr>
          <w:rFonts w:hint="eastAsia" w:ascii="宋体" w:hAnsi="宋体" w:cs="宋体"/>
          <w:color w:val="auto"/>
          <w:kern w:val="0"/>
          <w:szCs w:val="21"/>
          <w:highlight w:val="none"/>
          <w:lang w:bidi="ar"/>
        </w:rPr>
        <w:t>任命的日期书面通知承包人。发包人不得将发包人代表更换为承包人根据本款发出通知提出合理反对意见的人员，不论是法人还是自然人。</w:t>
      </w:r>
    </w:p>
    <w:p w14:paraId="7E69231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发包人代表不能按照合同约定履行其职责及义务，并导致合同无法继续正常履行的，承包人可以要求发包人撤换发包人代表。</w:t>
      </w:r>
    </w:p>
    <w:p w14:paraId="74D808F2">
      <w:pPr>
        <w:widowControl/>
        <w:wordWrap w:val="0"/>
        <w:topLinePunct/>
        <w:adjustRightInd w:val="0"/>
        <w:snapToGrid w:val="0"/>
        <w:spacing w:after="163" w:afterLines="50" w:line="360" w:lineRule="auto"/>
        <w:outlineLvl w:val="2"/>
        <w:rPr>
          <w:rFonts w:ascii="宋体" w:hAnsi="宋体" w:cs="宋体"/>
          <w:color w:val="auto"/>
          <w:highlight w:val="none"/>
        </w:rPr>
      </w:pPr>
      <w:bookmarkStart w:id="904" w:name="_Ref531951557"/>
      <w:bookmarkEnd w:id="904"/>
      <w:bookmarkStart w:id="905" w:name="_Toc20171746"/>
      <w:bookmarkEnd w:id="905"/>
      <w:bookmarkStart w:id="906" w:name="_Ref531951553"/>
      <w:bookmarkStart w:id="907" w:name="_Toc58860185"/>
      <w:bookmarkStart w:id="908" w:name="_Toc15100"/>
      <w:bookmarkStart w:id="909" w:name="_Toc51766598"/>
      <w:r>
        <w:rPr>
          <w:rFonts w:hint="eastAsia" w:ascii="宋体" w:hAnsi="宋体" w:cs="宋体"/>
          <w:color w:val="auto"/>
          <w:szCs w:val="21"/>
          <w:highlight w:val="none"/>
          <w:lang w:bidi="ar"/>
        </w:rPr>
        <w:t>3</w:t>
      </w:r>
      <w:bookmarkEnd w:id="906"/>
      <w:r>
        <w:rPr>
          <w:rFonts w:hint="eastAsia" w:ascii="宋体" w:hAnsi="宋体" w:cs="宋体"/>
          <w:color w:val="auto"/>
          <w:szCs w:val="21"/>
          <w:highlight w:val="none"/>
          <w:lang w:bidi="ar"/>
        </w:rPr>
        <w:t>.2  发包人人员</w:t>
      </w:r>
      <w:bookmarkEnd w:id="907"/>
      <w:bookmarkEnd w:id="908"/>
      <w:bookmarkEnd w:id="909"/>
    </w:p>
    <w:p w14:paraId="275A8AA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人员包括发包人代表、工程师及其他由发包人派驻施工现场的人员，发包人可以在专用合同条件中明确发包人人员的姓名、职务及职责等事项。发包人或发包人代表可随时对一些助手指派和托付一定的任务和权利，也可撤销这些指派和托付。这些助手可包括驻地工程师或担任检验、试验各项工程设备和材料的独立检查员。这些助手应具有适当的资质、履行其任务和权利的能力。以上指派、托付或撤销，在承包人收到通知后生效。承包人对于可能影响正常履约或工程安全质量的发包人人员保有随时提出沟通的权利。</w:t>
      </w:r>
    </w:p>
    <w:p w14:paraId="769556E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发包人应要求在施工现场的发包人人员遵守法律及有关安全、质量、环境保护、文明施工等规定，因发包人人员未遵守上述要求给承包人造成的损失和责任由发包人承担。</w:t>
      </w:r>
    </w:p>
    <w:p w14:paraId="7227C093">
      <w:pPr>
        <w:widowControl/>
        <w:wordWrap w:val="0"/>
        <w:topLinePunct/>
        <w:adjustRightInd w:val="0"/>
        <w:snapToGrid w:val="0"/>
        <w:spacing w:after="163" w:afterLines="50" w:line="360" w:lineRule="auto"/>
        <w:outlineLvl w:val="2"/>
        <w:rPr>
          <w:rFonts w:ascii="宋体" w:hAnsi="宋体" w:cs="宋体"/>
          <w:color w:val="auto"/>
          <w:highlight w:val="none"/>
        </w:rPr>
      </w:pPr>
      <w:bookmarkStart w:id="910" w:name="_Toc58860186"/>
      <w:bookmarkStart w:id="911" w:name="_Toc28098"/>
      <w:bookmarkStart w:id="912" w:name="_Toc51766599"/>
      <w:r>
        <w:rPr>
          <w:rFonts w:hint="eastAsia" w:ascii="宋体" w:hAnsi="宋体" w:cs="宋体"/>
          <w:color w:val="auto"/>
          <w:szCs w:val="21"/>
          <w:highlight w:val="none"/>
          <w:lang w:bidi="ar"/>
        </w:rPr>
        <w:t>3.3  工程师</w:t>
      </w:r>
      <w:bookmarkEnd w:id="910"/>
      <w:bookmarkEnd w:id="911"/>
      <w:bookmarkEnd w:id="912"/>
      <w:r>
        <w:rPr>
          <w:rFonts w:hint="eastAsia" w:ascii="宋体" w:hAnsi="宋体" w:cs="宋体"/>
          <w:color w:val="auto"/>
          <w:szCs w:val="21"/>
          <w:highlight w:val="none"/>
          <w:lang w:bidi="ar"/>
        </w:rPr>
        <w:t xml:space="preserve"> </w:t>
      </w:r>
    </w:p>
    <w:p w14:paraId="0DE6B8F0">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3.3.1发包人需对承包人的设计、采购、施工、服务等工作过程或过程节点实施监督管理的，有权委任工程师。工程师的名称、监督管理范围、内容和权限在专用合同条件中写明。根据国家相关法律法规规定，如本合同工程属于强制监理项目的，由工程师履行法定的监理相关职责，但发包人另行授权第三方进行监理的除外。</w:t>
      </w:r>
    </w:p>
    <w:p w14:paraId="7983A8E5">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3.3.2工程师按发包人委托的范围、内容、职权和权限，代表发包人对承包人实施监督管理。若承包人认为工程师行使的职权不在发包人委托的授权范围之内的，则其有权拒绝执行工程师的相关指示，同时应及时通知发包人，发包人书面确认工程师相关指示的，承包人应遵照执行。</w:t>
      </w:r>
    </w:p>
    <w:p w14:paraId="0414B149">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3.3.3在发包人和承包人之间提供证明、行使决定权或处理权时，工程师应作为独立专业的第三方，根据自己的专业技能和判断进行工作。但工程师或其人员均无权修改合同，且无权减轻或免除合同当事人的任何责任与义务。</w:t>
      </w:r>
    </w:p>
    <w:p w14:paraId="6C8170DB">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3.3.4通用合同条件中约定由工程师行使的职权如不在发包人对工程师的授权范围内的，则视为没有取得授权，该职权应由发包人或发包人指定的其他人员行使。若承包人认为工程师的职权与发包人（包括其人员）的职权相重叠或不明确时，应及时通知发包人，由发包人予以协调和明确并以书面形式通知承包人。</w:t>
      </w:r>
    </w:p>
    <w:p w14:paraId="6994D6B6">
      <w:pPr>
        <w:widowControl/>
        <w:wordWrap w:val="0"/>
        <w:topLinePunct/>
        <w:adjustRightInd w:val="0"/>
        <w:snapToGrid w:val="0"/>
        <w:spacing w:after="163" w:afterLines="50" w:line="360" w:lineRule="auto"/>
        <w:outlineLvl w:val="2"/>
        <w:rPr>
          <w:rFonts w:ascii="宋体" w:hAnsi="宋体" w:cs="宋体"/>
          <w:color w:val="auto"/>
          <w:highlight w:val="none"/>
        </w:rPr>
      </w:pPr>
      <w:bookmarkStart w:id="913" w:name="_Ref531951597"/>
      <w:bookmarkEnd w:id="913"/>
      <w:bookmarkStart w:id="914" w:name="_Ref531951594"/>
      <w:bookmarkStart w:id="915" w:name="_Toc51766600"/>
      <w:bookmarkStart w:id="916" w:name="_Toc18812"/>
      <w:bookmarkStart w:id="917" w:name="_Toc58860187"/>
      <w:r>
        <w:rPr>
          <w:rFonts w:hint="eastAsia" w:ascii="宋体" w:hAnsi="宋体" w:cs="宋体"/>
          <w:color w:val="auto"/>
          <w:szCs w:val="21"/>
          <w:highlight w:val="none"/>
          <w:lang w:bidi="ar"/>
        </w:rPr>
        <w:t>3</w:t>
      </w:r>
      <w:bookmarkEnd w:id="914"/>
      <w:r>
        <w:rPr>
          <w:rFonts w:hint="eastAsia" w:ascii="宋体" w:hAnsi="宋体" w:cs="宋体"/>
          <w:color w:val="auto"/>
          <w:szCs w:val="21"/>
          <w:highlight w:val="none"/>
          <w:lang w:bidi="ar"/>
        </w:rPr>
        <w:t>.4  任命和授权</w:t>
      </w:r>
      <w:bookmarkEnd w:id="915"/>
      <w:bookmarkEnd w:id="916"/>
      <w:bookmarkEnd w:id="917"/>
    </w:p>
    <w:p w14:paraId="3BEC0175">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3.4.1发包人应在发出开始工作通知前将工程师的任命通知承包人。更换工程师的，发包人应提前7天以书面形式通知承包人，并在通知中写明替换者的姓名、职务、职权、权限和任命时间。工程师超过2天不能履行职责的，应委派代表代行其职责，并通知承包人。</w:t>
      </w:r>
    </w:p>
    <w:p w14:paraId="442A1B37">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3.4.2工程师可以授权其他人员负责执行其指派的一项或多项工作，但第3.6款[商定或确定]下的权利除外。工程师应将被授权人员的姓名及其授权范围通知承包人。被授权的人员在授权范围内发出的指示视为已得到工程师的同意，与工程师发出的指示具有同等效力。工程师撤销某项授权时，应将撤销授权的决定及时通知承包人。</w:t>
      </w:r>
    </w:p>
    <w:p w14:paraId="0355DF6A">
      <w:pPr>
        <w:widowControl/>
        <w:wordWrap w:val="0"/>
        <w:topLinePunct/>
        <w:adjustRightInd w:val="0"/>
        <w:snapToGrid w:val="0"/>
        <w:spacing w:after="163" w:afterLines="50" w:line="360" w:lineRule="auto"/>
        <w:outlineLvl w:val="2"/>
        <w:rPr>
          <w:rFonts w:ascii="宋体" w:hAnsi="宋体" w:cs="宋体"/>
          <w:color w:val="auto"/>
          <w:highlight w:val="none"/>
        </w:rPr>
      </w:pPr>
      <w:bookmarkStart w:id="918" w:name="_Toc20171749"/>
      <w:bookmarkEnd w:id="918"/>
      <w:bookmarkStart w:id="919" w:name="_Ref20165400"/>
      <w:bookmarkStart w:id="920" w:name="_Toc1246"/>
      <w:bookmarkStart w:id="921" w:name="_Toc51766601"/>
      <w:bookmarkStart w:id="922" w:name="_Toc58860188"/>
      <w:r>
        <w:rPr>
          <w:rFonts w:hint="eastAsia" w:ascii="宋体" w:hAnsi="宋体" w:cs="宋体"/>
          <w:color w:val="auto"/>
          <w:szCs w:val="21"/>
          <w:highlight w:val="none"/>
          <w:lang w:bidi="ar"/>
        </w:rPr>
        <w:t>3</w:t>
      </w:r>
      <w:bookmarkEnd w:id="919"/>
      <w:r>
        <w:rPr>
          <w:rFonts w:hint="eastAsia" w:ascii="宋体" w:hAnsi="宋体" w:cs="宋体"/>
          <w:color w:val="auto"/>
          <w:szCs w:val="21"/>
          <w:highlight w:val="none"/>
          <w:lang w:bidi="ar"/>
        </w:rPr>
        <w:t>.5  指示</w:t>
      </w:r>
      <w:bookmarkEnd w:id="920"/>
      <w:bookmarkEnd w:id="921"/>
      <w:bookmarkEnd w:id="922"/>
    </w:p>
    <w:p w14:paraId="59346E0D">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3.5.1工程师应按照发包人的授权发出指示。工程师的指示应采用书面形式，盖有工程师授权的项目管理机构章，并由工程师的授权人员签字。在紧急情况下，工程师的授权人员可以口头形式发出指示或当场签发临时书面指示，承包人应遵照执行。工程师应在授权人员发出口头指示或临时书面指示后24小时内发出书面确认函，在24小时内未发出书面确认函的，该口头指示或临时书面指示应被视为工程师的正式指示。</w:t>
      </w:r>
    </w:p>
    <w:p w14:paraId="633E0D63">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3.5.2承包人收到工程师作出的指示后应遵照执行。如果任何此类指示构成一项变更时，应按照第13条[变更与调整]的约定办理。</w:t>
      </w:r>
    </w:p>
    <w:p w14:paraId="6E004DDD">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3.5.3由于工程师未能按合同约定发出指示、指示延误或指示错误而导致承包人费用增加和（或）工期延误的，发包人应承担由此增加的费用和（或）工期延误，并向承包人支付合理利润。</w:t>
      </w:r>
    </w:p>
    <w:p w14:paraId="358ABEB2">
      <w:pPr>
        <w:widowControl/>
        <w:wordWrap w:val="0"/>
        <w:topLinePunct/>
        <w:adjustRightInd w:val="0"/>
        <w:snapToGrid w:val="0"/>
        <w:spacing w:after="163" w:afterLines="50" w:line="360" w:lineRule="auto"/>
        <w:outlineLvl w:val="2"/>
        <w:rPr>
          <w:rFonts w:ascii="宋体" w:hAnsi="宋体" w:cs="宋体"/>
          <w:color w:val="auto"/>
          <w:highlight w:val="none"/>
        </w:rPr>
      </w:pPr>
      <w:bookmarkStart w:id="923" w:name="_Ref531951611"/>
      <w:bookmarkEnd w:id="923"/>
      <w:bookmarkStart w:id="924" w:name="_Ref531951609"/>
      <w:bookmarkEnd w:id="924"/>
      <w:bookmarkStart w:id="925" w:name="_Toc20171750"/>
      <w:bookmarkStart w:id="926" w:name="_Toc58860189"/>
      <w:bookmarkStart w:id="927" w:name="_Toc9977"/>
      <w:bookmarkStart w:id="928" w:name="_Toc51766602"/>
      <w:r>
        <w:rPr>
          <w:rFonts w:hint="eastAsia" w:ascii="宋体" w:hAnsi="宋体" w:cs="宋体"/>
          <w:color w:val="auto"/>
          <w:szCs w:val="21"/>
          <w:highlight w:val="none"/>
          <w:lang w:bidi="ar"/>
        </w:rPr>
        <w:t>3</w:t>
      </w:r>
      <w:bookmarkEnd w:id="925"/>
      <w:r>
        <w:rPr>
          <w:rFonts w:hint="eastAsia" w:ascii="宋体" w:hAnsi="宋体" w:cs="宋体"/>
          <w:color w:val="auto"/>
          <w:szCs w:val="21"/>
          <w:highlight w:val="none"/>
          <w:lang w:bidi="ar"/>
        </w:rPr>
        <w:t>.6  商定或确定</w:t>
      </w:r>
      <w:bookmarkEnd w:id="926"/>
      <w:bookmarkEnd w:id="927"/>
      <w:bookmarkEnd w:id="928"/>
    </w:p>
    <w:p w14:paraId="0EE49225">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3.6.1合同约定工程师应按照本款对任何事项进行商定或确定时，工程师应及时与合同当事人协商，尽量达成一致。工程师应将商定的结果以书面形式通知发包人和承包人，并由双方签署确认。</w:t>
      </w:r>
    </w:p>
    <w:p w14:paraId="0913C724">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3.6.2除专用合同条件另有约定外，商定的期限应为工程师收到任何一方就商定事由发出的通知后42天内或工程师提出并经双方同意的其他期限。未能在该期限内达成一致的，由工程师按照合同约定审慎做出公正的确定。确定的期限应为商定的期限届满后42天内或工程师提出并经双方同意的其他期限。工程师应将确定的结果以书面形式通知发包人和承包人，并附详细依据。</w:t>
      </w:r>
    </w:p>
    <w:p w14:paraId="6B4368CB">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29" w:name="_Ref532287856"/>
      <w:bookmarkEnd w:id="929"/>
      <w:r>
        <w:rPr>
          <w:rFonts w:hint="eastAsia" w:ascii="宋体" w:hAnsi="宋体" w:cs="宋体"/>
          <w:color w:val="auto"/>
          <w:szCs w:val="21"/>
          <w:highlight w:val="none"/>
          <w:lang w:bidi="ar"/>
        </w:rPr>
        <w:t>3.6.3任何一方对工程师的确定有异议的，应在收到确定的结果后28天内向另一方发出书面异议通知并抄送工程师。除第19.2款[承包人索赔的处理程序]另有约定外，工程师未能在确定的期限内发出确定的结果通知的，或者任何一方发出对确定的结果有异议的通知的，则构成争议并应按照第20条[争议解决]的约定处理。如未在28天内发出上述通知的，工程师的确定应被视为已被双方接受并对双方具有约束力，但专用合同条件另有约定的除外。</w:t>
      </w:r>
    </w:p>
    <w:p w14:paraId="13ABACFB">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3.6.4在该争议解决前，双方应暂按工程师的确定执行。按照第20条[争议解决]的约定对工程师的确定作出修改的，按修改后的结果执行，由此导致承包人增加的费用和延误的工期由责任方承担。</w:t>
      </w:r>
    </w:p>
    <w:p w14:paraId="0AF25785">
      <w:pPr>
        <w:widowControl/>
        <w:wordWrap w:val="0"/>
        <w:topLinePunct/>
        <w:adjustRightInd w:val="0"/>
        <w:snapToGrid w:val="0"/>
        <w:spacing w:after="163" w:afterLines="50" w:line="360" w:lineRule="auto"/>
        <w:outlineLvl w:val="2"/>
        <w:rPr>
          <w:rFonts w:ascii="宋体" w:hAnsi="宋体" w:cs="宋体"/>
          <w:color w:val="auto"/>
          <w:highlight w:val="none"/>
        </w:rPr>
      </w:pPr>
      <w:bookmarkStart w:id="930" w:name="_Ref531951747"/>
      <w:bookmarkEnd w:id="930"/>
      <w:bookmarkStart w:id="931" w:name="_Toc20171751"/>
      <w:bookmarkEnd w:id="931"/>
      <w:bookmarkStart w:id="932" w:name="_Ref531951749"/>
      <w:bookmarkStart w:id="933" w:name="_Toc51766603"/>
      <w:bookmarkStart w:id="934" w:name="_Toc58860190"/>
      <w:bookmarkStart w:id="935" w:name="_Toc17427"/>
      <w:r>
        <w:rPr>
          <w:rFonts w:hint="eastAsia" w:ascii="宋体" w:hAnsi="宋体" w:cs="宋体"/>
          <w:color w:val="auto"/>
          <w:szCs w:val="21"/>
          <w:highlight w:val="none"/>
          <w:lang w:bidi="ar"/>
        </w:rPr>
        <w:t>3</w:t>
      </w:r>
      <w:bookmarkEnd w:id="932"/>
      <w:r>
        <w:rPr>
          <w:rFonts w:hint="eastAsia" w:ascii="宋体" w:hAnsi="宋体" w:cs="宋体"/>
          <w:color w:val="auto"/>
          <w:szCs w:val="21"/>
          <w:highlight w:val="none"/>
          <w:lang w:bidi="ar"/>
        </w:rPr>
        <w:t>.7  会议</w:t>
      </w:r>
      <w:bookmarkEnd w:id="933"/>
      <w:bookmarkEnd w:id="934"/>
      <w:bookmarkEnd w:id="935"/>
    </w:p>
    <w:p w14:paraId="7147E6BB">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3.7.1除专用合同条件另有约定外，任何一方可向另一方发出通知，要求另一方出席会议，讨论工程的实施安排或与本合同履行有关的其他事项。发包人的其他承包人、承包人的分包人和其他第三方可应任何一方的请求出席任何此类会议。</w:t>
      </w:r>
    </w:p>
    <w:p w14:paraId="4341F92C">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3.7.2除专用合同条件另有约定外，发包人应保存每次会议参加人签名的记录，并将会议纪要提供给出席会议的人员。任何根据此类会议以及会议纪要采取的行动应符合本合同的约定。</w:t>
      </w:r>
    </w:p>
    <w:p w14:paraId="4473EE3D">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936" w:name="_Ref531952805"/>
      <w:bookmarkEnd w:id="936"/>
      <w:bookmarkStart w:id="937" w:name="_Toc20171752"/>
      <w:bookmarkStart w:id="938" w:name="_Toc58860191"/>
      <w:r>
        <w:rPr>
          <w:rFonts w:hint="eastAsia" w:ascii="宋体" w:hAnsi="宋体" w:cs="宋体"/>
          <w:color w:val="auto"/>
          <w:kern w:val="0"/>
          <w:szCs w:val="21"/>
          <w:highlight w:val="none"/>
          <w:lang w:bidi="ar"/>
        </w:rPr>
        <w:t xml:space="preserve">第4条 </w:t>
      </w:r>
      <w:bookmarkEnd w:id="937"/>
      <w:r>
        <w:rPr>
          <w:rFonts w:hint="eastAsia" w:ascii="宋体" w:hAnsi="宋体" w:cs="宋体"/>
          <w:color w:val="auto"/>
          <w:kern w:val="0"/>
          <w:szCs w:val="21"/>
          <w:highlight w:val="none"/>
          <w:lang w:bidi="ar"/>
        </w:rPr>
        <w:t xml:space="preserve"> 承包人</w:t>
      </w:r>
      <w:bookmarkEnd w:id="938"/>
    </w:p>
    <w:p w14:paraId="60E349B1">
      <w:pPr>
        <w:widowControl/>
        <w:wordWrap w:val="0"/>
        <w:topLinePunct/>
        <w:adjustRightInd w:val="0"/>
        <w:snapToGrid w:val="0"/>
        <w:spacing w:after="163" w:afterLines="50" w:line="360" w:lineRule="auto"/>
        <w:outlineLvl w:val="2"/>
        <w:rPr>
          <w:rFonts w:ascii="宋体" w:hAnsi="宋体" w:cs="宋体"/>
          <w:color w:val="auto"/>
          <w:highlight w:val="none"/>
        </w:rPr>
      </w:pPr>
      <w:bookmarkStart w:id="939" w:name="_Ref531951958"/>
      <w:bookmarkEnd w:id="939"/>
      <w:bookmarkStart w:id="940" w:name="_Ref531951945"/>
      <w:bookmarkEnd w:id="940"/>
      <w:bookmarkStart w:id="941" w:name="_Toc20171753"/>
      <w:bookmarkEnd w:id="941"/>
      <w:bookmarkStart w:id="942" w:name="_Ref531951961"/>
      <w:bookmarkEnd w:id="942"/>
      <w:bookmarkStart w:id="943" w:name="_Ref531951941"/>
      <w:bookmarkEnd w:id="943"/>
      <w:bookmarkStart w:id="944" w:name="_Ref531951975"/>
      <w:bookmarkStart w:id="945" w:name="_Toc58860192"/>
      <w:bookmarkStart w:id="946" w:name="_Toc51766605"/>
      <w:bookmarkStart w:id="947" w:name="_Toc27227"/>
      <w:r>
        <w:rPr>
          <w:rFonts w:hint="eastAsia" w:ascii="宋体" w:hAnsi="宋体" w:cs="宋体"/>
          <w:color w:val="auto"/>
          <w:szCs w:val="21"/>
          <w:highlight w:val="none"/>
          <w:lang w:bidi="ar"/>
        </w:rPr>
        <w:t>4</w:t>
      </w:r>
      <w:bookmarkEnd w:id="944"/>
      <w:r>
        <w:rPr>
          <w:rFonts w:hint="eastAsia" w:ascii="宋体" w:hAnsi="宋体" w:cs="宋体"/>
          <w:color w:val="auto"/>
          <w:szCs w:val="21"/>
          <w:highlight w:val="none"/>
          <w:lang w:bidi="ar"/>
        </w:rPr>
        <w:t>.1  承包人的一般义务</w:t>
      </w:r>
      <w:bookmarkEnd w:id="945"/>
      <w:bookmarkEnd w:id="946"/>
      <w:bookmarkEnd w:id="947"/>
      <w:r>
        <w:rPr>
          <w:rFonts w:hint="eastAsia" w:ascii="宋体" w:hAnsi="宋体" w:cs="宋体"/>
          <w:color w:val="auto"/>
          <w:szCs w:val="21"/>
          <w:highlight w:val="none"/>
          <w:lang w:bidi="ar"/>
        </w:rPr>
        <w:t xml:space="preserve"> </w:t>
      </w:r>
    </w:p>
    <w:p w14:paraId="6A550565">
      <w:pPr>
        <w:widowControl/>
        <w:adjustRightInd w:val="0"/>
        <w:snapToGrid w:val="0"/>
        <w:spacing w:after="163" w:afterLines="50" w:line="360" w:lineRule="auto"/>
        <w:ind w:firstLine="420" w:firstLineChars="200"/>
        <w:rPr>
          <w:rFonts w:ascii="宋体" w:hAnsi="宋体" w:cs="宋体"/>
          <w:color w:val="auto"/>
          <w:kern w:val="0"/>
          <w:highlight w:val="none"/>
        </w:rPr>
      </w:pPr>
      <w:bookmarkStart w:id="948" w:name="_Ref509046929"/>
      <w:bookmarkEnd w:id="948"/>
      <w:r>
        <w:rPr>
          <w:rFonts w:hint="eastAsia" w:ascii="宋体" w:hAnsi="宋体" w:cs="宋体"/>
          <w:color w:val="auto"/>
          <w:kern w:val="0"/>
          <w:szCs w:val="21"/>
          <w:highlight w:val="none"/>
          <w:lang w:bidi="ar"/>
        </w:rPr>
        <w:t>除专用合同条件另有约定外，承包人在履行合同过程中应遵守法律和工程建设标准规范，并履行以下义务：</w:t>
      </w:r>
    </w:p>
    <w:p w14:paraId="1899D97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（1）办理法律规定和合同约定由承包人办理的许可和批准，将办理结果书面报送发包人留存，并承担因承包人违反法律或合同约定给发包人造成的任何费用和损失；</w:t>
      </w:r>
    </w:p>
    <w:p w14:paraId="2CB0CD8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（2）按合同约定完成全部工作并在缺陷责任期和保修期内承担缺陷保证责任和保修义务，对工作中的任何缺陷进行整改、完善和修补，使其满足合同约定的目的；</w:t>
      </w:r>
    </w:p>
    <w:p w14:paraId="1A6F095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（3）提供合同约定的工程设备和承包人文件，以及为完成合同工作所需的劳务、材料、施工设备和其他物品，并按合同约定负责临时设施的设计、施工、运行、维护、管理和拆除；</w:t>
      </w:r>
    </w:p>
    <w:p w14:paraId="4230C7A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（4）按合同约定的工作内容和进度要求，编制设计、施工的组织和实施计划，保证项目进度计划的实现，并对所有设计、施工作业和施工方法，以及全部工程的完备性和安全可靠性负责；</w:t>
      </w:r>
    </w:p>
    <w:p w14:paraId="310B99B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（5）按法律规定和合同约定采取安全文明施工、职业健康和环境保护措施，办理员工工伤保险等相关保险，确保工程及人员、材料、设备和设施的安全，防止因工程实施造成的人身伤害和财产损失；</w:t>
      </w:r>
    </w:p>
    <w:p w14:paraId="4E354F3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w:t>
      </w:r>
      <w:r>
        <w:rPr>
          <w:rFonts w:ascii="宋体" w:hAnsi="宋体" w:cs="宋体"/>
          <w:color w:val="auto"/>
          <w:kern w:val="0"/>
          <w:szCs w:val="21"/>
          <w:highlight w:val="none"/>
          <w:lang w:bidi="ar"/>
        </w:rPr>
        <w:t>6</w:t>
      </w:r>
      <w:r>
        <w:rPr>
          <w:rFonts w:hint="eastAsia" w:ascii="宋体" w:hAnsi="宋体" w:cs="宋体"/>
          <w:color w:val="auto"/>
          <w:kern w:val="0"/>
          <w:szCs w:val="21"/>
          <w:highlight w:val="none"/>
          <w:lang w:bidi="ar"/>
        </w:rPr>
        <w:t>）将发包人按合同约定支付的各项价款专用于合同工程，且应及时支付其雇用人员（包括建筑工人）工资，并及时向分包人支付合同价款；</w:t>
      </w:r>
    </w:p>
    <w:p w14:paraId="2C8384A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w:t>
      </w:r>
      <w:r>
        <w:rPr>
          <w:rFonts w:ascii="宋体" w:hAnsi="宋体" w:cs="宋体"/>
          <w:color w:val="auto"/>
          <w:kern w:val="0"/>
          <w:szCs w:val="21"/>
          <w:highlight w:val="none"/>
          <w:lang w:bidi="ar"/>
        </w:rPr>
        <w:t>7</w:t>
      </w:r>
      <w:r>
        <w:rPr>
          <w:rFonts w:hint="eastAsia" w:ascii="宋体" w:hAnsi="宋体" w:cs="宋体"/>
          <w:color w:val="auto"/>
          <w:kern w:val="0"/>
          <w:szCs w:val="21"/>
          <w:highlight w:val="none"/>
          <w:lang w:bidi="ar"/>
        </w:rPr>
        <w:t>）在进行合同约定的各项工作时，不得侵害发包人与他人使用公用道路、水源、市政管网等公共设施的权利，避免对邻近的公共设施产生干扰。</w:t>
      </w:r>
    </w:p>
    <w:p w14:paraId="67562983">
      <w:pPr>
        <w:widowControl/>
        <w:wordWrap w:val="0"/>
        <w:topLinePunct/>
        <w:adjustRightInd w:val="0"/>
        <w:snapToGrid w:val="0"/>
        <w:spacing w:after="163" w:afterLines="50" w:line="360" w:lineRule="auto"/>
        <w:outlineLvl w:val="2"/>
        <w:rPr>
          <w:rFonts w:ascii="宋体" w:hAnsi="宋体" w:cs="宋体"/>
          <w:color w:val="auto"/>
          <w:highlight w:val="none"/>
        </w:rPr>
      </w:pPr>
      <w:bookmarkStart w:id="949" w:name="_Ref4426803"/>
      <w:bookmarkEnd w:id="949"/>
      <w:bookmarkStart w:id="950" w:name="_Toc20171754"/>
      <w:bookmarkEnd w:id="950"/>
      <w:bookmarkStart w:id="951" w:name="_Ref4428418"/>
      <w:bookmarkStart w:id="952" w:name="_Toc58860193"/>
      <w:bookmarkStart w:id="953" w:name="_Toc51766606"/>
      <w:bookmarkStart w:id="954" w:name="_Toc9708"/>
      <w:r>
        <w:rPr>
          <w:rFonts w:hint="eastAsia" w:ascii="宋体" w:hAnsi="宋体" w:cs="宋体"/>
          <w:color w:val="auto"/>
          <w:szCs w:val="21"/>
          <w:highlight w:val="none"/>
          <w:lang w:bidi="ar"/>
        </w:rPr>
        <w:t>4</w:t>
      </w:r>
      <w:bookmarkEnd w:id="951"/>
      <w:r>
        <w:rPr>
          <w:rFonts w:hint="eastAsia" w:ascii="宋体" w:hAnsi="宋体" w:cs="宋体"/>
          <w:color w:val="auto"/>
          <w:szCs w:val="21"/>
          <w:highlight w:val="none"/>
          <w:lang w:bidi="ar"/>
        </w:rPr>
        <w:t>.2  履约担保</w:t>
      </w:r>
      <w:bookmarkEnd w:id="952"/>
      <w:bookmarkEnd w:id="953"/>
      <w:bookmarkEnd w:id="954"/>
    </w:p>
    <w:p w14:paraId="399674D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需要承包人提供履约担保的，由合同当事人在专用合同条件中约定履约担保的方式、金额及提交的时间等，并应符合第2.5款[支付合同价款]的规定。履约担保可以采用银行保函或担保公司担保等形式，承包人为联合体的，其履约担保由联合体各方或者联合体中牵头人的名义代表联合体提交，具体由合同当事人在专用合同条件中约定。</w:t>
      </w:r>
    </w:p>
    <w:p w14:paraId="0AC8603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承包人应保证其履约担保在发包人竣工验收前一直有效，发包人应在竣工验收合格后7天内将履约担保款项退还给承包人或者解除履约担保。</w:t>
      </w:r>
    </w:p>
    <w:p w14:paraId="2BAA8F4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因承包人原因导致工期延长的，继续提供履约担保所增加的费用由承包人承担；非因承包人原因导致工期延长的，继续提供履约担保所增加的费用由发包人承担。</w:t>
      </w:r>
    </w:p>
    <w:p w14:paraId="4138F656">
      <w:pPr>
        <w:widowControl/>
        <w:wordWrap w:val="0"/>
        <w:topLinePunct/>
        <w:adjustRightInd w:val="0"/>
        <w:snapToGrid w:val="0"/>
        <w:spacing w:after="163" w:afterLines="50" w:line="360" w:lineRule="auto"/>
        <w:outlineLvl w:val="2"/>
        <w:rPr>
          <w:rFonts w:ascii="宋体" w:hAnsi="宋体" w:cs="宋体"/>
          <w:color w:val="auto"/>
          <w:highlight w:val="none"/>
        </w:rPr>
      </w:pPr>
      <w:bookmarkStart w:id="955" w:name="_Ref532689108"/>
      <w:bookmarkEnd w:id="955"/>
      <w:bookmarkStart w:id="956" w:name="_Ref532689105"/>
      <w:bookmarkEnd w:id="956"/>
      <w:bookmarkStart w:id="957" w:name="_Toc20171755"/>
      <w:bookmarkStart w:id="958" w:name="_Toc58860194"/>
      <w:bookmarkStart w:id="959" w:name="_Toc51766607"/>
      <w:bookmarkStart w:id="960" w:name="_Toc17466"/>
      <w:r>
        <w:rPr>
          <w:rFonts w:hint="eastAsia" w:ascii="宋体" w:hAnsi="宋体" w:cs="宋体"/>
          <w:color w:val="auto"/>
          <w:szCs w:val="21"/>
          <w:highlight w:val="none"/>
          <w:lang w:bidi="ar"/>
        </w:rPr>
        <w:t>4</w:t>
      </w:r>
      <w:bookmarkEnd w:id="957"/>
      <w:r>
        <w:rPr>
          <w:rFonts w:hint="eastAsia" w:ascii="宋体" w:hAnsi="宋体" w:cs="宋体"/>
          <w:color w:val="auto"/>
          <w:szCs w:val="21"/>
          <w:highlight w:val="none"/>
          <w:lang w:bidi="ar"/>
        </w:rPr>
        <w:t>.3  工程总承包项目经理</w:t>
      </w:r>
      <w:bookmarkEnd w:id="958"/>
      <w:bookmarkEnd w:id="959"/>
      <w:bookmarkEnd w:id="960"/>
    </w:p>
    <w:p w14:paraId="477A2D05">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61" w:name="_Ref532351726"/>
      <w:bookmarkEnd w:id="961"/>
      <w:r>
        <w:rPr>
          <w:rFonts w:hint="eastAsia" w:ascii="宋体" w:hAnsi="宋体" w:cs="宋体"/>
          <w:color w:val="auto"/>
          <w:szCs w:val="21"/>
          <w:highlight w:val="none"/>
          <w:lang w:bidi="ar"/>
        </w:rPr>
        <w:t>4.3.1工程总承包项目经理应为合同当事人所确认的人选，并在专用合同条件中明确工程总承包项目经理的姓名、注册执业资格或职称、联系方式及授权范围等事项。工程总承包项目经理应具备履行其职责所需的资格、经验和能力，并为承包人正式聘用的员工，承包人应向发包人提交工程总承包项目经理与承包人之间的劳动合同，以及承包人为工程总承包项目经理缴纳社会保险的有效证明。承包人不提交上述文件的，工程总承包项目经理无权履行职责，发包人有权要求更换工程总承包项目经理，由此增加的费用和（或）延误的工期由承包人承担。同时，发包人有权根据专用合同条件约定要求承包人承担违约责任。</w:t>
      </w:r>
    </w:p>
    <w:p w14:paraId="216B29B2">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62" w:name="_Ref532689263"/>
      <w:bookmarkEnd w:id="962"/>
      <w:r>
        <w:rPr>
          <w:rFonts w:hint="eastAsia" w:ascii="宋体" w:hAnsi="宋体" w:cs="宋体"/>
          <w:color w:val="auto"/>
          <w:szCs w:val="21"/>
          <w:highlight w:val="none"/>
          <w:lang w:bidi="ar"/>
        </w:rPr>
        <w:t>4.3.2承包人应按合同协议书的约定指派工程总承包项目经理，并在约定的期限内到职。工程总承包项目经理不得同时担任其他工程项目的工程总承包项目经理或施工工程总承包项目经理（含施工总承包工程、专业承包工程）。工程在现场实施的全部时间内，工程总承包项目经理每月在施工现场时间不得少于专用合同条件约定的天数。工程总承包项目经理确需离开施工现场时，应事先通知工程师，并取得发包人的书面同意。工程总承包项目经理未经批准擅自离开施工现场的，承包人应按照专用合同条件的约定承担违约责任。工程总承包项目经理的通知中应当载明临时代行其职责的人员的注册执业资格、管理经验等资料，该人员应具备履行相应职责的资格、经验和能力。</w:t>
      </w:r>
    </w:p>
    <w:p w14:paraId="62CAB905">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63" w:name="_Ref532689178"/>
      <w:bookmarkEnd w:id="963"/>
      <w:bookmarkStart w:id="964" w:name="_Ref531952112"/>
      <w:r>
        <w:rPr>
          <w:rFonts w:hint="eastAsia" w:ascii="宋体" w:hAnsi="宋体" w:cs="宋体"/>
          <w:color w:val="auto"/>
          <w:szCs w:val="21"/>
          <w:highlight w:val="none"/>
          <w:lang w:bidi="ar"/>
        </w:rPr>
        <w:t>4</w:t>
      </w:r>
      <w:bookmarkEnd w:id="964"/>
      <w:r>
        <w:rPr>
          <w:rFonts w:hint="eastAsia" w:ascii="宋体" w:hAnsi="宋体" w:cs="宋体"/>
          <w:color w:val="auto"/>
          <w:szCs w:val="21"/>
          <w:highlight w:val="none"/>
          <w:lang w:bidi="ar"/>
        </w:rPr>
        <w:t>.3.3承包人应根据本合同的约定授予工程总承包项目经理代表承包人履行合同所需的权利，工程总承包项目经理权限以专用合同条件中约定的权限为准。经承包人授权后，工程总承包项目经理应按合同约定以及工程师按第3.5款[指示]作出的指示，代表承包人负责组织合同的实施。在紧急情况下，且无法与发包人和工程师取得联系时，工程总承包项目经理有权采取必要的措施保证人身、工程和财产的安全，但须在事后48小时内向工程师送交书面报告。</w:t>
      </w:r>
    </w:p>
    <w:p w14:paraId="6E3B55D9">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65" w:name="_Ref4426412"/>
      <w:bookmarkEnd w:id="965"/>
      <w:r>
        <w:rPr>
          <w:rFonts w:hint="eastAsia" w:ascii="宋体" w:hAnsi="宋体" w:cs="宋体"/>
          <w:color w:val="auto"/>
          <w:szCs w:val="21"/>
          <w:highlight w:val="none"/>
          <w:lang w:bidi="ar"/>
        </w:rPr>
        <w:t>4.3.4承包人需要更换工程总承包项目经理的，应提前14天书面通知发包人并抄送工程师，征得发包人书面同意。通知中应当载明继任工程总承包项目经理的注册执业资格、管理经验等资料，继任工程总承包项目经理继续履行本合同约定的职责。未经发包人书面同意，承包人不得擅自更换工程总承包项目经理，在发包人未予以书面回复期间内，工程总承包项目经理将继续履行其职责。工程总承包项目经理突发丧失履行职务能力的，承包人应当及时委派一位具有相应资格能力的人员担任临时工程总承包项目经理，履行工程总承包项目经理的职责，临时工程总承包项目经理将履行职责直至发包人同意新的工程总承包项目经理的任命之日止。承包人擅自更换工程总承包项目经理的，应按照专用合同条件的约定承担违约责任。</w:t>
      </w:r>
    </w:p>
    <w:p w14:paraId="55CE28C4">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66" w:name="_Ref531952137"/>
      <w:bookmarkEnd w:id="966"/>
      <w:r>
        <w:rPr>
          <w:rFonts w:hint="eastAsia" w:ascii="宋体" w:hAnsi="宋体" w:cs="宋体"/>
          <w:color w:val="auto"/>
          <w:szCs w:val="21"/>
          <w:highlight w:val="none"/>
          <w:lang w:bidi="ar"/>
        </w:rPr>
        <w:t>4.3.5发包人有权书面通知承包人要求更换其认为不称职的工程总承包项目经理，通知中应当载明要求更换的理由。承包人应在接到更换通知后14天内向发包人提出书面的改进报告。如承包人没有提出改进报告，应在收到更换通知后</w:t>
      </w:r>
      <w:r>
        <w:rPr>
          <w:rFonts w:ascii="宋体" w:hAnsi="宋体" w:cs="宋体"/>
          <w:color w:val="auto"/>
          <w:szCs w:val="21"/>
          <w:highlight w:val="none"/>
          <w:lang w:bidi="ar"/>
        </w:rPr>
        <w:t>28天内更换</w:t>
      </w:r>
      <w:r>
        <w:rPr>
          <w:rFonts w:hint="eastAsia" w:ascii="宋体" w:hAnsi="宋体" w:cs="宋体"/>
          <w:color w:val="auto"/>
          <w:szCs w:val="21"/>
          <w:highlight w:val="none"/>
          <w:lang w:bidi="ar"/>
        </w:rPr>
        <w:t>工程总承包</w:t>
      </w:r>
      <w:r>
        <w:rPr>
          <w:rFonts w:ascii="宋体" w:hAnsi="宋体" w:cs="宋体"/>
          <w:color w:val="auto"/>
          <w:szCs w:val="21"/>
          <w:highlight w:val="none"/>
          <w:lang w:bidi="ar"/>
        </w:rPr>
        <w:t>项目经理。</w:t>
      </w:r>
      <w:r>
        <w:rPr>
          <w:rFonts w:hint="eastAsia" w:ascii="宋体" w:hAnsi="宋体" w:cs="宋体"/>
          <w:color w:val="auto"/>
          <w:szCs w:val="21"/>
          <w:highlight w:val="none"/>
          <w:lang w:bidi="ar"/>
        </w:rPr>
        <w:t>发包人收到改进报告后仍要求更换的，承包人应在接到第二次更换通知的28天内进行更换，并将新任命的工程总承包项目经理的注册执业资格、管理经验等资料书面通知发包人。继任工程总承包项目经理继续履行本合同约定的职责。承包人无正当理由拒绝更换工程总承包项目经理的，应按照专用合同条件的约定承担违约责任。</w:t>
      </w:r>
    </w:p>
    <w:p w14:paraId="29CE42D3">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67" w:name="_Ref122620"/>
      <w:bookmarkEnd w:id="967"/>
      <w:r>
        <w:rPr>
          <w:rFonts w:hint="eastAsia" w:ascii="宋体" w:hAnsi="宋体" w:cs="宋体"/>
          <w:color w:val="auto"/>
          <w:szCs w:val="21"/>
          <w:highlight w:val="none"/>
          <w:lang w:bidi="ar"/>
        </w:rPr>
        <w:t>4.3.6工程总承包项目经理因特殊情况授权其下属人员履行其某项工作职责的，该下属人员应具备履行相应职责的能力，并应事先将上述人员的姓名、注册执业资格、管理经验等信息和授权范围书面通知发包人并抄送工程师，征得发包人书面同意。</w:t>
      </w:r>
    </w:p>
    <w:p w14:paraId="524B204D">
      <w:pPr>
        <w:widowControl/>
        <w:wordWrap w:val="0"/>
        <w:topLinePunct/>
        <w:adjustRightInd w:val="0"/>
        <w:snapToGrid w:val="0"/>
        <w:spacing w:after="163" w:afterLines="50" w:line="360" w:lineRule="auto"/>
        <w:outlineLvl w:val="2"/>
        <w:rPr>
          <w:rFonts w:ascii="宋体" w:hAnsi="宋体" w:cs="宋体"/>
          <w:color w:val="auto"/>
          <w:highlight w:val="none"/>
        </w:rPr>
      </w:pPr>
      <w:bookmarkStart w:id="968" w:name="_Ref531952175"/>
      <w:bookmarkEnd w:id="968"/>
      <w:bookmarkStart w:id="969" w:name="_Ref531952172"/>
      <w:bookmarkEnd w:id="969"/>
      <w:bookmarkStart w:id="970" w:name="_Toc20171756"/>
      <w:bookmarkStart w:id="971" w:name="_Toc58860195"/>
      <w:bookmarkStart w:id="972" w:name="_Toc2234"/>
      <w:bookmarkStart w:id="973" w:name="_Toc51766608"/>
      <w:r>
        <w:rPr>
          <w:rFonts w:hint="eastAsia" w:ascii="宋体" w:hAnsi="宋体" w:cs="宋体"/>
          <w:color w:val="auto"/>
          <w:szCs w:val="21"/>
          <w:highlight w:val="none"/>
          <w:lang w:bidi="ar"/>
        </w:rPr>
        <w:t xml:space="preserve">4.4  </w:t>
      </w:r>
      <w:bookmarkEnd w:id="970"/>
      <w:r>
        <w:rPr>
          <w:rFonts w:hint="eastAsia" w:ascii="宋体" w:hAnsi="宋体" w:cs="宋体"/>
          <w:color w:val="auto"/>
          <w:szCs w:val="21"/>
          <w:highlight w:val="none"/>
          <w:lang w:bidi="ar"/>
        </w:rPr>
        <w:t>承包人人员</w:t>
      </w:r>
      <w:bookmarkEnd w:id="971"/>
      <w:bookmarkEnd w:id="972"/>
      <w:bookmarkEnd w:id="973"/>
    </w:p>
    <w:p w14:paraId="106740D5">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74" w:name="_Ref531952185"/>
      <w:bookmarkEnd w:id="974"/>
      <w:r>
        <w:rPr>
          <w:rFonts w:hint="eastAsia" w:ascii="宋体" w:hAnsi="宋体" w:cs="宋体"/>
          <w:color w:val="auto"/>
          <w:szCs w:val="21"/>
          <w:highlight w:val="none"/>
          <w:lang w:bidi="ar"/>
        </w:rPr>
        <w:t>4.4.1人员安排</w:t>
      </w:r>
    </w:p>
    <w:p w14:paraId="15EAC8F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人员的资质、数量、配置和管理应能满足工程实施的需要。除专用合同条件另有约定外，承包人应在接到开始工作通知之日起14天内，向工程师提交承包人的项目管理机构以及人员安排的报告，其内容应包括管理机构的设置、各主要岗位的关键人员名单及注册执业资格等证明其具备担任关键人员能力的相关文件，以及设计人员和各工种技术负责人的安排状况。</w:t>
      </w:r>
    </w:p>
    <w:p w14:paraId="606DBC5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关键人员</w:t>
      </w:r>
      <w:bookmarkStart w:id="975" w:name="_Hlk16210335"/>
      <w:r>
        <w:rPr>
          <w:rFonts w:hint="eastAsia" w:ascii="宋体" w:hAnsi="宋体" w:cs="宋体"/>
          <w:color w:val="auto"/>
          <w:kern w:val="0"/>
          <w:szCs w:val="21"/>
          <w:highlight w:val="none"/>
          <w:lang w:bidi="ar"/>
        </w:rPr>
        <w:t>是发包人及承包人一致认为对工程建设起重要作用的承包人主要管理人员或技术人员。关键人员的具体范围由发包人及承包人在附件</w:t>
      </w:r>
      <w:r>
        <w:rPr>
          <w:rFonts w:ascii="宋体" w:hAnsi="宋体" w:cs="宋体"/>
          <w:color w:val="auto"/>
          <w:kern w:val="0"/>
          <w:szCs w:val="21"/>
          <w:highlight w:val="none"/>
          <w:lang w:bidi="ar"/>
        </w:rPr>
        <w:t>5</w:t>
      </w:r>
      <w:r>
        <w:rPr>
          <w:rFonts w:hint="eastAsia" w:ascii="宋体" w:hAnsi="宋体" w:cs="宋体"/>
          <w:color w:val="auto"/>
          <w:kern w:val="0"/>
          <w:szCs w:val="21"/>
          <w:highlight w:val="none"/>
          <w:lang w:bidi="ar"/>
        </w:rPr>
        <w:t>《承包人主要管理人员表》中另行约定。</w:t>
      </w:r>
      <w:bookmarkEnd w:id="975"/>
    </w:p>
    <w:p w14:paraId="7BF94C47">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76" w:name="_Ref4426641"/>
      <w:bookmarkEnd w:id="976"/>
      <w:bookmarkStart w:id="977" w:name="_Ref531952211"/>
      <w:r>
        <w:rPr>
          <w:rFonts w:hint="eastAsia" w:ascii="宋体" w:hAnsi="宋体" w:cs="宋体"/>
          <w:color w:val="auto"/>
          <w:szCs w:val="21"/>
          <w:highlight w:val="none"/>
          <w:lang w:bidi="ar"/>
        </w:rPr>
        <w:t>4</w:t>
      </w:r>
      <w:bookmarkEnd w:id="977"/>
      <w:r>
        <w:rPr>
          <w:rFonts w:hint="eastAsia" w:ascii="宋体" w:hAnsi="宋体" w:cs="宋体"/>
          <w:color w:val="auto"/>
          <w:szCs w:val="21"/>
          <w:highlight w:val="none"/>
          <w:lang w:bidi="ar"/>
        </w:rPr>
        <w:t>.4.2关键人员更换</w:t>
      </w:r>
    </w:p>
    <w:p w14:paraId="40A851C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派驻到施工现场的关键人员应相对稳定。承包人更换关键人员时，应提前14天将继任关键人员信息及相关证明文件提交给工程师，并由工程师报发包人征求同意。在发包人未予以书面回复期间内，关键人员将继续履行其职务。关键人员突发丧失履行职务能力的，承包人应当及时委派一位具有相应资格能力的人员临时继任该关键人员职位，履行该关键人员职责，临时继任关键人员将履行职责直至发包人同意新的关键人员任命之日止。承包人擅自更换关键人员，应按照专用合同条件约定承担违约责任。</w:t>
      </w:r>
    </w:p>
    <w:p w14:paraId="5FC20D5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师对于承包人关键人员的资格或能力有异议的，承包人应提供资料证明被质疑人员有能力完成其岗位工作或不存在工程师所质疑的情形。工程师指示撤换不能按照合同约定履行职责及义务的主要施工管理人员的，承包人应当撤换。承包人无正当理由拒绝撤换的，应按照专用合同条件的约定承担违约责任。</w:t>
      </w:r>
    </w:p>
    <w:p w14:paraId="5D055B17">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78" w:name="_Ref531952227"/>
      <w:bookmarkEnd w:id="978"/>
      <w:r>
        <w:rPr>
          <w:rFonts w:hint="eastAsia" w:ascii="宋体" w:hAnsi="宋体" w:cs="宋体"/>
          <w:color w:val="auto"/>
          <w:szCs w:val="21"/>
          <w:highlight w:val="none"/>
          <w:lang w:bidi="ar"/>
        </w:rPr>
        <w:t>4.4.3现场管理关键人员在岗要求</w:t>
      </w:r>
    </w:p>
    <w:p w14:paraId="66F3523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承包人的现场管理关键人员离开施工现场每月累计不超过7天的，应报工程师同意；离开施工现场每月累计超过7天的，应书面通知发包人并抄送工程师，征得发包人书面同意。现场管理关键人员因故离开施工现场的，可授权有经验的人员临时代行其职责，但承包人应将被授权人员信息及授权范围书面通知发包人并取得其同意。现场管理关键人员未经工程师或发包人同意擅自离开施工现场的，应按照专用合同条件约定承担违约责任。</w:t>
      </w:r>
    </w:p>
    <w:p w14:paraId="5054A766">
      <w:pPr>
        <w:widowControl/>
        <w:wordWrap w:val="0"/>
        <w:topLinePunct/>
        <w:adjustRightInd w:val="0"/>
        <w:snapToGrid w:val="0"/>
        <w:spacing w:after="163" w:afterLines="50" w:line="360" w:lineRule="auto"/>
        <w:outlineLvl w:val="2"/>
        <w:rPr>
          <w:rFonts w:ascii="宋体" w:hAnsi="宋体" w:cs="宋体"/>
          <w:color w:val="auto"/>
          <w:highlight w:val="none"/>
        </w:rPr>
      </w:pPr>
      <w:bookmarkStart w:id="979" w:name="_Toc20171757"/>
      <w:bookmarkEnd w:id="979"/>
      <w:bookmarkStart w:id="980" w:name="_Ref531952259"/>
      <w:bookmarkEnd w:id="980"/>
      <w:bookmarkStart w:id="981" w:name="_Ref531952262"/>
      <w:bookmarkStart w:id="982" w:name="_Toc51766609"/>
      <w:bookmarkStart w:id="983" w:name="_Toc58860196"/>
      <w:bookmarkStart w:id="984" w:name="_Toc26027"/>
      <w:r>
        <w:rPr>
          <w:rFonts w:hint="eastAsia" w:ascii="宋体" w:hAnsi="宋体" w:cs="宋体"/>
          <w:color w:val="auto"/>
          <w:szCs w:val="21"/>
          <w:highlight w:val="none"/>
          <w:lang w:bidi="ar"/>
        </w:rPr>
        <w:t>4</w:t>
      </w:r>
      <w:bookmarkEnd w:id="981"/>
      <w:r>
        <w:rPr>
          <w:rFonts w:hint="eastAsia" w:ascii="宋体" w:hAnsi="宋体" w:cs="宋体"/>
          <w:color w:val="auto"/>
          <w:szCs w:val="21"/>
          <w:highlight w:val="none"/>
          <w:lang w:bidi="ar"/>
        </w:rPr>
        <w:t>.5  分包</w:t>
      </w:r>
      <w:bookmarkEnd w:id="982"/>
      <w:bookmarkEnd w:id="983"/>
      <w:bookmarkEnd w:id="984"/>
      <w:r>
        <w:rPr>
          <w:rFonts w:hint="eastAsia" w:ascii="宋体" w:hAnsi="宋体" w:cs="宋体"/>
          <w:color w:val="auto"/>
          <w:szCs w:val="21"/>
          <w:highlight w:val="none"/>
          <w:lang w:bidi="ar"/>
        </w:rPr>
        <w:t xml:space="preserve"> </w:t>
      </w:r>
    </w:p>
    <w:p w14:paraId="5E0E02CF">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85" w:name="_Ref531952273"/>
      <w:bookmarkEnd w:id="985"/>
      <w:r>
        <w:rPr>
          <w:rFonts w:hint="eastAsia" w:ascii="宋体" w:hAnsi="宋体" w:cs="宋体"/>
          <w:color w:val="auto"/>
          <w:szCs w:val="21"/>
          <w:highlight w:val="none"/>
          <w:lang w:bidi="ar"/>
        </w:rPr>
        <w:t>4.5.1一般约定</w:t>
      </w:r>
    </w:p>
    <w:p w14:paraId="745651E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不得将其承包的全部工程转包给第三人，或将其承包的全部工程肢解后以分包的名义转包给第三人。承包人不得将法律或专用合同条件中禁止分包的工作事项分包给第三人，不得以劳务分包的名义转包或违法分包工程。</w:t>
      </w:r>
    </w:p>
    <w:p w14:paraId="48B7F232">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86" w:name="_Ref531952286"/>
      <w:bookmarkEnd w:id="986"/>
      <w:r>
        <w:rPr>
          <w:rFonts w:hint="eastAsia" w:ascii="宋体" w:hAnsi="宋体" w:cs="宋体"/>
          <w:color w:val="auto"/>
          <w:szCs w:val="21"/>
          <w:highlight w:val="none"/>
          <w:lang w:bidi="ar"/>
        </w:rPr>
        <w:t>4.5.2分包的确定</w:t>
      </w:r>
    </w:p>
    <w:p w14:paraId="7C432F6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承包人应按照专用合同条件约定对工作事项进行分包，确定分包人。</w:t>
      </w:r>
    </w:p>
    <w:p w14:paraId="1A03578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专用合同条件未列出的分包事项，承包人可在工程实施阶段分批分期就分包事项向发包人提交申请，发包人在接到分包事项申请后的14天内，予以批准或提出意见。未经发包人同意，承包人不得将提出的拟分包事项对外分包。发包人未能在14天内批准亦未提出意见的，承包人有权将提出的拟分包事项对外分包，但应在分包人确定后通知发包人。</w:t>
      </w:r>
    </w:p>
    <w:p w14:paraId="0C9C1FEC">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4.5.3分包人资质</w:t>
      </w:r>
    </w:p>
    <w:p w14:paraId="1C375BB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分包人应符合国家法律规定的资质等级，否则不能作为分包人。承包人有义务对分包人的资质进行审查。</w:t>
      </w:r>
    </w:p>
    <w:p w14:paraId="3389BD85">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4.5.4分包管理</w:t>
      </w:r>
    </w:p>
    <w:p w14:paraId="6C769B8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当对分包人的工作进行必要的协调与管理，确保分包人严格执行国家有关分包事项的管理规定。承包人应向工程师提交分包人的主要管理人员表，并对分包人的工作人员进行实名制管理，包括但不限于进出场管理、登记造册以及各种证照的办理。</w:t>
      </w:r>
    </w:p>
    <w:p w14:paraId="1AF020CB">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87" w:name="_Ref531952298"/>
      <w:bookmarkEnd w:id="987"/>
      <w:r>
        <w:rPr>
          <w:rFonts w:hint="eastAsia" w:ascii="宋体" w:hAnsi="宋体" w:cs="宋体"/>
          <w:color w:val="auto"/>
          <w:szCs w:val="21"/>
          <w:highlight w:val="none"/>
          <w:lang w:bidi="ar"/>
        </w:rPr>
        <w:t>4.5.5分包合同价款支付</w:t>
      </w:r>
    </w:p>
    <w:p w14:paraId="4C0D6E1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（1）除本项第（2）目约定的情况或专用合同条件另有约定外，分包合同价款由承包人与分包人结算，未经承包人同意，发包人不得向分包人支付分包合同价款；</w:t>
      </w:r>
    </w:p>
    <w:p w14:paraId="486FFC39">
      <w:pPr>
        <w:widowControl/>
        <w:adjustRightInd w:val="0"/>
        <w:snapToGrid w:val="0"/>
        <w:spacing w:after="163" w:afterLines="50" w:line="360" w:lineRule="auto"/>
        <w:ind w:firstLine="420" w:firstLineChars="200"/>
        <w:rPr>
          <w:rFonts w:ascii="宋体" w:hAnsi="宋体" w:cs="宋体"/>
          <w:color w:val="auto"/>
          <w:kern w:val="0"/>
          <w:highlight w:val="none"/>
        </w:rPr>
      </w:pPr>
      <w:bookmarkStart w:id="988" w:name="_Ref4613798"/>
      <w:bookmarkEnd w:id="988"/>
      <w:r>
        <w:rPr>
          <w:rFonts w:hint="eastAsia" w:ascii="宋体" w:hAnsi="宋体" w:cs="宋体"/>
          <w:color w:val="auto"/>
          <w:kern w:val="0"/>
          <w:szCs w:val="21"/>
          <w:highlight w:val="none"/>
          <w:lang w:bidi="ar"/>
        </w:rPr>
        <w:t>（2）生效法律文书要求发包人向分包人支付分包合同价款的，发包人有权从应付承包人工程款中扣除该部分款项，将扣款直接支付给分包人，并书面通知承包人。</w:t>
      </w:r>
    </w:p>
    <w:p w14:paraId="00BDBFA7">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4.5.6责任承担</w:t>
      </w:r>
    </w:p>
    <w:p w14:paraId="2F50B12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承包人对分包人的行为向发包人负责，承包人和分包人就分包工作向发包人承担连带责任。</w:t>
      </w:r>
    </w:p>
    <w:p w14:paraId="75FA4BB8">
      <w:pPr>
        <w:widowControl/>
        <w:wordWrap w:val="0"/>
        <w:topLinePunct/>
        <w:adjustRightInd w:val="0"/>
        <w:snapToGrid w:val="0"/>
        <w:spacing w:after="163" w:afterLines="50" w:line="360" w:lineRule="auto"/>
        <w:outlineLvl w:val="2"/>
        <w:rPr>
          <w:rFonts w:ascii="宋体" w:hAnsi="宋体" w:cs="宋体"/>
          <w:color w:val="auto"/>
          <w:highlight w:val="none"/>
        </w:rPr>
      </w:pPr>
      <w:bookmarkStart w:id="989" w:name="_Ref4426916"/>
      <w:bookmarkEnd w:id="989"/>
      <w:bookmarkStart w:id="990" w:name="_Ref531952317"/>
      <w:bookmarkEnd w:id="990"/>
      <w:bookmarkStart w:id="991" w:name="_Toc20171758"/>
      <w:bookmarkEnd w:id="991"/>
      <w:bookmarkStart w:id="992" w:name="_Ref4768805"/>
      <w:bookmarkEnd w:id="992"/>
      <w:bookmarkStart w:id="993" w:name="_Ref531952321"/>
      <w:bookmarkStart w:id="994" w:name="_Toc30071"/>
      <w:bookmarkStart w:id="995" w:name="_Toc51766610"/>
      <w:bookmarkStart w:id="996" w:name="_Toc58860197"/>
      <w:r>
        <w:rPr>
          <w:rFonts w:hint="eastAsia" w:ascii="宋体" w:hAnsi="宋体" w:cs="宋体"/>
          <w:color w:val="auto"/>
          <w:szCs w:val="21"/>
          <w:highlight w:val="none"/>
          <w:lang w:bidi="ar"/>
        </w:rPr>
        <w:t>4</w:t>
      </w:r>
      <w:bookmarkEnd w:id="993"/>
      <w:r>
        <w:rPr>
          <w:rFonts w:hint="eastAsia" w:ascii="宋体" w:hAnsi="宋体" w:cs="宋体"/>
          <w:color w:val="auto"/>
          <w:szCs w:val="21"/>
          <w:highlight w:val="none"/>
          <w:lang w:bidi="ar"/>
        </w:rPr>
        <w:t>.6  联合体</w:t>
      </w:r>
      <w:bookmarkEnd w:id="994"/>
      <w:bookmarkEnd w:id="995"/>
      <w:bookmarkEnd w:id="996"/>
    </w:p>
    <w:p w14:paraId="65ED0ECF">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997" w:name="_Hlk16235129"/>
      <w:bookmarkEnd w:id="997"/>
      <w:r>
        <w:rPr>
          <w:rFonts w:hint="eastAsia" w:ascii="宋体" w:hAnsi="宋体" w:cs="宋体"/>
          <w:color w:val="auto"/>
          <w:szCs w:val="21"/>
          <w:highlight w:val="none"/>
          <w:lang w:bidi="ar"/>
        </w:rPr>
        <w:t>4.6.1经发包人同意，以联合体方式承包工程的，联合体各方应共同与发包人订立合同协议书。联合体各方应为履行合同向发包人承担连带责任。</w:t>
      </w:r>
    </w:p>
    <w:p w14:paraId="736468FA">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4.6.2承包人应在专用合同条件中明确联合体各成员的分工、费用收取、发票开具等事项。联合体各成员分工承担的工作内容必须与适用法律规定的该成员的资质资格相适应，并应具有相应的项目管理体系和项目管理能力，且不应根据其就承包工作的分工而减免对发包人的任何合同责任。</w:t>
      </w:r>
    </w:p>
    <w:p w14:paraId="5F0D3F35">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4.6.3联合体协议经发包人确认后作为合同附件。在履行合同过程中，未经发包人同意，不得变更联合体成员和其负责的工作范围，或者修改联合体协议中与本合同履行相关的内容。</w:t>
      </w:r>
    </w:p>
    <w:p w14:paraId="344564C8">
      <w:pPr>
        <w:widowControl/>
        <w:wordWrap w:val="0"/>
        <w:topLinePunct/>
        <w:adjustRightInd w:val="0"/>
        <w:snapToGrid w:val="0"/>
        <w:spacing w:after="163" w:afterLines="50" w:line="360" w:lineRule="auto"/>
        <w:outlineLvl w:val="2"/>
        <w:rPr>
          <w:rFonts w:ascii="宋体" w:hAnsi="宋体" w:cs="宋体"/>
          <w:color w:val="auto"/>
          <w:highlight w:val="none"/>
        </w:rPr>
      </w:pPr>
      <w:bookmarkStart w:id="998" w:name="_Ref11926631"/>
      <w:bookmarkEnd w:id="998"/>
      <w:bookmarkStart w:id="999" w:name="_Ref11926629"/>
      <w:bookmarkEnd w:id="999"/>
      <w:bookmarkStart w:id="1000" w:name="_Toc20171759"/>
      <w:bookmarkStart w:id="1001" w:name="_Toc8298"/>
      <w:bookmarkStart w:id="1002" w:name="_Toc58860198"/>
      <w:bookmarkStart w:id="1003" w:name="_Toc51766611"/>
      <w:r>
        <w:rPr>
          <w:rFonts w:hint="eastAsia" w:ascii="宋体" w:hAnsi="宋体" w:cs="宋体"/>
          <w:color w:val="auto"/>
          <w:szCs w:val="21"/>
          <w:highlight w:val="none"/>
          <w:lang w:bidi="ar"/>
        </w:rPr>
        <w:t>4</w:t>
      </w:r>
      <w:bookmarkEnd w:id="1000"/>
      <w:r>
        <w:rPr>
          <w:rFonts w:hint="eastAsia" w:ascii="宋体" w:hAnsi="宋体" w:cs="宋体"/>
          <w:color w:val="auto"/>
          <w:szCs w:val="21"/>
          <w:highlight w:val="none"/>
          <w:lang w:bidi="ar"/>
        </w:rPr>
        <w:t>.7  承包人现场查勘</w:t>
      </w:r>
      <w:bookmarkEnd w:id="1001"/>
      <w:bookmarkEnd w:id="1002"/>
      <w:bookmarkEnd w:id="1003"/>
    </w:p>
    <w:p w14:paraId="4CBF815B">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4.7.1除专用合同条件另有约定外，承包人应对基于发包人提交的基础资料所做出的解释和推断负责，因基础资料存在错误、遗漏导致承包人解释或推断失实的，按照第2.3款[提供基础资料]的规定承担责任。承包人发现基础资料中存在明显错误或疏忽的，应及时书面通知发包人。</w:t>
      </w:r>
    </w:p>
    <w:p w14:paraId="4156DC61">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4.7.2承包人应对现场和工程实施条件进行查勘，并充分了解工程所在地的气象条件、交通条件、风俗习惯以及其他与完成合同工作有关的其他资料。承包人提交投标文件，视为承包人已对施工现场及周围环境进行了踏勘，并已充分了解评估施工现场及周围环境对工程可能产生的影响，自愿承担相应风险与责任。在全部合同工作中，视为承包人已充分估计了应承担的责任和风险，但属于第</w:t>
      </w:r>
      <w:r>
        <w:rPr>
          <w:rFonts w:ascii="宋体" w:hAnsi="宋体" w:cs="宋体"/>
          <w:color w:val="auto"/>
          <w:szCs w:val="21"/>
          <w:highlight w:val="none"/>
          <w:lang w:bidi="ar"/>
        </w:rPr>
        <w:t>4.8</w:t>
      </w:r>
      <w:r>
        <w:rPr>
          <w:rFonts w:hint="eastAsia" w:ascii="宋体" w:hAnsi="宋体" w:cs="宋体"/>
          <w:color w:val="auto"/>
          <w:szCs w:val="21"/>
          <w:highlight w:val="none"/>
          <w:lang w:bidi="ar"/>
        </w:rPr>
        <w:t>款</w:t>
      </w:r>
      <w:r>
        <w:rPr>
          <w:rFonts w:ascii="宋体" w:hAnsi="宋体" w:cs="宋体"/>
          <w:color w:val="auto"/>
          <w:szCs w:val="21"/>
          <w:highlight w:val="none"/>
          <w:lang w:bidi="ar"/>
        </w:rPr>
        <w:t>[</w:t>
      </w:r>
      <w:r>
        <w:rPr>
          <w:rFonts w:hint="eastAsia" w:ascii="宋体" w:hAnsi="宋体" w:cs="宋体"/>
          <w:color w:val="auto"/>
          <w:szCs w:val="21"/>
          <w:highlight w:val="none"/>
          <w:lang w:bidi="ar"/>
        </w:rPr>
        <w:t>不可预见的困难</w:t>
      </w:r>
      <w:r>
        <w:rPr>
          <w:rFonts w:ascii="宋体" w:hAnsi="宋体" w:cs="宋体"/>
          <w:color w:val="auto"/>
          <w:szCs w:val="21"/>
          <w:highlight w:val="none"/>
          <w:lang w:bidi="ar"/>
        </w:rPr>
        <w:t>]约定的情形除外</w:t>
      </w:r>
      <w:r>
        <w:rPr>
          <w:rFonts w:hint="eastAsia" w:ascii="宋体" w:hAnsi="宋体" w:cs="宋体"/>
          <w:color w:val="auto"/>
          <w:szCs w:val="21"/>
          <w:highlight w:val="none"/>
          <w:lang w:bidi="ar"/>
        </w:rPr>
        <w:t>。</w:t>
      </w:r>
    </w:p>
    <w:p w14:paraId="67544F18">
      <w:pPr>
        <w:widowControl/>
        <w:wordWrap w:val="0"/>
        <w:topLinePunct/>
        <w:adjustRightInd w:val="0"/>
        <w:snapToGrid w:val="0"/>
        <w:spacing w:after="163" w:afterLines="50" w:line="360" w:lineRule="auto"/>
        <w:outlineLvl w:val="2"/>
        <w:rPr>
          <w:rFonts w:ascii="宋体" w:hAnsi="宋体" w:cs="宋体"/>
          <w:color w:val="auto"/>
          <w:highlight w:val="none"/>
        </w:rPr>
      </w:pPr>
      <w:bookmarkStart w:id="1004" w:name="_Ref11918626"/>
      <w:bookmarkEnd w:id="1004"/>
      <w:bookmarkStart w:id="1005" w:name="_Toc20171760"/>
      <w:bookmarkEnd w:id="1005"/>
      <w:bookmarkStart w:id="1006" w:name="_Ref11918789"/>
      <w:bookmarkEnd w:id="1006"/>
      <w:bookmarkStart w:id="1007" w:name="_Ref11918693"/>
      <w:bookmarkStart w:id="1008" w:name="_Toc51766612"/>
      <w:bookmarkStart w:id="1009" w:name="_Toc58860199"/>
      <w:bookmarkStart w:id="1010" w:name="_Toc26110"/>
      <w:r>
        <w:rPr>
          <w:rFonts w:hint="eastAsia" w:ascii="宋体" w:hAnsi="宋体" w:cs="宋体"/>
          <w:color w:val="auto"/>
          <w:szCs w:val="21"/>
          <w:highlight w:val="none"/>
          <w:lang w:bidi="ar"/>
        </w:rPr>
        <w:t>4</w:t>
      </w:r>
      <w:bookmarkEnd w:id="1007"/>
      <w:r>
        <w:rPr>
          <w:rFonts w:hint="eastAsia" w:ascii="宋体" w:hAnsi="宋体" w:cs="宋体"/>
          <w:color w:val="auto"/>
          <w:szCs w:val="21"/>
          <w:highlight w:val="none"/>
          <w:lang w:bidi="ar"/>
        </w:rPr>
        <w:t>.8  不可预见的困难</w:t>
      </w:r>
      <w:bookmarkEnd w:id="1008"/>
      <w:bookmarkEnd w:id="1009"/>
      <w:bookmarkEnd w:id="1010"/>
      <w:r>
        <w:rPr>
          <w:rFonts w:hint="eastAsia" w:ascii="宋体" w:hAnsi="宋体" w:cs="宋体"/>
          <w:color w:val="auto"/>
          <w:szCs w:val="21"/>
          <w:highlight w:val="none"/>
          <w:lang w:bidi="ar"/>
        </w:rPr>
        <w:t xml:space="preserve"> </w:t>
      </w:r>
    </w:p>
    <w:p w14:paraId="4EFE021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不可预见的困难是指有经验的承包人在施工现场遇到的不可预见的自然物质条件、非自然的物质障碍和污染物，包括地表以下物质条件和水文条件以及专用合同条件约定的其他情形，但不包括气候条件。</w:t>
      </w:r>
    </w:p>
    <w:p w14:paraId="1AF725C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遇到不可预见的困难时，应采取克服不可预见的困难的合理措施继续施工，并及时通知工程师并抄送发包人。通知应载明不可预见的困难的内容、承包人认为不可预见的理由以及承包人制定的处理方案。工程师应当及时发出指示，指示构成变更的，按第13条[变更与调整]约定执行。承包人因采取合理措施而增加的费用和（或）延误的工期由发包人承担。</w:t>
      </w:r>
    </w:p>
    <w:p w14:paraId="366E7E37">
      <w:pPr>
        <w:widowControl/>
        <w:wordWrap w:val="0"/>
        <w:topLinePunct/>
        <w:adjustRightInd w:val="0"/>
        <w:snapToGrid w:val="0"/>
        <w:spacing w:after="163" w:afterLines="50" w:line="360" w:lineRule="auto"/>
        <w:outlineLvl w:val="2"/>
        <w:rPr>
          <w:rFonts w:ascii="宋体" w:hAnsi="宋体" w:cs="宋体"/>
          <w:color w:val="auto"/>
          <w:highlight w:val="none"/>
        </w:rPr>
      </w:pPr>
      <w:bookmarkStart w:id="1011" w:name="_Toc20171761"/>
      <w:bookmarkEnd w:id="1011"/>
      <w:bookmarkStart w:id="1012" w:name="_Ref11926570"/>
      <w:bookmarkEnd w:id="1012"/>
      <w:bookmarkStart w:id="1013" w:name="_Ref11926566"/>
      <w:bookmarkStart w:id="1014" w:name="_Toc427"/>
      <w:bookmarkStart w:id="1015" w:name="_Toc58860200"/>
      <w:bookmarkStart w:id="1016" w:name="_Toc51766613"/>
      <w:r>
        <w:rPr>
          <w:rFonts w:hint="eastAsia" w:ascii="宋体" w:hAnsi="宋体" w:cs="宋体"/>
          <w:color w:val="auto"/>
          <w:szCs w:val="21"/>
          <w:highlight w:val="none"/>
          <w:lang w:bidi="ar"/>
        </w:rPr>
        <w:t>4</w:t>
      </w:r>
      <w:bookmarkEnd w:id="1013"/>
      <w:r>
        <w:rPr>
          <w:rFonts w:hint="eastAsia" w:ascii="宋体" w:hAnsi="宋体" w:cs="宋体"/>
          <w:color w:val="auto"/>
          <w:szCs w:val="21"/>
          <w:highlight w:val="none"/>
          <w:lang w:bidi="ar"/>
        </w:rPr>
        <w:t>.9  工程质量管理</w:t>
      </w:r>
      <w:bookmarkEnd w:id="1014"/>
      <w:bookmarkEnd w:id="1015"/>
      <w:bookmarkEnd w:id="1016"/>
    </w:p>
    <w:p w14:paraId="158572B7">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4.9.1承包人应按合同约定的质量标准规范，建立有效的质量管理系统，确保设计、采购、加工制造、施工、竣工试验等各项工作的质量，并按照国家有关规定，通过质量保修责任书的形式约定保修范围、保修期限和保修责任。</w:t>
      </w:r>
    </w:p>
    <w:p w14:paraId="3164E219">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4.9.2承包人按照第8.4款[项目进度计划]约定向工程师提交工程质量保证体系及措施文件，建立完善的质量检查制度，并提交相应的工程质量文件。对于发包人和工程师违反法律规定和合同约定的错误指示，承包人有权拒绝实施。</w:t>
      </w:r>
    </w:p>
    <w:p w14:paraId="5171D049">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4.9.3承包人应对其人员进行质量教育和技术培训，定期考核人员的劳动技能，严格执行相关规范和操作规程。</w:t>
      </w:r>
    </w:p>
    <w:p w14:paraId="37DCE059">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4.9.4承包人应按照法律规定和合同约定，对设计、材料、工程设备以及全部工程内容及其施工工艺进行全过程的质量检查和检验，并作详细记录，编制工程质量报表，报送工程师审查。此外，承包人还应按照法律规定和合同约定，进行施工现场取样试验、工程复核测量和设备性能检测，提供试验样品、提交试验报告和测量成果以及其他工作。</w:t>
      </w:r>
    </w:p>
    <w:p w14:paraId="39F555AB">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017" w:name="_Ref531952837"/>
      <w:bookmarkEnd w:id="1017"/>
      <w:bookmarkStart w:id="1018" w:name="_Toc20171762"/>
      <w:bookmarkStart w:id="1019" w:name="_Toc58860201"/>
      <w:r>
        <w:rPr>
          <w:rFonts w:hint="eastAsia" w:ascii="宋体" w:hAnsi="宋体" w:cs="宋体"/>
          <w:color w:val="auto"/>
          <w:kern w:val="0"/>
          <w:szCs w:val="21"/>
          <w:highlight w:val="none"/>
          <w:lang w:bidi="ar"/>
        </w:rPr>
        <w:t xml:space="preserve">第5条 </w:t>
      </w:r>
      <w:bookmarkEnd w:id="1018"/>
      <w:r>
        <w:rPr>
          <w:rFonts w:hint="eastAsia" w:ascii="宋体" w:hAnsi="宋体" w:cs="宋体"/>
          <w:color w:val="auto"/>
          <w:kern w:val="0"/>
          <w:szCs w:val="21"/>
          <w:highlight w:val="none"/>
          <w:lang w:bidi="ar"/>
        </w:rPr>
        <w:t xml:space="preserve"> 设计</w:t>
      </w:r>
      <w:bookmarkEnd w:id="1019"/>
    </w:p>
    <w:p w14:paraId="2C1A7D29">
      <w:pPr>
        <w:widowControl/>
        <w:wordWrap w:val="0"/>
        <w:topLinePunct/>
        <w:adjustRightInd w:val="0"/>
        <w:snapToGrid w:val="0"/>
        <w:spacing w:after="163" w:afterLines="50" w:line="360" w:lineRule="auto"/>
        <w:outlineLvl w:val="2"/>
        <w:rPr>
          <w:rFonts w:ascii="宋体" w:hAnsi="宋体" w:cs="宋体"/>
          <w:color w:val="auto"/>
          <w:highlight w:val="none"/>
        </w:rPr>
      </w:pPr>
      <w:bookmarkStart w:id="1020" w:name="_Ref531952863"/>
      <w:bookmarkEnd w:id="1020"/>
      <w:bookmarkStart w:id="1021" w:name="_Toc20171763"/>
      <w:bookmarkEnd w:id="1021"/>
      <w:bookmarkStart w:id="1022" w:name="_Ref531952860"/>
      <w:bookmarkStart w:id="1023" w:name="_Toc14982"/>
      <w:bookmarkStart w:id="1024" w:name="_Toc58860202"/>
      <w:bookmarkStart w:id="1025" w:name="_Toc51766615"/>
      <w:r>
        <w:rPr>
          <w:rFonts w:hint="eastAsia" w:ascii="宋体" w:hAnsi="宋体" w:cs="宋体"/>
          <w:color w:val="auto"/>
          <w:szCs w:val="21"/>
          <w:highlight w:val="none"/>
          <w:lang w:bidi="ar"/>
        </w:rPr>
        <w:t>5</w:t>
      </w:r>
      <w:bookmarkEnd w:id="1022"/>
      <w:r>
        <w:rPr>
          <w:rFonts w:hint="eastAsia" w:ascii="宋体" w:hAnsi="宋体" w:cs="宋体"/>
          <w:color w:val="auto"/>
          <w:szCs w:val="21"/>
          <w:highlight w:val="none"/>
          <w:lang w:bidi="ar"/>
        </w:rPr>
        <w:t>.1  承包人的设计义务</w:t>
      </w:r>
      <w:bookmarkEnd w:id="1023"/>
      <w:bookmarkEnd w:id="1024"/>
      <w:bookmarkEnd w:id="1025"/>
      <w:r>
        <w:rPr>
          <w:rFonts w:hint="eastAsia" w:ascii="宋体" w:hAnsi="宋体" w:cs="宋体"/>
          <w:color w:val="auto"/>
          <w:szCs w:val="21"/>
          <w:highlight w:val="none"/>
          <w:lang w:bidi="ar"/>
        </w:rPr>
        <w:t xml:space="preserve"> </w:t>
      </w:r>
    </w:p>
    <w:p w14:paraId="05A74418">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1026" w:name="_Ref531952881"/>
      <w:bookmarkEnd w:id="1026"/>
      <w:r>
        <w:rPr>
          <w:rFonts w:hint="eastAsia" w:ascii="宋体" w:hAnsi="宋体" w:cs="宋体"/>
          <w:color w:val="auto"/>
          <w:szCs w:val="21"/>
          <w:highlight w:val="none"/>
          <w:lang w:bidi="ar"/>
        </w:rPr>
        <w:t>5.1.1设计义务的一般要求</w:t>
      </w:r>
    </w:p>
    <w:p w14:paraId="4B0AD56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当按照法律规定，国家、行业和地方的规范和标准，以及《发包人要求》和合同约定完成设计工作和设计相关的其他服务，并对工程的设计负责。承包人应根据工程实施的需要及时向发包人和工程师说明设计文件的意图，解释设计文件。</w:t>
      </w:r>
    </w:p>
    <w:p w14:paraId="46FDFF5E">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1027" w:name="_Ref531952952"/>
      <w:bookmarkEnd w:id="1027"/>
      <w:bookmarkStart w:id="1028" w:name="_Ref531952899"/>
      <w:r>
        <w:rPr>
          <w:rFonts w:hint="eastAsia" w:ascii="宋体" w:hAnsi="宋体" w:cs="宋体"/>
          <w:color w:val="auto"/>
          <w:szCs w:val="21"/>
          <w:highlight w:val="none"/>
          <w:lang w:bidi="ar"/>
        </w:rPr>
        <w:t>5</w:t>
      </w:r>
      <w:bookmarkEnd w:id="1028"/>
      <w:r>
        <w:rPr>
          <w:rFonts w:hint="eastAsia" w:ascii="宋体" w:hAnsi="宋体" w:cs="宋体"/>
          <w:color w:val="auto"/>
          <w:szCs w:val="21"/>
          <w:highlight w:val="none"/>
          <w:lang w:bidi="ar"/>
        </w:rPr>
        <w:t>.1.2对设计人员的要求</w:t>
      </w:r>
    </w:p>
    <w:p w14:paraId="4F6DE6F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承包人应保证其或其设计分包人的设计资质在合同有效期内满足法律法规、行业标准或合同约定的相关要求，并指派符合法律法规、行业标准或合同约定的资质要求并具有从事设计所必需的经验与能力</w:t>
      </w:r>
      <w:r>
        <w:rPr>
          <w:rFonts w:hint="eastAsia" w:ascii="宋体" w:hAnsi="宋体" w:cs="宋体"/>
          <w:color w:val="auto"/>
          <w:kern w:val="0"/>
          <w:szCs w:val="21"/>
          <w:highlight w:val="none"/>
          <w:lang w:eastAsia="zh-CN" w:bidi="ar"/>
        </w:rPr>
        <w:t>的</w:t>
      </w:r>
      <w:r>
        <w:rPr>
          <w:rFonts w:hint="eastAsia" w:ascii="宋体" w:hAnsi="宋体" w:cs="宋体"/>
          <w:color w:val="auto"/>
          <w:kern w:val="0"/>
          <w:szCs w:val="21"/>
          <w:highlight w:val="none"/>
          <w:lang w:bidi="ar"/>
        </w:rPr>
        <w:t>设计人员完成设计工作。承包人应保证其设计人员（包括分包人的设计人员）在合同期限内，都能按时参加发包人或工程师组织的工作会议。</w:t>
      </w:r>
    </w:p>
    <w:p w14:paraId="33CA618C">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5.1.3法律和标准的变化</w:t>
      </w:r>
    </w:p>
    <w:p w14:paraId="4C7D026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合同另有约定外，承包人完成设计工作所应遵守的法律规定，以及国家、行业和地方的规范和标准，均应视为在基准日期适用的版本。基准日期之后，前述版本发生重大变化，或者有新的法律，以及国家、行业和地方的规范和标准实施的，承包人应向工程师提出遵守新规定的建议。发包人或其委托的工程师应在收到建议后7天内发出是否遵守新规定的指示。如果该项建议构成变更的，按照第13.2款[承包人的合理化建议]的约定执行。</w:t>
      </w:r>
    </w:p>
    <w:p w14:paraId="23DE142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在基准日期之后，因国家颁布新的强制性规范、标准导致承包人的费用变化的，发包人应合理调整合同价格；导致工期延误的，发包人应合理延长工期。</w:t>
      </w:r>
    </w:p>
    <w:p w14:paraId="532C4C50">
      <w:pPr>
        <w:widowControl/>
        <w:wordWrap w:val="0"/>
        <w:topLinePunct/>
        <w:adjustRightInd w:val="0"/>
        <w:snapToGrid w:val="0"/>
        <w:spacing w:after="163" w:afterLines="50" w:line="360" w:lineRule="auto"/>
        <w:outlineLvl w:val="2"/>
        <w:rPr>
          <w:rFonts w:ascii="宋体" w:hAnsi="宋体" w:cs="宋体"/>
          <w:color w:val="auto"/>
          <w:highlight w:val="none"/>
        </w:rPr>
      </w:pPr>
      <w:bookmarkStart w:id="1029" w:name="_Toc20171764"/>
      <w:bookmarkEnd w:id="1029"/>
      <w:bookmarkStart w:id="1030" w:name="_Ref531953051"/>
      <w:bookmarkEnd w:id="1030"/>
      <w:bookmarkStart w:id="1031" w:name="_Ref531953054"/>
      <w:bookmarkStart w:id="1032" w:name="_Toc51766616"/>
      <w:bookmarkStart w:id="1033" w:name="_Toc58860203"/>
      <w:bookmarkStart w:id="1034" w:name="_Toc13283"/>
      <w:r>
        <w:rPr>
          <w:rFonts w:hint="eastAsia" w:ascii="宋体" w:hAnsi="宋体" w:cs="宋体"/>
          <w:color w:val="auto"/>
          <w:szCs w:val="21"/>
          <w:highlight w:val="none"/>
          <w:lang w:bidi="ar"/>
        </w:rPr>
        <w:t>5</w:t>
      </w:r>
      <w:bookmarkEnd w:id="1031"/>
      <w:r>
        <w:rPr>
          <w:rFonts w:hint="eastAsia" w:ascii="宋体" w:hAnsi="宋体" w:cs="宋体"/>
          <w:color w:val="auto"/>
          <w:szCs w:val="21"/>
          <w:highlight w:val="none"/>
          <w:lang w:bidi="ar"/>
        </w:rPr>
        <w:t>.2  承包人文件审查</w:t>
      </w:r>
      <w:bookmarkEnd w:id="1032"/>
      <w:bookmarkEnd w:id="1033"/>
      <w:bookmarkEnd w:id="1034"/>
      <w:r>
        <w:rPr>
          <w:rFonts w:hint="eastAsia" w:ascii="宋体" w:hAnsi="宋体" w:cs="宋体"/>
          <w:color w:val="auto"/>
          <w:szCs w:val="21"/>
          <w:highlight w:val="none"/>
          <w:lang w:bidi="ar"/>
        </w:rPr>
        <w:t xml:space="preserve"> </w:t>
      </w:r>
    </w:p>
    <w:p w14:paraId="3CC05B30">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1035" w:name="_Ref531953064"/>
      <w:bookmarkEnd w:id="1035"/>
      <w:r>
        <w:rPr>
          <w:rFonts w:hint="eastAsia" w:ascii="宋体" w:hAnsi="宋体" w:cs="宋体"/>
          <w:color w:val="auto"/>
          <w:szCs w:val="21"/>
          <w:highlight w:val="none"/>
          <w:lang w:bidi="ar"/>
        </w:rPr>
        <w:t>5.2.1根据《发包人要求》应当通过工程师报发包人审查同意的承包人文件，承包人应当按照《发包人要求》约定的范围和内容及时报送审查。</w:t>
      </w:r>
    </w:p>
    <w:p w14:paraId="109A05E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自工程师收到承包人文件以及承包人的通知之日起，发包人对承包人文件审查期不超过21天。承包人的设计文件对于合同约定有偏离的，应在通知中说明。承包人需要修改已提交的承包人文件的，应立即通知工程师，并向工程师提交修改后的承包人文件，审查期重新起算。</w:t>
      </w:r>
    </w:p>
    <w:p w14:paraId="360D738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发包人同意承包人文件的，应及时通知承包人，发包人不同意承包人文件的，应在审查期限内通过工程师以书面形式通知承包人，并说明不同意的具体内容和理由。</w:t>
      </w:r>
    </w:p>
    <w:p w14:paraId="059ABFE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承包人对发包人的意见按以下方式处理：</w:t>
      </w:r>
    </w:p>
    <w:p w14:paraId="55D882D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（1）发包人的意见构成变更的，承包人应在7天内通知发包人按照第13条[变更与调整]中关于发包人指示变更的约定执行，双方对是否构成变更无法达成一致的，按照第20条[争议解决]的约定执行；</w:t>
      </w:r>
    </w:p>
    <w:p w14:paraId="6D976F1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（2）因承包人原因导致无法通过审查的，承包人应根据发包人的书面说明，对承包人文件进行修改后重新报送发包人审查，审查期重新起算。因此引起的工期延长和必要的工程费用增加，由承包人负责。</w:t>
      </w:r>
    </w:p>
    <w:p w14:paraId="47A072F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合同约定的审查期满，发包人没有做出审查结论也没有提出异议的，视为承包人文件已获发包人同意。</w:t>
      </w:r>
    </w:p>
    <w:p w14:paraId="50243A8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发包人对承包人文件的审查和同意不得被理解为对合同的修改或改变，也并不减轻或免除承包人任何的责任和义务。</w:t>
      </w:r>
    </w:p>
    <w:p w14:paraId="288A151D">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5.2.2承包人文件不需要政府有关部门或专用合同条件约定的第三方审查单位审查或批准的，承包人应当严格按照经发包人审查同意的承包人文件设计和实施工程。</w:t>
      </w:r>
    </w:p>
    <w:p w14:paraId="273F9C8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需要组织审查会议对承包人文件进行审查的，审查会议的审查形式、时间安排、费用承担，在专用合同条件中约定。发包人负责组织承包人文件审查会议，承包人有义务参加发包人组织的审查会议，向审查者介绍、解答、解释承包人文件，并提供有关补充资料。</w:t>
      </w:r>
    </w:p>
    <w:p w14:paraId="646CB2D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发包人有义务向承包人提供审查会议的批准文件和纪要。承包人有义务按照相关审查会议批准的文件和纪要，并依据合同约定及相关技术标准，对承包人文件进行修改、补充和完善。</w:t>
      </w:r>
    </w:p>
    <w:p w14:paraId="45E59611">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1036" w:name="_Ref531953074"/>
      <w:bookmarkEnd w:id="1036"/>
      <w:r>
        <w:rPr>
          <w:rFonts w:hint="eastAsia" w:ascii="宋体" w:hAnsi="宋体" w:cs="宋体"/>
          <w:color w:val="auto"/>
          <w:szCs w:val="21"/>
          <w:highlight w:val="none"/>
          <w:lang w:bidi="ar"/>
        </w:rPr>
        <w:t>5.2.3承包人文件需政府有关部门或专用合同条件约定的第三方审查单位审查或批准的，发包人应在发包人审查同意承包人文件后7天内，向政府有关部门或第三方报送承包人文件，承包人应予以协助。</w:t>
      </w:r>
    </w:p>
    <w:p w14:paraId="0545E1D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对于政府有关部门或第三方审查单位的审查意见，不需要修改《发包人要求》的，承包人需按该审查意见修改承包人的设计文件；需要修改《发包人要求》的，承包人应按第13.2款[承包人的合理化建议]的约定执行。上述情形还应适用第5.1款[承包人的设计义务]和第13条[变更与调整]的有关约定。</w:t>
      </w:r>
    </w:p>
    <w:p w14:paraId="7B5A8D7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政府有关部门或第三方审查单位审查批准后，承包人应当严格按照批准后的承包人文件实施工程。政府有关部门或第三方审查单位批准时间较合同约定时间延长的，竣工日期相应顺延。因此给双方带来的费用增加，由双方在负责的范围内各自承担。</w:t>
      </w:r>
    </w:p>
    <w:p w14:paraId="1F84B98B">
      <w:pPr>
        <w:widowControl/>
        <w:wordWrap w:val="0"/>
        <w:topLinePunct/>
        <w:adjustRightInd w:val="0"/>
        <w:snapToGrid w:val="0"/>
        <w:spacing w:after="163" w:afterLines="50" w:line="360" w:lineRule="auto"/>
        <w:outlineLvl w:val="2"/>
        <w:rPr>
          <w:rFonts w:ascii="宋体" w:hAnsi="宋体" w:cs="宋体"/>
          <w:color w:val="auto"/>
          <w:highlight w:val="none"/>
        </w:rPr>
      </w:pPr>
      <w:bookmarkStart w:id="1037" w:name="_Ref531953095"/>
      <w:bookmarkEnd w:id="1037"/>
      <w:bookmarkStart w:id="1038" w:name="_Toc20171765"/>
      <w:bookmarkEnd w:id="1038"/>
      <w:bookmarkStart w:id="1039" w:name="_Ref531953097"/>
      <w:bookmarkStart w:id="1040" w:name="_Toc51766617"/>
      <w:bookmarkStart w:id="1041" w:name="_Toc58860204"/>
      <w:bookmarkStart w:id="1042" w:name="_Toc12432"/>
      <w:r>
        <w:rPr>
          <w:rFonts w:hint="eastAsia" w:ascii="宋体" w:hAnsi="宋体" w:cs="宋体"/>
          <w:color w:val="auto"/>
          <w:szCs w:val="21"/>
          <w:highlight w:val="none"/>
          <w:lang w:bidi="ar"/>
        </w:rPr>
        <w:t>5</w:t>
      </w:r>
      <w:bookmarkEnd w:id="1039"/>
      <w:r>
        <w:rPr>
          <w:rFonts w:hint="eastAsia" w:ascii="宋体" w:hAnsi="宋体" w:cs="宋体"/>
          <w:color w:val="auto"/>
          <w:szCs w:val="21"/>
          <w:highlight w:val="none"/>
          <w:lang w:bidi="ar"/>
        </w:rPr>
        <w:t>.3  培训</w:t>
      </w:r>
      <w:bookmarkEnd w:id="1040"/>
      <w:bookmarkEnd w:id="1041"/>
      <w:bookmarkEnd w:id="1042"/>
    </w:p>
    <w:p w14:paraId="63DD6CE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照《发包人要求》，对发包人的雇员或其它发包人指定的人员进行工程操作、维修或其它合同中约定的培训。合同约定接收之前进行培训的，应在第10.1款[竣工验收]约定的竣工验收前或试运行结束前完成培训。</w:t>
      </w:r>
    </w:p>
    <w:p w14:paraId="4F4861F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培训的时长应由双方在专用合同条件中约定，承包人应为培训提供有经验的人员、设施和其它必要条件。</w:t>
      </w:r>
    </w:p>
    <w:p w14:paraId="738787DA">
      <w:pPr>
        <w:widowControl/>
        <w:wordWrap w:val="0"/>
        <w:topLinePunct/>
        <w:adjustRightInd w:val="0"/>
        <w:snapToGrid w:val="0"/>
        <w:spacing w:after="163" w:afterLines="50" w:line="360" w:lineRule="auto"/>
        <w:outlineLvl w:val="2"/>
        <w:rPr>
          <w:rFonts w:ascii="宋体" w:hAnsi="宋体" w:cs="宋体"/>
          <w:color w:val="auto"/>
          <w:highlight w:val="none"/>
        </w:rPr>
      </w:pPr>
      <w:bookmarkStart w:id="1043" w:name="_Toc20171766"/>
      <w:bookmarkEnd w:id="1043"/>
      <w:bookmarkStart w:id="1044" w:name="_Ref531953105"/>
      <w:bookmarkEnd w:id="1044"/>
      <w:bookmarkStart w:id="1045" w:name="_Ref531953108"/>
      <w:bookmarkStart w:id="1046" w:name="_Toc58860205"/>
      <w:bookmarkStart w:id="1047" w:name="_Toc51766618"/>
      <w:bookmarkStart w:id="1048" w:name="_Toc19506"/>
      <w:r>
        <w:rPr>
          <w:rFonts w:hint="eastAsia" w:ascii="宋体" w:hAnsi="宋体" w:cs="宋体"/>
          <w:color w:val="auto"/>
          <w:szCs w:val="21"/>
          <w:highlight w:val="none"/>
          <w:lang w:bidi="ar"/>
        </w:rPr>
        <w:t>5</w:t>
      </w:r>
      <w:bookmarkEnd w:id="1045"/>
      <w:r>
        <w:rPr>
          <w:rFonts w:hint="eastAsia" w:ascii="宋体" w:hAnsi="宋体" w:cs="宋体"/>
          <w:color w:val="auto"/>
          <w:szCs w:val="21"/>
          <w:highlight w:val="none"/>
          <w:lang w:bidi="ar"/>
        </w:rPr>
        <w:t>.4  竣工文件</w:t>
      </w:r>
      <w:bookmarkEnd w:id="1046"/>
      <w:bookmarkEnd w:id="1047"/>
      <w:bookmarkEnd w:id="1048"/>
    </w:p>
    <w:p w14:paraId="2D3F4FE1">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1049" w:name="_Ref531953134"/>
      <w:bookmarkEnd w:id="1049"/>
      <w:r>
        <w:rPr>
          <w:rFonts w:hint="eastAsia" w:ascii="宋体" w:hAnsi="宋体" w:cs="宋体"/>
          <w:color w:val="auto"/>
          <w:szCs w:val="21"/>
          <w:highlight w:val="none"/>
          <w:lang w:bidi="ar"/>
        </w:rPr>
        <w:t>5.4.1承包人应编制并及时更新反映工程实施结果的竣工记录，如实记载竣工工程的确切位置、尺寸和已实施工作的详细说明。竣工文件的形式、技术标准以及其它相关内容应按照相关法律法规、行业标准与《发包人要求》执行。竣工记录应保存在施工现场，并在竣工试验开始前，按照专用合同条件约定的份数提交给工程师。</w:t>
      </w:r>
    </w:p>
    <w:p w14:paraId="0D08E05C">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5.4.2在颁发工程接收证书之前，承包人应按照《发包人要求》的份数和形式向工程师提交相应竣工图纸，并取得工程师对尺寸、参照系统及其他有关细节的认可。工程师应按照第5.2款[承包人文件审查]的约定进行审查。</w:t>
      </w:r>
    </w:p>
    <w:p w14:paraId="49A03E3E">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5.4.3除专用合同条件另有约定外，在工程师收到本款下的文件前，不应认为工程已根据第10.1款[竣工验收]和第10.2款[单位/区段工程的验收]的约定完成验收。</w:t>
      </w:r>
    </w:p>
    <w:p w14:paraId="608DC42E">
      <w:pPr>
        <w:widowControl/>
        <w:wordWrap w:val="0"/>
        <w:topLinePunct/>
        <w:adjustRightInd w:val="0"/>
        <w:snapToGrid w:val="0"/>
        <w:spacing w:after="163" w:afterLines="50" w:line="360" w:lineRule="auto"/>
        <w:outlineLvl w:val="2"/>
        <w:rPr>
          <w:rFonts w:ascii="宋体" w:hAnsi="宋体" w:cs="宋体"/>
          <w:color w:val="auto"/>
          <w:highlight w:val="none"/>
        </w:rPr>
      </w:pPr>
      <w:bookmarkStart w:id="1050" w:name="_Toc20171767"/>
      <w:bookmarkEnd w:id="1050"/>
      <w:bookmarkStart w:id="1051" w:name="_Ref531953117"/>
      <w:bookmarkEnd w:id="1051"/>
      <w:bookmarkStart w:id="1052" w:name="_Ref531953119"/>
      <w:bookmarkStart w:id="1053" w:name="_Toc51766619"/>
      <w:bookmarkStart w:id="1054" w:name="_Toc8318"/>
      <w:bookmarkStart w:id="1055" w:name="_Toc58860206"/>
      <w:r>
        <w:rPr>
          <w:rFonts w:hint="eastAsia" w:ascii="宋体" w:hAnsi="宋体" w:cs="宋体"/>
          <w:color w:val="auto"/>
          <w:szCs w:val="21"/>
          <w:highlight w:val="none"/>
          <w:lang w:bidi="ar"/>
        </w:rPr>
        <w:t>5</w:t>
      </w:r>
      <w:bookmarkEnd w:id="1052"/>
      <w:r>
        <w:rPr>
          <w:rFonts w:hint="eastAsia" w:ascii="宋体" w:hAnsi="宋体" w:cs="宋体"/>
          <w:color w:val="auto"/>
          <w:szCs w:val="21"/>
          <w:highlight w:val="none"/>
          <w:lang w:bidi="ar"/>
        </w:rPr>
        <w:t>.5  操作和维修手册</w:t>
      </w:r>
      <w:bookmarkEnd w:id="1053"/>
      <w:bookmarkEnd w:id="1054"/>
      <w:bookmarkEnd w:id="1055"/>
      <w:r>
        <w:rPr>
          <w:rFonts w:hint="eastAsia" w:ascii="宋体" w:hAnsi="宋体" w:cs="宋体"/>
          <w:color w:val="auto"/>
          <w:szCs w:val="21"/>
          <w:highlight w:val="none"/>
          <w:lang w:bidi="ar"/>
        </w:rPr>
        <w:t xml:space="preserve"> </w:t>
      </w:r>
    </w:p>
    <w:p w14:paraId="4181ED76">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1056" w:name="_Ref531953145"/>
      <w:bookmarkEnd w:id="1056"/>
      <w:r>
        <w:rPr>
          <w:rFonts w:hint="eastAsia" w:ascii="宋体" w:hAnsi="宋体" w:cs="宋体"/>
          <w:color w:val="auto"/>
          <w:szCs w:val="21"/>
          <w:highlight w:val="none"/>
          <w:lang w:bidi="ar"/>
        </w:rPr>
        <w:t>5</w:t>
      </w:r>
      <w:r>
        <w:rPr>
          <w:rFonts w:ascii="宋体" w:hAnsi="宋体" w:cs="宋体"/>
          <w:color w:val="auto"/>
          <w:szCs w:val="21"/>
          <w:highlight w:val="none"/>
          <w:lang w:bidi="ar"/>
        </w:rPr>
        <w:t>.5.1</w:t>
      </w:r>
      <w:r>
        <w:rPr>
          <w:rFonts w:hint="eastAsia" w:ascii="宋体" w:hAnsi="宋体" w:cs="宋体"/>
          <w:color w:val="auto"/>
          <w:szCs w:val="21"/>
          <w:highlight w:val="none"/>
          <w:lang w:bidi="ar"/>
        </w:rPr>
        <w:t>在竣工试验开始前，承包人应向工程师提交暂行的操作和维修手册并负责及时更新，该手册应足够详细，以便发包人能够对工程设备进行操作、维修、拆卸、重新安装、调整及修理，以及实现《发包人要求》。同时，手册还应包含发包人未来可能需要的备品备件清单。</w:t>
      </w:r>
    </w:p>
    <w:p w14:paraId="7A87D7E4">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5</w:t>
      </w:r>
      <w:r>
        <w:rPr>
          <w:rFonts w:ascii="宋体" w:hAnsi="宋体" w:cs="宋体"/>
          <w:color w:val="auto"/>
          <w:szCs w:val="21"/>
          <w:highlight w:val="none"/>
          <w:lang w:bidi="ar"/>
        </w:rPr>
        <w:t>.5.2</w:t>
      </w:r>
      <w:r>
        <w:rPr>
          <w:rFonts w:hint="eastAsia" w:ascii="宋体" w:hAnsi="宋体" w:cs="宋体"/>
          <w:color w:val="auto"/>
          <w:szCs w:val="21"/>
          <w:highlight w:val="none"/>
          <w:lang w:bidi="ar"/>
        </w:rPr>
        <w:t>工程师收到承包人提交的文件后，应依据第5.2款[承包人文件审查]的约定对操作和维修手册进行审查，竣工试验工程中，承包人应为任何因操作和维修手册错误或遗漏引起的风险或损失承担责任。</w:t>
      </w:r>
    </w:p>
    <w:p w14:paraId="108F8046">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r>
        <w:rPr>
          <w:rFonts w:hint="eastAsia" w:ascii="宋体" w:hAnsi="宋体" w:cs="宋体"/>
          <w:color w:val="auto"/>
          <w:szCs w:val="21"/>
          <w:highlight w:val="none"/>
          <w:lang w:bidi="ar"/>
        </w:rPr>
        <w:t>5</w:t>
      </w:r>
      <w:r>
        <w:rPr>
          <w:rFonts w:ascii="宋体" w:hAnsi="宋体" w:cs="宋体"/>
          <w:color w:val="auto"/>
          <w:szCs w:val="21"/>
          <w:highlight w:val="none"/>
          <w:lang w:bidi="ar"/>
        </w:rPr>
        <w:t>.5.3</w:t>
      </w:r>
      <w:r>
        <w:rPr>
          <w:rFonts w:hint="eastAsia" w:ascii="宋体" w:hAnsi="宋体" w:cs="宋体"/>
          <w:color w:val="auto"/>
          <w:szCs w:val="21"/>
          <w:highlight w:val="none"/>
          <w:lang w:bidi="ar"/>
        </w:rPr>
        <w:t>除专用合同条件另有约定外，承包人应提交足够详细的最终操作和维修手册，以及在《发包人要求》中明确的相关操作和维修手册。除专用合同条件另有约定外，在工程师收到上述文件前，不应认为工程已根据第10.1款[竣工验收]和第10.2款[单位/区段工程的验收]的约定完成验收。</w:t>
      </w:r>
    </w:p>
    <w:p w14:paraId="4199BF13">
      <w:pPr>
        <w:widowControl/>
        <w:wordWrap w:val="0"/>
        <w:topLinePunct/>
        <w:adjustRightInd w:val="0"/>
        <w:snapToGrid w:val="0"/>
        <w:spacing w:after="163" w:afterLines="50" w:line="360" w:lineRule="auto"/>
        <w:outlineLvl w:val="2"/>
        <w:rPr>
          <w:rFonts w:ascii="宋体" w:hAnsi="宋体" w:cs="宋体"/>
          <w:color w:val="auto"/>
          <w:highlight w:val="none"/>
        </w:rPr>
      </w:pPr>
      <w:bookmarkStart w:id="1057" w:name="_Toc20171768"/>
      <w:bookmarkEnd w:id="1057"/>
      <w:bookmarkStart w:id="1058" w:name="_Toc58860207"/>
      <w:bookmarkStart w:id="1059" w:name="_Toc51766620"/>
      <w:bookmarkStart w:id="1060" w:name="_Toc22894"/>
      <w:r>
        <w:rPr>
          <w:rFonts w:hint="eastAsia" w:ascii="宋体" w:hAnsi="宋体" w:cs="宋体"/>
          <w:color w:val="auto"/>
          <w:szCs w:val="21"/>
          <w:highlight w:val="none"/>
          <w:lang w:bidi="ar"/>
        </w:rPr>
        <w:t>5.6  承包人文件错误</w:t>
      </w:r>
      <w:bookmarkEnd w:id="1058"/>
      <w:bookmarkEnd w:id="1059"/>
      <w:bookmarkEnd w:id="1060"/>
      <w:r>
        <w:rPr>
          <w:rFonts w:hint="eastAsia" w:ascii="宋体" w:hAnsi="宋体" w:cs="宋体"/>
          <w:color w:val="auto"/>
          <w:szCs w:val="21"/>
          <w:highlight w:val="none"/>
          <w:lang w:bidi="ar"/>
        </w:rPr>
        <w:t xml:space="preserve"> </w:t>
      </w:r>
    </w:p>
    <w:p w14:paraId="5629626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文件存在错误、遗漏、含混、矛盾、不充分之处或其他缺陷，无论承包人是否根据本款获得了同意，承包人均应自费对前述问题带来的缺陷和工程问题进行改正，并按照第5.2款[承包人文件审查]的要求，重新送工程师审查，审查日期从工程师收到文件开始重新计算。因此款原因重新提交审查文件导致的工程延误和必要费用增加由承包人承担。《发包人要求》的错误导致承包人文件错误、遗漏、含混、矛盾、不充分或其他缺陷的除外。</w:t>
      </w:r>
    </w:p>
    <w:p w14:paraId="47A701F8">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061" w:name="_Ref531953765"/>
      <w:bookmarkEnd w:id="1061"/>
      <w:bookmarkStart w:id="1062" w:name="_Toc20171769"/>
      <w:bookmarkEnd w:id="1062"/>
      <w:bookmarkStart w:id="1063" w:name="_Ref531953761"/>
      <w:bookmarkStart w:id="1064" w:name="_Toc58860208"/>
      <w:r>
        <w:rPr>
          <w:rFonts w:hint="eastAsia" w:ascii="宋体" w:hAnsi="宋体" w:cs="宋体"/>
          <w:color w:val="auto"/>
          <w:kern w:val="0"/>
          <w:szCs w:val="21"/>
          <w:highlight w:val="none"/>
          <w:lang w:bidi="ar"/>
        </w:rPr>
        <w:t xml:space="preserve">第6条 </w:t>
      </w:r>
      <w:bookmarkEnd w:id="1063"/>
      <w:r>
        <w:rPr>
          <w:rFonts w:hint="eastAsia" w:ascii="宋体" w:hAnsi="宋体" w:cs="宋体"/>
          <w:color w:val="auto"/>
          <w:kern w:val="0"/>
          <w:szCs w:val="21"/>
          <w:highlight w:val="none"/>
          <w:lang w:bidi="ar"/>
        </w:rPr>
        <w:t xml:space="preserve"> 材料、工程设备</w:t>
      </w:r>
      <w:bookmarkEnd w:id="1064"/>
    </w:p>
    <w:p w14:paraId="0F4867A7">
      <w:pPr>
        <w:widowControl/>
        <w:wordWrap w:val="0"/>
        <w:topLinePunct/>
        <w:adjustRightInd w:val="0"/>
        <w:snapToGrid w:val="0"/>
        <w:spacing w:after="163" w:afterLines="50" w:line="360" w:lineRule="auto"/>
        <w:outlineLvl w:val="2"/>
        <w:rPr>
          <w:rFonts w:ascii="宋体" w:hAnsi="宋体" w:cs="宋体"/>
          <w:color w:val="auto"/>
          <w:highlight w:val="none"/>
        </w:rPr>
      </w:pPr>
      <w:bookmarkStart w:id="1065" w:name="_Toc20171770"/>
      <w:bookmarkEnd w:id="1065"/>
      <w:bookmarkStart w:id="1066" w:name="_Ref531953832"/>
      <w:bookmarkEnd w:id="1066"/>
      <w:bookmarkStart w:id="1067" w:name="_Ref531953828"/>
      <w:bookmarkStart w:id="1068" w:name="_Toc58860209"/>
      <w:bookmarkStart w:id="1069" w:name="_Toc10480"/>
      <w:bookmarkStart w:id="1070" w:name="_Toc51766622"/>
      <w:r>
        <w:rPr>
          <w:rFonts w:hint="eastAsia" w:ascii="宋体" w:hAnsi="宋体" w:cs="宋体"/>
          <w:color w:val="auto"/>
          <w:szCs w:val="21"/>
          <w:highlight w:val="none"/>
          <w:lang w:bidi="ar"/>
        </w:rPr>
        <w:t>6</w:t>
      </w:r>
      <w:bookmarkEnd w:id="1067"/>
      <w:r>
        <w:rPr>
          <w:rFonts w:hint="eastAsia" w:ascii="宋体" w:hAnsi="宋体" w:cs="宋体"/>
          <w:color w:val="auto"/>
          <w:szCs w:val="21"/>
          <w:highlight w:val="none"/>
          <w:lang w:bidi="ar"/>
        </w:rPr>
        <w:t>.1  实施方法</w:t>
      </w:r>
      <w:bookmarkEnd w:id="1068"/>
      <w:bookmarkEnd w:id="1069"/>
      <w:bookmarkEnd w:id="1070"/>
      <w:r>
        <w:rPr>
          <w:rFonts w:hint="eastAsia" w:ascii="宋体" w:hAnsi="宋体" w:cs="宋体"/>
          <w:color w:val="auto"/>
          <w:szCs w:val="21"/>
          <w:highlight w:val="none"/>
          <w:lang w:bidi="ar"/>
        </w:rPr>
        <w:t xml:space="preserve"> </w:t>
      </w:r>
    </w:p>
    <w:p w14:paraId="4BC1651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承包人应按以下方法进行材料的加工、工程设备的采购、制造和安装</w:t>
      </w:r>
      <w:r>
        <w:rPr>
          <w:rFonts w:hint="eastAsia" w:ascii="宋体" w:hAnsi="宋体" w:cs="宋体"/>
          <w:color w:val="auto"/>
          <w:kern w:val="0"/>
          <w:szCs w:val="21"/>
          <w:highlight w:val="none"/>
          <w:lang w:eastAsia="zh-CN" w:bidi="ar"/>
        </w:rPr>
        <w:t>以及</w:t>
      </w:r>
      <w:r>
        <w:rPr>
          <w:rFonts w:hint="eastAsia" w:ascii="宋体" w:hAnsi="宋体" w:cs="宋体"/>
          <w:color w:val="auto"/>
          <w:kern w:val="0"/>
          <w:szCs w:val="21"/>
          <w:highlight w:val="none"/>
          <w:lang w:bidi="ar"/>
        </w:rPr>
        <w:t>工程的所有其他实施作业：</w:t>
      </w:r>
    </w:p>
    <w:p w14:paraId="39F74752">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071" w:name="_Ref531953847"/>
      <w:bookmarkEnd w:id="1071"/>
      <w:r>
        <w:rPr>
          <w:rFonts w:hint="eastAsia" w:ascii="宋体" w:hAnsi="宋体" w:cs="宋体"/>
          <w:color w:val="auto"/>
          <w:kern w:val="0"/>
          <w:szCs w:val="21"/>
          <w:highlight w:val="none"/>
          <w:lang w:bidi="ar"/>
        </w:rPr>
        <w:t>（1）按照法律规定和合同约定的方法；</w:t>
      </w:r>
    </w:p>
    <w:p w14:paraId="2CC8F01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（2）按照公认的良好行业习惯，使用恰当、审慎、先进的方法；</w:t>
      </w:r>
    </w:p>
    <w:p w14:paraId="09FAD63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（3）除专用合同条件另有规定外，应使用适当配备的实施方法、设备、设施和无危险的材料。</w:t>
      </w:r>
    </w:p>
    <w:p w14:paraId="0088E233">
      <w:pPr>
        <w:widowControl/>
        <w:wordWrap w:val="0"/>
        <w:topLinePunct/>
        <w:adjustRightInd w:val="0"/>
        <w:snapToGrid w:val="0"/>
        <w:spacing w:after="163" w:afterLines="50" w:line="360" w:lineRule="auto"/>
        <w:outlineLvl w:val="2"/>
        <w:rPr>
          <w:rFonts w:ascii="宋体" w:hAnsi="宋体" w:cs="宋体"/>
          <w:color w:val="auto"/>
          <w:highlight w:val="none"/>
        </w:rPr>
      </w:pPr>
      <w:bookmarkStart w:id="1072" w:name="_Toc20171771"/>
      <w:bookmarkEnd w:id="1072"/>
      <w:bookmarkStart w:id="1073" w:name="_Ref11926422"/>
      <w:bookmarkEnd w:id="1073"/>
      <w:bookmarkStart w:id="1074" w:name="_Ref4427594"/>
      <w:bookmarkStart w:id="1075" w:name="_Toc51766623"/>
      <w:bookmarkStart w:id="1076" w:name="_Toc58860210"/>
      <w:bookmarkStart w:id="1077" w:name="_Toc8924"/>
      <w:r>
        <w:rPr>
          <w:rFonts w:hint="eastAsia" w:ascii="宋体" w:hAnsi="宋体" w:cs="宋体"/>
          <w:color w:val="auto"/>
          <w:szCs w:val="21"/>
          <w:highlight w:val="none"/>
          <w:lang w:bidi="ar"/>
        </w:rPr>
        <w:t xml:space="preserve">6.2  </w:t>
      </w:r>
      <w:bookmarkEnd w:id="1074"/>
      <w:r>
        <w:rPr>
          <w:rFonts w:hint="eastAsia" w:ascii="宋体" w:hAnsi="宋体" w:cs="宋体"/>
          <w:color w:val="auto"/>
          <w:szCs w:val="21"/>
          <w:highlight w:val="none"/>
          <w:lang w:bidi="ar"/>
        </w:rPr>
        <w:t>材料和工程设备</w:t>
      </w:r>
      <w:bookmarkEnd w:id="1075"/>
      <w:bookmarkEnd w:id="1076"/>
      <w:bookmarkEnd w:id="1077"/>
    </w:p>
    <w:p w14:paraId="713695FB">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1078" w:name="_Ref11960295"/>
      <w:bookmarkEnd w:id="1078"/>
      <w:r>
        <w:rPr>
          <w:rFonts w:hint="eastAsia" w:ascii="宋体" w:hAnsi="宋体" w:cs="宋体"/>
          <w:color w:val="auto"/>
          <w:szCs w:val="21"/>
          <w:highlight w:val="none"/>
          <w:lang w:bidi="ar"/>
        </w:rPr>
        <w:t>6.2.1发包人提供的材料和工程设备</w:t>
      </w:r>
    </w:p>
    <w:p w14:paraId="27D838C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发包人自行供应材料、工程设备的，应在订立合同时在专用合同条件的附件2《发包人供应材料设备一览表》中明确材料、工程设备的品种、规格、型号、主要参数、数量、单价、质量等级和交接地点等。</w:t>
      </w:r>
    </w:p>
    <w:p w14:paraId="5D31F52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根据项目进度计划的安排，提前28天以书面形式通知工程师供应材料与工程设备的进场计划。承包人按照第8.4款[项目进度计划]约定修订项目进度计划时，需同时提交经修订后的发包人供应材料与工程设备的进场计划。发包人应按照上述进场计划，向承包人提交材料和工程设备。</w:t>
      </w:r>
    </w:p>
    <w:p w14:paraId="0A2A63A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在材料和工程设备到货7天前通知承包人，承包人应会同工程师在约定的时间内，赴交货地点共同进行验收。除专用合同条件另有约定外，发包人提供的材料和工程设备验收后，由承包人负责接收、运输和保管。</w:t>
      </w:r>
    </w:p>
    <w:p w14:paraId="057A0A8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需要对进场计划进行变更的，承包人不得拒绝，应根据第13条[变更与调整]的规定执行，并由发包人承担承包人由此增加的费用，以及引起的工期延误。承包人需要对进场计划进行变更的，应事先报请工程师批准，由此增加的费用和（或）工期延误由承包人承担。</w:t>
      </w:r>
    </w:p>
    <w:p w14:paraId="66F2C01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发包人提供的材料和工程设备的规格、数量或质量不符合合同要求，或由于发包人原因发生交货日期延误及交货地点变更等情况的，发包人应承担由此增加的费用和（或）工期延误，并向承包人支付合理利润。</w:t>
      </w:r>
    </w:p>
    <w:p w14:paraId="177D9FEC">
      <w:pPr>
        <w:widowControl/>
        <w:adjustRightInd w:val="0"/>
        <w:snapToGrid w:val="0"/>
        <w:spacing w:after="163" w:afterLines="50" w:line="360" w:lineRule="auto"/>
        <w:ind w:firstLine="420" w:firstLineChars="200"/>
        <w:rPr>
          <w:rFonts w:ascii="宋体" w:hAnsi="宋体" w:cs="宋体"/>
          <w:color w:val="auto"/>
          <w:highlight w:val="none"/>
        </w:rPr>
      </w:pPr>
      <w:bookmarkStart w:id="1079" w:name="_Ref531953918"/>
      <w:bookmarkEnd w:id="1079"/>
      <w:r>
        <w:rPr>
          <w:rFonts w:hint="eastAsia" w:ascii="宋体" w:hAnsi="宋体" w:cs="宋体"/>
          <w:color w:val="auto"/>
          <w:szCs w:val="21"/>
          <w:highlight w:val="none"/>
          <w:lang w:bidi="ar"/>
        </w:rPr>
        <w:t>6.2.2承包人提供的材料和工程设备</w:t>
      </w:r>
    </w:p>
    <w:p w14:paraId="70022F0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照专用合同条件的约定，将各项材料和工程设备的供货人及品种、技术要求、规格、数量和供货时间等报送工程师批准。承包人应向工程师提交其负责提供的材料和工程设备的质量证明文件，并根据合同约定的质量标准，对材料、工程设备质量负责。</w:t>
      </w:r>
    </w:p>
    <w:p w14:paraId="4B1B04D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照已被批准的第8.4款[项目进度计划]规定的数量要求及时间要求，负责组织材料和工程设备采购（包括备品备件、专用工具及厂商提供的技术文件），负责运抵现场。合同约定由承包人采购的材料、工程设备，除专用合同条件另有约定外，发包人不得指定生产厂家或供应商，发包人违反本款约定指定生产厂家或供应商的，承包人有权拒绝，并由发包人承担相应责任。</w:t>
      </w:r>
    </w:p>
    <w:p w14:paraId="3CCAA4C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对承包人提供的材料和工程设备，承包人应会同工程师进行检验和交货验收，查验材料合格证明和产品合格证书，并按合同约定和工程师指示，进行材料的抽样检验和工程设备的检验测试，检验和测试结果应提交工程师，所需费用由承包人承担。</w:t>
      </w:r>
    </w:p>
    <w:p w14:paraId="060B54A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提供的材料和工程设备不符合国家强制性标准、规范的规定或合同约定的标准、规范，所造成的质量缺陷，由承包人自费修复，竣工日期不予延长。在履行合同过程中，由于国家新颁布的强制性标准、规范，造成承包人负责提供的材料和工程设备，虽符合合同约定的标准，但不符合新颁布的强制性标准时，由承包人负责修复或重新订货，相关费用支出及导致的工期延长由发包人负责。</w:t>
      </w:r>
    </w:p>
    <w:p w14:paraId="0E4D0E42">
      <w:pPr>
        <w:widowControl/>
        <w:wordWrap w:val="0"/>
        <w:topLinePunct/>
        <w:adjustRightInd w:val="0"/>
        <w:snapToGrid w:val="0"/>
        <w:spacing w:after="163" w:afterLines="50" w:line="360" w:lineRule="auto"/>
        <w:ind w:firstLine="420" w:firstLineChars="200"/>
        <w:outlineLvl w:val="3"/>
        <w:rPr>
          <w:rFonts w:ascii="宋体" w:hAnsi="宋体" w:cs="宋体"/>
          <w:color w:val="auto"/>
          <w:highlight w:val="none"/>
        </w:rPr>
      </w:pPr>
      <w:bookmarkStart w:id="1080" w:name="_Ref531953991"/>
      <w:bookmarkEnd w:id="1080"/>
      <w:bookmarkStart w:id="1081" w:name="_Ref531953999"/>
      <w:r>
        <w:rPr>
          <w:rFonts w:hint="eastAsia" w:ascii="宋体" w:hAnsi="宋体" w:cs="宋体"/>
          <w:color w:val="auto"/>
          <w:szCs w:val="21"/>
          <w:highlight w:val="none"/>
          <w:lang w:bidi="ar"/>
        </w:rPr>
        <w:t>6</w:t>
      </w:r>
      <w:bookmarkEnd w:id="1081"/>
      <w:r>
        <w:rPr>
          <w:rFonts w:hint="eastAsia" w:ascii="宋体" w:hAnsi="宋体" w:cs="宋体"/>
          <w:color w:val="auto"/>
          <w:szCs w:val="21"/>
          <w:highlight w:val="none"/>
          <w:lang w:bidi="ar"/>
        </w:rPr>
        <w:t xml:space="preserve">.2.3材料和工程设备的保管 </w:t>
      </w:r>
    </w:p>
    <w:p w14:paraId="213C198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（1）发包人供应材料与工程设备的保管与使用</w:t>
      </w:r>
    </w:p>
    <w:p w14:paraId="2779196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发包人供应的材料和工程设备，承包人清点并接收后由承包人妥善保管，保管费用由承包人承担，但专用合同条件另有约定除外。因承包人原因发生丢失毁损的，由承包人负责赔偿。</w:t>
      </w:r>
    </w:p>
    <w:p w14:paraId="4D371CB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发包人供应的材料和工程设备使用前，由承包人负责必要的检验，检验费用由发包人承担，不合格的不得使用。</w:t>
      </w:r>
    </w:p>
    <w:p w14:paraId="7FF6E81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（2）承包人采购材料与工程设备的保管与使用</w:t>
      </w:r>
    </w:p>
    <w:p w14:paraId="1692548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采购的材料和工程设备由承包人妥善保管，保管费用由承包人承担。合同约定或法律规定材料和工程设备使用前必须进行检验或试验的，承包人应按工程师的指示进行检验或试验，检验或试验费用由承包人承担，不合格的不得使用。</w:t>
      </w:r>
    </w:p>
    <w:p w14:paraId="44F270D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工程师发现承包人使用不符合设计或有关标准要求的材料和工程设备时，有权要求承包人进行修复、拆除或重新采购，由此增加的费用和（或）延误的工期，由承包人承担。</w:t>
      </w:r>
    </w:p>
    <w:p w14:paraId="004CA90A">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6.2.4材料和工程设备的所有权</w:t>
      </w:r>
    </w:p>
    <w:p w14:paraId="5673804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本合同另有约定外，承包人根据第6.2.2项[承包人提供的材料和工程设备]约定提供的材料和工程设备后，材料及工程设备的价款应列入第14.3.1项第（2）目的进度款金额中，发包人支付当期进度款之后，其所有权转为发包人所有（周转性材料除外）；在发包人接收工程前，承包人有义务对材料和工程设备进行保管、维护和保养，未经发包人批准不得运出现场。</w:t>
      </w:r>
    </w:p>
    <w:p w14:paraId="5374D07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按第</w:t>
      </w:r>
      <w:r>
        <w:rPr>
          <w:rFonts w:ascii="宋体" w:hAnsi="宋体" w:cs="宋体"/>
          <w:color w:val="auto"/>
          <w:kern w:val="0"/>
          <w:szCs w:val="21"/>
          <w:highlight w:val="none"/>
          <w:lang w:bidi="ar"/>
        </w:rPr>
        <w:t>6.2.2项提供的材料和工程设备</w:t>
      </w:r>
      <w:r>
        <w:rPr>
          <w:rFonts w:hint="eastAsia" w:ascii="宋体" w:hAnsi="宋体" w:cs="宋体"/>
          <w:color w:val="auto"/>
          <w:kern w:val="0"/>
          <w:szCs w:val="21"/>
          <w:highlight w:val="none"/>
          <w:lang w:bidi="ar"/>
        </w:rPr>
        <w:t>，承包人应确保发包人取得无权利负担的材料及工程设备所有权，因承包人与第三人的物权争议导致的增加的费用和（或）延误的工期，由承包人承担。</w:t>
      </w:r>
    </w:p>
    <w:p w14:paraId="17F30B0F">
      <w:pPr>
        <w:widowControl/>
        <w:wordWrap w:val="0"/>
        <w:topLinePunct/>
        <w:adjustRightInd w:val="0"/>
        <w:snapToGrid w:val="0"/>
        <w:spacing w:after="163" w:afterLines="50" w:line="360" w:lineRule="auto"/>
        <w:outlineLvl w:val="2"/>
        <w:rPr>
          <w:rFonts w:ascii="宋体" w:hAnsi="宋体" w:cs="宋体"/>
          <w:color w:val="auto"/>
          <w:highlight w:val="none"/>
        </w:rPr>
      </w:pPr>
      <w:bookmarkStart w:id="1082" w:name="_Toc351203565"/>
      <w:bookmarkEnd w:id="1082"/>
      <w:bookmarkStart w:id="1083" w:name="_Toc20171772"/>
      <w:bookmarkEnd w:id="1083"/>
      <w:bookmarkStart w:id="1084" w:name="_Ref4428239"/>
      <w:bookmarkEnd w:id="1084"/>
      <w:bookmarkStart w:id="1085" w:name="_Toc337558785"/>
      <w:bookmarkStart w:id="1086" w:name="_Toc51766624"/>
      <w:bookmarkStart w:id="1087" w:name="_Toc58860211"/>
      <w:bookmarkStart w:id="1088" w:name="_Toc14032"/>
      <w:r>
        <w:rPr>
          <w:rFonts w:hint="eastAsia" w:ascii="宋体" w:hAnsi="宋体" w:cs="宋体"/>
          <w:color w:val="auto"/>
          <w:szCs w:val="21"/>
          <w:highlight w:val="none"/>
          <w:lang w:bidi="ar"/>
        </w:rPr>
        <w:t>6</w:t>
      </w:r>
      <w:bookmarkEnd w:id="1085"/>
      <w:r>
        <w:rPr>
          <w:rFonts w:hint="eastAsia" w:ascii="宋体" w:hAnsi="宋体" w:cs="宋体"/>
          <w:color w:val="auto"/>
          <w:szCs w:val="21"/>
          <w:highlight w:val="none"/>
          <w:lang w:bidi="ar"/>
        </w:rPr>
        <w:t>.3  样品</w:t>
      </w:r>
      <w:bookmarkEnd w:id="1086"/>
      <w:bookmarkEnd w:id="1087"/>
      <w:bookmarkEnd w:id="1088"/>
    </w:p>
    <w:p w14:paraId="6F1D8525">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6.3.1样品的报送与封存</w:t>
      </w:r>
    </w:p>
    <w:p w14:paraId="427A343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需要承包人报送样品的材料或工程设备，样品的种类、名称、规格、数量等要求均应在专用合同条件中约定。样品的报送程序如下：</w:t>
      </w:r>
    </w:p>
    <w:p w14:paraId="7A1702F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应在计划采购前28天向工程师报送样品。承包人报送的样品均应来自供应材料的实际生产地，且提供的样品的规格、数量足以表明材料或工程设备的质量、型号、颜色、表面处理、质地、误差和其他要求的特征。</w:t>
      </w:r>
    </w:p>
    <w:p w14:paraId="47B20E1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每次报送样品时应随附申报单，申报单应载明报送样品的相关数据和资料，并标明每件样品对应的图纸号，预留工程师审批意见栏。工程师应在收到承包人报送的样品后7天向承包人回复经发包人签认的样品审批意见。</w:t>
      </w:r>
    </w:p>
    <w:p w14:paraId="0C5D797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（3）经工程师审批确认的样品应按约定的方法封样，封存的样品作为检验工程相关部分的标准之一。承包人在施工过程中不得使用与样品不符的材料或工程设备。</w:t>
      </w:r>
    </w:p>
    <w:p w14:paraId="2ECBDC6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工程师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3FD3FF19">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6.3.2样品的保管</w:t>
      </w:r>
    </w:p>
    <w:p w14:paraId="5910800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经批准的样品应由工程师负责封存于现场，承包人应在现场为保存样品提供适当和固定的场所并保持适当和良好的存储环境条件。</w:t>
      </w:r>
    </w:p>
    <w:p w14:paraId="7DE1069A">
      <w:pPr>
        <w:widowControl/>
        <w:wordWrap w:val="0"/>
        <w:topLinePunct/>
        <w:adjustRightInd w:val="0"/>
        <w:snapToGrid w:val="0"/>
        <w:spacing w:after="163" w:afterLines="50" w:line="360" w:lineRule="auto"/>
        <w:outlineLvl w:val="2"/>
        <w:rPr>
          <w:rFonts w:ascii="宋体" w:hAnsi="宋体" w:cs="宋体"/>
          <w:color w:val="auto"/>
          <w:highlight w:val="none"/>
        </w:rPr>
      </w:pPr>
      <w:bookmarkStart w:id="1089" w:name="_Ref11959210"/>
      <w:bookmarkEnd w:id="1089"/>
      <w:bookmarkStart w:id="1090" w:name="_Ref11959204"/>
      <w:bookmarkEnd w:id="1090"/>
      <w:bookmarkStart w:id="1091" w:name="_Toc20171773"/>
      <w:bookmarkStart w:id="1092" w:name="_Toc51766625"/>
      <w:bookmarkStart w:id="1093" w:name="_Toc31351"/>
      <w:bookmarkStart w:id="1094" w:name="_Toc58860212"/>
      <w:r>
        <w:rPr>
          <w:rFonts w:hint="eastAsia" w:ascii="宋体" w:hAnsi="宋体" w:cs="宋体"/>
          <w:color w:val="auto"/>
          <w:szCs w:val="21"/>
          <w:highlight w:val="none"/>
          <w:lang w:bidi="ar"/>
        </w:rPr>
        <w:t>6</w:t>
      </w:r>
      <w:bookmarkEnd w:id="1091"/>
      <w:r>
        <w:rPr>
          <w:rFonts w:hint="eastAsia" w:ascii="宋体" w:hAnsi="宋体" w:cs="宋体"/>
          <w:color w:val="auto"/>
          <w:szCs w:val="21"/>
          <w:highlight w:val="none"/>
          <w:lang w:bidi="ar"/>
        </w:rPr>
        <w:t>.4  质量检查</w:t>
      </w:r>
      <w:bookmarkEnd w:id="1092"/>
      <w:bookmarkEnd w:id="1093"/>
      <w:bookmarkEnd w:id="1094"/>
    </w:p>
    <w:p w14:paraId="2AB9DA68">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095" w:name="_Ref18990699"/>
      <w:bookmarkEnd w:id="1095"/>
      <w:r>
        <w:rPr>
          <w:rFonts w:hint="eastAsia" w:ascii="宋体" w:hAnsi="宋体" w:cs="宋体"/>
          <w:color w:val="auto"/>
          <w:szCs w:val="21"/>
          <w:highlight w:val="none"/>
          <w:lang w:bidi="ar"/>
        </w:rPr>
        <w:t>6.4.1工程质量要求</w:t>
      </w:r>
    </w:p>
    <w:p w14:paraId="4C2B3E4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工程质量标准必须符合现行国家有关工程施工质量验收规范和标准的要求。有关工程质量的特殊标准或要求由合同当事人在专用合同条件中约定。</w:t>
      </w:r>
    </w:p>
    <w:p w14:paraId="160D6F0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原因造成工程质量未达到合同约定标准的，发包人有权要求承包人返工直至工程质量达到合同约定的标准为止，并由承包人承担由此增加的费用和（或）延误的工期。因发包人原因造成工程质量未达到合同约定标准的，由发包人承担由此增加的费用和（或）延误的工期，并支付承包人合理的利润。</w:t>
      </w:r>
    </w:p>
    <w:p w14:paraId="624390D0">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096" w:name="_Ref18990717"/>
      <w:bookmarkEnd w:id="1096"/>
      <w:r>
        <w:rPr>
          <w:rFonts w:hint="eastAsia" w:ascii="宋体" w:hAnsi="宋体" w:cs="宋体"/>
          <w:color w:val="auto"/>
          <w:szCs w:val="21"/>
          <w:highlight w:val="none"/>
          <w:lang w:bidi="ar"/>
        </w:rPr>
        <w:t>6.4.2质量检查</w:t>
      </w:r>
    </w:p>
    <w:p w14:paraId="5495E7B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有权通过工程师或自行对全部工程内容及其施工工艺、材料和工程设备进行检查和检验。承包人应为工程师或发包人的检查和检验提供方便，包括到施工现场，或制造、加工地点，或专用合同条件约定的其他地方进行察看和查阅施工原始记录。承包人还应按工程师或发包人指示，进行施工现场的取样试验，工程复核测量和设备性能检测，提供试验样品、提交试验报告和测量成果以及工程师或发包人指示进行的其他工作。工程师或发包人的检查和检验，不免除承包人按合同约定应负的责任。</w:t>
      </w:r>
    </w:p>
    <w:p w14:paraId="2C5CCBD6">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097" w:name="_Ref11959222"/>
      <w:bookmarkEnd w:id="1097"/>
      <w:r>
        <w:rPr>
          <w:rFonts w:hint="eastAsia" w:ascii="宋体" w:hAnsi="宋体" w:cs="宋体"/>
          <w:color w:val="auto"/>
          <w:szCs w:val="21"/>
          <w:highlight w:val="none"/>
          <w:lang w:bidi="ar"/>
        </w:rPr>
        <w:t>6.4.3隐蔽工程检查</w:t>
      </w:r>
    </w:p>
    <w:p w14:paraId="503010D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除专用合同条件另有约定外，工程隐蔽部位经承包人自检确认具备覆盖条件的，承包人应书面通知工程师在约定的期限内检查，通知中应载明隐蔽检查的内容、时间和地点，并应附有自检记录和必要的检查资料。</w:t>
      </w:r>
    </w:p>
    <w:p w14:paraId="5EFACE8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师应按时到场并对隐蔽工程及其施工工艺、材料和工程设备进行检查。经工程师检查确认质量符合隐蔽要求，并在验收记录上签字后，承包人才能进行覆盖。经工程师检查质量不合格的，承包人应在工程师指示的时间内完成修复，并由工程师重新检查，由此增加的费用和（或）延误的工期由承包人承担。</w:t>
      </w:r>
    </w:p>
    <w:p w14:paraId="0A03A56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除专用合同条件另有约定外，工程师不能按时进行检查的，应提前向承包人提交书面延期要求，顺延时间不得超过</w:t>
      </w:r>
      <w:r>
        <w:rPr>
          <w:rFonts w:ascii="宋体" w:hAnsi="宋体" w:cs="宋体"/>
          <w:color w:val="auto"/>
          <w:kern w:val="0"/>
          <w:szCs w:val="21"/>
          <w:highlight w:val="none"/>
          <w:lang w:bidi="ar"/>
        </w:rPr>
        <w:t>48小时，</w:t>
      </w:r>
      <w:r>
        <w:rPr>
          <w:rFonts w:hint="eastAsia" w:ascii="宋体" w:hAnsi="宋体" w:cs="宋体"/>
          <w:color w:val="auto"/>
          <w:kern w:val="0"/>
          <w:szCs w:val="21"/>
          <w:highlight w:val="none"/>
          <w:lang w:bidi="ar"/>
        </w:rPr>
        <w:t>由此导致工期延误的，工期应予以顺延；顺延超过</w:t>
      </w:r>
      <w:r>
        <w:rPr>
          <w:rFonts w:ascii="宋体" w:hAnsi="宋体" w:cs="宋体"/>
          <w:color w:val="auto"/>
          <w:kern w:val="0"/>
          <w:szCs w:val="21"/>
          <w:highlight w:val="none"/>
          <w:lang w:bidi="ar"/>
        </w:rPr>
        <w:t>48小时的，由此导致的工期延误及费用增加由发包人承担</w:t>
      </w:r>
      <w:r>
        <w:rPr>
          <w:rFonts w:hint="eastAsia" w:ascii="宋体" w:hAnsi="宋体" w:cs="宋体"/>
          <w:color w:val="auto"/>
          <w:kern w:val="0"/>
          <w:szCs w:val="21"/>
          <w:highlight w:val="none"/>
          <w:lang w:bidi="ar"/>
        </w:rPr>
        <w:t>。工程师未按时进行检查，也未提出延期要求的，视为隐蔽工程检查合格，承包人可自行完成覆盖工作，并作相应记录报送工程师，工程师应签字确认。工程师事后对检查记录有疑问的，可按下列约定重新检查。</w:t>
      </w:r>
    </w:p>
    <w:p w14:paraId="0B567AB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覆盖工程隐蔽部位后，工程师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3ECD6E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承包人未通知工程师到场检查，私自将工程隐蔽部位覆盖的，工程师有权指示承包人钻孔探测或揭开检查，无论工程隐蔽部位质量是否合格，由此增加的费用和（或）延误的工期均由承包人承担。</w:t>
      </w:r>
    </w:p>
    <w:p w14:paraId="77AA6522">
      <w:pPr>
        <w:widowControl/>
        <w:wordWrap w:val="0"/>
        <w:topLinePunct/>
        <w:adjustRightInd w:val="0"/>
        <w:snapToGrid w:val="0"/>
        <w:spacing w:after="163" w:afterLines="50" w:line="360" w:lineRule="auto"/>
        <w:outlineLvl w:val="2"/>
        <w:rPr>
          <w:rFonts w:ascii="宋体" w:hAnsi="宋体" w:cs="宋体"/>
          <w:color w:val="auto"/>
          <w:highlight w:val="none"/>
        </w:rPr>
      </w:pPr>
      <w:bookmarkStart w:id="1098" w:name="_Ref11927398"/>
      <w:bookmarkEnd w:id="1098"/>
      <w:bookmarkStart w:id="1099" w:name="_Ref11927403"/>
      <w:bookmarkEnd w:id="1099"/>
      <w:bookmarkStart w:id="1100" w:name="_Toc20171774"/>
      <w:bookmarkEnd w:id="1100"/>
      <w:bookmarkStart w:id="1101" w:name="_Ref11927389"/>
      <w:bookmarkEnd w:id="1101"/>
      <w:bookmarkStart w:id="1102" w:name="_Ref11959175"/>
      <w:bookmarkEnd w:id="1102"/>
      <w:bookmarkStart w:id="1103" w:name="_Ref11959158"/>
      <w:bookmarkStart w:id="1104" w:name="_Toc51766626"/>
      <w:bookmarkStart w:id="1105" w:name="_Toc58860213"/>
      <w:bookmarkStart w:id="1106" w:name="_Toc25319"/>
      <w:r>
        <w:rPr>
          <w:rFonts w:hint="eastAsia" w:ascii="宋体" w:hAnsi="宋体" w:cs="宋体"/>
          <w:color w:val="auto"/>
          <w:szCs w:val="21"/>
          <w:highlight w:val="none"/>
          <w:lang w:bidi="ar"/>
        </w:rPr>
        <w:t xml:space="preserve">6.5  </w:t>
      </w:r>
      <w:bookmarkEnd w:id="1103"/>
      <w:r>
        <w:rPr>
          <w:rFonts w:hint="eastAsia" w:ascii="宋体" w:hAnsi="宋体" w:cs="宋体"/>
          <w:color w:val="auto"/>
          <w:szCs w:val="21"/>
          <w:highlight w:val="none"/>
          <w:lang w:bidi="ar"/>
        </w:rPr>
        <w:t>由承包人试验和检验</w:t>
      </w:r>
      <w:bookmarkEnd w:id="1104"/>
      <w:bookmarkEnd w:id="1105"/>
      <w:bookmarkEnd w:id="1106"/>
    </w:p>
    <w:p w14:paraId="5A234FA5">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6.5.1试验设备与试验人员</w:t>
      </w:r>
    </w:p>
    <w:p w14:paraId="39F96DD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根据合同约定或工程师指示进行的现场材料试验，应由承包人提供试验场所、试验人员、试验设备以及其他必要的试验条件。工程师在必要时可以使用承包人提供的试验场所、试验设备以及其他试验条件，进行以工程质量检查为目的的材料复核试验，承包人应予以协助。</w:t>
      </w:r>
    </w:p>
    <w:p w14:paraId="743169F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（2）承包人应按专用合同条件约定的试验内容、时间和地点提供试验设备、取样装置、试验场所和试验条件，并向工程师提交相应进场计划表。</w:t>
      </w:r>
    </w:p>
    <w:p w14:paraId="4ABAC0A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承包人配置的试验设备要符合相应试验规程的要求并经过具有资质的检测单位检测，且在正式使用该试验设备前，需要经过工程师与承包人共同校定。</w:t>
      </w:r>
    </w:p>
    <w:p w14:paraId="3DED12B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（3）承包人应向工程师提交试验人员的名单及其岗位、资格等证明资料，试验人员必须能够熟练进行相应的检测试验，承包人对试验人员的试验程序和试验结果的正确性负责。</w:t>
      </w:r>
    </w:p>
    <w:p w14:paraId="668D4E17">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6.5.2取样</w:t>
      </w:r>
    </w:p>
    <w:p w14:paraId="0C9A5E3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试验属于自检性质的，承包人可以单独取样。试验属于工程师抽检性质的，可由工程师取样，也可由承包人的试验人员在工程师的监督下取样。</w:t>
      </w:r>
    </w:p>
    <w:p w14:paraId="04A85648">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6.5.3材料、工程设备和工程的试验和检验</w:t>
      </w:r>
    </w:p>
    <w:p w14:paraId="2E3EE8C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应按合同约定进行材料和工程设备的试验和检验，并为工程师对上述材料、工程设备和工程的质量检查提供必要的试验资料和原始记录。按合同约定应由工程师与承包人共同进行试验和检验的，由承包人负责提供必要的试验资料和原始记录。</w:t>
      </w:r>
    </w:p>
    <w:p w14:paraId="0554A11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试验属于自检性质的，承包人可以单独进行试验。试验属于工程师抽检性质的，工程师可以单独进行试验，也可由承包人与工程师共同进行。承包人对由工程师单独进行的试验结果有异议的，可以申请重新共同进行试验。约定共同进行试验的，工程师未按照约定参加试验的，承包人可自行试验，并将试验结果报送工程师，工程师应承认该试验结果。</w:t>
      </w:r>
    </w:p>
    <w:p w14:paraId="03ABB43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工程师对承包人的试验和检验结果有异议的，或为查清承包人试验和检验成果的可靠性要求承包人重新试验和检验的，可由工程师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259BEB72">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107" w:name="_Toc351203566"/>
      <w:bookmarkEnd w:id="1107"/>
      <w:bookmarkStart w:id="1108" w:name="_Toc337558786"/>
      <w:r>
        <w:rPr>
          <w:rFonts w:hint="eastAsia" w:ascii="宋体" w:hAnsi="宋体" w:cs="宋体"/>
          <w:color w:val="auto"/>
          <w:szCs w:val="21"/>
          <w:highlight w:val="none"/>
          <w:lang w:bidi="ar"/>
        </w:rPr>
        <w:t>6</w:t>
      </w:r>
      <w:bookmarkEnd w:id="1108"/>
      <w:r>
        <w:rPr>
          <w:rFonts w:hint="eastAsia" w:ascii="宋体" w:hAnsi="宋体" w:cs="宋体"/>
          <w:color w:val="auto"/>
          <w:szCs w:val="21"/>
          <w:highlight w:val="none"/>
          <w:lang w:bidi="ar"/>
        </w:rPr>
        <w:t>.5.4现场工艺试验</w:t>
      </w:r>
    </w:p>
    <w:p w14:paraId="690DBE1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承包人应按合同约定进行现场工艺试验。对大型的现场工艺试验，发包人认为必要时，承包人应根据发包人提出的工艺试验要求，编制工艺试验措施计划，报送发包人审查。</w:t>
      </w:r>
    </w:p>
    <w:p w14:paraId="11EA6DA2">
      <w:pPr>
        <w:widowControl/>
        <w:wordWrap w:val="0"/>
        <w:topLinePunct/>
        <w:adjustRightInd w:val="0"/>
        <w:snapToGrid w:val="0"/>
        <w:spacing w:after="163" w:afterLines="50" w:line="360" w:lineRule="auto"/>
        <w:outlineLvl w:val="2"/>
        <w:rPr>
          <w:rFonts w:ascii="宋体" w:hAnsi="宋体" w:cs="宋体"/>
          <w:color w:val="auto"/>
          <w:highlight w:val="none"/>
        </w:rPr>
      </w:pPr>
      <w:bookmarkStart w:id="1109" w:name="_Ref532592787"/>
      <w:bookmarkEnd w:id="1109"/>
      <w:bookmarkStart w:id="1110" w:name="_Ref532592784"/>
      <w:bookmarkEnd w:id="1110"/>
      <w:bookmarkStart w:id="1111" w:name="_Toc20171775"/>
      <w:bookmarkStart w:id="1112" w:name="_Toc14746"/>
      <w:bookmarkStart w:id="1113" w:name="_Toc58860214"/>
      <w:bookmarkStart w:id="1114" w:name="_Toc51766627"/>
      <w:r>
        <w:rPr>
          <w:rFonts w:hint="eastAsia" w:ascii="宋体" w:hAnsi="宋体" w:cs="宋体"/>
          <w:color w:val="auto"/>
          <w:szCs w:val="21"/>
          <w:highlight w:val="none"/>
          <w:lang w:bidi="ar"/>
        </w:rPr>
        <w:t>6</w:t>
      </w:r>
      <w:bookmarkEnd w:id="1111"/>
      <w:r>
        <w:rPr>
          <w:rFonts w:hint="eastAsia" w:ascii="宋体" w:hAnsi="宋体" w:cs="宋体"/>
          <w:color w:val="auto"/>
          <w:szCs w:val="21"/>
          <w:highlight w:val="none"/>
          <w:lang w:bidi="ar"/>
        </w:rPr>
        <w:t>.6  缺陷和修补</w:t>
      </w:r>
      <w:bookmarkEnd w:id="1112"/>
      <w:bookmarkEnd w:id="1113"/>
      <w:bookmarkEnd w:id="1114"/>
    </w:p>
    <w:p w14:paraId="5E379041">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115" w:name="_Ref16875551"/>
      <w:bookmarkEnd w:id="1115"/>
      <w:r>
        <w:rPr>
          <w:rFonts w:hint="eastAsia" w:ascii="宋体" w:hAnsi="宋体" w:cs="宋体"/>
          <w:color w:val="auto"/>
          <w:szCs w:val="21"/>
          <w:highlight w:val="none"/>
          <w:lang w:bidi="ar"/>
        </w:rPr>
        <w:t>6.6.1发包人可在颁发接收证书前随时指示承包人：</w:t>
      </w:r>
    </w:p>
    <w:p w14:paraId="651C155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（1）对不符合合同要求的任何工程设备或材料进行修补，或者将其移出现场并进行更换；</w:t>
      </w:r>
    </w:p>
    <w:p w14:paraId="52348C3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（2）对不符合合同的其他工作进行修补，或者将其去除并重新实施； </w:t>
      </w:r>
    </w:p>
    <w:p w14:paraId="10F67D9E">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116" w:name="_Ref4708991"/>
      <w:bookmarkEnd w:id="1116"/>
      <w:r>
        <w:rPr>
          <w:rFonts w:hint="eastAsia" w:ascii="宋体" w:hAnsi="宋体" w:cs="宋体"/>
          <w:color w:val="auto"/>
          <w:kern w:val="0"/>
          <w:szCs w:val="21"/>
          <w:highlight w:val="none"/>
          <w:lang w:bidi="ar"/>
        </w:rPr>
        <w:t>（3）实施因意外、不可预见的事件或其他原因引起的、为工程的安全迫切需要的任何修补工作。</w:t>
      </w:r>
    </w:p>
    <w:p w14:paraId="64828A40">
      <w:pPr>
        <w:widowControl/>
        <w:adjustRightInd w:val="0"/>
        <w:snapToGrid w:val="0"/>
        <w:spacing w:after="163" w:afterLines="50" w:line="360" w:lineRule="auto"/>
        <w:ind w:firstLine="420" w:firstLineChars="200"/>
        <w:rPr>
          <w:rFonts w:ascii="宋体" w:hAnsi="宋体" w:cs="宋体"/>
          <w:color w:val="auto"/>
          <w:highlight w:val="none"/>
        </w:rPr>
      </w:pPr>
      <w:bookmarkStart w:id="1117" w:name="_Ref11956964"/>
      <w:bookmarkEnd w:id="1117"/>
      <w:r>
        <w:rPr>
          <w:rFonts w:hint="eastAsia" w:ascii="宋体" w:hAnsi="宋体" w:cs="宋体"/>
          <w:color w:val="auto"/>
          <w:szCs w:val="21"/>
          <w:highlight w:val="none"/>
          <w:lang w:bidi="ar"/>
        </w:rPr>
        <w:t>6.6.2承包人应遵守第6.6.1项下指示，并在合理可行的情况下，根据上述指示中规定的时间完成修补工作。除因下列原因引起的第6.6.1项第（3）目下的情形外，承包人应承担所有修补工作的费用：</w:t>
      </w:r>
    </w:p>
    <w:p w14:paraId="4BD2921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（1）因发包人或其人员的任何行为导致的情形，且在此情况下发包人应承担因此引起的工期延误和承包人费用损失，并向承包人支付合理的利润。</w:t>
      </w:r>
    </w:p>
    <w:p w14:paraId="25DB197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（2）第17.4款[不可抗力后果的承担]中适用的不可抗力事件的情形。</w:t>
      </w:r>
    </w:p>
    <w:p w14:paraId="2E0AD17C">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6.6.3如果承包人未能遵守发包人的指示，发包人可以自行决定请第三方完成上述修补工作，并有权要求承包人支付因未履行指示而产生的所有费用，但承包人根据第6.6.2项有权就修补工作获得支付的情况除外。</w:t>
      </w:r>
    </w:p>
    <w:p w14:paraId="1D413591">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118" w:name="_Ref531954214"/>
      <w:bookmarkEnd w:id="1118"/>
      <w:bookmarkStart w:id="1119" w:name="_Toc20171776"/>
      <w:bookmarkStart w:id="1120" w:name="_Toc58860215"/>
      <w:r>
        <w:rPr>
          <w:rFonts w:hint="eastAsia" w:ascii="宋体" w:hAnsi="宋体" w:cs="宋体"/>
          <w:color w:val="auto"/>
          <w:kern w:val="0"/>
          <w:szCs w:val="21"/>
          <w:highlight w:val="none"/>
          <w:lang w:bidi="ar"/>
        </w:rPr>
        <w:t xml:space="preserve">第7条 </w:t>
      </w:r>
      <w:bookmarkEnd w:id="1119"/>
      <w:r>
        <w:rPr>
          <w:rFonts w:hint="eastAsia" w:ascii="宋体" w:hAnsi="宋体" w:cs="宋体"/>
          <w:color w:val="auto"/>
          <w:kern w:val="0"/>
          <w:szCs w:val="21"/>
          <w:highlight w:val="none"/>
          <w:lang w:bidi="ar"/>
        </w:rPr>
        <w:t xml:space="preserve"> 施工</w:t>
      </w:r>
      <w:bookmarkEnd w:id="1120"/>
    </w:p>
    <w:p w14:paraId="5909540B">
      <w:pPr>
        <w:widowControl/>
        <w:wordWrap w:val="0"/>
        <w:topLinePunct/>
        <w:adjustRightInd w:val="0"/>
        <w:snapToGrid w:val="0"/>
        <w:spacing w:after="163" w:afterLines="50" w:line="360" w:lineRule="auto"/>
        <w:outlineLvl w:val="2"/>
        <w:rPr>
          <w:rFonts w:ascii="宋体" w:hAnsi="宋体" w:cs="宋体"/>
          <w:color w:val="auto"/>
          <w:highlight w:val="none"/>
        </w:rPr>
      </w:pPr>
      <w:bookmarkStart w:id="1121" w:name="_Ref531954272"/>
      <w:bookmarkEnd w:id="1121"/>
      <w:bookmarkStart w:id="1122" w:name="_Ref531954246"/>
      <w:bookmarkEnd w:id="1122"/>
      <w:bookmarkStart w:id="1123" w:name="_Ref531954276"/>
      <w:bookmarkEnd w:id="1123"/>
      <w:bookmarkStart w:id="1124" w:name="_Toc20171777"/>
      <w:bookmarkEnd w:id="1124"/>
      <w:bookmarkStart w:id="1125" w:name="_Ref531954260"/>
      <w:bookmarkStart w:id="1126" w:name="_Toc51766629"/>
      <w:bookmarkStart w:id="1127" w:name="_Toc58860216"/>
      <w:bookmarkStart w:id="1128" w:name="_Toc26213"/>
      <w:r>
        <w:rPr>
          <w:rFonts w:hint="eastAsia" w:ascii="宋体" w:hAnsi="宋体" w:cs="宋体"/>
          <w:color w:val="auto"/>
          <w:szCs w:val="21"/>
          <w:highlight w:val="none"/>
          <w:lang w:bidi="ar"/>
        </w:rPr>
        <w:t>7</w:t>
      </w:r>
      <w:bookmarkEnd w:id="1125"/>
      <w:r>
        <w:rPr>
          <w:rFonts w:hint="eastAsia" w:ascii="宋体" w:hAnsi="宋体" w:cs="宋体"/>
          <w:color w:val="auto"/>
          <w:szCs w:val="21"/>
          <w:highlight w:val="none"/>
          <w:lang w:bidi="ar"/>
        </w:rPr>
        <w:t>.1  交通运输</w:t>
      </w:r>
      <w:bookmarkEnd w:id="1126"/>
      <w:bookmarkEnd w:id="1127"/>
      <w:bookmarkEnd w:id="1128"/>
      <w:r>
        <w:rPr>
          <w:rFonts w:hint="eastAsia" w:ascii="宋体" w:hAnsi="宋体" w:cs="宋体"/>
          <w:color w:val="auto"/>
          <w:szCs w:val="21"/>
          <w:highlight w:val="none"/>
          <w:lang w:bidi="ar"/>
        </w:rPr>
        <w:t xml:space="preserve"> </w:t>
      </w:r>
    </w:p>
    <w:p w14:paraId="0DE3A9CD">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129" w:name="_Ref4422645"/>
      <w:bookmarkEnd w:id="1129"/>
      <w:r>
        <w:rPr>
          <w:rFonts w:hint="eastAsia" w:ascii="宋体" w:hAnsi="宋体" w:cs="宋体"/>
          <w:color w:val="auto"/>
          <w:szCs w:val="21"/>
          <w:highlight w:val="none"/>
          <w:lang w:bidi="ar"/>
        </w:rPr>
        <w:t>7.1.1出入现场的权利</w:t>
      </w:r>
    </w:p>
    <w:p w14:paraId="306029A1">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发包人应根据工程实施需要，负责取得出入施工现场所需的批准手续和全部权利，以及取得因工程实施所需修建道路、桥梁以及其他基础设施的权利，并承担相关手续费用和建设费用。承包人应协助发包人办理修建场内外道路、桥梁以及其他基础设施的手续。</w:t>
      </w:r>
    </w:p>
    <w:p w14:paraId="2970944A">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130" w:name="_Ref18957045"/>
      <w:bookmarkEnd w:id="1130"/>
      <w:r>
        <w:rPr>
          <w:rFonts w:hint="eastAsia" w:ascii="宋体" w:hAnsi="宋体" w:cs="宋体"/>
          <w:color w:val="auto"/>
          <w:szCs w:val="21"/>
          <w:highlight w:val="none"/>
          <w:lang w:bidi="ar"/>
        </w:rPr>
        <w:t>7.1.2场外交通</w:t>
      </w:r>
    </w:p>
    <w:p w14:paraId="516D1E8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发包人应提供场外交通设施的技术参数和具体条件，场外交通设施无法满足工程施工需要的，由发包人负责承担由此产生的相关费用。承包人应遵守有关交通法规，严格按照道路和桥梁的限制荷载行驶，执行有关道路限速、限行、禁止超载的规定，并配合交通管理部门的监督和检查。承包人车辆外出行驶所需的场外公共道路的通行费、养路费和税款等由承包人承担。</w:t>
      </w:r>
    </w:p>
    <w:p w14:paraId="1A67F0C9">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131" w:name="_Ref4622358"/>
      <w:bookmarkEnd w:id="1131"/>
      <w:r>
        <w:rPr>
          <w:rFonts w:hint="eastAsia" w:ascii="宋体" w:hAnsi="宋体" w:cs="宋体"/>
          <w:color w:val="auto"/>
          <w:szCs w:val="21"/>
          <w:highlight w:val="none"/>
          <w:lang w:bidi="ar"/>
        </w:rPr>
        <w:t>7.1.3场内交通</w:t>
      </w:r>
    </w:p>
    <w:p w14:paraId="1D78B7E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承包人应负责修建、维修、养护和管理施工所需的临时道路和交通设施，包括维修、养护和管理发包人提供的道路和交通设施，并承担相应费用。承包人修建的临时道路和交通设施应免费提供发包人和工程师为实现合同目的使用。场内交通与场外交通的边界由合同当事人在专用合同条件中约定。</w:t>
      </w:r>
    </w:p>
    <w:p w14:paraId="7FA8C750">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132" w:name="_Ref4622376"/>
      <w:bookmarkEnd w:id="1132"/>
      <w:r>
        <w:rPr>
          <w:rFonts w:hint="eastAsia" w:ascii="宋体" w:hAnsi="宋体" w:cs="宋体"/>
          <w:color w:val="auto"/>
          <w:szCs w:val="21"/>
          <w:highlight w:val="none"/>
          <w:lang w:bidi="ar"/>
        </w:rPr>
        <w:t>7.1.4超大件和超重件的运输</w:t>
      </w:r>
    </w:p>
    <w:p w14:paraId="6334E86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由承包人负责运输的超大件或超重件，应由承包人负责向交通管理部门办理申请手续，发包人给予协助。运输超大件或超重件所需的道路和桥梁临时加固改造费用和其他有关费用，由承包人承担，但专用合同条件另有约定的除外。</w:t>
      </w:r>
    </w:p>
    <w:p w14:paraId="78A1D0A5">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7.1.5道路和桥梁的损坏责任</w:t>
      </w:r>
    </w:p>
    <w:p w14:paraId="73DF817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因承包人运输造成施工现场内外公共道路和桥梁损坏的，由承包人承担修复损坏的全部费用和可能引起的赔偿。</w:t>
      </w:r>
    </w:p>
    <w:p w14:paraId="097D2231">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7.1.6水路和航空运输</w:t>
      </w:r>
    </w:p>
    <w:p w14:paraId="5A59ED1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本条上述各款的内容适用于水路运输和航空运输，其中“道路”一词的涵义包括河道、航线、船闸、机场、码头、堤防以及水路或航空运输中其他相似结构物；“车辆”一词的涵义包括船舶和飞机等。</w:t>
      </w:r>
    </w:p>
    <w:p w14:paraId="574A7EDA">
      <w:pPr>
        <w:widowControl/>
        <w:wordWrap w:val="0"/>
        <w:topLinePunct/>
        <w:adjustRightInd w:val="0"/>
        <w:snapToGrid w:val="0"/>
        <w:spacing w:after="163" w:afterLines="50" w:line="360" w:lineRule="auto"/>
        <w:outlineLvl w:val="2"/>
        <w:rPr>
          <w:rFonts w:ascii="宋体" w:hAnsi="宋体" w:cs="宋体"/>
          <w:color w:val="auto"/>
          <w:highlight w:val="none"/>
        </w:rPr>
      </w:pPr>
      <w:bookmarkStart w:id="1133" w:name="_Ref11919459"/>
      <w:bookmarkEnd w:id="1133"/>
      <w:bookmarkStart w:id="1134" w:name="_Ref11919294"/>
      <w:bookmarkEnd w:id="1134"/>
      <w:bookmarkStart w:id="1135" w:name="_Toc20171778"/>
      <w:bookmarkStart w:id="1136" w:name="_Toc32414"/>
      <w:bookmarkStart w:id="1137" w:name="_Toc58860217"/>
      <w:bookmarkStart w:id="1138" w:name="_Toc51766630"/>
      <w:r>
        <w:rPr>
          <w:rFonts w:hint="eastAsia" w:ascii="宋体" w:hAnsi="宋体" w:cs="宋体"/>
          <w:color w:val="auto"/>
          <w:szCs w:val="21"/>
          <w:highlight w:val="none"/>
          <w:lang w:bidi="ar"/>
        </w:rPr>
        <w:t>7</w:t>
      </w:r>
      <w:bookmarkEnd w:id="1135"/>
      <w:r>
        <w:rPr>
          <w:rFonts w:hint="eastAsia" w:ascii="宋体" w:hAnsi="宋体" w:cs="宋体"/>
          <w:color w:val="auto"/>
          <w:szCs w:val="21"/>
          <w:highlight w:val="none"/>
          <w:lang w:bidi="ar"/>
        </w:rPr>
        <w:t>.2  施工设备和临时设施</w:t>
      </w:r>
      <w:bookmarkEnd w:id="1136"/>
      <w:bookmarkEnd w:id="1137"/>
      <w:bookmarkEnd w:id="1138"/>
      <w:r>
        <w:rPr>
          <w:rFonts w:hint="eastAsia" w:ascii="宋体" w:hAnsi="宋体" w:cs="宋体"/>
          <w:color w:val="auto"/>
          <w:szCs w:val="21"/>
          <w:highlight w:val="none"/>
          <w:lang w:bidi="ar"/>
        </w:rPr>
        <w:t xml:space="preserve"> </w:t>
      </w:r>
    </w:p>
    <w:p w14:paraId="5614572A">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139" w:name="_Ref18990767"/>
      <w:bookmarkEnd w:id="1139"/>
      <w:bookmarkStart w:id="1140" w:name="_Ref509043186"/>
      <w:r>
        <w:rPr>
          <w:rFonts w:hint="eastAsia" w:ascii="宋体" w:hAnsi="宋体" w:cs="宋体"/>
          <w:color w:val="auto"/>
          <w:szCs w:val="21"/>
          <w:highlight w:val="none"/>
          <w:lang w:bidi="ar"/>
        </w:rPr>
        <w:t>7</w:t>
      </w:r>
      <w:bookmarkEnd w:id="1140"/>
      <w:r>
        <w:rPr>
          <w:rFonts w:hint="eastAsia" w:ascii="宋体" w:hAnsi="宋体" w:cs="宋体"/>
          <w:color w:val="auto"/>
          <w:szCs w:val="21"/>
          <w:highlight w:val="none"/>
          <w:lang w:bidi="ar"/>
        </w:rPr>
        <w:t>.2.1承包人提供的施工设备和临时设施</w:t>
      </w:r>
    </w:p>
    <w:p w14:paraId="4A1D5B6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承包人应按项目进度计划的要求，及时配置施工设备和修建临时设施。进入施工现场的承包人提供的施工设备需经工程师核查后才能投入使用。承包人更换合同约定由承包人提供的施工设备的，应报工程师批准。</w:t>
      </w:r>
    </w:p>
    <w:p w14:paraId="40463CF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承包人应自行承担修建临时设施的费用，需要临时占地的，应由发包人办理申请手续并承担相应费用。承包人应在专用合同条件第7.2款约定的时间内向发包人提交临时占地资料，因承包人未能按时提交资料，导致工期延误的，由此增加的费用和（或）竣工日期延误，由承包人负责。</w:t>
      </w:r>
    </w:p>
    <w:p w14:paraId="2666A0B7">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141" w:name="_Ref18990784"/>
      <w:bookmarkEnd w:id="1141"/>
      <w:r>
        <w:rPr>
          <w:rFonts w:hint="eastAsia" w:ascii="宋体" w:hAnsi="宋体" w:cs="宋体"/>
          <w:color w:val="auto"/>
          <w:szCs w:val="21"/>
          <w:highlight w:val="none"/>
          <w:lang w:bidi="ar"/>
        </w:rPr>
        <w:t>7.2.2发包人提供的施工设备和临时设施</w:t>
      </w:r>
    </w:p>
    <w:p w14:paraId="7F355EC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发包人提供的施工设备或临时设施在专用合同条件中约定。</w:t>
      </w:r>
    </w:p>
    <w:p w14:paraId="657F6D5F">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7.2.3要求承包人增加或更换施工设备</w:t>
      </w:r>
    </w:p>
    <w:p w14:paraId="5DEE1A2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承包人使用的施工设备不能满足项目进度计划和（或）质量要求时，工程师有权要求承包人增加或更换施工设备，承包人应及时增加或更换，由此增加的费用和（或）延误的工期由承包人承担。</w:t>
      </w:r>
    </w:p>
    <w:p w14:paraId="29DA1D50">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7.2.4施工设备和临时设施专用于合同工程</w:t>
      </w:r>
    </w:p>
    <w:p w14:paraId="39C3EC6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运入施工现场的施工设备以及在施工现场建设的临时设施必须专用于工程。未经发包人批准，承包人不得运出施工现场或挪作他用；经发包人批准，承包人可以根据施工进度计划撤走闲置的施工设备和其他物品。</w:t>
      </w:r>
    </w:p>
    <w:p w14:paraId="087F5F35">
      <w:pPr>
        <w:widowControl/>
        <w:wordWrap w:val="0"/>
        <w:topLinePunct/>
        <w:adjustRightInd w:val="0"/>
        <w:snapToGrid w:val="0"/>
        <w:spacing w:after="163" w:afterLines="50" w:line="360" w:lineRule="auto"/>
        <w:outlineLvl w:val="2"/>
        <w:rPr>
          <w:rFonts w:ascii="宋体" w:hAnsi="宋体" w:cs="宋体"/>
          <w:color w:val="auto"/>
          <w:highlight w:val="none"/>
        </w:rPr>
      </w:pPr>
      <w:bookmarkStart w:id="1142" w:name="_Toc20171779"/>
      <w:bookmarkEnd w:id="1142"/>
      <w:bookmarkStart w:id="1143" w:name="_Ref11874352"/>
      <w:bookmarkStart w:id="1144" w:name="_Toc58860218"/>
      <w:bookmarkStart w:id="1145" w:name="_Toc11063"/>
      <w:bookmarkStart w:id="1146" w:name="_Toc51766631"/>
      <w:r>
        <w:rPr>
          <w:rFonts w:hint="eastAsia" w:ascii="宋体" w:hAnsi="宋体" w:cs="宋体"/>
          <w:color w:val="auto"/>
          <w:szCs w:val="21"/>
          <w:highlight w:val="none"/>
          <w:lang w:bidi="ar"/>
        </w:rPr>
        <w:t>7</w:t>
      </w:r>
      <w:bookmarkEnd w:id="1143"/>
      <w:r>
        <w:rPr>
          <w:rFonts w:hint="eastAsia" w:ascii="宋体" w:hAnsi="宋体" w:cs="宋体"/>
          <w:color w:val="auto"/>
          <w:szCs w:val="21"/>
          <w:highlight w:val="none"/>
          <w:lang w:bidi="ar"/>
        </w:rPr>
        <w:t>.3  现场合作</w:t>
      </w:r>
      <w:bookmarkEnd w:id="1144"/>
      <w:bookmarkEnd w:id="1145"/>
      <w:bookmarkEnd w:id="1146"/>
    </w:p>
    <w:p w14:paraId="7B4BE55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承包人应按合同约定或发包人的指示，与发包人人员、发包人的其他承包人等人员就在现场或附近实施与工程有关的各项工作进行合作并提供适当条件，包括使用承包人设备、临时工程或进入现场等。</w:t>
      </w:r>
    </w:p>
    <w:p w14:paraId="495FA95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承包人应对其在现场的施工活动负责，并应尽合理努力按合同约定或发包人的指示，协调自身与发包人人员、发包人的其他承包人等人员的活动。</w:t>
      </w:r>
    </w:p>
    <w:p w14:paraId="37914CE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如果承包人提供上述合作、条件或协调在考虑到《发包人要求》所列内容的情况下是不可预见的，则承包人有权就额外费用和合理利润从发包人处获得支付，且因此延误的工期应相应顺延。</w:t>
      </w:r>
    </w:p>
    <w:p w14:paraId="3085DBD3">
      <w:pPr>
        <w:widowControl/>
        <w:wordWrap w:val="0"/>
        <w:topLinePunct/>
        <w:adjustRightInd w:val="0"/>
        <w:snapToGrid w:val="0"/>
        <w:spacing w:after="163" w:afterLines="50" w:line="360" w:lineRule="auto"/>
        <w:outlineLvl w:val="2"/>
        <w:rPr>
          <w:rFonts w:ascii="宋体" w:hAnsi="宋体" w:cs="宋体"/>
          <w:color w:val="auto"/>
          <w:highlight w:val="none"/>
        </w:rPr>
      </w:pPr>
      <w:bookmarkStart w:id="1147" w:name="_Toc20171780"/>
      <w:bookmarkEnd w:id="1147"/>
      <w:bookmarkStart w:id="1148" w:name="_Ref531954285"/>
      <w:bookmarkEnd w:id="1148"/>
      <w:bookmarkStart w:id="1149" w:name="_Ref531954287"/>
      <w:bookmarkStart w:id="1150" w:name="_Toc51766632"/>
      <w:bookmarkStart w:id="1151" w:name="_Toc31252"/>
      <w:bookmarkStart w:id="1152" w:name="_Toc58860219"/>
      <w:r>
        <w:rPr>
          <w:rFonts w:hint="eastAsia" w:ascii="宋体" w:hAnsi="宋体" w:cs="宋体"/>
          <w:color w:val="auto"/>
          <w:szCs w:val="21"/>
          <w:highlight w:val="none"/>
          <w:lang w:bidi="ar"/>
        </w:rPr>
        <w:t>7</w:t>
      </w:r>
      <w:bookmarkEnd w:id="1149"/>
      <w:r>
        <w:rPr>
          <w:rFonts w:hint="eastAsia" w:ascii="宋体" w:hAnsi="宋体" w:cs="宋体"/>
          <w:color w:val="auto"/>
          <w:szCs w:val="21"/>
          <w:highlight w:val="none"/>
          <w:lang w:bidi="ar"/>
        </w:rPr>
        <w:t>.4  测量放线</w:t>
      </w:r>
      <w:bookmarkEnd w:id="1150"/>
      <w:bookmarkEnd w:id="1151"/>
      <w:bookmarkEnd w:id="1152"/>
    </w:p>
    <w:p w14:paraId="4EAF28BA">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7.4.1除专用合同条件另有约定外，承包人应根据国家测绘基准、测绘系统和工程测量技术规范，按基准点（线）以及合同工程精度要求，测设施工控制网，并在专用合同条件约定的期限内，将施工控制网资料报送工程师。</w:t>
      </w:r>
    </w:p>
    <w:p w14:paraId="0205B5F1">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7.4.2承包人应负责管理施工控制网点。施工控制网点丢失或损坏的，承包人应及时修复。承包人应承担施工控制网点的管理与修复费用，并在工程竣工后将施工控制网点移交发包人。承包人负责对工程、单位/区段工程、施工部位放线，并对放线的准确性负责。</w:t>
      </w:r>
    </w:p>
    <w:p w14:paraId="08698CB6">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7.4.3承包人负责施工过程中的全部施工测量放线工作，并配置具有相应资质的人员、合格的仪器、设备和其他物品。承包人应矫正工程的位置、标高、尺寸或基准线中出现的任何差错，并对工程各部分的定位负责。施工过程中对施工现场内水准点等测量标志物的保护工作由承包人负责。</w:t>
      </w:r>
    </w:p>
    <w:p w14:paraId="44A051BF">
      <w:pPr>
        <w:widowControl/>
        <w:wordWrap w:val="0"/>
        <w:topLinePunct/>
        <w:adjustRightInd w:val="0"/>
        <w:snapToGrid w:val="0"/>
        <w:spacing w:after="163" w:afterLines="50" w:line="360" w:lineRule="auto"/>
        <w:outlineLvl w:val="2"/>
        <w:rPr>
          <w:rFonts w:ascii="宋体" w:hAnsi="宋体" w:cs="宋体"/>
          <w:color w:val="auto"/>
          <w:highlight w:val="none"/>
        </w:rPr>
      </w:pPr>
      <w:bookmarkStart w:id="1153" w:name="_Ref531954323"/>
      <w:bookmarkEnd w:id="1153"/>
      <w:bookmarkStart w:id="1154" w:name="_Toc20171781"/>
      <w:bookmarkEnd w:id="1154"/>
      <w:bookmarkStart w:id="1155" w:name="_Ref531954329"/>
      <w:bookmarkEnd w:id="1155"/>
      <w:bookmarkStart w:id="1156" w:name="_Ref4770992"/>
      <w:bookmarkStart w:id="1157" w:name="_Toc12850"/>
      <w:bookmarkStart w:id="1158" w:name="_Toc51766633"/>
      <w:bookmarkStart w:id="1159" w:name="_Toc58860220"/>
      <w:r>
        <w:rPr>
          <w:rFonts w:hint="eastAsia" w:ascii="宋体" w:hAnsi="宋体" w:cs="宋体"/>
          <w:color w:val="auto"/>
          <w:szCs w:val="21"/>
          <w:highlight w:val="none"/>
          <w:lang w:bidi="ar"/>
        </w:rPr>
        <w:t>7</w:t>
      </w:r>
      <w:bookmarkEnd w:id="1156"/>
      <w:r>
        <w:rPr>
          <w:rFonts w:hint="eastAsia" w:ascii="宋体" w:hAnsi="宋体" w:cs="宋体"/>
          <w:color w:val="auto"/>
          <w:szCs w:val="21"/>
          <w:highlight w:val="none"/>
          <w:lang w:bidi="ar"/>
        </w:rPr>
        <w:t>.5  现场劳动用工</w:t>
      </w:r>
      <w:bookmarkEnd w:id="1157"/>
      <w:bookmarkEnd w:id="1158"/>
      <w:bookmarkEnd w:id="1159"/>
    </w:p>
    <w:p w14:paraId="2C1688C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7.5.1承包人及其分包人招用建筑工人的，应当依法与所招用的建筑工人订立劳动合同，实行建筑工人劳动用工实名制管理，承包人应当按照有关规定开设建筑工人工资专用账户、存储工资保证金，专项用于支付和保障该工程建设项目建筑工人工资。</w:t>
      </w:r>
    </w:p>
    <w:p w14:paraId="6A57447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7.5.2承包人应当在工程项目部配备劳资专管员，对分包单位劳动用工及工资发放实施监督管理。承包人拖欠建筑工人工资的,应当依法予以清偿。分包人拖欠建筑工人工资的,由承包人先行清偿,再依法进行追偿。因发包人未按照合同约定及时拨付工程款导致建筑工人工资拖欠的，发包人应当以未结清的工程款为限先行垫付被拖欠的建筑工人工资。合同当事人可在专用合同条件中约定具体的清偿事宜和违约责任。</w:t>
      </w:r>
    </w:p>
    <w:p w14:paraId="096111C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7.5.3承包人应当按照相关法律法规的要求，进行劳动用工管理和建筑工人工资支付。</w:t>
      </w:r>
    </w:p>
    <w:p w14:paraId="17C6CC55">
      <w:pPr>
        <w:widowControl/>
        <w:wordWrap w:val="0"/>
        <w:topLinePunct/>
        <w:adjustRightInd w:val="0"/>
        <w:snapToGrid w:val="0"/>
        <w:spacing w:after="163" w:afterLines="50" w:line="360" w:lineRule="auto"/>
        <w:outlineLvl w:val="2"/>
        <w:rPr>
          <w:rFonts w:ascii="宋体" w:hAnsi="宋体" w:cs="宋体"/>
          <w:color w:val="auto"/>
          <w:highlight w:val="none"/>
        </w:rPr>
      </w:pPr>
      <w:bookmarkStart w:id="1160" w:name="_Ref41554059"/>
      <w:bookmarkEnd w:id="1160"/>
      <w:bookmarkStart w:id="1161" w:name="_Toc51766634"/>
      <w:bookmarkStart w:id="1162" w:name="_Toc58860221"/>
      <w:bookmarkStart w:id="1163" w:name="_Toc29607"/>
      <w:r>
        <w:rPr>
          <w:rFonts w:hint="eastAsia" w:ascii="宋体" w:hAnsi="宋体" w:cs="宋体"/>
          <w:color w:val="auto"/>
          <w:szCs w:val="21"/>
          <w:highlight w:val="none"/>
          <w:lang w:bidi="ar"/>
        </w:rPr>
        <w:t>7.6  安全文明施工</w:t>
      </w:r>
      <w:bookmarkEnd w:id="1161"/>
      <w:bookmarkEnd w:id="1162"/>
      <w:bookmarkEnd w:id="1163"/>
    </w:p>
    <w:p w14:paraId="7007DDF2">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164" w:name="_Ref18990822"/>
      <w:bookmarkEnd w:id="1164"/>
      <w:r>
        <w:rPr>
          <w:rFonts w:hint="eastAsia" w:ascii="宋体" w:hAnsi="宋体" w:cs="宋体"/>
          <w:color w:val="auto"/>
          <w:szCs w:val="21"/>
          <w:highlight w:val="none"/>
          <w:lang w:bidi="ar"/>
        </w:rPr>
        <w:t>7.6.1安全生产要求</w:t>
      </w:r>
    </w:p>
    <w:p w14:paraId="2E596F6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14:paraId="5B37E63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14:paraId="5123476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因安全生产需要暂停施工的，按照第8.9款[暂停工作]的约定执行。</w:t>
      </w:r>
    </w:p>
    <w:p w14:paraId="734FCF72">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7.6.2安全生产保证措施</w:t>
      </w:r>
    </w:p>
    <w:p w14:paraId="61AF5CB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14:paraId="71EBCA0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当按照有关规定编制安全技术措施或者专项施工方案，建立安全生产责任制度、治安保卫制度及安全生产教育培训制度，并按安全生产法律规定及合同约定履行安全职责，如实编制工程安全生产的有关记录，接受发包人、工程师及政府安全监督部门的检查与监督。</w:t>
      </w:r>
    </w:p>
    <w:p w14:paraId="2637B09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14:paraId="576A8C44">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165" w:name="_Ref18990840"/>
      <w:bookmarkEnd w:id="1165"/>
      <w:r>
        <w:rPr>
          <w:rFonts w:hint="eastAsia" w:ascii="宋体" w:hAnsi="宋体" w:cs="宋体"/>
          <w:color w:val="auto"/>
          <w:szCs w:val="21"/>
          <w:highlight w:val="none"/>
          <w:lang w:bidi="ar"/>
        </w:rPr>
        <w:t>7.6.3文明施工</w:t>
      </w:r>
    </w:p>
    <w:p w14:paraId="1FB8464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承包人在工程施工期间，应当采取措施保持施工现场平整，物料堆放整齐。工程所在地有关政府行政管理部门有特殊要求的，按照其要求执行。合同当事人对文明施工有其他要求的，可以在专用合同条件中明确。</w:t>
      </w:r>
    </w:p>
    <w:p w14:paraId="4E48250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3DB2F52">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7.6.4事故处理</w:t>
      </w:r>
    </w:p>
    <w:p w14:paraId="2797D9C5">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工程实施过程中发生事故的，承包人应立即通知工程师。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CBA1F4F">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在工程实施期间或缺陷责任期内发生危及工程安全的事件，工程师通知承包人进行抢救和抢修，承包人声明无能力或不愿立即执行的，发包人有权雇佣其他人员进行抢救和抢修。此类抢救和抢修按合同约定属于承包人义务的，由此增加的费用和（或）延误的工期由承包人承担。</w:t>
      </w:r>
    </w:p>
    <w:p w14:paraId="6AFEF68D">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7.6.5安全生产责任</w:t>
      </w:r>
    </w:p>
    <w:p w14:paraId="3D65774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发包人应负责赔偿以下各种情况造成的损失：</w:t>
      </w:r>
    </w:p>
    <w:p w14:paraId="026F6DA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（1）工程或工程的任何部分对土地的占用所造成的第三者财产损失；</w:t>
      </w:r>
    </w:p>
    <w:p w14:paraId="543E712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（2）由于发包人原因在施工现场及其毗邻地带、履行合同工作中造成的第三者人身伤亡和财产损失；</w:t>
      </w:r>
    </w:p>
    <w:p w14:paraId="499E67A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（3）由于发包人原因对发包人自身、承包人、工程师造成的人身伤害和财产损失。</w:t>
      </w:r>
    </w:p>
    <w:p w14:paraId="4748071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承包人应负责赔偿由于承包人原因在施工现场及其毗邻地带、履行合同工作中造成的第三者人身伤亡和财产损失。</w:t>
      </w:r>
    </w:p>
    <w:p w14:paraId="0804AE7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如果上述损失是由于发包人和承包人共同原因导致的，则双方应根据过错情况按比例承担。</w:t>
      </w:r>
    </w:p>
    <w:p w14:paraId="6450522E">
      <w:pPr>
        <w:widowControl/>
        <w:wordWrap w:val="0"/>
        <w:topLinePunct/>
        <w:adjustRightInd w:val="0"/>
        <w:snapToGrid w:val="0"/>
        <w:spacing w:after="163" w:afterLines="50" w:line="360" w:lineRule="auto"/>
        <w:outlineLvl w:val="2"/>
        <w:rPr>
          <w:rFonts w:ascii="宋体" w:hAnsi="宋体" w:cs="宋体"/>
          <w:color w:val="auto"/>
          <w:highlight w:val="none"/>
        </w:rPr>
      </w:pPr>
      <w:bookmarkStart w:id="1166" w:name="_Ref11874562"/>
      <w:bookmarkEnd w:id="1166"/>
      <w:bookmarkStart w:id="1167" w:name="_Toc20171782"/>
      <w:bookmarkEnd w:id="1167"/>
      <w:bookmarkStart w:id="1168" w:name="_Ref41554069"/>
      <w:bookmarkStart w:id="1169" w:name="_Toc10762"/>
      <w:bookmarkStart w:id="1170" w:name="_Toc51766635"/>
      <w:bookmarkStart w:id="1171" w:name="_Toc58860222"/>
      <w:r>
        <w:rPr>
          <w:rFonts w:hint="eastAsia" w:ascii="宋体" w:hAnsi="宋体" w:cs="宋体"/>
          <w:color w:val="auto"/>
          <w:szCs w:val="21"/>
          <w:highlight w:val="none"/>
          <w:lang w:bidi="ar"/>
        </w:rPr>
        <w:t xml:space="preserve">7.7  </w:t>
      </w:r>
      <w:bookmarkEnd w:id="1168"/>
      <w:r>
        <w:rPr>
          <w:rFonts w:hint="eastAsia" w:ascii="宋体" w:hAnsi="宋体" w:cs="宋体"/>
          <w:color w:val="auto"/>
          <w:szCs w:val="21"/>
          <w:highlight w:val="none"/>
          <w:lang w:bidi="ar"/>
        </w:rPr>
        <w:t>职业健康</w:t>
      </w:r>
      <w:bookmarkEnd w:id="1169"/>
      <w:bookmarkEnd w:id="1170"/>
      <w:bookmarkEnd w:id="1171"/>
    </w:p>
    <w:p w14:paraId="4E4D93E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承包人应遵守适用的职业健康的法律和合同约定（包括对雇用、职业健康、安全、福利等方面的规定），负责现场实施过程中其人员的职业健康和保护，包括：</w:t>
      </w:r>
    </w:p>
    <w:p w14:paraId="456FFC2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应遵守适用的劳动法规，保护承包人员工及承包人聘用的第三方人员的合法休假权等合法权益，按照法律规定安排现场施工人员的劳动和休息时间，保障劳动者的休息时间，并支付合理的报酬和费用。因工程施工的特殊需要占用休假日或延长工作时间的，应不超过法律规定的限度，并按法律规定给予补休或酬劳。</w:t>
      </w:r>
    </w:p>
    <w:p w14:paraId="14262F7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应依法为承包人员工及承包人聘用的第三方人员办理必要的证件、许可、保险和注册等，承包人应督促其分包人为分包人员工及分包人聘用的第三方人员办理必要的证件、许可、保险和注册等。承包人应为其履行合同所雇用的人员提供必要的膳宿条件和生活环境，必要的现场食宿条件。</w:t>
      </w:r>
    </w:p>
    <w:p w14:paraId="2065945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应对其施工人员进行相关作业的职业健康知识培训、危险及危害因素交底、安全操作规程交底、采取有效措施，按有关规定为其现场人员提供劳动保护用品、防护器具、防暑降温用品和安全生产设施。采取有效的防止粉尘、降低噪声、控制有害气体和保障高温、高寒、高空作业安全等劳动保护措施。</w:t>
      </w:r>
    </w:p>
    <w:p w14:paraId="23CCE19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承包人应在有毒有害作业区域设置警示标志和说明，对有毒有害岗位进行防治检查，对不合格的防护设施、器具、搭设等及时整改，消除危害职业健康的隐患。发包人人员和工程师人员未经承包人允许、未配备相关保护器具，进入该作业区域所造成的伤害，由发包人承担责任和费用。</w:t>
      </w:r>
    </w:p>
    <w:p w14:paraId="18222ED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（5）承包人应采取有效措施预防传染病，保持食堂的饮食卫生，保证施工人员的健康，并定期对施工现场、施工人员生活基地和工程进行防疫和卫生的专业检查和处理, 在远离城镇的施工现场，还应配备必要的伤病防治和急救的医务人员与医疗设施。承包人雇佣人员在施工中受到伤害的，承包人应立即采取有效措施进行抢救和治疗。</w:t>
      </w:r>
    </w:p>
    <w:p w14:paraId="3D2D1BED">
      <w:pPr>
        <w:widowControl/>
        <w:wordWrap w:val="0"/>
        <w:topLinePunct/>
        <w:adjustRightInd w:val="0"/>
        <w:snapToGrid w:val="0"/>
        <w:spacing w:after="163" w:afterLines="50" w:line="360" w:lineRule="auto"/>
        <w:outlineLvl w:val="2"/>
        <w:rPr>
          <w:rFonts w:ascii="宋体" w:hAnsi="宋体" w:cs="宋体"/>
          <w:color w:val="auto"/>
          <w:highlight w:val="none"/>
        </w:rPr>
      </w:pPr>
      <w:bookmarkStart w:id="1172" w:name="_Toc20171783"/>
      <w:bookmarkEnd w:id="1172"/>
      <w:bookmarkStart w:id="1173" w:name="_Ref11874570"/>
      <w:bookmarkStart w:id="1174" w:name="_Toc11795"/>
      <w:bookmarkStart w:id="1175" w:name="_Toc58860223"/>
      <w:bookmarkStart w:id="1176" w:name="_Toc51766636"/>
      <w:r>
        <w:rPr>
          <w:rFonts w:hint="eastAsia" w:ascii="宋体" w:hAnsi="宋体" w:cs="宋体"/>
          <w:color w:val="auto"/>
          <w:szCs w:val="21"/>
          <w:highlight w:val="none"/>
          <w:lang w:bidi="ar"/>
        </w:rPr>
        <w:t>7</w:t>
      </w:r>
      <w:bookmarkEnd w:id="1173"/>
      <w:r>
        <w:rPr>
          <w:rFonts w:hint="eastAsia" w:ascii="宋体" w:hAnsi="宋体" w:cs="宋体"/>
          <w:color w:val="auto"/>
          <w:szCs w:val="21"/>
          <w:highlight w:val="none"/>
          <w:lang w:bidi="ar"/>
        </w:rPr>
        <w:t>.8  环境保护</w:t>
      </w:r>
      <w:bookmarkEnd w:id="1174"/>
      <w:bookmarkEnd w:id="1175"/>
      <w:bookmarkEnd w:id="1176"/>
    </w:p>
    <w:p w14:paraId="2EC4842C">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7.8.1承包人负责在现场施工过程中对现场周围的建筑物、构筑物、文物建筑、古树、名木，及地下管线、线缆、构筑物、文物、化石和坟墓等进行保护。因承包人未能通知发包人，并在未能得到发包人进一步指示的情况下，所造成的损害、损失、赔偿等费用增加，和（或）竣工日期延误，由承包人负责。如承包人已及时通知发包人，发包人未能及时作出指示的，所造成的损害、损失、赔偿等费用增加，和（或）竣工日期延误，由发包人负责。</w:t>
      </w:r>
    </w:p>
    <w:p w14:paraId="7C6180DA">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7.8.2承包人应采取措施，并负责控制和（或）处理现场的粉尘、废气、废水、固体废物和噪声对环境的污染和危害。因此发生的伤害、赔偿、罚款等费用增加，和（或）竣工日期延误，由承包人负责。</w:t>
      </w:r>
    </w:p>
    <w:p w14:paraId="0811AAEB">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7.8.3承包人及时或定期将施工现场残留、废弃的垃圾分类后运到发包人或当地有关行政部门指定的地点，防止对周围环境的污染及对作业的影响。承包人应当承担因其原因引起的环境污染侵权损害赔偿责任，因违反上述约定导致当地行政部门的罚款、赔偿等增加的费用，由承包人承担；因上述环境污染引起纠纷而导致暂停施工的，由此增加的费用和（或）延误的工期由承包人承担。</w:t>
      </w:r>
    </w:p>
    <w:p w14:paraId="6ED1E2E1">
      <w:pPr>
        <w:widowControl/>
        <w:wordWrap w:val="0"/>
        <w:topLinePunct/>
        <w:adjustRightInd w:val="0"/>
        <w:snapToGrid w:val="0"/>
        <w:spacing w:after="163" w:afterLines="50" w:line="360" w:lineRule="auto"/>
        <w:outlineLvl w:val="2"/>
        <w:rPr>
          <w:rFonts w:ascii="宋体" w:hAnsi="宋体" w:cs="宋体"/>
          <w:color w:val="auto"/>
          <w:highlight w:val="none"/>
        </w:rPr>
      </w:pPr>
      <w:bookmarkStart w:id="1177" w:name="_Ref531954340"/>
      <w:bookmarkEnd w:id="1177"/>
      <w:bookmarkStart w:id="1178" w:name="_Ref531954344"/>
      <w:bookmarkEnd w:id="1178"/>
      <w:bookmarkStart w:id="1179" w:name="_Toc20171784"/>
      <w:bookmarkEnd w:id="1179"/>
      <w:bookmarkStart w:id="1180" w:name="_Ref4771116"/>
      <w:bookmarkStart w:id="1181" w:name="_Toc58860224"/>
      <w:bookmarkStart w:id="1182" w:name="_Toc9742"/>
      <w:bookmarkStart w:id="1183" w:name="_Toc51766637"/>
      <w:r>
        <w:rPr>
          <w:rFonts w:hint="eastAsia" w:ascii="宋体" w:hAnsi="宋体" w:cs="宋体"/>
          <w:color w:val="auto"/>
          <w:szCs w:val="21"/>
          <w:highlight w:val="none"/>
          <w:lang w:bidi="ar"/>
        </w:rPr>
        <w:t>7</w:t>
      </w:r>
      <w:bookmarkEnd w:id="1180"/>
      <w:r>
        <w:rPr>
          <w:rFonts w:hint="eastAsia" w:ascii="宋体" w:hAnsi="宋体" w:cs="宋体"/>
          <w:color w:val="auto"/>
          <w:szCs w:val="21"/>
          <w:highlight w:val="none"/>
          <w:lang w:bidi="ar"/>
        </w:rPr>
        <w:t>.9  临时性公用设施</w:t>
      </w:r>
      <w:bookmarkEnd w:id="1181"/>
      <w:bookmarkEnd w:id="1182"/>
      <w:bookmarkEnd w:id="1183"/>
      <w:r>
        <w:rPr>
          <w:rFonts w:hint="eastAsia" w:ascii="宋体" w:hAnsi="宋体" w:cs="宋体"/>
          <w:color w:val="auto"/>
          <w:szCs w:val="21"/>
          <w:highlight w:val="none"/>
          <w:lang w:bidi="ar"/>
        </w:rPr>
        <w:t xml:space="preserve"> </w:t>
      </w:r>
    </w:p>
    <w:p w14:paraId="4AB0E338">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7.9.1提供临时用水、用电等和节点铺设</w:t>
      </w:r>
    </w:p>
    <w:p w14:paraId="13D548B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发包人应在承包人进场前将施工临时用水、用电等接至约定的节点位置，并保证其需要。上述临时使用的水、电等的类别、取费单价在专用合同条件中约定，发包人按实际计量结果收费。发包人无法提供的水、电等在专用合同条件中约定，相关费用由承包人纳入报价并承担相关责任。</w:t>
      </w:r>
    </w:p>
    <w:p w14:paraId="2FAFB82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未能按约定的类别和时间完成节点铺设，使开工时间延误，竣工日期相应顺延。未能按约定的品质、数量和时间提供水、电等，给承包人造成的损失由发包人承担，导致工程关键路径延误的，竣工日期相应顺延。</w:t>
      </w:r>
    </w:p>
    <w:p w14:paraId="788F97A1">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7.9.2临时用水、用电等</w:t>
      </w:r>
    </w:p>
    <w:p w14:paraId="4EF9DD7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在计划开始现场施工日期28天前或双方约定的其它时间，按专用合同条件中约定的发包人能够提供的临时用水、用电等类别，向发包人提交施工（含工程物资保管）所需的临时用水、用电等的品质、正常用量、高峰用量、使用时间和节点位置等资料。承包人自费负责计量仪器的购买、安装和维护，并依据专用合同条件中约定的单价向发包人交费，合同当事人另有约定时除外。</w:t>
      </w:r>
    </w:p>
    <w:p w14:paraId="06EAD61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因承包人未能按合同约定提交上述资料，造成发包人费用增加和竣工日期延误时，由承包人负责。</w:t>
      </w:r>
      <w:bookmarkStart w:id="1184" w:name="_Ref508893743"/>
      <w:bookmarkEnd w:id="1184"/>
    </w:p>
    <w:p w14:paraId="75979DD1">
      <w:pPr>
        <w:widowControl/>
        <w:wordWrap w:val="0"/>
        <w:topLinePunct/>
        <w:adjustRightInd w:val="0"/>
        <w:snapToGrid w:val="0"/>
        <w:spacing w:after="163" w:afterLines="50" w:line="360" w:lineRule="auto"/>
        <w:outlineLvl w:val="2"/>
        <w:rPr>
          <w:rFonts w:ascii="宋体" w:hAnsi="宋体" w:cs="宋体"/>
          <w:color w:val="auto"/>
          <w:highlight w:val="none"/>
        </w:rPr>
      </w:pPr>
      <w:bookmarkStart w:id="1185" w:name="_Ref531952248"/>
      <w:bookmarkEnd w:id="1185"/>
      <w:bookmarkStart w:id="1186" w:name="_Ref531952239"/>
      <w:bookmarkEnd w:id="1186"/>
      <w:bookmarkStart w:id="1187" w:name="_Toc20171785"/>
      <w:bookmarkStart w:id="1188" w:name="_Toc58860225"/>
      <w:bookmarkStart w:id="1189" w:name="_Toc51766638"/>
      <w:bookmarkStart w:id="1190" w:name="_Toc1222"/>
      <w:r>
        <w:rPr>
          <w:rFonts w:hint="eastAsia" w:ascii="宋体" w:hAnsi="宋体" w:cs="宋体"/>
          <w:color w:val="auto"/>
          <w:szCs w:val="21"/>
          <w:highlight w:val="none"/>
          <w:lang w:bidi="ar"/>
        </w:rPr>
        <w:t>7</w:t>
      </w:r>
      <w:bookmarkEnd w:id="1187"/>
      <w:r>
        <w:rPr>
          <w:rFonts w:hint="eastAsia" w:ascii="宋体" w:hAnsi="宋体" w:cs="宋体"/>
          <w:color w:val="auto"/>
          <w:szCs w:val="21"/>
          <w:highlight w:val="none"/>
          <w:lang w:bidi="ar"/>
        </w:rPr>
        <w:t>.10  现场安保</w:t>
      </w:r>
      <w:bookmarkEnd w:id="1188"/>
      <w:bookmarkEnd w:id="1189"/>
      <w:bookmarkEnd w:id="1190"/>
    </w:p>
    <w:p w14:paraId="77581ED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承担自发包人向其移交施工现场、进入占有施工现场至发包人接收单位/区段工程或（和）工程之前的现场安保责任，并负责编制相关的安保制度、责任制度和报告制度，提交给发包人。除专用合同条件另有约定外，承包人的该等义务不因其与他人共同合法占有施工现场而减免。承包人有权要求发包人负责协调他人就共同合法占有现场的安保事宜接受承包人的管理。</w:t>
      </w:r>
    </w:p>
    <w:p w14:paraId="6825196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承包人应将其作业限制在现场区域、合同约定的区域或为履行合同所需的区域内。承包人应采取一切必要的预防措施，以保持承包人的设备和人员处于现场区域内，避免其进入邻近地区。</w:t>
      </w:r>
    </w:p>
    <w:p w14:paraId="2784B2A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承包人为履行合同义务而占用的其他场所（如预制加工场所、办公及生活营区） 的安保适用本款前述关于现场安保的规定。</w:t>
      </w:r>
    </w:p>
    <w:p w14:paraId="3482243F">
      <w:pPr>
        <w:widowControl/>
        <w:wordWrap w:val="0"/>
        <w:topLinePunct/>
        <w:adjustRightInd w:val="0"/>
        <w:snapToGrid w:val="0"/>
        <w:spacing w:after="163" w:afterLines="50" w:line="360" w:lineRule="auto"/>
        <w:outlineLvl w:val="2"/>
        <w:rPr>
          <w:rFonts w:ascii="宋体" w:hAnsi="宋体" w:cs="宋体"/>
          <w:color w:val="auto"/>
          <w:highlight w:val="none"/>
        </w:rPr>
      </w:pPr>
      <w:bookmarkStart w:id="1191" w:name="_Toc20171786"/>
      <w:bookmarkEnd w:id="1191"/>
      <w:bookmarkStart w:id="1192" w:name="_Toc58860226"/>
      <w:bookmarkStart w:id="1193" w:name="_Toc51766639"/>
      <w:bookmarkStart w:id="1194" w:name="_Toc23509"/>
      <w:r>
        <w:rPr>
          <w:rFonts w:hint="eastAsia" w:ascii="宋体" w:hAnsi="宋体" w:cs="宋体"/>
          <w:color w:val="auto"/>
          <w:szCs w:val="21"/>
          <w:highlight w:val="none"/>
          <w:lang w:bidi="ar"/>
        </w:rPr>
        <w:t>7.11  工程照管</w:t>
      </w:r>
      <w:bookmarkEnd w:id="1192"/>
      <w:bookmarkEnd w:id="1193"/>
      <w:bookmarkEnd w:id="1194"/>
    </w:p>
    <w:p w14:paraId="6538E45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自开始现场施工日期起至发包人应当接收工程之日止，承包人应承担工程现场、材料、设备及承包人文件的照管和维护工作。</w:t>
      </w:r>
    </w:p>
    <w:p w14:paraId="3DE7981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如部分工程于竣工验收前提前交付发包人的，则自交付之日起，该部分工程照管及维护职责由发包人承担。</w:t>
      </w:r>
    </w:p>
    <w:p w14:paraId="4420C95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如发包人及承包人进行竣工验收时尚有部分未竣工工程的，承包人应负责该未竣工工程的照管和维护工作，直至竣工后移交给发包人。</w:t>
      </w:r>
    </w:p>
    <w:p w14:paraId="694E989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如合同解除或终止的，承包人自合同解除或终止之日起不再对工程承担照管和维护义务。</w:t>
      </w:r>
    </w:p>
    <w:p w14:paraId="265C8875">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195" w:name="_Ref508998009"/>
      <w:bookmarkEnd w:id="1195"/>
      <w:bookmarkStart w:id="1196" w:name="_Toc20171787"/>
      <w:bookmarkEnd w:id="1196"/>
      <w:bookmarkStart w:id="1197" w:name="_Ref531954518"/>
      <w:bookmarkEnd w:id="1197"/>
      <w:bookmarkStart w:id="1198" w:name="_Ref531954505"/>
      <w:bookmarkStart w:id="1199" w:name="_Toc58860227"/>
      <w:r>
        <w:rPr>
          <w:rFonts w:hint="eastAsia" w:ascii="宋体" w:hAnsi="宋体" w:cs="宋体"/>
          <w:color w:val="auto"/>
          <w:kern w:val="0"/>
          <w:szCs w:val="21"/>
          <w:highlight w:val="none"/>
          <w:lang w:bidi="ar"/>
        </w:rPr>
        <w:t>第</w:t>
      </w:r>
      <w:bookmarkEnd w:id="1198"/>
      <w:r>
        <w:rPr>
          <w:rFonts w:hint="eastAsia" w:ascii="宋体" w:hAnsi="宋体" w:cs="宋体"/>
          <w:color w:val="auto"/>
          <w:kern w:val="0"/>
          <w:szCs w:val="21"/>
          <w:highlight w:val="none"/>
          <w:lang w:bidi="ar"/>
        </w:rPr>
        <w:t>8条  工期和进度</w:t>
      </w:r>
      <w:bookmarkEnd w:id="1199"/>
    </w:p>
    <w:p w14:paraId="440F4126">
      <w:pPr>
        <w:widowControl/>
        <w:wordWrap w:val="0"/>
        <w:topLinePunct/>
        <w:adjustRightInd w:val="0"/>
        <w:snapToGrid w:val="0"/>
        <w:spacing w:after="163" w:afterLines="50" w:line="360" w:lineRule="auto"/>
        <w:outlineLvl w:val="2"/>
        <w:rPr>
          <w:rFonts w:ascii="宋体" w:hAnsi="宋体" w:cs="宋体"/>
          <w:color w:val="auto"/>
          <w:highlight w:val="none"/>
        </w:rPr>
      </w:pPr>
      <w:bookmarkStart w:id="1200" w:name="_Ref532362774"/>
      <w:bookmarkEnd w:id="1200"/>
      <w:bookmarkStart w:id="1201" w:name="_Ref532362072"/>
      <w:bookmarkEnd w:id="1201"/>
      <w:bookmarkStart w:id="1202" w:name="_Ref532362777"/>
      <w:bookmarkEnd w:id="1202"/>
      <w:bookmarkStart w:id="1203" w:name="_Ref532362075"/>
      <w:bookmarkEnd w:id="1203"/>
      <w:bookmarkStart w:id="1204" w:name="_Toc20171788"/>
      <w:bookmarkStart w:id="1205" w:name="_Toc51766641"/>
      <w:bookmarkStart w:id="1206" w:name="_Toc58860228"/>
      <w:bookmarkStart w:id="1207" w:name="_Toc4852"/>
      <w:r>
        <w:rPr>
          <w:rFonts w:hint="eastAsia" w:ascii="宋体" w:hAnsi="宋体" w:cs="宋体"/>
          <w:color w:val="auto"/>
          <w:szCs w:val="21"/>
          <w:highlight w:val="none"/>
          <w:lang w:bidi="ar"/>
        </w:rPr>
        <w:t>8</w:t>
      </w:r>
      <w:bookmarkEnd w:id="1204"/>
      <w:r>
        <w:rPr>
          <w:rFonts w:hint="eastAsia" w:ascii="宋体" w:hAnsi="宋体" w:cs="宋体"/>
          <w:color w:val="auto"/>
          <w:szCs w:val="21"/>
          <w:highlight w:val="none"/>
          <w:lang w:bidi="ar"/>
        </w:rPr>
        <w:t>.1  开始工作</w:t>
      </w:r>
      <w:bookmarkEnd w:id="1205"/>
      <w:bookmarkEnd w:id="1206"/>
      <w:bookmarkEnd w:id="1207"/>
    </w:p>
    <w:p w14:paraId="43C65636">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08" w:name="_Ref4428890"/>
      <w:bookmarkEnd w:id="1208"/>
      <w:r>
        <w:rPr>
          <w:rFonts w:hint="eastAsia" w:ascii="宋体" w:hAnsi="宋体" w:cs="宋体"/>
          <w:color w:val="auto"/>
          <w:szCs w:val="21"/>
          <w:highlight w:val="none"/>
          <w:lang w:bidi="ar"/>
        </w:rPr>
        <w:t>8.1.1开始工作准备</w:t>
      </w:r>
    </w:p>
    <w:p w14:paraId="2FD042C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合同当事人应按专用合同条件约定完成开始工作准备工作。</w:t>
      </w:r>
    </w:p>
    <w:p w14:paraId="5719B290">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09" w:name="_Ref536790534"/>
      <w:bookmarkEnd w:id="1209"/>
      <w:r>
        <w:rPr>
          <w:rFonts w:hint="eastAsia" w:ascii="宋体" w:hAnsi="宋体" w:cs="宋体"/>
          <w:color w:val="auto"/>
          <w:szCs w:val="21"/>
          <w:highlight w:val="none"/>
          <w:lang w:bidi="ar"/>
        </w:rPr>
        <w:t>8.1.2开始工作通知</w:t>
      </w:r>
    </w:p>
    <w:p w14:paraId="3977966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经发包人同意后，工程师应提前7天向承包人发出经发包人签认的开始工作通知，工期自开始工作通知中载明的开始工作日期起算。</w:t>
      </w:r>
    </w:p>
    <w:p w14:paraId="0E9B80B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因发包人原因造成实际开始现场施工日期迟于计划开始现场施工日期后第84天的，承包人有权提出价格调整要求，或者解除合同。发包人应当承担由此增加的费用和（或）延误的工期，并向承包人支付合理利润。</w:t>
      </w:r>
    </w:p>
    <w:p w14:paraId="0A1A1467">
      <w:pPr>
        <w:widowControl/>
        <w:wordWrap w:val="0"/>
        <w:topLinePunct/>
        <w:adjustRightInd w:val="0"/>
        <w:snapToGrid w:val="0"/>
        <w:spacing w:after="163" w:afterLines="50" w:line="360" w:lineRule="auto"/>
        <w:outlineLvl w:val="2"/>
        <w:rPr>
          <w:rFonts w:ascii="宋体" w:hAnsi="宋体" w:cs="宋体"/>
          <w:color w:val="auto"/>
          <w:highlight w:val="none"/>
        </w:rPr>
      </w:pPr>
      <w:bookmarkStart w:id="1210" w:name="_Toc20171789"/>
      <w:bookmarkEnd w:id="1210"/>
      <w:bookmarkStart w:id="1211" w:name="_Ref532362124"/>
      <w:bookmarkStart w:id="1212" w:name="_Toc51766642"/>
      <w:bookmarkStart w:id="1213" w:name="_Toc58860229"/>
      <w:bookmarkStart w:id="1214" w:name="_Toc25430"/>
      <w:r>
        <w:rPr>
          <w:rFonts w:hint="eastAsia" w:ascii="宋体" w:hAnsi="宋体" w:cs="宋体"/>
          <w:color w:val="auto"/>
          <w:szCs w:val="21"/>
          <w:highlight w:val="none"/>
          <w:lang w:bidi="ar"/>
        </w:rPr>
        <w:t>8</w:t>
      </w:r>
      <w:bookmarkEnd w:id="1211"/>
      <w:r>
        <w:rPr>
          <w:rFonts w:hint="eastAsia" w:ascii="宋体" w:hAnsi="宋体" w:cs="宋体"/>
          <w:color w:val="auto"/>
          <w:szCs w:val="21"/>
          <w:highlight w:val="none"/>
          <w:lang w:bidi="ar"/>
        </w:rPr>
        <w:t>.2  竣工日期</w:t>
      </w:r>
      <w:bookmarkEnd w:id="1212"/>
      <w:bookmarkEnd w:id="1213"/>
      <w:bookmarkEnd w:id="1214"/>
      <w:r>
        <w:rPr>
          <w:rFonts w:hint="eastAsia" w:ascii="宋体" w:hAnsi="宋体" w:cs="宋体"/>
          <w:color w:val="auto"/>
          <w:szCs w:val="21"/>
          <w:highlight w:val="none"/>
          <w:lang w:bidi="ar"/>
        </w:rPr>
        <w:t xml:space="preserve"> </w:t>
      </w:r>
    </w:p>
    <w:p w14:paraId="7582550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承包人应在合同协议书约定的工期内完成合同工作。除专用合同条件另有约定外，工程的竣工日期以第10.1条[竣工验收]的约定为准，并在工程接收证书中写明。</w:t>
      </w:r>
    </w:p>
    <w:p w14:paraId="439F0BD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因发包人原因，在工程师收到承包人竣工验收申请报告42天后未进行验收的，视为验收合格，实际竣工日期以提交竣工验收申请报告的日期为准，但发包人由于不可抗力不能进行验收的除外。</w:t>
      </w:r>
    </w:p>
    <w:p w14:paraId="47D66439">
      <w:pPr>
        <w:widowControl/>
        <w:wordWrap w:val="0"/>
        <w:topLinePunct/>
        <w:adjustRightInd w:val="0"/>
        <w:snapToGrid w:val="0"/>
        <w:spacing w:after="163" w:afterLines="50" w:line="360" w:lineRule="auto"/>
        <w:outlineLvl w:val="2"/>
        <w:rPr>
          <w:rFonts w:ascii="宋体" w:hAnsi="宋体" w:cs="宋体"/>
          <w:color w:val="auto"/>
          <w:highlight w:val="none"/>
        </w:rPr>
      </w:pPr>
      <w:bookmarkStart w:id="1215" w:name="_Ref532352853"/>
      <w:bookmarkEnd w:id="1215"/>
      <w:bookmarkStart w:id="1216" w:name="_Ref532362204"/>
      <w:bookmarkEnd w:id="1216"/>
      <w:bookmarkStart w:id="1217" w:name="_Ref532352856"/>
      <w:bookmarkEnd w:id="1217"/>
      <w:bookmarkStart w:id="1218" w:name="_Ref11863334"/>
      <w:bookmarkEnd w:id="1218"/>
      <w:bookmarkStart w:id="1219" w:name="_Toc20171790"/>
      <w:bookmarkEnd w:id="1219"/>
      <w:bookmarkStart w:id="1220" w:name="_Ref532362207"/>
      <w:bookmarkStart w:id="1221" w:name="_Toc51766643"/>
      <w:bookmarkStart w:id="1222" w:name="_Toc32669"/>
      <w:bookmarkStart w:id="1223" w:name="_Toc58860230"/>
      <w:r>
        <w:rPr>
          <w:rFonts w:hint="eastAsia" w:ascii="宋体" w:hAnsi="宋体" w:cs="宋体"/>
          <w:color w:val="auto"/>
          <w:szCs w:val="21"/>
          <w:highlight w:val="none"/>
          <w:lang w:bidi="ar"/>
        </w:rPr>
        <w:t>8</w:t>
      </w:r>
      <w:bookmarkEnd w:id="1220"/>
      <w:r>
        <w:rPr>
          <w:rFonts w:hint="eastAsia" w:ascii="宋体" w:hAnsi="宋体" w:cs="宋体"/>
          <w:color w:val="auto"/>
          <w:szCs w:val="21"/>
          <w:highlight w:val="none"/>
          <w:lang w:bidi="ar"/>
        </w:rPr>
        <w:t>.3  项目实施计划</w:t>
      </w:r>
      <w:bookmarkEnd w:id="1221"/>
      <w:bookmarkEnd w:id="1222"/>
      <w:bookmarkEnd w:id="1223"/>
    </w:p>
    <w:p w14:paraId="3645D757">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24" w:name="_Ref18990904"/>
      <w:bookmarkEnd w:id="1224"/>
      <w:r>
        <w:rPr>
          <w:rFonts w:hint="eastAsia" w:ascii="宋体" w:hAnsi="宋体" w:cs="宋体"/>
          <w:color w:val="auto"/>
          <w:szCs w:val="21"/>
          <w:highlight w:val="none"/>
          <w:lang w:bidi="ar"/>
        </w:rPr>
        <w:t>8.3.1项目实施计划的内容</w:t>
      </w:r>
    </w:p>
    <w:p w14:paraId="24AA4AC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项目实施计划是依据合同和经批准的项目管理计划进行编制并用于对项目实施进行管理和控制的文件，应包含概述、总体实施方案、项目实施要点、项目初步进度计划以及合同当事人在专用合同条件中约定的其他内容。</w:t>
      </w:r>
    </w:p>
    <w:p w14:paraId="6BDB32DC">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25" w:name="_Ref18990921"/>
      <w:bookmarkEnd w:id="1225"/>
      <w:r>
        <w:rPr>
          <w:rFonts w:hint="eastAsia" w:ascii="宋体" w:hAnsi="宋体" w:cs="宋体"/>
          <w:color w:val="auto"/>
          <w:szCs w:val="21"/>
          <w:highlight w:val="none"/>
          <w:lang w:bidi="ar"/>
        </w:rPr>
        <w:t>8.3.2项目实施计划的提交和修改</w:t>
      </w:r>
    </w:p>
    <w:p w14:paraId="6F26F14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承包人应在合同订立后14天内，向工程师提交项目实施计划，工程师应在收到项目实施计划后21天内确认或提出修改意见。对工程师提出的合理意见和要求，承包人应自费修改完善。根据工程实施的实际情况需要修改项目实施计划的，承包人应向工程师提交修改后的项目实施计划。</w:t>
      </w:r>
    </w:p>
    <w:p w14:paraId="3B1ABEC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项目进度计划的编制和修改按照第8.4款[项目进度计划]执行。</w:t>
      </w:r>
    </w:p>
    <w:p w14:paraId="136B5393">
      <w:pPr>
        <w:widowControl/>
        <w:wordWrap w:val="0"/>
        <w:topLinePunct/>
        <w:adjustRightInd w:val="0"/>
        <w:snapToGrid w:val="0"/>
        <w:spacing w:after="163" w:afterLines="50" w:line="360" w:lineRule="auto"/>
        <w:outlineLvl w:val="2"/>
        <w:rPr>
          <w:rFonts w:ascii="宋体" w:hAnsi="宋体" w:cs="宋体"/>
          <w:color w:val="auto"/>
          <w:highlight w:val="none"/>
        </w:rPr>
      </w:pPr>
      <w:bookmarkStart w:id="1226" w:name="_Toc20171791"/>
      <w:bookmarkEnd w:id="1226"/>
      <w:bookmarkStart w:id="1227" w:name="_Ref11865507"/>
      <w:bookmarkStart w:id="1228" w:name="_Toc58860231"/>
      <w:bookmarkStart w:id="1229" w:name="_Toc51766644"/>
      <w:bookmarkStart w:id="1230" w:name="_Toc12274"/>
      <w:r>
        <w:rPr>
          <w:rFonts w:hint="eastAsia" w:ascii="宋体" w:hAnsi="宋体" w:cs="宋体"/>
          <w:color w:val="auto"/>
          <w:szCs w:val="21"/>
          <w:highlight w:val="none"/>
          <w:lang w:bidi="ar"/>
        </w:rPr>
        <w:t>8</w:t>
      </w:r>
      <w:bookmarkEnd w:id="1227"/>
      <w:r>
        <w:rPr>
          <w:rFonts w:hint="eastAsia" w:ascii="宋体" w:hAnsi="宋体" w:cs="宋体"/>
          <w:color w:val="auto"/>
          <w:szCs w:val="21"/>
          <w:highlight w:val="none"/>
          <w:lang w:bidi="ar"/>
        </w:rPr>
        <w:t>.4  项目进度计划</w:t>
      </w:r>
      <w:bookmarkEnd w:id="1228"/>
      <w:bookmarkEnd w:id="1229"/>
      <w:bookmarkEnd w:id="1230"/>
    </w:p>
    <w:p w14:paraId="4B22429A">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31" w:name="_Ref4681217"/>
      <w:bookmarkEnd w:id="1231"/>
      <w:r>
        <w:rPr>
          <w:rFonts w:hint="eastAsia" w:ascii="宋体" w:hAnsi="宋体" w:cs="宋体"/>
          <w:color w:val="auto"/>
          <w:szCs w:val="21"/>
          <w:highlight w:val="none"/>
          <w:lang w:bidi="ar"/>
        </w:rPr>
        <w:t>8.4.1项目进度计划的提交和修改</w:t>
      </w:r>
    </w:p>
    <w:p w14:paraId="13B8029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照第8.3款[项目实施计划]约定编制并向工程师提交项目初步进度计划，经工程师批准后实施。除专用合同条件另有约定外，工程师应在21天内批复或提出修改意见，否则该项目初步进度计划视为已得到批准。对工程师提出的合理意见和要求，承包人应自费修改完善。</w:t>
      </w:r>
    </w:p>
    <w:p w14:paraId="1DE4508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经工程师批准的项目初步进度计划称为项目进度计划，是控制合同工程进度的依据，工程师有权按照进度计划检查工程进度情况。承包人还应根据项目进度计划，编制更为详细的分阶段或分项的进度计划，由工程师批准。</w:t>
      </w:r>
    </w:p>
    <w:p w14:paraId="1E32FAA0">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32" w:name="_Ref4429079"/>
      <w:bookmarkEnd w:id="1232"/>
      <w:r>
        <w:rPr>
          <w:rFonts w:hint="eastAsia" w:ascii="宋体" w:hAnsi="宋体" w:cs="宋体"/>
          <w:color w:val="auto"/>
          <w:szCs w:val="21"/>
          <w:highlight w:val="none"/>
          <w:lang w:bidi="ar"/>
        </w:rPr>
        <w:t>8.4.2项目进度计划的内容</w:t>
      </w:r>
    </w:p>
    <w:p w14:paraId="3DFF84C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项目进度计划应当包括设计、承包人文件提交、采购、制造、检验、运达现场、施工、安装、试验的各个阶段的预期时间以及设计和施工组织方案说明等，其编制应当符合国家法律规定和一般工程实践惯例。项目进度计划的具体要求、关键路径及关键路径变化的确定原则、承包人提交的份数和时间等，在专用合同条件约定。</w:t>
      </w:r>
    </w:p>
    <w:p w14:paraId="683E71B3">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33" w:name="_Ref3848203"/>
      <w:bookmarkEnd w:id="1233"/>
      <w:r>
        <w:rPr>
          <w:rFonts w:hint="eastAsia" w:ascii="宋体" w:hAnsi="宋体" w:cs="宋体"/>
          <w:color w:val="auto"/>
          <w:szCs w:val="21"/>
          <w:highlight w:val="none"/>
          <w:lang w:bidi="ar"/>
        </w:rPr>
        <w:t>8.4.3项目进度计划的修订</w:t>
      </w:r>
    </w:p>
    <w:p w14:paraId="56E01A2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项目进度计划不符合合同要求或与工程的实际进度不一致的，承包人应向工程师提交修订的项目进度计划，并附具有关措施和相关资料。工程师也可以直接向承包人发出修订项目进度计划的通知，承包人如接受，应按该通知修订项目进度计划，报工程师批准。承包人如不接受，应当在14天内答复，如未按时答复视作已接受修订项目进度计划通知中的内容。</w:t>
      </w:r>
    </w:p>
    <w:p w14:paraId="7364CA9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工程师应在收到修订的项目进度计划后14天内完成审批或提出修改意见，如未按时答复视作已批准承包人修订后的项目进度计划。工程师对承包人提交的项目进度计划的确认，不能减轻或免除承包人根据法律规定和合同约定应承担的任何责任或义务。</w:t>
      </w:r>
    </w:p>
    <w:p w14:paraId="4E5F4D5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除合同当事人另有约定外，项目进度计划的修订并不能减轻或者免除双方按第8.7款[工期延误]、第8.8款[工期提前]、第8.9款[暂停工作]应承担的合同责任。</w:t>
      </w:r>
    </w:p>
    <w:p w14:paraId="129A85AC">
      <w:pPr>
        <w:widowControl/>
        <w:wordWrap w:val="0"/>
        <w:topLinePunct/>
        <w:adjustRightInd w:val="0"/>
        <w:snapToGrid w:val="0"/>
        <w:spacing w:after="163" w:afterLines="50" w:line="360" w:lineRule="auto"/>
        <w:outlineLvl w:val="2"/>
        <w:rPr>
          <w:rFonts w:ascii="宋体" w:hAnsi="宋体" w:cs="宋体"/>
          <w:color w:val="auto"/>
          <w:highlight w:val="none"/>
        </w:rPr>
      </w:pPr>
      <w:bookmarkStart w:id="1234" w:name="_Ref532362276"/>
      <w:bookmarkEnd w:id="1234"/>
      <w:bookmarkStart w:id="1235" w:name="_Ref532362278"/>
      <w:bookmarkEnd w:id="1235"/>
      <w:bookmarkStart w:id="1236" w:name="_Toc20171792"/>
      <w:bookmarkStart w:id="1237" w:name="_Toc58860232"/>
      <w:bookmarkStart w:id="1238" w:name="_Toc18213"/>
      <w:bookmarkStart w:id="1239" w:name="_Toc51766645"/>
      <w:r>
        <w:rPr>
          <w:rFonts w:hint="eastAsia" w:ascii="宋体" w:hAnsi="宋体" w:cs="宋体"/>
          <w:color w:val="auto"/>
          <w:szCs w:val="21"/>
          <w:highlight w:val="none"/>
          <w:lang w:bidi="ar"/>
        </w:rPr>
        <w:t>8</w:t>
      </w:r>
      <w:bookmarkEnd w:id="1236"/>
      <w:r>
        <w:rPr>
          <w:rFonts w:hint="eastAsia" w:ascii="宋体" w:hAnsi="宋体" w:cs="宋体"/>
          <w:color w:val="auto"/>
          <w:szCs w:val="21"/>
          <w:highlight w:val="none"/>
          <w:lang w:bidi="ar"/>
        </w:rPr>
        <w:t>.5  进度报告</w:t>
      </w:r>
      <w:bookmarkEnd w:id="1237"/>
      <w:bookmarkEnd w:id="1238"/>
      <w:bookmarkEnd w:id="1239"/>
    </w:p>
    <w:p w14:paraId="4BBA86E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项目实施过程中，承包人应进行实际进度记录，并根据工程师的要求编制月进度报告，并提交给工程师。进度报告应包含以下主要内容：</w:t>
      </w:r>
    </w:p>
    <w:p w14:paraId="071EF08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（1）工程设计、采购、施工等各个工作内容的进展报告；</w:t>
      </w:r>
    </w:p>
    <w:p w14:paraId="4C7A790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（2）工程施工方法的一般说明；</w:t>
      </w:r>
    </w:p>
    <w:p w14:paraId="4FBD75E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（3）当月工程实施介入的项目人员、设备和材料的预估明细报告；</w:t>
      </w:r>
    </w:p>
    <w:p w14:paraId="0A22CB6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（4）当月实际进度与进度计划对比分析，以及提出未来可能引起工期延误的情形，同时提出应对措施；需要修订项目进度计划的，应对项目进度计划的修订部分进行说明； </w:t>
      </w:r>
    </w:p>
    <w:p w14:paraId="2BFCA5E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（5）承包人对于解决工期延误所提出的建议；</w:t>
      </w:r>
    </w:p>
    <w:p w14:paraId="680FA9F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（6）其他与工程有关的重大事项。</w:t>
      </w:r>
    </w:p>
    <w:p w14:paraId="22FB131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进度报告的具体要求等，在专用合同条件约定。</w:t>
      </w:r>
    </w:p>
    <w:p w14:paraId="4246CE6F">
      <w:pPr>
        <w:widowControl/>
        <w:wordWrap w:val="0"/>
        <w:topLinePunct/>
        <w:adjustRightInd w:val="0"/>
        <w:snapToGrid w:val="0"/>
        <w:spacing w:after="163" w:afterLines="50" w:line="360" w:lineRule="auto"/>
        <w:outlineLvl w:val="2"/>
        <w:rPr>
          <w:rFonts w:ascii="宋体" w:hAnsi="宋体" w:cs="宋体"/>
          <w:color w:val="auto"/>
          <w:highlight w:val="none"/>
        </w:rPr>
      </w:pPr>
      <w:bookmarkStart w:id="1240" w:name="_Toc20171793"/>
      <w:bookmarkEnd w:id="1240"/>
      <w:bookmarkStart w:id="1241" w:name="_Toc51766646"/>
      <w:bookmarkStart w:id="1242" w:name="_Toc58860233"/>
      <w:bookmarkStart w:id="1243" w:name="_Toc8681"/>
      <w:r>
        <w:rPr>
          <w:rFonts w:hint="eastAsia" w:ascii="宋体" w:hAnsi="宋体" w:cs="宋体"/>
          <w:color w:val="auto"/>
          <w:szCs w:val="21"/>
          <w:highlight w:val="none"/>
          <w:lang w:bidi="ar"/>
        </w:rPr>
        <w:t>8.6  提前预警</w:t>
      </w:r>
      <w:bookmarkEnd w:id="1241"/>
      <w:bookmarkEnd w:id="1242"/>
      <w:bookmarkEnd w:id="1243"/>
    </w:p>
    <w:p w14:paraId="7AB263F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任何一方应当在下列情形发生时尽快书面通知另一方：</w:t>
      </w:r>
    </w:p>
    <w:p w14:paraId="25FE0BC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（1）该情形可能对合同的履行或实现合同目的产生不利影响；</w:t>
      </w:r>
    </w:p>
    <w:p w14:paraId="0011E6F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（2）该情形可能对工程完成后的使用产生不利影响；</w:t>
      </w:r>
    </w:p>
    <w:p w14:paraId="49ED0C9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（3）该情形可能导致合同价款增加；</w:t>
      </w:r>
    </w:p>
    <w:p w14:paraId="430974E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（4）该情形可能导致整个工程或单位/区段工程的工期延长。</w:t>
      </w:r>
    </w:p>
    <w:p w14:paraId="5DE4C0C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发包人有权要求承包人根据第13.2款[承包人的合理化建议]的约定提交变更建议，采取措施尽量避免或最小化上述情形的发生或影响。</w:t>
      </w:r>
    </w:p>
    <w:p w14:paraId="5E9E1E86">
      <w:pPr>
        <w:widowControl/>
        <w:wordWrap w:val="0"/>
        <w:topLinePunct/>
        <w:adjustRightInd w:val="0"/>
        <w:snapToGrid w:val="0"/>
        <w:spacing w:after="163" w:afterLines="50" w:line="360" w:lineRule="auto"/>
        <w:outlineLvl w:val="2"/>
        <w:rPr>
          <w:rFonts w:ascii="宋体" w:hAnsi="宋体" w:cs="宋体"/>
          <w:color w:val="auto"/>
          <w:highlight w:val="none"/>
        </w:rPr>
      </w:pPr>
      <w:bookmarkStart w:id="1244" w:name="_Toc4784167"/>
      <w:bookmarkEnd w:id="1244"/>
      <w:bookmarkStart w:id="1245" w:name="_Toc4784168"/>
      <w:bookmarkEnd w:id="1245"/>
      <w:bookmarkStart w:id="1246" w:name="_Toc4784158"/>
      <w:bookmarkEnd w:id="1246"/>
      <w:bookmarkStart w:id="1247" w:name="_Toc4784169"/>
      <w:bookmarkEnd w:id="1247"/>
      <w:bookmarkStart w:id="1248" w:name="_Toc4784171"/>
      <w:bookmarkEnd w:id="1248"/>
      <w:bookmarkStart w:id="1249" w:name="_Toc4784160"/>
      <w:bookmarkEnd w:id="1249"/>
      <w:bookmarkStart w:id="1250" w:name="_Ref532362359"/>
      <w:bookmarkEnd w:id="1250"/>
      <w:bookmarkStart w:id="1251" w:name="_Toc4784170"/>
      <w:bookmarkEnd w:id="1251"/>
      <w:bookmarkStart w:id="1252" w:name="_Toc4784161"/>
      <w:bookmarkEnd w:id="1252"/>
      <w:bookmarkStart w:id="1253" w:name="_Toc4784156"/>
      <w:bookmarkEnd w:id="1253"/>
      <w:bookmarkStart w:id="1254" w:name="_Ref532362356"/>
      <w:bookmarkEnd w:id="1254"/>
      <w:bookmarkStart w:id="1255" w:name="_Toc4784173"/>
      <w:bookmarkEnd w:id="1255"/>
      <w:bookmarkStart w:id="1256" w:name="_Ref4770106"/>
      <w:bookmarkEnd w:id="1256"/>
      <w:bookmarkStart w:id="1257" w:name="_Toc4784154"/>
      <w:bookmarkEnd w:id="1257"/>
      <w:bookmarkStart w:id="1258" w:name="_Toc4784166"/>
      <w:bookmarkEnd w:id="1258"/>
      <w:bookmarkStart w:id="1259" w:name="_Toc4784159"/>
      <w:bookmarkEnd w:id="1259"/>
      <w:bookmarkStart w:id="1260" w:name="_Toc4784164"/>
      <w:bookmarkEnd w:id="1260"/>
      <w:bookmarkStart w:id="1261" w:name="_Toc4784155"/>
      <w:bookmarkEnd w:id="1261"/>
      <w:bookmarkStart w:id="1262" w:name="_Toc4784162"/>
      <w:bookmarkEnd w:id="1262"/>
      <w:bookmarkStart w:id="1263" w:name="_Toc4784165"/>
      <w:bookmarkEnd w:id="1263"/>
      <w:bookmarkStart w:id="1264" w:name="_Toc20171794"/>
      <w:bookmarkEnd w:id="1264"/>
      <w:bookmarkStart w:id="1265" w:name="_Toc4784163"/>
      <w:bookmarkEnd w:id="1265"/>
      <w:bookmarkStart w:id="1266" w:name="_Toc4784174"/>
      <w:bookmarkEnd w:id="1266"/>
      <w:bookmarkStart w:id="1267" w:name="_Toc4784175"/>
      <w:bookmarkEnd w:id="1267"/>
      <w:bookmarkStart w:id="1268" w:name="_Toc4784172"/>
      <w:bookmarkEnd w:id="1268"/>
      <w:bookmarkStart w:id="1269" w:name="_Toc4784157"/>
      <w:bookmarkStart w:id="1270" w:name="_Toc51766647"/>
      <w:bookmarkStart w:id="1271" w:name="_Toc58860234"/>
      <w:bookmarkStart w:id="1272" w:name="_Toc9657"/>
      <w:r>
        <w:rPr>
          <w:rFonts w:hint="eastAsia" w:ascii="宋体" w:hAnsi="宋体" w:cs="宋体"/>
          <w:color w:val="auto"/>
          <w:szCs w:val="21"/>
          <w:highlight w:val="none"/>
          <w:lang w:bidi="ar"/>
        </w:rPr>
        <w:t>8</w:t>
      </w:r>
      <w:bookmarkEnd w:id="1269"/>
      <w:r>
        <w:rPr>
          <w:rFonts w:hint="eastAsia" w:ascii="宋体" w:hAnsi="宋体" w:cs="宋体"/>
          <w:color w:val="auto"/>
          <w:szCs w:val="21"/>
          <w:highlight w:val="none"/>
          <w:lang w:bidi="ar"/>
        </w:rPr>
        <w:t>.7  工期延误</w:t>
      </w:r>
      <w:bookmarkEnd w:id="1270"/>
      <w:bookmarkEnd w:id="1271"/>
      <w:bookmarkEnd w:id="1272"/>
    </w:p>
    <w:p w14:paraId="556477EB">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73" w:name="_Ref4796050"/>
      <w:bookmarkEnd w:id="1273"/>
      <w:r>
        <w:rPr>
          <w:rFonts w:hint="eastAsia" w:ascii="宋体" w:hAnsi="宋体" w:cs="宋体"/>
          <w:color w:val="auto"/>
          <w:szCs w:val="21"/>
          <w:highlight w:val="none"/>
          <w:lang w:bidi="ar"/>
        </w:rPr>
        <w:t>8.7.1因发包人原因导致工期延误</w:t>
      </w:r>
    </w:p>
    <w:p w14:paraId="405278C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在合同履行过程中，因下列情况导致工期延误和（或）费用增加的，由发包人承担由此延误的工期和（或）增加的费用，且发包人应支付承包人合理的利润：</w:t>
      </w:r>
    </w:p>
    <w:p w14:paraId="3BBBCF0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（1）根据第13条[变更与调整]的约定构成一项变更的；</w:t>
      </w:r>
    </w:p>
    <w:p w14:paraId="68DE8B7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（2）发包人违反本合同约定，导致工期延误和（或）费用增加的；</w:t>
      </w:r>
    </w:p>
    <w:p w14:paraId="4C611BE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（3）发包人、发包人代表、工程师或发包人聘请的任意第三方造成或引起的任何延误、妨碍和阻碍；</w:t>
      </w:r>
    </w:p>
    <w:p w14:paraId="582FDB4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（4）发包人未能依据第6.2.1项[发包人提供的材料和工程设备]的约定提供材料和工程设备导致工期延误和（或）费用增加的；</w:t>
      </w:r>
    </w:p>
    <w:p w14:paraId="1CF3831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（5）因发包人原因导致的暂停施工；</w:t>
      </w:r>
    </w:p>
    <w:p w14:paraId="16D3623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（6）发包人未及时履行相关合同义务，造成工期延误的其他原因。</w:t>
      </w:r>
    </w:p>
    <w:p w14:paraId="3D0AFECA">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74" w:name="_Ref4770209"/>
      <w:bookmarkEnd w:id="1274"/>
      <w:r>
        <w:rPr>
          <w:rFonts w:hint="eastAsia" w:ascii="宋体" w:hAnsi="宋体" w:cs="宋体"/>
          <w:color w:val="auto"/>
          <w:szCs w:val="21"/>
          <w:highlight w:val="none"/>
          <w:lang w:bidi="ar"/>
        </w:rPr>
        <w:t>8.7.2因承包人原因导致工期延误</w:t>
      </w:r>
    </w:p>
    <w:p w14:paraId="3D33B0B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由于承包人的原因，未能按项目进度计划完成工作，承包人应采取措施加快进度，并承担加快进度所增加的费用。</w:t>
      </w:r>
    </w:p>
    <w:p w14:paraId="6690CFB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由于承包人原因造成工期延误并导致逾期竣工的，承包人应支付逾期竣工违约金。逾期竣工违约金的计算方法和最高限额在专用合同条件中约定。承包人支付逾期竣工违约金，不免除承包人完成工作及修补缺陷的义务，且发包人有权从工程进度款、竣工结算款或约定提交的履约担保中扣除相当于逾期竣工违约金的金额。</w:t>
      </w:r>
    </w:p>
    <w:p w14:paraId="3F9935AF">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75" w:name="_Ref4770872"/>
      <w:bookmarkEnd w:id="1275"/>
      <w:r>
        <w:rPr>
          <w:rFonts w:hint="eastAsia" w:ascii="宋体" w:hAnsi="宋体" w:cs="宋体"/>
          <w:color w:val="auto"/>
          <w:szCs w:val="21"/>
          <w:highlight w:val="none"/>
          <w:lang w:bidi="ar"/>
        </w:rPr>
        <w:t xml:space="preserve">8.7.3行政审批迟延 </w:t>
      </w:r>
    </w:p>
    <w:p w14:paraId="04FD9EF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约定范围内的工作需国家有关部门审批的，发包人和（或）承包人应按照专用合同条件约定的职责分工完成行政审批报送。因国家有关部门审批迟延造成工期延误的，竣工日期相应顺延。造成费用增加的，由双方在负责的范围内各自承担。</w:t>
      </w:r>
    </w:p>
    <w:p w14:paraId="7B400DEC">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76" w:name="_Ref4770933"/>
      <w:bookmarkEnd w:id="1276"/>
      <w:r>
        <w:rPr>
          <w:rFonts w:hint="eastAsia" w:ascii="宋体" w:hAnsi="宋体" w:cs="宋体"/>
          <w:color w:val="auto"/>
          <w:szCs w:val="21"/>
          <w:highlight w:val="none"/>
          <w:lang w:bidi="ar"/>
        </w:rPr>
        <w:t>8.7.4异常恶劣的气候条件</w:t>
      </w:r>
    </w:p>
    <w:p w14:paraId="3D027A5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异常恶劣的气候条件是指在施工过程中遇到的，有经验的承包人在订立合同时不可预见的，对合同履行造成实质性影响的，但尚未构成不可抗力事件的恶劣气候条件。合同当事人可以在专用合同条件中约定异常恶劣的气候条件的具体情形。</w:t>
      </w:r>
    </w:p>
    <w:p w14:paraId="6F5AF3B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采取克服异常恶劣的气候条件的合理措施继续施工，并及时通知工程师。工程师应当及时发出指示，指示构成变更的，按第13条[变更与调整]约定办理。承包人因采取合理措施而延误的工期由发包人承担。</w:t>
      </w:r>
    </w:p>
    <w:p w14:paraId="0B119F36">
      <w:pPr>
        <w:widowControl/>
        <w:wordWrap w:val="0"/>
        <w:topLinePunct/>
        <w:adjustRightInd w:val="0"/>
        <w:snapToGrid w:val="0"/>
        <w:spacing w:after="163" w:afterLines="50" w:line="360" w:lineRule="auto"/>
        <w:outlineLvl w:val="2"/>
        <w:rPr>
          <w:rFonts w:ascii="宋体" w:hAnsi="宋体" w:cs="宋体"/>
          <w:color w:val="auto"/>
          <w:highlight w:val="none"/>
        </w:rPr>
      </w:pPr>
      <w:bookmarkStart w:id="1277" w:name="_Ref4781828"/>
      <w:bookmarkEnd w:id="1277"/>
      <w:bookmarkStart w:id="1278" w:name="_Toc20171795"/>
      <w:bookmarkStart w:id="1279" w:name="_Toc58860235"/>
      <w:bookmarkStart w:id="1280" w:name="_Toc15968"/>
      <w:bookmarkStart w:id="1281" w:name="_Toc51766648"/>
      <w:r>
        <w:rPr>
          <w:rFonts w:hint="eastAsia" w:ascii="宋体" w:hAnsi="宋体" w:cs="宋体"/>
          <w:color w:val="auto"/>
          <w:szCs w:val="21"/>
          <w:highlight w:val="none"/>
          <w:lang w:bidi="ar"/>
        </w:rPr>
        <w:t>8</w:t>
      </w:r>
      <w:bookmarkEnd w:id="1278"/>
      <w:r>
        <w:rPr>
          <w:rFonts w:hint="eastAsia" w:ascii="宋体" w:hAnsi="宋体" w:cs="宋体"/>
          <w:color w:val="auto"/>
          <w:szCs w:val="21"/>
          <w:highlight w:val="none"/>
          <w:lang w:bidi="ar"/>
        </w:rPr>
        <w:t>.8  工期提前</w:t>
      </w:r>
      <w:bookmarkEnd w:id="1279"/>
      <w:bookmarkEnd w:id="1280"/>
      <w:bookmarkEnd w:id="1281"/>
    </w:p>
    <w:p w14:paraId="7ACBC296">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8.8.1发包人指示承包人提前竣工且被承包人接受的，应与承包人共同协商采取加快工程进度的措施和修订项目进度计划。发包人应承担承包人由此增加的费用，增加的费用按第13条[变更与调整]的约定执行；发包人不得以任何理由要求承包人超过合理限度压缩工期。承包人有权不接受提前竣工的指示，工期按照合同约定执行。</w:t>
      </w:r>
    </w:p>
    <w:p w14:paraId="6F6565B5">
      <w:pPr>
        <w:widowControl/>
        <w:adjustRightInd w:val="0"/>
        <w:snapToGrid w:val="0"/>
        <w:spacing w:after="163" w:afterLines="50" w:line="360" w:lineRule="auto"/>
        <w:ind w:firstLine="420" w:firstLineChars="200"/>
        <w:rPr>
          <w:rFonts w:ascii="宋体" w:hAnsi="宋体" w:cs="宋体"/>
          <w:color w:val="auto"/>
          <w:highlight w:val="none"/>
        </w:rPr>
      </w:pPr>
      <w:bookmarkStart w:id="1282" w:name="_Ref4429347"/>
      <w:bookmarkEnd w:id="1282"/>
      <w:r>
        <w:rPr>
          <w:rFonts w:hint="eastAsia" w:ascii="宋体" w:hAnsi="宋体" w:cs="宋体"/>
          <w:color w:val="auto"/>
          <w:szCs w:val="21"/>
          <w:highlight w:val="none"/>
          <w:lang w:bidi="ar"/>
        </w:rPr>
        <w:t>8.8.2承包人提出提前竣工的建议且发包人接受的，应与发包人共同协商采取加快工程进度的措施和修订项目进度计划。发包人应承担承包人由此增加的费用，增加的费用按第13条[变更与调整]的约定执行，并向承包人支付专用合同条件约定的相应奖励金。</w:t>
      </w:r>
    </w:p>
    <w:p w14:paraId="42EA4D38">
      <w:pPr>
        <w:widowControl/>
        <w:wordWrap w:val="0"/>
        <w:topLinePunct/>
        <w:adjustRightInd w:val="0"/>
        <w:snapToGrid w:val="0"/>
        <w:spacing w:after="163" w:afterLines="50" w:line="360" w:lineRule="auto"/>
        <w:outlineLvl w:val="2"/>
        <w:rPr>
          <w:rFonts w:ascii="宋体" w:hAnsi="宋体" w:cs="宋体"/>
          <w:color w:val="auto"/>
          <w:highlight w:val="none"/>
        </w:rPr>
      </w:pPr>
      <w:bookmarkStart w:id="1283" w:name="_Ref4615031"/>
      <w:bookmarkEnd w:id="1283"/>
      <w:bookmarkStart w:id="1284" w:name="_Ref4615040"/>
      <w:bookmarkEnd w:id="1284"/>
      <w:bookmarkStart w:id="1285" w:name="_Toc20171796"/>
      <w:bookmarkStart w:id="1286" w:name="_Toc9940"/>
      <w:bookmarkStart w:id="1287" w:name="_Toc51766649"/>
      <w:bookmarkStart w:id="1288" w:name="_Toc58860236"/>
      <w:r>
        <w:rPr>
          <w:rFonts w:hint="eastAsia" w:ascii="宋体" w:hAnsi="宋体" w:cs="宋体"/>
          <w:color w:val="auto"/>
          <w:szCs w:val="21"/>
          <w:highlight w:val="none"/>
          <w:lang w:bidi="ar"/>
        </w:rPr>
        <w:t>8</w:t>
      </w:r>
      <w:bookmarkEnd w:id="1285"/>
      <w:r>
        <w:rPr>
          <w:rFonts w:hint="eastAsia" w:ascii="宋体" w:hAnsi="宋体" w:cs="宋体"/>
          <w:color w:val="auto"/>
          <w:szCs w:val="21"/>
          <w:highlight w:val="none"/>
          <w:lang w:bidi="ar"/>
        </w:rPr>
        <w:t>.9  暂停工作</w:t>
      </w:r>
      <w:bookmarkEnd w:id="1286"/>
      <w:bookmarkEnd w:id="1287"/>
      <w:bookmarkEnd w:id="1288"/>
      <w:r>
        <w:rPr>
          <w:rFonts w:hint="eastAsia" w:ascii="宋体" w:hAnsi="宋体" w:cs="宋体"/>
          <w:color w:val="auto"/>
          <w:szCs w:val="21"/>
          <w:highlight w:val="none"/>
          <w:lang w:bidi="ar"/>
        </w:rPr>
        <w:t xml:space="preserve"> </w:t>
      </w:r>
    </w:p>
    <w:p w14:paraId="364F840F">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89" w:name="_Ref4709151"/>
      <w:bookmarkEnd w:id="1289"/>
      <w:r>
        <w:rPr>
          <w:rFonts w:hint="eastAsia" w:ascii="宋体" w:hAnsi="宋体" w:cs="宋体"/>
          <w:color w:val="auto"/>
          <w:szCs w:val="21"/>
          <w:highlight w:val="none"/>
          <w:lang w:bidi="ar"/>
        </w:rPr>
        <w:t>8.9.1由发包人暂停工作</w:t>
      </w:r>
    </w:p>
    <w:p w14:paraId="5BC870E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发包人认为必要时，可通过工程师向承包人发出经发包人签认的暂停工作通知，应列明暂停原因、暂停的日期及预计暂停的期限。承包人应按该通知暂停工作。</w:t>
      </w:r>
      <w:bookmarkStart w:id="1290" w:name="_Ref4709233"/>
      <w:bookmarkEnd w:id="1290"/>
    </w:p>
    <w:p w14:paraId="0BA4D8D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承包人因执行暂停工作通知而造成费用的增加和（或）工期延误由发包人承担，并有权要求发包人支付合理利润，但由于承包人原因造成发包人暂停工作的除外。</w:t>
      </w:r>
    </w:p>
    <w:p w14:paraId="6D7BFB38">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91" w:name="_Ref18972173"/>
      <w:bookmarkEnd w:id="1291"/>
      <w:r>
        <w:rPr>
          <w:rFonts w:hint="eastAsia" w:ascii="宋体" w:hAnsi="宋体" w:cs="宋体"/>
          <w:color w:val="auto"/>
          <w:szCs w:val="21"/>
          <w:highlight w:val="none"/>
          <w:lang w:bidi="ar"/>
        </w:rPr>
        <w:t xml:space="preserve">8.9.2由承包人暂停工作 </w:t>
      </w:r>
    </w:p>
    <w:p w14:paraId="0D713D7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原因所造成部分或全部工程的暂停，承包人应采取措施尽快复工并赶上进度，由此造成费用的增加或工期延误由承包人承担。因此造成逾期竣工的，承包人应按第8.7.2项[因承包人原因导致工期延误]承担逾期竣工违约责任。</w:t>
      </w:r>
    </w:p>
    <w:p w14:paraId="2938472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履行过程中发生下列情形之一的，承包人可向发包人发出通知，要求发包人采取有效措施予以纠正。发包人收到承包人通知后的28天内仍不予以纠正，承包人有权暂停施工，并通知工程师。承包人有权要求发包人延长工期和（或）增加费用，并支付合理利润：</w:t>
      </w:r>
    </w:p>
    <w:p w14:paraId="2ABF9CDB">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292" w:name="_Ref4709224"/>
      <w:bookmarkEnd w:id="1292"/>
      <w:r>
        <w:rPr>
          <w:rFonts w:hint="eastAsia" w:ascii="宋体" w:hAnsi="宋体" w:cs="宋体"/>
          <w:color w:val="auto"/>
          <w:kern w:val="0"/>
          <w:szCs w:val="21"/>
          <w:highlight w:val="none"/>
          <w:lang w:bidi="ar"/>
        </w:rPr>
        <w:t>（1）发包人拖延、拒绝批准付款申请和支付证书，或未能按合同约定支付价款，导致付款延误的；</w:t>
      </w:r>
    </w:p>
    <w:p w14:paraId="40D97E7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（2）发包人未按约定履行合同其他义务导致承包人无法继续履行合同的，或者发包人明确表示暂停或实质上已暂停履行合同的；</w:t>
      </w:r>
    </w:p>
    <w:p w14:paraId="32C25678">
      <w:pPr>
        <w:widowControl/>
        <w:wordWrap w:val="0"/>
        <w:topLinePunct/>
        <w:adjustRightInd w:val="0"/>
        <w:snapToGrid w:val="0"/>
        <w:spacing w:after="163" w:afterLines="50" w:line="360" w:lineRule="auto"/>
        <w:ind w:left="480"/>
        <w:outlineLvl w:val="3"/>
        <w:rPr>
          <w:rFonts w:ascii="宋体" w:hAnsi="宋体" w:cs="宋体"/>
          <w:color w:val="auto"/>
          <w:kern w:val="0"/>
          <w:highlight w:val="none"/>
        </w:rPr>
      </w:pPr>
      <w:r>
        <w:rPr>
          <w:rFonts w:hint="eastAsia" w:ascii="宋体" w:hAnsi="宋体" w:cs="宋体"/>
          <w:color w:val="auto"/>
          <w:kern w:val="0"/>
          <w:szCs w:val="21"/>
          <w:highlight w:val="none"/>
          <w:lang w:bidi="ar"/>
        </w:rPr>
        <w:t>8</w:t>
      </w:r>
      <w:r>
        <w:rPr>
          <w:rFonts w:ascii="宋体" w:hAnsi="宋体" w:cs="宋体"/>
          <w:color w:val="auto"/>
          <w:kern w:val="0"/>
          <w:szCs w:val="21"/>
          <w:highlight w:val="none"/>
          <w:lang w:bidi="ar"/>
        </w:rPr>
        <w:t>.9.3</w:t>
      </w:r>
      <w:r>
        <w:rPr>
          <w:rFonts w:hint="eastAsia" w:ascii="宋体" w:hAnsi="宋体" w:cs="宋体"/>
          <w:color w:val="auto"/>
          <w:kern w:val="0"/>
          <w:szCs w:val="21"/>
          <w:highlight w:val="none"/>
          <w:lang w:bidi="ar"/>
        </w:rPr>
        <w:t>除上述原因以外的暂停工作，双方应遵守第17条[不可抗力]的相关约定。</w:t>
      </w:r>
    </w:p>
    <w:p w14:paraId="78AB2F01">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293" w:name="_Ref4709158"/>
      <w:bookmarkEnd w:id="1293"/>
      <w:r>
        <w:rPr>
          <w:rFonts w:hint="eastAsia" w:ascii="宋体" w:hAnsi="宋体" w:cs="宋体"/>
          <w:color w:val="auto"/>
          <w:szCs w:val="21"/>
          <w:highlight w:val="none"/>
          <w:lang w:bidi="ar"/>
        </w:rPr>
        <w:t>8.9.</w:t>
      </w:r>
      <w:r>
        <w:rPr>
          <w:rFonts w:ascii="宋体" w:hAnsi="宋体" w:cs="宋体"/>
          <w:color w:val="auto"/>
          <w:szCs w:val="21"/>
          <w:highlight w:val="none"/>
          <w:lang w:bidi="ar"/>
        </w:rPr>
        <w:t>4</w:t>
      </w:r>
      <w:r>
        <w:rPr>
          <w:rFonts w:hint="eastAsia" w:ascii="宋体" w:hAnsi="宋体" w:cs="宋体"/>
          <w:color w:val="auto"/>
          <w:szCs w:val="21"/>
          <w:highlight w:val="none"/>
          <w:lang w:bidi="ar"/>
        </w:rPr>
        <w:t xml:space="preserve">暂停工作期间的工程照管 </w:t>
      </w:r>
    </w:p>
    <w:p w14:paraId="77A38E5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不论由于何种原因引起暂停工作的，暂停工作期间，承包人应负责对工程、工程物资及文件等进行照管和保护，并提供安全保障，由此增加的费用按第8.9.1项[由发包人暂停工作]和第8.9.2项[由承包人暂停工作]的约定承担。</w:t>
      </w:r>
    </w:p>
    <w:p w14:paraId="73416D1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因承包人未能尽到照管、保护的责任造成损失的，使发包人的费用增加，（或）竣工日期延误的，由承包人按本合同约定承担责任。</w:t>
      </w:r>
    </w:p>
    <w:p w14:paraId="5FCBCE4C">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8.9.</w:t>
      </w:r>
      <w:r>
        <w:rPr>
          <w:rFonts w:ascii="宋体" w:hAnsi="宋体" w:cs="宋体"/>
          <w:color w:val="auto"/>
          <w:szCs w:val="21"/>
          <w:highlight w:val="none"/>
          <w:lang w:bidi="ar"/>
        </w:rPr>
        <w:t>5</w:t>
      </w:r>
      <w:r>
        <w:rPr>
          <w:rFonts w:hint="eastAsia" w:ascii="宋体" w:hAnsi="宋体" w:cs="宋体"/>
          <w:color w:val="auto"/>
          <w:szCs w:val="21"/>
          <w:highlight w:val="none"/>
          <w:lang w:bidi="ar"/>
        </w:rPr>
        <w:t>拖长的暂停</w:t>
      </w:r>
    </w:p>
    <w:p w14:paraId="7975AE71">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根据第8.9.1项[由发包人暂停工作]暂停工作持续超过56天的，承包人可向发包人发出要求复工的通知。如果发包人没有在收到书面通知后28天内准许已暂停工作的全部或部分继续工作，承包人有权根据第13条[变更与调整]的约定，要求以变更方式调减受暂停影响的部分工程。发包人的暂停超过56天且暂停影响到整个工程的，承包人有权根据第16.2款[由承包人解除合同]的约定，发出解除合同的通知。</w:t>
      </w:r>
    </w:p>
    <w:p w14:paraId="6BE2EE0C">
      <w:pPr>
        <w:widowControl/>
        <w:wordWrap w:val="0"/>
        <w:topLinePunct/>
        <w:adjustRightInd w:val="0"/>
        <w:snapToGrid w:val="0"/>
        <w:spacing w:after="163" w:afterLines="50" w:line="360" w:lineRule="auto"/>
        <w:outlineLvl w:val="2"/>
        <w:rPr>
          <w:rFonts w:ascii="宋体" w:hAnsi="宋体" w:cs="宋体"/>
          <w:color w:val="auto"/>
          <w:highlight w:val="none"/>
        </w:rPr>
      </w:pPr>
      <w:bookmarkStart w:id="1294" w:name="_Toc20171797"/>
      <w:bookmarkEnd w:id="1294"/>
      <w:bookmarkStart w:id="1295" w:name="_Toc51766650"/>
      <w:bookmarkStart w:id="1296" w:name="_Toc14895"/>
      <w:bookmarkStart w:id="1297" w:name="_Toc58860237"/>
      <w:r>
        <w:rPr>
          <w:rFonts w:hint="eastAsia" w:ascii="宋体" w:hAnsi="宋体" w:cs="宋体"/>
          <w:color w:val="auto"/>
          <w:szCs w:val="21"/>
          <w:highlight w:val="none"/>
          <w:lang w:bidi="ar"/>
        </w:rPr>
        <w:t>8.10  复工</w:t>
      </w:r>
      <w:bookmarkEnd w:id="1295"/>
      <w:bookmarkEnd w:id="1296"/>
      <w:bookmarkEnd w:id="1297"/>
      <w:r>
        <w:rPr>
          <w:rFonts w:hint="eastAsia" w:ascii="宋体" w:hAnsi="宋体" w:cs="宋体"/>
          <w:color w:val="auto"/>
          <w:szCs w:val="21"/>
          <w:highlight w:val="none"/>
          <w:lang w:bidi="ar"/>
        </w:rPr>
        <w:t xml:space="preserve"> </w:t>
      </w:r>
    </w:p>
    <w:p w14:paraId="43D39AD6">
      <w:pPr>
        <w:widowControl/>
        <w:wordWrap w:val="0"/>
        <w:topLinePunct/>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8.10.1收到发包人的复工通知后，承包人应按通知时间复工；发包人通知的复工时间应当给予承包人必要的准备复工时间。</w:t>
      </w:r>
    </w:p>
    <w:p w14:paraId="121D386E">
      <w:pPr>
        <w:widowControl/>
        <w:wordWrap w:val="0"/>
        <w:topLinePunct/>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8.10.2不论由于何种原因引起暂停工作，双方均可要求对方一同对受暂停影响的工程、工程设备和工程物资进行检查，承包人应将检查结果及需要恢复、修复的内容和估算通知发包人。</w:t>
      </w:r>
    </w:p>
    <w:p w14:paraId="7105F4CE">
      <w:pPr>
        <w:widowControl/>
        <w:wordWrap w:val="0"/>
        <w:topLinePunct/>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8.10.3除第17条[不可抗力]另有约定外，发生的恢复、修复价款及工期延误的后果由责任方承担。</w:t>
      </w:r>
    </w:p>
    <w:p w14:paraId="55DB9EE6">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298" w:name="_Ref4621041"/>
      <w:bookmarkEnd w:id="1298"/>
      <w:bookmarkStart w:id="1299" w:name="_Ref4621029"/>
      <w:bookmarkEnd w:id="1299"/>
      <w:bookmarkStart w:id="1300" w:name="_Toc20171798"/>
      <w:bookmarkStart w:id="1301" w:name="_Toc58860238"/>
      <w:r>
        <w:rPr>
          <w:rFonts w:hint="eastAsia" w:ascii="宋体" w:hAnsi="宋体" w:cs="宋体"/>
          <w:color w:val="auto"/>
          <w:kern w:val="0"/>
          <w:szCs w:val="21"/>
          <w:highlight w:val="none"/>
          <w:lang w:bidi="ar"/>
        </w:rPr>
        <w:t xml:space="preserve">第9条 </w:t>
      </w:r>
      <w:bookmarkEnd w:id="1300"/>
      <w:r>
        <w:rPr>
          <w:rFonts w:hint="eastAsia" w:ascii="宋体" w:hAnsi="宋体" w:cs="宋体"/>
          <w:color w:val="auto"/>
          <w:kern w:val="0"/>
          <w:szCs w:val="21"/>
          <w:highlight w:val="none"/>
          <w:lang w:bidi="ar"/>
        </w:rPr>
        <w:t xml:space="preserve"> 竣工试验</w:t>
      </w:r>
      <w:bookmarkEnd w:id="1301"/>
      <w:r>
        <w:rPr>
          <w:rFonts w:hint="eastAsia" w:ascii="宋体" w:hAnsi="宋体" w:cs="宋体"/>
          <w:color w:val="auto"/>
          <w:kern w:val="0"/>
          <w:szCs w:val="21"/>
          <w:highlight w:val="none"/>
          <w:lang w:bidi="ar"/>
        </w:rPr>
        <w:t xml:space="preserve"> </w:t>
      </w:r>
    </w:p>
    <w:p w14:paraId="75C18E0B">
      <w:pPr>
        <w:widowControl/>
        <w:wordWrap w:val="0"/>
        <w:topLinePunct/>
        <w:adjustRightInd w:val="0"/>
        <w:snapToGrid w:val="0"/>
        <w:spacing w:after="163" w:afterLines="50" w:line="360" w:lineRule="auto"/>
        <w:outlineLvl w:val="2"/>
        <w:rPr>
          <w:rFonts w:ascii="宋体" w:hAnsi="宋体" w:cs="宋体"/>
          <w:color w:val="auto"/>
          <w:highlight w:val="none"/>
        </w:rPr>
      </w:pPr>
      <w:bookmarkStart w:id="1302" w:name="_Toc20171799"/>
      <w:bookmarkEnd w:id="1302"/>
      <w:bookmarkStart w:id="1303" w:name="_Ref532586248"/>
      <w:bookmarkEnd w:id="1303"/>
      <w:bookmarkStart w:id="1304" w:name="_Ref532586251"/>
      <w:bookmarkStart w:id="1305" w:name="_Toc19338"/>
      <w:bookmarkStart w:id="1306" w:name="_Toc51766652"/>
      <w:bookmarkStart w:id="1307" w:name="_Toc58860239"/>
      <w:r>
        <w:rPr>
          <w:rFonts w:hint="eastAsia" w:ascii="宋体" w:hAnsi="宋体" w:cs="宋体"/>
          <w:color w:val="auto"/>
          <w:szCs w:val="21"/>
          <w:highlight w:val="none"/>
          <w:lang w:bidi="ar"/>
        </w:rPr>
        <w:t>9</w:t>
      </w:r>
      <w:bookmarkEnd w:id="1304"/>
      <w:r>
        <w:rPr>
          <w:rFonts w:hint="eastAsia" w:ascii="宋体" w:hAnsi="宋体" w:cs="宋体"/>
          <w:color w:val="auto"/>
          <w:szCs w:val="21"/>
          <w:highlight w:val="none"/>
          <w:lang w:bidi="ar"/>
        </w:rPr>
        <w:t>.1  竣工试验的义务</w:t>
      </w:r>
      <w:bookmarkEnd w:id="1305"/>
      <w:bookmarkEnd w:id="1306"/>
      <w:bookmarkEnd w:id="1307"/>
    </w:p>
    <w:p w14:paraId="6484627A">
      <w:pPr>
        <w:widowControl/>
        <w:wordWrap w:val="0"/>
        <w:topLinePunct/>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9.1.1承包人完成工程或区段工程进行竣工试验所需的作业，并根据第5.4款[竣工文件]和第5.5款[操作和维修手册]提交文件后，进行竣工试验。</w:t>
      </w:r>
      <w:bookmarkStart w:id="1308" w:name="_Ref532586608"/>
      <w:bookmarkEnd w:id="1308"/>
    </w:p>
    <w:p w14:paraId="72C9685B">
      <w:pPr>
        <w:widowControl/>
        <w:wordWrap w:val="0"/>
        <w:topLinePunct/>
        <w:adjustRightInd w:val="0"/>
        <w:snapToGrid w:val="0"/>
        <w:spacing w:after="163" w:afterLines="50" w:line="360" w:lineRule="auto"/>
        <w:ind w:firstLine="420" w:firstLineChars="200"/>
        <w:rPr>
          <w:rFonts w:ascii="宋体" w:hAnsi="宋体" w:cs="宋体"/>
          <w:color w:val="auto"/>
          <w:highlight w:val="none"/>
        </w:rPr>
      </w:pPr>
      <w:bookmarkStart w:id="1309" w:name="_Ref11919920"/>
      <w:bookmarkEnd w:id="1309"/>
      <w:r>
        <w:rPr>
          <w:rFonts w:hint="eastAsia" w:ascii="宋体" w:hAnsi="宋体" w:cs="宋体"/>
          <w:color w:val="auto"/>
          <w:szCs w:val="21"/>
          <w:highlight w:val="none"/>
          <w:lang w:bidi="ar"/>
        </w:rPr>
        <w:t>9.1.2承包人应在进行竣工试验之前，至少提前42天向工程师提交详细的竣工试验计划，该计划应载明竣工试验的内容、地点、拟开展时间和需要发包人提供的资源条件。工程师应在收到计划后的14天内进行审查，并就该计划不符合合同的部分提出意见，承包人应在收到意见后的14天内自费对计划进行修正。工程师逾期未提出意见的，视为竣工试验计划已得到确认。除提交竣工试验计划外，承包人还应提前21天将可以开始进行各项竣工试验的日期通知工程师，并在该日期后的14天内或工程师指示的日期进行竣工试验。</w:t>
      </w:r>
    </w:p>
    <w:p w14:paraId="492C2883">
      <w:pPr>
        <w:widowControl/>
        <w:wordWrap w:val="0"/>
        <w:topLinePunct/>
        <w:adjustRightInd w:val="0"/>
        <w:snapToGrid w:val="0"/>
        <w:spacing w:after="163" w:afterLines="50" w:line="360" w:lineRule="auto"/>
        <w:ind w:firstLine="420" w:firstLineChars="200"/>
        <w:rPr>
          <w:rFonts w:ascii="宋体" w:hAnsi="宋体" w:cs="宋体"/>
          <w:color w:val="auto"/>
          <w:highlight w:val="none"/>
        </w:rPr>
      </w:pPr>
      <w:bookmarkStart w:id="1310" w:name="_Ref532688147"/>
      <w:bookmarkEnd w:id="1310"/>
      <w:r>
        <w:rPr>
          <w:rFonts w:hint="eastAsia" w:ascii="宋体" w:hAnsi="宋体" w:cs="宋体"/>
          <w:color w:val="auto"/>
          <w:szCs w:val="21"/>
          <w:highlight w:val="none"/>
          <w:lang w:bidi="ar"/>
        </w:rPr>
        <w:t>9.1.3承包人应根据经确认的竣工试验计划以及第6.5款[由承包人试验和</w:t>
      </w:r>
      <w:r>
        <w:rPr>
          <w:rFonts w:ascii="宋体" w:hAnsi="宋体" w:cs="宋体"/>
          <w:color w:val="auto"/>
          <w:szCs w:val="21"/>
          <w:highlight w:val="none"/>
          <w:lang w:bidi="ar"/>
        </w:rPr>
        <w:t>检验</w:t>
      </w:r>
      <w:r>
        <w:rPr>
          <w:rFonts w:hint="eastAsia" w:ascii="宋体" w:hAnsi="宋体" w:cs="宋体"/>
          <w:color w:val="auto"/>
          <w:szCs w:val="21"/>
          <w:highlight w:val="none"/>
          <w:lang w:bidi="ar"/>
        </w:rPr>
        <w:t>]进行竣工试验。除《发包人要求》中另有说明外，竣工试验应按以下顺序分阶段进行，即只有在工程或区段工程已通过上一阶段试验的情况下，才可进行下一阶段试验：</w:t>
      </w:r>
    </w:p>
    <w:p w14:paraId="51A6B8D8">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（1）承包人进行启动前试验，包括适当的检查和功能性试验，以证明工程或区段工程的每一部分均能够安全地承受下一阶段试验；</w:t>
      </w:r>
    </w:p>
    <w:p w14:paraId="2C7B728A">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（2）承包人进行启动试验，以证明工程或区段工程能够在所有可利用的操作条件下安全运行，并按照专用合同条件和《发包人要求》中的规定操作；</w:t>
      </w:r>
    </w:p>
    <w:p w14:paraId="346DC493">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（3）承包人进行试运行试验。当工程或区段工程能稳定安全运行时，承包人应通知工程师，可以进行其他竣工试验，包括各种性能测试，以证明工程或区段工程符合《发包人要求》中列明的性能保证指标。</w:t>
      </w:r>
    </w:p>
    <w:p w14:paraId="2095FAC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进行上述试验不应构成第10条[验收和工程接收]规定的接收，但试验所产生的任何产品或其他收益均应归属于发包人。</w:t>
      </w:r>
    </w:p>
    <w:p w14:paraId="0A1D85FF">
      <w:pPr>
        <w:widowControl/>
        <w:wordWrap w:val="0"/>
        <w:topLinePunct/>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9.1.4完成上述各阶段竣工试验后，承包人应向工程师提交试验结果报告，试验结果须符合约定的标准、规范和数据。工程师应在收到报告后14天内予以回复，逾期未回复的，视为认可竣工试验结果。但在考虑工程或区段工程是否通过竣工试验时，应适当考虑发包人对工程或其任何部分的使用，对工程或区段工程的性能、特性和试验结果产生的影响。</w:t>
      </w:r>
    </w:p>
    <w:p w14:paraId="77B2C5A1">
      <w:pPr>
        <w:widowControl/>
        <w:wordWrap w:val="0"/>
        <w:topLinePunct/>
        <w:adjustRightInd w:val="0"/>
        <w:snapToGrid w:val="0"/>
        <w:spacing w:after="163" w:afterLines="50" w:line="360" w:lineRule="auto"/>
        <w:outlineLvl w:val="2"/>
        <w:rPr>
          <w:rFonts w:ascii="宋体" w:hAnsi="宋体" w:cs="宋体"/>
          <w:color w:val="auto"/>
          <w:highlight w:val="none"/>
        </w:rPr>
      </w:pPr>
      <w:bookmarkStart w:id="1311" w:name="_Toc20171800"/>
      <w:bookmarkEnd w:id="1311"/>
      <w:bookmarkStart w:id="1312" w:name="_Toc15651"/>
      <w:bookmarkStart w:id="1313" w:name="_Toc58860240"/>
      <w:bookmarkStart w:id="1314" w:name="_Toc51766653"/>
      <w:r>
        <w:rPr>
          <w:rFonts w:hint="eastAsia" w:ascii="宋体" w:hAnsi="宋体" w:cs="宋体"/>
          <w:color w:val="auto"/>
          <w:szCs w:val="21"/>
          <w:highlight w:val="none"/>
          <w:lang w:bidi="ar"/>
        </w:rPr>
        <w:t>9.2  延误的试验</w:t>
      </w:r>
      <w:bookmarkEnd w:id="1312"/>
      <w:bookmarkEnd w:id="1313"/>
      <w:bookmarkEnd w:id="1314"/>
    </w:p>
    <w:p w14:paraId="6B0A0942">
      <w:pPr>
        <w:widowControl/>
        <w:wordWrap w:val="0"/>
        <w:topLinePunct/>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9.2.1如果承包人已根据第9.1款[竣工试验的义务]就可以开始进行各项竣工试验的日期通知工程师，但该等试验因发包人原因被延误14天以上的，发包人应承担由此增加的费用和工期延误，并支付承包人合理利润。同时，承包人应在合理可行的情况下尽快进行竣工试验。</w:t>
      </w:r>
    </w:p>
    <w:p w14:paraId="7764E795">
      <w:pPr>
        <w:widowControl/>
        <w:wordWrap w:val="0"/>
        <w:topLinePunct/>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9.2.2承包人无正当理由延误进行竣工试验的，工程师可向其发出通知，要求其在收到通知后的21天内进行该项竣工试验。承包人应在该21天的期限内确定进行试验的日期，并至少提前7天通知工程师。</w:t>
      </w:r>
    </w:p>
    <w:p w14:paraId="74FDA086">
      <w:pPr>
        <w:widowControl/>
        <w:wordWrap w:val="0"/>
        <w:topLinePunct/>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9.2.3如果承包人未在该期限内进行竣工试验，则发包人有权自行组织该项竣工试验，由此产生的合理费用由承包人承担。发包人应在试验完成后28天内向承包人发送试验结果。</w:t>
      </w:r>
    </w:p>
    <w:p w14:paraId="11E7AA54">
      <w:pPr>
        <w:widowControl/>
        <w:wordWrap w:val="0"/>
        <w:topLinePunct/>
        <w:adjustRightInd w:val="0"/>
        <w:snapToGrid w:val="0"/>
        <w:spacing w:after="163" w:afterLines="50" w:line="360" w:lineRule="auto"/>
        <w:outlineLvl w:val="2"/>
        <w:rPr>
          <w:rFonts w:ascii="宋体" w:hAnsi="宋体" w:cs="宋体"/>
          <w:color w:val="auto"/>
          <w:highlight w:val="none"/>
        </w:rPr>
      </w:pPr>
      <w:bookmarkStart w:id="1315" w:name="_Toc20171801"/>
      <w:bookmarkEnd w:id="1315"/>
      <w:bookmarkStart w:id="1316" w:name="_Ref532594588"/>
      <w:bookmarkEnd w:id="1316"/>
      <w:bookmarkStart w:id="1317" w:name="_Ref532594592"/>
      <w:bookmarkStart w:id="1318" w:name="_Toc58860241"/>
      <w:bookmarkStart w:id="1319" w:name="_Toc10777"/>
      <w:bookmarkStart w:id="1320" w:name="_Toc51766654"/>
      <w:r>
        <w:rPr>
          <w:rFonts w:hint="eastAsia" w:ascii="宋体" w:hAnsi="宋体" w:cs="宋体"/>
          <w:color w:val="auto"/>
          <w:szCs w:val="21"/>
          <w:highlight w:val="none"/>
          <w:lang w:bidi="ar"/>
        </w:rPr>
        <w:t>9</w:t>
      </w:r>
      <w:bookmarkEnd w:id="1317"/>
      <w:r>
        <w:rPr>
          <w:rFonts w:hint="eastAsia" w:ascii="宋体" w:hAnsi="宋体" w:cs="宋体"/>
          <w:color w:val="auto"/>
          <w:szCs w:val="21"/>
          <w:highlight w:val="none"/>
          <w:lang w:bidi="ar"/>
        </w:rPr>
        <w:t>.3  重新试验</w:t>
      </w:r>
      <w:bookmarkEnd w:id="1318"/>
      <w:bookmarkEnd w:id="1319"/>
      <w:bookmarkEnd w:id="1320"/>
      <w:r>
        <w:rPr>
          <w:rFonts w:hint="eastAsia" w:ascii="宋体" w:hAnsi="宋体" w:cs="宋体"/>
          <w:color w:val="auto"/>
          <w:szCs w:val="21"/>
          <w:highlight w:val="none"/>
          <w:lang w:bidi="ar"/>
        </w:rPr>
        <w:t xml:space="preserve"> </w:t>
      </w:r>
    </w:p>
    <w:p w14:paraId="627F55C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如果工程或区段工程未能通过竣工试验，则承包人应根据第6.6款[缺陷和修补]修补缺陷。发包人或承包人可要求按相同的条件，重新进行未通过的试验以及相关工程或区段工程的竣工试验。该等重新进行的试验仍应适用本条对于竣工试验的规定。</w:t>
      </w:r>
    </w:p>
    <w:p w14:paraId="28E390A8">
      <w:pPr>
        <w:widowControl/>
        <w:wordWrap w:val="0"/>
        <w:topLinePunct/>
        <w:adjustRightInd w:val="0"/>
        <w:snapToGrid w:val="0"/>
        <w:spacing w:after="163" w:afterLines="50" w:line="360" w:lineRule="auto"/>
        <w:outlineLvl w:val="2"/>
        <w:rPr>
          <w:rFonts w:ascii="宋体" w:hAnsi="宋体" w:cs="宋体"/>
          <w:color w:val="auto"/>
          <w:highlight w:val="none"/>
        </w:rPr>
      </w:pPr>
      <w:bookmarkStart w:id="1321" w:name="_Ref532688221"/>
      <w:bookmarkEnd w:id="1321"/>
      <w:bookmarkStart w:id="1322" w:name="_Ref532688226"/>
      <w:bookmarkEnd w:id="1322"/>
      <w:bookmarkStart w:id="1323" w:name="_Toc20171802"/>
      <w:bookmarkStart w:id="1324" w:name="_Toc298"/>
      <w:bookmarkStart w:id="1325" w:name="_Toc51766655"/>
      <w:bookmarkStart w:id="1326" w:name="_Toc58860242"/>
      <w:r>
        <w:rPr>
          <w:rFonts w:hint="eastAsia" w:ascii="宋体" w:hAnsi="宋体" w:cs="宋体"/>
          <w:color w:val="auto"/>
          <w:szCs w:val="21"/>
          <w:highlight w:val="none"/>
          <w:lang w:bidi="ar"/>
        </w:rPr>
        <w:t>9</w:t>
      </w:r>
      <w:bookmarkEnd w:id="1323"/>
      <w:r>
        <w:rPr>
          <w:rFonts w:hint="eastAsia" w:ascii="宋体" w:hAnsi="宋体" w:cs="宋体"/>
          <w:color w:val="auto"/>
          <w:szCs w:val="21"/>
          <w:highlight w:val="none"/>
          <w:lang w:bidi="ar"/>
        </w:rPr>
        <w:t>.4  未能通过竣工试验</w:t>
      </w:r>
      <w:bookmarkEnd w:id="1324"/>
      <w:bookmarkEnd w:id="1325"/>
      <w:bookmarkEnd w:id="1326"/>
    </w:p>
    <w:p w14:paraId="7C5418DF">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9.4.1因发包人原因导致竣工试验未能通过的，承包人进行竣工试验的费用由发包人承担，竣工日期相应顺延。</w:t>
      </w:r>
    </w:p>
    <w:p w14:paraId="2BEF9F5A">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9.4.2如果工程或区段工程未能通过根据第9.3款[重新试验]重新进行的竣工试验的，则：</w:t>
      </w:r>
    </w:p>
    <w:p w14:paraId="1880488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（1）发包人有权要求承包人根据第6.6款[缺陷和修补]继续进行修补和改正，并根据第9.3款[重新试验]再次进行竣工试验；</w:t>
      </w:r>
    </w:p>
    <w:p w14:paraId="52D1A05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未能通过竣工试验，对工程或区段工程的操作或使用未产生实质性影响的，发包人有权要求承包人自费修复，承担因此增加的费用和误期损害赔偿责任，并赔偿发包人的相应损失；无法修复时，发包人有权扣减该部分的相应付款，同时视为通过竣工验收；</w:t>
      </w:r>
    </w:p>
    <w:p w14:paraId="39A42352">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327" w:name="_Ref4621461"/>
      <w:bookmarkEnd w:id="1327"/>
      <w:r>
        <w:rPr>
          <w:rFonts w:hint="eastAsia" w:ascii="宋体" w:hAnsi="宋体" w:cs="宋体"/>
          <w:color w:val="auto"/>
          <w:kern w:val="0"/>
          <w:szCs w:val="21"/>
          <w:highlight w:val="none"/>
          <w:lang w:bidi="ar"/>
        </w:rPr>
        <w:t>（3）未能通过竣工试验，使工程或区段工程的任何主要部分丧失了生产、使用功能时，发包人有权指令承包人更换相关部分，承包人应承担因此增加的费用和误期损害赔偿责任，并赔偿发包人的相应损失；</w:t>
      </w:r>
    </w:p>
    <w:p w14:paraId="4E76FBB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未能通过竣工试验，使整个工程或区段工程丧失了生产、使用功能时，发包人可拒收工程或区段工程，或指令承包人重新设计、重置相关部分，承包人应承担因此增加的费用和误期损害赔偿责任，并赔偿发包人的相应损失。同时发包人有权根据第16.1款[由发包人解除合同]的约定解除合同。</w:t>
      </w:r>
    </w:p>
    <w:p w14:paraId="478F9229">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328" w:name="_Ref4624043"/>
      <w:bookmarkEnd w:id="1328"/>
      <w:bookmarkStart w:id="1329" w:name="_Ref4618338"/>
      <w:bookmarkEnd w:id="1329"/>
      <w:bookmarkStart w:id="1330" w:name="_Toc20171803"/>
      <w:bookmarkEnd w:id="1330"/>
      <w:bookmarkStart w:id="1331" w:name="_Ref4618348"/>
      <w:bookmarkStart w:id="1332" w:name="_Toc58860243"/>
      <w:r>
        <w:rPr>
          <w:rFonts w:hint="eastAsia" w:ascii="宋体" w:hAnsi="宋体" w:cs="宋体"/>
          <w:color w:val="auto"/>
          <w:kern w:val="0"/>
          <w:szCs w:val="21"/>
          <w:highlight w:val="none"/>
          <w:lang w:bidi="ar"/>
        </w:rPr>
        <w:t>第1</w:t>
      </w:r>
      <w:bookmarkEnd w:id="1331"/>
      <w:r>
        <w:rPr>
          <w:rFonts w:hint="eastAsia" w:ascii="宋体" w:hAnsi="宋体" w:cs="宋体"/>
          <w:color w:val="auto"/>
          <w:kern w:val="0"/>
          <w:szCs w:val="21"/>
          <w:highlight w:val="none"/>
          <w:lang w:bidi="ar"/>
        </w:rPr>
        <w:t>0条  验收和工程接收</w:t>
      </w:r>
      <w:bookmarkEnd w:id="1332"/>
    </w:p>
    <w:p w14:paraId="6CBEDC9C">
      <w:pPr>
        <w:widowControl/>
        <w:wordWrap w:val="0"/>
        <w:topLinePunct/>
        <w:adjustRightInd w:val="0"/>
        <w:snapToGrid w:val="0"/>
        <w:spacing w:after="163" w:afterLines="50" w:line="360" w:lineRule="auto"/>
        <w:outlineLvl w:val="2"/>
        <w:rPr>
          <w:rFonts w:ascii="宋体" w:hAnsi="宋体" w:cs="宋体"/>
          <w:color w:val="auto"/>
          <w:highlight w:val="none"/>
        </w:rPr>
      </w:pPr>
      <w:bookmarkStart w:id="1333" w:name="_Ref532301202"/>
      <w:bookmarkEnd w:id="1333"/>
      <w:bookmarkStart w:id="1334" w:name="_Ref532359152"/>
      <w:bookmarkEnd w:id="1334"/>
      <w:bookmarkStart w:id="1335" w:name="_Ref532359143"/>
      <w:bookmarkEnd w:id="1335"/>
      <w:bookmarkStart w:id="1336" w:name="_Toc20171804"/>
      <w:bookmarkEnd w:id="1336"/>
      <w:bookmarkStart w:id="1337" w:name="_Ref532300801"/>
      <w:bookmarkEnd w:id="1337"/>
      <w:bookmarkStart w:id="1338" w:name="_Ref532300804"/>
      <w:bookmarkEnd w:id="1338"/>
      <w:bookmarkStart w:id="1339" w:name="_Ref532301199"/>
      <w:bookmarkStart w:id="1340" w:name="_Toc58860244"/>
      <w:bookmarkStart w:id="1341" w:name="_Toc22862"/>
      <w:bookmarkStart w:id="1342" w:name="_Toc51766657"/>
      <w:r>
        <w:rPr>
          <w:rFonts w:hint="eastAsia" w:ascii="宋体" w:hAnsi="宋体" w:cs="宋体"/>
          <w:color w:val="auto"/>
          <w:szCs w:val="21"/>
          <w:highlight w:val="none"/>
          <w:lang w:bidi="ar"/>
        </w:rPr>
        <w:t>1</w:t>
      </w:r>
      <w:bookmarkEnd w:id="1339"/>
      <w:r>
        <w:rPr>
          <w:rFonts w:hint="eastAsia" w:ascii="宋体" w:hAnsi="宋体" w:cs="宋体"/>
          <w:color w:val="auto"/>
          <w:szCs w:val="21"/>
          <w:highlight w:val="none"/>
          <w:lang w:bidi="ar"/>
        </w:rPr>
        <w:t>0.1  竣工验收</w:t>
      </w:r>
      <w:bookmarkEnd w:id="1340"/>
      <w:bookmarkEnd w:id="1341"/>
      <w:bookmarkEnd w:id="1342"/>
    </w:p>
    <w:p w14:paraId="75D813CA">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343" w:name="_Ref532628356"/>
      <w:bookmarkEnd w:id="1343"/>
      <w:r>
        <w:rPr>
          <w:rFonts w:hint="eastAsia" w:ascii="宋体" w:hAnsi="宋体" w:cs="宋体"/>
          <w:color w:val="auto"/>
          <w:szCs w:val="21"/>
          <w:highlight w:val="none"/>
          <w:lang w:bidi="ar"/>
        </w:rPr>
        <w:t>10.1.1竣工验收条件</w:t>
      </w:r>
    </w:p>
    <w:p w14:paraId="15C9370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工程具备以下条件的，承包人可以申请竣工验收：</w:t>
      </w:r>
    </w:p>
    <w:p w14:paraId="1DBF690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除因第13条[变更与调整]导致的工程量删减和第14.5.3项[扫尾工作清单]列入缺陷责任期内完成的扫尾工程和缺陷修补工作外，合同范围内的全部单位/区段工程以及有关工作，包括合同要求的试验和竣工试验均已完成，并符合合同要求；</w:t>
      </w:r>
    </w:p>
    <w:p w14:paraId="050ED74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（2）已按合同约定编制了扫尾工作和缺陷修补工作清单以及相应实施计划；</w:t>
      </w:r>
    </w:p>
    <w:p w14:paraId="40079B8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（3）已按合同约定的内容和份数备齐竣工资料；</w:t>
      </w:r>
    </w:p>
    <w:p w14:paraId="0307440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（4）合同约定要求在竣工验收前应完成的其他工作。</w:t>
      </w:r>
    </w:p>
    <w:p w14:paraId="15BB30BE">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344" w:name="_Ref4429424"/>
      <w:bookmarkEnd w:id="1344"/>
      <w:r>
        <w:rPr>
          <w:rFonts w:hint="eastAsia" w:ascii="宋体" w:hAnsi="宋体" w:cs="宋体"/>
          <w:color w:val="auto"/>
          <w:szCs w:val="21"/>
          <w:highlight w:val="none"/>
          <w:lang w:bidi="ar"/>
        </w:rPr>
        <w:t>10.1.2竣工验收程序</w:t>
      </w:r>
    </w:p>
    <w:p w14:paraId="6BD2CD5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除专用合同条件另有约定外，承包人申请竣工验收的，应当按照以下程序进行：</w:t>
      </w:r>
    </w:p>
    <w:p w14:paraId="61E9EF5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向工程师报送竣工验收申请报告，工程师应在收到竣工验收申请报告后14天内完成审查并报送发包人。工程师审查后认为尚不具备竣工验收条件的，应在收到竣工验收申请报告后的14天内通知承包人，指出在颁发接收证书前承包人还需进行的工作内容。承包人完成工程师通知的全部工作内容后，应再次提交竣工验收申请报告，直至工程师同意为止。</w:t>
      </w:r>
    </w:p>
    <w:p w14:paraId="600B688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工程师同意承包人提交的竣工验收申请报告的，或工程师收到竣工验收申请报告后14天内不予答复的，视为发包人收到并同意承包人的竣工验收申请，发包人应在收到该竣工验收申请报告后的28天内进行竣工验收。工程经竣工验收合格的，以竣工验收合格之日为实际竣工日期，并在工程接收证书中载明；完成竣工验收但发包人不予签发工程接收证书的，视为竣工验收合格，以完成竣工验收之日为实际竣工日期。</w:t>
      </w:r>
    </w:p>
    <w:p w14:paraId="5B56AF7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竣工验收不合格的，工程师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27FE902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（4）因发包人原因，未在工程师收到承包人竣工验收申请报告之日起</w:t>
      </w:r>
      <w:r>
        <w:rPr>
          <w:rFonts w:ascii="宋体" w:hAnsi="宋体" w:cs="宋体"/>
          <w:color w:val="auto"/>
          <w:kern w:val="0"/>
          <w:szCs w:val="21"/>
          <w:highlight w:val="none"/>
          <w:lang w:bidi="ar"/>
        </w:rPr>
        <w:t>42</w:t>
      </w:r>
      <w:r>
        <w:rPr>
          <w:rFonts w:hint="eastAsia" w:ascii="宋体" w:hAnsi="宋体" w:cs="宋体"/>
          <w:color w:val="auto"/>
          <w:kern w:val="0"/>
          <w:szCs w:val="21"/>
          <w:highlight w:val="none"/>
          <w:lang w:bidi="ar"/>
        </w:rPr>
        <w:t>天内完成竣工验收的，以承包人提交竣工验收申请报告之日作为工程实际竣工日期。</w:t>
      </w:r>
    </w:p>
    <w:p w14:paraId="28F1A75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（5）工程未经竣工验收，发包人擅自使用的，以转移占有工程之日为实际竣工日期。</w:t>
      </w:r>
    </w:p>
    <w:p w14:paraId="1C298C1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除专用合同条件另有约定外，发包人不按照本项和第</w:t>
      </w:r>
      <w:r>
        <w:rPr>
          <w:rFonts w:ascii="宋体" w:hAnsi="宋体" w:cs="宋体"/>
          <w:color w:val="auto"/>
          <w:kern w:val="0"/>
          <w:szCs w:val="21"/>
          <w:highlight w:val="none"/>
          <w:lang w:bidi="ar"/>
        </w:rPr>
        <w:t>10.4</w:t>
      </w:r>
      <w:r>
        <w:rPr>
          <w:rFonts w:hint="eastAsia" w:ascii="宋体" w:hAnsi="宋体" w:cs="宋体"/>
          <w:color w:val="auto"/>
          <w:kern w:val="0"/>
          <w:szCs w:val="21"/>
          <w:highlight w:val="none"/>
          <w:lang w:bidi="ar"/>
        </w:rPr>
        <w:t>款</w:t>
      </w:r>
      <w:r>
        <w:rPr>
          <w:rFonts w:ascii="宋体" w:hAnsi="宋体" w:cs="宋体"/>
          <w:color w:val="auto"/>
          <w:kern w:val="0"/>
          <w:szCs w:val="21"/>
          <w:highlight w:val="none"/>
          <w:lang w:bidi="ar"/>
        </w:rPr>
        <w:t>[接收证书]</w:t>
      </w:r>
      <w:r>
        <w:rPr>
          <w:rFonts w:hint="eastAsia" w:ascii="宋体" w:hAnsi="宋体" w:cs="宋体"/>
          <w:color w:val="auto"/>
          <w:kern w:val="0"/>
          <w:szCs w:val="21"/>
          <w:highlight w:val="none"/>
          <w:lang w:bidi="ar"/>
        </w:rPr>
        <w:t>约定组织竣工验收、颁发工程接收证书的，每逾期一天，应以签约合同价为基数，按照贷款市场报价利率（LPR）支付违约金。</w:t>
      </w:r>
    </w:p>
    <w:p w14:paraId="3D1776E9">
      <w:pPr>
        <w:widowControl/>
        <w:wordWrap w:val="0"/>
        <w:topLinePunct/>
        <w:adjustRightInd w:val="0"/>
        <w:snapToGrid w:val="0"/>
        <w:spacing w:after="163" w:afterLines="50" w:line="360" w:lineRule="auto"/>
        <w:outlineLvl w:val="2"/>
        <w:rPr>
          <w:rFonts w:ascii="宋体" w:hAnsi="宋体" w:cs="宋体"/>
          <w:color w:val="auto"/>
          <w:highlight w:val="none"/>
        </w:rPr>
      </w:pPr>
      <w:bookmarkStart w:id="1345" w:name="_Toc20171805"/>
      <w:bookmarkEnd w:id="1345"/>
      <w:bookmarkStart w:id="1346" w:name="_Ref532301213"/>
      <w:bookmarkEnd w:id="1346"/>
      <w:bookmarkStart w:id="1347" w:name="_Ref532301210"/>
      <w:bookmarkStart w:id="1348" w:name="_Toc27709"/>
      <w:bookmarkStart w:id="1349" w:name="_Toc51766658"/>
      <w:bookmarkStart w:id="1350" w:name="_Toc58860245"/>
      <w:r>
        <w:rPr>
          <w:rFonts w:hint="eastAsia" w:ascii="宋体" w:hAnsi="宋体" w:cs="宋体"/>
          <w:color w:val="auto"/>
          <w:szCs w:val="21"/>
          <w:highlight w:val="none"/>
          <w:lang w:bidi="ar"/>
        </w:rPr>
        <w:t>1</w:t>
      </w:r>
      <w:bookmarkEnd w:id="1347"/>
      <w:r>
        <w:rPr>
          <w:rFonts w:hint="eastAsia" w:ascii="宋体" w:hAnsi="宋体" w:cs="宋体"/>
          <w:color w:val="auto"/>
          <w:szCs w:val="21"/>
          <w:highlight w:val="none"/>
          <w:lang w:bidi="ar"/>
        </w:rPr>
        <w:t>0.2  单位/区段工程的验收</w:t>
      </w:r>
      <w:bookmarkEnd w:id="1348"/>
      <w:bookmarkEnd w:id="1349"/>
      <w:bookmarkEnd w:id="1350"/>
    </w:p>
    <w:p w14:paraId="555A7A00">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10.2.1发包人根据项目进度计划安排，在全部工程竣工前需要使用已经竣工的单位/区段工程时，或承包人提出经发包人同意时，可进行单位/区段工程验收。验收的程序可参照第10.1款[竣工验收]的约定进行。验收合格后，由工程师向承包人出具经发包人签认的单位/区段工程验收证书。单位/区段工程的验收成果和结论作为全部工程竣工验收申请报告的附件。</w:t>
      </w:r>
    </w:p>
    <w:p w14:paraId="1E57BC0B">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10.2.2发包人在全部工程竣工前，使用已接收的单位/区段工程导致承包人费用增加的，发包人应承担由此增加的费用和（或）工期延误，并支付承包人合理利润。</w:t>
      </w:r>
    </w:p>
    <w:p w14:paraId="2AF88107">
      <w:pPr>
        <w:widowControl/>
        <w:wordWrap w:val="0"/>
        <w:topLinePunct/>
        <w:adjustRightInd w:val="0"/>
        <w:snapToGrid w:val="0"/>
        <w:spacing w:after="163" w:afterLines="50" w:line="360" w:lineRule="auto"/>
        <w:outlineLvl w:val="2"/>
        <w:rPr>
          <w:rFonts w:ascii="宋体" w:hAnsi="宋体" w:cs="宋体"/>
          <w:color w:val="auto"/>
          <w:highlight w:val="none"/>
        </w:rPr>
      </w:pPr>
      <w:bookmarkStart w:id="1351" w:name="_Toc20171806"/>
      <w:bookmarkEnd w:id="1351"/>
      <w:bookmarkStart w:id="1352" w:name="_Ref532688351"/>
      <w:bookmarkEnd w:id="1352"/>
      <w:bookmarkStart w:id="1353" w:name="_Ref4429473"/>
      <w:bookmarkEnd w:id="1353"/>
      <w:bookmarkStart w:id="1354" w:name="_Ref532688354"/>
      <w:bookmarkStart w:id="1355" w:name="_Toc51766659"/>
      <w:bookmarkStart w:id="1356" w:name="_Toc13831"/>
      <w:bookmarkStart w:id="1357" w:name="_Toc58860246"/>
      <w:r>
        <w:rPr>
          <w:rFonts w:hint="eastAsia" w:ascii="宋体" w:hAnsi="宋体" w:cs="宋体"/>
          <w:color w:val="auto"/>
          <w:szCs w:val="21"/>
          <w:highlight w:val="none"/>
          <w:lang w:bidi="ar"/>
        </w:rPr>
        <w:t>1</w:t>
      </w:r>
      <w:bookmarkEnd w:id="1354"/>
      <w:r>
        <w:rPr>
          <w:rFonts w:hint="eastAsia" w:ascii="宋体" w:hAnsi="宋体" w:cs="宋体"/>
          <w:color w:val="auto"/>
          <w:szCs w:val="21"/>
          <w:highlight w:val="none"/>
          <w:lang w:bidi="ar"/>
        </w:rPr>
        <w:t>0.3  工程的接收</w:t>
      </w:r>
      <w:bookmarkEnd w:id="1355"/>
      <w:bookmarkEnd w:id="1356"/>
      <w:bookmarkEnd w:id="1357"/>
    </w:p>
    <w:p w14:paraId="22CB3FBD">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10.3.1根据工程项目的具体情况和特点，可按工程或单位/区段工程进行接收，并在专用合同条件约定接收的先后顺序、时间安排和其他要求。</w:t>
      </w:r>
    </w:p>
    <w:p w14:paraId="404B8162">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10.3.2除按本条约定已经提交的资料外，接收工程时承包人需提交竣工验收资料的类别、内容、份数和提交时间，在专用合同条件中约定。</w:t>
      </w:r>
    </w:p>
    <w:p w14:paraId="238A7CC2">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10.3.3发包人无正当理由不接收工程的，发包人自应当接收工程之日起，承担工程照管、成品保护、保管等与工程有关的各项费用，合同当事人可以在专用合同条件中另行约定发包人逾期接收工程的违约责任。</w:t>
      </w:r>
    </w:p>
    <w:p w14:paraId="54465875">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10.3.4承包人无正当理由不移交工程的，承包人应承担工程照管、成品保护、保管等与工程有关的各项费用，合同当事人可以在专用合同条件中另行约定承包人无正当理由不移交工程的违约责任。</w:t>
      </w:r>
    </w:p>
    <w:p w14:paraId="27F1FC07">
      <w:pPr>
        <w:widowControl/>
        <w:wordWrap w:val="0"/>
        <w:topLinePunct/>
        <w:adjustRightInd w:val="0"/>
        <w:snapToGrid w:val="0"/>
        <w:spacing w:after="163" w:afterLines="50" w:line="360" w:lineRule="auto"/>
        <w:outlineLvl w:val="2"/>
        <w:rPr>
          <w:rFonts w:ascii="宋体" w:hAnsi="宋体" w:cs="宋体"/>
          <w:color w:val="auto"/>
          <w:highlight w:val="none"/>
        </w:rPr>
      </w:pPr>
      <w:bookmarkStart w:id="1358" w:name="_Toc51766660"/>
      <w:bookmarkStart w:id="1359" w:name="_Toc3110"/>
      <w:bookmarkStart w:id="1360" w:name="_Toc58860247"/>
      <w:r>
        <w:rPr>
          <w:rFonts w:hint="eastAsia" w:ascii="宋体" w:hAnsi="宋体" w:cs="宋体"/>
          <w:color w:val="auto"/>
          <w:szCs w:val="21"/>
          <w:highlight w:val="none"/>
          <w:lang w:bidi="ar"/>
        </w:rPr>
        <w:t>10.4  接收证书</w:t>
      </w:r>
      <w:bookmarkEnd w:id="1358"/>
      <w:bookmarkEnd w:id="1359"/>
      <w:bookmarkEnd w:id="1360"/>
    </w:p>
    <w:p w14:paraId="40FC5E71">
      <w:pPr>
        <w:widowControl/>
        <w:adjustRightInd w:val="0"/>
        <w:snapToGrid w:val="0"/>
        <w:spacing w:after="163" w:afterLines="50" w:line="360" w:lineRule="auto"/>
        <w:ind w:firstLine="420" w:firstLineChars="200"/>
        <w:rPr>
          <w:rFonts w:ascii="宋体" w:hAnsi="宋体" w:cs="宋体"/>
          <w:color w:val="auto"/>
          <w:highlight w:val="none"/>
        </w:rPr>
      </w:pPr>
      <w:bookmarkStart w:id="1361" w:name="_Ref4429542"/>
      <w:bookmarkEnd w:id="1361"/>
      <w:r>
        <w:rPr>
          <w:rFonts w:hint="eastAsia" w:ascii="宋体" w:hAnsi="宋体" w:cs="宋体"/>
          <w:color w:val="auto"/>
          <w:szCs w:val="21"/>
          <w:highlight w:val="none"/>
          <w:lang w:bidi="ar"/>
        </w:rPr>
        <w:t>10.4.1除专用合同条件另有约定外，承包人应在竣工验收合格后向发包人提交第14.6款[质量保证金]约定的质量保证金，发包人应在竣工验收合格且工程具备接收条件后的14天内向承包人颁发工程接收证书，但承包人未提交质量保证金的，发包人有权拒绝颁发。发包人拒绝颁发工程接收证书的，应向承包人发出通知，说明理由并指出在颁发接收证书前承包人需要做的工作，需要修补的缺陷和承包人需要提供的文件。</w:t>
      </w:r>
    </w:p>
    <w:p w14:paraId="3143F282">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10.4.2发包人向承包人颁发的接收证书，应注明工程或单位/区段工程经验收合格的实际竣工日期，并列明不在接收范围内的，在收尾工作和缺陷修补完成之前对工程或单位/区段工程预期使用目的没有实质影响的少量收尾工作和缺陷。</w:t>
      </w:r>
    </w:p>
    <w:p w14:paraId="7196464C">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10.4.3竣工验收合格而发包人无正当理由逾期不颁发工程接收证书的，自验收合格后第15天起视为已颁发工程接收证书。</w:t>
      </w:r>
    </w:p>
    <w:p w14:paraId="22BF209C">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10.4.4工程未经验收或验收不合格，发包人擅自使用的，应在转移占有工程后7天内向承包人颁发工程接收证书；发包人无正当理由逾期不颁发工程接收证书的，自转移占有后第15天起视为已颁发工程接收证书。</w:t>
      </w:r>
    </w:p>
    <w:p w14:paraId="499261E3">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10.4.5存在扫尾工作的，工程接收证书中应当将第14.5.3项[扫尾工作清单]中约定的扫尾工作清单作为工程接收证书附件。</w:t>
      </w:r>
    </w:p>
    <w:p w14:paraId="31EC8064">
      <w:pPr>
        <w:widowControl/>
        <w:wordWrap w:val="0"/>
        <w:topLinePunct/>
        <w:adjustRightInd w:val="0"/>
        <w:snapToGrid w:val="0"/>
        <w:spacing w:after="163" w:afterLines="50" w:line="360" w:lineRule="auto"/>
        <w:outlineLvl w:val="2"/>
        <w:rPr>
          <w:rFonts w:ascii="宋体" w:hAnsi="宋体" w:cs="宋体"/>
          <w:color w:val="auto"/>
          <w:highlight w:val="none"/>
        </w:rPr>
      </w:pPr>
      <w:bookmarkStart w:id="1362" w:name="_Toc20171808"/>
      <w:bookmarkEnd w:id="1362"/>
      <w:bookmarkStart w:id="1363" w:name="_Ref4429932"/>
      <w:bookmarkEnd w:id="1363"/>
      <w:bookmarkStart w:id="1364" w:name="_Ref4429935"/>
      <w:bookmarkStart w:id="1365" w:name="_Toc20349"/>
      <w:bookmarkStart w:id="1366" w:name="_Toc58860248"/>
      <w:bookmarkStart w:id="1367" w:name="_Toc51766661"/>
      <w:r>
        <w:rPr>
          <w:rFonts w:hint="eastAsia" w:ascii="宋体" w:hAnsi="宋体" w:cs="宋体"/>
          <w:color w:val="auto"/>
          <w:szCs w:val="21"/>
          <w:highlight w:val="none"/>
          <w:lang w:bidi="ar"/>
        </w:rPr>
        <w:t>1</w:t>
      </w:r>
      <w:bookmarkEnd w:id="1364"/>
      <w:r>
        <w:rPr>
          <w:rFonts w:hint="eastAsia" w:ascii="宋体" w:hAnsi="宋体" w:cs="宋体"/>
          <w:color w:val="auto"/>
          <w:szCs w:val="21"/>
          <w:highlight w:val="none"/>
          <w:lang w:bidi="ar"/>
        </w:rPr>
        <w:t>0.5  竣工退场</w:t>
      </w:r>
      <w:bookmarkEnd w:id="1365"/>
      <w:bookmarkEnd w:id="1366"/>
      <w:bookmarkEnd w:id="1367"/>
    </w:p>
    <w:p w14:paraId="65554642">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368" w:name="_Ref4429943"/>
      <w:bookmarkEnd w:id="1368"/>
      <w:r>
        <w:rPr>
          <w:rFonts w:hint="eastAsia" w:ascii="宋体" w:hAnsi="宋体" w:cs="宋体"/>
          <w:color w:val="auto"/>
          <w:szCs w:val="21"/>
          <w:highlight w:val="none"/>
          <w:lang w:bidi="ar"/>
        </w:rPr>
        <w:t>10.5.1竣工退场</w:t>
      </w:r>
    </w:p>
    <w:p w14:paraId="180347D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颁发工程接收证书后，承包人应对施工现场进行清理，并撤离相关人员，使得施工现场处于以下状态，直至工程师检验合格为止：</w:t>
      </w:r>
    </w:p>
    <w:p w14:paraId="035F758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（1）施工现场内残留的垃圾已全部清除出场；</w:t>
      </w:r>
    </w:p>
    <w:p w14:paraId="173A90E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（2）临时工程已拆除，场地已按合同约定进行清理、平整或复原；</w:t>
      </w:r>
    </w:p>
    <w:p w14:paraId="0ABA50E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（3）按合同约定应撤离的人员、承包人提供的施工设备和剩余的材料，包括废弃的施工设备和材料，已按计划撤离施工现场；</w:t>
      </w:r>
    </w:p>
    <w:p w14:paraId="6332153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（4）施工现场周边及其附近道路、河道的施工堆积物，已全部清理；</w:t>
      </w:r>
    </w:p>
    <w:p w14:paraId="663D8DB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（5）施工现场其他竣工退场工作已全部完成。</w:t>
      </w:r>
    </w:p>
    <w:p w14:paraId="377F2AC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施工现场的竣工退场费用由承包人承担。承包人应在专用合同条件约定的期限内完成竣工退场，逾期未完成的，发包人有权出售或另行处理承包人遗留的物品，由此支出的费用由承包人承担，发包人出售承包人遗留物品所得款项在扣除必要费用后应返还承包人。</w:t>
      </w:r>
    </w:p>
    <w:p w14:paraId="574B121D">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10.5.2地表还原</w:t>
      </w:r>
    </w:p>
    <w:p w14:paraId="07B4E5E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承包人应按合同约定和工程师的要求恢复临时占地及清理场地，否则发包人有权委托其他人恢复或清理，所发生的费用由承包人承担。</w:t>
      </w:r>
    </w:p>
    <w:p w14:paraId="12BE8F3F">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369" w:name="_Ref20159437"/>
      <w:bookmarkEnd w:id="1369"/>
      <w:r>
        <w:rPr>
          <w:rFonts w:hint="eastAsia" w:ascii="宋体" w:hAnsi="宋体" w:cs="宋体"/>
          <w:color w:val="auto"/>
          <w:szCs w:val="21"/>
          <w:highlight w:val="none"/>
          <w:lang w:bidi="ar"/>
        </w:rPr>
        <w:t>10.5.3人员撤离</w:t>
      </w:r>
    </w:p>
    <w:p w14:paraId="5EDB3BE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了经工程师同意需在缺陷责任期内继续工作和使用的人员、施工设备和临时工程外，承包人应按专用合同条件约定和工程师的要求将其余的人员、施工设备和临时工程撤离施工现场或拆除。除专用合同条件另有约定外，缺陷责任期满时，承包人的人员和施工设备应全部撤离施工现场。</w:t>
      </w:r>
    </w:p>
    <w:p w14:paraId="2B3A5D6E">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370" w:name="_Ref531955009"/>
      <w:bookmarkEnd w:id="1370"/>
      <w:bookmarkStart w:id="1371" w:name="_Ref4796909"/>
      <w:bookmarkEnd w:id="1371"/>
      <w:bookmarkStart w:id="1372" w:name="_Toc20171809"/>
      <w:bookmarkEnd w:id="1372"/>
      <w:bookmarkStart w:id="1373" w:name="_Ref4796906"/>
      <w:bookmarkStart w:id="1374" w:name="_Toc58860249"/>
      <w:r>
        <w:rPr>
          <w:rFonts w:hint="eastAsia" w:ascii="宋体" w:hAnsi="宋体" w:cs="宋体"/>
          <w:color w:val="auto"/>
          <w:kern w:val="0"/>
          <w:szCs w:val="21"/>
          <w:highlight w:val="none"/>
          <w:lang w:bidi="ar"/>
        </w:rPr>
        <w:t>第1</w:t>
      </w:r>
      <w:bookmarkEnd w:id="1373"/>
      <w:r>
        <w:rPr>
          <w:rFonts w:hint="eastAsia" w:ascii="宋体" w:hAnsi="宋体" w:cs="宋体"/>
          <w:color w:val="auto"/>
          <w:kern w:val="0"/>
          <w:szCs w:val="21"/>
          <w:highlight w:val="none"/>
          <w:lang w:bidi="ar"/>
        </w:rPr>
        <w:t>1条  缺陷责任与保修</w:t>
      </w:r>
      <w:bookmarkEnd w:id="1374"/>
      <w:r>
        <w:rPr>
          <w:rFonts w:hint="eastAsia" w:ascii="宋体" w:hAnsi="宋体" w:cs="宋体"/>
          <w:color w:val="auto"/>
          <w:kern w:val="0"/>
          <w:szCs w:val="21"/>
          <w:highlight w:val="none"/>
          <w:lang w:bidi="ar"/>
        </w:rPr>
        <w:t xml:space="preserve"> </w:t>
      </w:r>
    </w:p>
    <w:p w14:paraId="52D82006">
      <w:pPr>
        <w:widowControl/>
        <w:wordWrap w:val="0"/>
        <w:topLinePunct/>
        <w:adjustRightInd w:val="0"/>
        <w:snapToGrid w:val="0"/>
        <w:spacing w:after="163" w:afterLines="50" w:line="360" w:lineRule="auto"/>
        <w:outlineLvl w:val="2"/>
        <w:rPr>
          <w:rFonts w:ascii="宋体" w:hAnsi="宋体" w:cs="宋体"/>
          <w:color w:val="auto"/>
          <w:highlight w:val="none"/>
        </w:rPr>
      </w:pPr>
      <w:bookmarkStart w:id="1375" w:name="_Ref531955245"/>
      <w:bookmarkEnd w:id="1375"/>
      <w:bookmarkStart w:id="1376" w:name="_Ref531955248"/>
      <w:bookmarkEnd w:id="1376"/>
      <w:bookmarkStart w:id="1377" w:name="_Ref532362928"/>
      <w:bookmarkEnd w:id="1377"/>
      <w:bookmarkStart w:id="1378" w:name="_Toc296346648"/>
      <w:bookmarkEnd w:id="1378"/>
      <w:bookmarkStart w:id="1379" w:name="_Toc337558841"/>
      <w:bookmarkEnd w:id="1379"/>
      <w:bookmarkStart w:id="1380" w:name="_Toc296503147"/>
      <w:bookmarkEnd w:id="1380"/>
      <w:bookmarkStart w:id="1381" w:name="_Toc20171810"/>
      <w:bookmarkStart w:id="1382" w:name="_Toc51766663"/>
      <w:bookmarkStart w:id="1383" w:name="_Toc58860250"/>
      <w:bookmarkStart w:id="1384" w:name="_Toc32344"/>
      <w:r>
        <w:rPr>
          <w:rFonts w:hint="eastAsia" w:ascii="宋体" w:hAnsi="宋体" w:cs="宋体"/>
          <w:color w:val="auto"/>
          <w:szCs w:val="21"/>
          <w:highlight w:val="none"/>
          <w:lang w:bidi="ar"/>
        </w:rPr>
        <w:t xml:space="preserve">11.1  </w:t>
      </w:r>
      <w:bookmarkEnd w:id="1381"/>
      <w:r>
        <w:rPr>
          <w:rFonts w:hint="eastAsia" w:ascii="宋体" w:hAnsi="宋体" w:cs="宋体"/>
          <w:color w:val="auto"/>
          <w:szCs w:val="21"/>
          <w:highlight w:val="none"/>
          <w:lang w:bidi="ar"/>
        </w:rPr>
        <w:t>工程保修的原则</w:t>
      </w:r>
      <w:bookmarkEnd w:id="1382"/>
      <w:bookmarkEnd w:id="1383"/>
      <w:bookmarkEnd w:id="1384"/>
    </w:p>
    <w:p w14:paraId="10EC126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在工程移交发包人后，因承包人原因产生的质量缺陷，承包人应承担质量缺陷责任和保修义务。缺陷责任期届满，承包人仍应按合同约定的工程各部位保修年限承担保修义务。</w:t>
      </w:r>
    </w:p>
    <w:p w14:paraId="548279E9">
      <w:pPr>
        <w:widowControl/>
        <w:wordWrap w:val="0"/>
        <w:topLinePunct/>
        <w:adjustRightInd w:val="0"/>
        <w:snapToGrid w:val="0"/>
        <w:spacing w:after="163" w:afterLines="50" w:line="360" w:lineRule="auto"/>
        <w:outlineLvl w:val="2"/>
        <w:rPr>
          <w:rFonts w:ascii="宋体" w:hAnsi="宋体" w:cs="宋体"/>
          <w:color w:val="auto"/>
          <w:highlight w:val="none"/>
        </w:rPr>
      </w:pPr>
      <w:bookmarkStart w:id="1385" w:name="_Toc20171811"/>
      <w:bookmarkEnd w:id="1385"/>
      <w:bookmarkStart w:id="1386" w:name="_Ref4430062"/>
      <w:bookmarkStart w:id="1387" w:name="_Toc6594"/>
      <w:bookmarkStart w:id="1388" w:name="_Toc58860251"/>
      <w:bookmarkStart w:id="1389" w:name="_Toc51766664"/>
      <w:r>
        <w:rPr>
          <w:rFonts w:hint="eastAsia" w:ascii="宋体" w:hAnsi="宋体" w:cs="宋体"/>
          <w:color w:val="auto"/>
          <w:szCs w:val="21"/>
          <w:highlight w:val="none"/>
          <w:lang w:bidi="ar"/>
        </w:rPr>
        <w:t>1</w:t>
      </w:r>
      <w:bookmarkEnd w:id="1386"/>
      <w:r>
        <w:rPr>
          <w:rFonts w:hint="eastAsia" w:ascii="宋体" w:hAnsi="宋体" w:cs="宋体"/>
          <w:color w:val="auto"/>
          <w:szCs w:val="21"/>
          <w:highlight w:val="none"/>
          <w:lang w:bidi="ar"/>
        </w:rPr>
        <w:t>1.2  缺陷责任期</w:t>
      </w:r>
      <w:bookmarkEnd w:id="1387"/>
      <w:bookmarkEnd w:id="1388"/>
      <w:bookmarkEnd w:id="1389"/>
      <w:r>
        <w:rPr>
          <w:rFonts w:hint="eastAsia" w:ascii="宋体" w:hAnsi="宋体" w:cs="宋体"/>
          <w:color w:val="auto"/>
          <w:szCs w:val="21"/>
          <w:highlight w:val="none"/>
          <w:lang w:bidi="ar"/>
        </w:rPr>
        <w:t xml:space="preserve"> </w:t>
      </w:r>
    </w:p>
    <w:p w14:paraId="0F379D7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缺陷责任期原则上从工程竣工验收合格之日起计算，合同当事人应在专用合同条件约定缺陷责任期的具体期限，但该期限最长不超过24个月。</w:t>
      </w:r>
    </w:p>
    <w:p w14:paraId="69EDD05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单位/区段工程先于全部工程进行验收，经验收合格并交付使用的，该单位/区段工程缺陷责任期自单位/区段工程验收合格之日起算。因发包人原因导致工程未在合同约定期限进行验收，但工程经验收合格的，以承包人提交竣工验收报告之日起算；因发包人原因导致工程未能进行竣工验收的，在承包人提交竣工验收报告90天后，工程自动进入缺陷责任期；发包人未经竣工验收擅自使用工程的，缺陷责任期自工程转移占有之日起开始计算。</w:t>
      </w:r>
    </w:p>
    <w:p w14:paraId="07E12F0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由于承包人原因造成某项缺陷或损坏使某项工程或工程设备不能按原定目标使用而需要再次检查、检验和修复的，发包人有权要求承包人延长该项工程或工程设备的缺陷责任期，并应在原缺陷责任期届满前发出延长通知。但缺陷责任期最长不超过24个月。</w:t>
      </w:r>
    </w:p>
    <w:p w14:paraId="57A94760">
      <w:pPr>
        <w:widowControl/>
        <w:wordWrap w:val="0"/>
        <w:topLinePunct/>
        <w:adjustRightInd w:val="0"/>
        <w:snapToGrid w:val="0"/>
        <w:spacing w:after="163" w:afterLines="50" w:line="360" w:lineRule="auto"/>
        <w:outlineLvl w:val="2"/>
        <w:rPr>
          <w:rFonts w:ascii="宋体" w:hAnsi="宋体" w:cs="宋体"/>
          <w:color w:val="auto"/>
          <w:highlight w:val="none"/>
        </w:rPr>
      </w:pPr>
      <w:bookmarkStart w:id="1390" w:name="_Toc20171812"/>
      <w:bookmarkEnd w:id="1390"/>
      <w:bookmarkStart w:id="1391" w:name="_Ref532662491"/>
      <w:bookmarkEnd w:id="1391"/>
      <w:bookmarkStart w:id="1392" w:name="_Ref532662486"/>
      <w:bookmarkStart w:id="1393" w:name="_Toc29155"/>
      <w:bookmarkStart w:id="1394" w:name="_Toc51766665"/>
      <w:bookmarkStart w:id="1395" w:name="_Toc58860252"/>
      <w:r>
        <w:rPr>
          <w:rFonts w:hint="eastAsia" w:ascii="宋体" w:hAnsi="宋体" w:cs="宋体"/>
          <w:color w:val="auto"/>
          <w:szCs w:val="21"/>
          <w:highlight w:val="none"/>
          <w:lang w:bidi="ar"/>
        </w:rPr>
        <w:t>1</w:t>
      </w:r>
      <w:bookmarkEnd w:id="1392"/>
      <w:r>
        <w:rPr>
          <w:rFonts w:hint="eastAsia" w:ascii="宋体" w:hAnsi="宋体" w:cs="宋体"/>
          <w:color w:val="auto"/>
          <w:szCs w:val="21"/>
          <w:highlight w:val="none"/>
          <w:lang w:bidi="ar"/>
        </w:rPr>
        <w:t>1.3  缺陷</w:t>
      </w:r>
      <w:bookmarkEnd w:id="1393"/>
      <w:bookmarkEnd w:id="1394"/>
      <w:r>
        <w:rPr>
          <w:rFonts w:hint="eastAsia" w:ascii="宋体" w:hAnsi="宋体" w:cs="宋体"/>
          <w:color w:val="auto"/>
          <w:szCs w:val="21"/>
          <w:highlight w:val="none"/>
          <w:lang w:bidi="ar"/>
        </w:rPr>
        <w:t>调查</w:t>
      </w:r>
      <w:bookmarkEnd w:id="1395"/>
    </w:p>
    <w:p w14:paraId="12C961F9">
      <w:pPr>
        <w:widowControl/>
        <w:wordWrap w:val="0"/>
        <w:topLinePunct/>
        <w:adjustRightInd w:val="0"/>
        <w:snapToGrid w:val="0"/>
        <w:spacing w:after="163" w:afterLines="50" w:line="360" w:lineRule="auto"/>
        <w:ind w:left="480"/>
        <w:outlineLvl w:val="3"/>
        <w:rPr>
          <w:rFonts w:ascii="宋体" w:hAnsi="宋体" w:cs="宋体"/>
          <w:b/>
          <w:color w:val="auto"/>
          <w:szCs w:val="21"/>
          <w:highlight w:val="none"/>
          <w:lang w:bidi="ar"/>
        </w:rPr>
      </w:pPr>
      <w:r>
        <w:rPr>
          <w:rFonts w:hint="eastAsia" w:ascii="宋体" w:hAnsi="宋体" w:cs="宋体"/>
          <w:color w:val="auto"/>
          <w:szCs w:val="21"/>
          <w:highlight w:val="none"/>
          <w:lang w:bidi="ar"/>
        </w:rPr>
        <w:t>1</w:t>
      </w:r>
      <w:r>
        <w:rPr>
          <w:rFonts w:ascii="宋体" w:hAnsi="宋体" w:cs="宋体"/>
          <w:color w:val="auto"/>
          <w:szCs w:val="21"/>
          <w:highlight w:val="none"/>
          <w:lang w:bidi="ar"/>
        </w:rPr>
        <w:t xml:space="preserve">1.3.1 </w:t>
      </w:r>
      <w:r>
        <w:rPr>
          <w:rFonts w:hint="eastAsia" w:ascii="宋体" w:hAnsi="宋体" w:cs="宋体"/>
          <w:color w:val="auto"/>
          <w:szCs w:val="21"/>
          <w:highlight w:val="none"/>
          <w:lang w:bidi="ar"/>
        </w:rPr>
        <w:t>承包人缺陷调查</w:t>
      </w:r>
    </w:p>
    <w:p w14:paraId="05CDBBEF">
      <w:pPr>
        <w:widowControl/>
        <w:adjustRightInd w:val="0"/>
        <w:snapToGrid w:val="0"/>
        <w:spacing w:after="163" w:afterLines="50" w:line="360" w:lineRule="auto"/>
        <w:ind w:firstLine="420" w:firstLineChars="200"/>
        <w:rPr>
          <w:rFonts w:ascii="宋体" w:hAnsi="宋体" w:cs="宋体"/>
          <w:color w:val="auto"/>
          <w:szCs w:val="21"/>
          <w:highlight w:val="none"/>
          <w:lang w:bidi="ar"/>
        </w:rPr>
      </w:pPr>
      <w:r>
        <w:rPr>
          <w:rFonts w:hint="eastAsia" w:ascii="宋体" w:hAnsi="宋体" w:cs="宋体"/>
          <w:color w:val="auto"/>
          <w:szCs w:val="21"/>
          <w:highlight w:val="none"/>
          <w:lang w:bidi="ar"/>
        </w:rPr>
        <w:t>如果发包人指示承包人调查任何缺陷的原因，承包人应在发包人的指导下进行调查。承包人应在发包人指示中说明的日期或与发包人达成一致的其他日期开展调查。除非该缺陷应由承包人负责自费进行修补，承包人有权就调查的成本和利润获得支付。</w:t>
      </w:r>
    </w:p>
    <w:p w14:paraId="1425AD58">
      <w:pPr>
        <w:widowControl/>
        <w:adjustRightInd w:val="0"/>
        <w:snapToGrid w:val="0"/>
        <w:spacing w:after="163" w:afterLines="50" w:line="360" w:lineRule="auto"/>
        <w:ind w:firstLine="420" w:firstLineChars="200"/>
        <w:rPr>
          <w:rFonts w:ascii="宋体" w:hAnsi="宋体" w:cs="宋体"/>
          <w:color w:val="auto"/>
          <w:szCs w:val="21"/>
          <w:highlight w:val="none"/>
          <w:lang w:bidi="ar"/>
        </w:rPr>
      </w:pPr>
      <w:r>
        <w:rPr>
          <w:rFonts w:hint="eastAsia" w:ascii="宋体" w:hAnsi="宋体" w:cs="宋体"/>
          <w:color w:val="auto"/>
          <w:szCs w:val="21"/>
          <w:highlight w:val="none"/>
          <w:lang w:bidi="ar"/>
        </w:rPr>
        <w:t>如果承包人未能根据本款开展调查，该调查可由发包人开展。但应将上述调查开展的日期通知承包人，承包人可自费参加调查。如果该缺陷应由承包人自费进行修补，则发包人有权要求承包人支付发包人因调查产生的合理费用。</w:t>
      </w:r>
    </w:p>
    <w:p w14:paraId="14ADDD13">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11.3.</w:t>
      </w:r>
      <w:r>
        <w:rPr>
          <w:rFonts w:ascii="宋体" w:hAnsi="宋体" w:cs="宋体"/>
          <w:color w:val="auto"/>
          <w:szCs w:val="21"/>
          <w:highlight w:val="none"/>
          <w:lang w:bidi="ar"/>
        </w:rPr>
        <w:t>2</w:t>
      </w:r>
      <w:r>
        <w:rPr>
          <w:rFonts w:hint="eastAsia" w:ascii="宋体" w:hAnsi="宋体" w:cs="宋体"/>
          <w:color w:val="auto"/>
          <w:szCs w:val="21"/>
          <w:highlight w:val="none"/>
          <w:lang w:bidi="ar"/>
        </w:rPr>
        <w:t>缺陷责任</w:t>
      </w:r>
    </w:p>
    <w:p w14:paraId="238A678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缺陷责任期内，由承包人原因造成的缺陷，承包人应负责维修，并承担鉴定及维修费用。如承包人不维修也不承担费用，发包人可按合同约定从质量保证金中扣除，费用超出质量保证金金额的，发包人可按合同约定向承包人进行索赔。承包人维修并承担相应费用后，不免除对工程的损失赔偿责任。发包人在使用过程中，发现已修补的缺陷部位或部件还存在质量缺陷的，承包人应负责修复，直至检验合格为止。</w:t>
      </w:r>
    </w:p>
    <w:p w14:paraId="2AD65518">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11.3.</w:t>
      </w:r>
      <w:r>
        <w:rPr>
          <w:rFonts w:ascii="宋体" w:hAnsi="宋体" w:cs="宋体"/>
          <w:color w:val="auto"/>
          <w:szCs w:val="21"/>
          <w:highlight w:val="none"/>
          <w:lang w:bidi="ar"/>
        </w:rPr>
        <w:t>3</w:t>
      </w:r>
      <w:r>
        <w:rPr>
          <w:rFonts w:hint="eastAsia" w:ascii="宋体" w:hAnsi="宋体" w:cs="宋体"/>
          <w:color w:val="auto"/>
          <w:szCs w:val="21"/>
          <w:highlight w:val="none"/>
          <w:lang w:bidi="ar"/>
        </w:rPr>
        <w:t>修复费用</w:t>
      </w:r>
    </w:p>
    <w:p w14:paraId="0C558FD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发包人和承包人应共同查清缺陷或损坏的原因。经查明属承包人原因造成的，应由承包人承担修复的费用。经查验非承包人原因造成的，发包人应承担修复的费用，并支付承包人合理利润。</w:t>
      </w:r>
    </w:p>
    <w:p w14:paraId="56CB2BCB">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396" w:name="_Ref531955041"/>
      <w:bookmarkEnd w:id="1396"/>
      <w:r>
        <w:rPr>
          <w:rFonts w:hint="eastAsia" w:ascii="宋体" w:hAnsi="宋体" w:cs="宋体"/>
          <w:color w:val="auto"/>
          <w:szCs w:val="21"/>
          <w:highlight w:val="none"/>
          <w:lang w:bidi="ar"/>
        </w:rPr>
        <w:t>11.3.</w:t>
      </w:r>
      <w:r>
        <w:rPr>
          <w:rFonts w:ascii="宋体" w:hAnsi="宋体" w:cs="宋体"/>
          <w:color w:val="auto"/>
          <w:szCs w:val="21"/>
          <w:highlight w:val="none"/>
          <w:lang w:bidi="ar"/>
        </w:rPr>
        <w:t>4</w:t>
      </w:r>
      <w:r>
        <w:rPr>
          <w:rFonts w:hint="eastAsia" w:ascii="宋体" w:hAnsi="宋体" w:cs="宋体"/>
          <w:color w:val="auto"/>
          <w:szCs w:val="21"/>
          <w:highlight w:val="none"/>
          <w:lang w:bidi="ar"/>
        </w:rPr>
        <w:t>修复通知</w:t>
      </w:r>
    </w:p>
    <w:p w14:paraId="5BEC0BA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缺陷责任期内，发包人在使用过程中，发现已接收的工程存在缺陷或损坏的，应书面通知承包人予以修复，但情况紧急必须立即修复缺陷或损坏的，发包人可以口头通知承包人并在口头通知后48小时内书面确认，承包人应在专用合同条件约定的合理期限内到达工程现场并修复缺陷或损坏。</w:t>
      </w:r>
    </w:p>
    <w:p w14:paraId="77EE46E0">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11.3.</w:t>
      </w:r>
      <w:r>
        <w:rPr>
          <w:rFonts w:ascii="宋体" w:hAnsi="宋体" w:cs="宋体"/>
          <w:color w:val="auto"/>
          <w:szCs w:val="21"/>
          <w:highlight w:val="none"/>
          <w:lang w:bidi="ar"/>
        </w:rPr>
        <w:t>5</w:t>
      </w:r>
      <w:r>
        <w:rPr>
          <w:rFonts w:hint="eastAsia" w:ascii="宋体" w:hAnsi="宋体" w:cs="宋体"/>
          <w:color w:val="auto"/>
          <w:szCs w:val="21"/>
          <w:highlight w:val="none"/>
          <w:lang w:bidi="ar"/>
        </w:rPr>
        <w:t>在现场外修复</w:t>
      </w:r>
    </w:p>
    <w:p w14:paraId="01A3D1A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缺陷责任期内，承包人认为设备中的缺陷或损害不能在现场得到迅速修复，承包人应当向发包人发出通知，请求发包人同意把这些有缺陷或者损害的设备移出现场进行修复，通知应当注明有缺陷或者损害的设备及维修的相关内容，发包人可要求承包人按移出设备的全部重置成本增加质量保证金的数额。</w:t>
      </w:r>
    </w:p>
    <w:p w14:paraId="21273C16">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397" w:name="_Ref4534291"/>
      <w:bookmarkEnd w:id="1397"/>
      <w:r>
        <w:rPr>
          <w:rFonts w:hint="eastAsia" w:ascii="宋体" w:hAnsi="宋体" w:cs="宋体"/>
          <w:color w:val="auto"/>
          <w:szCs w:val="21"/>
          <w:highlight w:val="none"/>
          <w:lang w:bidi="ar"/>
        </w:rPr>
        <w:t>11.3.</w:t>
      </w:r>
      <w:r>
        <w:rPr>
          <w:rFonts w:ascii="宋体" w:hAnsi="宋体" w:cs="宋体"/>
          <w:color w:val="auto"/>
          <w:szCs w:val="21"/>
          <w:highlight w:val="none"/>
          <w:lang w:bidi="ar"/>
        </w:rPr>
        <w:t>6</w:t>
      </w:r>
      <w:r>
        <w:rPr>
          <w:rFonts w:hint="eastAsia" w:ascii="宋体" w:hAnsi="宋体" w:cs="宋体"/>
          <w:color w:val="auto"/>
          <w:szCs w:val="21"/>
          <w:highlight w:val="none"/>
          <w:lang w:bidi="ar"/>
        </w:rPr>
        <w:t>未能修复</w:t>
      </w:r>
    </w:p>
    <w:p w14:paraId="05EE90E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0F38C63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如果工程或工程设备的缺陷或损害使发包人实质上失去了工程的整体功能，发包人有权向承包人追回已支付的工程款项，并要求其赔偿发包人相应损失。</w:t>
      </w:r>
    </w:p>
    <w:p w14:paraId="36E6406B">
      <w:pPr>
        <w:widowControl/>
        <w:wordWrap w:val="0"/>
        <w:topLinePunct/>
        <w:adjustRightInd w:val="0"/>
        <w:snapToGrid w:val="0"/>
        <w:spacing w:after="163" w:afterLines="50" w:line="360" w:lineRule="auto"/>
        <w:outlineLvl w:val="2"/>
        <w:rPr>
          <w:rFonts w:ascii="宋体" w:hAnsi="宋体" w:cs="宋体"/>
          <w:color w:val="auto"/>
          <w:highlight w:val="none"/>
        </w:rPr>
      </w:pPr>
      <w:bookmarkStart w:id="1398" w:name="_Toc20171813"/>
      <w:bookmarkEnd w:id="1398"/>
      <w:bookmarkStart w:id="1399" w:name="_Ref532662552"/>
      <w:bookmarkEnd w:id="1399"/>
      <w:bookmarkStart w:id="1400" w:name="_Ref532662554"/>
      <w:bookmarkEnd w:id="1400"/>
      <w:bookmarkStart w:id="1401" w:name="_Toc23187"/>
      <w:bookmarkStart w:id="1402" w:name="_Toc58860253"/>
      <w:bookmarkStart w:id="1403" w:name="_Toc51766666"/>
      <w:r>
        <w:rPr>
          <w:rFonts w:hint="eastAsia" w:ascii="宋体" w:hAnsi="宋体" w:cs="宋体"/>
          <w:color w:val="auto"/>
          <w:szCs w:val="21"/>
          <w:highlight w:val="none"/>
          <w:lang w:bidi="ar"/>
        </w:rPr>
        <w:t>11.4  缺陷修复后的进一步试验</w:t>
      </w:r>
      <w:bookmarkEnd w:id="1401"/>
      <w:bookmarkEnd w:id="1402"/>
      <w:bookmarkEnd w:id="1403"/>
    </w:p>
    <w:p w14:paraId="5A94FC8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任何一项缺陷修补后的7天内，承包人应向发包人发出通知，告知已修补的情况。如根据第9条[竣工试验]或第12条[竣工后试验]的规定适用重新试验的，还应建议重新试验。发包人应在收到重新试验的通知后14天内答复，逾期未进行答复的视为同意重新试验。承包人未建议重新试验的，发包人也可在缺陷修补后的14天内指示进行必要的重新试验，以证明已修复的部分符合合同要求。</w:t>
      </w:r>
    </w:p>
    <w:p w14:paraId="3CEAAA6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所有的重复试验应按照适用于先前试验的条款进行，但应由责任方承担修补工作的成本和重新试验的风险和费用。</w:t>
      </w:r>
    </w:p>
    <w:p w14:paraId="62FD924A">
      <w:pPr>
        <w:widowControl/>
        <w:wordWrap w:val="0"/>
        <w:topLinePunct/>
        <w:adjustRightInd w:val="0"/>
        <w:snapToGrid w:val="0"/>
        <w:spacing w:after="163" w:afterLines="50" w:line="360" w:lineRule="auto"/>
        <w:outlineLvl w:val="2"/>
        <w:rPr>
          <w:rFonts w:ascii="宋体" w:hAnsi="宋体" w:cs="宋体"/>
          <w:color w:val="auto"/>
          <w:highlight w:val="none"/>
        </w:rPr>
      </w:pPr>
      <w:bookmarkStart w:id="1404" w:name="_Toc20171814"/>
      <w:bookmarkEnd w:id="1404"/>
      <w:bookmarkStart w:id="1405" w:name="_Toc58860254"/>
      <w:bookmarkStart w:id="1406" w:name="_Toc15540"/>
      <w:bookmarkStart w:id="1407" w:name="_Toc51766667"/>
      <w:r>
        <w:rPr>
          <w:rFonts w:hint="eastAsia" w:ascii="宋体" w:hAnsi="宋体" w:cs="宋体"/>
          <w:color w:val="auto"/>
          <w:szCs w:val="21"/>
          <w:highlight w:val="none"/>
          <w:lang w:bidi="ar"/>
        </w:rPr>
        <w:t>11.5  承包人出入权</w:t>
      </w:r>
      <w:bookmarkEnd w:id="1405"/>
      <w:bookmarkEnd w:id="1406"/>
      <w:bookmarkEnd w:id="1407"/>
    </w:p>
    <w:p w14:paraId="227EEFF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缺陷责任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安保和保密等规定。</w:t>
      </w:r>
    </w:p>
    <w:p w14:paraId="6221CA8C">
      <w:pPr>
        <w:widowControl/>
        <w:wordWrap w:val="0"/>
        <w:topLinePunct/>
        <w:adjustRightInd w:val="0"/>
        <w:snapToGrid w:val="0"/>
        <w:spacing w:after="163" w:afterLines="50" w:line="360" w:lineRule="auto"/>
        <w:outlineLvl w:val="2"/>
        <w:rPr>
          <w:rFonts w:ascii="宋体" w:hAnsi="宋体" w:cs="宋体"/>
          <w:color w:val="auto"/>
          <w:highlight w:val="none"/>
        </w:rPr>
      </w:pPr>
      <w:bookmarkStart w:id="1408" w:name="_Toc20171815"/>
      <w:bookmarkEnd w:id="1408"/>
      <w:bookmarkStart w:id="1409" w:name="_Toc58860255"/>
      <w:bookmarkStart w:id="1410" w:name="_Toc51766668"/>
      <w:bookmarkStart w:id="1411" w:name="_Toc13169"/>
      <w:r>
        <w:rPr>
          <w:rFonts w:hint="eastAsia" w:ascii="宋体" w:hAnsi="宋体" w:cs="宋体"/>
          <w:color w:val="auto"/>
          <w:szCs w:val="21"/>
          <w:highlight w:val="none"/>
          <w:lang w:bidi="ar"/>
        </w:rPr>
        <w:t>11.6</w:t>
      </w:r>
      <w:bookmarkEnd w:id="1409"/>
      <w:r>
        <w:rPr>
          <w:rFonts w:hint="eastAsia" w:ascii="宋体" w:hAnsi="宋体" w:cs="宋体"/>
          <w:color w:val="auto"/>
          <w:szCs w:val="21"/>
          <w:highlight w:val="none"/>
          <w:lang w:bidi="ar"/>
        </w:rPr>
        <w:t xml:space="preserve">  </w:t>
      </w:r>
      <w:bookmarkEnd w:id="1410"/>
      <w:bookmarkEnd w:id="1411"/>
      <w:bookmarkStart w:id="1412" w:name="_Ref4430229"/>
      <w:bookmarkEnd w:id="1412"/>
      <w:bookmarkStart w:id="1413" w:name="_Ref4430223"/>
      <w:bookmarkEnd w:id="1413"/>
      <w:bookmarkStart w:id="1414" w:name="_Toc51766669"/>
      <w:bookmarkStart w:id="1415" w:name="_Toc58860256"/>
      <w:bookmarkStart w:id="1416" w:name="_Toc25296"/>
      <w:r>
        <w:rPr>
          <w:rFonts w:hint="eastAsia" w:ascii="宋体" w:hAnsi="宋体" w:cs="宋体"/>
          <w:color w:val="auto"/>
          <w:szCs w:val="21"/>
          <w:highlight w:val="none"/>
          <w:lang w:bidi="ar"/>
        </w:rPr>
        <w:t>缺陷责任期终止证书</w:t>
      </w:r>
      <w:bookmarkEnd w:id="1414"/>
      <w:bookmarkEnd w:id="1415"/>
      <w:bookmarkEnd w:id="1416"/>
    </w:p>
    <w:p w14:paraId="5F04618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w:t>
      </w:r>
      <w:bookmarkStart w:id="1417" w:name="_Hlk4686672"/>
      <w:r>
        <w:rPr>
          <w:rFonts w:hint="eastAsia" w:ascii="宋体" w:hAnsi="宋体" w:cs="宋体"/>
          <w:color w:val="auto"/>
          <w:kern w:val="0"/>
          <w:szCs w:val="21"/>
          <w:highlight w:val="none"/>
          <w:lang w:bidi="ar"/>
        </w:rPr>
        <w:t>承包人应于缺陷责任期届满前7天内向发包人发出缺陷责任期即将届满通知，发包人应在收到通知后</w:t>
      </w:r>
      <w:bookmarkEnd w:id="1417"/>
      <w:r>
        <w:rPr>
          <w:rFonts w:hint="eastAsia" w:ascii="宋体" w:hAnsi="宋体" w:cs="宋体"/>
          <w:color w:val="auto"/>
          <w:kern w:val="0"/>
          <w:szCs w:val="21"/>
          <w:highlight w:val="none"/>
          <w:lang w:bidi="ar"/>
        </w:rPr>
        <w:t>7天内核实承包人是否履行缺陷修复义务，承包人未能履行缺陷修复义务的，发包人有权扣除相应金额的维修费用。发包人应在缺陷责任期届满之日，向承包人颁发缺陷责任期终止证书，并按第14.6.3项[质量保证金的返还]返还质量保证金。</w:t>
      </w:r>
    </w:p>
    <w:p w14:paraId="4A468EA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如根据第10.5.3项[人员撤离]承包人在施工现场还留有人员、施工设备和临时工程的，承包人应当在收到缺陷责任期终止证书后28天内，将上述人员、施工设备和临时工程撤离施工现场。</w:t>
      </w:r>
    </w:p>
    <w:p w14:paraId="0F28F646">
      <w:pPr>
        <w:widowControl/>
        <w:wordWrap w:val="0"/>
        <w:topLinePunct/>
        <w:adjustRightInd w:val="0"/>
        <w:snapToGrid w:val="0"/>
        <w:spacing w:after="163" w:afterLines="50" w:line="360" w:lineRule="auto"/>
        <w:outlineLvl w:val="2"/>
        <w:rPr>
          <w:rFonts w:ascii="宋体" w:hAnsi="宋体" w:cs="宋体"/>
          <w:color w:val="auto"/>
          <w:highlight w:val="none"/>
        </w:rPr>
      </w:pPr>
      <w:bookmarkStart w:id="1418" w:name="_Toc20171817"/>
      <w:bookmarkEnd w:id="1418"/>
      <w:bookmarkStart w:id="1419" w:name="_Ref4430272"/>
      <w:bookmarkStart w:id="1420" w:name="_Toc58860257"/>
      <w:bookmarkStart w:id="1421" w:name="_Toc6432"/>
      <w:bookmarkStart w:id="1422" w:name="_Toc51766670"/>
      <w:r>
        <w:rPr>
          <w:rFonts w:hint="eastAsia" w:ascii="宋体" w:hAnsi="宋体" w:cs="宋体"/>
          <w:color w:val="auto"/>
          <w:szCs w:val="21"/>
          <w:highlight w:val="none"/>
          <w:lang w:bidi="ar"/>
        </w:rPr>
        <w:t>1</w:t>
      </w:r>
      <w:bookmarkEnd w:id="1419"/>
      <w:r>
        <w:rPr>
          <w:rFonts w:hint="eastAsia" w:ascii="宋体" w:hAnsi="宋体" w:cs="宋体"/>
          <w:color w:val="auto"/>
          <w:szCs w:val="21"/>
          <w:highlight w:val="none"/>
          <w:lang w:bidi="ar"/>
        </w:rPr>
        <w:t>1.</w:t>
      </w:r>
      <w:r>
        <w:rPr>
          <w:rFonts w:ascii="宋体" w:hAnsi="宋体" w:cs="宋体"/>
          <w:color w:val="auto"/>
          <w:szCs w:val="21"/>
          <w:highlight w:val="none"/>
          <w:lang w:bidi="ar"/>
        </w:rPr>
        <w:t>7</w:t>
      </w:r>
      <w:r>
        <w:rPr>
          <w:rFonts w:hint="eastAsia" w:ascii="宋体" w:hAnsi="宋体" w:cs="宋体"/>
          <w:color w:val="auto"/>
          <w:szCs w:val="21"/>
          <w:highlight w:val="none"/>
          <w:lang w:bidi="ar"/>
        </w:rPr>
        <w:t xml:space="preserve">  保修责任</w:t>
      </w:r>
      <w:bookmarkEnd w:id="1420"/>
      <w:bookmarkEnd w:id="1421"/>
      <w:bookmarkEnd w:id="1422"/>
    </w:p>
    <w:p w14:paraId="76C4A7D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因承包人原因导致的质量缺陷责任，由合同当事人根据有关法律规定，在专用合同条件和工程质量保修书中约定工程质量保修范围、期限和责任。</w:t>
      </w:r>
      <w:bookmarkStart w:id="1423" w:name="_Ref531957860"/>
      <w:bookmarkEnd w:id="1423"/>
      <w:bookmarkStart w:id="1424" w:name="_Ref531958289"/>
      <w:bookmarkEnd w:id="1424"/>
    </w:p>
    <w:p w14:paraId="7BE3D1DD">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425" w:name="_Ref4621065"/>
      <w:bookmarkEnd w:id="1425"/>
      <w:bookmarkStart w:id="1426" w:name="_Ref4621057"/>
      <w:bookmarkEnd w:id="1426"/>
      <w:bookmarkStart w:id="1427" w:name="_Ref4796958"/>
      <w:bookmarkEnd w:id="1427"/>
      <w:bookmarkStart w:id="1428" w:name="_Toc20171818"/>
      <w:bookmarkEnd w:id="1428"/>
      <w:bookmarkStart w:id="1429" w:name="_Ref4796955"/>
      <w:bookmarkStart w:id="1430" w:name="_Toc58860258"/>
      <w:r>
        <w:rPr>
          <w:rFonts w:hint="eastAsia" w:ascii="宋体" w:hAnsi="宋体" w:cs="宋体"/>
          <w:color w:val="auto"/>
          <w:kern w:val="0"/>
          <w:szCs w:val="21"/>
          <w:highlight w:val="none"/>
          <w:lang w:bidi="ar"/>
        </w:rPr>
        <w:t>第1</w:t>
      </w:r>
      <w:bookmarkEnd w:id="1429"/>
      <w:r>
        <w:rPr>
          <w:rFonts w:hint="eastAsia" w:ascii="宋体" w:hAnsi="宋体" w:cs="宋体"/>
          <w:color w:val="auto"/>
          <w:kern w:val="0"/>
          <w:szCs w:val="21"/>
          <w:highlight w:val="none"/>
          <w:lang w:bidi="ar"/>
        </w:rPr>
        <w:t>2条  竣工后试验</w:t>
      </w:r>
      <w:bookmarkEnd w:id="1430"/>
    </w:p>
    <w:p w14:paraId="3C8A35D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本合同工程包含竣工后试验的，遵守本条约定。</w:t>
      </w:r>
    </w:p>
    <w:p w14:paraId="45A5036C">
      <w:pPr>
        <w:widowControl/>
        <w:wordWrap w:val="0"/>
        <w:topLinePunct/>
        <w:adjustRightInd w:val="0"/>
        <w:snapToGrid w:val="0"/>
        <w:spacing w:after="163" w:afterLines="50" w:line="360" w:lineRule="auto"/>
        <w:outlineLvl w:val="2"/>
        <w:rPr>
          <w:rFonts w:ascii="宋体" w:hAnsi="宋体" w:cs="宋体"/>
          <w:color w:val="auto"/>
          <w:highlight w:val="none"/>
        </w:rPr>
      </w:pPr>
      <w:bookmarkStart w:id="1431" w:name="_Toc20171819"/>
      <w:bookmarkEnd w:id="1431"/>
      <w:bookmarkStart w:id="1432" w:name="_Ref531954601"/>
      <w:bookmarkEnd w:id="1432"/>
      <w:bookmarkStart w:id="1433" w:name="_Ref531954604"/>
      <w:bookmarkEnd w:id="1433"/>
      <w:bookmarkStart w:id="1434" w:name="_Ref531954694"/>
      <w:bookmarkEnd w:id="1434"/>
      <w:bookmarkStart w:id="1435" w:name="_Hlk522259976"/>
      <w:bookmarkStart w:id="1436" w:name="_Toc3570"/>
      <w:bookmarkStart w:id="1437" w:name="_Toc51766672"/>
      <w:bookmarkStart w:id="1438" w:name="_Toc58860259"/>
      <w:r>
        <w:rPr>
          <w:rFonts w:hint="eastAsia" w:ascii="宋体" w:hAnsi="宋体" w:cs="宋体"/>
          <w:color w:val="auto"/>
          <w:szCs w:val="21"/>
          <w:highlight w:val="none"/>
          <w:lang w:bidi="ar"/>
        </w:rPr>
        <w:t>1</w:t>
      </w:r>
      <w:bookmarkEnd w:id="1435"/>
      <w:r>
        <w:rPr>
          <w:rFonts w:hint="eastAsia" w:ascii="宋体" w:hAnsi="宋体" w:cs="宋体"/>
          <w:color w:val="auto"/>
          <w:szCs w:val="21"/>
          <w:highlight w:val="none"/>
          <w:lang w:bidi="ar"/>
        </w:rPr>
        <w:t>2.1  竣工后试验的程序</w:t>
      </w:r>
      <w:bookmarkEnd w:id="1436"/>
      <w:bookmarkEnd w:id="1437"/>
      <w:bookmarkEnd w:id="1438"/>
    </w:p>
    <w:p w14:paraId="5FE05995">
      <w:pPr>
        <w:widowControl/>
        <w:adjustRightInd w:val="0"/>
        <w:snapToGrid w:val="0"/>
        <w:spacing w:after="163" w:afterLines="50" w:line="360" w:lineRule="auto"/>
        <w:ind w:firstLine="420" w:firstLineChars="200"/>
        <w:rPr>
          <w:rFonts w:ascii="宋体" w:hAnsi="宋体" w:cs="宋体"/>
          <w:color w:val="auto"/>
          <w:highlight w:val="none"/>
        </w:rPr>
      </w:pPr>
      <w:bookmarkStart w:id="1439" w:name="_Ref11920184"/>
      <w:bookmarkEnd w:id="1439"/>
      <w:r>
        <w:rPr>
          <w:rFonts w:hint="eastAsia" w:ascii="宋体" w:hAnsi="宋体" w:cs="宋体"/>
          <w:color w:val="auto"/>
          <w:szCs w:val="21"/>
          <w:highlight w:val="none"/>
          <w:lang w:bidi="ar"/>
        </w:rPr>
        <w:t>12.1.1工程或区段工程被发包人接收后，在合理可行的情况下应根据合同约定尽早进行竣工后试验。</w:t>
      </w:r>
    </w:p>
    <w:p w14:paraId="241E754B">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12.1.2除专用合同条件另有约定外，发包人应提供全部电力、水、污水处理、燃料、消耗品和材料，以及全部其他仪器、协助、文件或其他信息、设备、工具、劳力，启动工程设备，并组织安排有适当资质、经验和能力的工作人员实施竣工后试验。</w:t>
      </w:r>
    </w:p>
    <w:p w14:paraId="5A5A3D0E">
      <w:pPr>
        <w:widowControl/>
        <w:adjustRightInd w:val="0"/>
        <w:snapToGrid w:val="0"/>
        <w:spacing w:after="163" w:afterLines="50" w:line="360" w:lineRule="auto"/>
        <w:ind w:firstLine="420" w:firstLineChars="200"/>
        <w:rPr>
          <w:rFonts w:ascii="宋体" w:hAnsi="宋体" w:cs="宋体"/>
          <w:color w:val="auto"/>
          <w:highlight w:val="none"/>
        </w:rPr>
      </w:pPr>
      <w:bookmarkStart w:id="1440" w:name="_Ref11920162"/>
      <w:bookmarkEnd w:id="1440"/>
      <w:r>
        <w:rPr>
          <w:rFonts w:hint="eastAsia" w:ascii="宋体" w:hAnsi="宋体" w:cs="宋体"/>
          <w:color w:val="auto"/>
          <w:szCs w:val="21"/>
          <w:highlight w:val="none"/>
          <w:lang w:bidi="ar"/>
        </w:rPr>
        <w:t>12.1.3除《发包人要求》另有约定外，发包人应在合理可行的情况下尽快进行每项竣工后试验，并至少提前21天将该项竣工后试验的内容、地点和时间，以及显示其他竣工后试验拟开展时间的竣工后试验计划通知承包人。</w:t>
      </w:r>
    </w:p>
    <w:p w14:paraId="59696BEB">
      <w:pPr>
        <w:widowControl/>
        <w:adjustRightInd w:val="0"/>
        <w:snapToGrid w:val="0"/>
        <w:spacing w:after="163" w:afterLines="50" w:line="360" w:lineRule="auto"/>
        <w:ind w:firstLine="420" w:firstLineChars="200"/>
        <w:rPr>
          <w:rFonts w:ascii="宋体" w:hAnsi="宋体" w:cs="宋体"/>
          <w:color w:val="auto"/>
          <w:highlight w:val="none"/>
        </w:rPr>
      </w:pPr>
      <w:bookmarkStart w:id="1441" w:name="_Ref11920146"/>
      <w:bookmarkEnd w:id="1441"/>
      <w:r>
        <w:rPr>
          <w:rFonts w:hint="eastAsia" w:ascii="宋体" w:hAnsi="宋体" w:cs="宋体"/>
          <w:color w:val="auto"/>
          <w:szCs w:val="21"/>
          <w:highlight w:val="none"/>
          <w:lang w:bidi="ar"/>
        </w:rPr>
        <w:t>12.1.4发包人应根据《发包人要求》、承包人按照第5.5款[操作和维修手册]提交的文件，以及承包人被要求提供的指导进行竣工后试验。如承包人未在发包人通知的时间和地点参加竣工后试验，发包人可自行进行，该试验应被视为是承包人在场的情况下进行的，且承包人应视为认可试验数据。</w:t>
      </w:r>
    </w:p>
    <w:p w14:paraId="179A35F7">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12.1.5竣工后试验的结果应由双方进行整理和评价，并应适当考虑发包人对工程或其任何部分的使用，对工程或区段工程的性能、特性和试验结果产生的影响。</w:t>
      </w:r>
    </w:p>
    <w:p w14:paraId="4877FBE8">
      <w:pPr>
        <w:widowControl/>
        <w:wordWrap w:val="0"/>
        <w:topLinePunct/>
        <w:adjustRightInd w:val="0"/>
        <w:snapToGrid w:val="0"/>
        <w:spacing w:after="163" w:afterLines="50" w:line="360" w:lineRule="auto"/>
        <w:outlineLvl w:val="2"/>
        <w:rPr>
          <w:rFonts w:ascii="宋体" w:hAnsi="宋体" w:cs="宋体"/>
          <w:color w:val="auto"/>
          <w:highlight w:val="none"/>
        </w:rPr>
      </w:pPr>
      <w:bookmarkStart w:id="1442" w:name="_Toc20171820"/>
      <w:bookmarkEnd w:id="1442"/>
      <w:bookmarkStart w:id="1443" w:name="_Ref531954781"/>
      <w:bookmarkEnd w:id="1443"/>
      <w:bookmarkStart w:id="1444" w:name="_Ref531954785"/>
      <w:bookmarkStart w:id="1445" w:name="_Toc51766673"/>
      <w:bookmarkStart w:id="1446" w:name="_Toc12374"/>
      <w:bookmarkStart w:id="1447" w:name="_Toc58860260"/>
      <w:r>
        <w:rPr>
          <w:rFonts w:hint="eastAsia" w:ascii="宋体" w:hAnsi="宋体" w:cs="宋体"/>
          <w:color w:val="auto"/>
          <w:szCs w:val="21"/>
          <w:highlight w:val="none"/>
          <w:lang w:bidi="ar"/>
        </w:rPr>
        <w:t>1</w:t>
      </w:r>
      <w:bookmarkEnd w:id="1444"/>
      <w:r>
        <w:rPr>
          <w:rFonts w:hint="eastAsia" w:ascii="宋体" w:hAnsi="宋体" w:cs="宋体"/>
          <w:color w:val="auto"/>
          <w:szCs w:val="21"/>
          <w:highlight w:val="none"/>
          <w:lang w:bidi="ar"/>
        </w:rPr>
        <w:t>2.2  延误的试验</w:t>
      </w:r>
      <w:bookmarkEnd w:id="1445"/>
      <w:bookmarkEnd w:id="1446"/>
      <w:bookmarkEnd w:id="1447"/>
      <w:r>
        <w:rPr>
          <w:rFonts w:hint="eastAsia" w:ascii="宋体" w:hAnsi="宋体" w:cs="宋体"/>
          <w:color w:val="auto"/>
          <w:szCs w:val="21"/>
          <w:highlight w:val="none"/>
          <w:lang w:bidi="ar"/>
        </w:rPr>
        <w:t xml:space="preserve"> </w:t>
      </w:r>
    </w:p>
    <w:p w14:paraId="33B50384">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12.2.1如果竣工后试验因发包人原因被延误的，发包人应承担承包人由此增加的费用并支付承包人合理利润。</w:t>
      </w:r>
    </w:p>
    <w:p w14:paraId="5A615166">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12.2.2如果因承包人以外的原因，导致竣工后试验未能在缺陷责任期或双方另行同意的其他期限内完成，则相关工程或区段工程应视为已通过该竣工后试验。</w:t>
      </w:r>
    </w:p>
    <w:p w14:paraId="083F5AA9">
      <w:pPr>
        <w:widowControl/>
        <w:wordWrap w:val="0"/>
        <w:topLinePunct/>
        <w:adjustRightInd w:val="0"/>
        <w:snapToGrid w:val="0"/>
        <w:spacing w:after="163" w:afterLines="50" w:line="360" w:lineRule="auto"/>
        <w:outlineLvl w:val="2"/>
        <w:rPr>
          <w:rFonts w:ascii="宋体" w:hAnsi="宋体" w:cs="宋体"/>
          <w:color w:val="auto"/>
          <w:highlight w:val="none"/>
        </w:rPr>
      </w:pPr>
      <w:bookmarkStart w:id="1448" w:name="_Toc20171821"/>
      <w:bookmarkEnd w:id="1448"/>
      <w:bookmarkStart w:id="1449" w:name="_Toc51766674"/>
      <w:bookmarkStart w:id="1450" w:name="_Toc58860261"/>
      <w:bookmarkStart w:id="1451" w:name="_Toc26798"/>
      <w:r>
        <w:rPr>
          <w:rFonts w:hint="eastAsia" w:ascii="宋体" w:hAnsi="宋体" w:cs="宋体"/>
          <w:color w:val="auto"/>
          <w:szCs w:val="21"/>
          <w:highlight w:val="none"/>
          <w:lang w:bidi="ar"/>
        </w:rPr>
        <w:t>12.3  重新试验</w:t>
      </w:r>
      <w:bookmarkEnd w:id="1449"/>
      <w:bookmarkEnd w:id="1450"/>
      <w:bookmarkEnd w:id="1451"/>
    </w:p>
    <w:p w14:paraId="65856481">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12.3.1如工程或区段工程未能通过竣工后试验，则承包人应根据第11.3款[缺陷调查]的规定修补缺陷，以达到合同约定的要求；并按照第11.4款[缺陷修复后的进一步试验]重新进行竣工后试验以及承担风险和费用。如未通过试验和重新试验是承包人原因造成的，则承包人还应承担发包人因此增加的费用。</w:t>
      </w:r>
    </w:p>
    <w:p w14:paraId="589F48F3">
      <w:pPr>
        <w:widowControl/>
        <w:wordWrap w:val="0"/>
        <w:topLinePunct/>
        <w:adjustRightInd w:val="0"/>
        <w:snapToGrid w:val="0"/>
        <w:spacing w:after="163" w:afterLines="50" w:line="360" w:lineRule="auto"/>
        <w:outlineLvl w:val="2"/>
        <w:rPr>
          <w:rFonts w:ascii="宋体" w:hAnsi="宋体" w:cs="宋体"/>
          <w:color w:val="auto"/>
          <w:highlight w:val="none"/>
        </w:rPr>
      </w:pPr>
      <w:bookmarkStart w:id="1452" w:name="_Ref531954811"/>
      <w:bookmarkEnd w:id="1452"/>
      <w:bookmarkStart w:id="1453" w:name="_Ref531954819"/>
      <w:bookmarkEnd w:id="1453"/>
      <w:bookmarkStart w:id="1454" w:name="_Toc20171822"/>
      <w:bookmarkStart w:id="1455" w:name="_Toc58860262"/>
      <w:bookmarkStart w:id="1456" w:name="_Toc26253"/>
      <w:bookmarkStart w:id="1457" w:name="_Toc51766675"/>
      <w:r>
        <w:rPr>
          <w:rFonts w:hint="eastAsia" w:ascii="宋体" w:hAnsi="宋体" w:cs="宋体"/>
          <w:color w:val="auto"/>
          <w:szCs w:val="21"/>
          <w:highlight w:val="none"/>
          <w:lang w:bidi="ar"/>
        </w:rPr>
        <w:t>1</w:t>
      </w:r>
      <w:bookmarkEnd w:id="1454"/>
      <w:r>
        <w:rPr>
          <w:rFonts w:hint="eastAsia" w:ascii="宋体" w:hAnsi="宋体" w:cs="宋体"/>
          <w:color w:val="auto"/>
          <w:szCs w:val="21"/>
          <w:highlight w:val="none"/>
          <w:lang w:bidi="ar"/>
        </w:rPr>
        <w:t>2.4  未能通过竣工后试验</w:t>
      </w:r>
      <w:bookmarkEnd w:id="1455"/>
      <w:bookmarkEnd w:id="1456"/>
      <w:bookmarkEnd w:id="1457"/>
    </w:p>
    <w:p w14:paraId="5053EF1E">
      <w:pPr>
        <w:widowControl/>
        <w:adjustRightInd w:val="0"/>
        <w:snapToGrid w:val="0"/>
        <w:spacing w:after="163" w:afterLines="50" w:line="360" w:lineRule="auto"/>
        <w:ind w:firstLine="420" w:firstLineChars="200"/>
        <w:rPr>
          <w:rFonts w:ascii="宋体" w:hAnsi="宋体" w:cs="宋体"/>
          <w:color w:val="auto"/>
          <w:highlight w:val="none"/>
        </w:rPr>
      </w:pPr>
      <w:bookmarkStart w:id="1458" w:name="_Ref531954829"/>
      <w:bookmarkEnd w:id="1458"/>
      <w:r>
        <w:rPr>
          <w:rFonts w:hint="eastAsia" w:ascii="宋体" w:hAnsi="宋体" w:cs="宋体"/>
          <w:color w:val="auto"/>
          <w:szCs w:val="21"/>
          <w:highlight w:val="none"/>
          <w:lang w:bidi="ar"/>
        </w:rPr>
        <w:t>12.4.1工程或区段工程未能通过竣工后试验，且合同中就该项未通过的试验约定了性能损害赔偿违约金及其计算方法的，或者就该项未通过的试验另行达成补充协议的，承包人在缺陷责任期内向发包人支付相应违约金或按补充协议履行后，视为通过竣工后试验。</w:t>
      </w:r>
    </w:p>
    <w:p w14:paraId="5C344ACF">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12.4.2对未能通过竣工后试验的工程或区段工程，承包人可向发包人建议，由承包人对该工程或区段工程进行调整或修补。发包人收到建议后，可向承包人发出通知，指示其在发包人方便的合理时间进入工程或区段工程进行调查、调整或修补，并为承包人的进入提供方便。承包人提出建议，但未在缺陷责任期内收到上述发包人通知的，相关工程或区段工程应视为已通过该竣工后试验。</w:t>
      </w:r>
    </w:p>
    <w:p w14:paraId="5844D611">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12.4.3发包人无故拖延给予承包人进行调查、调整或修补所需的进入工程或区段工程的许可，并造成承包人费用增加的，应承担由此增加的费用并支付承包人合理利润。</w:t>
      </w:r>
    </w:p>
    <w:p w14:paraId="3A598B41">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459" w:name="_Ref4415801"/>
      <w:bookmarkEnd w:id="1459"/>
      <w:bookmarkStart w:id="1460" w:name="_Toc20171823"/>
      <w:bookmarkStart w:id="1461" w:name="_Toc58860263"/>
      <w:r>
        <w:rPr>
          <w:rFonts w:hint="eastAsia" w:ascii="宋体" w:hAnsi="宋体" w:cs="宋体"/>
          <w:color w:val="auto"/>
          <w:kern w:val="0"/>
          <w:szCs w:val="21"/>
          <w:highlight w:val="none"/>
          <w:lang w:bidi="ar"/>
        </w:rPr>
        <w:t>第1</w:t>
      </w:r>
      <w:bookmarkEnd w:id="1460"/>
      <w:r>
        <w:rPr>
          <w:rFonts w:hint="eastAsia" w:ascii="宋体" w:hAnsi="宋体" w:cs="宋体"/>
          <w:color w:val="auto"/>
          <w:kern w:val="0"/>
          <w:szCs w:val="21"/>
          <w:highlight w:val="none"/>
          <w:lang w:bidi="ar"/>
        </w:rPr>
        <w:t>3条  变更与调整</w:t>
      </w:r>
      <w:bookmarkEnd w:id="1461"/>
    </w:p>
    <w:p w14:paraId="733E3DE3">
      <w:pPr>
        <w:widowControl/>
        <w:wordWrap w:val="0"/>
        <w:topLinePunct/>
        <w:adjustRightInd w:val="0"/>
        <w:snapToGrid w:val="0"/>
        <w:spacing w:after="163" w:afterLines="50" w:line="360" w:lineRule="auto"/>
        <w:outlineLvl w:val="2"/>
        <w:rPr>
          <w:rFonts w:ascii="宋体" w:hAnsi="宋体" w:cs="宋体"/>
          <w:color w:val="auto"/>
          <w:highlight w:val="none"/>
        </w:rPr>
      </w:pPr>
      <w:bookmarkStart w:id="1462" w:name="_Ref532668569"/>
      <w:bookmarkEnd w:id="1462"/>
      <w:bookmarkStart w:id="1463" w:name="_Ref532670393"/>
      <w:bookmarkEnd w:id="1463"/>
      <w:bookmarkStart w:id="1464" w:name="_Ref532668573"/>
      <w:bookmarkEnd w:id="1464"/>
      <w:bookmarkStart w:id="1465" w:name="_Toc20171824"/>
      <w:bookmarkEnd w:id="1465"/>
      <w:bookmarkStart w:id="1466" w:name="_Ref532670395"/>
      <w:bookmarkEnd w:id="1466"/>
      <w:bookmarkStart w:id="1467" w:name="_Ref532677087"/>
      <w:bookmarkEnd w:id="1467"/>
      <w:bookmarkStart w:id="1468" w:name="_Ref532677084"/>
      <w:bookmarkStart w:id="1469" w:name="_Toc25570"/>
      <w:bookmarkStart w:id="1470" w:name="_Toc58860264"/>
      <w:bookmarkStart w:id="1471" w:name="_Toc51766677"/>
      <w:r>
        <w:rPr>
          <w:rFonts w:hint="eastAsia" w:ascii="宋体" w:hAnsi="宋体" w:cs="宋体"/>
          <w:color w:val="auto"/>
          <w:szCs w:val="21"/>
          <w:highlight w:val="none"/>
          <w:lang w:bidi="ar"/>
        </w:rPr>
        <w:t>1</w:t>
      </w:r>
      <w:bookmarkEnd w:id="1468"/>
      <w:r>
        <w:rPr>
          <w:rFonts w:hint="eastAsia" w:ascii="宋体" w:hAnsi="宋体" w:cs="宋体"/>
          <w:color w:val="auto"/>
          <w:szCs w:val="21"/>
          <w:highlight w:val="none"/>
          <w:lang w:bidi="ar"/>
        </w:rPr>
        <w:t>3.1  发包人变更权</w:t>
      </w:r>
      <w:bookmarkEnd w:id="1469"/>
      <w:bookmarkEnd w:id="1470"/>
      <w:bookmarkEnd w:id="1471"/>
      <w:r>
        <w:rPr>
          <w:rFonts w:hint="eastAsia" w:ascii="宋体" w:hAnsi="宋体" w:cs="宋体"/>
          <w:color w:val="auto"/>
          <w:szCs w:val="21"/>
          <w:highlight w:val="none"/>
          <w:lang w:bidi="ar"/>
        </w:rPr>
        <w:t xml:space="preserve"> </w:t>
      </w:r>
    </w:p>
    <w:p w14:paraId="37D87F9D">
      <w:pPr>
        <w:widowControl/>
        <w:adjustRightInd w:val="0"/>
        <w:snapToGrid w:val="0"/>
        <w:spacing w:after="163" w:afterLines="50" w:line="360" w:lineRule="auto"/>
        <w:ind w:firstLine="420" w:firstLineChars="200"/>
        <w:rPr>
          <w:rFonts w:ascii="宋体" w:hAnsi="宋体" w:cs="宋体"/>
          <w:color w:val="auto"/>
          <w:highlight w:val="none"/>
        </w:rPr>
      </w:pPr>
      <w:bookmarkStart w:id="1472" w:name="_Ref4534979"/>
      <w:bookmarkEnd w:id="1472"/>
      <w:r>
        <w:rPr>
          <w:rFonts w:hint="eastAsia" w:ascii="宋体" w:hAnsi="宋体" w:cs="宋体"/>
          <w:color w:val="auto"/>
          <w:szCs w:val="21"/>
          <w:highlight w:val="none"/>
          <w:lang w:bidi="ar"/>
        </w:rPr>
        <w:t>13.1.1变更指示应经发包人同意，并由工程师发出经发包人签认的变更指示。除第11.3.</w:t>
      </w:r>
      <w:r>
        <w:rPr>
          <w:rFonts w:ascii="宋体" w:hAnsi="宋体" w:cs="宋体"/>
          <w:color w:val="auto"/>
          <w:szCs w:val="21"/>
          <w:highlight w:val="none"/>
          <w:lang w:bidi="ar"/>
        </w:rPr>
        <w:t>6</w:t>
      </w:r>
      <w:r>
        <w:rPr>
          <w:rFonts w:hint="eastAsia" w:ascii="宋体" w:hAnsi="宋体" w:cs="宋体"/>
          <w:color w:val="auto"/>
          <w:szCs w:val="21"/>
          <w:highlight w:val="none"/>
          <w:lang w:bidi="ar"/>
        </w:rPr>
        <w:t>项[未能修复]约定的情况外，变更不应包括准备将任何工作删减并交由他人或发包人自行实施的情况。承包人收到变更指示后，方可实施变更。未经许可，承包人不得擅自对工程的任何部分进行变更。发包人与承包人对某项指示或批准是否构成变更产生争议的，按第20条[争议解决]处理。</w:t>
      </w:r>
    </w:p>
    <w:p w14:paraId="5F09A26D">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13.1.2承包人应按照变更指示执行，除非承包人及时向工程师发出通知，说明该项变更指示将降低工程的安全性、稳定性或适用性；涉及的工作内容和范围不可预见；所涉设备难以采购；导致承包人无法执行第</w:t>
      </w:r>
      <w:r>
        <w:rPr>
          <w:rFonts w:ascii="宋体" w:hAnsi="宋体" w:cs="宋体"/>
          <w:color w:val="auto"/>
          <w:szCs w:val="21"/>
          <w:highlight w:val="none"/>
          <w:lang w:bidi="ar"/>
        </w:rPr>
        <w:t>7.5</w:t>
      </w:r>
      <w:r>
        <w:rPr>
          <w:rFonts w:hint="eastAsia" w:ascii="宋体" w:hAnsi="宋体" w:cs="宋体"/>
          <w:color w:val="auto"/>
          <w:szCs w:val="21"/>
          <w:highlight w:val="none"/>
          <w:lang w:bidi="ar"/>
        </w:rPr>
        <w:t>款[现场劳动用工]、第7</w:t>
      </w:r>
      <w:r>
        <w:rPr>
          <w:rFonts w:ascii="宋体" w:hAnsi="宋体" w:cs="宋体"/>
          <w:color w:val="auto"/>
          <w:szCs w:val="21"/>
          <w:highlight w:val="none"/>
          <w:lang w:bidi="ar"/>
        </w:rPr>
        <w:t>.6</w:t>
      </w:r>
      <w:r>
        <w:rPr>
          <w:rFonts w:hint="eastAsia" w:ascii="宋体" w:hAnsi="宋体" w:cs="宋体"/>
          <w:color w:val="auto"/>
          <w:szCs w:val="21"/>
          <w:highlight w:val="none"/>
          <w:lang w:bidi="ar"/>
        </w:rPr>
        <w:t>款[安全文明施工</w:t>
      </w:r>
      <w:r>
        <w:rPr>
          <w:rFonts w:ascii="宋体" w:hAnsi="宋体" w:cs="宋体"/>
          <w:color w:val="auto"/>
          <w:szCs w:val="21"/>
          <w:highlight w:val="none"/>
          <w:lang w:bidi="ar"/>
        </w:rPr>
        <w:t>]</w:t>
      </w:r>
      <w:r>
        <w:rPr>
          <w:rFonts w:hint="eastAsia" w:ascii="宋体" w:hAnsi="宋体" w:cs="宋体"/>
          <w:color w:val="auto"/>
          <w:szCs w:val="21"/>
          <w:highlight w:val="none"/>
          <w:lang w:bidi="ar"/>
        </w:rPr>
        <w:t>、第</w:t>
      </w:r>
      <w:r>
        <w:rPr>
          <w:rFonts w:ascii="宋体" w:hAnsi="宋体" w:cs="宋体"/>
          <w:color w:val="auto"/>
          <w:szCs w:val="21"/>
          <w:highlight w:val="none"/>
          <w:lang w:bidi="ar"/>
        </w:rPr>
        <w:t>7.7</w:t>
      </w:r>
      <w:r>
        <w:rPr>
          <w:rFonts w:hint="eastAsia" w:ascii="宋体" w:hAnsi="宋体" w:cs="宋体"/>
          <w:color w:val="auto"/>
          <w:szCs w:val="21"/>
          <w:highlight w:val="none"/>
          <w:lang w:bidi="ar"/>
        </w:rPr>
        <w:t>款[</w:t>
      </w:r>
      <w:r>
        <w:rPr>
          <w:rFonts w:ascii="宋体" w:hAnsi="宋体" w:cs="宋体"/>
          <w:color w:val="auto"/>
          <w:szCs w:val="21"/>
          <w:highlight w:val="none"/>
          <w:lang w:bidi="ar"/>
        </w:rPr>
        <w:t>职业健康]</w:t>
      </w:r>
      <w:r>
        <w:rPr>
          <w:rFonts w:hint="eastAsia" w:ascii="宋体" w:hAnsi="宋体" w:cs="宋体"/>
          <w:color w:val="auto"/>
          <w:szCs w:val="21"/>
          <w:highlight w:val="none"/>
          <w:lang w:bidi="ar"/>
        </w:rPr>
        <w:t>或第</w:t>
      </w:r>
      <w:r>
        <w:rPr>
          <w:rFonts w:ascii="宋体" w:hAnsi="宋体" w:cs="宋体"/>
          <w:color w:val="auto"/>
          <w:szCs w:val="21"/>
          <w:highlight w:val="none"/>
          <w:lang w:bidi="ar"/>
        </w:rPr>
        <w:t>7.8</w:t>
      </w:r>
      <w:r>
        <w:rPr>
          <w:rFonts w:hint="eastAsia" w:ascii="宋体" w:hAnsi="宋体" w:cs="宋体"/>
          <w:color w:val="auto"/>
          <w:szCs w:val="21"/>
          <w:highlight w:val="none"/>
          <w:lang w:bidi="ar"/>
        </w:rPr>
        <w:t>款[环境保护</w:t>
      </w:r>
      <w:r>
        <w:rPr>
          <w:rFonts w:ascii="宋体" w:hAnsi="宋体" w:cs="宋体"/>
          <w:color w:val="auto"/>
          <w:szCs w:val="21"/>
          <w:highlight w:val="none"/>
          <w:lang w:bidi="ar"/>
        </w:rPr>
        <w:t>]</w:t>
      </w:r>
      <w:r>
        <w:rPr>
          <w:rFonts w:hint="eastAsia" w:ascii="宋体" w:hAnsi="宋体" w:cs="宋体"/>
          <w:color w:val="auto"/>
          <w:szCs w:val="21"/>
          <w:highlight w:val="none"/>
          <w:lang w:bidi="ar"/>
        </w:rPr>
        <w:t>内容；将造成工期延误；与第4.1款[承包人的一般义务]相冲突等无法执行的理由。工程师接到承包人的通知后，应作出经发包人签认的取消、确认或改变原指示的书面回复。</w:t>
      </w:r>
    </w:p>
    <w:p w14:paraId="119715C4">
      <w:pPr>
        <w:widowControl/>
        <w:adjustRightInd w:val="0"/>
        <w:snapToGrid w:val="0"/>
        <w:spacing w:after="163" w:afterLines="50" w:line="360" w:lineRule="auto"/>
        <w:rPr>
          <w:rFonts w:ascii="宋体" w:hAnsi="宋体" w:cs="宋体"/>
          <w:color w:val="auto"/>
          <w:highlight w:val="none"/>
        </w:rPr>
      </w:pPr>
      <w:bookmarkStart w:id="1473" w:name="_Ref4623207"/>
      <w:bookmarkEnd w:id="1473"/>
      <w:bookmarkStart w:id="1474" w:name="_Ref531955590"/>
      <w:bookmarkEnd w:id="1474"/>
      <w:bookmarkStart w:id="1475" w:name="_Toc20171825"/>
      <w:bookmarkEnd w:id="1475"/>
      <w:bookmarkStart w:id="1476" w:name="_Ref531955587"/>
      <w:r>
        <w:rPr>
          <w:rFonts w:hint="eastAsia" w:ascii="宋体" w:hAnsi="宋体" w:cs="宋体"/>
          <w:color w:val="auto"/>
          <w:szCs w:val="21"/>
          <w:highlight w:val="none"/>
          <w:lang w:bidi="ar"/>
        </w:rPr>
        <w:t>1</w:t>
      </w:r>
      <w:bookmarkEnd w:id="1476"/>
      <w:r>
        <w:rPr>
          <w:rFonts w:hint="eastAsia" w:ascii="宋体" w:hAnsi="宋体" w:cs="宋体"/>
          <w:color w:val="auto"/>
          <w:szCs w:val="21"/>
          <w:highlight w:val="none"/>
          <w:lang w:bidi="ar"/>
        </w:rPr>
        <w:t>3.2  承包人的合理化建议</w:t>
      </w:r>
    </w:p>
    <w:p w14:paraId="25C62DFF">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13.2.1承包人提出合理化建议的，应向工程师提交合理化建议说明，说明建议的内容、理由以及实施该建议对合同价格和工期的影响。</w:t>
      </w:r>
    </w:p>
    <w:p w14:paraId="1BEC7ACE">
      <w:pPr>
        <w:widowControl/>
        <w:adjustRightInd w:val="0"/>
        <w:snapToGrid w:val="0"/>
        <w:spacing w:after="163" w:afterLines="50" w:line="360" w:lineRule="auto"/>
        <w:ind w:firstLine="420" w:firstLineChars="200"/>
        <w:rPr>
          <w:rFonts w:ascii="宋体" w:hAnsi="宋体" w:cs="宋体"/>
          <w:color w:val="auto"/>
          <w:highlight w:val="none"/>
        </w:rPr>
      </w:pPr>
      <w:bookmarkStart w:id="1477" w:name="_Ref4681686"/>
      <w:bookmarkEnd w:id="1477"/>
      <w:r>
        <w:rPr>
          <w:rFonts w:hint="eastAsia" w:ascii="宋体" w:hAnsi="宋体" w:cs="宋体"/>
          <w:color w:val="auto"/>
          <w:szCs w:val="21"/>
          <w:highlight w:val="none"/>
          <w:lang w:bidi="ar"/>
        </w:rPr>
        <w:t>13.2.2除专用合同条件另有约定外，</w:t>
      </w:r>
      <w:bookmarkStart w:id="1478" w:name="_Hlk4682273"/>
      <w:r>
        <w:rPr>
          <w:rFonts w:hint="eastAsia" w:ascii="宋体" w:hAnsi="宋体" w:cs="宋体"/>
          <w:color w:val="auto"/>
          <w:szCs w:val="21"/>
          <w:highlight w:val="none"/>
          <w:lang w:bidi="ar"/>
        </w:rPr>
        <w:t>工程师应在收到承包人提交的合理化建议后7天内审查完毕并报送发包人，发现其中存在技术上的缺陷，应通知承包人修改。发包人应在收到工程师报送的合理化建议后7天内审批完毕。合理化建议经发包人批准的，工程师应及时发出变更指示，由此引起的合同价格调整按照第</w:t>
      </w:r>
      <w:bookmarkEnd w:id="1478"/>
      <w:r>
        <w:rPr>
          <w:rFonts w:hint="eastAsia" w:ascii="宋体" w:hAnsi="宋体" w:cs="宋体"/>
          <w:color w:val="auto"/>
          <w:szCs w:val="21"/>
          <w:highlight w:val="none"/>
          <w:lang w:bidi="ar"/>
        </w:rPr>
        <w:t>13.3.3项[变更估价]约定执行。发包人不同意变更的，工程师应书面通知承包人。</w:t>
      </w:r>
    </w:p>
    <w:p w14:paraId="187108E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13.2.3合理化建议降低了合同价格、缩短了工期或者提高了工程经济效益的，双方可以按照专用合同条件的约定进行利益分享。</w:t>
      </w:r>
    </w:p>
    <w:p w14:paraId="54FD4861">
      <w:pPr>
        <w:widowControl/>
        <w:wordWrap w:val="0"/>
        <w:topLinePunct/>
        <w:adjustRightInd w:val="0"/>
        <w:snapToGrid w:val="0"/>
        <w:spacing w:after="163" w:afterLines="50" w:line="360" w:lineRule="auto"/>
        <w:outlineLvl w:val="2"/>
        <w:rPr>
          <w:rFonts w:ascii="宋体" w:hAnsi="宋体" w:cs="宋体"/>
          <w:color w:val="auto"/>
          <w:highlight w:val="none"/>
        </w:rPr>
      </w:pPr>
      <w:bookmarkStart w:id="1479" w:name="_Ref532673538"/>
      <w:bookmarkEnd w:id="1479"/>
      <w:bookmarkStart w:id="1480" w:name="_Toc20171826"/>
      <w:bookmarkEnd w:id="1480"/>
      <w:bookmarkStart w:id="1481" w:name="_Ref532673541"/>
      <w:bookmarkEnd w:id="1481"/>
      <w:bookmarkStart w:id="1482" w:name="_Ref532669302"/>
      <w:bookmarkEnd w:id="1482"/>
      <w:bookmarkStart w:id="1483" w:name="_Ref532671480"/>
      <w:bookmarkEnd w:id="1483"/>
      <w:bookmarkStart w:id="1484" w:name="_Ref532669305"/>
      <w:bookmarkEnd w:id="1484"/>
      <w:bookmarkStart w:id="1485" w:name="_Ref532671484"/>
      <w:bookmarkStart w:id="1486" w:name="_Toc23815"/>
      <w:bookmarkStart w:id="1487" w:name="_Toc58860265"/>
      <w:bookmarkStart w:id="1488" w:name="_Toc51766678"/>
      <w:r>
        <w:rPr>
          <w:rFonts w:hint="eastAsia" w:ascii="宋体" w:hAnsi="宋体" w:cs="宋体"/>
          <w:color w:val="auto"/>
          <w:szCs w:val="21"/>
          <w:highlight w:val="none"/>
          <w:lang w:bidi="ar"/>
        </w:rPr>
        <w:t>1</w:t>
      </w:r>
      <w:bookmarkEnd w:id="1485"/>
      <w:r>
        <w:rPr>
          <w:rFonts w:hint="eastAsia" w:ascii="宋体" w:hAnsi="宋体" w:cs="宋体"/>
          <w:color w:val="auto"/>
          <w:szCs w:val="21"/>
          <w:highlight w:val="none"/>
          <w:lang w:bidi="ar"/>
        </w:rPr>
        <w:t>3.3  变更程序</w:t>
      </w:r>
      <w:bookmarkEnd w:id="1486"/>
      <w:bookmarkEnd w:id="1487"/>
      <w:bookmarkEnd w:id="1488"/>
    </w:p>
    <w:p w14:paraId="4EA534D4">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489" w:name="_Ref4534600"/>
      <w:bookmarkEnd w:id="1489"/>
      <w:r>
        <w:rPr>
          <w:rFonts w:hint="eastAsia" w:ascii="宋体" w:hAnsi="宋体" w:cs="宋体"/>
          <w:color w:val="auto"/>
          <w:szCs w:val="21"/>
          <w:highlight w:val="none"/>
          <w:lang w:bidi="ar"/>
        </w:rPr>
        <w:t>13.3.1发包人提出变更</w:t>
      </w:r>
    </w:p>
    <w:p w14:paraId="625E54E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发包人提出变更的，应通过工程师向承包人发出书面形式的变更指示，变更指示应说明计划变更的工程范围和变更的内容。</w:t>
      </w:r>
    </w:p>
    <w:p w14:paraId="429A0E24">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490" w:name="_Ref4534617"/>
      <w:bookmarkEnd w:id="1490"/>
      <w:r>
        <w:rPr>
          <w:rFonts w:hint="eastAsia" w:ascii="宋体" w:hAnsi="宋体" w:cs="宋体"/>
          <w:color w:val="auto"/>
          <w:szCs w:val="21"/>
          <w:highlight w:val="none"/>
          <w:lang w:bidi="ar"/>
        </w:rPr>
        <w:t>13.3.2变更执行</w:t>
      </w:r>
    </w:p>
    <w:p w14:paraId="2DBDC2F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收到工程师下达的变更指示后，认为不能执行，应在合理期限内提出不能执行该变更指示的理由。承包人认为可以执行变更的，应当书面说明实施该变更指示需要采取的具体措施及对合同价格和工期的影响，且合同当事人应当按照第13.3.3项[变更估价]约定确定变更估价。</w:t>
      </w:r>
    </w:p>
    <w:p w14:paraId="4161BC94">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491" w:name="_Ref3835481"/>
      <w:bookmarkEnd w:id="1491"/>
      <w:r>
        <w:rPr>
          <w:rFonts w:hint="eastAsia" w:ascii="宋体" w:hAnsi="宋体" w:cs="宋体"/>
          <w:color w:val="auto"/>
          <w:szCs w:val="21"/>
          <w:highlight w:val="none"/>
          <w:lang w:bidi="ar"/>
        </w:rPr>
        <w:t>13.3.3变更估价</w:t>
      </w:r>
    </w:p>
    <w:p w14:paraId="6503A2F5">
      <w:pPr>
        <w:widowControl/>
        <w:wordWrap w:val="0"/>
        <w:topLinePunct/>
        <w:autoSpaceDE w:val="0"/>
        <w:autoSpaceDN w:val="0"/>
        <w:adjustRightInd w:val="0"/>
        <w:snapToGrid w:val="0"/>
        <w:spacing w:after="163" w:afterLines="50" w:line="360" w:lineRule="auto"/>
        <w:ind w:left="480"/>
        <w:rPr>
          <w:rFonts w:ascii="宋体" w:hAnsi="宋体" w:cs="宋体"/>
          <w:color w:val="auto"/>
          <w:highlight w:val="none"/>
        </w:rPr>
      </w:pPr>
      <w:r>
        <w:rPr>
          <w:rFonts w:hint="eastAsia" w:ascii="宋体" w:hAnsi="宋体" w:cs="宋体"/>
          <w:color w:val="auto"/>
          <w:szCs w:val="21"/>
          <w:highlight w:val="none"/>
          <w:lang w:bidi="ar"/>
        </w:rPr>
        <w:t>13.3.3.1变更估价原则</w:t>
      </w:r>
    </w:p>
    <w:p w14:paraId="7EB358E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除专用合同条件另有约定外，变更估价按照本款约定处理：</w:t>
      </w:r>
    </w:p>
    <w:p w14:paraId="5A04378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（1）合同中未包含价格清单，合同价格应按照所执行的变更工程的成本加利润调整；</w:t>
      </w:r>
    </w:p>
    <w:p w14:paraId="0C9DBD7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（2）合同中包含价格清单，合同价格按照如下规则调整：</w:t>
      </w:r>
    </w:p>
    <w:p w14:paraId="1B64F42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1）价格清单中有适用于变更工程项目的，应采用该项目的费率和价格；</w:t>
      </w:r>
    </w:p>
    <w:p w14:paraId="75C1A84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2）价格清单中没有适用但有类似于变更工程项目的，可在合理范围内参照类似项目的费率或价格；</w:t>
      </w:r>
    </w:p>
    <w:p w14:paraId="2273D6E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3）价格清单中没有适用也没有类似于变更工程项目的，该工程项目应按成本加利润原则调整适用新的费率或价格。</w:t>
      </w:r>
    </w:p>
    <w:p w14:paraId="024479BC">
      <w:pPr>
        <w:widowControl/>
        <w:wordWrap w:val="0"/>
        <w:topLinePunct/>
        <w:autoSpaceDE w:val="0"/>
        <w:autoSpaceDN w:val="0"/>
        <w:adjustRightInd w:val="0"/>
        <w:snapToGrid w:val="0"/>
        <w:spacing w:after="163" w:afterLines="50" w:line="360" w:lineRule="auto"/>
        <w:ind w:left="480"/>
        <w:rPr>
          <w:rFonts w:ascii="宋体" w:hAnsi="宋体" w:cs="宋体"/>
          <w:color w:val="auto"/>
          <w:highlight w:val="none"/>
        </w:rPr>
      </w:pPr>
      <w:r>
        <w:rPr>
          <w:rFonts w:hint="eastAsia" w:ascii="宋体" w:hAnsi="宋体" w:cs="宋体"/>
          <w:color w:val="auto"/>
          <w:szCs w:val="21"/>
          <w:highlight w:val="none"/>
          <w:lang w:bidi="ar"/>
        </w:rPr>
        <w:t>13.3.3.2变更估价程序</w:t>
      </w:r>
    </w:p>
    <w:p w14:paraId="3A6DBBCC">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492" w:name="_Toc296346651"/>
      <w:bookmarkEnd w:id="1492"/>
      <w:bookmarkStart w:id="1493" w:name="_Ref531955605"/>
      <w:bookmarkEnd w:id="1493"/>
      <w:bookmarkStart w:id="1494" w:name="_Toc296503150"/>
      <w:bookmarkEnd w:id="1494"/>
      <w:bookmarkStart w:id="1495" w:name="_Ref531955607"/>
      <w:bookmarkEnd w:id="1495"/>
      <w:bookmarkStart w:id="1496" w:name="_Toc337558844"/>
      <w:r>
        <w:rPr>
          <w:rFonts w:hint="eastAsia" w:ascii="宋体" w:hAnsi="宋体" w:cs="宋体"/>
          <w:color w:val="auto"/>
          <w:kern w:val="0"/>
          <w:szCs w:val="21"/>
          <w:highlight w:val="none"/>
          <w:lang w:bidi="ar"/>
        </w:rPr>
        <w:t>承包人应在收到变更指示后14天内，向工程师提交变更估价申请。工程师应在收到承包人提交的变更估价申请后7天内审查完毕并报送发包人，工程师对变更估价申请有异议，通知承包人修改后重新提交。发包人应在承包人提交变更估价申请后14天内审批完毕。发包人逾期未完成审批或未提出异议的，视为认可承包人提交的变更估价申请。</w:t>
      </w:r>
      <w:bookmarkEnd w:id="1496"/>
    </w:p>
    <w:p w14:paraId="07CEC84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因变更引起的价格调整应计入最近一期的进度款中支付。</w:t>
      </w:r>
    </w:p>
    <w:p w14:paraId="04712F55">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13.3.4变更引起的工期调整</w:t>
      </w:r>
    </w:p>
    <w:p w14:paraId="5F90D02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因变更引起工期变化的，合同当事人均可要求调整合同工期，由合同当事人按照第3.6款[商定或确定]并参考工程所在地的工期定额标准确定增减工期天数。</w:t>
      </w:r>
    </w:p>
    <w:p w14:paraId="0568B0C4">
      <w:pPr>
        <w:widowControl/>
        <w:wordWrap w:val="0"/>
        <w:topLinePunct/>
        <w:adjustRightInd w:val="0"/>
        <w:snapToGrid w:val="0"/>
        <w:spacing w:after="163" w:afterLines="50" w:line="360" w:lineRule="auto"/>
        <w:outlineLvl w:val="2"/>
        <w:rPr>
          <w:rFonts w:ascii="宋体" w:hAnsi="宋体" w:cs="宋体"/>
          <w:color w:val="auto"/>
          <w:highlight w:val="none"/>
        </w:rPr>
      </w:pPr>
      <w:bookmarkStart w:id="1497" w:name="_Ref4431237"/>
      <w:bookmarkEnd w:id="1497"/>
      <w:bookmarkStart w:id="1498" w:name="_Toc20171827"/>
      <w:bookmarkStart w:id="1499" w:name="_Toc51766679"/>
      <w:bookmarkStart w:id="1500" w:name="_Toc58860266"/>
      <w:bookmarkStart w:id="1501" w:name="_Toc8910"/>
      <w:r>
        <w:rPr>
          <w:rFonts w:hint="eastAsia" w:ascii="宋体" w:hAnsi="宋体" w:cs="宋体"/>
          <w:color w:val="auto"/>
          <w:szCs w:val="21"/>
          <w:highlight w:val="none"/>
          <w:lang w:bidi="ar"/>
        </w:rPr>
        <w:t>1</w:t>
      </w:r>
      <w:bookmarkEnd w:id="1498"/>
      <w:r>
        <w:rPr>
          <w:rFonts w:hint="eastAsia" w:ascii="宋体" w:hAnsi="宋体" w:cs="宋体"/>
          <w:color w:val="auto"/>
          <w:szCs w:val="21"/>
          <w:highlight w:val="none"/>
          <w:lang w:bidi="ar"/>
        </w:rPr>
        <w:t>3.4  暂估价</w:t>
      </w:r>
      <w:bookmarkEnd w:id="1499"/>
      <w:bookmarkEnd w:id="1500"/>
      <w:bookmarkEnd w:id="1501"/>
    </w:p>
    <w:p w14:paraId="607F6B0B">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502" w:name="_Ref4616729"/>
      <w:bookmarkEnd w:id="1502"/>
      <w:r>
        <w:rPr>
          <w:rFonts w:hint="eastAsia" w:ascii="宋体" w:hAnsi="宋体" w:cs="宋体"/>
          <w:color w:val="auto"/>
          <w:szCs w:val="21"/>
          <w:highlight w:val="none"/>
          <w:lang w:bidi="ar"/>
        </w:rPr>
        <w:t>13.4.1依法必须招标的暂估价项目</w:t>
      </w:r>
    </w:p>
    <w:p w14:paraId="270E482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对于依法必须招标的暂估价项目，专用合同条件约定由承包人作为招标人的，招标文件、评标方案、评标结果应报送发包人批准。与组织招标工作有关的费用应当被认为已经包括在承包人的签约合同价中。</w:t>
      </w:r>
    </w:p>
    <w:p w14:paraId="354B159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专用合同条件约定由发包人和承包人共同作为招标人的，与组织招标工作有关的费用在专用合同条件中约定。</w:t>
      </w:r>
    </w:p>
    <w:p w14:paraId="513E7D4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具体的招标程序以及发包人和承包人权利义务关系可在专用合同条件中约定。暂估价项目的中标金额与价格清单中所列暂估价的金额差以及相应的税金等其他费用应列入合同价格。</w:t>
      </w:r>
    </w:p>
    <w:p w14:paraId="0BEA51D7">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503" w:name="_Ref4682312"/>
      <w:bookmarkEnd w:id="1503"/>
      <w:r>
        <w:rPr>
          <w:rFonts w:hint="eastAsia" w:ascii="宋体" w:hAnsi="宋体" w:cs="宋体"/>
          <w:color w:val="auto"/>
          <w:szCs w:val="21"/>
          <w:highlight w:val="none"/>
          <w:lang w:bidi="ar"/>
        </w:rPr>
        <w:t>13.4.2不属于依法必须招标的暂估价项目</w:t>
      </w:r>
    </w:p>
    <w:p w14:paraId="3933216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对于不属于依法必须招标的暂估价项目，承包人具备实施暂估价项目的资格和条件的，经发包人和承包人协商一致后，可由承包人自行实施暂估价项目，具体的协商和估价程序以及发包人和承包人权利义务关系可在专用合同条件中约定。确定后的暂估价项目金额与价格清单中所列暂估价的金额差以及相应的税金等其他费用应列入合同价格。</w:t>
      </w:r>
    </w:p>
    <w:p w14:paraId="61EA273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87C031C">
      <w:pPr>
        <w:widowControl/>
        <w:wordWrap w:val="0"/>
        <w:topLinePunct/>
        <w:adjustRightInd w:val="0"/>
        <w:snapToGrid w:val="0"/>
        <w:spacing w:after="163" w:afterLines="50" w:line="360" w:lineRule="auto"/>
        <w:outlineLvl w:val="2"/>
        <w:rPr>
          <w:rFonts w:ascii="宋体" w:hAnsi="宋体" w:cs="宋体"/>
          <w:color w:val="auto"/>
          <w:highlight w:val="none"/>
        </w:rPr>
      </w:pPr>
      <w:bookmarkStart w:id="1504" w:name="_Ref4431250"/>
      <w:bookmarkEnd w:id="1504"/>
      <w:bookmarkStart w:id="1505" w:name="_Toc20171828"/>
      <w:bookmarkStart w:id="1506" w:name="_Toc21640"/>
      <w:bookmarkStart w:id="1507" w:name="_Toc51766680"/>
      <w:bookmarkStart w:id="1508" w:name="_Toc58860267"/>
      <w:r>
        <w:rPr>
          <w:rFonts w:hint="eastAsia" w:ascii="宋体" w:hAnsi="宋体" w:cs="宋体"/>
          <w:color w:val="auto"/>
          <w:szCs w:val="21"/>
          <w:highlight w:val="none"/>
          <w:lang w:bidi="ar"/>
        </w:rPr>
        <w:t>1</w:t>
      </w:r>
      <w:bookmarkEnd w:id="1505"/>
      <w:r>
        <w:rPr>
          <w:rFonts w:hint="eastAsia" w:ascii="宋体" w:hAnsi="宋体" w:cs="宋体"/>
          <w:color w:val="auto"/>
          <w:szCs w:val="21"/>
          <w:highlight w:val="none"/>
          <w:lang w:bidi="ar"/>
        </w:rPr>
        <w:t>3.5  暂列金额</w:t>
      </w:r>
      <w:bookmarkEnd w:id="1506"/>
      <w:bookmarkEnd w:id="1507"/>
      <w:bookmarkEnd w:id="1508"/>
      <w:r>
        <w:rPr>
          <w:rFonts w:hint="eastAsia" w:ascii="宋体" w:hAnsi="宋体" w:cs="宋体"/>
          <w:color w:val="auto"/>
          <w:szCs w:val="21"/>
          <w:highlight w:val="none"/>
          <w:lang w:bidi="ar"/>
        </w:rPr>
        <w:t xml:space="preserve"> </w:t>
      </w:r>
    </w:p>
    <w:p w14:paraId="6EEC992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每一笔暂列金额只能按照发包人的指示全部或部分使用，并对合同价格进行相应调整。付给承包人的总金额应仅包括发包人已指示的，与暂列金额相关的工作、货物或服务的应付款项。</w:t>
      </w:r>
    </w:p>
    <w:p w14:paraId="4BA4305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对于每笔暂列金额，发包人可以指示用于下列支付：</w:t>
      </w:r>
    </w:p>
    <w:p w14:paraId="102CDEC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（1）发包人根据第13.1款[发包人变更权]指示变更，决定对合同价格和付款计划表（如有）进行调整的、由承包人实施的工作（包括要提供的工程设备、材料和服务）；</w:t>
      </w:r>
    </w:p>
    <w:p w14:paraId="6C9DDF9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购买的工程设备、材料、工作或服务，应支付包括承包人已付（或应付）的实际金额以及相应的管理费等费用和利润（管理费和利润应以实际金额为基数根据合同约定的费率（如有）或百分比计算）。</w:t>
      </w:r>
    </w:p>
    <w:p w14:paraId="3D5B649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根据上述(1)和（或）(2)指示支付暂列金额的，可以要求承包人提交其供应商提供的全部或部分要实施的工程或拟购买的工程设备、材料、工作或服务的项目报价单。发包人可以发出通知指示承包人接受其中的一个报价或指示撤销支付，发包人在收到项目报价单的7天内未作回应的，承包人应有权自行接受其中任何一个报价。</w:t>
      </w:r>
    </w:p>
    <w:p w14:paraId="6A49A4B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每份包含暂列金额的文件还应包括用以证明暂列金额的所有有效的发票、凭证和账户或收据。</w:t>
      </w:r>
    </w:p>
    <w:p w14:paraId="4DE6C500">
      <w:pPr>
        <w:widowControl/>
        <w:wordWrap w:val="0"/>
        <w:topLinePunct/>
        <w:adjustRightInd w:val="0"/>
        <w:snapToGrid w:val="0"/>
        <w:spacing w:after="163" w:afterLines="50" w:line="360" w:lineRule="auto"/>
        <w:outlineLvl w:val="2"/>
        <w:rPr>
          <w:rFonts w:ascii="宋体" w:hAnsi="宋体" w:cs="宋体"/>
          <w:color w:val="auto"/>
          <w:highlight w:val="none"/>
        </w:rPr>
      </w:pPr>
      <w:bookmarkStart w:id="1509" w:name="_Toc296346653"/>
      <w:bookmarkEnd w:id="1509"/>
      <w:bookmarkStart w:id="1510" w:name="_Toc337558845"/>
      <w:bookmarkEnd w:id="1510"/>
      <w:bookmarkStart w:id="1511" w:name="_Toc296503152"/>
      <w:bookmarkEnd w:id="1511"/>
      <w:bookmarkStart w:id="1512" w:name="_Toc20171829"/>
      <w:bookmarkEnd w:id="1512"/>
      <w:bookmarkStart w:id="1513" w:name="_Ref4431438"/>
      <w:bookmarkStart w:id="1514" w:name="_Toc51766681"/>
      <w:bookmarkStart w:id="1515" w:name="_Toc12830"/>
      <w:bookmarkStart w:id="1516" w:name="_Toc58860268"/>
      <w:r>
        <w:rPr>
          <w:rFonts w:hint="eastAsia" w:ascii="宋体" w:hAnsi="宋体" w:cs="宋体"/>
          <w:color w:val="auto"/>
          <w:szCs w:val="21"/>
          <w:highlight w:val="none"/>
          <w:lang w:bidi="ar"/>
        </w:rPr>
        <w:t>1</w:t>
      </w:r>
      <w:bookmarkEnd w:id="1513"/>
      <w:r>
        <w:rPr>
          <w:rFonts w:hint="eastAsia" w:ascii="宋体" w:hAnsi="宋体" w:cs="宋体"/>
          <w:color w:val="auto"/>
          <w:szCs w:val="21"/>
          <w:highlight w:val="none"/>
          <w:lang w:bidi="ar"/>
        </w:rPr>
        <w:t>3.6  计日工</w:t>
      </w:r>
      <w:bookmarkEnd w:id="1514"/>
      <w:bookmarkEnd w:id="1515"/>
      <w:bookmarkEnd w:id="1516"/>
    </w:p>
    <w:p w14:paraId="2A4F0327">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13.6.1需要采用计日工方式的，经发包人同意后，由工程师通知承包人以计日工计价方式实施相应的工作，其价款按列入价格清单或预算书中的计日工计价项目及其单价进行计算；价格清单或预算书中无相应的计日工单价的，按照合理的成本与利润构成的原则，由工程师按照第3.6款[商定或确定]确定计日工的单价。</w:t>
      </w:r>
    </w:p>
    <w:p w14:paraId="5B60B772">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13.6.2采用计日工计价的任何一项工作，承包人应在该项工作实施过程中，每天提交以下报表和有关凭证报送工程师审查：</w:t>
      </w:r>
    </w:p>
    <w:p w14:paraId="39AA83E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（1）工作名称、内容和数量；</w:t>
      </w:r>
    </w:p>
    <w:p w14:paraId="6DF8989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（2）投入该工作的所有人员的姓名、专业、工种、级别和耗用工时；</w:t>
      </w:r>
    </w:p>
    <w:p w14:paraId="5AE371E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（3）投入该工作的材料类别和数量；</w:t>
      </w:r>
    </w:p>
    <w:p w14:paraId="10B7C4E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（4）投入该工作的施工设备型号、台数和耗用台时；</w:t>
      </w:r>
    </w:p>
    <w:p w14:paraId="1A18CEE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（5）其他有关资料和凭证。</w:t>
      </w:r>
    </w:p>
    <w:p w14:paraId="52C6E0B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计日工由承包人汇总后，列入最近一期进度付款申请单，由工程师审查并经发包人批准后列入进度付款。</w:t>
      </w:r>
    </w:p>
    <w:p w14:paraId="38FA741A">
      <w:pPr>
        <w:widowControl/>
        <w:wordWrap w:val="0"/>
        <w:topLinePunct/>
        <w:adjustRightInd w:val="0"/>
        <w:snapToGrid w:val="0"/>
        <w:spacing w:after="163" w:afterLines="50" w:line="360" w:lineRule="auto"/>
        <w:outlineLvl w:val="2"/>
        <w:rPr>
          <w:rFonts w:ascii="宋体" w:hAnsi="宋体" w:cs="宋体"/>
          <w:color w:val="auto"/>
          <w:highlight w:val="none"/>
        </w:rPr>
      </w:pPr>
      <w:bookmarkStart w:id="1517" w:name="_Toc20171830"/>
      <w:bookmarkEnd w:id="1517"/>
      <w:bookmarkStart w:id="1518" w:name="_Ref4617318"/>
      <w:bookmarkEnd w:id="1518"/>
      <w:bookmarkStart w:id="1519" w:name="_Ref4617331"/>
      <w:bookmarkStart w:id="1520" w:name="_Toc3388"/>
      <w:bookmarkStart w:id="1521" w:name="_Toc51766682"/>
      <w:bookmarkStart w:id="1522" w:name="_Toc58860269"/>
      <w:r>
        <w:rPr>
          <w:rFonts w:hint="eastAsia" w:ascii="宋体" w:hAnsi="宋体" w:cs="宋体"/>
          <w:color w:val="auto"/>
          <w:szCs w:val="21"/>
          <w:highlight w:val="none"/>
          <w:lang w:bidi="ar"/>
        </w:rPr>
        <w:t>1</w:t>
      </w:r>
      <w:bookmarkEnd w:id="1519"/>
      <w:r>
        <w:rPr>
          <w:rFonts w:hint="eastAsia" w:ascii="宋体" w:hAnsi="宋体" w:cs="宋体"/>
          <w:color w:val="auto"/>
          <w:szCs w:val="21"/>
          <w:highlight w:val="none"/>
          <w:lang w:bidi="ar"/>
        </w:rPr>
        <w:t>3.7  法律变化引起的调整</w:t>
      </w:r>
      <w:bookmarkEnd w:id="1520"/>
      <w:bookmarkEnd w:id="1521"/>
      <w:bookmarkEnd w:id="1522"/>
    </w:p>
    <w:p w14:paraId="5C069958">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13.7.1基准日期后，法律变化导致承包人在合同履行过程中所需要的费用发生除第13.8款[市场价格波动引起的调整]约定以外的增加时，由发包人承担由此增加的费用；减少时，应从合同价格中予以扣减。基准日期后，因法律变化造成工期延误时，工期应予以顺延。</w:t>
      </w:r>
    </w:p>
    <w:p w14:paraId="3A5F3393">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13.7.2因法律变化引起的合同价格和工期调整，合同当事人无法达成一致的，由工程师按第3.6款[商定或确定]的约定处理。</w:t>
      </w:r>
    </w:p>
    <w:p w14:paraId="6DAF57DA">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13.7.3因承包人原因造成工期延误，在工期延误期间出现法律变化的，由此增加的费用和（或）延误的工期由承包人承担。</w:t>
      </w:r>
    </w:p>
    <w:p w14:paraId="2FE5596A">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13.7.4因法律变化而需要对工程的实施进行任何调整的，承包人应迅速通知发包人，或者发包人应迅速通知承包人，并附上详细的辅助资料。发包人接到通知后，应根据第13.3款[变更程序]发出变更指示。</w:t>
      </w:r>
    </w:p>
    <w:p w14:paraId="48169AF1">
      <w:pPr>
        <w:widowControl/>
        <w:wordWrap w:val="0"/>
        <w:topLinePunct/>
        <w:adjustRightInd w:val="0"/>
        <w:snapToGrid w:val="0"/>
        <w:spacing w:after="163" w:afterLines="50" w:line="360" w:lineRule="auto"/>
        <w:outlineLvl w:val="2"/>
        <w:rPr>
          <w:rFonts w:ascii="宋体" w:hAnsi="宋体" w:cs="宋体"/>
          <w:color w:val="auto"/>
          <w:highlight w:val="none"/>
        </w:rPr>
      </w:pPr>
      <w:bookmarkStart w:id="1523" w:name="_Ref531955630"/>
      <w:bookmarkEnd w:id="1523"/>
      <w:bookmarkStart w:id="1524" w:name="_Ref531955627"/>
      <w:bookmarkEnd w:id="1524"/>
      <w:bookmarkStart w:id="1525" w:name="_Ref18977613"/>
      <w:bookmarkEnd w:id="1525"/>
      <w:bookmarkStart w:id="1526" w:name="_Toc20171831"/>
      <w:bookmarkStart w:id="1527" w:name="_Toc51766683"/>
      <w:bookmarkStart w:id="1528" w:name="_Toc58860270"/>
      <w:bookmarkStart w:id="1529" w:name="_Toc31665"/>
      <w:r>
        <w:rPr>
          <w:rFonts w:hint="eastAsia" w:ascii="宋体" w:hAnsi="宋体" w:cs="宋体"/>
          <w:color w:val="auto"/>
          <w:szCs w:val="21"/>
          <w:highlight w:val="none"/>
          <w:lang w:bidi="ar"/>
        </w:rPr>
        <w:t>1</w:t>
      </w:r>
      <w:bookmarkEnd w:id="1526"/>
      <w:r>
        <w:rPr>
          <w:rFonts w:hint="eastAsia" w:ascii="宋体" w:hAnsi="宋体" w:cs="宋体"/>
          <w:color w:val="auto"/>
          <w:szCs w:val="21"/>
          <w:highlight w:val="none"/>
          <w:lang w:bidi="ar"/>
        </w:rPr>
        <w:t>3.8  市场价格波动引起的调整</w:t>
      </w:r>
      <w:bookmarkEnd w:id="1527"/>
      <w:bookmarkEnd w:id="1528"/>
      <w:bookmarkEnd w:id="1529"/>
    </w:p>
    <w:p w14:paraId="7846A5BF">
      <w:pPr>
        <w:widowControl/>
        <w:adjustRightInd w:val="0"/>
        <w:snapToGrid w:val="0"/>
        <w:spacing w:after="163" w:afterLines="50" w:line="360" w:lineRule="auto"/>
        <w:ind w:firstLine="420" w:firstLineChars="200"/>
        <w:rPr>
          <w:rFonts w:ascii="宋体" w:hAnsi="宋体" w:cs="宋体"/>
          <w:color w:val="auto"/>
          <w:highlight w:val="none"/>
        </w:rPr>
      </w:pPr>
      <w:bookmarkStart w:id="1530" w:name="_Ref4709841"/>
      <w:bookmarkEnd w:id="1530"/>
      <w:r>
        <w:rPr>
          <w:rFonts w:hint="eastAsia" w:ascii="宋体" w:hAnsi="宋体" w:cs="宋体"/>
          <w:color w:val="auto"/>
          <w:szCs w:val="21"/>
          <w:highlight w:val="none"/>
          <w:lang w:bidi="ar"/>
        </w:rPr>
        <w:t>13.8.1主要工程材料、设备、人工价格与招标时基期价相比，波动幅度超过合同约定幅度的，双方按照合同约定的价格调整方式调整。</w:t>
      </w:r>
    </w:p>
    <w:p w14:paraId="6E6E6AD4">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13.8.2发包人与承包人在专用合同条件中约定采用《价格指数权重表》的，适用本项约定。</w:t>
      </w:r>
    </w:p>
    <w:p w14:paraId="157CFC56">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13.8.2.1双方当事人可以将部分主要工程材料、工程设备、人工价格及其他双方认为应当根据市场价格调整的费用列入附件</w:t>
      </w:r>
      <w:r>
        <w:rPr>
          <w:rFonts w:ascii="宋体" w:hAnsi="宋体" w:cs="宋体"/>
          <w:color w:val="auto"/>
          <w:szCs w:val="21"/>
          <w:highlight w:val="none"/>
          <w:lang w:bidi="ar"/>
        </w:rPr>
        <w:t>6</w:t>
      </w:r>
      <w:r>
        <w:rPr>
          <w:rFonts w:hint="eastAsia" w:ascii="宋体" w:hAnsi="宋体" w:cs="宋体"/>
          <w:color w:val="auto"/>
          <w:szCs w:val="21"/>
          <w:highlight w:val="none"/>
          <w:lang w:bidi="ar"/>
        </w:rPr>
        <w:t>《价格指数权重表》，并根据以下公式计算差额并调整合同价格：</w:t>
      </w:r>
    </w:p>
    <w:p w14:paraId="61F90FAF">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531" w:name="_Ref4616996"/>
      <w:bookmarkEnd w:id="1531"/>
      <w:r>
        <w:rPr>
          <w:rFonts w:hint="eastAsia" w:ascii="宋体" w:hAnsi="宋体" w:cs="宋体"/>
          <w:color w:val="auto"/>
          <w:kern w:val="0"/>
          <w:szCs w:val="21"/>
          <w:highlight w:val="none"/>
          <w:lang w:bidi="ar"/>
        </w:rPr>
        <w:t>（1）价格调整公式</w:t>
      </w:r>
    </w:p>
    <w:p w14:paraId="0BA7E31B">
      <w:pPr>
        <w:widowControl/>
        <w:adjustRightInd w:val="0"/>
        <w:snapToGrid w:val="0"/>
        <w:spacing w:after="163" w:afterLines="50" w:line="360" w:lineRule="auto"/>
        <w:ind w:firstLine="420" w:firstLineChars="200"/>
        <w:rPr>
          <w:rFonts w:ascii="宋体" w:hAnsi="宋体" w:cs="宋体"/>
          <w:color w:val="auto"/>
          <w:kern w:val="0"/>
          <w:highlight w:val="none"/>
        </w:rPr>
      </w:pPr>
      <w:r>
        <w:rPr>
          <w:rFonts w:ascii="宋体" w:hAnsi="宋体" w:cs="宋体"/>
          <w:color w:val="auto"/>
          <w:szCs w:val="21"/>
          <w:highlight w:val="none"/>
        </w:rPr>
        <w:drawing>
          <wp:inline distT="0" distB="0" distL="114300" distR="114300">
            <wp:extent cx="4429125" cy="371475"/>
            <wp:effectExtent l="0" t="0" r="9525" b="952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r:link="rId13"/>
                    <a:stretch>
                      <a:fillRect/>
                    </a:stretch>
                  </pic:blipFill>
                  <pic:spPr>
                    <a:xfrm>
                      <a:off x="0" y="0"/>
                      <a:ext cx="4429125" cy="371475"/>
                    </a:xfrm>
                    <a:prstGeom prst="rect">
                      <a:avLst/>
                    </a:prstGeom>
                    <a:noFill/>
                    <a:ln>
                      <a:noFill/>
                    </a:ln>
                  </pic:spPr>
                </pic:pic>
              </a:graphicData>
            </a:graphic>
          </wp:inline>
        </w:drawing>
      </w:r>
      <w:r>
        <w:rPr>
          <w:rFonts w:hint="eastAsia" w:ascii="宋体" w:hAnsi="宋体" w:cs="宋体"/>
          <w:color w:val="auto"/>
          <w:kern w:val="0"/>
          <w:szCs w:val="21"/>
          <w:highlight w:val="none"/>
          <w:lang w:bidi="ar"/>
        </w:rPr>
        <w:t xml:space="preserve"> </w:t>
      </w:r>
    </w:p>
    <w:p w14:paraId="205AFC8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公式中：△P---需调整的价格差额；</w:t>
      </w:r>
    </w:p>
    <w:p w14:paraId="7111BF6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P</w:t>
      </w:r>
      <w:r>
        <w:rPr>
          <w:rFonts w:hint="eastAsia" w:ascii="宋体" w:hAnsi="宋体" w:cs="宋体"/>
          <w:color w:val="auto"/>
          <w:kern w:val="0"/>
          <w:szCs w:val="21"/>
          <w:highlight w:val="none"/>
          <w:vertAlign w:val="subscript"/>
          <w:lang w:bidi="ar"/>
        </w:rPr>
        <w:t>O</w:t>
      </w:r>
      <w:r>
        <w:rPr>
          <w:rFonts w:hint="eastAsia" w:ascii="宋体" w:hAnsi="宋体" w:cs="宋体"/>
          <w:color w:val="auto"/>
          <w:kern w:val="0"/>
          <w:szCs w:val="21"/>
          <w:highlight w:val="none"/>
          <w:lang w:bidi="ar"/>
        </w:rPr>
        <w:t>---付款证书中承包人应得到的已完成工作量的金额。此项金额应不包括价格调整、不计质量保证金的预留和支付、预付款的支付和扣回。第13条[变更与</w:t>
      </w:r>
      <w:r>
        <w:rPr>
          <w:rFonts w:ascii="宋体" w:hAnsi="宋体" w:cs="宋体"/>
          <w:color w:val="auto"/>
          <w:kern w:val="0"/>
          <w:szCs w:val="21"/>
          <w:highlight w:val="none"/>
          <w:lang w:bidi="ar"/>
        </w:rPr>
        <w:t>调整</w:t>
      </w:r>
      <w:r>
        <w:rPr>
          <w:rFonts w:hint="eastAsia" w:ascii="宋体" w:hAnsi="宋体" w:cs="宋体"/>
          <w:color w:val="auto"/>
          <w:kern w:val="0"/>
          <w:szCs w:val="21"/>
          <w:highlight w:val="none"/>
          <w:lang w:bidi="ar"/>
        </w:rPr>
        <w:t>]约定的变更及其他金额已按当期价格计价的，也不计在内；</w:t>
      </w:r>
    </w:p>
    <w:p w14:paraId="7829C0F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A ---定值权重（即不调部分的权重）； </w:t>
      </w:r>
    </w:p>
    <w:p w14:paraId="76C32633">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532" w:name="_Hlk24103184"/>
      <w:bookmarkEnd w:id="1532"/>
      <w:r>
        <w:rPr>
          <w:rFonts w:hint="eastAsia" w:ascii="宋体" w:hAnsi="宋体" w:cs="宋体"/>
          <w:color w:val="auto"/>
          <w:kern w:val="0"/>
          <w:szCs w:val="21"/>
          <w:highlight w:val="none"/>
          <w:lang w:bidi="ar"/>
        </w:rPr>
        <w:t>B</w:t>
      </w:r>
      <w:r>
        <w:rPr>
          <w:rFonts w:hint="eastAsia" w:ascii="宋体" w:hAnsi="宋体" w:cs="宋体"/>
          <w:color w:val="auto"/>
          <w:kern w:val="0"/>
          <w:szCs w:val="21"/>
          <w:highlight w:val="none"/>
          <w:vertAlign w:val="subscript"/>
          <w:lang w:bidi="ar"/>
        </w:rPr>
        <w:t>1</w:t>
      </w:r>
      <w:r>
        <w:rPr>
          <w:rFonts w:hint="eastAsia" w:ascii="宋体" w:hAnsi="宋体" w:cs="宋体"/>
          <w:color w:val="auto"/>
          <w:kern w:val="0"/>
          <w:szCs w:val="21"/>
          <w:highlight w:val="none"/>
          <w:lang w:bidi="ar"/>
        </w:rPr>
        <w:t>；</w:t>
      </w:r>
      <w:bookmarkStart w:id="1533" w:name="_Hlk24103205"/>
      <w:r>
        <w:rPr>
          <w:rFonts w:hint="eastAsia" w:ascii="宋体" w:hAnsi="宋体" w:cs="宋体"/>
          <w:color w:val="auto"/>
          <w:kern w:val="0"/>
          <w:szCs w:val="21"/>
          <w:highlight w:val="none"/>
          <w:lang w:bidi="ar"/>
        </w:rPr>
        <w:t>B</w:t>
      </w:r>
      <w:bookmarkEnd w:id="1533"/>
      <w:r>
        <w:rPr>
          <w:rFonts w:hint="eastAsia" w:ascii="宋体" w:hAnsi="宋体" w:cs="宋体"/>
          <w:color w:val="auto"/>
          <w:kern w:val="0"/>
          <w:szCs w:val="21"/>
          <w:highlight w:val="none"/>
          <w:vertAlign w:val="subscript"/>
          <w:lang w:bidi="ar"/>
        </w:rPr>
        <w:t>2</w:t>
      </w:r>
      <w:r>
        <w:rPr>
          <w:rFonts w:hint="eastAsia" w:ascii="宋体" w:hAnsi="宋体" w:cs="宋体"/>
          <w:color w:val="auto"/>
          <w:kern w:val="0"/>
          <w:szCs w:val="21"/>
          <w:highlight w:val="none"/>
          <w:lang w:bidi="ar"/>
        </w:rPr>
        <w:t>；</w:t>
      </w:r>
      <w:bookmarkStart w:id="1534" w:name="_Hlk24103220"/>
      <w:r>
        <w:rPr>
          <w:rFonts w:hint="eastAsia" w:ascii="宋体" w:hAnsi="宋体" w:cs="宋体"/>
          <w:color w:val="auto"/>
          <w:kern w:val="0"/>
          <w:szCs w:val="21"/>
          <w:highlight w:val="none"/>
          <w:lang w:bidi="ar"/>
        </w:rPr>
        <w:t>B</w:t>
      </w:r>
      <w:bookmarkEnd w:id="1534"/>
      <w:r>
        <w:rPr>
          <w:rFonts w:hint="eastAsia" w:ascii="宋体" w:hAnsi="宋体" w:cs="宋体"/>
          <w:color w:val="auto"/>
          <w:kern w:val="0"/>
          <w:szCs w:val="21"/>
          <w:highlight w:val="none"/>
          <w:vertAlign w:val="subscript"/>
          <w:lang w:bidi="ar"/>
        </w:rPr>
        <w:t>3</w:t>
      </w:r>
      <w:r>
        <w:rPr>
          <w:rFonts w:hint="eastAsia" w:ascii="宋体" w:hAnsi="宋体" w:cs="宋体"/>
          <w:color w:val="auto"/>
          <w:kern w:val="0"/>
          <w:szCs w:val="21"/>
          <w:highlight w:val="none"/>
          <w:lang w:bidi="ar"/>
        </w:rPr>
        <w:t>；……</w:t>
      </w:r>
      <w:bookmarkStart w:id="1535" w:name="_Hlk24103245"/>
      <w:r>
        <w:rPr>
          <w:rFonts w:hint="eastAsia" w:ascii="宋体" w:hAnsi="宋体" w:cs="宋体"/>
          <w:color w:val="auto"/>
          <w:kern w:val="0"/>
          <w:szCs w:val="21"/>
          <w:highlight w:val="none"/>
          <w:lang w:bidi="ar"/>
        </w:rPr>
        <w:t>B</w:t>
      </w:r>
      <w:bookmarkEnd w:id="1535"/>
      <w:r>
        <w:rPr>
          <w:rFonts w:hint="eastAsia" w:ascii="宋体" w:hAnsi="宋体" w:cs="宋体"/>
          <w:color w:val="auto"/>
          <w:kern w:val="0"/>
          <w:szCs w:val="21"/>
          <w:highlight w:val="none"/>
          <w:vertAlign w:val="subscript"/>
          <w:lang w:bidi="ar"/>
        </w:rPr>
        <w:t>n</w:t>
      </w:r>
      <w:r>
        <w:rPr>
          <w:rFonts w:hint="eastAsia" w:ascii="宋体" w:hAnsi="宋体" w:cs="宋体"/>
          <w:color w:val="auto"/>
          <w:kern w:val="0"/>
          <w:szCs w:val="21"/>
          <w:highlight w:val="none"/>
          <w:lang w:bidi="ar"/>
        </w:rPr>
        <w:t>---各可调因子的变值权重（即可调部分的权重）为各可调因子在投标函投标总报价中所占的比例，且A+B</w:t>
      </w:r>
      <w:r>
        <w:rPr>
          <w:rFonts w:hint="eastAsia" w:ascii="宋体" w:hAnsi="宋体" w:cs="宋体"/>
          <w:color w:val="auto"/>
          <w:kern w:val="0"/>
          <w:szCs w:val="21"/>
          <w:highlight w:val="none"/>
          <w:vertAlign w:val="subscript"/>
          <w:lang w:bidi="ar"/>
        </w:rPr>
        <w:t>1</w:t>
      </w:r>
      <w:r>
        <w:rPr>
          <w:rFonts w:hint="eastAsia" w:ascii="宋体" w:hAnsi="宋体" w:cs="宋体"/>
          <w:color w:val="auto"/>
          <w:kern w:val="0"/>
          <w:szCs w:val="21"/>
          <w:highlight w:val="none"/>
          <w:lang w:bidi="ar"/>
        </w:rPr>
        <w:t>+B</w:t>
      </w:r>
      <w:r>
        <w:rPr>
          <w:rFonts w:hint="eastAsia" w:ascii="宋体" w:hAnsi="宋体" w:cs="宋体"/>
          <w:color w:val="auto"/>
          <w:kern w:val="0"/>
          <w:szCs w:val="21"/>
          <w:highlight w:val="none"/>
          <w:vertAlign w:val="subscript"/>
          <w:lang w:bidi="ar"/>
        </w:rPr>
        <w:t>2</w:t>
      </w:r>
      <w:r>
        <w:rPr>
          <w:rFonts w:hint="eastAsia" w:ascii="宋体" w:hAnsi="宋体" w:cs="宋体"/>
          <w:color w:val="auto"/>
          <w:kern w:val="0"/>
          <w:szCs w:val="21"/>
          <w:highlight w:val="none"/>
          <w:lang w:bidi="ar"/>
        </w:rPr>
        <w:t>+B</w:t>
      </w:r>
      <w:r>
        <w:rPr>
          <w:rFonts w:hint="eastAsia" w:ascii="宋体" w:hAnsi="宋体" w:cs="宋体"/>
          <w:color w:val="auto"/>
          <w:kern w:val="0"/>
          <w:szCs w:val="21"/>
          <w:highlight w:val="none"/>
          <w:vertAlign w:val="subscript"/>
          <w:lang w:bidi="ar"/>
        </w:rPr>
        <w:t>3</w:t>
      </w:r>
      <w:r>
        <w:rPr>
          <w:rFonts w:hint="eastAsia" w:ascii="宋体" w:hAnsi="宋体" w:cs="宋体"/>
          <w:color w:val="auto"/>
          <w:kern w:val="0"/>
          <w:szCs w:val="21"/>
          <w:highlight w:val="none"/>
          <w:lang w:bidi="ar"/>
        </w:rPr>
        <w:t>+……+B</w:t>
      </w:r>
      <w:r>
        <w:rPr>
          <w:rFonts w:hint="eastAsia" w:ascii="宋体" w:hAnsi="宋体" w:cs="宋体"/>
          <w:color w:val="auto"/>
          <w:kern w:val="0"/>
          <w:szCs w:val="21"/>
          <w:highlight w:val="none"/>
          <w:vertAlign w:val="subscript"/>
          <w:lang w:bidi="ar"/>
        </w:rPr>
        <w:t>n</w:t>
      </w:r>
      <w:r>
        <w:rPr>
          <w:rFonts w:hint="eastAsia" w:ascii="宋体" w:hAnsi="宋体" w:cs="宋体"/>
          <w:color w:val="auto"/>
          <w:kern w:val="0"/>
          <w:szCs w:val="21"/>
          <w:highlight w:val="none"/>
          <w:lang w:bidi="ar"/>
        </w:rPr>
        <w:t>=1；</w:t>
      </w:r>
    </w:p>
    <w:p w14:paraId="1751AA0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F</w:t>
      </w:r>
      <w:r>
        <w:rPr>
          <w:rFonts w:hint="eastAsia" w:ascii="宋体" w:hAnsi="宋体" w:cs="宋体"/>
          <w:color w:val="auto"/>
          <w:kern w:val="0"/>
          <w:szCs w:val="21"/>
          <w:highlight w:val="none"/>
          <w:vertAlign w:val="subscript"/>
          <w:lang w:bidi="ar"/>
        </w:rPr>
        <w:t>t1</w:t>
      </w:r>
      <w:r>
        <w:rPr>
          <w:rFonts w:hint="eastAsia" w:ascii="宋体" w:hAnsi="宋体" w:cs="宋体"/>
          <w:color w:val="auto"/>
          <w:kern w:val="0"/>
          <w:szCs w:val="21"/>
          <w:highlight w:val="none"/>
          <w:lang w:bidi="ar"/>
        </w:rPr>
        <w:t>；F</w:t>
      </w:r>
      <w:r>
        <w:rPr>
          <w:rFonts w:hint="eastAsia" w:ascii="宋体" w:hAnsi="宋体" w:cs="宋体"/>
          <w:color w:val="auto"/>
          <w:kern w:val="0"/>
          <w:szCs w:val="21"/>
          <w:highlight w:val="none"/>
          <w:vertAlign w:val="subscript"/>
          <w:lang w:bidi="ar"/>
        </w:rPr>
        <w:t>t2</w:t>
      </w:r>
      <w:r>
        <w:rPr>
          <w:rFonts w:hint="eastAsia" w:ascii="宋体" w:hAnsi="宋体" w:cs="宋体"/>
          <w:color w:val="auto"/>
          <w:kern w:val="0"/>
          <w:szCs w:val="21"/>
          <w:highlight w:val="none"/>
          <w:lang w:bidi="ar"/>
        </w:rPr>
        <w:t>；F</w:t>
      </w:r>
      <w:r>
        <w:rPr>
          <w:rFonts w:hint="eastAsia" w:ascii="宋体" w:hAnsi="宋体" w:cs="宋体"/>
          <w:color w:val="auto"/>
          <w:kern w:val="0"/>
          <w:szCs w:val="21"/>
          <w:highlight w:val="none"/>
          <w:vertAlign w:val="subscript"/>
          <w:lang w:bidi="ar"/>
        </w:rPr>
        <w:t>t3</w:t>
      </w:r>
      <w:r>
        <w:rPr>
          <w:rFonts w:hint="eastAsia" w:ascii="宋体" w:hAnsi="宋体" w:cs="宋体"/>
          <w:color w:val="auto"/>
          <w:kern w:val="0"/>
          <w:szCs w:val="21"/>
          <w:highlight w:val="none"/>
          <w:lang w:bidi="ar"/>
        </w:rPr>
        <w:t>；……F</w:t>
      </w:r>
      <w:r>
        <w:rPr>
          <w:rFonts w:hint="eastAsia" w:ascii="宋体" w:hAnsi="宋体" w:cs="宋体"/>
          <w:color w:val="auto"/>
          <w:kern w:val="0"/>
          <w:szCs w:val="21"/>
          <w:highlight w:val="none"/>
          <w:vertAlign w:val="subscript"/>
          <w:lang w:bidi="ar"/>
        </w:rPr>
        <w:t>tn</w:t>
      </w:r>
      <w:r>
        <w:rPr>
          <w:rFonts w:hint="eastAsia" w:ascii="宋体" w:hAnsi="宋体" w:cs="宋体"/>
          <w:color w:val="auto"/>
          <w:kern w:val="0"/>
          <w:szCs w:val="21"/>
          <w:highlight w:val="none"/>
          <w:lang w:bidi="ar"/>
        </w:rPr>
        <w:t>---各可调因子的当期价格指数，指付款证书相关周期最后一天的前42天的各可调因子的价格指数；</w:t>
      </w:r>
    </w:p>
    <w:p w14:paraId="290CDCE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F</w:t>
      </w:r>
      <w:r>
        <w:rPr>
          <w:rFonts w:hint="eastAsia" w:ascii="宋体" w:hAnsi="宋体" w:cs="宋体"/>
          <w:color w:val="auto"/>
          <w:kern w:val="0"/>
          <w:szCs w:val="21"/>
          <w:highlight w:val="none"/>
          <w:vertAlign w:val="subscript"/>
          <w:lang w:bidi="ar"/>
        </w:rPr>
        <w:t>01</w:t>
      </w:r>
      <w:r>
        <w:rPr>
          <w:rFonts w:hint="eastAsia" w:ascii="宋体" w:hAnsi="宋体" w:cs="宋体"/>
          <w:color w:val="auto"/>
          <w:kern w:val="0"/>
          <w:szCs w:val="21"/>
          <w:highlight w:val="none"/>
          <w:lang w:bidi="ar"/>
        </w:rPr>
        <w:t>；F</w:t>
      </w:r>
      <w:r>
        <w:rPr>
          <w:rFonts w:hint="eastAsia" w:ascii="宋体" w:hAnsi="宋体" w:cs="宋体"/>
          <w:color w:val="auto"/>
          <w:kern w:val="0"/>
          <w:szCs w:val="21"/>
          <w:highlight w:val="none"/>
          <w:vertAlign w:val="subscript"/>
          <w:lang w:bidi="ar"/>
        </w:rPr>
        <w:t>02</w:t>
      </w:r>
      <w:r>
        <w:rPr>
          <w:rFonts w:hint="eastAsia" w:ascii="宋体" w:hAnsi="宋体" w:cs="宋体"/>
          <w:color w:val="auto"/>
          <w:kern w:val="0"/>
          <w:szCs w:val="21"/>
          <w:highlight w:val="none"/>
          <w:lang w:bidi="ar"/>
        </w:rPr>
        <w:t>；F</w:t>
      </w:r>
      <w:r>
        <w:rPr>
          <w:rFonts w:hint="eastAsia" w:ascii="宋体" w:hAnsi="宋体" w:cs="宋体"/>
          <w:color w:val="auto"/>
          <w:kern w:val="0"/>
          <w:szCs w:val="21"/>
          <w:highlight w:val="none"/>
          <w:vertAlign w:val="subscript"/>
          <w:lang w:bidi="ar"/>
        </w:rPr>
        <w:t>03</w:t>
      </w:r>
      <w:r>
        <w:rPr>
          <w:rFonts w:hint="eastAsia" w:ascii="宋体" w:hAnsi="宋体" w:cs="宋体"/>
          <w:color w:val="auto"/>
          <w:kern w:val="0"/>
          <w:szCs w:val="21"/>
          <w:highlight w:val="none"/>
          <w:lang w:bidi="ar"/>
        </w:rPr>
        <w:t>；……F</w:t>
      </w:r>
      <w:r>
        <w:rPr>
          <w:rFonts w:hint="eastAsia" w:ascii="宋体" w:hAnsi="宋体" w:cs="宋体"/>
          <w:color w:val="auto"/>
          <w:kern w:val="0"/>
          <w:szCs w:val="21"/>
          <w:highlight w:val="none"/>
          <w:vertAlign w:val="subscript"/>
          <w:lang w:bidi="ar"/>
        </w:rPr>
        <w:t>0n</w:t>
      </w:r>
      <w:r>
        <w:rPr>
          <w:rFonts w:hint="eastAsia" w:ascii="宋体" w:hAnsi="宋体" w:cs="宋体"/>
          <w:color w:val="auto"/>
          <w:kern w:val="0"/>
          <w:szCs w:val="21"/>
          <w:highlight w:val="none"/>
          <w:lang w:bidi="ar"/>
        </w:rPr>
        <w:t>---各可调因子的基本价格指数，指基准日期的各可调因子的价格指数。</w:t>
      </w:r>
    </w:p>
    <w:p w14:paraId="7E5ABA2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以上价格调整公式中的各可调因子、定值和变值权重，以及基本价格指数及其来源在投标函附录价格指数和权重表中约定。价格指数应首先采用投标函附录中载明的有关部门提供的价格指数，缺乏上述价格指数时，可采用有关部门提供的价格代替。</w:t>
      </w:r>
    </w:p>
    <w:p w14:paraId="23BD366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（2）暂时确定调整差额</w:t>
      </w:r>
    </w:p>
    <w:p w14:paraId="46F1DAC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在计算调整差额时得不到当期价格指数的，可暂用上一次价格指数计算，并在以后的付款中再按实际价格指数进行调整。</w:t>
      </w:r>
    </w:p>
    <w:p w14:paraId="1766585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（3）权重的调整</w:t>
      </w:r>
    </w:p>
    <w:p w14:paraId="4A18C03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按第13.1款[发包人变更权]约定的变更导致原定合同中的权重不合理的，由工程师与承包人和发包人协商后进行调整。</w:t>
      </w:r>
    </w:p>
    <w:p w14:paraId="76A16BA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（4）承包人原因工期延误后的价格调整</w:t>
      </w:r>
    </w:p>
    <w:p w14:paraId="77E882F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因承包人原因未在约定的工期内竣工的，则对原约定竣工日期后继续施工的工程，在使用本款第(1)项价格调整公式时，应采用原约定竣工日期与实际竣工日期的两个价格指数中较低的一个作为当期价格指数。</w:t>
      </w:r>
    </w:p>
    <w:p w14:paraId="2242A9A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（5）发包人引起的工期延误后的价格调整</w:t>
      </w:r>
    </w:p>
    <w:p w14:paraId="3E4ADED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由于发包人原因未在约定的工期内竣工的，则对原约定竣工日期后继续施工的工程，在使用本款第（1）目价格调整公式时，应采用原约定竣工日期与实际竣工日期的两个价格指数中较高的一个作为当期价格指数。</w:t>
      </w:r>
    </w:p>
    <w:p w14:paraId="71530378">
      <w:pPr>
        <w:widowControl/>
        <w:wordWrap w:val="0"/>
        <w:topLinePunct/>
        <w:autoSpaceDE w:val="0"/>
        <w:autoSpaceDN w:val="0"/>
        <w:adjustRightInd w:val="0"/>
        <w:snapToGrid w:val="0"/>
        <w:spacing w:after="163" w:afterLines="50" w:line="360" w:lineRule="auto"/>
        <w:ind w:left="480"/>
        <w:rPr>
          <w:rFonts w:ascii="宋体" w:hAnsi="宋体" w:cs="宋体"/>
          <w:color w:val="auto"/>
          <w:highlight w:val="none"/>
        </w:rPr>
      </w:pPr>
      <w:r>
        <w:rPr>
          <w:rFonts w:hint="eastAsia" w:ascii="宋体" w:hAnsi="宋体" w:cs="宋体"/>
          <w:color w:val="auto"/>
          <w:szCs w:val="21"/>
          <w:highlight w:val="none"/>
          <w:lang w:bidi="ar"/>
        </w:rPr>
        <w:t>13.8.2.2未列入</w:t>
      </w:r>
      <w:bookmarkStart w:id="1536" w:name="_Hlk24494865"/>
      <w:r>
        <w:rPr>
          <w:rFonts w:hint="eastAsia" w:ascii="宋体" w:hAnsi="宋体" w:cs="宋体"/>
          <w:color w:val="auto"/>
          <w:szCs w:val="21"/>
          <w:highlight w:val="none"/>
          <w:lang w:bidi="ar"/>
        </w:rPr>
        <w:t>《价格指数权重表》</w:t>
      </w:r>
      <w:bookmarkEnd w:id="1536"/>
      <w:r>
        <w:rPr>
          <w:rFonts w:hint="eastAsia" w:ascii="宋体" w:hAnsi="宋体" w:cs="宋体"/>
          <w:color w:val="auto"/>
          <w:szCs w:val="21"/>
          <w:highlight w:val="none"/>
          <w:lang w:bidi="ar"/>
        </w:rPr>
        <w:t>的费用不因市场变化而调整。</w:t>
      </w:r>
    </w:p>
    <w:p w14:paraId="480F5AB6">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13.8.3双方约定采用其他方式调整合同价款的，以专用合同条件约定为准。</w:t>
      </w:r>
    </w:p>
    <w:p w14:paraId="766297D3">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537" w:name="_Ref531955880"/>
      <w:bookmarkEnd w:id="1537"/>
      <w:bookmarkStart w:id="1538" w:name="_Toc20171832"/>
      <w:bookmarkEnd w:id="1538"/>
      <w:bookmarkStart w:id="1539" w:name="_Ref531955885"/>
      <w:bookmarkStart w:id="1540" w:name="_Toc58860271"/>
      <w:r>
        <w:rPr>
          <w:rFonts w:hint="eastAsia" w:ascii="宋体" w:hAnsi="宋体" w:cs="宋体"/>
          <w:color w:val="auto"/>
          <w:kern w:val="0"/>
          <w:szCs w:val="21"/>
          <w:highlight w:val="none"/>
          <w:lang w:bidi="ar"/>
        </w:rPr>
        <w:t>第1</w:t>
      </w:r>
      <w:bookmarkEnd w:id="1539"/>
      <w:r>
        <w:rPr>
          <w:rFonts w:hint="eastAsia" w:ascii="宋体" w:hAnsi="宋体" w:cs="宋体"/>
          <w:color w:val="auto"/>
          <w:kern w:val="0"/>
          <w:szCs w:val="21"/>
          <w:highlight w:val="none"/>
          <w:lang w:bidi="ar"/>
        </w:rPr>
        <w:t>4条  合同价格与支付</w:t>
      </w:r>
      <w:bookmarkEnd w:id="1540"/>
      <w:r>
        <w:rPr>
          <w:rFonts w:hint="eastAsia" w:ascii="宋体" w:hAnsi="宋体" w:cs="宋体"/>
          <w:color w:val="auto"/>
          <w:kern w:val="0"/>
          <w:szCs w:val="21"/>
          <w:highlight w:val="none"/>
          <w:lang w:bidi="ar"/>
        </w:rPr>
        <w:t xml:space="preserve"> </w:t>
      </w:r>
    </w:p>
    <w:p w14:paraId="6845F58F">
      <w:pPr>
        <w:widowControl/>
        <w:wordWrap w:val="0"/>
        <w:topLinePunct/>
        <w:adjustRightInd w:val="0"/>
        <w:snapToGrid w:val="0"/>
        <w:spacing w:after="163" w:afterLines="50" w:line="360" w:lineRule="auto"/>
        <w:outlineLvl w:val="2"/>
        <w:rPr>
          <w:rFonts w:ascii="宋体" w:hAnsi="宋体" w:cs="宋体"/>
          <w:color w:val="auto"/>
          <w:highlight w:val="none"/>
        </w:rPr>
      </w:pPr>
      <w:bookmarkStart w:id="1541" w:name="_Ref4431531"/>
      <w:bookmarkEnd w:id="1541"/>
      <w:bookmarkStart w:id="1542" w:name="_Toc20171833"/>
      <w:bookmarkEnd w:id="1542"/>
      <w:bookmarkStart w:id="1543" w:name="_Ref4431521"/>
      <w:bookmarkStart w:id="1544" w:name="_Toc58860272"/>
      <w:bookmarkStart w:id="1545" w:name="_Toc25109"/>
      <w:bookmarkStart w:id="1546" w:name="_Toc51766685"/>
      <w:r>
        <w:rPr>
          <w:rFonts w:hint="eastAsia" w:ascii="宋体" w:hAnsi="宋体" w:cs="宋体"/>
          <w:color w:val="auto"/>
          <w:szCs w:val="21"/>
          <w:highlight w:val="none"/>
          <w:lang w:bidi="ar"/>
        </w:rPr>
        <w:t>1</w:t>
      </w:r>
      <w:bookmarkEnd w:id="1543"/>
      <w:r>
        <w:rPr>
          <w:rFonts w:hint="eastAsia" w:ascii="宋体" w:hAnsi="宋体" w:cs="宋体"/>
          <w:color w:val="auto"/>
          <w:szCs w:val="21"/>
          <w:highlight w:val="none"/>
          <w:lang w:bidi="ar"/>
        </w:rPr>
        <w:t>4.1  合同价格形式</w:t>
      </w:r>
      <w:bookmarkEnd w:id="1544"/>
      <w:bookmarkEnd w:id="1545"/>
      <w:bookmarkEnd w:id="1546"/>
    </w:p>
    <w:p w14:paraId="337C7934">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14.1.1除专用合同条件中另有约定外，本合同为总价合同，除根据第13条[变更与调整]，以及合同中其它相关增减金额的约定进行调整外，合同价格不做调整。</w:t>
      </w:r>
    </w:p>
    <w:p w14:paraId="66F29740">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14.1.2除专用合同条件另有约定外：</w:t>
      </w:r>
    </w:p>
    <w:p w14:paraId="6A83606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（1）工程款的支付应以合同协议书约定的签约合同价格为基础，按照合同约定进行调整；</w:t>
      </w:r>
    </w:p>
    <w:p w14:paraId="14E1B10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（2）承包人应支付根据法律规定或合同约定应由其支付的各项税费，除第13.7款[法律变化引起的调整]约定外，合同价格不应因任何这些税费进行调整；</w:t>
      </w:r>
    </w:p>
    <w:p w14:paraId="41B62A4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价格清单列出的任何数量仅为估算的工作量，不得将其视为要求承包人实施的工程的实际或准确的工作量。在价格清单中列出的任何工作量和价格数据应仅限用于变更和支付的参考资料，而不能用于其他目的。</w:t>
      </w:r>
    </w:p>
    <w:p w14:paraId="15F81015">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14.1.3合同约定工程的某部分按照实际完成的工程量进行支付的，应按照专用合同条件的约定进行计量和估价，并据此调整合同价格。</w:t>
      </w:r>
    </w:p>
    <w:p w14:paraId="72EBE1CD">
      <w:pPr>
        <w:widowControl/>
        <w:wordWrap w:val="0"/>
        <w:topLinePunct/>
        <w:adjustRightInd w:val="0"/>
        <w:snapToGrid w:val="0"/>
        <w:spacing w:after="163" w:afterLines="50" w:line="360" w:lineRule="auto"/>
        <w:outlineLvl w:val="2"/>
        <w:rPr>
          <w:rFonts w:ascii="宋体" w:hAnsi="宋体" w:cs="宋体"/>
          <w:color w:val="auto"/>
          <w:highlight w:val="none"/>
        </w:rPr>
      </w:pPr>
      <w:bookmarkStart w:id="1547" w:name="_Toc20171834"/>
      <w:bookmarkEnd w:id="1547"/>
      <w:bookmarkStart w:id="1548" w:name="_Ref531956884"/>
      <w:bookmarkEnd w:id="1548"/>
      <w:bookmarkStart w:id="1549" w:name="_Ref531956881"/>
      <w:bookmarkStart w:id="1550" w:name="_Toc51766686"/>
      <w:bookmarkStart w:id="1551" w:name="_Toc58860273"/>
      <w:bookmarkStart w:id="1552" w:name="_Toc28221"/>
      <w:r>
        <w:rPr>
          <w:rFonts w:hint="eastAsia" w:ascii="宋体" w:hAnsi="宋体" w:cs="宋体"/>
          <w:color w:val="auto"/>
          <w:szCs w:val="21"/>
          <w:highlight w:val="none"/>
          <w:lang w:bidi="ar"/>
        </w:rPr>
        <w:t>1</w:t>
      </w:r>
      <w:bookmarkEnd w:id="1549"/>
      <w:r>
        <w:rPr>
          <w:rFonts w:hint="eastAsia" w:ascii="宋体" w:hAnsi="宋体" w:cs="宋体"/>
          <w:color w:val="auto"/>
          <w:szCs w:val="21"/>
          <w:highlight w:val="none"/>
          <w:lang w:bidi="ar"/>
        </w:rPr>
        <w:t>4.2  预付款</w:t>
      </w:r>
      <w:bookmarkEnd w:id="1550"/>
      <w:bookmarkEnd w:id="1551"/>
      <w:bookmarkEnd w:id="1552"/>
    </w:p>
    <w:p w14:paraId="14B770E7">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553" w:name="_Ref531956894"/>
      <w:bookmarkEnd w:id="1553"/>
      <w:bookmarkStart w:id="1554" w:name="_Ref4623383"/>
      <w:r>
        <w:rPr>
          <w:rFonts w:hint="eastAsia" w:ascii="宋体" w:hAnsi="宋体" w:cs="宋体"/>
          <w:color w:val="auto"/>
          <w:szCs w:val="21"/>
          <w:highlight w:val="none"/>
          <w:lang w:bidi="ar"/>
        </w:rPr>
        <w:t>1</w:t>
      </w:r>
      <w:bookmarkEnd w:id="1554"/>
      <w:r>
        <w:rPr>
          <w:rFonts w:hint="eastAsia" w:ascii="宋体" w:hAnsi="宋体" w:cs="宋体"/>
          <w:color w:val="auto"/>
          <w:szCs w:val="21"/>
          <w:highlight w:val="none"/>
          <w:lang w:bidi="ar"/>
        </w:rPr>
        <w:t>4.2.1预付款支付</w:t>
      </w:r>
    </w:p>
    <w:p w14:paraId="5D54A0B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预付款的额度和支付按照专用合同条件约定执行。预付款应当专用于承包人为合同工程的设计和工程实施购置材料、工程设备、施工设备、修建临时设施以及组织施工队伍进场等合同工作。</w:t>
      </w:r>
    </w:p>
    <w:p w14:paraId="60513D1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除专用合同条件另有约定外，预付款在进度付款中同比例扣回。在颁发工程接收证书前，提前解除合同的，尚未扣完的预付款应与合同价款一并结算。</w:t>
      </w:r>
    </w:p>
    <w:p w14:paraId="4A2015E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发包人逾期支付预付款超过7天的，承包人有权向发包人发出要求预付的催告通知，发包人收到通知后7天内仍未支付的，承包人有权暂停施工，并按第1</w:t>
      </w:r>
      <w:r>
        <w:rPr>
          <w:rFonts w:ascii="宋体" w:hAnsi="宋体" w:cs="宋体"/>
          <w:color w:val="auto"/>
          <w:kern w:val="0"/>
          <w:szCs w:val="21"/>
          <w:highlight w:val="none"/>
          <w:lang w:bidi="ar"/>
        </w:rPr>
        <w:t>5</w:t>
      </w:r>
      <w:r>
        <w:rPr>
          <w:rFonts w:hint="eastAsia" w:ascii="宋体" w:hAnsi="宋体" w:cs="宋体"/>
          <w:color w:val="auto"/>
          <w:kern w:val="0"/>
          <w:szCs w:val="21"/>
          <w:highlight w:val="none"/>
          <w:lang w:bidi="ar"/>
        </w:rPr>
        <w:t>.1.1项[发包人违约的情形]执行。</w:t>
      </w:r>
    </w:p>
    <w:p w14:paraId="69ED42B3">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555" w:name="_Ref4797624"/>
      <w:bookmarkEnd w:id="1555"/>
      <w:bookmarkStart w:id="1556" w:name="_Ref531956907"/>
      <w:r>
        <w:rPr>
          <w:rFonts w:hint="eastAsia" w:ascii="宋体" w:hAnsi="宋体" w:cs="宋体"/>
          <w:color w:val="auto"/>
          <w:szCs w:val="21"/>
          <w:highlight w:val="none"/>
          <w:lang w:bidi="ar"/>
        </w:rPr>
        <w:t>1</w:t>
      </w:r>
      <w:bookmarkEnd w:id="1556"/>
      <w:r>
        <w:rPr>
          <w:rFonts w:hint="eastAsia" w:ascii="宋体" w:hAnsi="宋体" w:cs="宋体"/>
          <w:color w:val="auto"/>
          <w:szCs w:val="21"/>
          <w:highlight w:val="none"/>
          <w:lang w:bidi="ar"/>
        </w:rPr>
        <w:t>4.2.2预付款担保</w:t>
      </w:r>
    </w:p>
    <w:p w14:paraId="2044FD6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指示承包人提供预付款担保的，承包人应在发包人支付预付款7天前提供预付款担保，专用合同条件另有约定除外。预付款担保可采用银行保函、担保公司担保等形式，具体由合同当事人在专用合同条件中约定。在预付款完全扣回之前，承包人应保证预付款担保持续有效。</w:t>
      </w:r>
    </w:p>
    <w:p w14:paraId="5869C5F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发包人在工程款中逐期扣回预付款后，预付款担保额度应相应减少，但剩余的预付款担保金额不得低于未被扣回的预付款金额。</w:t>
      </w:r>
    </w:p>
    <w:p w14:paraId="143B382D">
      <w:pPr>
        <w:widowControl/>
        <w:wordWrap w:val="0"/>
        <w:topLinePunct/>
        <w:adjustRightInd w:val="0"/>
        <w:snapToGrid w:val="0"/>
        <w:spacing w:after="163" w:afterLines="50" w:line="360" w:lineRule="auto"/>
        <w:outlineLvl w:val="2"/>
        <w:rPr>
          <w:rFonts w:ascii="宋体" w:hAnsi="宋体" w:cs="宋体"/>
          <w:color w:val="auto"/>
          <w:highlight w:val="none"/>
        </w:rPr>
      </w:pPr>
      <w:bookmarkStart w:id="1557" w:name="_Toc20171835"/>
      <w:bookmarkEnd w:id="1557"/>
      <w:bookmarkStart w:id="1558" w:name="_Toc4784195"/>
      <w:bookmarkEnd w:id="1558"/>
      <w:bookmarkStart w:id="1559" w:name="_Ref531956963"/>
      <w:bookmarkEnd w:id="1559"/>
      <w:bookmarkStart w:id="1560" w:name="_Toc4784193"/>
      <w:bookmarkEnd w:id="1560"/>
      <w:bookmarkStart w:id="1561" w:name="_Ref531956967"/>
      <w:bookmarkEnd w:id="1561"/>
      <w:bookmarkStart w:id="1562" w:name="_Ref4623398"/>
      <w:bookmarkEnd w:id="1562"/>
      <w:bookmarkStart w:id="1563" w:name="_Toc4784194"/>
      <w:bookmarkStart w:id="1564" w:name="_Toc58860274"/>
      <w:bookmarkStart w:id="1565" w:name="_Toc29756"/>
      <w:bookmarkStart w:id="1566" w:name="_Toc51766687"/>
      <w:r>
        <w:rPr>
          <w:rFonts w:hint="eastAsia" w:ascii="宋体" w:hAnsi="宋体" w:cs="宋体"/>
          <w:color w:val="auto"/>
          <w:szCs w:val="21"/>
          <w:highlight w:val="none"/>
          <w:lang w:bidi="ar"/>
        </w:rPr>
        <w:t>1</w:t>
      </w:r>
      <w:bookmarkEnd w:id="1563"/>
      <w:r>
        <w:rPr>
          <w:rFonts w:hint="eastAsia" w:ascii="宋体" w:hAnsi="宋体" w:cs="宋体"/>
          <w:color w:val="auto"/>
          <w:szCs w:val="21"/>
          <w:highlight w:val="none"/>
          <w:lang w:bidi="ar"/>
        </w:rPr>
        <w:t>4.3  工程进度款</w:t>
      </w:r>
      <w:bookmarkEnd w:id="1564"/>
      <w:bookmarkEnd w:id="1565"/>
      <w:bookmarkEnd w:id="1566"/>
    </w:p>
    <w:p w14:paraId="3E1AA47A">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567" w:name="_Ref531956987"/>
      <w:bookmarkEnd w:id="1567"/>
      <w:bookmarkStart w:id="1568" w:name="_Ref532679934"/>
      <w:r>
        <w:rPr>
          <w:rFonts w:hint="eastAsia" w:ascii="宋体" w:hAnsi="宋体" w:cs="宋体"/>
          <w:color w:val="auto"/>
          <w:szCs w:val="21"/>
          <w:highlight w:val="none"/>
          <w:lang w:bidi="ar"/>
        </w:rPr>
        <w:t>1</w:t>
      </w:r>
      <w:bookmarkEnd w:id="1568"/>
      <w:r>
        <w:rPr>
          <w:rFonts w:hint="eastAsia" w:ascii="宋体" w:hAnsi="宋体" w:cs="宋体"/>
          <w:color w:val="auto"/>
          <w:szCs w:val="21"/>
          <w:highlight w:val="none"/>
          <w:lang w:bidi="ar"/>
        </w:rPr>
        <w:t xml:space="preserve">4.3.1工程进度付款申请 </w:t>
      </w:r>
    </w:p>
    <w:p w14:paraId="0CD188B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（1）人工费的申请</w:t>
      </w:r>
    </w:p>
    <w:p w14:paraId="026BDB5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人工费应按月支付，工程师应在收到承包人人工费付款申请单以及相关资料后7天内完成审查并报送发包人，发包人应在收到后7天内完成审批并向承包人签发人工费支付证书，发包人应在人工费支付证书签发后7天内完成支付。已支付的人工费部分，发包人支付进度款时予以相应扣除。</w:t>
      </w:r>
    </w:p>
    <w:p w14:paraId="33AEA01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（2）除专用合同条件另有约定外，承包人应在每月月末向工程师提交进度付款申请单，该进度付款申请单应包括下列内容：</w:t>
      </w:r>
    </w:p>
    <w:p w14:paraId="379F2D72">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569" w:name="_Ref24496054"/>
      <w:bookmarkEnd w:id="1569"/>
      <w:r>
        <w:rPr>
          <w:rFonts w:hint="eastAsia" w:ascii="宋体" w:hAnsi="宋体" w:cs="宋体"/>
          <w:color w:val="auto"/>
          <w:kern w:val="0"/>
          <w:szCs w:val="21"/>
          <w:highlight w:val="none"/>
          <w:lang w:bidi="ar"/>
        </w:rPr>
        <w:t>1）截至本次付款周期内已完成工作对应的金额；</w:t>
      </w:r>
    </w:p>
    <w:p w14:paraId="7366FC8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2）扣除依据本款第（1）目约定中已扣除的人工费金额；</w:t>
      </w:r>
    </w:p>
    <w:p w14:paraId="1918BE0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3）根据第13条[变更与调整]应增加和扣减的变更金额；</w:t>
      </w:r>
    </w:p>
    <w:p w14:paraId="23CCB44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4）根据第14.2款[预付款]约定应支付的预付款和扣减的返还预付款；</w:t>
      </w:r>
    </w:p>
    <w:p w14:paraId="26C9DB2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5）根据第14.6.2项[质量保证金的预留]约定应预留的质量保证金金额；</w:t>
      </w:r>
    </w:p>
    <w:p w14:paraId="155FEB3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6）根据第19条[索赔]应增加和扣减的索赔金额；</w:t>
      </w:r>
    </w:p>
    <w:p w14:paraId="1434CB4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7）对已签发的进度款支付证书中出现错误的修正，应在本次进度付款中支付或扣除的金额；</w:t>
      </w:r>
    </w:p>
    <w:p w14:paraId="04B6CA7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8）根据合同约定应增加和扣减的其他金额。</w:t>
      </w:r>
    </w:p>
    <w:p w14:paraId="52F7CD77">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570" w:name="_Ref531957608"/>
      <w:bookmarkEnd w:id="1570"/>
      <w:r>
        <w:rPr>
          <w:rFonts w:hint="eastAsia" w:ascii="宋体" w:hAnsi="宋体" w:cs="宋体"/>
          <w:color w:val="auto"/>
          <w:szCs w:val="21"/>
          <w:highlight w:val="none"/>
          <w:lang w:bidi="ar"/>
        </w:rPr>
        <w:t>14.3.2进度付款审核和支付</w:t>
      </w:r>
    </w:p>
    <w:p w14:paraId="018DF48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工程师应在收到承包人进度付款申请单以及相关资料后7天内完成审查并报送发包人，发包人应在收到后7天内完成审批并向承包人签发进度款支付证书。发包人逾期（包括因工程师原因延误报送的时间）未完成审批且未提出异议的，视为已签发进度款支付证书。</w:t>
      </w:r>
    </w:p>
    <w:p w14:paraId="5731D75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师对承包人的进度付款申请单有异议的，有权要求承包人修正和提供补充资料，承包人应提交修正后的进度付款申请单。工程师应在收到承包人修正后的进度付款申请单及相关资料后7天内完成审查并报送发包人，发包人应在收到工程师报送的进度付款申请单及相关资料后7天内，向承包人签发无异议部分的进度款支付证书。存在争议的部分，按照第20条[争议解决]的约定处理。</w:t>
      </w:r>
    </w:p>
    <w:p w14:paraId="7CF8220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除专用合同条件另有约定外，发包人应在进度款支付证书签发后14天内完成支付，发包人逾期支付进度款的，按照贷款市场报价利率（LPR）支付利息；逾期支付超过56天的，按照贷款市场报价利率（LPR）的两倍支付利息。 </w:t>
      </w:r>
    </w:p>
    <w:p w14:paraId="5CC428C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发包人签发进度款支付证书，不表明发包人已同意、批准或接受了承包人完成的相应部分的工作。</w:t>
      </w:r>
    </w:p>
    <w:p w14:paraId="35B61DCE">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571" w:name="_Ref531957023"/>
      <w:bookmarkEnd w:id="1571"/>
      <w:r>
        <w:rPr>
          <w:rFonts w:hint="eastAsia" w:ascii="宋体" w:hAnsi="宋体" w:cs="宋体"/>
          <w:color w:val="auto"/>
          <w:szCs w:val="21"/>
          <w:highlight w:val="none"/>
          <w:lang w:bidi="ar"/>
        </w:rPr>
        <w:t>14.3.3进度付款的修正</w:t>
      </w:r>
    </w:p>
    <w:p w14:paraId="6939773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在对已签发的进度款支付证书进行阶段汇总和复核中发现错误、遗漏或重复的，发包人和承包人均有权提出修正申请。经发包人和承包人同意的修正，应在下期进度付款中支付或扣除。</w:t>
      </w:r>
    </w:p>
    <w:p w14:paraId="774E905A">
      <w:pPr>
        <w:widowControl/>
        <w:wordWrap w:val="0"/>
        <w:topLinePunct/>
        <w:adjustRightInd w:val="0"/>
        <w:snapToGrid w:val="0"/>
        <w:spacing w:after="163" w:afterLines="50" w:line="360" w:lineRule="auto"/>
        <w:outlineLvl w:val="2"/>
        <w:rPr>
          <w:rFonts w:ascii="宋体" w:hAnsi="宋体" w:cs="宋体"/>
          <w:color w:val="auto"/>
          <w:highlight w:val="none"/>
        </w:rPr>
      </w:pPr>
      <w:bookmarkStart w:id="1572" w:name="_Ref536647822"/>
      <w:bookmarkEnd w:id="1572"/>
      <w:bookmarkStart w:id="1573" w:name="_Ref4538578"/>
      <w:bookmarkEnd w:id="1573"/>
      <w:bookmarkStart w:id="1574" w:name="_Toc20171836"/>
      <w:bookmarkEnd w:id="1574"/>
      <w:bookmarkStart w:id="1575" w:name="_Ref536647814"/>
      <w:bookmarkStart w:id="1576" w:name="_Toc58860275"/>
      <w:bookmarkStart w:id="1577" w:name="_Toc51766688"/>
      <w:bookmarkStart w:id="1578" w:name="_Toc22414"/>
      <w:r>
        <w:rPr>
          <w:rFonts w:hint="eastAsia" w:ascii="宋体" w:hAnsi="宋体" w:cs="宋体"/>
          <w:color w:val="auto"/>
          <w:szCs w:val="21"/>
          <w:highlight w:val="none"/>
          <w:lang w:bidi="ar"/>
        </w:rPr>
        <w:t>1</w:t>
      </w:r>
      <w:bookmarkEnd w:id="1575"/>
      <w:r>
        <w:rPr>
          <w:rFonts w:hint="eastAsia" w:ascii="宋体" w:hAnsi="宋体" w:cs="宋体"/>
          <w:color w:val="auto"/>
          <w:szCs w:val="21"/>
          <w:highlight w:val="none"/>
          <w:lang w:bidi="ar"/>
        </w:rPr>
        <w:t>4.4  付款计划表</w:t>
      </w:r>
      <w:bookmarkEnd w:id="1576"/>
      <w:bookmarkEnd w:id="1577"/>
      <w:bookmarkEnd w:id="1578"/>
    </w:p>
    <w:p w14:paraId="75BD9143">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579" w:name="_Ref4570974"/>
      <w:bookmarkEnd w:id="1579"/>
      <w:r>
        <w:rPr>
          <w:rFonts w:hint="eastAsia" w:ascii="宋体" w:hAnsi="宋体" w:cs="宋体"/>
          <w:color w:val="auto"/>
          <w:szCs w:val="21"/>
          <w:highlight w:val="none"/>
          <w:lang w:bidi="ar"/>
        </w:rPr>
        <w:t>14.4.1付款计划表的编制要求</w:t>
      </w:r>
    </w:p>
    <w:p w14:paraId="627074B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除专用合同条件另有约定外，付款计划表按如下要求编制：</w:t>
      </w:r>
    </w:p>
    <w:p w14:paraId="3641E73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（1）付款计划表中所列的每期付款金额，应为第14.3.1项[工程进度付款申请]每期进度款的估算金额；</w:t>
      </w:r>
    </w:p>
    <w:p w14:paraId="39F9CF9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（2）实际进度与项目进度计划不一致的，合同当事人可按照第3.6款[商定或确定]修改付款计划表；</w:t>
      </w:r>
    </w:p>
    <w:p w14:paraId="0DBF914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（3）不采用付款计划表的，承包人应向工程师提交按季度编制的支付估算付款计划表，用于支付参考。</w:t>
      </w:r>
    </w:p>
    <w:p w14:paraId="2138023C">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580" w:name="_Ref4571011"/>
      <w:bookmarkEnd w:id="1580"/>
      <w:r>
        <w:rPr>
          <w:rFonts w:hint="eastAsia" w:ascii="宋体" w:hAnsi="宋体" w:cs="宋体"/>
          <w:color w:val="auto"/>
          <w:szCs w:val="21"/>
          <w:highlight w:val="none"/>
          <w:lang w:bidi="ar"/>
        </w:rPr>
        <w:t>14.4.2付款计划表的编制与审批</w:t>
      </w:r>
    </w:p>
    <w:p w14:paraId="4948A9D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除专用合同条件另有约定外，承包人应根据第8.4款[项目进度计划]约定的项目进度计划、签约合同价和工程量等因素对总价合同进行分解，确定付款期数、计划每期达到的主要形象进度和（或）完成的主要计划工程量（含设计、采购、施工、竣工试验和竣工后试验等）等目标任务，编制付款计划表。其中人工费应按月确定付款期和付款计划。承包人应当在收到工程师和发包人批准的项目进度计划后7天内，将付款计划表及编制付款计划表的支持性资料报送工程师。</w:t>
      </w:r>
    </w:p>
    <w:p w14:paraId="10B9318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（2）工程师应在收到付款计划表后7天内完成审核并报送发包人。发包人应在收到经工程师审核的付款计划表后7天内完成审批，经发包人批准的付款计划表为有约束力的付款计划表。</w:t>
      </w:r>
    </w:p>
    <w:p w14:paraId="5446FC2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（3）发包人逾期未完成付款计划表审批的，也未及时要求承包人进行修正和提供补充资料的，则承包人提交的付款计划表视为已经获得发包人批准。</w:t>
      </w:r>
    </w:p>
    <w:p w14:paraId="6121960A">
      <w:pPr>
        <w:widowControl/>
        <w:wordWrap w:val="0"/>
        <w:topLinePunct/>
        <w:adjustRightInd w:val="0"/>
        <w:snapToGrid w:val="0"/>
        <w:spacing w:after="163" w:afterLines="50" w:line="360" w:lineRule="auto"/>
        <w:outlineLvl w:val="2"/>
        <w:rPr>
          <w:rFonts w:ascii="宋体" w:hAnsi="宋体" w:cs="宋体"/>
          <w:color w:val="auto"/>
          <w:highlight w:val="none"/>
        </w:rPr>
      </w:pPr>
      <w:bookmarkStart w:id="1581" w:name="_Ref4538634"/>
      <w:bookmarkEnd w:id="1581"/>
      <w:bookmarkStart w:id="1582" w:name="_Toc20171837"/>
      <w:bookmarkStart w:id="1583" w:name="_Toc58860276"/>
      <w:bookmarkStart w:id="1584" w:name="_Toc51766689"/>
      <w:bookmarkStart w:id="1585" w:name="_Toc12185"/>
      <w:r>
        <w:rPr>
          <w:rFonts w:hint="eastAsia" w:ascii="宋体" w:hAnsi="宋体" w:cs="宋体"/>
          <w:color w:val="auto"/>
          <w:szCs w:val="21"/>
          <w:highlight w:val="none"/>
          <w:lang w:bidi="ar"/>
        </w:rPr>
        <w:t xml:space="preserve">14.5 </w:t>
      </w:r>
      <w:bookmarkEnd w:id="1582"/>
      <w:r>
        <w:rPr>
          <w:rFonts w:hint="eastAsia" w:ascii="宋体" w:hAnsi="宋体" w:cs="宋体"/>
          <w:color w:val="auto"/>
          <w:szCs w:val="21"/>
          <w:highlight w:val="none"/>
          <w:lang w:bidi="ar"/>
        </w:rPr>
        <w:t xml:space="preserve"> 竣工结算</w:t>
      </w:r>
      <w:bookmarkEnd w:id="1583"/>
      <w:bookmarkEnd w:id="1584"/>
      <w:bookmarkEnd w:id="1585"/>
    </w:p>
    <w:p w14:paraId="28194D58">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586" w:name="_Ref4571361"/>
      <w:bookmarkEnd w:id="1586"/>
      <w:r>
        <w:rPr>
          <w:rFonts w:hint="eastAsia" w:ascii="宋体" w:hAnsi="宋体" w:cs="宋体"/>
          <w:color w:val="auto"/>
          <w:szCs w:val="21"/>
          <w:highlight w:val="none"/>
          <w:lang w:bidi="ar"/>
        </w:rPr>
        <w:t>14.5.1竣工结算申请</w:t>
      </w:r>
    </w:p>
    <w:p w14:paraId="318062F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除专用合同条件另有约定外，承包人应在工程竣工验收合格后42天内向工程师提交竣工结算申请单，并提交完整的结算资料，有关竣工结算申请单的资料清单和份数等要求由合同当事人在专用合同条件中约定。</w:t>
      </w:r>
    </w:p>
    <w:p w14:paraId="2B9B1E5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除专用合同条件另有约定外，竣工结算申请单应包括以下内容：</w:t>
      </w:r>
    </w:p>
    <w:p w14:paraId="5D119D3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（1）竣工结算合同价格；</w:t>
      </w:r>
    </w:p>
    <w:p w14:paraId="06760CF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（2）发包人已支付承包人的款项；</w:t>
      </w:r>
    </w:p>
    <w:p w14:paraId="44C3C2F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采用第14.6.1项[承包人提供质量保证金的方式]第（2）种方式提供质量保证金的，应当列明应预留的质量保证金金额；采用第14.6.1项[承包人提供质量保证金的方式]中其他方式提供质量保证金的，应当按第14.6款[质量保证金]提供相关文件作为附件；</w:t>
      </w:r>
    </w:p>
    <w:p w14:paraId="347D353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（4）发包人应支付承包人的合同价款。</w:t>
      </w:r>
    </w:p>
    <w:p w14:paraId="45A077C9">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587" w:name="_Ref4571384"/>
      <w:bookmarkEnd w:id="1587"/>
      <w:r>
        <w:rPr>
          <w:rFonts w:hint="eastAsia" w:ascii="宋体" w:hAnsi="宋体" w:cs="宋体"/>
          <w:color w:val="auto"/>
          <w:szCs w:val="21"/>
          <w:highlight w:val="none"/>
          <w:lang w:bidi="ar"/>
        </w:rPr>
        <w:t>14.5.2竣工结算审核</w:t>
      </w:r>
    </w:p>
    <w:p w14:paraId="78C7664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除专用合同条件另有约定外，工程师应在收到竣工结算申请单后14天内完成核查并报送发包人。发包人应在收到工程师提交的经审核的竣工结算申请单后14天内完成审批，并由工程师向承包人签发经发包人签认的竣工付款证书。工程师或发包人对竣工结算申请单有异议的，有权要求承包人进行修正和提供补充资料，承包人应提交修正后的竣工结算申请单。</w:t>
      </w:r>
    </w:p>
    <w:p w14:paraId="56FB3DB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276DE25B">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588" w:name="_Ref4618006"/>
      <w:bookmarkEnd w:id="1588"/>
      <w:r>
        <w:rPr>
          <w:rFonts w:hint="eastAsia" w:ascii="宋体" w:hAnsi="宋体" w:cs="宋体"/>
          <w:color w:val="auto"/>
          <w:kern w:val="0"/>
          <w:szCs w:val="21"/>
          <w:highlight w:val="none"/>
          <w:lang w:bidi="ar"/>
        </w:rPr>
        <w:t>（2）除专用合同条件另有约定外，发包人应在签发竣工付款证书后的14天内，完成对承包人的竣工付款。发包人逾期支付的，按照贷款市场报价利率（LPR）支付利息；逾期支付超过56天的，按照贷款市场报价利率（LPR）的两倍支付利息。</w:t>
      </w:r>
    </w:p>
    <w:p w14:paraId="47ADD21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对发包人签认的竣工付款证书有异议的，对于有异议部分应在收到发包人签认的竣工付款证书后7天内提出异议，并由合同当事人按照专用合同条件约定的方式和程序进行复核，或按照第20条[争议解决]约定处理。对于无异议部分，发包人应签发临时竣工付款证书，并按本款第（2）项完成付款。承包人逾期未提出异议的，视为认可发包人的审批结果。</w:t>
      </w:r>
    </w:p>
    <w:p w14:paraId="281EE6D1">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589" w:name="_Ref15484305"/>
      <w:bookmarkEnd w:id="1589"/>
      <w:r>
        <w:rPr>
          <w:rFonts w:hint="eastAsia" w:ascii="宋体" w:hAnsi="宋体" w:cs="宋体"/>
          <w:color w:val="auto"/>
          <w:szCs w:val="21"/>
          <w:highlight w:val="none"/>
          <w:lang w:bidi="ar"/>
        </w:rPr>
        <w:t>14.5.3扫尾工作清单</w:t>
      </w:r>
    </w:p>
    <w:p w14:paraId="37C981B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经双方协商，部分工作在工程竣工验收后进行的，承包人应当编制扫尾工作清单，扫尾工作清单中应当列明承包人应当完成的扫尾工作的内容及完成时间。</w:t>
      </w:r>
    </w:p>
    <w:p w14:paraId="52CEB3B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承包人完成扫尾工作清单中的内容应取得的费用包含在第14.5.1项[竣工结算申请]及第14.5.2项[竣工结算审核]中一并结算。</w:t>
      </w:r>
    </w:p>
    <w:p w14:paraId="2DAF765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扫尾工作的缺陷责任期按第11条[缺陷责任与保修]处理。承包人未能按照扫尾工作清单约定的完成时间完成扫尾工作的，视为承包人原因导致的工程质量缺陷按照第11.3款[缺陷调查]处理。</w:t>
      </w:r>
    </w:p>
    <w:p w14:paraId="310E27F3">
      <w:pPr>
        <w:widowControl/>
        <w:wordWrap w:val="0"/>
        <w:topLinePunct/>
        <w:adjustRightInd w:val="0"/>
        <w:snapToGrid w:val="0"/>
        <w:spacing w:after="163" w:afterLines="50" w:line="360" w:lineRule="auto"/>
        <w:outlineLvl w:val="2"/>
        <w:rPr>
          <w:rFonts w:ascii="宋体" w:hAnsi="宋体" w:cs="宋体"/>
          <w:color w:val="auto"/>
          <w:highlight w:val="none"/>
        </w:rPr>
      </w:pPr>
      <w:bookmarkStart w:id="1590" w:name="_Ref4617592"/>
      <w:bookmarkEnd w:id="1590"/>
      <w:bookmarkStart w:id="1591" w:name="_Ref4617582"/>
      <w:bookmarkEnd w:id="1591"/>
      <w:bookmarkStart w:id="1592" w:name="_Ref15395020"/>
      <w:bookmarkEnd w:id="1592"/>
      <w:bookmarkStart w:id="1593" w:name="_Hlk15394931"/>
      <w:bookmarkEnd w:id="1593"/>
      <w:bookmarkStart w:id="1594" w:name="_Ref4571100"/>
      <w:bookmarkEnd w:id="1594"/>
      <w:bookmarkStart w:id="1595" w:name="_Ref4582115"/>
      <w:bookmarkEnd w:id="1595"/>
      <w:bookmarkStart w:id="1596" w:name="_Toc20171838"/>
      <w:bookmarkEnd w:id="1596"/>
      <w:bookmarkStart w:id="1597" w:name="_Ref4571127"/>
      <w:bookmarkStart w:id="1598" w:name="_Toc51766690"/>
      <w:bookmarkStart w:id="1599" w:name="_Toc58860277"/>
      <w:bookmarkStart w:id="1600" w:name="_Toc15270"/>
      <w:r>
        <w:rPr>
          <w:rFonts w:hint="eastAsia" w:ascii="宋体" w:hAnsi="宋体" w:cs="宋体"/>
          <w:color w:val="auto"/>
          <w:szCs w:val="21"/>
          <w:highlight w:val="none"/>
          <w:lang w:bidi="ar"/>
        </w:rPr>
        <w:t>1</w:t>
      </w:r>
      <w:bookmarkEnd w:id="1597"/>
      <w:r>
        <w:rPr>
          <w:rFonts w:hint="eastAsia" w:ascii="宋体" w:hAnsi="宋体" w:cs="宋体"/>
          <w:color w:val="auto"/>
          <w:szCs w:val="21"/>
          <w:highlight w:val="none"/>
          <w:lang w:bidi="ar"/>
        </w:rPr>
        <w:t>4.6  质量保证金</w:t>
      </w:r>
      <w:bookmarkEnd w:id="1598"/>
      <w:bookmarkEnd w:id="1599"/>
      <w:bookmarkEnd w:id="1600"/>
      <w:r>
        <w:rPr>
          <w:rFonts w:hint="eastAsia" w:ascii="宋体" w:hAnsi="宋体" w:cs="宋体"/>
          <w:color w:val="auto"/>
          <w:szCs w:val="21"/>
          <w:highlight w:val="none"/>
          <w:lang w:bidi="ar"/>
        </w:rPr>
        <w:t xml:space="preserve"> </w:t>
      </w:r>
    </w:p>
    <w:p w14:paraId="07625FD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经合同当事人协商一致提供质量保证金的，应在专用合同条件中予以明确。在工程项目竣工前，承包人已经提供履约担保的，发包人不得同时要求承包人提供质量保证金。</w:t>
      </w:r>
    </w:p>
    <w:p w14:paraId="10966633">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01" w:name="_Ref531955069"/>
      <w:bookmarkEnd w:id="1601"/>
      <w:bookmarkStart w:id="1602" w:name="_Ref531957153"/>
      <w:r>
        <w:rPr>
          <w:rFonts w:hint="eastAsia" w:ascii="宋体" w:hAnsi="宋体" w:cs="宋体"/>
          <w:color w:val="auto"/>
          <w:szCs w:val="21"/>
          <w:highlight w:val="none"/>
          <w:lang w:bidi="ar"/>
        </w:rPr>
        <w:t>1</w:t>
      </w:r>
      <w:bookmarkEnd w:id="1602"/>
      <w:r>
        <w:rPr>
          <w:rFonts w:hint="eastAsia" w:ascii="宋体" w:hAnsi="宋体" w:cs="宋体"/>
          <w:color w:val="auto"/>
          <w:szCs w:val="21"/>
          <w:highlight w:val="none"/>
          <w:lang w:bidi="ar"/>
        </w:rPr>
        <w:t>4.6.1承包人提供质量保证金的方式</w:t>
      </w:r>
    </w:p>
    <w:p w14:paraId="2A1574D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承包人提供质量保证金有以下三种方式：</w:t>
      </w:r>
    </w:p>
    <w:p w14:paraId="2E8F3C1C">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603" w:name="_Ref531955096"/>
      <w:bookmarkEnd w:id="1603"/>
      <w:r>
        <w:rPr>
          <w:rFonts w:hint="eastAsia" w:ascii="宋体" w:hAnsi="宋体" w:cs="宋体"/>
          <w:color w:val="auto"/>
          <w:kern w:val="0"/>
          <w:szCs w:val="21"/>
          <w:highlight w:val="none"/>
          <w:lang w:bidi="ar"/>
        </w:rPr>
        <w:t>（1）提交工程质量保证担保；</w:t>
      </w:r>
    </w:p>
    <w:p w14:paraId="563787AB">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604" w:name="_Ref531955107"/>
      <w:bookmarkEnd w:id="1604"/>
      <w:r>
        <w:rPr>
          <w:rFonts w:hint="eastAsia" w:ascii="宋体" w:hAnsi="宋体" w:cs="宋体"/>
          <w:color w:val="auto"/>
          <w:kern w:val="0"/>
          <w:szCs w:val="21"/>
          <w:highlight w:val="none"/>
          <w:lang w:bidi="ar"/>
        </w:rPr>
        <w:t>（2）预留相应比例的工程款；</w:t>
      </w:r>
    </w:p>
    <w:p w14:paraId="3C5F395D">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605" w:name="_Ref531955117"/>
      <w:bookmarkEnd w:id="1605"/>
      <w:r>
        <w:rPr>
          <w:rFonts w:hint="eastAsia" w:ascii="宋体" w:hAnsi="宋体" w:cs="宋体"/>
          <w:color w:val="auto"/>
          <w:kern w:val="0"/>
          <w:szCs w:val="21"/>
          <w:highlight w:val="none"/>
          <w:lang w:bidi="ar"/>
        </w:rPr>
        <w:t>（3）双方约定的其他方式。</w:t>
      </w:r>
    </w:p>
    <w:p w14:paraId="4576706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质量保证金原则上采用上述第（1）种方式，且承包人应在工程竣工验收合格后7天内，向发包人提交工程质量保证担保。承包人提交工程质量保证担保时，发包人应同时返还预留的作为质量保证金的工程价款（如有）。但不论承包人以何种方式提供质量保证金，累计金额均不得高于工程价款结算总额的3%。</w:t>
      </w:r>
    </w:p>
    <w:p w14:paraId="16B206B0">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06" w:name="_Ref15419738"/>
      <w:bookmarkEnd w:id="1606"/>
      <w:bookmarkStart w:id="1607" w:name="_Ref18931667"/>
      <w:r>
        <w:rPr>
          <w:rFonts w:hint="eastAsia" w:ascii="宋体" w:hAnsi="宋体" w:cs="宋体"/>
          <w:color w:val="auto"/>
          <w:szCs w:val="21"/>
          <w:highlight w:val="none"/>
          <w:lang w:bidi="ar"/>
        </w:rPr>
        <w:t>1</w:t>
      </w:r>
      <w:bookmarkEnd w:id="1607"/>
      <w:r>
        <w:rPr>
          <w:rFonts w:hint="eastAsia" w:ascii="宋体" w:hAnsi="宋体" w:cs="宋体"/>
          <w:color w:val="auto"/>
          <w:szCs w:val="21"/>
          <w:highlight w:val="none"/>
          <w:lang w:bidi="ar"/>
        </w:rPr>
        <w:t>4.6.2质量保证金的预留</w:t>
      </w:r>
    </w:p>
    <w:p w14:paraId="5A5A9A7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双方约定采用预留相应比例的工程款方式提供质量保证金的，质量保证金的预留有以下三种方式：</w:t>
      </w:r>
    </w:p>
    <w:p w14:paraId="761739E4">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608" w:name="_Hlk18840714"/>
      <w:bookmarkEnd w:id="1608"/>
      <w:bookmarkStart w:id="1609" w:name="_Ref531955143"/>
      <w:r>
        <w:rPr>
          <w:rFonts w:hint="eastAsia" w:ascii="宋体" w:hAnsi="宋体" w:cs="宋体"/>
          <w:color w:val="auto"/>
          <w:kern w:val="0"/>
          <w:szCs w:val="21"/>
          <w:highlight w:val="none"/>
          <w:lang w:bidi="ar"/>
        </w:rPr>
        <w:t>（1）按专用合同条件的约定在支付工程进度款时逐次预留，直至预留的质量保证金总额达到专用合同条件约定的金额或比例为止</w:t>
      </w:r>
      <w:bookmarkEnd w:id="1609"/>
      <w:r>
        <w:rPr>
          <w:rFonts w:hint="eastAsia" w:ascii="宋体" w:hAnsi="宋体" w:cs="宋体"/>
          <w:color w:val="auto"/>
          <w:kern w:val="0"/>
          <w:szCs w:val="21"/>
          <w:highlight w:val="none"/>
          <w:lang w:bidi="ar"/>
        </w:rPr>
        <w:t>。在此情形下，质量保证金的计算基数不包括预付款的支付、扣回以及价格调整的金额；</w:t>
      </w:r>
    </w:p>
    <w:p w14:paraId="3184302D">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610" w:name="_Ref531955151"/>
      <w:bookmarkEnd w:id="1610"/>
      <w:r>
        <w:rPr>
          <w:rFonts w:hint="eastAsia" w:ascii="宋体" w:hAnsi="宋体" w:cs="宋体"/>
          <w:color w:val="auto"/>
          <w:kern w:val="0"/>
          <w:szCs w:val="21"/>
          <w:highlight w:val="none"/>
          <w:lang w:bidi="ar"/>
        </w:rPr>
        <w:t>（2）工程竣工结算时一次性预留质量保证金；</w:t>
      </w:r>
    </w:p>
    <w:p w14:paraId="4B440E3A">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611" w:name="_Ref531955161"/>
      <w:bookmarkEnd w:id="1611"/>
      <w:r>
        <w:rPr>
          <w:rFonts w:hint="eastAsia" w:ascii="宋体" w:hAnsi="宋体" w:cs="宋体"/>
          <w:color w:val="auto"/>
          <w:kern w:val="0"/>
          <w:szCs w:val="21"/>
          <w:highlight w:val="none"/>
          <w:lang w:bidi="ar"/>
        </w:rPr>
        <w:t>（3）双方约定的其他预留方式。</w:t>
      </w:r>
    </w:p>
    <w:p w14:paraId="64F8FE3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质量保证金的预留原则上采用上述第（1）种方式。如承包人在发包人签发竣工付款证书后28天内提交工程质量保证担保，发包人应同时返还预留的作为质量保证金的工程价款。发包人在返还本条款项下的质量保证金的同时，按照中国人民银行同期同类存款基准利率支付利息。</w:t>
      </w:r>
    </w:p>
    <w:p w14:paraId="0520120E">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12" w:name="_Ref532690096"/>
      <w:bookmarkEnd w:id="1612"/>
      <w:bookmarkStart w:id="1613" w:name="_Ref4571243"/>
      <w:r>
        <w:rPr>
          <w:rFonts w:hint="eastAsia" w:ascii="宋体" w:hAnsi="宋体" w:cs="宋体"/>
          <w:color w:val="auto"/>
          <w:szCs w:val="21"/>
          <w:highlight w:val="none"/>
          <w:lang w:bidi="ar"/>
        </w:rPr>
        <w:t>1</w:t>
      </w:r>
      <w:bookmarkEnd w:id="1613"/>
      <w:r>
        <w:rPr>
          <w:rFonts w:hint="eastAsia" w:ascii="宋体" w:hAnsi="宋体" w:cs="宋体"/>
          <w:color w:val="auto"/>
          <w:szCs w:val="21"/>
          <w:highlight w:val="none"/>
          <w:lang w:bidi="ar"/>
        </w:rPr>
        <w:t>4.6.3质量保证金的返还</w:t>
      </w:r>
    </w:p>
    <w:p w14:paraId="564B9DE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缺陷责任期内，承包人认真履行合同约定的责任，缺陷责任期满，发包人根据第11.</w:t>
      </w:r>
      <w:r>
        <w:rPr>
          <w:rFonts w:ascii="宋体" w:hAnsi="宋体" w:cs="宋体"/>
          <w:color w:val="auto"/>
          <w:kern w:val="0"/>
          <w:szCs w:val="21"/>
          <w:highlight w:val="none"/>
          <w:lang w:bidi="ar"/>
        </w:rPr>
        <w:t>6</w:t>
      </w:r>
      <w:r>
        <w:rPr>
          <w:rFonts w:hint="eastAsia" w:ascii="宋体" w:hAnsi="宋体" w:cs="宋体"/>
          <w:color w:val="auto"/>
          <w:kern w:val="0"/>
          <w:szCs w:val="21"/>
          <w:highlight w:val="none"/>
          <w:lang w:bidi="ar"/>
        </w:rPr>
        <w:t>款[缺陷责任期终止证书]向承包人颁发缺陷责任期终止证书后，承包人可向发包人申请返还质量保证金。</w:t>
      </w:r>
    </w:p>
    <w:p w14:paraId="11C872E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在接到承包人返还质量保证金申请后，应于7天内将质量保证金返还承包人，逾期未返还的，应承担违约责任。发包人在接到承包人返还质量保证金申请后7天内不予答复，视同认可承包人的返还质量保证金申请。</w:t>
      </w:r>
    </w:p>
    <w:p w14:paraId="55B75E8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发包人和承包人对质量保证金预留、返还以及工程维修质量、费用有争议的，按本合同第20条[争议解决]约定的争议和纠纷解决程序处理。</w:t>
      </w:r>
    </w:p>
    <w:p w14:paraId="33E4C206">
      <w:pPr>
        <w:widowControl/>
        <w:wordWrap w:val="0"/>
        <w:topLinePunct/>
        <w:adjustRightInd w:val="0"/>
        <w:snapToGrid w:val="0"/>
        <w:spacing w:after="163" w:afterLines="50" w:line="360" w:lineRule="auto"/>
        <w:outlineLvl w:val="2"/>
        <w:rPr>
          <w:rFonts w:ascii="宋体" w:hAnsi="宋体" w:cs="宋体"/>
          <w:color w:val="auto"/>
          <w:highlight w:val="none"/>
        </w:rPr>
      </w:pPr>
      <w:bookmarkStart w:id="1614" w:name="_Ref531957339"/>
      <w:bookmarkEnd w:id="1614"/>
      <w:bookmarkStart w:id="1615" w:name="_Ref531957341"/>
      <w:bookmarkEnd w:id="1615"/>
      <w:bookmarkStart w:id="1616" w:name="_Toc20171839"/>
      <w:bookmarkStart w:id="1617" w:name="_Toc19556"/>
      <w:bookmarkStart w:id="1618" w:name="_Toc58860278"/>
      <w:bookmarkStart w:id="1619" w:name="_Toc51766691"/>
      <w:r>
        <w:rPr>
          <w:rFonts w:hint="eastAsia" w:ascii="宋体" w:hAnsi="宋体" w:cs="宋体"/>
          <w:color w:val="auto"/>
          <w:szCs w:val="21"/>
          <w:highlight w:val="none"/>
          <w:lang w:bidi="ar"/>
        </w:rPr>
        <w:t>1</w:t>
      </w:r>
      <w:bookmarkEnd w:id="1616"/>
      <w:r>
        <w:rPr>
          <w:rFonts w:hint="eastAsia" w:ascii="宋体" w:hAnsi="宋体" w:cs="宋体"/>
          <w:color w:val="auto"/>
          <w:szCs w:val="21"/>
          <w:highlight w:val="none"/>
          <w:lang w:bidi="ar"/>
        </w:rPr>
        <w:t>4.7  最终结清</w:t>
      </w:r>
      <w:bookmarkEnd w:id="1617"/>
      <w:bookmarkEnd w:id="1618"/>
      <w:bookmarkEnd w:id="1619"/>
      <w:r>
        <w:rPr>
          <w:rFonts w:hint="eastAsia" w:ascii="宋体" w:hAnsi="宋体" w:cs="宋体"/>
          <w:color w:val="auto"/>
          <w:szCs w:val="21"/>
          <w:highlight w:val="none"/>
          <w:lang w:bidi="ar"/>
        </w:rPr>
        <w:t xml:space="preserve"> </w:t>
      </w:r>
    </w:p>
    <w:p w14:paraId="5A8F142A">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20" w:name="_Ref531957350"/>
      <w:bookmarkEnd w:id="1620"/>
      <w:r>
        <w:rPr>
          <w:rFonts w:hint="eastAsia" w:ascii="宋体" w:hAnsi="宋体" w:cs="宋体"/>
          <w:color w:val="auto"/>
          <w:szCs w:val="21"/>
          <w:highlight w:val="none"/>
          <w:lang w:bidi="ar"/>
        </w:rPr>
        <w:t>14.7.1最终结清申请单</w:t>
      </w:r>
    </w:p>
    <w:p w14:paraId="7E93978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（1）除专用合同条件另有约定外，承包人应在缺陷责任期终止证书颁发后7天内，按专用合同条件约定的份数向发包人提交最终结清申请单，并提供相关证明材料。</w:t>
      </w:r>
    </w:p>
    <w:p w14:paraId="096B3C2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除专用合同条件另有约定外，最终结清申请单应列明质量保证金、应扣除的质量保证金、缺陷责任期内发生的增减费用。</w:t>
      </w:r>
    </w:p>
    <w:p w14:paraId="11E2479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（2）发包人对最终结清申请单内容有异议的，有权要求承包人进行修正和提供补充资料，承包人应向发包人提交修正后的最终结清申请单。</w:t>
      </w:r>
    </w:p>
    <w:p w14:paraId="502E1491">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21" w:name="_Ref531957369"/>
      <w:bookmarkEnd w:id="1621"/>
      <w:bookmarkStart w:id="1622" w:name="_Ref4624099"/>
      <w:r>
        <w:rPr>
          <w:rFonts w:hint="eastAsia" w:ascii="宋体" w:hAnsi="宋体" w:cs="宋体"/>
          <w:color w:val="auto"/>
          <w:szCs w:val="21"/>
          <w:highlight w:val="none"/>
          <w:lang w:bidi="ar"/>
        </w:rPr>
        <w:t>14.7.2</w:t>
      </w:r>
      <w:bookmarkEnd w:id="1622"/>
      <w:r>
        <w:rPr>
          <w:rFonts w:hint="eastAsia" w:ascii="宋体" w:hAnsi="宋体" w:cs="宋体"/>
          <w:color w:val="auto"/>
          <w:szCs w:val="21"/>
          <w:highlight w:val="none"/>
          <w:lang w:bidi="ar"/>
        </w:rPr>
        <w:t>最终结清证书和支付</w:t>
      </w:r>
    </w:p>
    <w:p w14:paraId="083EAB9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除专用合同条件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4817EAE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除专用合同条件另有约定外，发包人应在颁发最终结清证书后7天内完成支付。发包人逾期支付的，按照贷款市场报价利率（LPR）支付利息；逾期支付超过56天的，按照贷款市场报价利率（LPR）的两倍支付利息。</w:t>
      </w:r>
    </w:p>
    <w:p w14:paraId="040E94F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（3）承包人对发包人颁发的最终结清证书有异议的，按第20条[争议解决]的约定办理。</w:t>
      </w:r>
    </w:p>
    <w:p w14:paraId="37C6B35C">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623" w:name="_Toc20171840"/>
      <w:bookmarkEnd w:id="1623"/>
      <w:bookmarkStart w:id="1624" w:name="_Ref11874957"/>
      <w:bookmarkEnd w:id="1624"/>
      <w:bookmarkStart w:id="1625" w:name="_Ref11920396"/>
      <w:bookmarkEnd w:id="1625"/>
      <w:bookmarkStart w:id="1626" w:name="_Ref11920407"/>
      <w:bookmarkStart w:id="1627" w:name="_Toc58860279"/>
      <w:r>
        <w:rPr>
          <w:rFonts w:hint="eastAsia" w:ascii="宋体" w:hAnsi="宋体" w:cs="宋体"/>
          <w:color w:val="auto"/>
          <w:kern w:val="0"/>
          <w:szCs w:val="21"/>
          <w:highlight w:val="none"/>
          <w:lang w:bidi="ar"/>
        </w:rPr>
        <w:t>第1</w:t>
      </w:r>
      <w:bookmarkEnd w:id="1626"/>
      <w:r>
        <w:rPr>
          <w:rFonts w:hint="eastAsia" w:ascii="宋体" w:hAnsi="宋体" w:cs="宋体"/>
          <w:color w:val="auto"/>
          <w:kern w:val="0"/>
          <w:szCs w:val="21"/>
          <w:highlight w:val="none"/>
          <w:lang w:bidi="ar"/>
        </w:rPr>
        <w:t>5条  违约</w:t>
      </w:r>
      <w:bookmarkEnd w:id="1627"/>
    </w:p>
    <w:p w14:paraId="7000BCDA">
      <w:pPr>
        <w:widowControl/>
        <w:wordWrap w:val="0"/>
        <w:topLinePunct/>
        <w:adjustRightInd w:val="0"/>
        <w:snapToGrid w:val="0"/>
        <w:spacing w:after="163" w:afterLines="50" w:line="360" w:lineRule="auto"/>
        <w:outlineLvl w:val="2"/>
        <w:rPr>
          <w:rFonts w:ascii="宋体" w:hAnsi="宋体" w:cs="宋体"/>
          <w:color w:val="auto"/>
          <w:highlight w:val="none"/>
        </w:rPr>
      </w:pPr>
      <w:bookmarkStart w:id="1628" w:name="_Ref4534376"/>
      <w:bookmarkEnd w:id="1628"/>
      <w:bookmarkStart w:id="1629" w:name="_Toc20171841"/>
      <w:bookmarkEnd w:id="1629"/>
      <w:bookmarkStart w:id="1630" w:name="_Ref4534411"/>
      <w:bookmarkEnd w:id="1630"/>
      <w:bookmarkStart w:id="1631" w:name="_Ref4534384"/>
      <w:bookmarkEnd w:id="1631"/>
      <w:bookmarkStart w:id="1632" w:name="_Ref4534399"/>
      <w:bookmarkStart w:id="1633" w:name="_Toc51766693"/>
      <w:bookmarkStart w:id="1634" w:name="_Toc58860280"/>
      <w:bookmarkStart w:id="1635" w:name="_Toc11489"/>
      <w:r>
        <w:rPr>
          <w:rFonts w:hint="eastAsia" w:ascii="宋体" w:hAnsi="宋体" w:cs="宋体"/>
          <w:color w:val="auto"/>
          <w:szCs w:val="21"/>
          <w:highlight w:val="none"/>
          <w:lang w:bidi="ar"/>
        </w:rPr>
        <w:t>1</w:t>
      </w:r>
      <w:bookmarkEnd w:id="1632"/>
      <w:r>
        <w:rPr>
          <w:rFonts w:hint="eastAsia" w:ascii="宋体" w:hAnsi="宋体" w:cs="宋体"/>
          <w:color w:val="auto"/>
          <w:szCs w:val="21"/>
          <w:highlight w:val="none"/>
          <w:lang w:bidi="ar"/>
        </w:rPr>
        <w:t>5.1  发包人违约</w:t>
      </w:r>
      <w:bookmarkEnd w:id="1633"/>
      <w:bookmarkEnd w:id="1634"/>
      <w:bookmarkEnd w:id="1635"/>
    </w:p>
    <w:p w14:paraId="76094A3B">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36" w:name="_Ref3841087"/>
      <w:bookmarkEnd w:id="1636"/>
      <w:r>
        <w:rPr>
          <w:rFonts w:hint="eastAsia" w:ascii="宋体" w:hAnsi="宋体" w:cs="宋体"/>
          <w:color w:val="auto"/>
          <w:szCs w:val="21"/>
          <w:highlight w:val="none"/>
          <w:lang w:bidi="ar"/>
        </w:rPr>
        <w:t>15.1.1发包人违约的情形</w:t>
      </w:r>
    </w:p>
    <w:p w14:paraId="07B66FB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除专用合同条件另有约定外，在合同履行过程中发生的下列情形，属于发包人违约：</w:t>
      </w:r>
    </w:p>
    <w:p w14:paraId="4BF1BB7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（1）因发包人原因导致开始工作日期延误的； </w:t>
      </w:r>
    </w:p>
    <w:p w14:paraId="19956D9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（2）因发包人原因未能按合同约定支付合同价款的；</w:t>
      </w:r>
    </w:p>
    <w:p w14:paraId="419F721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（3）发包人违反第13.1.1项约定，自行实施被取消的工作或转由他人实施的；</w:t>
      </w:r>
    </w:p>
    <w:p w14:paraId="24A2842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（4）因发包人违反合同约定造成工程暂停施工的；</w:t>
      </w:r>
    </w:p>
    <w:p w14:paraId="609C870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（5）工程师无正当理由没有在约定期限内发出复工指示，导致承包人无法复工的；</w:t>
      </w:r>
    </w:p>
    <w:p w14:paraId="4603C75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（6）发包人明确表示或者以其行为表明不履行合同主要义务的；</w:t>
      </w:r>
    </w:p>
    <w:p w14:paraId="1728ED6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（7）发包人未能按照合同约定履行其他义务的。</w:t>
      </w:r>
    </w:p>
    <w:p w14:paraId="7E4692D2">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37" w:name="_Ref4535692"/>
      <w:bookmarkEnd w:id="1637"/>
      <w:r>
        <w:rPr>
          <w:rFonts w:hint="eastAsia" w:ascii="宋体" w:hAnsi="宋体" w:cs="宋体"/>
          <w:color w:val="auto"/>
          <w:szCs w:val="21"/>
          <w:highlight w:val="none"/>
          <w:lang w:bidi="ar"/>
        </w:rPr>
        <w:t>15.1.2通知改正</w:t>
      </w:r>
    </w:p>
    <w:p w14:paraId="19B4A3D3">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638" w:name="_Hlk16248297"/>
      <w:bookmarkEnd w:id="1638"/>
      <w:r>
        <w:rPr>
          <w:rFonts w:hint="eastAsia" w:ascii="宋体" w:hAnsi="宋体" w:cs="宋体"/>
          <w:color w:val="auto"/>
          <w:kern w:val="0"/>
          <w:szCs w:val="21"/>
          <w:highlight w:val="none"/>
          <w:lang w:bidi="ar"/>
        </w:rPr>
        <w:t>发包人发生除第15.1.1项第（6）目以外的违约情况时，承包人可向发包人发出通知，要求发包人采取有效措施纠正违约行为。发包人收到承包人通知后28天内仍不纠正违约行为的，承包人有权暂停相应部位工程实施，并通知工程师。</w:t>
      </w:r>
    </w:p>
    <w:p w14:paraId="104EFA61">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39" w:name="_Ref3841132"/>
      <w:bookmarkEnd w:id="1639"/>
      <w:r>
        <w:rPr>
          <w:rFonts w:hint="eastAsia" w:ascii="宋体" w:hAnsi="宋体" w:cs="宋体"/>
          <w:color w:val="auto"/>
          <w:szCs w:val="21"/>
          <w:highlight w:val="none"/>
          <w:lang w:bidi="ar"/>
        </w:rPr>
        <w:t>15.1.3发包人违约的责任</w:t>
      </w:r>
    </w:p>
    <w:p w14:paraId="4075DEEF">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640" w:name="_Hlk16247984"/>
      <w:bookmarkEnd w:id="1640"/>
      <w:r>
        <w:rPr>
          <w:rFonts w:hint="eastAsia" w:ascii="宋体" w:hAnsi="宋体" w:cs="宋体"/>
          <w:color w:val="auto"/>
          <w:kern w:val="0"/>
          <w:szCs w:val="21"/>
          <w:highlight w:val="none"/>
          <w:lang w:bidi="ar"/>
        </w:rPr>
        <w:t>发包人应承担因其违约给承包人增加的费用和（或）延误的工期，并支付承包人合理的利润。此外，合同当事人可在专用合同条件中另行约定发包人违约责任的承担方式和计算方法。</w:t>
      </w:r>
    </w:p>
    <w:p w14:paraId="43FF50EC">
      <w:pPr>
        <w:widowControl/>
        <w:wordWrap w:val="0"/>
        <w:topLinePunct/>
        <w:adjustRightInd w:val="0"/>
        <w:snapToGrid w:val="0"/>
        <w:spacing w:after="163" w:afterLines="50" w:line="360" w:lineRule="auto"/>
        <w:outlineLvl w:val="2"/>
        <w:rPr>
          <w:rFonts w:ascii="宋体" w:hAnsi="宋体" w:cs="宋体"/>
          <w:color w:val="auto"/>
          <w:highlight w:val="none"/>
        </w:rPr>
      </w:pPr>
      <w:bookmarkStart w:id="1641" w:name="_Ref11958663"/>
      <w:bookmarkEnd w:id="1641"/>
      <w:bookmarkStart w:id="1642" w:name="_Ref11958660"/>
      <w:bookmarkEnd w:id="1642"/>
      <w:bookmarkStart w:id="1643" w:name="_Toc20171842"/>
      <w:bookmarkStart w:id="1644" w:name="_Toc25308"/>
      <w:bookmarkStart w:id="1645" w:name="_Toc51766694"/>
      <w:bookmarkStart w:id="1646" w:name="_Toc58860281"/>
      <w:r>
        <w:rPr>
          <w:rFonts w:hint="eastAsia" w:ascii="宋体" w:hAnsi="宋体" w:cs="宋体"/>
          <w:color w:val="auto"/>
          <w:szCs w:val="21"/>
          <w:highlight w:val="none"/>
          <w:lang w:bidi="ar"/>
        </w:rPr>
        <w:t>1</w:t>
      </w:r>
      <w:bookmarkEnd w:id="1643"/>
      <w:r>
        <w:rPr>
          <w:rFonts w:hint="eastAsia" w:ascii="宋体" w:hAnsi="宋体" w:cs="宋体"/>
          <w:color w:val="auto"/>
          <w:szCs w:val="21"/>
          <w:highlight w:val="none"/>
          <w:lang w:bidi="ar"/>
        </w:rPr>
        <w:t>5.2  承包人违约</w:t>
      </w:r>
      <w:bookmarkEnd w:id="1644"/>
      <w:bookmarkEnd w:id="1645"/>
      <w:bookmarkEnd w:id="1646"/>
    </w:p>
    <w:p w14:paraId="0763ABE0">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47" w:name="_Ref3841153"/>
      <w:bookmarkEnd w:id="1647"/>
      <w:r>
        <w:rPr>
          <w:rFonts w:hint="eastAsia" w:ascii="宋体" w:hAnsi="宋体" w:cs="宋体"/>
          <w:color w:val="auto"/>
          <w:szCs w:val="21"/>
          <w:highlight w:val="none"/>
          <w:lang w:bidi="ar"/>
        </w:rPr>
        <w:t>15.2.1承包人违约的情形</w:t>
      </w:r>
    </w:p>
    <w:p w14:paraId="3926018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除专用合同条件另有约定外，在履行合同过程中发生的下列情况之一的，属于承包人违约：</w:t>
      </w:r>
    </w:p>
    <w:p w14:paraId="224BEB6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（1）承包人的原因导致的承包人文件、实施和竣工的工程不符合法律法规、工程质量验收标准以及合同约定；</w:t>
      </w:r>
    </w:p>
    <w:p w14:paraId="61D76C3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（2）承包人违反合同约定进行转包或违法分包的；</w:t>
      </w:r>
    </w:p>
    <w:p w14:paraId="28A732C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（3）承包人违反约定采购和使用不合格材料或工程设备；</w:t>
      </w:r>
    </w:p>
    <w:p w14:paraId="1BFA0FE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（4）因承包人原因导致工程质量不符合合同要求的；</w:t>
      </w:r>
    </w:p>
    <w:p w14:paraId="3B8B0E5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（5）承包人未经工程师批准，擅自将已按合同约定进入施工现场的施工设备、临时设施或材料撤离施工现场；</w:t>
      </w:r>
    </w:p>
    <w:p w14:paraId="476BE53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（6）承包人未能按项目进度计划及时完成合同约定的工作，造成工期延误；</w:t>
      </w:r>
    </w:p>
    <w:p w14:paraId="69BEFF3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（7）由于承包人原因未能通过竣工试验或竣工后试验的；</w:t>
      </w:r>
    </w:p>
    <w:p w14:paraId="06A8BD0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（8）承包人在缺陷责任期及保修期内，未能在合理期限对工程缺陷进行修复，或拒绝按发包人指示进行修复的；</w:t>
      </w:r>
    </w:p>
    <w:p w14:paraId="3C6E558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（9）承包人明确表示或者以其行为表明不履行合同主要义务的；</w:t>
      </w:r>
    </w:p>
    <w:p w14:paraId="5FA08EE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（10）承包人未能按照合同约定履行其他义务的。</w:t>
      </w:r>
    </w:p>
    <w:p w14:paraId="15AFD958">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48" w:name="_Ref531958512"/>
      <w:bookmarkEnd w:id="1648"/>
      <w:r>
        <w:rPr>
          <w:rFonts w:hint="eastAsia" w:ascii="宋体" w:hAnsi="宋体" w:cs="宋体"/>
          <w:color w:val="auto"/>
          <w:szCs w:val="21"/>
          <w:highlight w:val="none"/>
          <w:lang w:bidi="ar"/>
        </w:rPr>
        <w:t>15.2.2通知改正</w:t>
      </w:r>
    </w:p>
    <w:p w14:paraId="11E8D48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承包人发生除第15.2.1项第（7）目、第（9）目约定以外的其他违约情况时，工程师可在专用合同条件约定的合理期限内向承包人发出整改通知，要求其在指定的期限内改正。</w:t>
      </w:r>
    </w:p>
    <w:p w14:paraId="346B0FFA">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49" w:name="_Ref3841166"/>
      <w:bookmarkEnd w:id="1649"/>
      <w:r>
        <w:rPr>
          <w:rFonts w:hint="eastAsia" w:ascii="宋体" w:hAnsi="宋体" w:cs="宋体"/>
          <w:color w:val="auto"/>
          <w:szCs w:val="21"/>
          <w:highlight w:val="none"/>
          <w:lang w:bidi="ar"/>
        </w:rPr>
        <w:t>15.2.3承包人违约的责任</w:t>
      </w:r>
    </w:p>
    <w:p w14:paraId="31AE5D8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承包人应承担因其违约行为而增加的费用和（或）延误的工期。此外，合同当事人可在专用合同条件中另行约定承包人违约责任的承担方式和计算方法。</w:t>
      </w:r>
    </w:p>
    <w:p w14:paraId="22544701">
      <w:pPr>
        <w:widowControl/>
        <w:wordWrap w:val="0"/>
        <w:topLinePunct/>
        <w:adjustRightInd w:val="0"/>
        <w:snapToGrid w:val="0"/>
        <w:spacing w:after="163" w:afterLines="50" w:line="360" w:lineRule="auto"/>
        <w:outlineLvl w:val="2"/>
        <w:rPr>
          <w:rFonts w:ascii="宋体" w:hAnsi="宋体" w:cs="宋体"/>
          <w:color w:val="auto"/>
          <w:highlight w:val="none"/>
        </w:rPr>
      </w:pPr>
      <w:bookmarkStart w:id="1650" w:name="_Toc20171843"/>
      <w:bookmarkEnd w:id="1650"/>
      <w:bookmarkStart w:id="1651" w:name="_Toc4049"/>
      <w:bookmarkStart w:id="1652" w:name="_Toc58860282"/>
      <w:bookmarkStart w:id="1653" w:name="_Toc51766695"/>
      <w:r>
        <w:rPr>
          <w:rFonts w:hint="eastAsia" w:ascii="宋体" w:hAnsi="宋体" w:cs="宋体"/>
          <w:color w:val="auto"/>
          <w:szCs w:val="21"/>
          <w:highlight w:val="none"/>
          <w:lang w:bidi="ar"/>
        </w:rPr>
        <w:t>15.3  第三人造成的违约</w:t>
      </w:r>
      <w:bookmarkEnd w:id="1651"/>
      <w:bookmarkEnd w:id="1652"/>
      <w:bookmarkEnd w:id="1653"/>
    </w:p>
    <w:p w14:paraId="563F79B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在履行合同过程中，一方当事人因第三人的原因造成违约的，应当向对方当事人承担违约责任。一方当事人和第三人之间的纠纷，依照法律规定或者按照约定解决。</w:t>
      </w:r>
    </w:p>
    <w:p w14:paraId="5A4EB974">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654" w:name="_Ref4510572"/>
      <w:bookmarkEnd w:id="1654"/>
      <w:bookmarkStart w:id="1655" w:name="_Ref3826629"/>
      <w:bookmarkEnd w:id="1655"/>
      <w:bookmarkStart w:id="1656" w:name="_Ref532142069"/>
      <w:bookmarkEnd w:id="1656"/>
      <w:bookmarkStart w:id="1657" w:name="_Toc20171844"/>
      <w:bookmarkEnd w:id="1657"/>
      <w:bookmarkStart w:id="1658" w:name="_Ref3840457"/>
      <w:bookmarkEnd w:id="1658"/>
      <w:bookmarkStart w:id="1659" w:name="_Ref3826634"/>
      <w:bookmarkStart w:id="1660" w:name="_Toc58860283"/>
      <w:r>
        <w:rPr>
          <w:rFonts w:hint="eastAsia" w:ascii="宋体" w:hAnsi="宋体" w:cs="宋体"/>
          <w:color w:val="auto"/>
          <w:kern w:val="0"/>
          <w:szCs w:val="21"/>
          <w:highlight w:val="none"/>
          <w:lang w:bidi="ar"/>
        </w:rPr>
        <w:t>第1</w:t>
      </w:r>
      <w:bookmarkEnd w:id="1659"/>
      <w:r>
        <w:rPr>
          <w:rFonts w:hint="eastAsia" w:ascii="宋体" w:hAnsi="宋体" w:cs="宋体"/>
          <w:color w:val="auto"/>
          <w:kern w:val="0"/>
          <w:szCs w:val="21"/>
          <w:highlight w:val="none"/>
          <w:lang w:bidi="ar"/>
        </w:rPr>
        <w:t>6条  合同解除</w:t>
      </w:r>
      <w:bookmarkEnd w:id="1660"/>
    </w:p>
    <w:p w14:paraId="2F13033E">
      <w:pPr>
        <w:widowControl/>
        <w:wordWrap w:val="0"/>
        <w:topLinePunct/>
        <w:adjustRightInd w:val="0"/>
        <w:snapToGrid w:val="0"/>
        <w:spacing w:after="163" w:afterLines="50" w:line="360" w:lineRule="auto"/>
        <w:outlineLvl w:val="2"/>
        <w:rPr>
          <w:rFonts w:ascii="宋体" w:hAnsi="宋体" w:cs="宋体"/>
          <w:color w:val="auto"/>
          <w:highlight w:val="none"/>
        </w:rPr>
      </w:pPr>
      <w:bookmarkStart w:id="1661" w:name="_Ref531958502"/>
      <w:bookmarkEnd w:id="1661"/>
      <w:bookmarkStart w:id="1662" w:name="_Ref531958499"/>
      <w:bookmarkEnd w:id="1662"/>
      <w:bookmarkStart w:id="1663" w:name="_Toc20171845"/>
      <w:bookmarkStart w:id="1664" w:name="_Toc58860284"/>
      <w:bookmarkStart w:id="1665" w:name="_Toc26487"/>
      <w:bookmarkStart w:id="1666" w:name="_Toc51766697"/>
      <w:r>
        <w:rPr>
          <w:rFonts w:hint="eastAsia" w:ascii="宋体" w:hAnsi="宋体" w:cs="宋体"/>
          <w:color w:val="auto"/>
          <w:szCs w:val="21"/>
          <w:highlight w:val="none"/>
          <w:lang w:bidi="ar"/>
        </w:rPr>
        <w:t>1</w:t>
      </w:r>
      <w:bookmarkEnd w:id="1663"/>
      <w:r>
        <w:rPr>
          <w:rFonts w:hint="eastAsia" w:ascii="宋体" w:hAnsi="宋体" w:cs="宋体"/>
          <w:color w:val="auto"/>
          <w:szCs w:val="21"/>
          <w:highlight w:val="none"/>
          <w:lang w:bidi="ar"/>
        </w:rPr>
        <w:t>6.1  由发包人解除合同</w:t>
      </w:r>
      <w:bookmarkEnd w:id="1664"/>
      <w:bookmarkEnd w:id="1665"/>
      <w:bookmarkEnd w:id="1666"/>
    </w:p>
    <w:p w14:paraId="39CEB7AA">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67" w:name="_Ref4535422"/>
      <w:bookmarkEnd w:id="1667"/>
      <w:r>
        <w:rPr>
          <w:rFonts w:hint="eastAsia" w:ascii="宋体" w:hAnsi="宋体" w:cs="宋体"/>
          <w:color w:val="auto"/>
          <w:szCs w:val="21"/>
          <w:highlight w:val="none"/>
          <w:lang w:bidi="ar"/>
        </w:rPr>
        <w:t>16.1.1因承包人违约解除合同</w:t>
      </w:r>
    </w:p>
    <w:p w14:paraId="128FAF6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发包人有权基于下列原因，以书面形式通知承包人解除合同，解除通知中应注明是根据第16.1.1项发出的，发包人应在发出正式解除合同通知14天前告知承包人其解除合同意向，除非承包人在收到该解除合同意向通知后14天内采取了补救措施，否则发包人可向承包人发出正式解除合同通知立即解除合同。解除日期应为承包人收到正式解除合同通知的日期，但在第（5）目的情况下，发包人无须提前告知承包人其解除合同意向，可直接发出正式解除合同通知立即解除合同：</w:t>
      </w:r>
    </w:p>
    <w:p w14:paraId="0B32837C">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668" w:name="_Ref531958536"/>
      <w:bookmarkEnd w:id="1668"/>
      <w:r>
        <w:rPr>
          <w:rFonts w:hint="eastAsia" w:ascii="宋体" w:hAnsi="宋体" w:cs="宋体"/>
          <w:color w:val="auto"/>
          <w:kern w:val="0"/>
          <w:szCs w:val="21"/>
          <w:highlight w:val="none"/>
          <w:lang w:bidi="ar"/>
        </w:rPr>
        <w:t>（1）承包人未能遵守第4.2款[履约担保]的约定；</w:t>
      </w:r>
    </w:p>
    <w:p w14:paraId="0FFC273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（2）承包人未能遵守第4.5款[分包]有关分包和转包的约定；</w:t>
      </w:r>
    </w:p>
    <w:p w14:paraId="44E2932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（3）承包人实际进度明显落后于进度计划，并且未按发包人的指令采取措施并修正进度计划；</w:t>
      </w:r>
    </w:p>
    <w:p w14:paraId="0FF9F34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（4）工程质量有严重缺陷，承包人无正当理由使修复开始日期拖延达28天以上；</w:t>
      </w:r>
    </w:p>
    <w:p w14:paraId="13591A8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承包人破产、停业清理或进入清算程序，或情况表明承包人将进入破产和（或）清算程序，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3669D8D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（6）承包人明确表示或以自己的行为表明不履行合同、或经发包人以书面形式通知其履约后仍未能依约履行合同、或以不适当的方式履行合同；</w:t>
      </w:r>
    </w:p>
    <w:p w14:paraId="6277D12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（7）未能通过的竣工试验、未能通过的竣工后试验，使工程的任何部分和（或）整个工程丧失了主要使用功能、生产功能；</w:t>
      </w:r>
    </w:p>
    <w:p w14:paraId="19EB78A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（8）因承包人的原因暂停工作超过56天且暂停影响到整个工程，或因承包人的原因暂停工作超过182天；</w:t>
      </w:r>
    </w:p>
    <w:p w14:paraId="732D1D4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（9）承包人未能遵守第8.2款[竣工日期]规定，延误超过182天；</w:t>
      </w:r>
    </w:p>
    <w:p w14:paraId="4ACC898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（10）工程师根据第15.2.2项[通知改正]发出整改通知后，承包人在指定的合理期限内仍不纠正违约行为并致使合同目的不能实现的。</w:t>
      </w:r>
    </w:p>
    <w:p w14:paraId="287D0FE8">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69" w:name="_Ref3841839"/>
      <w:bookmarkEnd w:id="1669"/>
      <w:bookmarkStart w:id="1670" w:name="_Ref4624315"/>
      <w:r>
        <w:rPr>
          <w:rFonts w:hint="eastAsia" w:ascii="宋体" w:hAnsi="宋体" w:cs="宋体"/>
          <w:color w:val="auto"/>
          <w:szCs w:val="21"/>
          <w:highlight w:val="none"/>
          <w:lang w:bidi="ar"/>
        </w:rPr>
        <w:t>1</w:t>
      </w:r>
      <w:bookmarkEnd w:id="1670"/>
      <w:r>
        <w:rPr>
          <w:rFonts w:hint="eastAsia" w:ascii="宋体" w:hAnsi="宋体" w:cs="宋体"/>
          <w:color w:val="auto"/>
          <w:szCs w:val="21"/>
          <w:highlight w:val="none"/>
          <w:lang w:bidi="ar"/>
        </w:rPr>
        <w:t>6.1.2因承包人违约解除合同后承包人的义务</w:t>
      </w:r>
    </w:p>
    <w:p w14:paraId="6CCAE56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合同解除后，承包人应按以下约定执行：</w:t>
      </w:r>
    </w:p>
    <w:p w14:paraId="68B840D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（1）除了为保护生命、财产或工程安全、清理和必须执行的工作外，停止执行所有被通知解除的工作，并将相关人员撤离现场；</w:t>
      </w:r>
    </w:p>
    <w:p w14:paraId="2C22811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（2）经发包人批准，承包人应将与被解除合同相关的和正在执行的分包合同及相关的责任和义务转让至发包人和（或）发包人指定方的名下，包括永久性工程及工程物资，以及相关工作；</w:t>
      </w:r>
    </w:p>
    <w:p w14:paraId="1ADD36B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（3）移交已完成的永久性工程及负责已运抵现场的工程物资。在移交前，妥善做好己完工程和已运抵现场的工程物资的保管、维护和保养；</w:t>
      </w:r>
    </w:p>
    <w:p w14:paraId="32850CA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（4）将发包人提供的所有信息及承包人为本工程编制的设计文件、技术资料及其它文件移交给发包人。在承包人留有的资料文件中，销毁与发包人提供的所有信息相关的数据及资料的备份；</w:t>
      </w:r>
    </w:p>
    <w:p w14:paraId="35BB401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（5）移交相应实施阶段已经付款的并已完成的和尚待完成的设计文件、图纸、资料、操作维修手册、施工组织设计、质检资料、竣工资料等；</w:t>
      </w:r>
    </w:p>
    <w:p w14:paraId="23D76EE7">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16.1.3因承包人违约解除合同后的估价、付款和结算</w:t>
      </w:r>
    </w:p>
    <w:p w14:paraId="69A60BD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因承包人原因导致合同解除的，则合同当事人应在合同解除后28天内完成估价、付款和清算，并按以下约定执行：</w:t>
      </w:r>
    </w:p>
    <w:p w14:paraId="7608FB2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（1）合同解除后，按第3.6款[商定或确定]商定或确定承包人实际完成工作对应的合同价款，以及承包人已提供的材料、工程设备、施工设备和临时工程等的价值；</w:t>
      </w:r>
    </w:p>
    <w:p w14:paraId="3F4BD1D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（2）合同解除后，承包人应支付的违约金；</w:t>
      </w:r>
    </w:p>
    <w:p w14:paraId="74BE448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（3）合同解除后，因解除合同给发包人造成的损失；</w:t>
      </w:r>
    </w:p>
    <w:p w14:paraId="3C228DA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（4）合同解除后，承包人应按照发包人的指示完成现场的清理和撤离；</w:t>
      </w:r>
    </w:p>
    <w:p w14:paraId="17E0CCA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（5）发包人和承包人应在合同解除后进行清算，出具最终结清付款证书，结清全部款项。</w:t>
      </w:r>
    </w:p>
    <w:p w14:paraId="3FB3F59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因承包人违约解除合同的，发包人有权暂停对承包人的付款，查清各项付款和已扣款项，发包人和承包人未能就合同解除后的清算和款项支付达成一致的，按照第20条[争议解决]的约定处理。</w:t>
      </w:r>
    </w:p>
    <w:p w14:paraId="1A49E4E4">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16.1.4因承包人违约解除合同的合同权益转让</w:t>
      </w:r>
    </w:p>
    <w:p w14:paraId="159B059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解除后，发包人可以继续完成工程，和（或）安排第三人完成。发包人有权要求承包人将其为实施合同而订立的材料和设备的订货合同或任何服务合同利益转让给发包人，并在承包人收到解除合同通知后的14天内，依法办理转让手续。发包人和（或）第三人有权使用承包人在施工现场的材料、设备、临时工程、承包人文件和由承包人或以其名义编制的其他文件。</w:t>
      </w:r>
    </w:p>
    <w:p w14:paraId="57BC8EA0">
      <w:pPr>
        <w:widowControl/>
        <w:wordWrap w:val="0"/>
        <w:topLinePunct/>
        <w:adjustRightInd w:val="0"/>
        <w:snapToGrid w:val="0"/>
        <w:spacing w:after="163" w:afterLines="50" w:line="360" w:lineRule="auto"/>
        <w:outlineLvl w:val="2"/>
        <w:rPr>
          <w:rFonts w:ascii="宋体" w:hAnsi="宋体" w:cs="宋体"/>
          <w:color w:val="auto"/>
          <w:highlight w:val="none"/>
        </w:rPr>
      </w:pPr>
      <w:bookmarkStart w:id="1671" w:name="_Toc20171846"/>
      <w:bookmarkEnd w:id="1671"/>
      <w:bookmarkStart w:id="1672" w:name="_Ref531958554"/>
      <w:bookmarkEnd w:id="1672"/>
      <w:bookmarkStart w:id="1673" w:name="_Ref531958549"/>
      <w:bookmarkStart w:id="1674" w:name="_Toc9305"/>
      <w:bookmarkStart w:id="1675" w:name="_Toc51766698"/>
      <w:bookmarkStart w:id="1676" w:name="_Toc58860285"/>
      <w:r>
        <w:rPr>
          <w:rFonts w:hint="eastAsia" w:ascii="宋体" w:hAnsi="宋体" w:cs="宋体"/>
          <w:color w:val="auto"/>
          <w:szCs w:val="21"/>
          <w:highlight w:val="none"/>
          <w:lang w:bidi="ar"/>
        </w:rPr>
        <w:t>1</w:t>
      </w:r>
      <w:bookmarkEnd w:id="1673"/>
      <w:r>
        <w:rPr>
          <w:rFonts w:hint="eastAsia" w:ascii="宋体" w:hAnsi="宋体" w:cs="宋体"/>
          <w:color w:val="auto"/>
          <w:szCs w:val="21"/>
          <w:highlight w:val="none"/>
          <w:lang w:bidi="ar"/>
        </w:rPr>
        <w:t>6.2  由承包人解除合同</w:t>
      </w:r>
      <w:bookmarkEnd w:id="1674"/>
      <w:bookmarkEnd w:id="1675"/>
      <w:bookmarkEnd w:id="1676"/>
    </w:p>
    <w:p w14:paraId="0A177720">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77" w:name="_Ref3841758"/>
      <w:bookmarkEnd w:id="1677"/>
      <w:r>
        <w:rPr>
          <w:rFonts w:hint="eastAsia" w:ascii="宋体" w:hAnsi="宋体" w:cs="宋体"/>
          <w:color w:val="auto"/>
          <w:szCs w:val="21"/>
          <w:highlight w:val="none"/>
          <w:lang w:bidi="ar"/>
        </w:rPr>
        <w:t>16.2.1因发包人违约解除合同</w:t>
      </w:r>
    </w:p>
    <w:p w14:paraId="62D82F9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承包人有权基于下列原因，以书面形式通知发包人解除合同，解除通知中应注明是根据第16.2.1项发出的，承包人应在发出正式解除合同通知14天前告知发包人其解除合同意向，除非发包人在收到该解除合同意向通知后14天内采取了补救措施，否则承包人可向发包人发出正式解除合同通知立即解除合同。解除日期应为发包人收到正式解除合同通知的日期，但在第(5)目的情况下，承包人无须提前告知发包人其解除合同意向，可直接发出正式解除合同通知立即解除合同：</w:t>
      </w:r>
    </w:p>
    <w:p w14:paraId="150897C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（1）承包人就发包人未能遵守第2.5.2项关于发包人的资金安排发出通知后42天内，仍未收到合理的证明；</w:t>
      </w:r>
    </w:p>
    <w:p w14:paraId="6A33ACE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（2）在第14条规定的付款时间到期后42天内，承包人仍未收到应付款项； </w:t>
      </w:r>
    </w:p>
    <w:p w14:paraId="7BBA6D6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（3）发包人实质上未能根据合同约定履行其义务，构成根本性违约；</w:t>
      </w:r>
    </w:p>
    <w:p w14:paraId="0B2B605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（4）发承包双方订立本合同协议书后的84天内，承包人未收到根据第8.1款[开始工作]的开始工作通知；</w:t>
      </w:r>
    </w:p>
    <w:p w14:paraId="4C86DDE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发包人破产、停业清理或进入清算程序，或情况表明发包人将进入破产和（或）清算程序或发包人资信严重恶化，已有对其财产的接管令或管理令，与债权人达成和解，或为其债权人的利益在财产接管人、受托人或管理人的监督下营业，或采取了任何行动或发生任何事件（根据有关适用法律）具有与前述行动或事件相似的效果；</w:t>
      </w:r>
    </w:p>
    <w:p w14:paraId="5394BE0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（6）发包人未能遵守第2.5.3项的约定提交支付担保；</w:t>
      </w:r>
    </w:p>
    <w:p w14:paraId="41DC782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（7）发包人未能执行第15.1.2项[通知改正]的约定，致使合同目的不能实现的；</w:t>
      </w:r>
    </w:p>
    <w:p w14:paraId="6F84B0E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（8）因发包人的原因暂停工作超过56天且暂停影响到整个工程，或因发包人的原因暂停工作超过182天的；</w:t>
      </w:r>
    </w:p>
    <w:p w14:paraId="71C2CF7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（9）因发包人原因造成开始工作日期迟于承包人收到中标通知书（或在无中标通知书的情况下，订立本合同之日）后第84天的。</w:t>
      </w:r>
    </w:p>
    <w:p w14:paraId="32A16D8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接到承包人解除合同意向通知后14天内，发包人随后给予了付款，或同意复工、或继续履行其义务、或提供了支付担保等，承包人应尽快安排并恢复正常工作；因此造成工期延误的，竣工日期顺延；承包人因此增加的费用，由发包人承担。</w:t>
      </w:r>
    </w:p>
    <w:p w14:paraId="0F0B4A77">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678" w:name="_Ref3842018"/>
      <w:bookmarkEnd w:id="1678"/>
      <w:bookmarkStart w:id="1679" w:name="_Ref4624336"/>
      <w:r>
        <w:rPr>
          <w:rFonts w:hint="eastAsia" w:ascii="宋体" w:hAnsi="宋体" w:cs="宋体"/>
          <w:color w:val="auto"/>
          <w:szCs w:val="21"/>
          <w:highlight w:val="none"/>
          <w:lang w:bidi="ar"/>
        </w:rPr>
        <w:t>1</w:t>
      </w:r>
      <w:bookmarkEnd w:id="1679"/>
      <w:r>
        <w:rPr>
          <w:rFonts w:hint="eastAsia" w:ascii="宋体" w:hAnsi="宋体" w:cs="宋体"/>
          <w:color w:val="auto"/>
          <w:szCs w:val="21"/>
          <w:highlight w:val="none"/>
          <w:lang w:bidi="ar"/>
        </w:rPr>
        <w:t>6.2.2因发包人违约解除合同后承包人的义务</w:t>
      </w:r>
    </w:p>
    <w:p w14:paraId="4AC274A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合同解除后，承包人应按以下约定执行：</w:t>
      </w:r>
    </w:p>
    <w:p w14:paraId="0338E83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（1）除为保护生命、财产、工程安全的工作外，停止所有进一步的工作；承包人因执行该保护工作而产生费用的，由发包人承担。</w:t>
      </w:r>
    </w:p>
    <w:p w14:paraId="6578A76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（2）向发包人移交承包人已获得支付的承包人文件、生产设备、材料和其他工作；</w:t>
      </w:r>
    </w:p>
    <w:p w14:paraId="5CA8F97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（3）从现场运走除为了安全需要以外的所有属于承包人的其他货物，并撤离现场。</w:t>
      </w:r>
    </w:p>
    <w:p w14:paraId="39A5302D">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16.2.3因发包人违约解除合同后的付款</w:t>
      </w:r>
    </w:p>
    <w:p w14:paraId="7A3B404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承包人按照本款约定解除合同的，发包人应在解除合同后28天内支付下列款项，并退还履约担保：</w:t>
      </w:r>
    </w:p>
    <w:p w14:paraId="79FA985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（1）合同解除前所完成工作的价款；</w:t>
      </w:r>
    </w:p>
    <w:p w14:paraId="714D6E0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（2）承包人为工程施工订购并已付款的材料、工程设备和其他物品的价款；发包人付款后，该材料、工程设备和其他物品归发包人所有；</w:t>
      </w:r>
    </w:p>
    <w:p w14:paraId="1AA10A6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（3）承包人为完成工程所发生的，而发包人未支付的金额；</w:t>
      </w:r>
    </w:p>
    <w:p w14:paraId="3272DFC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（4）承包人撤离施工现场以及遣散承包人人员的款项；</w:t>
      </w:r>
    </w:p>
    <w:p w14:paraId="1836290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（5）按照合同约定在合同解除前应支付的违约金；</w:t>
      </w:r>
    </w:p>
    <w:p w14:paraId="14F2C43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（6）按照合同约定应当支付给承包人的其他款项；</w:t>
      </w:r>
    </w:p>
    <w:p w14:paraId="71FCA74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（7）按照合同约定应返还的质量保证金；</w:t>
      </w:r>
    </w:p>
    <w:p w14:paraId="4F48C54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（8）因解除合同给承包人造成的损失。</w:t>
      </w:r>
    </w:p>
    <w:p w14:paraId="45D4386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承包人应妥善做好已完工程和与工程有关的已购材料、工程设备的保护和移交工作，并将施工设备和人员撤出施工现场，发包人应为承包人撤出提供必要条件。</w:t>
      </w:r>
    </w:p>
    <w:p w14:paraId="01FF2603">
      <w:pPr>
        <w:widowControl/>
        <w:wordWrap w:val="0"/>
        <w:topLinePunct/>
        <w:adjustRightInd w:val="0"/>
        <w:snapToGrid w:val="0"/>
        <w:spacing w:after="163" w:afterLines="50" w:line="360" w:lineRule="auto"/>
        <w:outlineLvl w:val="2"/>
        <w:rPr>
          <w:rFonts w:ascii="宋体" w:hAnsi="宋体" w:cs="宋体"/>
          <w:color w:val="auto"/>
          <w:highlight w:val="none"/>
        </w:rPr>
      </w:pPr>
      <w:bookmarkStart w:id="1680" w:name="_Toc20171847"/>
      <w:bookmarkEnd w:id="1680"/>
      <w:bookmarkStart w:id="1681" w:name="_Ref3841966"/>
      <w:bookmarkStart w:id="1682" w:name="_Toc482"/>
      <w:bookmarkStart w:id="1683" w:name="_Toc58860286"/>
      <w:bookmarkStart w:id="1684" w:name="_Toc51766699"/>
      <w:r>
        <w:rPr>
          <w:rFonts w:hint="eastAsia" w:ascii="宋体" w:hAnsi="宋体" w:cs="宋体"/>
          <w:color w:val="auto"/>
          <w:szCs w:val="21"/>
          <w:highlight w:val="none"/>
          <w:lang w:bidi="ar"/>
        </w:rPr>
        <w:t>1</w:t>
      </w:r>
      <w:bookmarkEnd w:id="1681"/>
      <w:r>
        <w:rPr>
          <w:rFonts w:hint="eastAsia" w:ascii="宋体" w:hAnsi="宋体" w:cs="宋体"/>
          <w:color w:val="auto"/>
          <w:szCs w:val="21"/>
          <w:highlight w:val="none"/>
          <w:lang w:bidi="ar"/>
        </w:rPr>
        <w:t>6.3  合同解除后的事项</w:t>
      </w:r>
      <w:bookmarkEnd w:id="1682"/>
      <w:bookmarkEnd w:id="1683"/>
      <w:bookmarkEnd w:id="1684"/>
    </w:p>
    <w:p w14:paraId="520387B1">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16.3.1结算约定依然有效</w:t>
      </w:r>
    </w:p>
    <w:p w14:paraId="764A99A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合同解除后，由发包人或由承包人解除合同的结算及结算后的付款约定仍然有效，直至解除合同的结算工作结清。</w:t>
      </w:r>
    </w:p>
    <w:p w14:paraId="3CD09ACF">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16.3.2解除合同的争议</w:t>
      </w:r>
    </w:p>
    <w:p w14:paraId="406898B6">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685" w:name="_Hlk18988355"/>
      <w:bookmarkEnd w:id="1685"/>
      <w:r>
        <w:rPr>
          <w:rFonts w:hint="eastAsia" w:ascii="宋体" w:hAnsi="宋体" w:cs="宋体"/>
          <w:color w:val="auto"/>
          <w:kern w:val="0"/>
          <w:szCs w:val="21"/>
          <w:highlight w:val="none"/>
          <w:lang w:bidi="ar"/>
        </w:rPr>
        <w:t>双方对解除合同或解除合同后的结算有争议的，按照第20条[争议解决]的约定处理。</w:t>
      </w:r>
    </w:p>
    <w:p w14:paraId="33FEE31B">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686" w:name="_Toc20171848"/>
      <w:bookmarkEnd w:id="1686"/>
      <w:bookmarkStart w:id="1687" w:name="_Ref3840974"/>
      <w:bookmarkEnd w:id="1687"/>
      <w:bookmarkStart w:id="1688" w:name="_Ref3840605"/>
      <w:bookmarkStart w:id="1689" w:name="_Toc58860287"/>
      <w:r>
        <w:rPr>
          <w:rFonts w:hint="eastAsia" w:ascii="宋体" w:hAnsi="宋体" w:cs="宋体"/>
          <w:color w:val="auto"/>
          <w:kern w:val="0"/>
          <w:szCs w:val="21"/>
          <w:highlight w:val="none"/>
          <w:lang w:bidi="ar"/>
        </w:rPr>
        <w:t>第1</w:t>
      </w:r>
      <w:bookmarkEnd w:id="1688"/>
      <w:r>
        <w:rPr>
          <w:rFonts w:hint="eastAsia" w:ascii="宋体" w:hAnsi="宋体" w:cs="宋体"/>
          <w:color w:val="auto"/>
          <w:kern w:val="0"/>
          <w:szCs w:val="21"/>
          <w:highlight w:val="none"/>
          <w:lang w:bidi="ar"/>
        </w:rPr>
        <w:t>7条  不可抗力</w:t>
      </w:r>
      <w:bookmarkEnd w:id="1689"/>
    </w:p>
    <w:p w14:paraId="610C9247">
      <w:pPr>
        <w:widowControl/>
        <w:wordWrap w:val="0"/>
        <w:topLinePunct/>
        <w:adjustRightInd w:val="0"/>
        <w:snapToGrid w:val="0"/>
        <w:spacing w:after="163" w:afterLines="50" w:line="360" w:lineRule="auto"/>
        <w:outlineLvl w:val="2"/>
        <w:rPr>
          <w:rFonts w:ascii="宋体" w:hAnsi="宋体" w:cs="宋体"/>
          <w:color w:val="auto"/>
          <w:highlight w:val="none"/>
        </w:rPr>
      </w:pPr>
      <w:bookmarkStart w:id="1690" w:name="_Ref531958158"/>
      <w:bookmarkEnd w:id="1690"/>
      <w:bookmarkStart w:id="1691" w:name="_Ref531958161"/>
      <w:bookmarkEnd w:id="1691"/>
      <w:bookmarkStart w:id="1692" w:name="_Toc20171849"/>
      <w:bookmarkStart w:id="1693" w:name="_Toc58860288"/>
      <w:bookmarkStart w:id="1694" w:name="_Toc51766701"/>
      <w:bookmarkStart w:id="1695" w:name="_Toc21586"/>
      <w:r>
        <w:rPr>
          <w:rFonts w:hint="eastAsia" w:ascii="宋体" w:hAnsi="宋体" w:cs="宋体"/>
          <w:color w:val="auto"/>
          <w:szCs w:val="21"/>
          <w:highlight w:val="none"/>
          <w:lang w:bidi="ar"/>
        </w:rPr>
        <w:t>1</w:t>
      </w:r>
      <w:bookmarkEnd w:id="1692"/>
      <w:r>
        <w:rPr>
          <w:rFonts w:hint="eastAsia" w:ascii="宋体" w:hAnsi="宋体" w:cs="宋体"/>
          <w:color w:val="auto"/>
          <w:szCs w:val="21"/>
          <w:highlight w:val="none"/>
          <w:lang w:bidi="ar"/>
        </w:rPr>
        <w:t>7.1  不可抗力的定义</w:t>
      </w:r>
      <w:bookmarkEnd w:id="1693"/>
      <w:bookmarkEnd w:id="1694"/>
      <w:bookmarkEnd w:id="1695"/>
    </w:p>
    <w:p w14:paraId="26ADA7D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不可抗力是指合同当事人在订立合同时不可预见，在合同履行过程中不可避免、不能克服且不能提前防备的自然灾害和社会性突发事件，如地震、海啸、瘟疫、骚乱、戒严、暴动、战争和专用合同条件中约定的其他情形。</w:t>
      </w:r>
    </w:p>
    <w:p w14:paraId="7DF0ADA5">
      <w:pPr>
        <w:widowControl/>
        <w:wordWrap w:val="0"/>
        <w:topLinePunct/>
        <w:adjustRightInd w:val="0"/>
        <w:snapToGrid w:val="0"/>
        <w:spacing w:after="163" w:afterLines="50" w:line="360" w:lineRule="auto"/>
        <w:outlineLvl w:val="2"/>
        <w:rPr>
          <w:rFonts w:ascii="宋体" w:hAnsi="宋体" w:cs="宋体"/>
          <w:color w:val="auto"/>
          <w:highlight w:val="none"/>
        </w:rPr>
      </w:pPr>
      <w:bookmarkStart w:id="1696" w:name="_Toc20171850"/>
      <w:bookmarkEnd w:id="1696"/>
      <w:bookmarkStart w:id="1697" w:name="_Toc51766702"/>
      <w:bookmarkStart w:id="1698" w:name="_Toc24388"/>
      <w:bookmarkStart w:id="1699" w:name="_Toc58860289"/>
      <w:r>
        <w:rPr>
          <w:rFonts w:hint="eastAsia" w:ascii="宋体" w:hAnsi="宋体" w:cs="宋体"/>
          <w:color w:val="auto"/>
          <w:szCs w:val="21"/>
          <w:highlight w:val="none"/>
          <w:lang w:bidi="ar"/>
        </w:rPr>
        <w:t>17.2  不可抗力的通知</w:t>
      </w:r>
      <w:bookmarkEnd w:id="1697"/>
      <w:bookmarkEnd w:id="1698"/>
      <w:bookmarkEnd w:id="1699"/>
      <w:r>
        <w:rPr>
          <w:rFonts w:hint="eastAsia" w:ascii="宋体" w:hAnsi="宋体" w:cs="宋体"/>
          <w:color w:val="auto"/>
          <w:szCs w:val="21"/>
          <w:highlight w:val="none"/>
          <w:lang w:bidi="ar"/>
        </w:rPr>
        <w:t xml:space="preserve"> </w:t>
      </w:r>
    </w:p>
    <w:p w14:paraId="7508A18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合同一方当事人觉察或发现不可抗力事件发生，使其履行合同义务受到阻碍时，有义务立即通知合同另一方当事人和工程师，书面说明不可抗力和受阻碍的详细情况，并提供必要的证明。</w:t>
      </w:r>
    </w:p>
    <w:p w14:paraId="6DBE94A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不可抗力持续发生的，合同一方当事人应每隔28天向合同另一方当事人和工程师提交中间报告，说明不可抗力和履行合同受阻的情况，并于不可抗力事件结束后28天内提交最终报告及有关资料。</w:t>
      </w:r>
    </w:p>
    <w:p w14:paraId="27982F44">
      <w:pPr>
        <w:widowControl/>
        <w:wordWrap w:val="0"/>
        <w:topLinePunct/>
        <w:adjustRightInd w:val="0"/>
        <w:snapToGrid w:val="0"/>
        <w:spacing w:after="163" w:afterLines="50" w:line="360" w:lineRule="auto"/>
        <w:outlineLvl w:val="2"/>
        <w:rPr>
          <w:rFonts w:ascii="宋体" w:hAnsi="宋体" w:cs="宋体"/>
          <w:color w:val="auto"/>
          <w:highlight w:val="none"/>
        </w:rPr>
      </w:pPr>
      <w:bookmarkStart w:id="1700" w:name="_Toc20171851"/>
      <w:bookmarkEnd w:id="1700"/>
      <w:bookmarkStart w:id="1701" w:name="_Toc58860290"/>
      <w:bookmarkStart w:id="1702" w:name="_Toc2801"/>
      <w:bookmarkStart w:id="1703" w:name="_Toc51766703"/>
      <w:r>
        <w:rPr>
          <w:rFonts w:hint="eastAsia" w:ascii="宋体" w:hAnsi="宋体" w:cs="宋体"/>
          <w:color w:val="auto"/>
          <w:szCs w:val="21"/>
          <w:highlight w:val="none"/>
          <w:lang w:bidi="ar"/>
        </w:rPr>
        <w:t>17.3  将损失减至最小的义务</w:t>
      </w:r>
      <w:bookmarkEnd w:id="1701"/>
      <w:bookmarkEnd w:id="1702"/>
      <w:bookmarkEnd w:id="1703"/>
    </w:p>
    <w:p w14:paraId="540C87A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不可抗力发生后，合同当事人均应采取措施尽量避免和减少损失的扩大，使不可抗力对履行合同造成的损失减至最小。另一方全力协助并采取措施，需暂停实施的工作，立即停止。任何一方当事人没有采取有效措施导致损失扩大的，应对扩大的损失承担责任。</w:t>
      </w:r>
    </w:p>
    <w:p w14:paraId="1C6E68D7">
      <w:pPr>
        <w:widowControl/>
        <w:wordWrap w:val="0"/>
        <w:topLinePunct/>
        <w:adjustRightInd w:val="0"/>
        <w:snapToGrid w:val="0"/>
        <w:spacing w:after="163" w:afterLines="50" w:line="360" w:lineRule="auto"/>
        <w:outlineLvl w:val="2"/>
        <w:rPr>
          <w:rFonts w:ascii="宋体" w:hAnsi="宋体" w:cs="宋体"/>
          <w:color w:val="auto"/>
          <w:highlight w:val="none"/>
        </w:rPr>
      </w:pPr>
      <w:bookmarkStart w:id="1704" w:name="_Ref531958172"/>
      <w:bookmarkEnd w:id="1704"/>
      <w:bookmarkStart w:id="1705" w:name="_Toc20171852"/>
      <w:bookmarkEnd w:id="1705"/>
      <w:bookmarkStart w:id="1706" w:name="_Ref531958170"/>
      <w:bookmarkEnd w:id="1706"/>
      <w:bookmarkStart w:id="1707" w:name="_Ref3840916"/>
      <w:bookmarkStart w:id="1708" w:name="_Toc51766704"/>
      <w:bookmarkStart w:id="1709" w:name="_Toc4878"/>
      <w:bookmarkStart w:id="1710" w:name="_Toc58860291"/>
      <w:r>
        <w:rPr>
          <w:rFonts w:hint="eastAsia" w:ascii="宋体" w:hAnsi="宋体" w:cs="宋体"/>
          <w:color w:val="auto"/>
          <w:szCs w:val="21"/>
          <w:highlight w:val="none"/>
          <w:lang w:bidi="ar"/>
        </w:rPr>
        <w:t>1</w:t>
      </w:r>
      <w:bookmarkEnd w:id="1707"/>
      <w:r>
        <w:rPr>
          <w:rFonts w:hint="eastAsia" w:ascii="宋体" w:hAnsi="宋体" w:cs="宋体"/>
          <w:color w:val="auto"/>
          <w:szCs w:val="21"/>
          <w:highlight w:val="none"/>
          <w:lang w:bidi="ar"/>
        </w:rPr>
        <w:t>7.4  不可抗力后果的承担</w:t>
      </w:r>
      <w:bookmarkEnd w:id="1708"/>
      <w:bookmarkEnd w:id="1709"/>
      <w:bookmarkEnd w:id="1710"/>
      <w:r>
        <w:rPr>
          <w:rFonts w:hint="eastAsia" w:ascii="宋体" w:hAnsi="宋体" w:cs="宋体"/>
          <w:color w:val="auto"/>
          <w:szCs w:val="21"/>
          <w:highlight w:val="none"/>
          <w:lang w:bidi="ar"/>
        </w:rPr>
        <w:t xml:space="preserve"> </w:t>
      </w:r>
    </w:p>
    <w:p w14:paraId="378C369C">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17.4.1不可抗力导致的人员伤亡、财产损失、费用增加和（或）工期延误等后果，由合同当事人按以下原则承担：</w:t>
      </w:r>
    </w:p>
    <w:p w14:paraId="06F70F8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（1）永久工程，包括已运至施工现场的材料和工程设备的损害，以及因工程损害造成的第三人人员伤亡和财产损失由发包人承担；</w:t>
      </w:r>
    </w:p>
    <w:p w14:paraId="4192305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（2）承包人提供的施工设备的损坏由承包人承担；</w:t>
      </w:r>
    </w:p>
    <w:p w14:paraId="16233E8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（3）发包人和承包人各自承担其人员伤亡及其他财产损失；</w:t>
      </w:r>
    </w:p>
    <w:p w14:paraId="1211C09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因不可抗力影响承包人履行合同约定的义务，已经引起或将引起工期延误的，应当顺延工期，由此导致承包人停工的费用损失由发包人和承包人合理分担，停工期间必须支付的现场必要的工人工资由发包人承担；</w:t>
      </w:r>
    </w:p>
    <w:p w14:paraId="17359EE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（5）因不可抗力引起或将引起工期延误，发包人指示赶工的，由此增加的赶工费用由发包人承担；</w:t>
      </w:r>
    </w:p>
    <w:p w14:paraId="75E874D5">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（6）承包人在停工期间按照工程师或发包人要求照管、清理和修复工程的费用由发包人承担。</w:t>
      </w:r>
    </w:p>
    <w:p w14:paraId="1591935E">
      <w:pPr>
        <w:widowControl/>
        <w:adjustRightInd w:val="0"/>
        <w:snapToGrid w:val="0"/>
        <w:spacing w:after="163" w:afterLines="50" w:line="360" w:lineRule="auto"/>
        <w:ind w:firstLine="420" w:firstLineChars="200"/>
        <w:rPr>
          <w:color w:val="auto"/>
          <w:highlight w:val="none"/>
        </w:rPr>
      </w:pPr>
      <w:r>
        <w:rPr>
          <w:rFonts w:hint="eastAsia"/>
          <w:color w:val="auto"/>
          <w:highlight w:val="none"/>
        </w:rPr>
        <w:t>不可抗力引起的后果及造成的损失由合同当事人按照法律规定及合同约定各自承担。不可抗力发生前已完成的工程应当按照合同约定进行支付。</w:t>
      </w:r>
    </w:p>
    <w:p w14:paraId="6A069095">
      <w:pPr>
        <w:widowControl/>
        <w:wordWrap w:val="0"/>
        <w:topLinePunct/>
        <w:adjustRightInd w:val="0"/>
        <w:snapToGrid w:val="0"/>
        <w:spacing w:after="163" w:afterLines="50" w:line="360" w:lineRule="auto"/>
        <w:outlineLvl w:val="2"/>
        <w:rPr>
          <w:rFonts w:ascii="宋体" w:hAnsi="宋体" w:cs="宋体"/>
          <w:color w:val="auto"/>
          <w:highlight w:val="none"/>
        </w:rPr>
      </w:pPr>
      <w:bookmarkStart w:id="1711" w:name="_Toc20171853"/>
      <w:bookmarkEnd w:id="1711"/>
      <w:bookmarkStart w:id="1712" w:name="_Toc18238"/>
      <w:bookmarkStart w:id="1713" w:name="_Toc51766705"/>
      <w:bookmarkStart w:id="1714" w:name="_Toc58860292"/>
      <w:r>
        <w:rPr>
          <w:rFonts w:hint="eastAsia" w:ascii="宋体" w:hAnsi="宋体" w:cs="宋体"/>
          <w:color w:val="auto"/>
          <w:szCs w:val="21"/>
          <w:highlight w:val="none"/>
          <w:lang w:bidi="ar"/>
        </w:rPr>
        <w:t>17.5  不可抗力影响分包人</w:t>
      </w:r>
      <w:bookmarkEnd w:id="1712"/>
      <w:bookmarkEnd w:id="1713"/>
      <w:bookmarkEnd w:id="1714"/>
      <w:r>
        <w:rPr>
          <w:rFonts w:hint="eastAsia" w:ascii="宋体" w:hAnsi="宋体" w:cs="宋体"/>
          <w:color w:val="auto"/>
          <w:szCs w:val="21"/>
          <w:highlight w:val="none"/>
          <w:lang w:bidi="ar"/>
        </w:rPr>
        <w:t xml:space="preserve"> </w:t>
      </w:r>
    </w:p>
    <w:p w14:paraId="3C5DB00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分包人根据分包合同的约定，有权获得更多或者更广的不可抗力而免除某些义务时，承包人不得以分包合同中不可抗力约定向发包人抗辩免除其义务。</w:t>
      </w:r>
    </w:p>
    <w:p w14:paraId="4C74AE8B">
      <w:pPr>
        <w:widowControl/>
        <w:wordWrap w:val="0"/>
        <w:topLinePunct/>
        <w:adjustRightInd w:val="0"/>
        <w:snapToGrid w:val="0"/>
        <w:spacing w:after="163" w:afterLines="50" w:line="360" w:lineRule="auto"/>
        <w:outlineLvl w:val="2"/>
        <w:rPr>
          <w:rFonts w:ascii="宋体" w:hAnsi="宋体" w:cs="宋体"/>
          <w:color w:val="auto"/>
          <w:highlight w:val="none"/>
        </w:rPr>
      </w:pPr>
      <w:bookmarkStart w:id="1715" w:name="_Toc20171854"/>
      <w:bookmarkEnd w:id="1715"/>
      <w:bookmarkStart w:id="1716" w:name="_Ref4538024"/>
      <w:bookmarkEnd w:id="1716"/>
      <w:bookmarkStart w:id="1717" w:name="_Ref531958181"/>
      <w:bookmarkEnd w:id="1717"/>
      <w:bookmarkStart w:id="1718" w:name="_Ref3840892"/>
      <w:bookmarkEnd w:id="1718"/>
      <w:bookmarkStart w:id="1719" w:name="_Ref531958184"/>
      <w:bookmarkStart w:id="1720" w:name="_Toc51766706"/>
      <w:bookmarkStart w:id="1721" w:name="_Toc58860293"/>
      <w:bookmarkStart w:id="1722" w:name="_Toc15173"/>
      <w:r>
        <w:rPr>
          <w:rFonts w:hint="eastAsia" w:ascii="宋体" w:hAnsi="宋体" w:cs="宋体"/>
          <w:color w:val="auto"/>
          <w:szCs w:val="21"/>
          <w:highlight w:val="none"/>
          <w:lang w:bidi="ar"/>
        </w:rPr>
        <w:t>1</w:t>
      </w:r>
      <w:bookmarkEnd w:id="1719"/>
      <w:r>
        <w:rPr>
          <w:rFonts w:hint="eastAsia" w:ascii="宋体" w:hAnsi="宋体" w:cs="宋体"/>
          <w:color w:val="auto"/>
          <w:szCs w:val="21"/>
          <w:highlight w:val="none"/>
          <w:lang w:bidi="ar"/>
        </w:rPr>
        <w:t>7.6  因不可抗力解除合同</w:t>
      </w:r>
      <w:bookmarkEnd w:id="1720"/>
      <w:bookmarkEnd w:id="1721"/>
      <w:bookmarkEnd w:id="1722"/>
      <w:r>
        <w:rPr>
          <w:rFonts w:hint="eastAsia" w:ascii="宋体" w:hAnsi="宋体" w:cs="宋体"/>
          <w:color w:val="auto"/>
          <w:szCs w:val="21"/>
          <w:highlight w:val="none"/>
          <w:lang w:bidi="ar"/>
        </w:rPr>
        <w:t xml:space="preserve"> </w:t>
      </w:r>
    </w:p>
    <w:p w14:paraId="3A54798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单次不可抗力导致合同无法履行连续超过84天或累计超过140天的，发包人和承包人均有权解除合同。合同解除后，承包人应按照第10.5款[竣工退场]的规定进行。由双方当事人按照第3.6款[商定或确定]商定或确定发包人应支付的款项，该款项包括：</w:t>
      </w:r>
    </w:p>
    <w:p w14:paraId="3AA3361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（1）合同解除前承包人已完成工作的价款；</w:t>
      </w:r>
    </w:p>
    <w:p w14:paraId="7275949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为工程订购的并已交付给承包人，或承包人有责任接受交付的材料、工程设备和其他物品的价款；当发包人支付上述费用后，此项材料、工程设备与其他物品应成为发包人的财产，承包人应将其交由发包人处理；</w:t>
      </w:r>
    </w:p>
    <w:p w14:paraId="260FF2B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（3）发包人指示承包人退货或解除订货合同而产生的费用，或因不能退货或解除合同而产生的损失；</w:t>
      </w:r>
    </w:p>
    <w:p w14:paraId="436F331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（4）承包人撤离施工现场以及遣散承包人人员的费用；</w:t>
      </w:r>
    </w:p>
    <w:p w14:paraId="6A052C3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（5）按照合同约定在合同解除前应支付给承包人的其他款项；</w:t>
      </w:r>
    </w:p>
    <w:p w14:paraId="13AF6EF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（6）扣减承包人按照合同约定应向发包人支付的款项；</w:t>
      </w:r>
    </w:p>
    <w:p w14:paraId="2537B18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（7）双方商定或确定的其他款项。</w:t>
      </w:r>
    </w:p>
    <w:p w14:paraId="199642B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除专用合同条件另有约定外，合同解除后，发包人应当在商定或确定上述款项后28天内完成上述款项的支付。</w:t>
      </w:r>
    </w:p>
    <w:p w14:paraId="6E76D32C">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723" w:name="_Toc20171855"/>
      <w:bookmarkEnd w:id="1723"/>
      <w:bookmarkStart w:id="1724" w:name="_Ref11848274"/>
      <w:bookmarkEnd w:id="1724"/>
      <w:bookmarkStart w:id="1725" w:name="_Ref11848264"/>
      <w:bookmarkStart w:id="1726" w:name="_Toc58860294"/>
      <w:r>
        <w:rPr>
          <w:rFonts w:hint="eastAsia" w:ascii="宋体" w:hAnsi="宋体" w:cs="宋体"/>
          <w:color w:val="auto"/>
          <w:kern w:val="0"/>
          <w:szCs w:val="21"/>
          <w:highlight w:val="none"/>
          <w:lang w:bidi="ar"/>
        </w:rPr>
        <w:t>第1</w:t>
      </w:r>
      <w:bookmarkEnd w:id="1725"/>
      <w:r>
        <w:rPr>
          <w:rFonts w:hint="eastAsia" w:ascii="宋体" w:hAnsi="宋体" w:cs="宋体"/>
          <w:color w:val="auto"/>
          <w:kern w:val="0"/>
          <w:szCs w:val="21"/>
          <w:highlight w:val="none"/>
          <w:lang w:bidi="ar"/>
        </w:rPr>
        <w:t>8条  保险</w:t>
      </w:r>
      <w:bookmarkEnd w:id="1726"/>
      <w:r>
        <w:rPr>
          <w:rFonts w:hint="eastAsia" w:ascii="宋体" w:hAnsi="宋体" w:cs="宋体"/>
          <w:color w:val="auto"/>
          <w:kern w:val="0"/>
          <w:szCs w:val="21"/>
          <w:highlight w:val="none"/>
          <w:lang w:bidi="ar"/>
        </w:rPr>
        <w:t xml:space="preserve"> </w:t>
      </w:r>
    </w:p>
    <w:p w14:paraId="11C5164D">
      <w:pPr>
        <w:widowControl/>
        <w:wordWrap w:val="0"/>
        <w:topLinePunct/>
        <w:adjustRightInd w:val="0"/>
        <w:snapToGrid w:val="0"/>
        <w:spacing w:after="163" w:afterLines="50" w:line="360" w:lineRule="auto"/>
        <w:outlineLvl w:val="2"/>
        <w:rPr>
          <w:rFonts w:ascii="宋体" w:hAnsi="宋体" w:cs="宋体"/>
          <w:color w:val="auto"/>
          <w:highlight w:val="none"/>
        </w:rPr>
      </w:pPr>
      <w:bookmarkStart w:id="1727" w:name="_Ref531957914"/>
      <w:bookmarkEnd w:id="1727"/>
      <w:bookmarkStart w:id="1728" w:name="_Ref3840734"/>
      <w:bookmarkEnd w:id="1728"/>
      <w:bookmarkStart w:id="1729" w:name="_Ref3840730"/>
      <w:bookmarkEnd w:id="1729"/>
      <w:bookmarkStart w:id="1730" w:name="_Toc20171856"/>
      <w:bookmarkEnd w:id="1730"/>
      <w:bookmarkStart w:id="1731" w:name="_Ref531957911"/>
      <w:bookmarkEnd w:id="1731"/>
      <w:bookmarkStart w:id="1732" w:name="_Toc351203616"/>
      <w:bookmarkStart w:id="1733" w:name="_Toc58860295"/>
      <w:bookmarkStart w:id="1734" w:name="_Toc51766708"/>
      <w:bookmarkStart w:id="1735" w:name="_Toc16605"/>
      <w:r>
        <w:rPr>
          <w:rFonts w:hint="eastAsia" w:ascii="宋体" w:hAnsi="宋体" w:cs="宋体"/>
          <w:color w:val="auto"/>
          <w:szCs w:val="21"/>
          <w:highlight w:val="none"/>
          <w:lang w:bidi="ar"/>
        </w:rPr>
        <w:t>1</w:t>
      </w:r>
      <w:bookmarkEnd w:id="1732"/>
      <w:r>
        <w:rPr>
          <w:rFonts w:hint="eastAsia" w:ascii="宋体" w:hAnsi="宋体" w:cs="宋体"/>
          <w:color w:val="auto"/>
          <w:szCs w:val="21"/>
          <w:highlight w:val="none"/>
          <w:lang w:bidi="ar"/>
        </w:rPr>
        <w:t>8.1  设计和工程保险</w:t>
      </w:r>
      <w:bookmarkEnd w:id="1733"/>
      <w:bookmarkEnd w:id="1734"/>
      <w:bookmarkEnd w:id="1735"/>
    </w:p>
    <w:p w14:paraId="2F52EE22">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18.1.1双方应按照专用合同条件的约定向双方同意的保险人投保建设工程设计责任险、建筑安装工程一切险等保险。具体的投保险种、保险范围、保险金额、保险费率、保险期限等有关内容应当在专用合同条件中明确约定。</w:t>
      </w:r>
    </w:p>
    <w:p w14:paraId="4C774AE7">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18.1.2双方应按照专用合同条件的约定投保第三者责任险，并在缺陷责任期终止证书颁发前维持其持续有效。第三者责任险最低投保额应在专用合同条件内约定。</w:t>
      </w:r>
    </w:p>
    <w:p w14:paraId="68CFBCC6">
      <w:pPr>
        <w:widowControl/>
        <w:wordWrap w:val="0"/>
        <w:topLinePunct/>
        <w:adjustRightInd w:val="0"/>
        <w:snapToGrid w:val="0"/>
        <w:spacing w:after="163" w:afterLines="50" w:line="360" w:lineRule="auto"/>
        <w:outlineLvl w:val="2"/>
        <w:rPr>
          <w:rFonts w:ascii="宋体" w:hAnsi="宋体" w:cs="宋体"/>
          <w:color w:val="auto"/>
          <w:highlight w:val="none"/>
        </w:rPr>
      </w:pPr>
      <w:bookmarkStart w:id="1736" w:name="_Ref3840683"/>
      <w:bookmarkEnd w:id="1736"/>
      <w:bookmarkStart w:id="1737" w:name="_Toc20171857"/>
      <w:bookmarkStart w:id="1738" w:name="_Toc51766709"/>
      <w:bookmarkStart w:id="1739" w:name="_Toc58860296"/>
      <w:bookmarkStart w:id="1740" w:name="_Toc31109"/>
      <w:r>
        <w:rPr>
          <w:rFonts w:hint="eastAsia" w:ascii="宋体" w:hAnsi="宋体" w:cs="宋体"/>
          <w:color w:val="auto"/>
          <w:szCs w:val="21"/>
          <w:highlight w:val="none"/>
          <w:lang w:bidi="ar"/>
        </w:rPr>
        <w:t>1</w:t>
      </w:r>
      <w:bookmarkEnd w:id="1737"/>
      <w:r>
        <w:rPr>
          <w:rFonts w:hint="eastAsia" w:ascii="宋体" w:hAnsi="宋体" w:cs="宋体"/>
          <w:color w:val="auto"/>
          <w:szCs w:val="21"/>
          <w:highlight w:val="none"/>
          <w:lang w:bidi="ar"/>
        </w:rPr>
        <w:t>8.2  工伤和意外伤害保险</w:t>
      </w:r>
      <w:bookmarkEnd w:id="1738"/>
      <w:bookmarkEnd w:id="1739"/>
      <w:bookmarkEnd w:id="1740"/>
    </w:p>
    <w:p w14:paraId="30E499FE">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18.2.1发包人应依照法律规定为其在施工现场的雇用人员办理工伤保险，缴纳工伤保险费；并要求工程师及由发包人为履行合同聘请的第三方在施工现场的雇用人员依法办理工伤保险。</w:t>
      </w:r>
    </w:p>
    <w:p w14:paraId="67A64A54">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18.2.2承包人应依照法律规定为其履行合同雇用的全部人员办理工伤保险，缴纳工伤保险费，并要求分包人及由承包人为履行合同聘请的第三方雇用的全部人员依法办理工伤保险。</w:t>
      </w:r>
    </w:p>
    <w:p w14:paraId="56331B78">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18.2.3发包人和承包人可以为其施工现场的全部人员办理意外伤害保险并支付保险费，包括其员工及为履行合同聘请的第三方的人员，具体事项由合同当事人在专用合同条件约定。</w:t>
      </w:r>
    </w:p>
    <w:p w14:paraId="3B8CC243">
      <w:pPr>
        <w:widowControl/>
        <w:wordWrap w:val="0"/>
        <w:topLinePunct/>
        <w:adjustRightInd w:val="0"/>
        <w:snapToGrid w:val="0"/>
        <w:spacing w:after="163" w:afterLines="50" w:line="360" w:lineRule="auto"/>
        <w:outlineLvl w:val="2"/>
        <w:rPr>
          <w:rFonts w:ascii="宋体" w:hAnsi="宋体" w:cs="宋体"/>
          <w:color w:val="auto"/>
          <w:highlight w:val="none"/>
        </w:rPr>
      </w:pPr>
      <w:bookmarkStart w:id="1741" w:name="_Ref3840782"/>
      <w:bookmarkEnd w:id="1741"/>
      <w:bookmarkStart w:id="1742" w:name="_Toc20171858"/>
      <w:bookmarkStart w:id="1743" w:name="_Toc58860297"/>
      <w:bookmarkStart w:id="1744" w:name="_Toc9367"/>
      <w:bookmarkStart w:id="1745" w:name="_Toc51766710"/>
      <w:r>
        <w:rPr>
          <w:rFonts w:hint="eastAsia" w:ascii="宋体" w:hAnsi="宋体" w:cs="宋体"/>
          <w:color w:val="auto"/>
          <w:szCs w:val="21"/>
          <w:highlight w:val="none"/>
          <w:lang w:bidi="ar"/>
        </w:rPr>
        <w:t>1</w:t>
      </w:r>
      <w:bookmarkEnd w:id="1742"/>
      <w:r>
        <w:rPr>
          <w:rFonts w:hint="eastAsia" w:ascii="宋体" w:hAnsi="宋体" w:cs="宋体"/>
          <w:color w:val="auto"/>
          <w:szCs w:val="21"/>
          <w:highlight w:val="none"/>
          <w:lang w:bidi="ar"/>
        </w:rPr>
        <w:t>8.3  货物保险</w:t>
      </w:r>
      <w:bookmarkEnd w:id="1743"/>
      <w:bookmarkEnd w:id="1744"/>
      <w:bookmarkEnd w:id="1745"/>
    </w:p>
    <w:p w14:paraId="4DAC198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承包人应按照专用合同条件的约定为运抵现场的施工设备、材料、工程设备和临时工程等办理财产保险，保险期限自上述货物运抵现场至其不再为工程所需要为止。</w:t>
      </w:r>
    </w:p>
    <w:p w14:paraId="454615D7">
      <w:pPr>
        <w:widowControl/>
        <w:wordWrap w:val="0"/>
        <w:topLinePunct/>
        <w:adjustRightInd w:val="0"/>
        <w:snapToGrid w:val="0"/>
        <w:spacing w:after="163" w:afterLines="50" w:line="360" w:lineRule="auto"/>
        <w:outlineLvl w:val="2"/>
        <w:rPr>
          <w:rFonts w:ascii="宋体" w:hAnsi="宋体" w:cs="宋体"/>
          <w:color w:val="auto"/>
          <w:highlight w:val="none"/>
        </w:rPr>
      </w:pPr>
      <w:bookmarkStart w:id="1746" w:name="_Toc20171859"/>
      <w:bookmarkEnd w:id="1746"/>
      <w:bookmarkStart w:id="1747" w:name="_Ref4692238"/>
      <w:bookmarkEnd w:id="1747"/>
      <w:bookmarkStart w:id="1748" w:name="_Ref4692231"/>
      <w:bookmarkStart w:id="1749" w:name="_Toc13491"/>
      <w:bookmarkStart w:id="1750" w:name="_Toc58860298"/>
      <w:bookmarkStart w:id="1751" w:name="_Toc51766711"/>
      <w:r>
        <w:rPr>
          <w:rFonts w:hint="eastAsia" w:ascii="宋体" w:hAnsi="宋体" w:cs="宋体"/>
          <w:color w:val="auto"/>
          <w:szCs w:val="21"/>
          <w:highlight w:val="none"/>
          <w:lang w:bidi="ar"/>
        </w:rPr>
        <w:t>1</w:t>
      </w:r>
      <w:bookmarkEnd w:id="1748"/>
      <w:r>
        <w:rPr>
          <w:rFonts w:hint="eastAsia" w:ascii="宋体" w:hAnsi="宋体" w:cs="宋体"/>
          <w:color w:val="auto"/>
          <w:szCs w:val="21"/>
          <w:highlight w:val="none"/>
          <w:lang w:bidi="ar"/>
        </w:rPr>
        <w:t>8.4  其他保险</w:t>
      </w:r>
      <w:bookmarkEnd w:id="1749"/>
      <w:bookmarkEnd w:id="1750"/>
      <w:bookmarkEnd w:id="1751"/>
    </w:p>
    <w:p w14:paraId="6E656B2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按照工程总承包模式所适用的法律法规和专用合同条件约定，投保其他保险并保持保险有效，其投保费用发包人自行承担。承包人应按照工程总承包模式所适用法律法规和专用合同条件约定投保相应保险并保持保险有效，其投保费用包含在合同价格中，但在合同执行过程中，新颁布适用的法律法规规定由承包人投保的强制保险，应根据本合同</w:t>
      </w:r>
      <w:bookmarkStart w:id="1752" w:name="_Toc296503126"/>
      <w:bookmarkEnd w:id="1752"/>
      <w:bookmarkStart w:id="1753" w:name="_Toc351203617"/>
      <w:bookmarkEnd w:id="1753"/>
      <w:bookmarkStart w:id="1754" w:name="_Toc337558832"/>
      <w:bookmarkEnd w:id="1754"/>
      <w:bookmarkStart w:id="1755" w:name="_Toc296346627"/>
      <w:bookmarkEnd w:id="1755"/>
      <w:r>
        <w:rPr>
          <w:rFonts w:hint="eastAsia" w:ascii="宋体" w:hAnsi="宋体" w:cs="宋体"/>
          <w:color w:val="auto"/>
          <w:kern w:val="0"/>
          <w:szCs w:val="21"/>
          <w:highlight w:val="none"/>
          <w:lang w:bidi="ar"/>
        </w:rPr>
        <w:t>第13条[变更与调整]的约定增加合同价款。</w:t>
      </w:r>
    </w:p>
    <w:p w14:paraId="78761C08">
      <w:pPr>
        <w:widowControl/>
        <w:wordWrap w:val="0"/>
        <w:topLinePunct/>
        <w:adjustRightInd w:val="0"/>
        <w:snapToGrid w:val="0"/>
        <w:spacing w:after="163" w:afterLines="50" w:line="360" w:lineRule="auto"/>
        <w:outlineLvl w:val="2"/>
        <w:rPr>
          <w:rFonts w:ascii="宋体" w:hAnsi="宋体" w:cs="宋体"/>
          <w:color w:val="auto"/>
          <w:highlight w:val="none"/>
        </w:rPr>
      </w:pPr>
      <w:bookmarkStart w:id="1756" w:name="_Toc20171860"/>
      <w:bookmarkEnd w:id="1756"/>
      <w:bookmarkStart w:id="1757" w:name="_Ref3840659"/>
      <w:bookmarkStart w:id="1758" w:name="_Toc58860299"/>
      <w:bookmarkStart w:id="1759" w:name="_Toc51766712"/>
      <w:bookmarkStart w:id="1760" w:name="_Toc24339"/>
      <w:r>
        <w:rPr>
          <w:rFonts w:hint="eastAsia" w:ascii="宋体" w:hAnsi="宋体" w:cs="宋体"/>
          <w:color w:val="auto"/>
          <w:szCs w:val="21"/>
          <w:highlight w:val="none"/>
          <w:lang w:bidi="ar"/>
        </w:rPr>
        <w:t>1</w:t>
      </w:r>
      <w:bookmarkEnd w:id="1757"/>
      <w:r>
        <w:rPr>
          <w:rFonts w:hint="eastAsia" w:ascii="宋体" w:hAnsi="宋体" w:cs="宋体"/>
          <w:color w:val="auto"/>
          <w:szCs w:val="21"/>
          <w:highlight w:val="none"/>
          <w:lang w:bidi="ar"/>
        </w:rPr>
        <w:t>8.5  对各项保险的一般要求</w:t>
      </w:r>
      <w:bookmarkEnd w:id="1758"/>
      <w:bookmarkEnd w:id="1759"/>
      <w:bookmarkEnd w:id="1760"/>
    </w:p>
    <w:p w14:paraId="74271396">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18.5.1持续保险</w:t>
      </w:r>
    </w:p>
    <w:p w14:paraId="352DC3A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合同当事人应与保险人保持联系，使保险人能够随时了解工程实施中的变动，并确保按保险合同条款要求持续保险。</w:t>
      </w:r>
    </w:p>
    <w:p w14:paraId="1315920A">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761" w:name="_Ref4777650"/>
      <w:bookmarkEnd w:id="1761"/>
      <w:r>
        <w:rPr>
          <w:rFonts w:hint="eastAsia" w:ascii="宋体" w:hAnsi="宋体" w:cs="宋体"/>
          <w:color w:val="auto"/>
          <w:szCs w:val="21"/>
          <w:highlight w:val="none"/>
          <w:lang w:bidi="ar"/>
        </w:rPr>
        <w:t>18.5.2保险凭证</w:t>
      </w:r>
    </w:p>
    <w:p w14:paraId="720A127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合同当事人应及时向另一方当事人提交其已投保的各项保险的凭证和保险单复印件，保险单必须与专用合同条件约定的条件保持一致。</w:t>
      </w:r>
    </w:p>
    <w:p w14:paraId="1A300892">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18.5.3未按约定投保的补救</w:t>
      </w:r>
    </w:p>
    <w:p w14:paraId="5978B68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负有投保义务的一方当事人未按合同约定办理保险，或未能使保险持续有效的，则另一方当事人可代为办理，所需费用由负有投保义务的一方当事人承担。</w:t>
      </w:r>
    </w:p>
    <w:p w14:paraId="7DDC429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负有投保</w:t>
      </w:r>
      <w:bookmarkStart w:id="1762" w:name="_Toc351203619"/>
      <w:bookmarkEnd w:id="1762"/>
      <w:bookmarkStart w:id="1763" w:name="_Toc337558834"/>
      <w:r>
        <w:rPr>
          <w:rFonts w:hint="eastAsia" w:ascii="宋体" w:hAnsi="宋体" w:cs="宋体"/>
          <w:color w:val="auto"/>
          <w:kern w:val="0"/>
          <w:szCs w:val="21"/>
          <w:highlight w:val="none"/>
          <w:lang w:bidi="ar"/>
        </w:rPr>
        <w:t>义务的一方当事人未</w:t>
      </w:r>
      <w:bookmarkEnd w:id="1763"/>
      <w:r>
        <w:rPr>
          <w:rFonts w:hint="eastAsia" w:ascii="宋体" w:hAnsi="宋体" w:cs="宋体"/>
          <w:color w:val="auto"/>
          <w:kern w:val="0"/>
          <w:szCs w:val="21"/>
          <w:highlight w:val="none"/>
          <w:lang w:bidi="ar"/>
        </w:rPr>
        <w:t>按合同约定办理某项保险，导致受益人未能得到足额赔偿的，由负有投保义务的一方当事人负责按照原应从该项保险得到的保险金数额进行补足。</w:t>
      </w:r>
    </w:p>
    <w:p w14:paraId="2FF91E03">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764" w:name="_Ref4692685"/>
      <w:bookmarkEnd w:id="1764"/>
      <w:r>
        <w:rPr>
          <w:rFonts w:hint="eastAsia" w:ascii="宋体" w:hAnsi="宋体" w:cs="宋体"/>
          <w:color w:val="auto"/>
          <w:szCs w:val="21"/>
          <w:highlight w:val="none"/>
          <w:lang w:bidi="ar"/>
        </w:rPr>
        <w:t>18.5.4通知义务</w:t>
      </w:r>
    </w:p>
    <w:p w14:paraId="429DF79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除专用合同条件另有约定外，任何一方当事人变更除工伤保险之外的保险合同时，应事先征得另一方当事人同意，并通知工程师。</w:t>
      </w:r>
    </w:p>
    <w:p w14:paraId="27C0CB3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保险事故发生时，投保人应按照保险合同规定的条件和期限及时向保险人报告。发包人和承包人应当在知道保险事故发生后及时通知对方。</w:t>
      </w:r>
    </w:p>
    <w:p w14:paraId="25F9F7A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双方按本条规定投保不减少双方在合同下的其他义务。</w:t>
      </w:r>
    </w:p>
    <w:p w14:paraId="4A911866">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765" w:name="_Toc20171861"/>
      <w:bookmarkEnd w:id="1765"/>
      <w:bookmarkStart w:id="1766" w:name="_Ref11874997"/>
      <w:bookmarkStart w:id="1767" w:name="_Toc58860300"/>
      <w:r>
        <w:rPr>
          <w:rFonts w:hint="eastAsia" w:ascii="宋体" w:hAnsi="宋体" w:cs="宋体"/>
          <w:color w:val="auto"/>
          <w:kern w:val="0"/>
          <w:szCs w:val="21"/>
          <w:highlight w:val="none"/>
          <w:lang w:bidi="ar"/>
        </w:rPr>
        <w:t>第1</w:t>
      </w:r>
      <w:bookmarkEnd w:id="1766"/>
      <w:r>
        <w:rPr>
          <w:rFonts w:hint="eastAsia" w:ascii="宋体" w:hAnsi="宋体" w:cs="宋体"/>
          <w:color w:val="auto"/>
          <w:kern w:val="0"/>
          <w:szCs w:val="21"/>
          <w:highlight w:val="none"/>
          <w:lang w:bidi="ar"/>
        </w:rPr>
        <w:t>9条  索赔</w:t>
      </w:r>
      <w:bookmarkEnd w:id="1767"/>
      <w:r>
        <w:rPr>
          <w:rFonts w:hint="eastAsia" w:ascii="宋体" w:hAnsi="宋体" w:cs="宋体"/>
          <w:color w:val="auto"/>
          <w:kern w:val="0"/>
          <w:szCs w:val="21"/>
          <w:highlight w:val="none"/>
          <w:lang w:bidi="ar"/>
        </w:rPr>
        <w:t xml:space="preserve"> </w:t>
      </w:r>
    </w:p>
    <w:p w14:paraId="5B8BC205">
      <w:pPr>
        <w:widowControl/>
        <w:wordWrap w:val="0"/>
        <w:topLinePunct/>
        <w:adjustRightInd w:val="0"/>
        <w:snapToGrid w:val="0"/>
        <w:spacing w:after="163" w:afterLines="50" w:line="360" w:lineRule="auto"/>
        <w:outlineLvl w:val="2"/>
        <w:rPr>
          <w:rFonts w:ascii="宋体" w:hAnsi="宋体" w:cs="宋体"/>
          <w:color w:val="auto"/>
          <w:highlight w:val="none"/>
        </w:rPr>
      </w:pPr>
      <w:bookmarkStart w:id="1768" w:name="_Ref4798164"/>
      <w:bookmarkEnd w:id="1768"/>
      <w:bookmarkStart w:id="1769" w:name="_Toc20171862"/>
      <w:bookmarkEnd w:id="1769"/>
      <w:bookmarkStart w:id="1770" w:name="_Ref4798173"/>
      <w:bookmarkStart w:id="1771" w:name="_Toc51766714"/>
      <w:bookmarkStart w:id="1772" w:name="_Toc20063"/>
      <w:bookmarkStart w:id="1773" w:name="_Toc58860301"/>
      <w:r>
        <w:rPr>
          <w:rFonts w:hint="eastAsia" w:ascii="宋体" w:hAnsi="宋体" w:cs="宋体"/>
          <w:color w:val="auto"/>
          <w:szCs w:val="21"/>
          <w:highlight w:val="none"/>
          <w:lang w:bidi="ar"/>
        </w:rPr>
        <w:t>1</w:t>
      </w:r>
      <w:bookmarkEnd w:id="1770"/>
      <w:r>
        <w:rPr>
          <w:rFonts w:hint="eastAsia" w:ascii="宋体" w:hAnsi="宋体" w:cs="宋体"/>
          <w:color w:val="auto"/>
          <w:szCs w:val="21"/>
          <w:highlight w:val="none"/>
          <w:lang w:bidi="ar"/>
        </w:rPr>
        <w:t xml:space="preserve">9.1  </w:t>
      </w:r>
      <w:bookmarkEnd w:id="1771"/>
      <w:bookmarkEnd w:id="1772"/>
      <w:r>
        <w:rPr>
          <w:rFonts w:hint="eastAsia" w:ascii="宋体" w:hAnsi="宋体" w:cs="宋体"/>
          <w:color w:val="auto"/>
          <w:szCs w:val="21"/>
          <w:highlight w:val="none"/>
          <w:lang w:bidi="ar"/>
        </w:rPr>
        <w:t>索赔的提出</w:t>
      </w:r>
      <w:bookmarkEnd w:id="1773"/>
    </w:p>
    <w:p w14:paraId="1EC5452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根据合同约定，任意一方认为有权得到追加/减少付款、延长缺陷责任期和（或）延长工期的，应按以下程序向对方提出索赔：</w:t>
      </w:r>
    </w:p>
    <w:p w14:paraId="3327942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索赔方应在知道或应当知道索赔事件发生后28天内，向对方递交索赔意向通知书，并说明发生索赔事件的事由；索赔方未在前述28天内发出索赔意向通知书的，丧失要求追加/减少付款、延长缺陷责任期和（或）延长工期的权利；</w:t>
      </w:r>
    </w:p>
    <w:p w14:paraId="4F60DEE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（2）索赔方应在发出索赔意向通知书后28天内，向对方正式递交索赔报告；索赔报告应详细说明索赔理由以及要求追加/减少的付款金额、延长缺陷责任期和（或）延长的工期，并附必要的记录和证明材料；</w:t>
      </w:r>
    </w:p>
    <w:p w14:paraId="5E2BFF4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（3）索赔事件具有持续影响的，索赔方应每月递交延续索赔通知，说明持续影响的实际情况和记录，列出累计的追加/减少付款金额、延长缺陷责任期和（或）工期延长天数；</w:t>
      </w:r>
    </w:p>
    <w:p w14:paraId="1F899D99">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bookmarkStart w:id="1774" w:name="_Ref4796178"/>
      <w:bookmarkEnd w:id="1774"/>
      <w:r>
        <w:rPr>
          <w:rFonts w:hint="eastAsia" w:ascii="宋体" w:hAnsi="宋体" w:cs="宋体"/>
          <w:color w:val="auto"/>
          <w:kern w:val="0"/>
          <w:szCs w:val="21"/>
          <w:highlight w:val="none"/>
          <w:lang w:bidi="ar"/>
        </w:rPr>
        <w:t>（4）在索赔事件影响结束后28天内，索赔方应向对方递交最终索赔报告，说明最终要求索赔的追加/减少付款金额、延长缺陷责任期和（或）延长的工期，并附必要的记录和证明材料。</w:t>
      </w:r>
    </w:p>
    <w:p w14:paraId="4AC39F40">
      <w:pPr>
        <w:widowControl/>
        <w:adjustRightInd w:val="0"/>
        <w:snapToGrid w:val="0"/>
        <w:spacing w:after="163" w:afterLines="50" w:line="360" w:lineRule="auto"/>
        <w:ind w:firstLine="420" w:firstLineChars="200"/>
        <w:rPr>
          <w:color w:val="auto"/>
          <w:highlight w:val="none"/>
        </w:rPr>
      </w:pPr>
      <w:r>
        <w:rPr>
          <w:rFonts w:hint="eastAsia"/>
          <w:color w:val="auto"/>
          <w:highlight w:val="none"/>
        </w:rPr>
        <w:t>（5） 承包人作为索赔方时，其索赔意向通知书、索赔报告及相关索赔文件应向工程师提出；发包人作为索赔方时，其索赔意向通知书、索赔报告及相关索赔文件可自行向承包人提出或由工程师向承包人提出。</w:t>
      </w:r>
    </w:p>
    <w:p w14:paraId="1880F3D8">
      <w:pPr>
        <w:widowControl/>
        <w:wordWrap w:val="0"/>
        <w:topLinePunct/>
        <w:adjustRightInd w:val="0"/>
        <w:snapToGrid w:val="0"/>
        <w:spacing w:after="163" w:afterLines="50" w:line="360" w:lineRule="auto"/>
        <w:outlineLvl w:val="2"/>
        <w:rPr>
          <w:rFonts w:ascii="宋体" w:hAnsi="宋体" w:cs="宋体"/>
          <w:color w:val="auto"/>
          <w:highlight w:val="none"/>
        </w:rPr>
      </w:pPr>
      <w:bookmarkStart w:id="1775" w:name="_Ref4796254"/>
      <w:bookmarkEnd w:id="1775"/>
      <w:bookmarkStart w:id="1776" w:name="_Toc20171863"/>
      <w:bookmarkEnd w:id="1776"/>
      <w:bookmarkStart w:id="1777" w:name="_Ref4796262"/>
      <w:bookmarkStart w:id="1778" w:name="_Toc51766715"/>
      <w:bookmarkStart w:id="1779" w:name="_Toc58860302"/>
      <w:bookmarkStart w:id="1780" w:name="_Toc22504"/>
      <w:r>
        <w:rPr>
          <w:rFonts w:hint="eastAsia" w:ascii="宋体" w:hAnsi="宋体" w:cs="宋体"/>
          <w:color w:val="auto"/>
          <w:szCs w:val="21"/>
          <w:highlight w:val="none"/>
          <w:lang w:bidi="ar"/>
        </w:rPr>
        <w:t>1</w:t>
      </w:r>
      <w:bookmarkEnd w:id="1777"/>
      <w:r>
        <w:rPr>
          <w:rFonts w:hint="eastAsia" w:ascii="宋体" w:hAnsi="宋体" w:cs="宋体"/>
          <w:color w:val="auto"/>
          <w:szCs w:val="21"/>
          <w:highlight w:val="none"/>
          <w:lang w:bidi="ar"/>
        </w:rPr>
        <w:t>9.2  承包人索赔的处理程序</w:t>
      </w:r>
      <w:bookmarkEnd w:id="1778"/>
      <w:bookmarkEnd w:id="1779"/>
      <w:bookmarkEnd w:id="1780"/>
    </w:p>
    <w:p w14:paraId="6EDCAD3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（1）工程师收到承包人提交的索赔报告后，应及时审查索赔报告的内容、查验承包人的记录和证明材料，必要时工程师可要求承包人提交全部原始记录副本。</w:t>
      </w:r>
    </w:p>
    <w:p w14:paraId="0266E03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工程师应按第3.6款[商定或确定]商定或确定追加的付款和（或）延长的工期，并在收到上述索赔报告或有关索赔的进一步证明材料后及时书面告知发包人，并在42天内，将发包人书面认可的索赔处理结果答复承包人。工程师在收到索赔报告或有关索赔的进一步证明材料后的42天内不予答复的，视为认可索赔。</w:t>
      </w:r>
    </w:p>
    <w:p w14:paraId="2261E93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（3）承包人接受索赔处理结果的，发包人应在作出索赔处理结果答复后28天内完成支付。承包人不接受索赔处理结果的，按照第20条[争议解决]约定处理。</w:t>
      </w:r>
    </w:p>
    <w:p w14:paraId="15DD91E1">
      <w:pPr>
        <w:widowControl/>
        <w:wordWrap w:val="0"/>
        <w:topLinePunct/>
        <w:adjustRightInd w:val="0"/>
        <w:snapToGrid w:val="0"/>
        <w:spacing w:after="163" w:afterLines="50" w:line="360" w:lineRule="auto"/>
        <w:outlineLvl w:val="2"/>
        <w:rPr>
          <w:rFonts w:ascii="宋体" w:hAnsi="宋体" w:cs="宋体"/>
          <w:color w:val="auto"/>
          <w:highlight w:val="none"/>
        </w:rPr>
      </w:pPr>
      <w:bookmarkStart w:id="1781" w:name="_Ref16542153"/>
      <w:bookmarkEnd w:id="1781"/>
      <w:bookmarkStart w:id="1782" w:name="_Ref16542123"/>
      <w:bookmarkEnd w:id="1782"/>
      <w:bookmarkStart w:id="1783" w:name="_Toc20171865"/>
      <w:bookmarkEnd w:id="1783"/>
      <w:bookmarkStart w:id="1784" w:name="_Toc58860303"/>
      <w:bookmarkStart w:id="1785" w:name="_Toc51766717"/>
      <w:bookmarkStart w:id="1786" w:name="_Toc28462"/>
      <w:r>
        <w:rPr>
          <w:rFonts w:hint="eastAsia" w:ascii="宋体" w:hAnsi="宋体" w:cs="宋体"/>
          <w:color w:val="auto"/>
          <w:szCs w:val="21"/>
          <w:highlight w:val="none"/>
          <w:lang w:bidi="ar"/>
        </w:rPr>
        <w:t>19.3  发包人索赔的处理程序</w:t>
      </w:r>
      <w:bookmarkEnd w:id="1784"/>
      <w:bookmarkEnd w:id="1785"/>
      <w:bookmarkEnd w:id="1786"/>
    </w:p>
    <w:p w14:paraId="291A84D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（1）承包人收到发包人提交的索赔报告后，应及时审查索赔报告的内容、查验发包人证明材料；</w:t>
      </w:r>
    </w:p>
    <w:p w14:paraId="1CAE5B7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（2）承包人应在收到上述索赔报告或有关索赔的进一步证明材料后42天内，将索赔处理结果答复发包人。承包人在收到索赔通知书或有关索赔的进一步证明材料后的42天内不予答复的，视为认可索赔。</w:t>
      </w:r>
    </w:p>
    <w:p w14:paraId="48E6CBE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（3）发包人接受索赔处理结果的，发包人可从应支付给承包人的合同价款中扣除赔付的金额或延长缺陷责任期；发包人不接受索赔处理结果的，按第20条[争议解决]约定处理。</w:t>
      </w:r>
    </w:p>
    <w:p w14:paraId="31237797">
      <w:pPr>
        <w:widowControl/>
        <w:wordWrap w:val="0"/>
        <w:topLinePunct/>
        <w:adjustRightInd w:val="0"/>
        <w:snapToGrid w:val="0"/>
        <w:spacing w:after="163" w:afterLines="50" w:line="360" w:lineRule="auto"/>
        <w:outlineLvl w:val="2"/>
        <w:rPr>
          <w:rFonts w:ascii="宋体" w:hAnsi="宋体" w:cs="宋体"/>
          <w:color w:val="auto"/>
          <w:highlight w:val="none"/>
        </w:rPr>
      </w:pPr>
      <w:bookmarkStart w:id="1787" w:name="_Toc20171866"/>
      <w:bookmarkEnd w:id="1787"/>
      <w:bookmarkStart w:id="1788" w:name="_Toc51766718"/>
      <w:bookmarkStart w:id="1789" w:name="_Toc58860304"/>
      <w:bookmarkStart w:id="1790" w:name="_Toc12092"/>
      <w:r>
        <w:rPr>
          <w:rFonts w:hint="eastAsia" w:ascii="宋体" w:hAnsi="宋体" w:cs="宋体"/>
          <w:color w:val="auto"/>
          <w:szCs w:val="21"/>
          <w:highlight w:val="none"/>
          <w:lang w:bidi="ar"/>
        </w:rPr>
        <w:t>19.4  提出索赔的期限</w:t>
      </w:r>
      <w:bookmarkEnd w:id="1788"/>
      <w:bookmarkEnd w:id="1789"/>
      <w:bookmarkEnd w:id="1790"/>
    </w:p>
    <w:p w14:paraId="43D23B3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（1）承包人按第14.5款[竣工结算]约定接收竣工付款证书后，应被认为已无权再提出在合同工程接收证书颁发前所发生的任何索赔。</w:t>
      </w:r>
    </w:p>
    <w:p w14:paraId="1AC4CD0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（2）承包人按第14.7款[最终结清]提交的最终结清申请单中，只限于提出工程接收证书颁发后发生的索赔。提出索赔的期限均自接受最终结清证书时终止。</w:t>
      </w:r>
    </w:p>
    <w:p w14:paraId="7C269E95">
      <w:pPr>
        <w:widowControl/>
        <w:wordWrap w:val="0"/>
        <w:topLinePunct/>
        <w:adjustRightInd w:val="0"/>
        <w:snapToGrid w:val="0"/>
        <w:spacing w:after="163" w:afterLines="50" w:line="360" w:lineRule="auto"/>
        <w:outlineLvl w:val="1"/>
        <w:rPr>
          <w:rFonts w:ascii="宋体" w:hAnsi="宋体" w:cs="宋体"/>
          <w:color w:val="auto"/>
          <w:kern w:val="0"/>
          <w:highlight w:val="none"/>
        </w:rPr>
      </w:pPr>
      <w:bookmarkStart w:id="1791" w:name="_Toc20171867"/>
      <w:bookmarkEnd w:id="1791"/>
      <w:bookmarkStart w:id="1792" w:name="_Ref532142075"/>
      <w:bookmarkEnd w:id="1792"/>
      <w:bookmarkStart w:id="1793" w:name="_Ref532197861"/>
      <w:bookmarkStart w:id="1794" w:name="_Toc58860305"/>
      <w:r>
        <w:rPr>
          <w:rFonts w:hint="eastAsia" w:ascii="宋体" w:hAnsi="宋体" w:cs="宋体"/>
          <w:color w:val="auto"/>
          <w:kern w:val="0"/>
          <w:szCs w:val="21"/>
          <w:highlight w:val="none"/>
          <w:lang w:bidi="ar"/>
        </w:rPr>
        <w:t>第2</w:t>
      </w:r>
      <w:bookmarkEnd w:id="1793"/>
      <w:r>
        <w:rPr>
          <w:rFonts w:hint="eastAsia" w:ascii="宋体" w:hAnsi="宋体" w:cs="宋体"/>
          <w:color w:val="auto"/>
          <w:kern w:val="0"/>
          <w:szCs w:val="21"/>
          <w:highlight w:val="none"/>
          <w:lang w:bidi="ar"/>
        </w:rPr>
        <w:t>0条  争议解决</w:t>
      </w:r>
      <w:bookmarkEnd w:id="1794"/>
      <w:r>
        <w:rPr>
          <w:rFonts w:hint="eastAsia" w:ascii="宋体" w:hAnsi="宋体" w:cs="宋体"/>
          <w:color w:val="auto"/>
          <w:kern w:val="0"/>
          <w:szCs w:val="21"/>
          <w:highlight w:val="none"/>
          <w:lang w:bidi="ar"/>
        </w:rPr>
        <w:t xml:space="preserve"> </w:t>
      </w:r>
    </w:p>
    <w:p w14:paraId="7D4A3826">
      <w:pPr>
        <w:widowControl/>
        <w:wordWrap w:val="0"/>
        <w:topLinePunct/>
        <w:adjustRightInd w:val="0"/>
        <w:snapToGrid w:val="0"/>
        <w:spacing w:after="163" w:afterLines="50" w:line="360" w:lineRule="auto"/>
        <w:outlineLvl w:val="2"/>
        <w:rPr>
          <w:rFonts w:ascii="宋体" w:hAnsi="宋体" w:cs="宋体"/>
          <w:color w:val="auto"/>
          <w:highlight w:val="none"/>
        </w:rPr>
      </w:pPr>
      <w:bookmarkStart w:id="1795" w:name="_Toc20171868"/>
      <w:bookmarkEnd w:id="1795"/>
      <w:bookmarkStart w:id="1796" w:name="_Ref415507198"/>
      <w:bookmarkStart w:id="1797" w:name="_Toc51766720"/>
      <w:bookmarkStart w:id="1798" w:name="_Toc9119"/>
      <w:bookmarkStart w:id="1799" w:name="_Toc58860306"/>
      <w:r>
        <w:rPr>
          <w:rFonts w:hint="eastAsia" w:ascii="宋体" w:hAnsi="宋体" w:cs="宋体"/>
          <w:color w:val="auto"/>
          <w:szCs w:val="21"/>
          <w:highlight w:val="none"/>
          <w:lang w:bidi="ar"/>
        </w:rPr>
        <w:t>2</w:t>
      </w:r>
      <w:bookmarkEnd w:id="1796"/>
      <w:r>
        <w:rPr>
          <w:rFonts w:hint="eastAsia" w:ascii="宋体" w:hAnsi="宋体" w:cs="宋体"/>
          <w:color w:val="auto"/>
          <w:szCs w:val="21"/>
          <w:highlight w:val="none"/>
          <w:lang w:bidi="ar"/>
        </w:rPr>
        <w:t>0.1  和解</w:t>
      </w:r>
      <w:bookmarkEnd w:id="1797"/>
      <w:bookmarkEnd w:id="1798"/>
      <w:bookmarkEnd w:id="1799"/>
    </w:p>
    <w:p w14:paraId="3D0A216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合同当事人可以就争议自行和解，自行和解达成协议的经双方签字并盖章后作为合同补充文件，双方均应遵照执行。</w:t>
      </w:r>
    </w:p>
    <w:p w14:paraId="64EE1AFF">
      <w:pPr>
        <w:widowControl/>
        <w:wordWrap w:val="0"/>
        <w:topLinePunct/>
        <w:adjustRightInd w:val="0"/>
        <w:snapToGrid w:val="0"/>
        <w:spacing w:after="163" w:afterLines="50" w:line="360" w:lineRule="auto"/>
        <w:outlineLvl w:val="2"/>
        <w:rPr>
          <w:rFonts w:ascii="宋体" w:hAnsi="宋体" w:cs="宋体"/>
          <w:color w:val="auto"/>
          <w:highlight w:val="none"/>
        </w:rPr>
      </w:pPr>
      <w:bookmarkStart w:id="1800" w:name="_Toc20171869"/>
      <w:bookmarkEnd w:id="1800"/>
      <w:bookmarkStart w:id="1801" w:name="_Toc16833"/>
      <w:bookmarkStart w:id="1802" w:name="_Toc51766721"/>
      <w:bookmarkStart w:id="1803" w:name="_Toc58860307"/>
      <w:r>
        <w:rPr>
          <w:rFonts w:hint="eastAsia" w:ascii="宋体" w:hAnsi="宋体" w:cs="宋体"/>
          <w:color w:val="auto"/>
          <w:szCs w:val="21"/>
          <w:highlight w:val="none"/>
          <w:lang w:bidi="ar"/>
        </w:rPr>
        <w:t>20.2  调解</w:t>
      </w:r>
      <w:bookmarkEnd w:id="1801"/>
      <w:bookmarkEnd w:id="1802"/>
      <w:bookmarkEnd w:id="1803"/>
      <w:r>
        <w:rPr>
          <w:rFonts w:hint="eastAsia" w:ascii="宋体" w:hAnsi="宋体" w:cs="宋体"/>
          <w:color w:val="auto"/>
          <w:szCs w:val="21"/>
          <w:highlight w:val="none"/>
          <w:lang w:bidi="ar"/>
        </w:rPr>
        <w:t xml:space="preserve"> </w:t>
      </w:r>
    </w:p>
    <w:p w14:paraId="490EAEC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合同当事人可以就争议请求建设行政主管部门、行业协会或其他第三方进行调解，调解达成协议的，经双方签字盖章后作为合同补充文件，双方均应遵照执行。</w:t>
      </w:r>
    </w:p>
    <w:p w14:paraId="639D0BFA">
      <w:pPr>
        <w:widowControl/>
        <w:wordWrap w:val="0"/>
        <w:topLinePunct/>
        <w:adjustRightInd w:val="0"/>
        <w:snapToGrid w:val="0"/>
        <w:spacing w:after="163" w:afterLines="50" w:line="360" w:lineRule="auto"/>
        <w:outlineLvl w:val="2"/>
        <w:rPr>
          <w:rFonts w:ascii="宋体" w:hAnsi="宋体" w:cs="宋体"/>
          <w:color w:val="auto"/>
          <w:highlight w:val="none"/>
        </w:rPr>
      </w:pPr>
      <w:bookmarkStart w:id="1804" w:name="_Ref532221532"/>
      <w:bookmarkEnd w:id="1804"/>
      <w:bookmarkStart w:id="1805" w:name="_Toc20171870"/>
      <w:bookmarkEnd w:id="1805"/>
      <w:bookmarkStart w:id="1806" w:name="_Ref532221527"/>
      <w:bookmarkStart w:id="1807" w:name="_Toc51766722"/>
      <w:bookmarkStart w:id="1808" w:name="_Toc11295"/>
      <w:bookmarkStart w:id="1809" w:name="_Toc58860308"/>
      <w:r>
        <w:rPr>
          <w:rFonts w:hint="eastAsia" w:ascii="宋体" w:hAnsi="宋体" w:cs="宋体"/>
          <w:color w:val="auto"/>
          <w:szCs w:val="21"/>
          <w:highlight w:val="none"/>
          <w:lang w:bidi="ar"/>
        </w:rPr>
        <w:t>2</w:t>
      </w:r>
      <w:bookmarkEnd w:id="1806"/>
      <w:r>
        <w:rPr>
          <w:rFonts w:hint="eastAsia" w:ascii="宋体" w:hAnsi="宋体" w:cs="宋体"/>
          <w:color w:val="auto"/>
          <w:szCs w:val="21"/>
          <w:highlight w:val="none"/>
          <w:lang w:bidi="ar"/>
        </w:rPr>
        <w:t>0.3  争议评审</w:t>
      </w:r>
      <w:bookmarkEnd w:id="1807"/>
      <w:bookmarkEnd w:id="1808"/>
      <w:bookmarkEnd w:id="1809"/>
    </w:p>
    <w:p w14:paraId="65A7632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合同当事人在专用合同条件中约定采取争议评审方式及评审规则解决争议的，按下列约定执行：</w:t>
      </w:r>
    </w:p>
    <w:p w14:paraId="20354DDE">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20.3.1争议评审小组的确定</w:t>
      </w:r>
    </w:p>
    <w:p w14:paraId="1AEC09A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当事人可以共同选择一名或三名争议评审员，组成争议评审小组。如专用合同条件未对成员人数进行约定，则应由三名成员组成。除专用合同条件另有约定外，合同当事人应当自合同订立后28天内，或者争议发生后14天内，选定争议评审员。</w:t>
      </w:r>
    </w:p>
    <w:p w14:paraId="725E5FB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选择一名争议评审员的，由合同当事人共同确定；选择三名争议评审员的，各自选定一名，第三名成员由合同当事人共同确定或由合同当事人委托已选定的争议评审员共同确定，为首席争议评审员。争议评审员为一人且合同当事人未能达成一致的，或争议评审员为三人且合同当事人就首席争议评审员未能达成一致的，由专用合同条件约定的评审机构指定。</w:t>
      </w:r>
    </w:p>
    <w:p w14:paraId="47F2A01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除专用合同条件另有约定外，争议评审员报酬由发包人和承包人各承担一半。</w:t>
      </w:r>
    </w:p>
    <w:p w14:paraId="57B4960E">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810" w:name="_Ref532287270"/>
      <w:bookmarkEnd w:id="1810"/>
      <w:r>
        <w:rPr>
          <w:rFonts w:hint="eastAsia" w:ascii="宋体" w:hAnsi="宋体" w:cs="宋体"/>
          <w:color w:val="auto"/>
          <w:szCs w:val="21"/>
          <w:highlight w:val="none"/>
          <w:lang w:bidi="ar"/>
        </w:rPr>
        <w:t>20.3.2争议的避免</w:t>
      </w:r>
    </w:p>
    <w:p w14:paraId="36338BE5">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合同当事人协商一致，可以共同书面请求争议评审小组，就合同履行过程中可能出现争议的情况提供协助或进行非正式讨论，争议评审小组应给出公正的意见或建议。</w:t>
      </w:r>
    </w:p>
    <w:p w14:paraId="570D6B4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此类协助或非正式讨论可在任何会议、施工现场视察或其他场合进行，并且除专用合同条件另有约定外，发包人和承包人均应出席。</w:t>
      </w:r>
    </w:p>
    <w:p w14:paraId="6CF59E0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争议评审小组在此类非正式讨论上给出的任何意见或建议，无论是口头还是书面的，对发包人和承包人不具有约束力，争议评审小组在之后的争议评审程序或决定中也不受此类意见或建议的约束。</w:t>
      </w:r>
    </w:p>
    <w:p w14:paraId="2E5D5F0F">
      <w:pPr>
        <w:widowControl/>
        <w:wordWrap w:val="0"/>
        <w:topLinePunct/>
        <w:adjustRightInd w:val="0"/>
        <w:snapToGrid w:val="0"/>
        <w:spacing w:after="163" w:afterLines="50" w:line="360" w:lineRule="auto"/>
        <w:ind w:left="480"/>
        <w:outlineLvl w:val="3"/>
        <w:rPr>
          <w:rFonts w:ascii="宋体" w:hAnsi="宋体" w:cs="宋体"/>
          <w:color w:val="auto"/>
          <w:highlight w:val="none"/>
        </w:rPr>
      </w:pPr>
      <w:bookmarkStart w:id="1811" w:name="_Ref4695594"/>
      <w:bookmarkEnd w:id="1811"/>
      <w:r>
        <w:rPr>
          <w:rFonts w:hint="eastAsia" w:ascii="宋体" w:hAnsi="宋体" w:cs="宋体"/>
          <w:color w:val="auto"/>
          <w:szCs w:val="21"/>
          <w:highlight w:val="none"/>
          <w:lang w:bidi="ar"/>
        </w:rPr>
        <w:t>20.3.3争议评审小组的决定</w:t>
      </w:r>
    </w:p>
    <w:p w14:paraId="4962CDA1">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或争议评审小组建议并经双方同意的其他期限内作出书面决定，并说明理由。合同当事人可以在专用合同条件中对本项事项另行约定。</w:t>
      </w:r>
    </w:p>
    <w:p w14:paraId="28D35717">
      <w:pPr>
        <w:widowControl/>
        <w:wordWrap w:val="0"/>
        <w:topLinePunct/>
        <w:adjustRightInd w:val="0"/>
        <w:snapToGrid w:val="0"/>
        <w:spacing w:after="163" w:afterLines="50" w:line="360" w:lineRule="auto"/>
        <w:ind w:left="480"/>
        <w:outlineLvl w:val="3"/>
        <w:rPr>
          <w:rFonts w:ascii="宋体" w:hAnsi="宋体" w:cs="宋体"/>
          <w:color w:val="auto"/>
          <w:highlight w:val="none"/>
        </w:rPr>
      </w:pPr>
      <w:r>
        <w:rPr>
          <w:rFonts w:hint="eastAsia" w:ascii="宋体" w:hAnsi="宋体" w:cs="宋体"/>
          <w:color w:val="auto"/>
          <w:szCs w:val="21"/>
          <w:highlight w:val="none"/>
          <w:lang w:bidi="ar"/>
        </w:rPr>
        <w:t>20.3.4争议评审小组决定的效力</w:t>
      </w:r>
    </w:p>
    <w:p w14:paraId="1A8DE74C">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争议评审小组作出的书面决定经合同当事人签字确认后，对双方具有约束力，双方应遵照执行。</w:t>
      </w:r>
    </w:p>
    <w:p w14:paraId="442D6E41">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任何一方当事人不接受争议评审小组决定或不履行争议评审小组决定的，双方可选择采用其他争议解决方式。</w:t>
      </w:r>
    </w:p>
    <w:p w14:paraId="67EAEAF3">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任何一方当事人不接受争议评审小组的决定，并不影响暂时执行争议评审小组的决定，直到在后续的采用其他争议解决方式中对争议评审小组的决定进行了改变。</w:t>
      </w:r>
    </w:p>
    <w:p w14:paraId="0936BED1">
      <w:pPr>
        <w:widowControl/>
        <w:wordWrap w:val="0"/>
        <w:topLinePunct/>
        <w:adjustRightInd w:val="0"/>
        <w:snapToGrid w:val="0"/>
        <w:spacing w:after="163" w:afterLines="50" w:line="360" w:lineRule="auto"/>
        <w:outlineLvl w:val="2"/>
        <w:rPr>
          <w:rFonts w:ascii="宋体" w:hAnsi="宋体" w:cs="宋体"/>
          <w:color w:val="auto"/>
          <w:highlight w:val="none"/>
        </w:rPr>
      </w:pPr>
      <w:bookmarkStart w:id="1812" w:name="_Toc20171871"/>
      <w:bookmarkEnd w:id="1812"/>
      <w:bookmarkStart w:id="1813" w:name="_Ref532221748"/>
      <w:bookmarkEnd w:id="1813"/>
      <w:bookmarkStart w:id="1814" w:name="_Ref532221752"/>
      <w:bookmarkStart w:id="1815" w:name="_Toc51766723"/>
      <w:bookmarkStart w:id="1816" w:name="_Toc26665"/>
      <w:bookmarkStart w:id="1817" w:name="_Toc58860309"/>
      <w:r>
        <w:rPr>
          <w:rFonts w:hint="eastAsia" w:ascii="宋体" w:hAnsi="宋体" w:cs="宋体"/>
          <w:color w:val="auto"/>
          <w:szCs w:val="21"/>
          <w:highlight w:val="none"/>
          <w:lang w:bidi="ar"/>
        </w:rPr>
        <w:t>2</w:t>
      </w:r>
      <w:bookmarkEnd w:id="1814"/>
      <w:r>
        <w:rPr>
          <w:rFonts w:hint="eastAsia" w:ascii="宋体" w:hAnsi="宋体" w:cs="宋体"/>
          <w:color w:val="auto"/>
          <w:szCs w:val="21"/>
          <w:highlight w:val="none"/>
          <w:lang w:bidi="ar"/>
        </w:rPr>
        <w:t>0.4  仲裁或诉讼</w:t>
      </w:r>
      <w:bookmarkEnd w:id="1815"/>
      <w:bookmarkEnd w:id="1816"/>
      <w:bookmarkEnd w:id="1817"/>
    </w:p>
    <w:p w14:paraId="1E93DED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因合同及合同有关事项产生的争议，合同当事人可以在专用合同条件中约定以下一种方式解决争议：</w:t>
      </w:r>
    </w:p>
    <w:p w14:paraId="745A86D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（1）向约定的仲裁委员会申请仲裁；</w:t>
      </w:r>
    </w:p>
    <w:p w14:paraId="30275B2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（2）向有管辖权的人民法院起诉。</w:t>
      </w:r>
    </w:p>
    <w:p w14:paraId="055DBEB2">
      <w:pPr>
        <w:widowControl/>
        <w:wordWrap w:val="0"/>
        <w:topLinePunct/>
        <w:adjustRightInd w:val="0"/>
        <w:snapToGrid w:val="0"/>
        <w:spacing w:after="163" w:afterLines="50" w:line="360" w:lineRule="auto"/>
        <w:outlineLvl w:val="2"/>
        <w:rPr>
          <w:rFonts w:ascii="宋体" w:hAnsi="宋体" w:cs="宋体"/>
          <w:color w:val="auto"/>
          <w:highlight w:val="none"/>
        </w:rPr>
      </w:pPr>
      <w:bookmarkStart w:id="1818" w:name="_Toc20171872"/>
      <w:bookmarkEnd w:id="1818"/>
      <w:bookmarkStart w:id="1819" w:name="_Toc51766724"/>
      <w:bookmarkStart w:id="1820" w:name="_Toc58860310"/>
      <w:bookmarkStart w:id="1821" w:name="_Toc9803"/>
      <w:r>
        <w:rPr>
          <w:rFonts w:hint="eastAsia" w:ascii="宋体" w:hAnsi="宋体" w:cs="宋体"/>
          <w:color w:val="auto"/>
          <w:szCs w:val="21"/>
          <w:highlight w:val="none"/>
          <w:lang w:bidi="ar"/>
        </w:rPr>
        <w:t>20.5  争议解决条款效力</w:t>
      </w:r>
      <w:bookmarkEnd w:id="1819"/>
      <w:bookmarkEnd w:id="1820"/>
      <w:bookmarkEnd w:id="1821"/>
    </w:p>
    <w:p w14:paraId="145AB3C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合同有关争议解决的条款独立存在，合同的不生效、无效、被撤销或者终止的，不影响合同中有关争议解决条款的效力。</w:t>
      </w:r>
    </w:p>
    <w:p w14:paraId="0C4BB8C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olor w:val="auto"/>
          <w:szCs w:val="21"/>
          <w:highlight w:val="none"/>
          <w:lang w:bidi="ar"/>
        </w:rPr>
        <w:br w:type="page"/>
      </w:r>
    </w:p>
    <w:p w14:paraId="1AA8EE87">
      <w:pPr>
        <w:widowControl/>
        <w:adjustRightInd w:val="0"/>
        <w:snapToGrid w:val="0"/>
        <w:spacing w:after="50" w:line="360" w:lineRule="auto"/>
        <w:jc w:val="center"/>
        <w:outlineLvl w:val="0"/>
        <w:rPr>
          <w:rFonts w:ascii="宋体" w:hAnsi="宋体" w:cs="宋体"/>
          <w:b/>
          <w:color w:val="auto"/>
          <w:kern w:val="44"/>
          <w:highlight w:val="none"/>
        </w:rPr>
      </w:pPr>
      <w:bookmarkStart w:id="1822" w:name="_Toc20171873"/>
      <w:bookmarkEnd w:id="1822"/>
      <w:bookmarkStart w:id="1823" w:name="_Toc58860311"/>
      <w:r>
        <w:rPr>
          <w:rFonts w:hint="eastAsia" w:ascii="宋体" w:hAnsi="宋体" w:cs="宋体"/>
          <w:b/>
          <w:color w:val="auto"/>
          <w:kern w:val="44"/>
          <w:szCs w:val="21"/>
          <w:highlight w:val="none"/>
          <w:lang w:bidi="ar"/>
        </w:rPr>
        <w:t>第三部分 专用合同条件</w:t>
      </w:r>
      <w:bookmarkEnd w:id="1823"/>
    </w:p>
    <w:p w14:paraId="3D2440FA">
      <w:pPr>
        <w:widowControl/>
        <w:adjustRightInd w:val="0"/>
        <w:snapToGrid w:val="0"/>
        <w:spacing w:after="163" w:afterLines="50" w:line="360" w:lineRule="auto"/>
        <w:outlineLvl w:val="1"/>
        <w:rPr>
          <w:rFonts w:ascii="宋体" w:hAnsi="宋体" w:cs="Times"/>
          <w:color w:val="auto"/>
          <w:kern w:val="0"/>
          <w:highlight w:val="none"/>
        </w:rPr>
      </w:pPr>
      <w:bookmarkStart w:id="1824" w:name="_Toc20171874"/>
      <w:bookmarkEnd w:id="1824"/>
      <w:bookmarkStart w:id="1825" w:name="_Toc58860312"/>
      <w:r>
        <w:rPr>
          <w:rFonts w:hint="eastAsia" w:ascii="宋体" w:hAnsi="宋体" w:cs="Times"/>
          <w:color w:val="auto"/>
          <w:kern w:val="0"/>
          <w:szCs w:val="21"/>
          <w:highlight w:val="none"/>
          <w:lang w:bidi="ar"/>
        </w:rPr>
        <w:t xml:space="preserve">第1条 </w:t>
      </w:r>
      <w:bookmarkStart w:id="1826" w:name="_Toc521267453"/>
      <w:bookmarkEnd w:id="1826"/>
      <w:r>
        <w:rPr>
          <w:rFonts w:hint="eastAsia" w:ascii="宋体" w:hAnsi="宋体" w:cs="Times"/>
          <w:color w:val="auto"/>
          <w:kern w:val="0"/>
          <w:szCs w:val="21"/>
          <w:highlight w:val="none"/>
          <w:lang w:bidi="ar"/>
        </w:rPr>
        <w:t>一般约定</w:t>
      </w:r>
      <w:bookmarkEnd w:id="1825"/>
    </w:p>
    <w:p w14:paraId="2342C10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 词语定义和解释</w:t>
      </w:r>
    </w:p>
    <w:p w14:paraId="01B89DC9">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1.1.1 合同</w:t>
      </w:r>
    </w:p>
    <w:p w14:paraId="21807C45">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1.1.1.7项目清单：是指发包人提供的载明工程总承包项目勘察费（如果有）、设计费、建筑安装工程费、专业设备材料费（如果有）、暂估价、暂列金额和双方约定的其他费用的名称和相应数量等内容的项目明细。本合同所称“专业设备材料费”是指：为实现项目的生产、处置等特殊功能需要的专业设备材料。</w:t>
      </w:r>
    </w:p>
    <w:p w14:paraId="6144229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1.1.1.10 其他合同文件：</w:t>
      </w:r>
      <w:r>
        <w:rPr>
          <w:rFonts w:hint="eastAsia" w:ascii="宋体" w:hAnsi="宋体" w:cs="宋体"/>
          <w:color w:val="auto"/>
          <w:kern w:val="0"/>
          <w:szCs w:val="21"/>
          <w:highlight w:val="none"/>
          <w:u w:val="single"/>
          <w:lang w:bidi="ar"/>
        </w:rPr>
        <w:t>按照合同协议书[第六条]约定执行</w:t>
      </w:r>
      <w:r>
        <w:rPr>
          <w:rFonts w:hint="eastAsia" w:ascii="宋体" w:hAnsi="宋体" w:cs="宋体"/>
          <w:color w:val="auto"/>
          <w:kern w:val="0"/>
          <w:szCs w:val="21"/>
          <w:highlight w:val="none"/>
          <w:lang w:bidi="ar"/>
        </w:rPr>
        <w:t>。</w:t>
      </w:r>
    </w:p>
    <w:p w14:paraId="0C8214C3">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本项补充1.1.1.11～1.1.1.12目：</w:t>
      </w:r>
    </w:p>
    <w:p w14:paraId="3B9C7F7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1.1.1.11 招标文件：指本工程的招标文件、图纸、其他技术资料及招标人发出的对招标文件所作的澄清、修改等资料。</w:t>
      </w:r>
    </w:p>
    <w:p w14:paraId="1E1F601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1.1.1.12 投标文件：指承包人参与本工程招标所提供的满足招标文件要求的文件及承包人对投标文件所作的澄清、修改等资料。</w:t>
      </w:r>
    </w:p>
    <w:p w14:paraId="5BEEC08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1.1.2 合同当事人及其他相关方</w:t>
      </w:r>
    </w:p>
    <w:p w14:paraId="5526BF7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本项补充1.1.2.12～1.1.2.14目：</w:t>
      </w:r>
    </w:p>
    <w:p w14:paraId="19340CD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1.1.2.12 监理人：是指在专用合同条件中指明的，受发包人委托按照法律规定进行工程监督管理的法人或其他组织。</w:t>
      </w:r>
      <w:r>
        <w:rPr>
          <w:rFonts w:hint="eastAsia" w:ascii="宋体" w:hAnsi="宋体" w:cs="宋体"/>
          <w:color w:val="auto"/>
          <w:szCs w:val="21"/>
          <w:highlight w:val="none"/>
          <w:lang w:bidi="ar"/>
        </w:rPr>
        <w:t>属于强制监理项目的，应委托监理人进行工程监督管理。</w:t>
      </w:r>
    </w:p>
    <w:p w14:paraId="6C2D7C2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1.1.2.13 设计人：是指在专用合同条件中指明的，受发包人委托负责工程方案设计和初步设计并具备相应工程设计资质的法人或其他组织。</w:t>
      </w:r>
    </w:p>
    <w:p w14:paraId="52E4A6F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1.1.2.14 总监理工程师：是指由监理人任命并派驻现场进行工程监理的总负责人。</w:t>
      </w:r>
    </w:p>
    <w:p w14:paraId="7500F90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1.1.3 工程和设备</w:t>
      </w:r>
    </w:p>
    <w:p w14:paraId="3DDF382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1.1.3.5 单位/区段工程的范围：</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E31946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1.1.3.9 作为施工场所组成部分的其他场所包括：</w:t>
      </w:r>
      <w:r>
        <w:rPr>
          <w:rFonts w:hint="eastAsia" w:ascii="宋体" w:hAnsi="宋体" w:cs="宋体"/>
          <w:color w:val="auto"/>
          <w:kern w:val="0"/>
          <w:szCs w:val="21"/>
          <w:highlight w:val="none"/>
          <w:u w:val="single"/>
          <w:lang w:bidi="ar"/>
        </w:rPr>
        <w:t>永久占地、临时占地以及为修建临时工程而租用、占用的土地</w:t>
      </w:r>
      <w:r>
        <w:rPr>
          <w:rFonts w:hint="eastAsia" w:ascii="宋体" w:hAnsi="宋体" w:cs="宋体"/>
          <w:color w:val="auto"/>
          <w:kern w:val="0"/>
          <w:szCs w:val="21"/>
          <w:highlight w:val="none"/>
          <w:lang w:bidi="ar"/>
        </w:rPr>
        <w:t>。</w:t>
      </w:r>
    </w:p>
    <w:p w14:paraId="728453F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1.1.3.10 永久占地包括：</w:t>
      </w:r>
      <w:r>
        <w:rPr>
          <w:rFonts w:hint="eastAsia" w:ascii="宋体" w:hAnsi="宋体" w:cs="宋体"/>
          <w:color w:val="auto"/>
          <w:kern w:val="0"/>
          <w:szCs w:val="21"/>
          <w:highlight w:val="none"/>
          <w:u w:val="single"/>
          <w:lang w:bidi="ar"/>
        </w:rPr>
        <w:t>为实施合同工程而需要的一切永久占用的土地，即合同工程用地红线范围内的土地</w:t>
      </w:r>
      <w:r>
        <w:rPr>
          <w:rFonts w:hint="eastAsia" w:ascii="宋体" w:hAnsi="宋体" w:cs="宋体"/>
          <w:color w:val="auto"/>
          <w:kern w:val="0"/>
          <w:szCs w:val="21"/>
          <w:highlight w:val="none"/>
          <w:lang w:bidi="ar"/>
        </w:rPr>
        <w:t>。</w:t>
      </w:r>
    </w:p>
    <w:p w14:paraId="2A8423B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1.1.3.11临时占地包括：</w:t>
      </w:r>
      <w:r>
        <w:rPr>
          <w:rFonts w:hint="eastAsia" w:ascii="宋体" w:hAnsi="宋体" w:cs="宋体"/>
          <w:color w:val="auto"/>
          <w:kern w:val="0"/>
          <w:szCs w:val="21"/>
          <w:highlight w:val="none"/>
          <w:u w:val="single"/>
          <w:lang w:bidi="ar"/>
        </w:rPr>
        <w:t>为实施合同工程而需要的一切临时占用的土地，包括施工所用的临时便道等的临时出入道，以及生产（办公）、生活等临时设施用地</w:t>
      </w:r>
      <w:r>
        <w:rPr>
          <w:rFonts w:hint="eastAsia" w:ascii="宋体" w:hAnsi="宋体" w:cs="宋体"/>
          <w:color w:val="auto"/>
          <w:kern w:val="0"/>
          <w:szCs w:val="21"/>
          <w:highlight w:val="none"/>
          <w:lang w:bidi="ar"/>
        </w:rPr>
        <w:t>。</w:t>
      </w:r>
    </w:p>
    <w:p w14:paraId="1BAC7D1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补充1.1.6.4～1.1.6.</w:t>
      </w:r>
      <w:r>
        <w:rPr>
          <w:rFonts w:ascii="宋体" w:hAnsi="宋体" w:cs="宋体"/>
          <w:color w:val="auto"/>
          <w:kern w:val="0"/>
          <w:szCs w:val="21"/>
          <w:highlight w:val="none"/>
          <w:lang w:bidi="ar"/>
        </w:rPr>
        <w:t>7</w:t>
      </w:r>
      <w:r>
        <w:rPr>
          <w:rFonts w:hint="eastAsia" w:ascii="宋体" w:hAnsi="宋体" w:cs="宋体"/>
          <w:color w:val="auto"/>
          <w:kern w:val="0"/>
          <w:szCs w:val="21"/>
          <w:highlight w:val="none"/>
          <w:lang w:bidi="ar"/>
        </w:rPr>
        <w:t>目：</w:t>
      </w:r>
    </w:p>
    <w:p w14:paraId="4351892F">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1.1.6.4 重大设计变更：指《重庆市房屋建筑和市政基础设施工程勘察设计变更管理办法》规定的以下设计变更：（1）《重庆市房屋建筑和市政基础设施工程重大设计变更分类表》所列变更内容；（2）其他涉及工程建设标准强制性条文、公共利益、公众安全的变更内容；（3）法律、法规、规章规定的其他重大设计变更内容。</w:t>
      </w:r>
    </w:p>
    <w:p w14:paraId="420D4FA0">
      <w:pPr>
        <w:widowControl/>
        <w:adjustRightInd w:val="0"/>
        <w:snapToGrid w:val="0"/>
        <w:spacing w:after="163" w:afterLines="50" w:line="360" w:lineRule="auto"/>
        <w:ind w:firstLine="420" w:firstLineChars="200"/>
        <w:rPr>
          <w:color w:val="auto"/>
          <w:highlight w:val="none"/>
          <w:lang w:bidi="ar"/>
        </w:rPr>
      </w:pPr>
      <w:r>
        <w:rPr>
          <w:rFonts w:hint="eastAsia" w:ascii="宋体" w:hAnsi="宋体" w:cs="宋体"/>
          <w:color w:val="auto"/>
          <w:kern w:val="0"/>
          <w:szCs w:val="21"/>
          <w:highlight w:val="none"/>
          <w:lang w:bidi="ar"/>
        </w:rPr>
        <w:t>1.1.6.</w:t>
      </w:r>
      <w:r>
        <w:rPr>
          <w:rFonts w:ascii="宋体" w:hAnsi="宋体" w:cs="宋体"/>
          <w:color w:val="auto"/>
          <w:kern w:val="0"/>
          <w:szCs w:val="21"/>
          <w:highlight w:val="none"/>
          <w:lang w:bidi="ar"/>
        </w:rPr>
        <w:t>5</w:t>
      </w:r>
      <w:r>
        <w:rPr>
          <w:rFonts w:hint="eastAsia" w:ascii="宋体" w:hAnsi="宋体" w:cs="宋体"/>
          <w:color w:val="auto"/>
          <w:kern w:val="0"/>
          <w:szCs w:val="21"/>
          <w:highlight w:val="none"/>
          <w:lang w:bidi="ar"/>
        </w:rPr>
        <w:t xml:space="preserve"> 一般设计变更：指除重大设计变更以外的其它设计变更。</w:t>
      </w:r>
    </w:p>
    <w:p w14:paraId="2705D95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1.1.6.</w:t>
      </w:r>
      <w:r>
        <w:rPr>
          <w:rFonts w:ascii="宋体" w:hAnsi="宋体" w:cs="宋体"/>
          <w:color w:val="auto"/>
          <w:kern w:val="0"/>
          <w:szCs w:val="21"/>
          <w:highlight w:val="none"/>
          <w:lang w:bidi="ar"/>
        </w:rPr>
        <w:t>6</w:t>
      </w:r>
      <w:r>
        <w:rPr>
          <w:rFonts w:hint="eastAsia" w:ascii="宋体" w:hAnsi="宋体" w:cs="宋体"/>
          <w:color w:val="auto"/>
          <w:kern w:val="0"/>
          <w:szCs w:val="21"/>
          <w:highlight w:val="none"/>
          <w:lang w:bidi="ar"/>
        </w:rPr>
        <w:t xml:space="preserve"> 转包、违法分包及挂靠：指符合《住房和城乡建设部关于印发建筑工程施工发包与承包违法行为认定查处管理办法的通知》（建市规〔2019〕1号）规定认定条件的违法行为。</w:t>
      </w:r>
    </w:p>
    <w:p w14:paraId="523AC09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1.1.6.</w:t>
      </w:r>
      <w:r>
        <w:rPr>
          <w:rFonts w:ascii="宋体" w:hAnsi="宋体" w:cs="宋体"/>
          <w:color w:val="auto"/>
          <w:kern w:val="0"/>
          <w:szCs w:val="21"/>
          <w:highlight w:val="none"/>
          <w:lang w:bidi="ar"/>
        </w:rPr>
        <w:t>7</w:t>
      </w:r>
      <w:r>
        <w:rPr>
          <w:rFonts w:hint="eastAsia" w:ascii="宋体" w:hAnsi="宋体" w:cs="宋体"/>
          <w:color w:val="auto"/>
          <w:kern w:val="0"/>
          <w:szCs w:val="21"/>
          <w:highlight w:val="none"/>
          <w:lang w:bidi="ar"/>
        </w:rPr>
        <w:t xml:space="preserve"> 危险性较大的分部分项工程（以下简称“危大工程”）：指住房和城乡建设部令第37号《危险性较大的分部分项工程安全管理规定》规定的房屋建筑和市政基础设施工程在施工过程中，容易导致人员群死群伤或者造成重大经济损失的分部分项工程。危大工程及超过一定规模的危大工程范围以国务院住房城乡建设主管部门制定及重庆市住房和城乡建设委员会补充的范围为准。</w:t>
      </w:r>
    </w:p>
    <w:p w14:paraId="3E6DC14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1.2 语言文字</w:t>
      </w:r>
    </w:p>
    <w:p w14:paraId="35B6432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本合同除使用汉语外，还使用</w:t>
      </w:r>
      <w:r>
        <w:rPr>
          <w:rFonts w:hint="eastAsia" w:ascii="宋体" w:hAnsi="宋体" w:cs="宋体"/>
          <w:color w:val="auto"/>
          <w:kern w:val="0"/>
          <w:szCs w:val="21"/>
          <w:highlight w:val="none"/>
          <w:u w:val="single"/>
          <w:lang w:bidi="ar"/>
        </w:rPr>
        <w:t xml:space="preserve"> / </w:t>
      </w:r>
      <w:r>
        <w:rPr>
          <w:rFonts w:hint="eastAsia" w:ascii="宋体" w:hAnsi="宋体" w:cs="宋体"/>
          <w:color w:val="auto"/>
          <w:kern w:val="0"/>
          <w:szCs w:val="21"/>
          <w:highlight w:val="none"/>
          <w:lang w:bidi="ar"/>
        </w:rPr>
        <w:t>语言。</w:t>
      </w:r>
    </w:p>
    <w:p w14:paraId="15729D4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 法律</w:t>
      </w:r>
    </w:p>
    <w:p w14:paraId="33AF11F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适用于合同的其他规范性文件：</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3A6556A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 标准和规范</w:t>
      </w:r>
    </w:p>
    <w:p w14:paraId="7BBFC03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1.4.1 适用于本合同的标准、规范（名称）包括：</w:t>
      </w:r>
    </w:p>
    <w:p w14:paraId="05E2F59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（1）施工图所涉及的技术标准、规范、规程、图集等；</w:t>
      </w:r>
    </w:p>
    <w:p w14:paraId="3AA58E91">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（2）国家、行业或重庆市与本工程有关的标准，以及相应的规范、规程等，当这些标准、规范、规程不一致时，以标准、规范、规程要求最高的为准。</w:t>
      </w:r>
    </w:p>
    <w:p w14:paraId="478B2AC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u w:val="single"/>
          <w:lang w:bidi="ar"/>
        </w:rPr>
        <w:t xml:space="preserve">（3）                              </w:t>
      </w:r>
      <w:r>
        <w:rPr>
          <w:rFonts w:hint="eastAsia" w:ascii="宋体" w:hAnsi="宋体" w:cs="宋体"/>
          <w:color w:val="auto"/>
          <w:kern w:val="0"/>
          <w:szCs w:val="21"/>
          <w:highlight w:val="none"/>
          <w:lang w:bidi="ar"/>
        </w:rPr>
        <w:t>。</w:t>
      </w:r>
    </w:p>
    <w:p w14:paraId="343B72A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1.4.2 发包人提供的国外标准、规范的名称：</w:t>
      </w:r>
      <w:r>
        <w:rPr>
          <w:rFonts w:hint="eastAsia" w:ascii="宋体" w:hAnsi="宋体" w:cs="宋体"/>
          <w:color w:val="auto"/>
          <w:kern w:val="0"/>
          <w:szCs w:val="21"/>
          <w:highlight w:val="none"/>
          <w:u w:val="single"/>
          <w:lang w:bidi="ar"/>
        </w:rPr>
        <w:t xml:space="preserve"> / </w:t>
      </w:r>
      <w:r>
        <w:rPr>
          <w:rFonts w:hint="eastAsia" w:ascii="宋体" w:hAnsi="宋体" w:cs="宋体"/>
          <w:color w:val="auto"/>
          <w:kern w:val="0"/>
          <w:szCs w:val="21"/>
          <w:highlight w:val="none"/>
          <w:lang w:bidi="ar"/>
        </w:rPr>
        <w:t>；发包人提供的国外标准、规范的份数：</w:t>
      </w:r>
      <w:r>
        <w:rPr>
          <w:rFonts w:hint="eastAsia" w:ascii="宋体" w:hAnsi="宋体" w:cs="宋体"/>
          <w:color w:val="auto"/>
          <w:kern w:val="0"/>
          <w:szCs w:val="21"/>
          <w:highlight w:val="none"/>
          <w:u w:val="single"/>
          <w:lang w:bidi="ar"/>
        </w:rPr>
        <w:t xml:space="preserve"> / </w:t>
      </w:r>
      <w:r>
        <w:rPr>
          <w:rFonts w:hint="eastAsia" w:ascii="宋体" w:hAnsi="宋体" w:cs="宋体"/>
          <w:color w:val="auto"/>
          <w:kern w:val="0"/>
          <w:szCs w:val="21"/>
          <w:highlight w:val="none"/>
          <w:lang w:bidi="ar"/>
        </w:rPr>
        <w:t>；发包人提供的国外标准、规范的时间：</w:t>
      </w:r>
      <w:r>
        <w:rPr>
          <w:rFonts w:hint="eastAsia" w:ascii="宋体" w:hAnsi="宋体" w:cs="宋体"/>
          <w:color w:val="auto"/>
          <w:kern w:val="0"/>
          <w:szCs w:val="21"/>
          <w:highlight w:val="none"/>
          <w:u w:val="single"/>
          <w:lang w:bidi="ar"/>
        </w:rPr>
        <w:t xml:space="preserve"> / </w:t>
      </w:r>
      <w:r>
        <w:rPr>
          <w:rFonts w:hint="eastAsia" w:ascii="宋体" w:hAnsi="宋体" w:cs="宋体"/>
          <w:color w:val="auto"/>
          <w:kern w:val="0"/>
          <w:szCs w:val="21"/>
          <w:highlight w:val="none"/>
          <w:lang w:bidi="ar"/>
        </w:rPr>
        <w:t>。</w:t>
      </w:r>
    </w:p>
    <w:p w14:paraId="58E90F7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1.4.3 没有成文规范、标准规定的约定：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5E9798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1.4.4 发包人对于工程的技术标准、功能要求：</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3BFC0E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1.5 合同文件的优先顺序</w:t>
      </w:r>
    </w:p>
    <w:p w14:paraId="18D1329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合同文件组成及优先顺序为：</w:t>
      </w:r>
    </w:p>
    <w:p w14:paraId="312AD27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（1）合同协议书；</w:t>
      </w:r>
    </w:p>
    <w:p w14:paraId="4F23DE2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（2）中标通知书（如果有）；</w:t>
      </w:r>
    </w:p>
    <w:p w14:paraId="6A7A6C4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（3）投标函及投标函附录（如果有）；</w:t>
      </w:r>
    </w:p>
    <w:p w14:paraId="6343894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（4）专用合同条件及《发包人要求》等附件；</w:t>
      </w:r>
    </w:p>
    <w:p w14:paraId="3EC4C73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（5）通用合同条件；</w:t>
      </w:r>
    </w:p>
    <w:p w14:paraId="16F7535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（6）招标文件及其澄清修改文件；</w:t>
      </w:r>
    </w:p>
    <w:p w14:paraId="655F447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（7）投标文件和（或）承包人建议书； </w:t>
      </w:r>
    </w:p>
    <w:p w14:paraId="67FD4EA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（8）价格清单；</w:t>
      </w:r>
    </w:p>
    <w:p w14:paraId="2552908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（9）双方约定的其他合同文件。</w:t>
      </w:r>
    </w:p>
    <w:p w14:paraId="4ED03D0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1.6 文件的提供和照管</w:t>
      </w:r>
    </w:p>
    <w:p w14:paraId="37F601B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1.6.1 发包人文件的提供</w:t>
      </w:r>
    </w:p>
    <w:p w14:paraId="41746ED4">
      <w:pPr>
        <w:widowControl/>
        <w:adjustRightInd w:val="0"/>
        <w:snapToGrid w:val="0"/>
        <w:spacing w:after="163" w:afterLines="50" w:line="360" w:lineRule="auto"/>
        <w:ind w:firstLine="420" w:firstLineChars="200"/>
        <w:jc w:val="left"/>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发包人文件的提供期限：通用合同条件第8.1.2项[开始工作通知]载明的开始工作日期前14天；</w:t>
      </w:r>
    </w:p>
    <w:p w14:paraId="717A5E5E">
      <w:pPr>
        <w:widowControl/>
        <w:adjustRightInd w:val="0"/>
        <w:snapToGrid w:val="0"/>
        <w:spacing w:after="163" w:afterLines="50" w:line="360" w:lineRule="auto"/>
        <w:ind w:firstLine="420" w:firstLineChars="200"/>
        <w:jc w:val="left"/>
        <w:rPr>
          <w:color w:val="auto"/>
          <w:highlight w:val="none"/>
          <w:lang w:bidi="ar"/>
        </w:rPr>
      </w:pPr>
      <w:r>
        <w:rPr>
          <w:rFonts w:hint="eastAsia" w:ascii="宋体" w:hAnsi="宋体" w:cs="宋体"/>
          <w:color w:val="auto"/>
          <w:kern w:val="0"/>
          <w:szCs w:val="21"/>
          <w:highlight w:val="none"/>
          <w:lang w:bidi="ar"/>
        </w:rPr>
        <w:t>发包人文件的名称：</w:t>
      </w:r>
      <w:r>
        <w:rPr>
          <w:rFonts w:hint="eastAsia" w:ascii="宋体" w:hAnsi="宋体" w:cs="宋体"/>
          <w:color w:val="auto"/>
          <w:kern w:val="0"/>
          <w:szCs w:val="21"/>
          <w:highlight w:val="none"/>
          <w:u w:val="single"/>
          <w:lang w:bidi="ar"/>
        </w:rPr>
        <w:t xml:space="preserve"> </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82FEC72">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发包人文件的数量：</w:t>
      </w:r>
      <w:r>
        <w:rPr>
          <w:rFonts w:hint="eastAsia" w:ascii="宋体" w:hAnsi="宋体" w:cs="宋体"/>
          <w:color w:val="auto"/>
          <w:kern w:val="0"/>
          <w:szCs w:val="21"/>
          <w:highlight w:val="none"/>
          <w:u w:val="single"/>
          <w:lang w:bidi="ar"/>
        </w:rPr>
        <w:t xml:space="preserve">   </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5D8F640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发包人文件的形式：纸质和电子形式。</w:t>
      </w:r>
    </w:p>
    <w:p w14:paraId="5EF3629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1.6.2 承包人文件的提供</w:t>
      </w:r>
    </w:p>
    <w:p w14:paraId="31898719">
      <w:pPr>
        <w:widowControl/>
        <w:adjustRightInd w:val="0"/>
        <w:snapToGrid w:val="0"/>
        <w:spacing w:after="163" w:afterLines="50" w:line="360" w:lineRule="auto"/>
        <w:ind w:firstLine="420" w:firstLineChars="200"/>
        <w:jc w:val="left"/>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提供的文件包括：施工图设计成果文件、施工组织设计、专项施工方案、危险性较大分部分项工程施工方案（如有）、安全应急方案、进度计划、报表及计划、竣工资料及施工过程中因工程变更需要报送的施工方案、施工过程中涉及工程价款变更的相关资料、完整的竣工结算资料等。</w:t>
      </w:r>
    </w:p>
    <w:p w14:paraId="4808970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承包人文件的提供期限：</w:t>
      </w:r>
      <w:r>
        <w:rPr>
          <w:rFonts w:hint="eastAsia" w:ascii="宋体" w:hAnsi="宋体" w:cs="宋体"/>
          <w:color w:val="auto"/>
          <w:kern w:val="0"/>
          <w:szCs w:val="21"/>
          <w:highlight w:val="none"/>
          <w:u w:val="single"/>
          <w:lang w:bidi="ar"/>
        </w:rPr>
        <w:t xml:space="preserve"> </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0326CBC">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承包人文件的数量：</w:t>
      </w:r>
      <w:r>
        <w:rPr>
          <w:rFonts w:hint="eastAsia" w:ascii="宋体" w:hAnsi="宋体" w:cs="宋体"/>
          <w:color w:val="auto"/>
          <w:kern w:val="0"/>
          <w:szCs w:val="21"/>
          <w:highlight w:val="none"/>
          <w:u w:val="single"/>
          <w:lang w:bidi="ar"/>
        </w:rPr>
        <w:t xml:space="preserve"> </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12B4C1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承包人文件的形式：纸质和电子形式。</w:t>
      </w:r>
    </w:p>
    <w:p w14:paraId="0DA8C30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1.6.4 文件的照管</w:t>
      </w:r>
    </w:p>
    <w:p w14:paraId="02878AA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关于现场文件准备的约定：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9547E2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1.7 联络</w:t>
      </w:r>
    </w:p>
    <w:p w14:paraId="1C22DB9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1.7.1 发包人和承包人应当在 1 天内将与合同有关的通知、批准、证明、证书、指示、指令、要求、请求、同意、意见、确定和决定等函件以书面形式送达对方当事人，并办理书面签收手续。商定采用电子传输方式的函件，双方应商定签收的方式，并留存相应的电子记录；</w:t>
      </w:r>
    </w:p>
    <w:p w14:paraId="3F3DE2E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1.7.2发包人指定的送达方式（包括电子传输方式）：</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FA6E99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发包人的送达地址：</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A35967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发包人的接收人：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6E0A38F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承包人指定的送达方式（包括电子传输方式）： </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34BD772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承包人的送达地址：</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25E2D9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承包人的接收人：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F232FD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1.10 知识产权</w:t>
      </w:r>
    </w:p>
    <w:p w14:paraId="558C6D3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1.10.1 由发包人（或以发包人名义）编制的《发包人要求》和其他文件的著作权归属：</w:t>
      </w:r>
      <w:r>
        <w:rPr>
          <w:rFonts w:hint="eastAsia" w:ascii="宋体" w:hAnsi="宋体" w:cs="宋体"/>
          <w:color w:val="auto"/>
          <w:kern w:val="0"/>
          <w:szCs w:val="21"/>
          <w:highlight w:val="none"/>
          <w:u w:val="single"/>
          <w:lang w:bidi="ar"/>
        </w:rPr>
        <w:t>属于发包人</w:t>
      </w:r>
      <w:r>
        <w:rPr>
          <w:rFonts w:hint="eastAsia" w:ascii="宋体" w:hAnsi="宋体" w:cs="宋体"/>
          <w:color w:val="auto"/>
          <w:kern w:val="0"/>
          <w:szCs w:val="21"/>
          <w:highlight w:val="none"/>
          <w:lang w:bidi="ar"/>
        </w:rPr>
        <w:t>。</w:t>
      </w:r>
    </w:p>
    <w:p w14:paraId="491ED78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1.10.2 由承包人（或以承包人名义）为实施工程所编制的文件、承包人完成的设计工作成果和建造完成的建筑物的知识产权归属：</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CF24CE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1.10.4 承包人在投标文件中采用的专利、专有技术、技术秘密的使用费的承担方式：</w:t>
      </w:r>
      <w:r>
        <w:rPr>
          <w:rFonts w:hint="eastAsia" w:ascii="宋体" w:hAnsi="宋体" w:cs="宋体"/>
          <w:color w:val="auto"/>
          <w:kern w:val="0"/>
          <w:szCs w:val="21"/>
          <w:highlight w:val="none"/>
          <w:u w:val="single"/>
          <w:lang w:bidi="ar"/>
        </w:rPr>
        <w:t xml:space="preserve">     </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6130689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1.11 保密</w:t>
      </w:r>
    </w:p>
    <w:p w14:paraId="13578AD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双方订立的商业保密协议（名称）：</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，作为本合同附件。</w:t>
      </w:r>
    </w:p>
    <w:p w14:paraId="491910C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双方订立的技术保密协议（名称）：</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，作为本合同附件。</w:t>
      </w:r>
    </w:p>
    <w:p w14:paraId="39B954A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1.13 责任限制</w:t>
      </w:r>
    </w:p>
    <w:p w14:paraId="07CB494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承包人对发包人赔偿责任的最高限额为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0540C8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1.14 建筑信息模型技术的应用</w:t>
      </w:r>
    </w:p>
    <w:p w14:paraId="3C7447C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关于建筑信息模型技术的开发、使用、存储、传输、交付及费用约定如下：</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FA1BBFA">
      <w:pPr>
        <w:widowControl/>
        <w:adjustRightInd w:val="0"/>
        <w:snapToGrid w:val="0"/>
        <w:spacing w:after="163" w:afterLines="50" w:line="360" w:lineRule="auto"/>
        <w:outlineLvl w:val="1"/>
        <w:rPr>
          <w:rFonts w:ascii="宋体" w:hAnsi="宋体" w:cs="Times"/>
          <w:color w:val="auto"/>
          <w:kern w:val="0"/>
          <w:highlight w:val="none"/>
        </w:rPr>
      </w:pPr>
      <w:bookmarkStart w:id="1827" w:name="_Toc20171875"/>
      <w:bookmarkEnd w:id="1827"/>
      <w:bookmarkStart w:id="1828" w:name="_Toc58860313"/>
      <w:r>
        <w:rPr>
          <w:rFonts w:hint="eastAsia" w:ascii="宋体" w:hAnsi="宋体" w:cs="Times"/>
          <w:color w:val="auto"/>
          <w:kern w:val="0"/>
          <w:szCs w:val="21"/>
          <w:highlight w:val="none"/>
          <w:lang w:bidi="ar"/>
        </w:rPr>
        <w:t>第2条 发包人</w:t>
      </w:r>
      <w:bookmarkEnd w:id="1828"/>
    </w:p>
    <w:p w14:paraId="4E4D42E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2.2 提供施工现场和工作条件</w:t>
      </w:r>
    </w:p>
    <w:p w14:paraId="66B89EA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2.2.1 提供施工现场</w:t>
      </w:r>
    </w:p>
    <w:p w14:paraId="58D46396">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关于发包人提供施工现场的范围和期限，采用以下第</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种方式：</w:t>
      </w:r>
    </w:p>
    <w:p w14:paraId="225AEED3">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（1）一次提供全部施工场地：发包人于开工前向承包人提供合同工程用地红线范围内的施工场地。</w:t>
      </w:r>
    </w:p>
    <w:p w14:paraId="3599AEE8">
      <w:pPr>
        <w:widowControl/>
        <w:adjustRightInd w:val="0"/>
        <w:snapToGrid w:val="0"/>
        <w:spacing w:after="163" w:afterLines="50" w:line="360" w:lineRule="auto"/>
        <w:ind w:firstLine="420" w:firstLineChars="200"/>
        <w:jc w:val="left"/>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（2）分次提供全部施工场地：发包人按约定的时间分次向承包人提供合同工程用地红线范围内的施工场地。</w:t>
      </w:r>
    </w:p>
    <w:p w14:paraId="5DE52397">
      <w:pPr>
        <w:widowControl/>
        <w:adjustRightInd w:val="0"/>
        <w:snapToGrid w:val="0"/>
        <w:spacing w:after="163" w:afterLines="50" w:line="360" w:lineRule="auto"/>
        <w:ind w:firstLine="420" w:firstLineChars="200"/>
        <w:jc w:val="left"/>
        <w:rPr>
          <w:color w:val="auto"/>
          <w:highlight w:val="none"/>
          <w:lang w:bidi="ar"/>
        </w:rPr>
      </w:pPr>
      <w:r>
        <w:rPr>
          <w:rFonts w:hint="eastAsia"/>
          <w:color w:val="auto"/>
          <w:highlight w:val="none"/>
          <w:lang w:bidi="ar"/>
        </w:rPr>
        <w:t>（3）其他方式：</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04B5A18">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承包人编制的施工组织计划已充分考虑了施工场地提供的因素。</w:t>
      </w:r>
    </w:p>
    <w:p w14:paraId="46AF2FC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施工场地未能按约定提供的，承包人应结合施工场地实际交地情况，优化施工组织计划。施工场地未能按约定提供，影响项目关键线路的，承包人可提交索赔申请，并经监理人、发包人审批后可按约定顺延项目工期，否则工期不予顺延。</w:t>
      </w:r>
    </w:p>
    <w:p w14:paraId="6194241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2.2.2 提供工作条件</w:t>
      </w:r>
    </w:p>
    <w:p w14:paraId="0D4BE29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关于发包人应负责提供的工作条件包括：</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2A38A6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2.3 提供基础资料</w:t>
      </w:r>
    </w:p>
    <w:p w14:paraId="385D359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关于发包人应提供的基础资料的范围和期限：</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B3189F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2.5 支付合同价款</w:t>
      </w:r>
    </w:p>
    <w:p w14:paraId="6CDA1CE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2.5.</w:t>
      </w:r>
      <w:r>
        <w:rPr>
          <w:rFonts w:ascii="宋体" w:hAnsi="宋体" w:cs="宋体"/>
          <w:color w:val="auto"/>
          <w:kern w:val="0"/>
          <w:szCs w:val="21"/>
          <w:highlight w:val="none"/>
          <w:lang w:bidi="ar"/>
        </w:rPr>
        <w:t>2</w:t>
      </w:r>
      <w:r>
        <w:rPr>
          <w:rFonts w:hint="eastAsia" w:ascii="宋体" w:hAnsi="宋体" w:cs="宋体"/>
          <w:color w:val="auto"/>
          <w:kern w:val="0"/>
          <w:szCs w:val="21"/>
          <w:highlight w:val="none"/>
          <w:lang w:bidi="ar"/>
        </w:rPr>
        <w:t xml:space="preserve"> 发包人提供资金来源证明及资金安排的期限要求：</w:t>
      </w:r>
      <w:r>
        <w:rPr>
          <w:rFonts w:hint="eastAsia" w:ascii="宋体" w:hAnsi="宋体" w:cs="宋体"/>
          <w:color w:val="auto"/>
          <w:kern w:val="0"/>
          <w:szCs w:val="21"/>
          <w:highlight w:val="none"/>
          <w:u w:val="single"/>
          <w:lang w:bidi="ar"/>
        </w:rPr>
        <w:t>不采用</w:t>
      </w:r>
      <w:r>
        <w:rPr>
          <w:rFonts w:hint="eastAsia" w:ascii="宋体" w:hAnsi="宋体" w:cs="宋体"/>
          <w:color w:val="auto"/>
          <w:kern w:val="0"/>
          <w:szCs w:val="21"/>
          <w:highlight w:val="none"/>
          <w:lang w:bidi="ar"/>
        </w:rPr>
        <w:t>。</w:t>
      </w:r>
    </w:p>
    <w:p w14:paraId="49AC5A3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2.5.3 发包人提供支付担保的形式、金额（或比例）、期限：</w:t>
      </w:r>
    </w:p>
    <w:p w14:paraId="62A3F936">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支付担保的形式：</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4DF3608">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支付担保的金额（或比例）：</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2CC71EC">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支付担保的提供时间：</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4BD025E">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支付担保的担保期限：</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077862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支付担保的退还时间：</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9626A7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2.7 其他义务</w:t>
      </w:r>
    </w:p>
    <w:p w14:paraId="7ABD917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发包人应履行的其他义务：</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47563FA">
      <w:pPr>
        <w:widowControl/>
        <w:adjustRightInd w:val="0"/>
        <w:snapToGrid w:val="0"/>
        <w:spacing w:after="163" w:afterLines="50" w:line="360" w:lineRule="auto"/>
        <w:outlineLvl w:val="1"/>
        <w:rPr>
          <w:rFonts w:ascii="宋体" w:hAnsi="宋体" w:cs="Times"/>
          <w:color w:val="auto"/>
          <w:kern w:val="0"/>
          <w:highlight w:val="none"/>
        </w:rPr>
      </w:pPr>
      <w:bookmarkStart w:id="1829" w:name="_Toc20171876"/>
      <w:bookmarkEnd w:id="1829"/>
      <w:bookmarkStart w:id="1830" w:name="_Toc58860314"/>
      <w:r>
        <w:rPr>
          <w:rFonts w:hint="eastAsia" w:ascii="宋体" w:hAnsi="宋体" w:cs="Times"/>
          <w:color w:val="auto"/>
          <w:kern w:val="0"/>
          <w:szCs w:val="21"/>
          <w:highlight w:val="none"/>
          <w:lang w:bidi="ar"/>
        </w:rPr>
        <w:t>第3条 发包人的管理</w:t>
      </w:r>
      <w:bookmarkEnd w:id="1830"/>
    </w:p>
    <w:p w14:paraId="5ED3342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3.1 发包人代表</w:t>
      </w:r>
    </w:p>
    <w:p w14:paraId="7AE774F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发包人代表的姓名：</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91927C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发包人代表的身份证号：</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1A14619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发包人代表的职务：</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2EF13E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发包人代表的联系电话：</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0F125C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发包人代表的电子邮箱：</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5A15B7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发包人代表的通信地址：</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03927C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发包人对发包人代表的授权范围如下：</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FD2C66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发包人代表的职责：</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233400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3.2 发包人人员</w:t>
      </w:r>
    </w:p>
    <w:p w14:paraId="07129D8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发包人人员姓名：</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2EE086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发包人人员职务：</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E12036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发包人人员职责：</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5CEC81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3.3 工程师</w:t>
      </w:r>
    </w:p>
    <w:p w14:paraId="08C8A4B6">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ascii="宋体" w:hAnsi="宋体" w:cs="宋体"/>
          <w:color w:val="auto"/>
          <w:kern w:val="0"/>
          <w:szCs w:val="21"/>
          <w:highlight w:val="none"/>
          <w:lang w:bidi="ar"/>
        </w:rPr>
        <w:t>.3.1</w:t>
      </w:r>
      <w:r>
        <w:rPr>
          <w:rFonts w:hint="eastAsia" w:ascii="宋体" w:hAnsi="宋体" w:cs="宋体"/>
          <w:color w:val="auto"/>
          <w:kern w:val="0"/>
          <w:szCs w:val="21"/>
          <w:highlight w:val="none"/>
          <w:lang w:bidi="ar"/>
        </w:rPr>
        <w:t>工程师（监理人）名称</w:t>
      </w:r>
      <w:r>
        <w:rPr>
          <w:rFonts w:ascii="宋体" w:hAnsi="宋体" w:cs="宋体"/>
          <w:color w:val="auto"/>
          <w:kern w:val="0"/>
          <w:szCs w:val="21"/>
          <w:highlight w:val="none"/>
          <w:lang w:bidi="ar"/>
        </w:rPr>
        <w:t>：</w:t>
      </w:r>
      <w:r>
        <w:rPr>
          <w:rFonts w:ascii="宋体" w:hAnsi="宋体" w:cs="宋体"/>
          <w:color w:val="auto"/>
          <w:kern w:val="0"/>
          <w:szCs w:val="21"/>
          <w:highlight w:val="none"/>
          <w:u w:val="single"/>
          <w:lang w:bidi="ar"/>
        </w:rPr>
        <w:t xml:space="preserve">                          </w:t>
      </w:r>
      <w:r>
        <w:rPr>
          <w:rFonts w:ascii="宋体" w:hAnsi="宋体" w:cs="宋体"/>
          <w:color w:val="auto"/>
          <w:kern w:val="0"/>
          <w:szCs w:val="21"/>
          <w:highlight w:val="none"/>
          <w:lang w:bidi="ar"/>
        </w:rPr>
        <w:t>；</w:t>
      </w:r>
      <w:r>
        <w:rPr>
          <w:rFonts w:hint="eastAsia" w:ascii="宋体" w:hAnsi="宋体" w:cs="宋体"/>
          <w:color w:val="auto"/>
          <w:kern w:val="0"/>
          <w:szCs w:val="21"/>
          <w:highlight w:val="none"/>
          <w:lang w:bidi="ar"/>
        </w:rPr>
        <w:t>工程师（监理人）监督管理</w:t>
      </w:r>
      <w:r>
        <w:rPr>
          <w:rFonts w:ascii="宋体" w:hAnsi="宋体" w:cs="宋体"/>
          <w:color w:val="auto"/>
          <w:kern w:val="0"/>
          <w:szCs w:val="21"/>
          <w:highlight w:val="none"/>
          <w:lang w:bidi="ar"/>
        </w:rPr>
        <w:t>范围</w:t>
      </w:r>
      <w:r>
        <w:rPr>
          <w:rFonts w:hint="eastAsia" w:ascii="宋体" w:hAnsi="宋体" w:cs="宋体"/>
          <w:color w:val="auto"/>
          <w:kern w:val="0"/>
          <w:szCs w:val="21"/>
          <w:highlight w:val="none"/>
          <w:lang w:bidi="ar"/>
        </w:rPr>
        <w:t>、内容</w:t>
      </w:r>
      <w:r>
        <w:rPr>
          <w:rFonts w:ascii="宋体" w:hAnsi="宋体" w:cs="宋体"/>
          <w:color w:val="auto"/>
          <w:kern w:val="0"/>
          <w:szCs w:val="21"/>
          <w:highlight w:val="none"/>
          <w:lang w:bidi="ar"/>
        </w:rPr>
        <w:t>：</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；工程师（监理人）</w:t>
      </w:r>
      <w:r>
        <w:rPr>
          <w:rFonts w:ascii="宋体" w:hAnsi="宋体" w:cs="宋体"/>
          <w:color w:val="auto"/>
          <w:kern w:val="0"/>
          <w:szCs w:val="21"/>
          <w:highlight w:val="none"/>
          <w:lang w:bidi="ar"/>
        </w:rPr>
        <w:t>权限：</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8C23FA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本合同工程为强制监理项目，采用</w:t>
      </w:r>
      <w:r>
        <w:rPr>
          <w:rFonts w:hint="eastAsia" w:ascii="宋体" w:hAnsi="宋体" w:cs="宋体"/>
          <w:color w:val="auto"/>
          <w:szCs w:val="21"/>
          <w:highlight w:val="none"/>
          <w:lang w:bidi="ar"/>
        </w:rPr>
        <w:t>委托监理人进行工程监督管理的方式。通用合同条件中凡涉及工程师的义务及职责，均为监理人的义务及职责，与《</w:t>
      </w:r>
      <w:r>
        <w:rPr>
          <w:rFonts w:ascii="宋体" w:hAnsi="宋体" w:cs="宋体"/>
          <w:color w:val="auto"/>
          <w:szCs w:val="21"/>
          <w:highlight w:val="none"/>
          <w:lang w:bidi="ar"/>
        </w:rPr>
        <w:t>建设工程监理规范</w:t>
      </w:r>
      <w:r>
        <w:rPr>
          <w:rFonts w:hint="eastAsia" w:ascii="宋体" w:hAnsi="宋体" w:cs="宋体"/>
          <w:color w:val="auto"/>
          <w:szCs w:val="21"/>
          <w:highlight w:val="none"/>
          <w:lang w:bidi="ar"/>
        </w:rPr>
        <w:t>》</w:t>
      </w:r>
      <w:r>
        <w:rPr>
          <w:rFonts w:ascii="宋体" w:hAnsi="宋体" w:cs="宋体"/>
          <w:color w:val="auto"/>
          <w:szCs w:val="21"/>
          <w:highlight w:val="none"/>
          <w:lang w:bidi="ar"/>
        </w:rPr>
        <w:t>（GB/T50319—2013）</w:t>
      </w:r>
      <w:r>
        <w:rPr>
          <w:rFonts w:hint="eastAsia" w:ascii="宋体" w:hAnsi="宋体" w:cs="宋体"/>
          <w:color w:val="auto"/>
          <w:szCs w:val="21"/>
          <w:highlight w:val="none"/>
          <w:lang w:bidi="ar"/>
        </w:rPr>
        <w:t>的</w:t>
      </w:r>
      <w:r>
        <w:rPr>
          <w:rFonts w:hint="eastAsia" w:ascii="宋体" w:hAnsi="宋体" w:cs="宋体"/>
          <w:color w:val="auto"/>
          <w:kern w:val="0"/>
          <w:szCs w:val="21"/>
          <w:highlight w:val="none"/>
          <w:lang w:bidi="ar"/>
        </w:rPr>
        <w:t>相关规定存在不一致的，以</w:t>
      </w:r>
      <w:r>
        <w:rPr>
          <w:rFonts w:hint="eastAsia" w:ascii="宋体" w:hAnsi="宋体" w:cs="宋体"/>
          <w:color w:val="auto"/>
          <w:szCs w:val="21"/>
          <w:highlight w:val="none"/>
          <w:lang w:bidi="ar"/>
        </w:rPr>
        <w:t>《</w:t>
      </w:r>
      <w:r>
        <w:rPr>
          <w:rFonts w:ascii="宋体" w:hAnsi="宋体" w:cs="宋体"/>
          <w:color w:val="auto"/>
          <w:szCs w:val="21"/>
          <w:highlight w:val="none"/>
          <w:lang w:bidi="ar"/>
        </w:rPr>
        <w:t>建设工程监理规范</w:t>
      </w:r>
      <w:r>
        <w:rPr>
          <w:rFonts w:hint="eastAsia" w:ascii="宋体" w:hAnsi="宋体" w:cs="宋体"/>
          <w:color w:val="auto"/>
          <w:szCs w:val="21"/>
          <w:highlight w:val="none"/>
          <w:lang w:bidi="ar"/>
        </w:rPr>
        <w:t>》</w:t>
      </w:r>
      <w:r>
        <w:rPr>
          <w:rFonts w:ascii="宋体" w:hAnsi="宋体" w:cs="宋体"/>
          <w:color w:val="auto"/>
          <w:szCs w:val="21"/>
          <w:highlight w:val="none"/>
          <w:lang w:bidi="ar"/>
        </w:rPr>
        <w:t>（GB/T50319—2013）</w:t>
      </w:r>
      <w:r>
        <w:rPr>
          <w:rFonts w:hint="eastAsia" w:ascii="宋体" w:hAnsi="宋体" w:cs="宋体"/>
          <w:color w:val="auto"/>
          <w:kern w:val="0"/>
          <w:szCs w:val="21"/>
          <w:highlight w:val="none"/>
          <w:lang w:bidi="ar"/>
        </w:rPr>
        <w:t>为准</w:t>
      </w:r>
      <w:r>
        <w:rPr>
          <w:rFonts w:hint="eastAsia" w:ascii="宋体" w:hAnsi="宋体" w:cs="宋体"/>
          <w:color w:val="auto"/>
          <w:szCs w:val="21"/>
          <w:highlight w:val="none"/>
          <w:lang w:bidi="ar"/>
        </w:rPr>
        <w:t>。</w:t>
      </w:r>
    </w:p>
    <w:p w14:paraId="73A1D1D9">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增加总监理工程师：</w:t>
      </w:r>
    </w:p>
    <w:p w14:paraId="6BD3320A">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姓    名：</w:t>
      </w:r>
      <w:r>
        <w:rPr>
          <w:rFonts w:hint="eastAsia" w:ascii="宋体" w:hAnsi="MingLiU_HKSCS" w:cs="MingLiU_HKSCS"/>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5A97A93">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职    务：</w:t>
      </w:r>
      <w:r>
        <w:rPr>
          <w:rFonts w:hint="eastAsia" w:ascii="宋体" w:hAnsi="MingLiU_HKSCS" w:cs="MingLiU_HKSCS"/>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67580C7">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监理工程师执业资格证书号：</w:t>
      </w:r>
      <w:r>
        <w:rPr>
          <w:rFonts w:hint="eastAsia" w:ascii="宋体" w:hAnsi="MingLiU_HKSCS" w:cs="MingLiU_HKSCS"/>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7A43A5B">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联系方式：</w:t>
      </w:r>
      <w:r>
        <w:rPr>
          <w:rFonts w:hint="eastAsia" w:ascii="宋体" w:hAnsi="MingLiU_HKSCS" w:cs="MingLiU_HKSCS"/>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AEF7FB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关于监理人的其他约定：见发包人与监理人就本合同工程订立的监理合同。</w:t>
      </w:r>
    </w:p>
    <w:p w14:paraId="5FA98C9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3.6 商定或确定</w:t>
      </w:r>
    </w:p>
    <w:p w14:paraId="554CA2E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w:t>
      </w:r>
      <w:r>
        <w:rPr>
          <w:rFonts w:ascii="宋体" w:hAnsi="宋体" w:cs="宋体"/>
          <w:color w:val="auto"/>
          <w:kern w:val="0"/>
          <w:szCs w:val="21"/>
          <w:highlight w:val="none"/>
          <w:lang w:bidi="ar"/>
        </w:rPr>
        <w:t xml:space="preserve">.6.2 </w:t>
      </w:r>
      <w:r>
        <w:rPr>
          <w:rFonts w:hint="eastAsia" w:ascii="宋体" w:hAnsi="宋体" w:cs="宋体"/>
          <w:color w:val="auto"/>
          <w:kern w:val="0"/>
          <w:szCs w:val="21"/>
          <w:highlight w:val="none"/>
          <w:lang w:bidi="ar"/>
        </w:rPr>
        <w:t>关于商定时间限制的具体约定：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039B8D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w:t>
      </w:r>
      <w:r>
        <w:rPr>
          <w:rFonts w:ascii="宋体" w:hAnsi="宋体" w:cs="宋体"/>
          <w:color w:val="auto"/>
          <w:kern w:val="0"/>
          <w:szCs w:val="21"/>
          <w:highlight w:val="none"/>
          <w:lang w:bidi="ar"/>
        </w:rPr>
        <w:t xml:space="preserve">.6.3 </w:t>
      </w:r>
      <w:r>
        <w:rPr>
          <w:rFonts w:hint="eastAsia" w:ascii="宋体" w:hAnsi="宋体" w:cs="宋体"/>
          <w:color w:val="auto"/>
          <w:kern w:val="0"/>
          <w:szCs w:val="21"/>
          <w:highlight w:val="none"/>
          <w:lang w:bidi="ar"/>
        </w:rPr>
        <w:t>关于商定或确定效力的具体约定：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944342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关于对监理人的确定提出异议的具体约定：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3255196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3.7 会议</w:t>
      </w:r>
    </w:p>
    <w:p w14:paraId="3A736354">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3</w:t>
      </w:r>
      <w:r>
        <w:rPr>
          <w:rFonts w:ascii="宋体" w:hAnsi="宋体" w:cs="宋体"/>
          <w:color w:val="auto"/>
          <w:kern w:val="0"/>
          <w:szCs w:val="21"/>
          <w:highlight w:val="none"/>
          <w:lang w:bidi="ar"/>
        </w:rPr>
        <w:t xml:space="preserve">.7.1 </w:t>
      </w:r>
      <w:r>
        <w:rPr>
          <w:rFonts w:hint="eastAsia" w:ascii="宋体" w:hAnsi="宋体" w:cs="宋体"/>
          <w:color w:val="auto"/>
          <w:kern w:val="0"/>
          <w:szCs w:val="21"/>
          <w:highlight w:val="none"/>
          <w:lang w:bidi="ar"/>
        </w:rPr>
        <w:t>关于召开会议的具体约定：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996420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w:t>
      </w:r>
      <w:r>
        <w:rPr>
          <w:rFonts w:ascii="宋体" w:hAnsi="宋体" w:cs="宋体"/>
          <w:color w:val="auto"/>
          <w:kern w:val="0"/>
          <w:szCs w:val="21"/>
          <w:highlight w:val="none"/>
          <w:lang w:bidi="ar"/>
        </w:rPr>
        <w:t xml:space="preserve">.7.2 </w:t>
      </w:r>
      <w:r>
        <w:rPr>
          <w:rFonts w:hint="eastAsia" w:ascii="宋体" w:hAnsi="宋体" w:cs="宋体"/>
          <w:color w:val="auto"/>
          <w:kern w:val="0"/>
          <w:szCs w:val="21"/>
          <w:highlight w:val="none"/>
          <w:lang w:bidi="ar"/>
        </w:rPr>
        <w:t>关于保存和提供会议纪要的具体约定：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BA21430">
      <w:pPr>
        <w:widowControl/>
        <w:adjustRightInd w:val="0"/>
        <w:snapToGrid w:val="0"/>
        <w:spacing w:after="163" w:afterLines="50" w:line="360" w:lineRule="auto"/>
        <w:outlineLvl w:val="1"/>
        <w:rPr>
          <w:rFonts w:ascii="宋体" w:hAnsi="宋体" w:cs="Times"/>
          <w:color w:val="auto"/>
          <w:kern w:val="0"/>
          <w:highlight w:val="none"/>
        </w:rPr>
      </w:pPr>
      <w:bookmarkStart w:id="1831" w:name="_Toc20171877"/>
      <w:bookmarkEnd w:id="1831"/>
      <w:bookmarkStart w:id="1832" w:name="_Toc58860315"/>
      <w:r>
        <w:rPr>
          <w:rFonts w:hint="eastAsia" w:ascii="宋体" w:hAnsi="宋体" w:cs="Times"/>
          <w:color w:val="auto"/>
          <w:kern w:val="0"/>
          <w:szCs w:val="21"/>
          <w:highlight w:val="none"/>
          <w:lang w:bidi="ar"/>
        </w:rPr>
        <w:t>第4条 承包人</w:t>
      </w:r>
      <w:bookmarkEnd w:id="1832"/>
    </w:p>
    <w:p w14:paraId="7125613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4.1 承包人的一般义务</w:t>
      </w:r>
    </w:p>
    <w:p w14:paraId="43C440D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承包人应履行的其他义务：</w:t>
      </w:r>
    </w:p>
    <w:p w14:paraId="61B2A40E">
      <w:pPr>
        <w:widowControl/>
        <w:adjustRightInd w:val="0"/>
        <w:snapToGrid w:val="0"/>
        <w:spacing w:after="163" w:afterLines="50" w:line="360" w:lineRule="auto"/>
        <w:ind w:firstLine="420" w:firstLineChars="200"/>
        <w:jc w:val="left"/>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w:t>
      </w:r>
      <w:r>
        <w:rPr>
          <w:rFonts w:ascii="宋体" w:hAnsi="宋体" w:cs="宋体"/>
          <w:color w:val="auto"/>
          <w:kern w:val="0"/>
          <w:szCs w:val="21"/>
          <w:highlight w:val="none"/>
          <w:u w:val="single"/>
          <w:lang w:bidi="ar"/>
        </w:rPr>
        <w:t>1）在开始施工之前，承包人应核查、复测本工程的各种基准标志。承包人应及时将上述基准标志中存在的错误、不完整或其他缺陷通知发包人，以便发包人核实后重新确认。</w:t>
      </w:r>
    </w:p>
    <w:p w14:paraId="2608BD26">
      <w:pPr>
        <w:widowControl/>
        <w:adjustRightInd w:val="0"/>
        <w:snapToGrid w:val="0"/>
        <w:spacing w:after="163" w:afterLines="50" w:line="360" w:lineRule="auto"/>
        <w:ind w:firstLine="420" w:firstLineChars="200"/>
        <w:jc w:val="left"/>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w:t>
      </w:r>
      <w:r>
        <w:rPr>
          <w:rFonts w:ascii="宋体" w:hAnsi="宋体" w:cs="宋体"/>
          <w:color w:val="auto"/>
          <w:kern w:val="0"/>
          <w:szCs w:val="21"/>
          <w:highlight w:val="none"/>
          <w:u w:val="single"/>
          <w:lang w:bidi="ar"/>
        </w:rPr>
        <w:t>2）承包人应负责合同工程范围内测量控制网的测量设定和管理工作，为控制施工造成测量控制网误差累加，每月承包人复测一次测量控制网，并将修正数据及时通知发包人。经监理人批准，其他相关承包人可免费使用施工控制网。</w:t>
      </w:r>
    </w:p>
    <w:p w14:paraId="4083A46A">
      <w:pPr>
        <w:widowControl/>
        <w:adjustRightInd w:val="0"/>
        <w:snapToGrid w:val="0"/>
        <w:spacing w:after="163" w:afterLines="50" w:line="360" w:lineRule="auto"/>
        <w:ind w:firstLine="420" w:firstLineChars="200"/>
        <w:jc w:val="left"/>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w:t>
      </w:r>
      <w:r>
        <w:rPr>
          <w:rFonts w:ascii="宋体" w:hAnsi="宋体" w:cs="宋体"/>
          <w:color w:val="auto"/>
          <w:kern w:val="0"/>
          <w:szCs w:val="21"/>
          <w:highlight w:val="none"/>
          <w:u w:val="single"/>
          <w:lang w:bidi="ar"/>
        </w:rPr>
        <w:t>3）承包人应在开始施工之前对本工程进行排查，补充完善遗漏的危大工程重点部位及环节。危大工程施工前，承包人应对危大工程编制专项施工方案，对于超过一定规模的危大工程，承包人还应组织召开专家论证会对专项施工方案进行论证，通过后方可实施。</w:t>
      </w:r>
    </w:p>
    <w:p w14:paraId="53E5EDE7">
      <w:pPr>
        <w:widowControl/>
        <w:adjustRightInd w:val="0"/>
        <w:snapToGrid w:val="0"/>
        <w:spacing w:after="163" w:afterLines="50" w:line="360" w:lineRule="auto"/>
        <w:ind w:firstLine="420" w:firstLineChars="200"/>
        <w:jc w:val="left"/>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w:t>
      </w:r>
      <w:r>
        <w:rPr>
          <w:rFonts w:ascii="宋体" w:hAnsi="宋体" w:cs="宋体"/>
          <w:color w:val="auto"/>
          <w:kern w:val="0"/>
          <w:szCs w:val="21"/>
          <w:highlight w:val="none"/>
          <w:u w:val="single"/>
          <w:lang w:bidi="ar"/>
        </w:rPr>
        <w:t>4）承包人应服从发包人要求的管理模式、工作方式和工作要求，同时接受监理人、跟审单位的管理和全程监督，配合项目结、决算的办理。</w:t>
      </w:r>
    </w:p>
    <w:p w14:paraId="1F5A309D">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w:t>
      </w:r>
      <w:r>
        <w:rPr>
          <w:rFonts w:ascii="宋体" w:hAnsi="宋体" w:cs="宋体"/>
          <w:color w:val="auto"/>
          <w:kern w:val="0"/>
          <w:szCs w:val="21"/>
          <w:highlight w:val="none"/>
          <w:u w:val="single"/>
          <w:lang w:bidi="ar"/>
        </w:rPr>
        <w:t>5）承包人应为本工程开立专用账户，接受发包人的监管。</w:t>
      </w:r>
    </w:p>
    <w:p w14:paraId="6E552ED8">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w:t>
      </w:r>
      <w:r>
        <w:rPr>
          <w:rFonts w:ascii="宋体" w:hAnsi="宋体" w:cs="宋体"/>
          <w:color w:val="auto"/>
          <w:kern w:val="0"/>
          <w:szCs w:val="21"/>
          <w:highlight w:val="none"/>
          <w:u w:val="single"/>
          <w:lang w:bidi="ar"/>
        </w:rPr>
        <w:t>6）按法律规定和合同约定采取施工安全和环境保护措施，办理工伤保险，确保工程及人员、材料、设备和设施的安全。施工期间，承包人应避免因施工危及红线范围外的邻近道路、建筑安全；应注意做好对周边建（构）筑物、绿化、设施设备、环境与生态的保护，做好围挡、监测以及安全防护，采取有效的防尘及降低噪声的措施，减小施工噪音及污水等对周边环境的影响包括对居民生活、工作、生产和经营等的影响；对不实施拆迁的建、构筑物应采取保护措施，并保证既有道路的正常通行。</w:t>
      </w:r>
    </w:p>
    <w:p w14:paraId="2CAB17F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u w:val="single"/>
          <w:lang w:bidi="ar"/>
        </w:rPr>
        <w:t>（</w:t>
      </w:r>
      <w:r>
        <w:rPr>
          <w:rFonts w:ascii="宋体" w:hAnsi="宋体" w:cs="宋体"/>
          <w:color w:val="auto"/>
          <w:kern w:val="0"/>
          <w:szCs w:val="21"/>
          <w:highlight w:val="none"/>
          <w:u w:val="single"/>
          <w:lang w:bidi="ar"/>
        </w:rPr>
        <w:t>7）承包人提交的竣工资料的内容：工程施工技术资料、工程质量保证资料、工程检验评定资料、竣工图及其他应交资料，应符合《建设工程文件归档整理规范》（GB/T50328-2014）和重庆市有关文件规定。</w:t>
      </w:r>
    </w:p>
    <w:p w14:paraId="5865E48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4.2 履约担保</w:t>
      </w:r>
    </w:p>
    <w:p w14:paraId="0C77EDD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4.2.1承包人提供履约担保的方式、金额、期限：</w:t>
      </w:r>
    </w:p>
    <w:p w14:paraId="2DC25B9E">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（1）承包人是否提供履约担保：</w:t>
      </w:r>
      <w:r>
        <w:rPr>
          <w:rFonts w:hint="eastAsia" w:ascii="宋体" w:hAnsi="宋体" w:cs="宋体"/>
          <w:color w:val="auto"/>
          <w:kern w:val="0"/>
          <w:szCs w:val="21"/>
          <w:highlight w:val="none"/>
          <w:u w:val="single"/>
          <w:lang w:bidi="ar"/>
        </w:rPr>
        <w:t>提供</w:t>
      </w:r>
      <w:r>
        <w:rPr>
          <w:rFonts w:hint="eastAsia" w:ascii="宋体" w:hAnsi="宋体" w:cs="宋体"/>
          <w:color w:val="auto"/>
          <w:kern w:val="0"/>
          <w:szCs w:val="21"/>
          <w:highlight w:val="none"/>
          <w:lang w:bidi="ar"/>
        </w:rPr>
        <w:t>。</w:t>
      </w:r>
    </w:p>
    <w:p w14:paraId="6F74244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（2）履约担保的方式：</w:t>
      </w:r>
      <w:r>
        <w:rPr>
          <w:rFonts w:hint="eastAsia" w:ascii="宋体" w:hAnsi="宋体"/>
          <w:color w:val="auto"/>
          <w:kern w:val="0"/>
          <w:szCs w:val="21"/>
          <w:highlight w:val="none"/>
          <w:u w:val="none"/>
        </w:rPr>
        <w:t>现金或银行保函或现金+银行保函的组合；采用银行保函形式的，保函必须为不可撤销且见索即付</w:t>
      </w:r>
      <w:r>
        <w:rPr>
          <w:rFonts w:hint="eastAsia" w:ascii="宋体" w:hAnsi="宋体" w:cs="宋体"/>
          <w:color w:val="auto"/>
          <w:kern w:val="0"/>
          <w:szCs w:val="21"/>
          <w:highlight w:val="none"/>
          <w:lang w:bidi="ar"/>
        </w:rPr>
        <w:t>。</w:t>
      </w:r>
    </w:p>
    <w:p w14:paraId="0714532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（3）履约担保的金额：</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D1FA30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（4）履约担保的提交时间：</w:t>
      </w:r>
      <w:r>
        <w:rPr>
          <w:rFonts w:hint="eastAsia" w:ascii="宋体" w:hAnsi="宋体" w:cs="宋体"/>
          <w:color w:val="auto"/>
          <w:kern w:val="0"/>
          <w:szCs w:val="21"/>
          <w:highlight w:val="none"/>
          <w:u w:val="single"/>
          <w:lang w:bidi="ar"/>
        </w:rPr>
        <w:t>在合同订立前，承包人按担保金额向发包人提交履约担保</w:t>
      </w:r>
      <w:r>
        <w:rPr>
          <w:rFonts w:hint="eastAsia" w:ascii="宋体" w:hAnsi="宋体" w:cs="宋体"/>
          <w:color w:val="auto"/>
          <w:kern w:val="0"/>
          <w:szCs w:val="21"/>
          <w:highlight w:val="none"/>
          <w:lang w:bidi="ar"/>
        </w:rPr>
        <w:t>。</w:t>
      </w:r>
    </w:p>
    <w:p w14:paraId="63E487B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（5）履约担保的期限：</w:t>
      </w:r>
      <w:r>
        <w:rPr>
          <w:rFonts w:hint="eastAsia" w:ascii="宋体" w:hAnsi="宋体" w:cs="宋体"/>
          <w:color w:val="auto"/>
          <w:kern w:val="0"/>
          <w:szCs w:val="21"/>
          <w:highlight w:val="none"/>
          <w:u w:val="single"/>
          <w:lang w:bidi="ar"/>
        </w:rPr>
        <w:t>自提交履约担保之日起至竣工验收合格之日止</w:t>
      </w:r>
      <w:r>
        <w:rPr>
          <w:rFonts w:hint="eastAsia" w:ascii="宋体" w:hAnsi="宋体" w:cs="宋体"/>
          <w:color w:val="auto"/>
          <w:kern w:val="0"/>
          <w:szCs w:val="21"/>
          <w:highlight w:val="none"/>
          <w:lang w:bidi="ar"/>
        </w:rPr>
        <w:t>。</w:t>
      </w:r>
    </w:p>
    <w:p w14:paraId="2062372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（6）履约担保的退还时间：</w:t>
      </w:r>
      <w:r>
        <w:rPr>
          <w:rFonts w:hint="eastAsia" w:ascii="宋体" w:hAnsi="宋体" w:cs="宋体"/>
          <w:color w:val="auto"/>
          <w:kern w:val="0"/>
          <w:szCs w:val="21"/>
          <w:highlight w:val="none"/>
          <w:u w:val="single"/>
          <w:lang w:bidi="ar"/>
        </w:rPr>
        <w:t>采用现金担保的，工程竣工验收合格后</w:t>
      </w:r>
      <w:r>
        <w:rPr>
          <w:rFonts w:ascii="宋体" w:hAnsi="宋体" w:cs="宋体"/>
          <w:color w:val="auto"/>
          <w:kern w:val="0"/>
          <w:szCs w:val="21"/>
          <w:highlight w:val="none"/>
          <w:u w:val="single"/>
          <w:lang w:bidi="ar"/>
        </w:rPr>
        <w:t>14天内无息退还，或按工程实际情况约定分阶段退还，阶段划分按</w:t>
      </w:r>
      <w:r>
        <w:rPr>
          <w:rFonts w:hint="eastAsia" w:ascii="宋体" w:hAnsi="宋体" w:cs="宋体"/>
          <w:color w:val="auto"/>
          <w:kern w:val="0"/>
          <w:szCs w:val="21"/>
          <w:highlight w:val="none"/>
          <w:u w:val="single"/>
          <w:lang w:bidi="ar"/>
        </w:rPr>
        <w:t xml:space="preserve">            标准执行；采用银行保函的，工程竣工验收合格后</w:t>
      </w:r>
      <w:r>
        <w:rPr>
          <w:rFonts w:ascii="宋体" w:hAnsi="宋体" w:cs="宋体"/>
          <w:color w:val="auto"/>
          <w:kern w:val="0"/>
          <w:szCs w:val="21"/>
          <w:highlight w:val="none"/>
          <w:u w:val="single"/>
          <w:lang w:bidi="ar"/>
        </w:rPr>
        <w:t>14天内退还，或按工程实际情况约定分阶段退还，阶段划分按</w:t>
      </w:r>
      <w:r>
        <w:rPr>
          <w:rFonts w:hint="eastAsia" w:ascii="宋体" w:hAnsi="宋体" w:cs="宋体"/>
          <w:color w:val="auto"/>
          <w:kern w:val="0"/>
          <w:szCs w:val="21"/>
          <w:highlight w:val="none"/>
          <w:u w:val="single"/>
          <w:lang w:bidi="ar"/>
        </w:rPr>
        <w:t xml:space="preserve">            标准执行</w:t>
      </w:r>
      <w:r>
        <w:rPr>
          <w:rFonts w:hint="eastAsia" w:ascii="宋体" w:hAnsi="宋体" w:cs="宋体"/>
          <w:color w:val="auto"/>
          <w:kern w:val="0"/>
          <w:szCs w:val="21"/>
          <w:highlight w:val="none"/>
          <w:lang w:bidi="ar"/>
        </w:rPr>
        <w:t>。</w:t>
      </w:r>
    </w:p>
    <w:p w14:paraId="7AC8ADBC">
      <w:pPr>
        <w:widowControl/>
        <w:adjustRightInd w:val="0"/>
        <w:snapToGrid w:val="0"/>
        <w:spacing w:after="163" w:afterLines="50" w:line="360" w:lineRule="auto"/>
        <w:ind w:firstLine="420" w:firstLineChars="200"/>
        <w:jc w:val="left"/>
        <w:rPr>
          <w:rFonts w:ascii="宋体" w:hAnsi="宋体" w:cs="宋体"/>
          <w:color w:val="auto"/>
          <w:highlight w:val="none"/>
        </w:rPr>
      </w:pPr>
      <w:r>
        <w:rPr>
          <w:rFonts w:hint="eastAsia" w:ascii="宋体" w:hAnsi="宋体" w:cs="宋体"/>
          <w:color w:val="auto"/>
          <w:kern w:val="0"/>
          <w:szCs w:val="21"/>
          <w:highlight w:val="none"/>
          <w:lang w:bidi="ar"/>
        </w:rPr>
        <w:t>增加：</w:t>
      </w:r>
    </w:p>
    <w:p w14:paraId="4FD74524">
      <w:pPr>
        <w:widowControl/>
        <w:adjustRightInd w:val="0"/>
        <w:snapToGrid w:val="0"/>
        <w:spacing w:after="163" w:afterLines="50" w:line="360" w:lineRule="auto"/>
        <w:ind w:firstLine="420" w:firstLineChars="200"/>
        <w:jc w:val="left"/>
        <w:rPr>
          <w:rFonts w:ascii="宋体" w:hAnsi="宋体" w:cs="宋体"/>
          <w:color w:val="auto"/>
          <w:highlight w:val="none"/>
        </w:rPr>
      </w:pPr>
      <w:r>
        <w:rPr>
          <w:rFonts w:hint="eastAsia" w:ascii="宋体" w:hAnsi="宋体" w:cs="宋体"/>
          <w:color w:val="auto"/>
          <w:kern w:val="0"/>
          <w:szCs w:val="21"/>
          <w:highlight w:val="none"/>
          <w:lang w:bidi="ar"/>
        </w:rPr>
        <w:t>4.2.2 低价风险担保</w:t>
      </w:r>
    </w:p>
    <w:p w14:paraId="058BD632">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承包人提供低价风险担保的情形：采用经评审的最低投标价法的项目投标报价低于最高限价85%时。</w:t>
      </w:r>
    </w:p>
    <w:p w14:paraId="7316777F">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承包人提供低价风险担保的方式、金额、提交退还时间及期限：</w:t>
      </w:r>
    </w:p>
    <w:p w14:paraId="39347094">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（1）低价风险担保的方式：</w:t>
      </w:r>
      <w:r>
        <w:rPr>
          <w:rFonts w:hint="eastAsia" w:ascii="宋体" w:hAnsi="宋体"/>
          <w:color w:val="auto"/>
          <w:kern w:val="0"/>
          <w:szCs w:val="21"/>
          <w:highlight w:val="none"/>
          <w:u w:val="none"/>
        </w:rPr>
        <w:t>现金或银行保函或现金+银行保函的组合；采用银行保函形式的，保函必须为不可撤销且见索即付。</w:t>
      </w:r>
    </w:p>
    <w:p w14:paraId="2F308696">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（2）低价风险担保的金额：</w:t>
      </w:r>
      <w:r>
        <w:rPr>
          <w:rFonts w:hint="eastAsia" w:ascii="宋体" w:hAnsi="宋体"/>
          <w:color w:val="auto"/>
          <w:kern w:val="0"/>
          <w:szCs w:val="21"/>
          <w:highlight w:val="none"/>
          <w:u w:val="single"/>
        </w:rPr>
        <w:t xml:space="preserve">        </w:t>
      </w:r>
      <w:r>
        <w:rPr>
          <w:rFonts w:hint="eastAsia" w:ascii="宋体" w:hAnsi="宋体" w:cs="宋体"/>
          <w:color w:val="auto"/>
          <w:kern w:val="0"/>
          <w:szCs w:val="21"/>
          <w:highlight w:val="none"/>
          <w:lang w:bidi="ar"/>
        </w:rPr>
        <w:t>。</w:t>
      </w:r>
    </w:p>
    <w:p w14:paraId="61A204E4">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（3）低价风险担保的提交时间：从招标人低价风险担保书面通知送达中标候选人之日起</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工作日内。</w:t>
      </w:r>
    </w:p>
    <w:p w14:paraId="07A06D75">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（4）低价风险担保的期限：</w:t>
      </w:r>
      <w:r>
        <w:rPr>
          <w:rFonts w:hint="eastAsia" w:ascii="宋体" w:hAnsi="宋体" w:cs="宋体"/>
          <w:color w:val="auto"/>
          <w:kern w:val="0"/>
          <w:szCs w:val="21"/>
          <w:highlight w:val="none"/>
          <w:u w:val="single"/>
          <w:lang w:bidi="ar"/>
        </w:rPr>
        <w:t>自提交低价风险担保之日起至竣工验收合格之日止</w:t>
      </w:r>
      <w:r>
        <w:rPr>
          <w:rFonts w:hint="eastAsia" w:ascii="宋体" w:hAnsi="宋体" w:cs="宋体"/>
          <w:color w:val="auto"/>
          <w:kern w:val="0"/>
          <w:szCs w:val="21"/>
          <w:highlight w:val="none"/>
          <w:lang w:bidi="ar"/>
        </w:rPr>
        <w:t>。</w:t>
      </w:r>
    </w:p>
    <w:p w14:paraId="6A0FFC06">
      <w:pPr>
        <w:widowControl/>
        <w:adjustRightInd w:val="0"/>
        <w:snapToGrid w:val="0"/>
        <w:spacing w:after="163" w:afterLines="50" w:line="360" w:lineRule="auto"/>
        <w:ind w:firstLine="420" w:firstLineChars="200"/>
        <w:jc w:val="left"/>
        <w:rPr>
          <w:rFonts w:ascii="宋体" w:hAnsi="宋体" w:cs="宋体"/>
          <w:color w:val="auto"/>
          <w:highlight w:val="none"/>
        </w:rPr>
      </w:pPr>
      <w:r>
        <w:rPr>
          <w:rFonts w:hint="eastAsia" w:ascii="宋体" w:hAnsi="宋体" w:cs="宋体"/>
          <w:color w:val="auto"/>
          <w:kern w:val="0"/>
          <w:szCs w:val="21"/>
          <w:highlight w:val="none"/>
          <w:lang w:bidi="ar"/>
        </w:rPr>
        <w:t>低价风险担保的退还时间：</w:t>
      </w:r>
      <w:r>
        <w:rPr>
          <w:rFonts w:hint="eastAsia" w:ascii="宋体" w:hAnsi="宋体" w:cs="宋体"/>
          <w:color w:val="auto"/>
          <w:kern w:val="0"/>
          <w:szCs w:val="21"/>
          <w:highlight w:val="none"/>
          <w:u w:val="single"/>
          <w:lang w:bidi="ar"/>
        </w:rPr>
        <w:t>采用现金担保的，工程竣工验收合格后14天内无息退还；采用银行保函的，工程竣工验收合格后14天内退还</w:t>
      </w:r>
      <w:r>
        <w:rPr>
          <w:rFonts w:hint="eastAsia" w:ascii="宋体" w:hAnsi="宋体" w:cs="宋体"/>
          <w:color w:val="auto"/>
          <w:kern w:val="0"/>
          <w:szCs w:val="21"/>
          <w:highlight w:val="none"/>
          <w:lang w:bidi="ar"/>
        </w:rPr>
        <w:t>。</w:t>
      </w:r>
    </w:p>
    <w:p w14:paraId="328CCD45">
      <w:pPr>
        <w:widowControl/>
        <w:adjustRightInd w:val="0"/>
        <w:snapToGrid w:val="0"/>
        <w:spacing w:after="163" w:afterLines="50" w:line="360" w:lineRule="auto"/>
        <w:ind w:firstLine="420" w:firstLineChars="200"/>
        <w:jc w:val="left"/>
        <w:rPr>
          <w:rFonts w:ascii="宋体" w:hAnsi="宋体" w:cs="宋体"/>
          <w:color w:val="auto"/>
          <w:highlight w:val="none"/>
        </w:rPr>
      </w:pPr>
      <w:r>
        <w:rPr>
          <w:rFonts w:hint="eastAsia" w:ascii="宋体" w:hAnsi="宋体" w:cs="宋体"/>
          <w:color w:val="auto"/>
          <w:kern w:val="0"/>
          <w:szCs w:val="21"/>
          <w:highlight w:val="none"/>
          <w:lang w:bidi="ar"/>
        </w:rPr>
        <w:t>（5）低价风险担保的扣减：</w:t>
      </w:r>
    </w:p>
    <w:p w14:paraId="684F1B01">
      <w:pPr>
        <w:widowControl/>
        <w:adjustRightInd w:val="0"/>
        <w:snapToGrid w:val="0"/>
        <w:spacing w:after="163" w:afterLines="50" w:line="360" w:lineRule="auto"/>
        <w:ind w:firstLine="420" w:firstLineChars="200"/>
        <w:jc w:val="left"/>
        <w:rPr>
          <w:rFonts w:ascii="宋体" w:hAnsi="宋体" w:cs="宋体"/>
          <w:color w:val="auto"/>
          <w:highlight w:val="none"/>
        </w:rPr>
      </w:pPr>
      <w:r>
        <w:rPr>
          <w:rFonts w:hint="eastAsia" w:ascii="宋体" w:hAnsi="宋体" w:cs="宋体"/>
          <w:color w:val="auto"/>
          <w:kern w:val="0"/>
          <w:szCs w:val="21"/>
          <w:highlight w:val="none"/>
          <w:lang w:bidi="ar"/>
        </w:rPr>
        <w:t>①承包人在工程施工期间，以其投标时填报的工程主要材料价格低于同期工程造价管理机构发布的信息价格为由拒绝材料采购，或因其自身其他原因导致工程窝工或停工等，给发包人造成直接经济损失且拒绝承担的，按低价风险担保金额的50～100%扣减，直至解除合同；</w:t>
      </w:r>
    </w:p>
    <w:p w14:paraId="12F96E9D">
      <w:pPr>
        <w:widowControl/>
        <w:adjustRightInd w:val="0"/>
        <w:snapToGrid w:val="0"/>
        <w:spacing w:after="163" w:afterLines="50" w:line="360" w:lineRule="auto"/>
        <w:ind w:firstLine="420" w:firstLineChars="200"/>
        <w:jc w:val="left"/>
        <w:rPr>
          <w:rFonts w:ascii="宋体" w:hAnsi="宋体" w:cs="宋体"/>
          <w:color w:val="auto"/>
          <w:highlight w:val="none"/>
        </w:rPr>
      </w:pPr>
      <w:r>
        <w:rPr>
          <w:rFonts w:hint="eastAsia" w:ascii="宋体" w:hAnsi="宋体" w:cs="宋体"/>
          <w:color w:val="auto"/>
          <w:kern w:val="0"/>
          <w:szCs w:val="21"/>
          <w:highlight w:val="none"/>
          <w:lang w:bidi="ar"/>
        </w:rPr>
        <w:t>②承包人在工程施工期间或竣工验收时，工程质量不符合国家现行有关施工质量验收规范要求，且拒绝整改或整改后不合格的，按低价风险担保金额的50～100%扣减，直至解除合同；</w:t>
      </w:r>
    </w:p>
    <w:p w14:paraId="17057190">
      <w:pPr>
        <w:widowControl/>
        <w:adjustRightInd w:val="0"/>
        <w:snapToGrid w:val="0"/>
        <w:spacing w:after="163" w:afterLines="50" w:line="360" w:lineRule="auto"/>
        <w:ind w:firstLine="420" w:firstLineChars="200"/>
        <w:jc w:val="left"/>
        <w:rPr>
          <w:rFonts w:ascii="宋体" w:hAnsi="宋体" w:cs="宋体"/>
          <w:color w:val="auto"/>
          <w:highlight w:val="none"/>
        </w:rPr>
      </w:pPr>
      <w:r>
        <w:rPr>
          <w:rFonts w:hint="eastAsia" w:ascii="宋体" w:hAnsi="宋体" w:cs="宋体"/>
          <w:color w:val="auto"/>
          <w:kern w:val="0"/>
          <w:szCs w:val="21"/>
          <w:highlight w:val="none"/>
          <w:lang w:bidi="ar"/>
        </w:rPr>
        <w:t>③承包人因第16.1.1项[因承包人违约解除合同]被解除合同的，低价风险担保将全额扣除；</w:t>
      </w:r>
    </w:p>
    <w:p w14:paraId="2D151EE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④因承包人过错导致的其他情形：        。</w:t>
      </w:r>
    </w:p>
    <w:p w14:paraId="4DC6D47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4.3 工程总承包项目经理</w:t>
      </w:r>
    </w:p>
    <w:p w14:paraId="2D0A613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4.3.1 工程总承包项目经理姓名：</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91B2DC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执业资格或职称类型：</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3EBBD8E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执业资格证或职称证号码：</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98A83E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联系电话：</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AD103D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电子邮箱：</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C36155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通信地址：</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B157B0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承包人应在本合同订立前提交与总承包项目经理签订的劳动合同及为总承包项目经理缴纳社会保险的证明，承包人未在限期内提交的，总承包项目经理无权履行职责，发包人有权要求更换总承包项目经理。</w:t>
      </w:r>
    </w:p>
    <w:p w14:paraId="26318BD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4.3.2 工程总承包项目经理每月在现场的时间要求：</w:t>
      </w:r>
      <w:r>
        <w:rPr>
          <w:rFonts w:hint="eastAsia" w:ascii="宋体" w:hAnsi="宋体" w:cs="宋体"/>
          <w:color w:val="auto"/>
          <w:kern w:val="0"/>
          <w:szCs w:val="21"/>
          <w:highlight w:val="none"/>
          <w:u w:val="single"/>
          <w:lang w:bidi="ar"/>
        </w:rPr>
        <w:t>不少于  天，由监理人负责工程总承包项目经理的考勤</w:t>
      </w:r>
      <w:r>
        <w:rPr>
          <w:rFonts w:hint="eastAsia" w:ascii="宋体" w:hAnsi="宋体" w:cs="宋体"/>
          <w:color w:val="auto"/>
          <w:kern w:val="0"/>
          <w:szCs w:val="21"/>
          <w:highlight w:val="none"/>
          <w:lang w:bidi="ar"/>
        </w:rPr>
        <w:t>。</w:t>
      </w:r>
    </w:p>
    <w:p w14:paraId="0709D8A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工程总承包项目经理未经批准擅自离开施工现场的违约责任：按照第15.2款[承包人违约]约定执行。</w:t>
      </w:r>
    </w:p>
    <w:p w14:paraId="7344156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4.3.3 承包人对工程总承包项目经理的授权范围:</w:t>
      </w:r>
      <w:r>
        <w:rPr>
          <w:rFonts w:hint="eastAsia" w:ascii="宋体" w:hAnsi="宋体" w:cs="宋体"/>
          <w:color w:val="auto"/>
          <w:kern w:val="0"/>
          <w:szCs w:val="21"/>
          <w:highlight w:val="none"/>
          <w:u w:val="single"/>
          <w:lang w:bidi="ar"/>
        </w:rPr>
        <w:t>严格按《发包人要求》、现行国家设计规范、施工规范及验收规范组织设计、采购和施工，保证工程质量、进度、安全；及时向监理人、发包人报告现场情况（以承包人书面授权范围为准）</w:t>
      </w:r>
      <w:r>
        <w:rPr>
          <w:rFonts w:hint="eastAsia" w:ascii="宋体" w:hAnsi="宋体" w:cs="宋体"/>
          <w:color w:val="auto"/>
          <w:kern w:val="0"/>
          <w:szCs w:val="21"/>
          <w:highlight w:val="none"/>
          <w:lang w:bidi="ar"/>
        </w:rPr>
        <w:t>。</w:t>
      </w:r>
    </w:p>
    <w:p w14:paraId="2EE4D1C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4.3.4 承包人擅自更换工程总承包项目经理的违约责任：按照第15.2款[承包人违约]约定执行。</w:t>
      </w:r>
    </w:p>
    <w:p w14:paraId="015D84F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4.3.5 承包人无正当理由拒绝更换工程总承包项目经理的违约责任:按照第15.2款[承包人违约]约定执行。</w:t>
      </w:r>
    </w:p>
    <w:p w14:paraId="244AF0C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4.4 承包人人员</w:t>
      </w:r>
    </w:p>
    <w:p w14:paraId="1D90935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4.4.1 人员安排</w:t>
      </w:r>
    </w:p>
    <w:p w14:paraId="6E0B18C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增加：</w:t>
      </w:r>
    </w:p>
    <w:p w14:paraId="6434C48A">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（1）设计负责人</w:t>
      </w:r>
    </w:p>
    <w:p w14:paraId="09A8AD4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设计负责人姓名：</w:t>
      </w:r>
      <w:r>
        <w:rPr>
          <w:rFonts w:ascii="宋体" w:hAnsi="宋体" w:cs="宋体"/>
          <w:color w:val="auto"/>
          <w:kern w:val="0"/>
          <w:szCs w:val="21"/>
          <w:highlight w:val="none"/>
          <w:u w:val="single"/>
          <w:lang w:bidi="ar"/>
        </w:rPr>
        <w:t xml:space="preserve">                             </w:t>
      </w:r>
    </w:p>
    <w:p w14:paraId="6E9F0805">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身份证号：</w:t>
      </w:r>
      <w:r>
        <w:rPr>
          <w:rFonts w:ascii="宋体" w:hAnsi="宋体" w:cs="宋体"/>
          <w:color w:val="auto"/>
          <w:kern w:val="0"/>
          <w:szCs w:val="21"/>
          <w:highlight w:val="none"/>
          <w:u w:val="single"/>
          <w:lang w:bidi="ar"/>
        </w:rPr>
        <w:t xml:space="preserve">                                   </w:t>
      </w:r>
    </w:p>
    <w:p w14:paraId="139306A3">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证书名称及注册号：</w:t>
      </w:r>
      <w:r>
        <w:rPr>
          <w:rFonts w:ascii="宋体" w:hAnsi="宋体" w:cs="宋体"/>
          <w:color w:val="auto"/>
          <w:kern w:val="0"/>
          <w:szCs w:val="21"/>
          <w:highlight w:val="none"/>
          <w:u w:val="single"/>
          <w:lang w:bidi="ar"/>
        </w:rPr>
        <w:t xml:space="preserve">                            </w:t>
      </w:r>
    </w:p>
    <w:p w14:paraId="0FBE947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联系方式：</w:t>
      </w:r>
      <w:r>
        <w:rPr>
          <w:rFonts w:ascii="宋体" w:hAnsi="宋体" w:cs="宋体"/>
          <w:color w:val="auto"/>
          <w:kern w:val="0"/>
          <w:szCs w:val="21"/>
          <w:highlight w:val="none"/>
          <w:u w:val="single"/>
          <w:lang w:bidi="ar"/>
        </w:rPr>
        <w:t xml:space="preserve">                                    </w:t>
      </w:r>
    </w:p>
    <w:p w14:paraId="1E17675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设计负责人职责：负责本项目的施工图设计，负责施工图设计质量控制、进度控制、信息管理和设计现场的组织协调。</w:t>
      </w:r>
    </w:p>
    <w:p w14:paraId="39E5822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设计负责人权限：执行法律法规规章、建设项目工程总承包合同和规范等文件规定的承包人应做的设计工作（以承包人书面授权范围为准）。</w:t>
      </w:r>
    </w:p>
    <w:p w14:paraId="34FBB57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设计期间，设计负责人应按照设计需要和发包人要求提供现场服务。</w:t>
      </w:r>
    </w:p>
    <w:p w14:paraId="3A40A85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承包人应在本合同订立前提交与设计负责人签订的劳动合同及为设计负责人缴纳社会保险的证明，承包人未在限期内提交的，设计负责人无权履行职责，发包人有权要求更换设计负责人。</w:t>
      </w:r>
    </w:p>
    <w:p w14:paraId="48DA7779">
      <w:pPr>
        <w:widowControl/>
        <w:adjustRightInd w:val="0"/>
        <w:snapToGrid w:val="0"/>
        <w:spacing w:after="163" w:afterLines="50" w:line="360" w:lineRule="auto"/>
        <w:ind w:firstLine="420" w:firstLineChars="200"/>
        <w:rPr>
          <w:rFonts w:ascii="宋体" w:hAnsi="宋体" w:cs="宋体"/>
          <w:color w:val="auto"/>
          <w:szCs w:val="21"/>
          <w:highlight w:val="none"/>
          <w:lang w:bidi="ar"/>
        </w:rPr>
      </w:pPr>
      <w:r>
        <w:rPr>
          <w:rFonts w:hint="eastAsia" w:ascii="宋体" w:hAnsi="宋体" w:cs="宋体"/>
          <w:color w:val="auto"/>
          <w:kern w:val="0"/>
          <w:szCs w:val="21"/>
          <w:highlight w:val="none"/>
          <w:lang w:bidi="ar"/>
        </w:rPr>
        <w:t>（</w:t>
      </w:r>
      <w:r>
        <w:rPr>
          <w:rFonts w:ascii="宋体" w:hAnsi="宋体" w:cs="宋体"/>
          <w:color w:val="auto"/>
          <w:kern w:val="0"/>
          <w:szCs w:val="21"/>
          <w:highlight w:val="none"/>
          <w:lang w:bidi="ar"/>
        </w:rPr>
        <w:t>2</w:t>
      </w:r>
      <w:r>
        <w:rPr>
          <w:rFonts w:hint="eastAsia" w:ascii="宋体" w:hAnsi="宋体" w:cs="宋体"/>
          <w:color w:val="auto"/>
          <w:kern w:val="0"/>
          <w:szCs w:val="21"/>
          <w:highlight w:val="none"/>
          <w:lang w:bidi="ar"/>
        </w:rPr>
        <w:t>）采购负责人</w:t>
      </w:r>
    </w:p>
    <w:p w14:paraId="315EAF8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采购负责人姓名：</w:t>
      </w:r>
      <w:r>
        <w:rPr>
          <w:rFonts w:ascii="宋体" w:hAnsi="宋体" w:cs="宋体"/>
          <w:color w:val="auto"/>
          <w:kern w:val="0"/>
          <w:szCs w:val="21"/>
          <w:highlight w:val="none"/>
          <w:u w:val="single"/>
          <w:lang w:bidi="ar"/>
        </w:rPr>
        <w:t xml:space="preserve">                             </w:t>
      </w:r>
    </w:p>
    <w:p w14:paraId="542B7D51">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身份证号：</w:t>
      </w:r>
      <w:r>
        <w:rPr>
          <w:rFonts w:ascii="宋体" w:hAnsi="宋体" w:cs="宋体"/>
          <w:color w:val="auto"/>
          <w:kern w:val="0"/>
          <w:szCs w:val="21"/>
          <w:highlight w:val="none"/>
          <w:u w:val="single"/>
          <w:lang w:bidi="ar"/>
        </w:rPr>
        <w:t xml:space="preserve">                                   </w:t>
      </w:r>
    </w:p>
    <w:p w14:paraId="1BE29DD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联系方式：</w:t>
      </w:r>
      <w:r>
        <w:rPr>
          <w:rFonts w:ascii="宋体" w:hAnsi="宋体" w:cs="宋体"/>
          <w:color w:val="auto"/>
          <w:kern w:val="0"/>
          <w:szCs w:val="21"/>
          <w:highlight w:val="none"/>
          <w:u w:val="single"/>
          <w:lang w:bidi="ar"/>
        </w:rPr>
        <w:t xml:space="preserve">                                    </w:t>
      </w:r>
    </w:p>
    <w:p w14:paraId="72AF764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采购负责人职责：负责本项目的专业设备材料采购，负责采购的质量控制、进度控制、信息管理和施工现场的组织协调。</w:t>
      </w:r>
    </w:p>
    <w:p w14:paraId="055EC96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采购负责人权限：执行法律法规规章、建设项目工程总承包合同和规范等文件规定的承包人应做的采购工作（以承包人书面授权范围为准）。</w:t>
      </w:r>
    </w:p>
    <w:p w14:paraId="18FB32B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承包人应在本合同订立前提交与采购负责人签订的劳动合同及为采购负责人缴纳社会保险的证明，承包人未在限期内提交的，采购负责人无权履行职责，发包人有权要求更换采购负责人。</w:t>
      </w:r>
    </w:p>
    <w:p w14:paraId="2AC044E1">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w:t>
      </w:r>
      <w:r>
        <w:rPr>
          <w:rFonts w:ascii="宋体" w:hAnsi="宋体" w:cs="宋体"/>
          <w:color w:val="auto"/>
          <w:kern w:val="0"/>
          <w:szCs w:val="21"/>
          <w:highlight w:val="none"/>
          <w:lang w:bidi="ar"/>
        </w:rPr>
        <w:t>3</w:t>
      </w:r>
      <w:r>
        <w:rPr>
          <w:rFonts w:hint="eastAsia" w:ascii="宋体" w:hAnsi="宋体" w:cs="宋体"/>
          <w:color w:val="auto"/>
          <w:kern w:val="0"/>
          <w:szCs w:val="21"/>
          <w:highlight w:val="none"/>
          <w:lang w:bidi="ar"/>
        </w:rPr>
        <w:t>）施工负责人</w:t>
      </w:r>
    </w:p>
    <w:p w14:paraId="37CA8A0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施工负责人姓名：</w:t>
      </w:r>
      <w:r>
        <w:rPr>
          <w:rFonts w:ascii="宋体" w:hAnsi="宋体" w:cs="宋体"/>
          <w:color w:val="auto"/>
          <w:kern w:val="0"/>
          <w:szCs w:val="21"/>
          <w:highlight w:val="none"/>
          <w:u w:val="single"/>
          <w:lang w:bidi="ar"/>
        </w:rPr>
        <w:t xml:space="preserve">                             </w:t>
      </w:r>
    </w:p>
    <w:p w14:paraId="570215B3">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身份证号：</w:t>
      </w:r>
      <w:r>
        <w:rPr>
          <w:rFonts w:ascii="宋体" w:hAnsi="宋体" w:cs="宋体"/>
          <w:color w:val="auto"/>
          <w:kern w:val="0"/>
          <w:szCs w:val="21"/>
          <w:highlight w:val="none"/>
          <w:u w:val="single"/>
          <w:lang w:bidi="ar"/>
        </w:rPr>
        <w:t xml:space="preserve">                                   </w:t>
      </w:r>
    </w:p>
    <w:p w14:paraId="5FE42BF5">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证书名称及注册号：</w:t>
      </w:r>
      <w:r>
        <w:rPr>
          <w:rFonts w:ascii="宋体" w:hAnsi="宋体" w:cs="宋体"/>
          <w:color w:val="auto"/>
          <w:kern w:val="0"/>
          <w:szCs w:val="21"/>
          <w:highlight w:val="none"/>
          <w:u w:val="single"/>
          <w:lang w:bidi="ar"/>
        </w:rPr>
        <w:t xml:space="preserve">                           </w:t>
      </w:r>
    </w:p>
    <w:p w14:paraId="70E3ECD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联系方式：</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6A20666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施工负责人职责：负责本项目的工程施工，负责工程施工质量控制、进度控制、信息管理和施工现场的组织协调。</w:t>
      </w:r>
    </w:p>
    <w:p w14:paraId="3661DF7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施工负责人权限：执行法律法规规章、建设项目工程总承包合同和规范等文件规定的承包人应做的施工工作（以承包人书面授权范围为准）。</w:t>
      </w:r>
    </w:p>
    <w:p w14:paraId="0D2E1DD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施工负责人每月在现场的时间要求：</w:t>
      </w:r>
      <w:r>
        <w:rPr>
          <w:rFonts w:hint="eastAsia" w:ascii="宋体" w:hAnsi="宋体" w:cs="宋体"/>
          <w:color w:val="auto"/>
          <w:kern w:val="0"/>
          <w:szCs w:val="21"/>
          <w:highlight w:val="none"/>
          <w:u w:val="single"/>
          <w:lang w:bidi="ar"/>
        </w:rPr>
        <w:t>不少于  天，由监理人负责施工负责人的考勤</w:t>
      </w:r>
      <w:r>
        <w:rPr>
          <w:rFonts w:hint="eastAsia" w:ascii="宋体" w:hAnsi="宋体" w:cs="宋体"/>
          <w:color w:val="auto"/>
          <w:kern w:val="0"/>
          <w:szCs w:val="21"/>
          <w:highlight w:val="none"/>
          <w:lang w:bidi="ar"/>
        </w:rPr>
        <w:t>。</w:t>
      </w:r>
    </w:p>
    <w:p w14:paraId="4B95FF7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承包人应在本合同订立前提交与施工负责人签订的劳动合同及为施工负责人缴纳社会保险的证明，承包人未在限期内提交的，施工负责人无权履行职责，发包人有权要求更换施工负责人。</w:t>
      </w:r>
    </w:p>
    <w:p w14:paraId="6B8FE46B">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w:t>
      </w:r>
      <w:r>
        <w:rPr>
          <w:rFonts w:ascii="宋体" w:hAnsi="宋体" w:cs="宋体"/>
          <w:color w:val="auto"/>
          <w:kern w:val="0"/>
          <w:szCs w:val="21"/>
          <w:highlight w:val="none"/>
          <w:lang w:bidi="ar"/>
        </w:rPr>
        <w:t>4</w:t>
      </w:r>
      <w:r>
        <w:rPr>
          <w:rFonts w:hint="eastAsia" w:ascii="宋体" w:hAnsi="宋体" w:cs="宋体"/>
          <w:color w:val="auto"/>
          <w:kern w:val="0"/>
          <w:szCs w:val="21"/>
          <w:highlight w:val="none"/>
          <w:lang w:bidi="ar"/>
        </w:rPr>
        <w:t>）施工技术负责人</w:t>
      </w:r>
    </w:p>
    <w:p w14:paraId="749F38E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施工技术负责人姓名：</w:t>
      </w:r>
      <w:r>
        <w:rPr>
          <w:rFonts w:ascii="宋体" w:hAnsi="宋体" w:cs="宋体"/>
          <w:color w:val="auto"/>
          <w:kern w:val="0"/>
          <w:szCs w:val="21"/>
          <w:highlight w:val="none"/>
          <w:u w:val="single"/>
          <w:lang w:bidi="ar"/>
        </w:rPr>
        <w:t xml:space="preserve">                         </w:t>
      </w:r>
    </w:p>
    <w:p w14:paraId="7923111A">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身份证号：</w:t>
      </w:r>
      <w:r>
        <w:rPr>
          <w:rFonts w:ascii="宋体" w:hAnsi="宋体" w:cs="宋体"/>
          <w:color w:val="auto"/>
          <w:kern w:val="0"/>
          <w:szCs w:val="21"/>
          <w:highlight w:val="none"/>
          <w:u w:val="single"/>
          <w:lang w:bidi="ar"/>
        </w:rPr>
        <w:t xml:space="preserve">                                   </w:t>
      </w:r>
    </w:p>
    <w:p w14:paraId="08BE84AB">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证书名称及号码：</w:t>
      </w:r>
      <w:r>
        <w:rPr>
          <w:rFonts w:ascii="宋体" w:hAnsi="宋体" w:cs="宋体"/>
          <w:color w:val="auto"/>
          <w:kern w:val="0"/>
          <w:szCs w:val="21"/>
          <w:highlight w:val="none"/>
          <w:u w:val="single"/>
          <w:lang w:bidi="ar"/>
        </w:rPr>
        <w:t xml:space="preserve">                             </w:t>
      </w:r>
    </w:p>
    <w:p w14:paraId="1C3E409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联系方式：</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21C231E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施工技术负责人每月在现场的时间要求：</w:t>
      </w:r>
      <w:r>
        <w:rPr>
          <w:rFonts w:hint="eastAsia" w:ascii="宋体" w:hAnsi="宋体" w:cs="宋体"/>
          <w:color w:val="auto"/>
          <w:kern w:val="0"/>
          <w:szCs w:val="21"/>
          <w:highlight w:val="none"/>
          <w:u w:val="single"/>
          <w:lang w:bidi="ar"/>
        </w:rPr>
        <w:t>不少于  天，由监理人负责施工技术负责人的考勤</w:t>
      </w:r>
      <w:r>
        <w:rPr>
          <w:rFonts w:hint="eastAsia" w:ascii="宋体" w:hAnsi="宋体" w:cs="宋体"/>
          <w:color w:val="auto"/>
          <w:kern w:val="0"/>
          <w:szCs w:val="21"/>
          <w:highlight w:val="none"/>
          <w:lang w:bidi="ar"/>
        </w:rPr>
        <w:t>。</w:t>
      </w:r>
    </w:p>
    <w:p w14:paraId="63E70ED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承包人应在本合同订立前提交与施工技术负责人签订的劳动合同及为施工技术负责人缴纳社会保险的证明，承包人未在限期内提交的，施工技术负责人无权履行职责，发包人有权要求更换施工技术负责人。</w:t>
      </w:r>
    </w:p>
    <w:p w14:paraId="6D37F0DC">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（5）其他要求</w:t>
      </w:r>
    </w:p>
    <w:p w14:paraId="5014620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承包人提交项目管理机构及施工现场人员安排的报告的期限：合同订立后7天内。</w:t>
      </w:r>
    </w:p>
    <w:p w14:paraId="4BDEB07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承包人提交关键人员信息及注册执业资格等证明其具备担任关键人员能力的相关文件的期限：合同订立后7天内。</w:t>
      </w:r>
    </w:p>
    <w:p w14:paraId="5DBD3FC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4.4.2 关键人员更换</w:t>
      </w:r>
    </w:p>
    <w:p w14:paraId="112E969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承包人擅自更换关键人员的违约责任：</w:t>
      </w:r>
      <w:r>
        <w:rPr>
          <w:rFonts w:hint="eastAsia" w:ascii="宋体" w:hAnsi="宋体" w:cs="宋体"/>
          <w:color w:val="auto"/>
          <w:kern w:val="0"/>
          <w:szCs w:val="21"/>
          <w:highlight w:val="none"/>
          <w:u w:val="single"/>
          <w:lang w:bidi="ar"/>
        </w:rPr>
        <w:t>按照第15.2款[承包人违约]约定执行。</w:t>
      </w:r>
    </w:p>
    <w:p w14:paraId="7DB1F535">
      <w:pPr>
        <w:widowControl/>
        <w:adjustRightInd w:val="0"/>
        <w:snapToGrid w:val="0"/>
        <w:spacing w:after="163" w:afterLines="50" w:line="360" w:lineRule="auto"/>
        <w:ind w:left="420" w:leftChars="200"/>
        <w:rPr>
          <w:rFonts w:ascii="宋体" w:hAnsi="宋体" w:cs="宋体"/>
          <w:color w:val="auto"/>
          <w:kern w:val="0"/>
          <w:highlight w:val="none"/>
        </w:rPr>
      </w:pPr>
      <w:r>
        <w:rPr>
          <w:rFonts w:hint="eastAsia" w:ascii="宋体" w:hAnsi="宋体" w:cs="宋体"/>
          <w:color w:val="auto"/>
          <w:kern w:val="0"/>
          <w:szCs w:val="21"/>
          <w:highlight w:val="none"/>
          <w:lang w:bidi="ar"/>
        </w:rPr>
        <w:t>承包人无正当理由拒绝撤换关键人员的违约责任：</w:t>
      </w:r>
      <w:bookmarkStart w:id="1833" w:name="_Hlk58838700"/>
      <w:r>
        <w:rPr>
          <w:rFonts w:hint="eastAsia" w:ascii="宋体" w:hAnsi="宋体" w:cs="宋体"/>
          <w:color w:val="auto"/>
          <w:kern w:val="0"/>
          <w:szCs w:val="21"/>
          <w:highlight w:val="none"/>
          <w:lang w:bidi="ar"/>
        </w:rPr>
        <w:t>按照第15.2款[承包人违约]约定执行。</w:t>
      </w:r>
      <w:bookmarkEnd w:id="1833"/>
    </w:p>
    <w:p w14:paraId="4650ADE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4.4.3 现场管理关键人员在岗要求</w:t>
      </w:r>
    </w:p>
    <w:p w14:paraId="359C7FD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承包人现场管理关键人员离开施工现场的批准要求：</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3554EDF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承包人现场管理关键人员擅自离开施工现场的违约责任：按照第15.2款[承包人违约]约定执行。</w:t>
      </w:r>
    </w:p>
    <w:p w14:paraId="03A291F8">
      <w:pPr>
        <w:widowControl/>
        <w:adjustRightInd w:val="0"/>
        <w:snapToGrid w:val="0"/>
        <w:spacing w:after="163" w:afterLines="50" w:line="360" w:lineRule="auto"/>
        <w:ind w:firstLine="420" w:firstLineChars="200"/>
        <w:jc w:val="left"/>
        <w:rPr>
          <w:rFonts w:ascii="宋体" w:hAnsi="宋体" w:cs="宋体"/>
          <w:color w:val="auto"/>
          <w:kern w:val="0"/>
          <w:highlight w:val="none"/>
        </w:rPr>
      </w:pPr>
      <w:bookmarkStart w:id="1834" w:name="_Hlk528927718"/>
      <w:bookmarkEnd w:id="1834"/>
      <w:r>
        <w:rPr>
          <w:rFonts w:hint="eastAsia" w:ascii="宋体" w:hAnsi="宋体" w:cs="宋体"/>
          <w:color w:val="auto"/>
          <w:kern w:val="0"/>
          <w:szCs w:val="21"/>
          <w:highlight w:val="none"/>
          <w:lang w:bidi="ar"/>
        </w:rPr>
        <w:t>本款补充4.4.4、4.4.5项：</w:t>
      </w:r>
    </w:p>
    <w:p w14:paraId="08479F27">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4.4.4 发包人有权书面通知承包人更换其认为不称职/不履职的工程总承包项目经理、设计负责人、施工负责人或施工技术负责人，通知中应当载明要求更换的理由。承包人应在接到更换通知后7天内向发包人提出书面的整改报告。发包人收到整改报告后仍要求更换的，承包人应在接到第二次更换通知的14天内进行更换，并将新任命人员的注册执业资格、职称证书、管理经验等资料书面报送发包人审核批准。继任人员继续履行合同约定的职责。</w:t>
      </w:r>
    </w:p>
    <w:p w14:paraId="36614C06">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若总承包项目经理、设计负责人、施工负责人或施工技术负责人出现下列情形需更换的，承包人应向发包人发出通知，经发包人领导班子集体决策同意后予以批准，并将变更信息推送给行业主管部门：</w:t>
      </w:r>
    </w:p>
    <w:p w14:paraId="05828B88">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（1）死亡；</w:t>
      </w:r>
    </w:p>
    <w:p w14:paraId="2CD55B90">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（2）非承包人原因导致工期延长，而致使项目经理和技术负责人达到法定退休年龄且确需退休；</w:t>
      </w:r>
    </w:p>
    <w:p w14:paraId="2DFF4B41">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（3）按《职工非因工伤残或因病丧失劳动能力程度鉴定标准（试行）》规定鉴定为完全丧失劳动能力和大部分丧失劳动能力；</w:t>
      </w:r>
    </w:p>
    <w:p w14:paraId="7DDBD3B0">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（4）非承包人原因导致中标3个月不能开工；</w:t>
      </w:r>
    </w:p>
    <w:p w14:paraId="39062C74">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（5）被公安或者司法机关限制人身自由；</w:t>
      </w:r>
    </w:p>
    <w:p w14:paraId="3C8C06C3">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（6）被取消职称或者执业资格，不满足项目管理要求；</w:t>
      </w:r>
    </w:p>
    <w:p w14:paraId="6BBF5D6B">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（7）非承包人原因导致确需变更的其它情形。</w:t>
      </w:r>
    </w:p>
    <w:p w14:paraId="46403B2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4.4.5 国有资金投资项目其他主要人员变更参照《重庆市政府投资项目合同变更管理暂行办法》的规定。</w:t>
      </w:r>
    </w:p>
    <w:p w14:paraId="5B27374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4.5 分包</w:t>
      </w:r>
    </w:p>
    <w:p w14:paraId="11B7EC3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4.5.1 一般约定</w:t>
      </w:r>
    </w:p>
    <w:p w14:paraId="2E88486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禁止分包的工程包括：</w:t>
      </w:r>
      <w:r>
        <w:rPr>
          <w:rFonts w:hint="eastAsia" w:ascii="宋体" w:hAnsi="宋体" w:cs="宋体"/>
          <w:color w:val="auto"/>
          <w:kern w:val="0"/>
          <w:szCs w:val="21"/>
          <w:highlight w:val="none"/>
          <w:u w:val="single"/>
          <w:lang w:bidi="ar"/>
        </w:rPr>
        <w:t>主体结构、关键性工作等国家法律、法规禁止分包的工程的设计和施工</w:t>
      </w:r>
      <w:r>
        <w:rPr>
          <w:rFonts w:hint="eastAsia" w:ascii="宋体" w:hAnsi="宋体" w:cs="宋体"/>
          <w:color w:val="auto"/>
          <w:kern w:val="0"/>
          <w:szCs w:val="21"/>
          <w:highlight w:val="none"/>
          <w:lang w:bidi="ar"/>
        </w:rPr>
        <w:t>。</w:t>
      </w:r>
    </w:p>
    <w:p w14:paraId="112FC2A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主体结构、关键性工作的范围：国家法律、法规、规范、标准等所约束的范围。如房建工程主体结构指混凝土工程、砌体工程；关键性工作指梁、板、柱等部位。</w:t>
      </w:r>
    </w:p>
    <w:p w14:paraId="07B49B4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4.5.2 分包的确定</w:t>
      </w:r>
    </w:p>
    <w:p w14:paraId="39C0340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允许分包的工程包括：</w:t>
      </w:r>
      <w:r>
        <w:rPr>
          <w:rFonts w:hint="eastAsia" w:ascii="宋体" w:hAnsi="宋体" w:cs="宋体"/>
          <w:color w:val="auto"/>
          <w:kern w:val="0"/>
          <w:szCs w:val="21"/>
          <w:highlight w:val="none"/>
          <w:u w:val="single"/>
          <w:lang w:bidi="ar"/>
        </w:rPr>
        <w:t>符合《中华人民共和国建筑法》和《中华人民共和国招标投标法》的相关规定</w:t>
      </w:r>
      <w:r>
        <w:rPr>
          <w:rFonts w:hint="eastAsia" w:ascii="宋体" w:hAnsi="宋体" w:cs="宋体"/>
          <w:color w:val="auto"/>
          <w:kern w:val="0"/>
          <w:szCs w:val="21"/>
          <w:highlight w:val="none"/>
          <w:lang w:bidi="ar"/>
        </w:rPr>
        <w:t>。</w:t>
      </w:r>
    </w:p>
    <w:p w14:paraId="763D10E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其他关于分包的约定：</w:t>
      </w:r>
    </w:p>
    <w:p w14:paraId="475152C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严禁违法分包。违法分包一经查实，承包人的履约担保不予退还，终止合同；同时发包人有权向相关行政监管部门举报，根据《住房和城乡建设部关于印发建筑工程施工发包与承包违法行为认定查处管理办法的通知》（建市规〔2019〕1号）相关规定条执行。</w:t>
      </w:r>
    </w:p>
    <w:p w14:paraId="1B7BA93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在合同履行过程中实行设计、施工人员实名制管理，发包人有权核查承包人管理人员的资格证件、工程价款往来银行账户、施工单位的材料构配件、设备的发票等资料，配合相关行政主管部门加大对转包、违法分包行为的查处。</w:t>
      </w:r>
    </w:p>
    <w:p w14:paraId="6DDAFB7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4.5.5 分包合同价款支付</w:t>
      </w:r>
    </w:p>
    <w:p w14:paraId="40A1227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关于分包合同价款支付的约定：</w:t>
      </w:r>
      <w:r>
        <w:rPr>
          <w:rFonts w:hint="eastAsia" w:ascii="宋体" w:hAnsi="宋体" w:cs="宋体"/>
          <w:color w:val="auto"/>
          <w:kern w:val="0"/>
          <w:szCs w:val="21"/>
          <w:highlight w:val="none"/>
          <w:u w:val="single"/>
          <w:lang w:bidi="ar"/>
        </w:rPr>
        <w:t>分包合同价款由承包人与分包人结算，未经承包人同意，发包人不得向分包人支付分包工程价款；生效法律文书要求发包人向分包人支付分包合同价款的，发包人有权从应付承包人工程款中扣除该部分款项</w:t>
      </w:r>
      <w:r>
        <w:rPr>
          <w:rFonts w:hint="eastAsia" w:ascii="宋体" w:hAnsi="宋体" w:cs="宋体"/>
          <w:color w:val="auto"/>
          <w:kern w:val="0"/>
          <w:szCs w:val="21"/>
          <w:highlight w:val="none"/>
          <w:lang w:bidi="ar"/>
        </w:rPr>
        <w:t>。</w:t>
      </w:r>
    </w:p>
    <w:p w14:paraId="6B8D9DC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4.6 联合体</w:t>
      </w:r>
    </w:p>
    <w:p w14:paraId="345A322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w:t>
      </w:r>
      <w:r>
        <w:rPr>
          <w:rFonts w:ascii="宋体" w:hAnsi="宋体" w:cs="宋体"/>
          <w:color w:val="auto"/>
          <w:kern w:val="0"/>
          <w:szCs w:val="21"/>
          <w:highlight w:val="none"/>
          <w:lang w:bidi="ar"/>
        </w:rPr>
        <w:t xml:space="preserve">.6.2 </w:t>
      </w:r>
      <w:r>
        <w:rPr>
          <w:rFonts w:hint="eastAsia" w:ascii="宋体" w:hAnsi="宋体" w:cs="宋体"/>
          <w:color w:val="auto"/>
          <w:kern w:val="0"/>
          <w:szCs w:val="21"/>
          <w:highlight w:val="none"/>
          <w:lang w:bidi="ar"/>
        </w:rPr>
        <w:t>联合体各成员的分工、费用收取、发票开具等事项：由</w:t>
      </w:r>
      <w:r>
        <w:rPr>
          <w:rFonts w:hint="eastAsia" w:ascii="宋体" w:hAnsi="宋体" w:cs="宋体"/>
          <w:color w:val="auto"/>
          <w:kern w:val="0"/>
          <w:szCs w:val="21"/>
          <w:highlight w:val="none"/>
          <w:u w:val="single"/>
          <w:lang w:bidi="ar"/>
        </w:rPr>
        <w:t>联合体各成员在联合体协议中约定</w:t>
      </w:r>
      <w:r>
        <w:rPr>
          <w:rFonts w:hint="eastAsia" w:ascii="宋体" w:hAnsi="宋体" w:cs="宋体"/>
          <w:color w:val="auto"/>
          <w:kern w:val="0"/>
          <w:szCs w:val="21"/>
          <w:highlight w:val="none"/>
          <w:lang w:bidi="ar"/>
        </w:rPr>
        <w:t>。</w:t>
      </w:r>
    </w:p>
    <w:p w14:paraId="1254027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4.7 承包人现场查勘</w:t>
      </w:r>
    </w:p>
    <w:p w14:paraId="612B26C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w:t>
      </w:r>
      <w:r>
        <w:rPr>
          <w:rFonts w:ascii="宋体" w:hAnsi="宋体" w:cs="宋体"/>
          <w:color w:val="auto"/>
          <w:kern w:val="0"/>
          <w:szCs w:val="21"/>
          <w:highlight w:val="none"/>
          <w:lang w:bidi="ar"/>
        </w:rPr>
        <w:t xml:space="preserve">.7.1 </w:t>
      </w:r>
      <w:r>
        <w:rPr>
          <w:rFonts w:hint="eastAsia" w:ascii="宋体" w:hAnsi="宋体" w:cs="宋体"/>
          <w:color w:val="auto"/>
          <w:kern w:val="0"/>
          <w:szCs w:val="21"/>
          <w:highlight w:val="none"/>
          <w:lang w:bidi="ar"/>
        </w:rPr>
        <w:t>双方当事人对现场查勘的责任承担的约定：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739F5C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4.8 不可预见的困难</w:t>
      </w:r>
    </w:p>
    <w:p w14:paraId="3AC3703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不可预见的困难包括：</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9AC467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4.9 工程质量管理</w:t>
      </w:r>
    </w:p>
    <w:p w14:paraId="32E6BF84">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工程质量的特殊标准或要求：</w:t>
      </w:r>
      <w:r>
        <w:rPr>
          <w:rFonts w:hint="eastAsia" w:ascii="宋体" w:hAnsi="宋体" w:cs="宋体"/>
          <w:color w:val="auto"/>
          <w:kern w:val="0"/>
          <w:szCs w:val="21"/>
          <w:highlight w:val="none"/>
          <w:u w:val="single"/>
          <w:lang w:bidi="ar"/>
        </w:rPr>
        <w:t>在工程建设中，参建各方应严格执行以下规定（包括但不限于）：</w:t>
      </w:r>
    </w:p>
    <w:p w14:paraId="02A675F9">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（1）《建筑工程施工质量验收统一标准》（GB50300-2013）；</w:t>
      </w:r>
    </w:p>
    <w:p w14:paraId="6CEF7C0B">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（2）《住房城乡建设部关于印发工程质量安全提升行动方案的通知》（建质〔2017〕57）；</w:t>
      </w:r>
    </w:p>
    <w:p w14:paraId="7A2D875F">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（3）《房屋建筑和市政基础设施工程竣工验收规定》（建质〔2013〕171）；</w:t>
      </w:r>
    </w:p>
    <w:p w14:paraId="34A3EF66">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（4）《建设部关于贯彻执行建筑工程勘察设计及施工质量验收规范若干问题的通知》（建标〔2002〕212号）；</w:t>
      </w:r>
    </w:p>
    <w:p w14:paraId="79714ABE">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（5）《重庆市住房和城乡建设委员会关于印发&lt;重庆市房屋建筑和市政基础设施工程质量常见问题防治要点（2019年版）&gt;的通知》（渝建〔2019〕198号）；</w:t>
      </w:r>
    </w:p>
    <w:p w14:paraId="4B3E0012">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（6）《关于印发&lt;重庆市房屋建筑和市政基础设施工程预拌商品砂浆应用推进工作方案&gt;的通知》（渝建〔2018〕375号）；</w:t>
      </w:r>
    </w:p>
    <w:p w14:paraId="20EB0294">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（7）《重庆市城乡建设委员会关于印发2018年房屋建筑和市政基础设施工程质量要点的通知》（渝建〔2018〕94号）；</w:t>
      </w:r>
    </w:p>
    <w:p w14:paraId="56FD25AD">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（8）《重庆市城乡建设委员会关于进一步推广应用预拌商品砂浆的通知》（渝建〔2016〕318号）；</w:t>
      </w:r>
    </w:p>
    <w:p w14:paraId="15132CAF">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（9）《重庆市建设委员会关于发布&lt;建筑工程施工质量验收规范用表（建筑节能分部工程）&gt;和&lt;建设工程技术用表（建筑节能工程）&gt;的通知》（渝建发〔2008〕76号）；</w:t>
      </w:r>
    </w:p>
    <w:p w14:paraId="14B0EBF8">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（10）国家和本市现行有关建设工程质量验收标准、规范和要求；</w:t>
      </w:r>
    </w:p>
    <w:p w14:paraId="18DD15D1">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（11）        。</w:t>
      </w:r>
    </w:p>
    <w:p w14:paraId="206427A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u w:val="single"/>
          <w:lang w:bidi="ar"/>
        </w:rPr>
        <w:t>承包人、监理人和发包人在工程建设中，应严格执行国家及重庆市现行标准，如上述标准及规范要求有出入则以较严格者为准。</w:t>
      </w:r>
    </w:p>
    <w:p w14:paraId="3FEF82FD">
      <w:pPr>
        <w:widowControl/>
        <w:adjustRightInd w:val="0"/>
        <w:snapToGrid w:val="0"/>
        <w:spacing w:after="163" w:afterLines="50" w:line="360" w:lineRule="auto"/>
        <w:outlineLvl w:val="1"/>
        <w:rPr>
          <w:rFonts w:ascii="宋体" w:hAnsi="宋体" w:cs="Times"/>
          <w:color w:val="auto"/>
          <w:kern w:val="0"/>
          <w:highlight w:val="none"/>
        </w:rPr>
      </w:pPr>
      <w:bookmarkStart w:id="1835" w:name="_Toc20171878"/>
      <w:bookmarkEnd w:id="1835"/>
      <w:bookmarkStart w:id="1836" w:name="_Toc58860316"/>
      <w:r>
        <w:rPr>
          <w:rFonts w:hint="eastAsia" w:ascii="宋体" w:hAnsi="宋体" w:cs="Times"/>
          <w:color w:val="auto"/>
          <w:kern w:val="0"/>
          <w:szCs w:val="21"/>
          <w:highlight w:val="none"/>
          <w:lang w:bidi="ar"/>
        </w:rPr>
        <w:t>第5条 设计</w:t>
      </w:r>
      <w:bookmarkEnd w:id="1836"/>
      <w:r>
        <w:rPr>
          <w:rFonts w:hint="eastAsia" w:ascii="宋体" w:hAnsi="宋体" w:cs="Times"/>
          <w:color w:val="auto"/>
          <w:kern w:val="0"/>
          <w:szCs w:val="21"/>
          <w:highlight w:val="none"/>
          <w:lang w:bidi="ar"/>
        </w:rPr>
        <w:t xml:space="preserve"> </w:t>
      </w:r>
    </w:p>
    <w:p w14:paraId="18B1222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5.2 </w:t>
      </w:r>
      <w:r>
        <w:rPr>
          <w:rFonts w:hint="eastAsia" w:ascii="宋体" w:hAnsi="宋体" w:cs="宋体"/>
          <w:color w:val="auto"/>
          <w:szCs w:val="21"/>
          <w:highlight w:val="none"/>
          <w:lang w:bidi="ar"/>
        </w:rPr>
        <w:t>承包人文件</w:t>
      </w:r>
      <w:r>
        <w:rPr>
          <w:rFonts w:hint="eastAsia" w:ascii="宋体" w:hAnsi="宋体" w:cs="宋体"/>
          <w:color w:val="auto"/>
          <w:kern w:val="0"/>
          <w:szCs w:val="21"/>
          <w:highlight w:val="none"/>
          <w:lang w:bidi="ar"/>
        </w:rPr>
        <w:t>审查</w:t>
      </w:r>
    </w:p>
    <w:p w14:paraId="0413DA4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5.2.1</w:t>
      </w:r>
      <w:r>
        <w:rPr>
          <w:rFonts w:ascii="宋体" w:hAnsi="宋体" w:cs="宋体"/>
          <w:color w:val="auto"/>
          <w:kern w:val="0"/>
          <w:szCs w:val="21"/>
          <w:highlight w:val="none"/>
          <w:lang w:bidi="ar"/>
        </w:rPr>
        <w:t xml:space="preserve"> </w:t>
      </w:r>
      <w:r>
        <w:rPr>
          <w:rFonts w:hint="eastAsia" w:ascii="宋体" w:hAnsi="宋体" w:cs="宋体"/>
          <w:color w:val="auto"/>
          <w:szCs w:val="21"/>
          <w:highlight w:val="none"/>
          <w:lang w:bidi="ar"/>
        </w:rPr>
        <w:t>承包人</w:t>
      </w:r>
      <w:r>
        <w:rPr>
          <w:rFonts w:hint="eastAsia" w:ascii="宋体" w:hAnsi="宋体" w:cs="宋体"/>
          <w:color w:val="auto"/>
          <w:kern w:val="0"/>
          <w:szCs w:val="21"/>
          <w:highlight w:val="none"/>
          <w:lang w:bidi="ar"/>
        </w:rPr>
        <w:t>文件审查的期限：</w:t>
      </w:r>
      <w:r>
        <w:rPr>
          <w:rFonts w:hint="eastAsia" w:ascii="宋体" w:hAnsi="宋体" w:cs="宋体"/>
          <w:color w:val="auto"/>
          <w:kern w:val="0"/>
          <w:szCs w:val="21"/>
          <w:highlight w:val="none"/>
          <w:u w:val="single"/>
          <w:lang w:bidi="ar"/>
        </w:rPr>
        <w:t>自监理人收到承包人文件以及承包人的通知之日起，发包人对承包人文件审查期不超过21天</w:t>
      </w:r>
      <w:r>
        <w:rPr>
          <w:rFonts w:hint="eastAsia" w:ascii="宋体" w:hAnsi="宋体" w:cs="宋体"/>
          <w:color w:val="auto"/>
          <w:kern w:val="0"/>
          <w:szCs w:val="21"/>
          <w:highlight w:val="none"/>
          <w:lang w:bidi="ar"/>
        </w:rPr>
        <w:t>。</w:t>
      </w:r>
    </w:p>
    <w:p w14:paraId="4EC718D7">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5.2.</w:t>
      </w:r>
      <w:r>
        <w:rPr>
          <w:rFonts w:ascii="宋体" w:hAnsi="宋体" w:cs="宋体"/>
          <w:color w:val="auto"/>
          <w:kern w:val="0"/>
          <w:szCs w:val="21"/>
          <w:highlight w:val="none"/>
          <w:lang w:bidi="ar"/>
        </w:rPr>
        <w:t xml:space="preserve">2 </w:t>
      </w:r>
      <w:r>
        <w:rPr>
          <w:rFonts w:hint="eastAsia" w:ascii="宋体" w:hAnsi="宋体" w:cs="宋体"/>
          <w:color w:val="auto"/>
          <w:kern w:val="0"/>
          <w:szCs w:val="21"/>
          <w:highlight w:val="none"/>
          <w:lang w:bidi="ar"/>
        </w:rPr>
        <w:t>审查会议的审查形式和时间安排为：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，审查会议的相关费用由</w:t>
      </w:r>
      <w:r>
        <w:rPr>
          <w:rFonts w:hint="eastAsia" w:ascii="宋体" w:hAnsi="宋体" w:cs="宋体"/>
          <w:color w:val="auto"/>
          <w:kern w:val="0"/>
          <w:szCs w:val="21"/>
          <w:highlight w:val="none"/>
          <w:u w:val="single"/>
          <w:lang w:bidi="ar"/>
        </w:rPr>
        <w:t xml:space="preserve">                  承包人</w:t>
      </w:r>
      <w:r>
        <w:rPr>
          <w:rFonts w:hint="eastAsia" w:ascii="宋体" w:hAnsi="宋体" w:cs="宋体"/>
          <w:color w:val="auto"/>
          <w:kern w:val="0"/>
          <w:szCs w:val="21"/>
          <w:highlight w:val="none"/>
          <w:lang w:bidi="ar"/>
        </w:rPr>
        <w:t>承担。</w:t>
      </w:r>
    </w:p>
    <w:p w14:paraId="2856D937">
      <w:pPr>
        <w:widowControl/>
        <w:adjustRightInd w:val="0"/>
        <w:snapToGrid w:val="0"/>
        <w:spacing w:after="163" w:afterLines="50" w:line="360" w:lineRule="auto"/>
        <w:ind w:firstLine="420" w:firstLineChars="200"/>
        <w:rPr>
          <w:color w:val="auto"/>
          <w:highlight w:val="none"/>
          <w:lang w:bidi="ar"/>
        </w:rPr>
      </w:pPr>
      <w:r>
        <w:rPr>
          <w:rFonts w:ascii="宋体" w:hAnsi="宋体" w:cs="宋体"/>
          <w:color w:val="auto"/>
          <w:kern w:val="0"/>
          <w:szCs w:val="21"/>
          <w:highlight w:val="none"/>
          <w:lang w:bidi="ar"/>
        </w:rPr>
        <w:t>5.2.3</w:t>
      </w:r>
      <w:r>
        <w:rPr>
          <w:color w:val="auto"/>
          <w:highlight w:val="none"/>
          <w:lang w:bidi="ar"/>
        </w:rPr>
        <w:t xml:space="preserve"> </w:t>
      </w:r>
      <w:r>
        <w:rPr>
          <w:rFonts w:hint="eastAsia"/>
          <w:color w:val="auto"/>
          <w:highlight w:val="none"/>
          <w:lang w:bidi="ar"/>
        </w:rPr>
        <w:t>关于第三方审查单位的约定：</w:t>
      </w:r>
      <w:r>
        <w:rPr>
          <w:color w:val="auto"/>
          <w:highlight w:val="none"/>
          <w:u w:val="single"/>
          <w:lang w:bidi="ar"/>
        </w:rPr>
        <w:t xml:space="preserve">                  </w:t>
      </w:r>
      <w:r>
        <w:rPr>
          <w:rFonts w:hint="eastAsia"/>
          <w:color w:val="auto"/>
          <w:highlight w:val="none"/>
          <w:lang w:bidi="ar"/>
        </w:rPr>
        <w:t>。</w:t>
      </w:r>
    </w:p>
    <w:p w14:paraId="336E09E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5.3 培训</w:t>
      </w:r>
    </w:p>
    <w:p w14:paraId="6B50704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培训的时长为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，承包人应为培训提供的人员、设施和其它必要条件为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28AC33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5.4 竣工文件</w:t>
      </w:r>
    </w:p>
    <w:p w14:paraId="4DA10D6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5.4.1 承包人提交的竣工文件的内容：工程施工技术资料、工程质量保证资料、工程检验评定资料、竣工图及其他应交资料，应符合《建设工程文件归档整理规范》（GB/T50328-2014）和重庆市有关文件规定。</w:t>
      </w:r>
    </w:p>
    <w:p w14:paraId="44C5277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承包人需要提交的竣工文件套数：完整竣工文件一式</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套（含纸质版竣工图三套，电子版竣工图二套）。</w:t>
      </w:r>
    </w:p>
    <w:p w14:paraId="074568C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承包人提交的竣工文件的费用承担：由承包人承担。</w:t>
      </w:r>
    </w:p>
    <w:p w14:paraId="13A4DE8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承包人提交的竣工文件移交时间：工程竣工验收合格后</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个月内移交给发包人。</w:t>
      </w:r>
    </w:p>
    <w:p w14:paraId="6F02A41E">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承包人提交的竣工文件形式要求：完整的书面文件及电子文档。</w:t>
      </w:r>
    </w:p>
    <w:p w14:paraId="700C2623">
      <w:pPr>
        <w:widowControl/>
        <w:adjustRightInd w:val="0"/>
        <w:snapToGrid w:val="0"/>
        <w:spacing w:after="163" w:afterLines="50" w:line="360" w:lineRule="auto"/>
        <w:ind w:firstLine="420" w:firstLineChars="200"/>
        <w:rPr>
          <w:color w:val="auto"/>
          <w:highlight w:val="none"/>
          <w:lang w:bidi="ar"/>
        </w:rPr>
      </w:pPr>
      <w:r>
        <w:rPr>
          <w:rFonts w:ascii="宋体" w:hAnsi="宋体" w:cs="宋体"/>
          <w:color w:val="auto"/>
          <w:kern w:val="0"/>
          <w:szCs w:val="21"/>
          <w:highlight w:val="none"/>
          <w:lang w:bidi="ar"/>
        </w:rPr>
        <w:t>5.4.3</w:t>
      </w:r>
      <w:r>
        <w:rPr>
          <w:color w:val="auto"/>
          <w:highlight w:val="none"/>
          <w:lang w:bidi="ar"/>
        </w:rPr>
        <w:t xml:space="preserve"> </w:t>
      </w:r>
      <w:r>
        <w:rPr>
          <w:rFonts w:hint="eastAsia"/>
          <w:color w:val="auto"/>
          <w:highlight w:val="none"/>
          <w:lang w:bidi="ar"/>
        </w:rPr>
        <w:t>关于竣工文件的其他约定：</w:t>
      </w:r>
      <w:r>
        <w:rPr>
          <w:color w:val="auto"/>
          <w:highlight w:val="none"/>
          <w:u w:val="single"/>
          <w:lang w:bidi="ar"/>
        </w:rPr>
        <w:t xml:space="preserve">                    </w:t>
      </w:r>
      <w:r>
        <w:rPr>
          <w:rFonts w:hint="eastAsia"/>
          <w:color w:val="auto"/>
          <w:highlight w:val="none"/>
          <w:lang w:bidi="ar"/>
        </w:rPr>
        <w:t>。</w:t>
      </w:r>
    </w:p>
    <w:p w14:paraId="1D5F0C4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5.5 操作和维修手册</w:t>
      </w:r>
    </w:p>
    <w:p w14:paraId="652F249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5.5.</w:t>
      </w:r>
      <w:r>
        <w:rPr>
          <w:rFonts w:ascii="宋体" w:hAnsi="宋体" w:cs="宋体"/>
          <w:color w:val="auto"/>
          <w:kern w:val="0"/>
          <w:szCs w:val="21"/>
          <w:highlight w:val="none"/>
          <w:lang w:bidi="ar"/>
        </w:rPr>
        <w:t>3</w:t>
      </w:r>
      <w:r>
        <w:rPr>
          <w:rFonts w:hint="eastAsia" w:ascii="宋体" w:hAnsi="宋体" w:cs="宋体"/>
          <w:color w:val="auto"/>
          <w:kern w:val="0"/>
          <w:szCs w:val="21"/>
          <w:highlight w:val="none"/>
          <w:lang w:bidi="ar"/>
        </w:rPr>
        <w:t xml:space="preserve"> 对最终操作和维修手册的约定：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3D78236">
      <w:pPr>
        <w:widowControl/>
        <w:adjustRightInd w:val="0"/>
        <w:snapToGrid w:val="0"/>
        <w:spacing w:after="163" w:afterLines="50" w:line="360" w:lineRule="auto"/>
        <w:outlineLvl w:val="1"/>
        <w:rPr>
          <w:rFonts w:ascii="宋体" w:hAnsi="宋体" w:cs="Times"/>
          <w:color w:val="auto"/>
          <w:kern w:val="0"/>
          <w:highlight w:val="none"/>
        </w:rPr>
      </w:pPr>
      <w:bookmarkStart w:id="1837" w:name="_Toc20171879"/>
      <w:bookmarkEnd w:id="1837"/>
      <w:bookmarkStart w:id="1838" w:name="_Toc58860317"/>
      <w:r>
        <w:rPr>
          <w:rFonts w:hint="eastAsia" w:ascii="宋体" w:hAnsi="宋体" w:cs="Times"/>
          <w:color w:val="auto"/>
          <w:kern w:val="0"/>
          <w:szCs w:val="21"/>
          <w:highlight w:val="none"/>
          <w:lang w:bidi="ar"/>
        </w:rPr>
        <w:t>第6条 材料、工程设备</w:t>
      </w:r>
      <w:bookmarkEnd w:id="1838"/>
    </w:p>
    <w:p w14:paraId="573028D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6.1 实施方法</w:t>
      </w:r>
    </w:p>
    <w:p w14:paraId="7D4B265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双方当事人约定的实施方法、设备、设施和材料：</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6A1E773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6.2 材料和工程设备</w:t>
      </w:r>
    </w:p>
    <w:p w14:paraId="706869A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6.2.1 发包人提供的材料和工程设备</w:t>
      </w:r>
    </w:p>
    <w:p w14:paraId="7F7FB70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u w:val="single"/>
          <w:lang w:bidi="ar"/>
        </w:rPr>
        <w:t>发包人应提供甲供材料的明细表，结算时按经监理人、承包人共同确认的供应数量乘以招标时甲供材料暂定价格，在支付工程款时扣除。</w:t>
      </w:r>
    </w:p>
    <w:p w14:paraId="6609E34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发包人提供的材料和工程设备验收后，由</w:t>
      </w:r>
      <w:r>
        <w:rPr>
          <w:rFonts w:hint="eastAsia" w:ascii="宋体" w:hAnsi="宋体" w:cs="宋体"/>
          <w:color w:val="auto"/>
          <w:kern w:val="0"/>
          <w:szCs w:val="21"/>
          <w:highlight w:val="none"/>
          <w:u w:val="single"/>
          <w:lang w:bidi="ar"/>
        </w:rPr>
        <w:t>承包人</w:t>
      </w:r>
      <w:r>
        <w:rPr>
          <w:rFonts w:hint="eastAsia" w:ascii="宋体" w:hAnsi="宋体" w:cs="宋体"/>
          <w:color w:val="auto"/>
          <w:kern w:val="0"/>
          <w:szCs w:val="21"/>
          <w:highlight w:val="none"/>
          <w:lang w:bidi="ar"/>
        </w:rPr>
        <w:t>负责接收、运输和保管。</w:t>
      </w:r>
    </w:p>
    <w:p w14:paraId="593863E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发包人按约定的内容提供材料设备并对提供的材料设备质量负责，承包人按施工规范和检测规范对一切进场材料进行质量检验，承包人有权退回检验不合格的材料；承包人对投入使用的材料质量负责。</w:t>
      </w:r>
    </w:p>
    <w:p w14:paraId="6089D0C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6.2.2 承包人提供的材料和工程设备</w:t>
      </w:r>
    </w:p>
    <w:p w14:paraId="4D88341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材料和工程设备的类别、估算数量：</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3DCEAD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竣工后试验的生产性材料的类别或（和）清单：</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89E39B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由承包人自行采购。承包人采购材料设备必须经监理人和发包人批准，结算时由监理人和发包人按招标文件规定审核的数量和合同约定价格计算。</w:t>
      </w:r>
    </w:p>
    <w:p w14:paraId="0230F74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6.2.3材料和工程设备的保管</w:t>
      </w:r>
    </w:p>
    <w:p w14:paraId="053A6EA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发包人供应的材料和工程设备的保管费用由</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承担。</w:t>
      </w:r>
    </w:p>
    <w:p w14:paraId="3905F32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承包人提交保管、维护方案的时间：材料和工程设备到货</w:t>
      </w:r>
      <w:r>
        <w:rPr>
          <w:rFonts w:hint="eastAsia" w:ascii="宋体" w:hAnsi="宋体" w:cs="宋体"/>
          <w:color w:val="auto"/>
          <w:kern w:val="0"/>
          <w:szCs w:val="21"/>
          <w:highlight w:val="none"/>
          <w:u w:val="single"/>
          <w:lang w:bidi="ar"/>
        </w:rPr>
        <w:t>7天前</w:t>
      </w:r>
      <w:r>
        <w:rPr>
          <w:rFonts w:hint="eastAsia" w:ascii="宋体" w:hAnsi="宋体" w:cs="宋体"/>
          <w:color w:val="auto"/>
          <w:kern w:val="0"/>
          <w:szCs w:val="21"/>
          <w:highlight w:val="none"/>
          <w:lang w:bidi="ar"/>
        </w:rPr>
        <w:t>。</w:t>
      </w:r>
    </w:p>
    <w:p w14:paraId="77A7726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发包人提供的库房、堆场、设施和设备：</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410447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本款补充6.2.4项：</w:t>
      </w:r>
    </w:p>
    <w:p w14:paraId="2F40DD5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6.2.4承包人选择的材料和工程设备满足下列要求：</w:t>
      </w:r>
    </w:p>
    <w:p w14:paraId="60B3343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A.承包人选择的专业设备材料供应商应满足：</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643C4E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B.承包人选择的混凝土、钢材、水泥供应商应满足：</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58954B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C.承包人采购的材料与设计或标准要求不符时，承包人应按发包人和监理人要求的时间运出施工场地，并重新采购符合要求的产品，并承担由此发生的费用，因此延误的工期不予顺延。</w:t>
      </w:r>
    </w:p>
    <w:p w14:paraId="15CBAA3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D.承包人采购的材料在使用前，应按发包人和监理人的要求进行检验或试验，不合格的不得使用。</w:t>
      </w:r>
    </w:p>
    <w:p w14:paraId="76FFA20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E.</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099A85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6.3 样品</w:t>
      </w:r>
    </w:p>
    <w:p w14:paraId="1751C99F">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6</w:t>
      </w:r>
      <w:r>
        <w:rPr>
          <w:rFonts w:ascii="宋体" w:hAnsi="宋体" w:cs="宋体"/>
          <w:color w:val="auto"/>
          <w:kern w:val="0"/>
          <w:szCs w:val="21"/>
          <w:highlight w:val="none"/>
          <w:lang w:bidi="ar"/>
        </w:rPr>
        <w:t xml:space="preserve">.3.1 </w:t>
      </w:r>
      <w:r>
        <w:rPr>
          <w:rFonts w:hint="eastAsia" w:ascii="宋体" w:hAnsi="宋体" w:cs="宋体"/>
          <w:color w:val="auto"/>
          <w:kern w:val="0"/>
          <w:szCs w:val="21"/>
          <w:highlight w:val="none"/>
          <w:lang w:bidi="ar"/>
        </w:rPr>
        <w:t>样品的报送与封存</w:t>
      </w:r>
    </w:p>
    <w:p w14:paraId="186D16F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需要承包人报送样品的材料或工程设备，样品的种类、名称、规格、数量要求：</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1F0158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6.4 质量检查</w:t>
      </w:r>
    </w:p>
    <w:p w14:paraId="7DFB6AD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6.4.1 工程质量要求</w:t>
      </w:r>
    </w:p>
    <w:p w14:paraId="325C3B9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（1）设计的质量要求：</w:t>
      </w:r>
      <w:r>
        <w:rPr>
          <w:rFonts w:hint="eastAsia" w:ascii="宋体" w:hAnsi="宋体" w:cs="宋体"/>
          <w:color w:val="auto"/>
          <w:kern w:val="0"/>
          <w:szCs w:val="21"/>
          <w:highlight w:val="none"/>
          <w:u w:val="single"/>
          <w:lang w:bidi="ar"/>
        </w:rPr>
        <w:t xml:space="preserve">           </w:t>
      </w:r>
    </w:p>
    <w:p w14:paraId="6238200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（2）专业设备材料的质量要求：</w:t>
      </w:r>
      <w:r>
        <w:rPr>
          <w:rFonts w:hint="eastAsia" w:ascii="宋体" w:hAnsi="宋体" w:cs="宋体"/>
          <w:color w:val="auto"/>
          <w:kern w:val="0"/>
          <w:szCs w:val="21"/>
          <w:highlight w:val="none"/>
          <w:u w:val="single"/>
          <w:lang w:bidi="ar"/>
        </w:rPr>
        <w:t xml:space="preserve">           </w:t>
      </w:r>
    </w:p>
    <w:p w14:paraId="7A0C78E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（3）工程施工的质量要求：</w:t>
      </w:r>
      <w:r>
        <w:rPr>
          <w:rFonts w:hint="eastAsia" w:ascii="宋体" w:hAnsi="宋体" w:cs="宋体"/>
          <w:color w:val="auto"/>
          <w:kern w:val="0"/>
          <w:szCs w:val="21"/>
          <w:highlight w:val="none"/>
          <w:u w:val="single"/>
          <w:lang w:bidi="ar"/>
        </w:rPr>
        <w:t>工程质量符合国家和重庆市现行有关施工质量验收规范要求，并达到合格标准</w:t>
      </w:r>
      <w:r>
        <w:rPr>
          <w:rFonts w:hint="eastAsia" w:ascii="宋体" w:hAnsi="宋体" w:cs="宋体"/>
          <w:color w:val="auto"/>
          <w:kern w:val="0"/>
          <w:szCs w:val="21"/>
          <w:highlight w:val="none"/>
          <w:lang w:bidi="ar"/>
        </w:rPr>
        <w:t>。</w:t>
      </w:r>
    </w:p>
    <w:p w14:paraId="62FEF60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6.4.2 质量检查</w:t>
      </w:r>
    </w:p>
    <w:p w14:paraId="763637D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除通用合同条件已列明的质量检查的地点外，发包人有权进行质量检查的其他地点：</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3EF598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6.4.3 隐蔽工程检查</w:t>
      </w:r>
    </w:p>
    <w:p w14:paraId="3B0DF61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工程隐蔽部位经承包人自检确认具备覆盖条件的，承包人应在共同检查前</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小时书面通知监理人检查，通知中应载明隐蔽检查的内容、时间和地点，并应附有自检记录和必要的检查资料。</w:t>
      </w:r>
    </w:p>
    <w:p w14:paraId="2B7FF2B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关于隐蔽工程和中间验收的特别约定：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CCCFA4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6.5 由承包人试验和检验</w:t>
      </w:r>
    </w:p>
    <w:p w14:paraId="754DF8CD">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6</w:t>
      </w:r>
      <w:r>
        <w:rPr>
          <w:rFonts w:ascii="宋体" w:hAnsi="宋体" w:cs="宋体"/>
          <w:color w:val="auto"/>
          <w:kern w:val="0"/>
          <w:szCs w:val="21"/>
          <w:highlight w:val="none"/>
          <w:lang w:bidi="ar"/>
        </w:rPr>
        <w:t xml:space="preserve">.5.1 </w:t>
      </w:r>
      <w:r>
        <w:rPr>
          <w:rFonts w:hint="eastAsia" w:ascii="宋体" w:hAnsi="宋体" w:cs="宋体"/>
          <w:color w:val="auto"/>
          <w:kern w:val="0"/>
          <w:szCs w:val="21"/>
          <w:highlight w:val="none"/>
          <w:lang w:bidi="ar"/>
        </w:rPr>
        <w:t>试验设备与试验人员</w:t>
      </w:r>
    </w:p>
    <w:p w14:paraId="3CEB503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试验的内容、时间和地点：</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A7B2527">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试验所需要的试验设备、取样装置、试验场所和试验条件：</w:t>
      </w:r>
      <w:r>
        <w:rPr>
          <w:rFonts w:hint="eastAsia" w:ascii="宋体" w:hAnsi="宋体" w:cs="宋体"/>
          <w:color w:val="auto"/>
          <w:kern w:val="0"/>
          <w:szCs w:val="21"/>
          <w:highlight w:val="none"/>
          <w:u w:val="single"/>
          <w:lang w:bidi="ar"/>
        </w:rPr>
        <w:t>满足工程设计、施工的需要</w:t>
      </w:r>
      <w:r>
        <w:rPr>
          <w:rFonts w:hint="eastAsia" w:ascii="宋体" w:hAnsi="宋体" w:cs="宋体"/>
          <w:color w:val="auto"/>
          <w:kern w:val="0"/>
          <w:szCs w:val="21"/>
          <w:highlight w:val="none"/>
          <w:lang w:bidi="ar"/>
        </w:rPr>
        <w:t>。</w:t>
      </w:r>
    </w:p>
    <w:p w14:paraId="5EEDC93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本款补充6.5.5～6.5.9项：</w:t>
      </w:r>
    </w:p>
    <w:p w14:paraId="0C22763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6.5.5一般检验试验</w:t>
      </w:r>
    </w:p>
    <w:p w14:paraId="1763E41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根据《建设工程质量检测管理办法》（建设部令第141号）、关于实施《建设工程质量检测管理办法》有关问题的通知（建质〔2009〕25号）、《重庆市建设工程质量检测管理规定》（渝建发〔2009〕123号）、《关于加强我市建设工程质量检测委托管理的通知》（渝建〔2015〕420号）和有关施工规范、验收标准及施工图的规定或要求，对工程材料、构件、建筑安装物、半成品、成品进行的一般质量鉴定、检测和试验，由发包人委托的第三方检测试验机构实施，所发生的鉴定、检测和试验费用由发包人承担，不包含在合同价格中。</w:t>
      </w:r>
    </w:p>
    <w:p w14:paraId="63FB235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实施前，由发包人、承包人和第三方检测试验机构订立三方合同，第三方检测试验机构分别向承包人和发包人出具相应的检测试验报告。根据渝建〔2015〕420号文和有关施工规范、验收标准及施工图的规定或要求，所做的上述检测试验所需的试件取样、制作、送检，试件制作需要提供的材料以及检测、试验的配合工作由承包人负责完成并承担由此产生的所有相关费用。</w:t>
      </w:r>
    </w:p>
    <w:p w14:paraId="25E769E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6.5.6特殊检验试验</w:t>
      </w:r>
    </w:p>
    <w:p w14:paraId="6643D0B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（1）除“施工措施的检测、试验”外，包括但不限于路基弯沉值试验、路面承载力试验、桥梁荷载试验、锚固试验、桩基检测、锚杆抗拔检验、锚索预应力检测、外墙面砖抗粘接试验、室内有害物质检测、门窗 （幕墙）三性检测、石材放射性检测、石膏板阻燃检测、挡土墙抗渗试验、保温层隔热检测等（根据项目实际情况增减）设计施工规范及其他法律法规规范规定的特殊检验试验项目，根据渝建〔2015〕420号文的规定，均由发包人委托相应的第三方检测试验机构进行检测，所发生的特殊检验试验费由发包人承担，不包含在合同价格中。</w:t>
      </w:r>
    </w:p>
    <w:p w14:paraId="66F6D76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发包人委托的第三方检测试验机构检测试验的试件所需的材料、取样、送检及相关配合工作由承包人负责完成并承担由此产生的所有相关费用。</w:t>
      </w:r>
    </w:p>
    <w:p w14:paraId="291AD27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（2）施工措施的检测、试验：因施工措施需要而做的相关检测、试验由承包人负责实施，其费用由承包人承担。</w:t>
      </w:r>
    </w:p>
    <w:p w14:paraId="35940D5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6.5.7专项检测：</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7B639E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6.5.8若因承包人取样、制样、送检及相关配合不及时而导致工程的工期和费用增加，影响的工期不予延长，增加费用由承包人承担。</w:t>
      </w:r>
    </w:p>
    <w:p w14:paraId="26B8266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6.5.9检测试验不合格的项目，其缺陷处理和复测费用由承包人承担，工期不予延长。</w:t>
      </w:r>
    </w:p>
    <w:p w14:paraId="0001ACAE">
      <w:pPr>
        <w:widowControl/>
        <w:adjustRightInd w:val="0"/>
        <w:snapToGrid w:val="0"/>
        <w:spacing w:after="163" w:afterLines="50" w:line="360" w:lineRule="auto"/>
        <w:outlineLvl w:val="1"/>
        <w:rPr>
          <w:rFonts w:ascii="宋体" w:hAnsi="宋体" w:cs="Times"/>
          <w:b/>
          <w:color w:val="auto"/>
          <w:kern w:val="0"/>
          <w:highlight w:val="none"/>
        </w:rPr>
      </w:pPr>
      <w:bookmarkStart w:id="1839" w:name="_Toc20171880"/>
      <w:bookmarkEnd w:id="1839"/>
      <w:bookmarkStart w:id="1840" w:name="_Toc58860318"/>
      <w:r>
        <w:rPr>
          <w:rFonts w:hint="eastAsia" w:ascii="宋体" w:hAnsi="宋体" w:cs="Times"/>
          <w:b/>
          <w:color w:val="auto"/>
          <w:kern w:val="0"/>
          <w:szCs w:val="21"/>
          <w:highlight w:val="none"/>
          <w:lang w:bidi="ar"/>
        </w:rPr>
        <w:t>第7条 施工</w:t>
      </w:r>
      <w:bookmarkEnd w:id="1840"/>
    </w:p>
    <w:p w14:paraId="3D0AEBD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7.1 交通运输</w:t>
      </w:r>
    </w:p>
    <w:p w14:paraId="468A51D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7.1.1 出入现场的权利</w:t>
      </w:r>
    </w:p>
    <w:p w14:paraId="7170FB0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关于出入现场的权利的约定：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F545FB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7.1.2 场外交通</w:t>
      </w:r>
    </w:p>
    <w:p w14:paraId="07E0D53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关于场外交通的特别约定：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7CD389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7.1.3 场内交通</w:t>
      </w:r>
    </w:p>
    <w:p w14:paraId="01DD707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关于场内交通的特别约定：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3C552F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关于场内交通与场外交通边界的约定：</w:t>
      </w:r>
      <w:r>
        <w:rPr>
          <w:rFonts w:hint="eastAsia" w:ascii="宋体" w:hAnsi="宋体" w:cs="宋体"/>
          <w:color w:val="auto"/>
          <w:kern w:val="0"/>
          <w:szCs w:val="21"/>
          <w:highlight w:val="none"/>
          <w:u w:val="single"/>
          <w:lang w:bidi="ar"/>
        </w:rPr>
        <w:t>以合同工程用地红线为界，用地红线范围内为场内交通（场外道路穿越场内的除外），用地红线外为场外交通</w:t>
      </w:r>
      <w:r>
        <w:rPr>
          <w:rFonts w:hint="eastAsia" w:ascii="宋体" w:hAnsi="宋体" w:cs="宋体"/>
          <w:color w:val="auto"/>
          <w:kern w:val="0"/>
          <w:szCs w:val="21"/>
          <w:highlight w:val="none"/>
          <w:lang w:bidi="ar"/>
        </w:rPr>
        <w:t>。</w:t>
      </w:r>
    </w:p>
    <w:p w14:paraId="6F00428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关于发包人向承包人免费提供满足工程施工需要的场内道路和交通设施的约定：以施工场地移交时的现状为准。</w:t>
      </w:r>
    </w:p>
    <w:p w14:paraId="5527290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7.1.4 超大件和超重件的运输</w:t>
      </w:r>
    </w:p>
    <w:p w14:paraId="074CFEB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运输超大件或超重件所需的道路和桥梁临时加固改造费用和其他有关费用由</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承担。</w:t>
      </w:r>
    </w:p>
    <w:p w14:paraId="5774486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7.2 施工设备和临时设施</w:t>
      </w:r>
    </w:p>
    <w:p w14:paraId="1272D23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7.2.1 承包人提供的施工设备和临时设施</w:t>
      </w:r>
    </w:p>
    <w:p w14:paraId="7D922BF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临时设施的费用和临时占地手续和费用承担的特别约定：</w:t>
      </w:r>
      <w:r>
        <w:rPr>
          <w:rFonts w:hint="eastAsia" w:ascii="宋体" w:hAnsi="宋体" w:cs="宋体"/>
          <w:color w:val="auto"/>
          <w:kern w:val="0"/>
          <w:szCs w:val="21"/>
          <w:highlight w:val="none"/>
          <w:u w:val="single"/>
          <w:lang w:bidi="ar"/>
        </w:rPr>
        <w:t>由承包人承担</w:t>
      </w:r>
      <w:r>
        <w:rPr>
          <w:rFonts w:hint="eastAsia" w:ascii="宋体" w:hAnsi="宋体" w:cs="宋体"/>
          <w:color w:val="auto"/>
          <w:kern w:val="0"/>
          <w:szCs w:val="21"/>
          <w:highlight w:val="none"/>
          <w:lang w:bidi="ar"/>
        </w:rPr>
        <w:t>。</w:t>
      </w:r>
    </w:p>
    <w:p w14:paraId="5B97E72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7.2.2 发包人提供的施工设备和临时设施</w:t>
      </w:r>
    </w:p>
    <w:p w14:paraId="5B49D76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发包人提供的施工设备或临时设施范围：</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026CD5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7.3现场合作</w:t>
      </w:r>
    </w:p>
    <w:p w14:paraId="03F7F0C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关于现场合作费用的特别约定：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503D87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7.4 测量放线</w:t>
      </w:r>
    </w:p>
    <w:p w14:paraId="60938D2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w:t>
      </w:r>
      <w:r>
        <w:rPr>
          <w:rFonts w:ascii="宋体" w:hAnsi="宋体" w:cs="宋体"/>
          <w:color w:val="auto"/>
          <w:kern w:val="0"/>
          <w:szCs w:val="21"/>
          <w:highlight w:val="none"/>
          <w:lang w:bidi="ar"/>
        </w:rPr>
        <w:t xml:space="preserve">.4.1 </w:t>
      </w:r>
      <w:r>
        <w:rPr>
          <w:rFonts w:hint="eastAsia" w:ascii="宋体" w:hAnsi="宋体" w:cs="宋体"/>
          <w:color w:val="auto"/>
          <w:kern w:val="0"/>
          <w:szCs w:val="21"/>
          <w:highlight w:val="none"/>
          <w:lang w:bidi="ar"/>
        </w:rPr>
        <w:t>关于测量放线的特别约定的技术规范：</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。施工控制网资料的告知期限：</w:t>
      </w:r>
      <w:r>
        <w:rPr>
          <w:rFonts w:hint="eastAsia" w:ascii="宋体" w:hAnsi="宋体" w:cs="宋体"/>
          <w:color w:val="auto"/>
          <w:kern w:val="0"/>
          <w:szCs w:val="21"/>
          <w:highlight w:val="none"/>
          <w:u w:val="single"/>
          <w:lang w:bidi="ar"/>
        </w:rPr>
        <w:t>工程开工前7天内</w:t>
      </w:r>
      <w:r>
        <w:rPr>
          <w:rFonts w:hint="eastAsia" w:ascii="宋体" w:hAnsi="宋体" w:cs="宋体"/>
          <w:color w:val="auto"/>
          <w:kern w:val="0"/>
          <w:szCs w:val="21"/>
          <w:highlight w:val="none"/>
          <w:lang w:bidi="ar"/>
        </w:rPr>
        <w:t>。</w:t>
      </w:r>
    </w:p>
    <w:p w14:paraId="73DCEC9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7.5 现场劳动用工</w:t>
      </w:r>
    </w:p>
    <w:p w14:paraId="6C726B6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7.5.2 合同当事人对建筑工人工资清偿事宜和违约责任的约定：</w:t>
      </w:r>
      <w:r>
        <w:rPr>
          <w:rFonts w:hint="eastAsia" w:ascii="宋体" w:hAnsi="宋体" w:cs="宋体"/>
          <w:color w:val="auto"/>
          <w:kern w:val="0"/>
          <w:szCs w:val="21"/>
          <w:highlight w:val="none"/>
          <w:u w:val="single"/>
          <w:lang w:bidi="ar"/>
        </w:rPr>
        <w:t>详见合同附件1</w:t>
      </w:r>
      <w:r>
        <w:rPr>
          <w:rFonts w:ascii="宋体" w:hAnsi="宋体" w:cs="宋体"/>
          <w:color w:val="auto"/>
          <w:kern w:val="0"/>
          <w:szCs w:val="21"/>
          <w:highlight w:val="none"/>
          <w:u w:val="single"/>
          <w:lang w:bidi="ar"/>
        </w:rPr>
        <w:t>0</w:t>
      </w:r>
      <w:r>
        <w:rPr>
          <w:rFonts w:hint="eastAsia" w:ascii="宋体" w:hAnsi="宋体" w:cs="宋体"/>
          <w:color w:val="auto"/>
          <w:kern w:val="0"/>
          <w:szCs w:val="21"/>
          <w:highlight w:val="none"/>
          <w:u w:val="single"/>
          <w:lang w:bidi="ar"/>
        </w:rPr>
        <w:t>《保障建筑工人工资支付协议》</w:t>
      </w:r>
      <w:r>
        <w:rPr>
          <w:rFonts w:hint="eastAsia" w:ascii="宋体" w:hAnsi="宋体" w:cs="宋体"/>
          <w:color w:val="auto"/>
          <w:kern w:val="0"/>
          <w:szCs w:val="21"/>
          <w:highlight w:val="none"/>
          <w:lang w:bidi="ar"/>
        </w:rPr>
        <w:t>。</w:t>
      </w:r>
    </w:p>
    <w:p w14:paraId="7412ADB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7.6 安全文明施工</w:t>
      </w:r>
    </w:p>
    <w:p w14:paraId="519136A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7.6.1 安全生产要求</w:t>
      </w:r>
    </w:p>
    <w:p w14:paraId="2F452717">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合同当事人对安全施工的要求：</w:t>
      </w:r>
      <w:r>
        <w:rPr>
          <w:rFonts w:hint="eastAsia" w:ascii="宋体" w:hAnsi="宋体" w:cs="宋体"/>
          <w:color w:val="auto"/>
          <w:kern w:val="0"/>
          <w:szCs w:val="21"/>
          <w:highlight w:val="none"/>
          <w:u w:val="single"/>
          <w:lang w:bidi="ar"/>
        </w:rPr>
        <w:t>达到《建筑施工安全检查标准》（JGJ59-2011）的要求。</w:t>
      </w:r>
    </w:p>
    <w:p w14:paraId="61452628">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（1）按现行安全文明施工费计取及使用管理的政策文件规定及发包人制订的安全管理制度执行。</w:t>
      </w:r>
    </w:p>
    <w:p w14:paraId="6DB5A97A">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（2）承包人的原因造成事故，由此产生的法律责任和事故责任及费用由承包人全部承担。</w:t>
      </w:r>
    </w:p>
    <w:p w14:paraId="1E171857">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（3）承包人向发包人做出安全承诺，并签订《安全生产目标责任书》和《安全承诺书》。</w:t>
      </w:r>
    </w:p>
    <w:p w14:paraId="54B60015">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（4）承包人在施工过程中，必须严格执行安全生产法的相关规定，制定切实可靠的安全技术措施。</w:t>
      </w:r>
    </w:p>
    <w:p w14:paraId="61FC0203">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（5）接受发包人安全监督和管理，在施工中违反安全管理规定和操作规程、违章作业的，承担违约责任。</w:t>
      </w:r>
    </w:p>
    <w:p w14:paraId="095CF4E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7.6.3 文明施工 </w:t>
      </w:r>
    </w:p>
    <w:p w14:paraId="437C3E63">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合同当事人对文明施工的要求：</w:t>
      </w:r>
      <w:r>
        <w:rPr>
          <w:rFonts w:hint="eastAsia" w:ascii="宋体" w:hAnsi="宋体" w:cs="宋体"/>
          <w:color w:val="auto"/>
          <w:kern w:val="0"/>
          <w:szCs w:val="21"/>
          <w:highlight w:val="none"/>
          <w:u w:val="single"/>
          <w:lang w:bidi="ar"/>
        </w:rPr>
        <w:t>承包人应按照《房屋建筑和市政基础设施工程施工扬尘控制工作方案》（渝建发〔2009〕13号）、《重庆市建设委员会关于印发&lt;重庆市房屋建筑和市政基础设施工程现场文明施工标准&gt;的通知》（渝建发〔2008〕169号）等相关规定履行好施工扬尘控制、文明施工等责任。</w:t>
      </w:r>
    </w:p>
    <w:p w14:paraId="22DBA946">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承包人应按规定设置施工现场围挡，承包人采用的围挡主体形式应从重庆市城乡建委发布的标准图集（DJBT-062、DJBT-063）中选用，做好施工围挡，围挡应整齐美观，承包人按相关要求做好日常维护和保洁，围挡高度满足规范要求，相关费用已包含在签约合同价中。</w:t>
      </w:r>
    </w:p>
    <w:p w14:paraId="3DC62FF3">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安全文明施工费的要求与内容、提取支付方法以及违反约定造成损失的赔偿等条款，按照现行规范要求执行，做到专款专用。</w:t>
      </w:r>
    </w:p>
    <w:p w14:paraId="0B4B019B">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 xml:space="preserve">7.8 环境保护 </w:t>
      </w:r>
    </w:p>
    <w:p w14:paraId="0BFE83F2">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本款补充7.8.4～7.8.11项：</w:t>
      </w:r>
    </w:p>
    <w:p w14:paraId="379CCD57">
      <w:pPr>
        <w:widowControl/>
        <w:adjustRightInd w:val="0"/>
        <w:snapToGrid w:val="0"/>
        <w:spacing w:after="163" w:afterLines="50" w:line="360" w:lineRule="auto"/>
        <w:ind w:firstLine="420" w:firstLineChars="200"/>
        <w:jc w:val="left"/>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7.8.4 承包人应严格按照项目环境影响评价文件批准书结合发包人报送的环境影响报告书的要求进行环境保护的相关工作。如行政主管部门有新标准，则按最新标准执行，执行新标准增加的费用由发包人承担。</w:t>
      </w:r>
    </w:p>
    <w:p w14:paraId="290D1016">
      <w:pPr>
        <w:widowControl/>
        <w:adjustRightInd w:val="0"/>
        <w:snapToGrid w:val="0"/>
        <w:spacing w:after="163" w:afterLines="50" w:line="360" w:lineRule="auto"/>
        <w:ind w:firstLine="420" w:firstLineChars="200"/>
        <w:jc w:val="left"/>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7.8.5 承包人应做好对周边环境的调查工作，认真编制施工组织设计，严格按照施工方案组织施工，涉及交通、绿化、市政、环保、生态、公共安全等的施工方案应达到相关标准要求并在施工前得到相关行政主管部门和单位的同意，否则不得施工，因施工原因引起的一切投诉及处罚由承包人自行负责。</w:t>
      </w:r>
    </w:p>
    <w:p w14:paraId="43CD3F37">
      <w:pPr>
        <w:widowControl/>
        <w:adjustRightInd w:val="0"/>
        <w:snapToGrid w:val="0"/>
        <w:spacing w:after="163" w:afterLines="50" w:line="360" w:lineRule="auto"/>
        <w:ind w:firstLine="420" w:firstLineChars="200"/>
        <w:jc w:val="left"/>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7.8.6 承包人应加强生态环境保护工作。施工期间，采取边坡防护，挡渣坝、排水沟、沉淀池、表土剥离和绿化恢复等水土保持措施减少水土流失量，绿化恢复宜采用适于当地生长的植物。</w:t>
      </w:r>
    </w:p>
    <w:p w14:paraId="246F003E">
      <w:pPr>
        <w:widowControl/>
        <w:adjustRightInd w:val="0"/>
        <w:snapToGrid w:val="0"/>
        <w:spacing w:after="163" w:afterLines="50" w:line="360" w:lineRule="auto"/>
        <w:ind w:firstLine="420" w:firstLineChars="200"/>
        <w:jc w:val="left"/>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7.8.7 承包人应认真落实水污染防治措施。施工期间，加强机械设备维护，减少跑冒滴漏等现象；做好含油废水处理措施；施工场地生活污水经生化处理后达到《污水综合排放标准》（GB8978-1996）一级标准后排放。</w:t>
      </w:r>
    </w:p>
    <w:p w14:paraId="12770312">
      <w:pPr>
        <w:widowControl/>
        <w:adjustRightInd w:val="0"/>
        <w:snapToGrid w:val="0"/>
        <w:spacing w:after="163" w:afterLines="50" w:line="360" w:lineRule="auto"/>
        <w:ind w:firstLine="420" w:firstLineChars="200"/>
        <w:jc w:val="left"/>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7.8.8 承包人应重视大气污染物污染防治措施。施工期间，严格执行市政府“蓝天行动”方案等有关规定，通过洒水防尘，严格控制施工场地扬尘和运输扬尘污染。</w:t>
      </w:r>
    </w:p>
    <w:p w14:paraId="30AB888B">
      <w:pPr>
        <w:widowControl/>
        <w:adjustRightInd w:val="0"/>
        <w:snapToGrid w:val="0"/>
        <w:spacing w:after="163" w:afterLines="50" w:line="360" w:lineRule="auto"/>
        <w:ind w:firstLine="420" w:firstLineChars="200"/>
        <w:jc w:val="left"/>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7.8.9 承包人应落实固体废物污染防治措施。施工期间，项目产生的弃方不可合理利用的，应运往指定的弃渣场内堆存；建筑垃圾运至指定的建筑垃圾消纳场处置；生活垃圾由当地环卫部门统一处置。</w:t>
      </w:r>
    </w:p>
    <w:p w14:paraId="1E4F80AA">
      <w:pPr>
        <w:widowControl/>
        <w:adjustRightInd w:val="0"/>
        <w:snapToGrid w:val="0"/>
        <w:spacing w:after="163" w:afterLines="50" w:line="360" w:lineRule="auto"/>
        <w:ind w:firstLine="420" w:firstLineChars="200"/>
        <w:jc w:val="left"/>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7.8.10 承包人应认真落实噪声污染防治措施。施工期间，优选低噪声设备，合理安排施工时间，严格控制夜间施工，昼、夜施工场界需满足《建筑施工场界环境噪声排放标准》（GB12523-2011）。</w:t>
      </w:r>
    </w:p>
    <w:p w14:paraId="524FB52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u w:val="single"/>
          <w:lang w:bidi="ar"/>
        </w:rPr>
        <w:t>7.8.11 承包人自行负责办理有关施工场地交通、环卫和施工噪音管理等手续，并应按要求结合自身实际和重庆市相关规定，考虑不低于以上标准的此类工作。</w:t>
      </w:r>
    </w:p>
    <w:p w14:paraId="6EDE4E5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7.9 临时性公用设施 </w:t>
      </w:r>
    </w:p>
    <w:p w14:paraId="6FC61F8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关于临时性公用设施的特别约定：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39ED5E2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7.10 现场安保</w:t>
      </w:r>
    </w:p>
    <w:p w14:paraId="6342FFB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承包人现场安保义务的特别约定：</w:t>
      </w:r>
      <w:r>
        <w:rPr>
          <w:rFonts w:hint="eastAsia" w:ascii="宋体" w:hAnsi="宋体" w:cs="宋体"/>
          <w:color w:val="auto"/>
          <w:kern w:val="0"/>
          <w:szCs w:val="21"/>
          <w:highlight w:val="none"/>
          <w:u w:val="single"/>
          <w:lang w:bidi="ar"/>
        </w:rPr>
        <w:t>承包人负责组建施工现场治安管理机构或联防组织；承包人负责编制施工场地治安管理计划和突发治安事件紧急预案。</w:t>
      </w:r>
      <w:r>
        <w:rPr>
          <w:rFonts w:hint="eastAsia" w:ascii="宋体" w:hAnsi="宋体" w:cs="宋体"/>
          <w:color w:val="auto"/>
          <w:kern w:val="0"/>
          <w:szCs w:val="21"/>
          <w:highlight w:val="none"/>
          <w:lang w:bidi="ar"/>
        </w:rPr>
        <w:t>。</w:t>
      </w:r>
    </w:p>
    <w:p w14:paraId="47D175F9">
      <w:pPr>
        <w:widowControl/>
        <w:adjustRightInd w:val="0"/>
        <w:snapToGrid w:val="0"/>
        <w:spacing w:after="163" w:afterLines="50" w:line="360" w:lineRule="auto"/>
        <w:outlineLvl w:val="1"/>
        <w:rPr>
          <w:rFonts w:ascii="宋体" w:hAnsi="宋体" w:cs="Times"/>
          <w:color w:val="auto"/>
          <w:kern w:val="0"/>
          <w:highlight w:val="none"/>
        </w:rPr>
      </w:pPr>
      <w:bookmarkStart w:id="1841" w:name="_Toc20171881"/>
      <w:bookmarkEnd w:id="1841"/>
      <w:bookmarkStart w:id="1842" w:name="_Toc58860319"/>
      <w:r>
        <w:rPr>
          <w:rFonts w:hint="eastAsia" w:ascii="宋体" w:hAnsi="宋体" w:cs="Times"/>
          <w:color w:val="auto"/>
          <w:kern w:val="0"/>
          <w:szCs w:val="21"/>
          <w:highlight w:val="none"/>
          <w:lang w:bidi="ar"/>
        </w:rPr>
        <w:t>第8条 工期和进度</w:t>
      </w:r>
      <w:bookmarkEnd w:id="1842"/>
    </w:p>
    <w:p w14:paraId="564EE7B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8.1 开始工作</w:t>
      </w:r>
    </w:p>
    <w:p w14:paraId="1D56211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8.1.1 开始准备工作：</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C99C45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8.1.2 发包人可在计划开始工作之日起84日后发出开始工作通知的特殊情形：</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24BBA5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8.2 竣工日期</w:t>
      </w:r>
    </w:p>
    <w:p w14:paraId="0E9E8A1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竣工日期的约定：</w:t>
      </w:r>
      <w:r>
        <w:rPr>
          <w:rFonts w:hint="eastAsia" w:ascii="宋体" w:hAnsi="宋体" w:cs="宋体"/>
          <w:color w:val="auto"/>
          <w:kern w:val="0"/>
          <w:szCs w:val="21"/>
          <w:highlight w:val="none"/>
          <w:u w:val="single"/>
          <w:lang w:bidi="ar"/>
        </w:rPr>
        <w:t>计划竣工日期为         ，实际竣工日期以提交竣工验收申请报告的日期为准</w:t>
      </w:r>
      <w:r>
        <w:rPr>
          <w:rFonts w:hint="eastAsia" w:ascii="宋体" w:hAnsi="宋体" w:cs="宋体"/>
          <w:color w:val="auto"/>
          <w:kern w:val="0"/>
          <w:szCs w:val="21"/>
          <w:highlight w:val="none"/>
          <w:lang w:bidi="ar"/>
        </w:rPr>
        <w:t>。</w:t>
      </w:r>
    </w:p>
    <w:p w14:paraId="1EA9B45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8.3 项目实施计划</w:t>
      </w:r>
    </w:p>
    <w:p w14:paraId="638BBED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8.3.1 项目实施计划的内容</w:t>
      </w:r>
    </w:p>
    <w:p w14:paraId="22CACD0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项目实施计划的内容：</w:t>
      </w:r>
      <w:r>
        <w:rPr>
          <w:rFonts w:hint="eastAsia" w:ascii="宋体" w:hAnsi="宋体" w:cs="宋体"/>
          <w:color w:val="auto"/>
          <w:kern w:val="0"/>
          <w:szCs w:val="21"/>
          <w:highlight w:val="none"/>
          <w:u w:val="single"/>
          <w:lang w:bidi="ar"/>
        </w:rPr>
        <w:t>应采用文字并结合图表形式说明工程总承包</w:t>
      </w:r>
      <w:r>
        <w:rPr>
          <w:rFonts w:hint="eastAsia" w:ascii="宋体" w:hAnsi="宋体" w:cs="宋体"/>
          <w:color w:val="auto"/>
          <w:kern w:val="0"/>
          <w:szCs w:val="21"/>
          <w:highlight w:val="none"/>
          <w:lang w:bidi="ar"/>
        </w:rPr>
        <w:t>总体实施方案、施工图设计方案、采购计划以及施工方法</w:t>
      </w:r>
      <w:r>
        <w:rPr>
          <w:rFonts w:hint="eastAsia" w:ascii="宋体" w:hAnsi="宋体" w:cs="宋体"/>
          <w:color w:val="auto"/>
          <w:kern w:val="0"/>
          <w:szCs w:val="21"/>
          <w:highlight w:val="none"/>
          <w:u w:val="single"/>
          <w:lang w:bidi="ar"/>
        </w:rPr>
        <w:t>；列表说明拟投入工程的主要施工设备情况、拟配备工程的试验和检测仪器设备情况、劳动力计划等；结合工程特点提出切实可行的设计思路、工程质量、安全生产、文明施工、工程进度、技术组织措施，同时应对关键工序、复杂环节重点提出相应技术措施，如冬雨季施工技术、减少噪音、降低环境污染、地下管线及其他地上地下设施的保护加固措施等按发包人要求提供。</w:t>
      </w:r>
      <w:r>
        <w:rPr>
          <w:rFonts w:hint="eastAsia" w:ascii="宋体" w:hAnsi="宋体" w:cs="宋体"/>
          <w:color w:val="auto"/>
          <w:kern w:val="0"/>
          <w:szCs w:val="21"/>
          <w:highlight w:val="none"/>
          <w:lang w:bidi="ar"/>
        </w:rPr>
        <w:t>。</w:t>
      </w:r>
    </w:p>
    <w:p w14:paraId="27F31CA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8.3.2 项目实施计划的提交和修改</w:t>
      </w:r>
    </w:p>
    <w:p w14:paraId="2734DA0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项目实施计划的提交及修改期限：</w:t>
      </w:r>
      <w:r>
        <w:rPr>
          <w:rFonts w:hint="eastAsia" w:ascii="宋体" w:hAnsi="宋体" w:cs="宋体"/>
          <w:color w:val="auto"/>
          <w:kern w:val="0"/>
          <w:szCs w:val="21"/>
          <w:highlight w:val="none"/>
          <w:u w:val="single"/>
          <w:lang w:bidi="ar"/>
        </w:rPr>
        <w:t>合同订立后  天内，但最迟不得晚于开始工作通知载明的开始工作日期前7天</w:t>
      </w:r>
      <w:r>
        <w:rPr>
          <w:rFonts w:hint="eastAsia" w:ascii="宋体" w:hAnsi="宋体" w:cs="宋体"/>
          <w:color w:val="auto"/>
          <w:kern w:val="0"/>
          <w:szCs w:val="21"/>
          <w:highlight w:val="none"/>
          <w:lang w:bidi="ar"/>
        </w:rPr>
        <w:t>。</w:t>
      </w:r>
    </w:p>
    <w:p w14:paraId="2AD295A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8.4 项目进度计划</w:t>
      </w:r>
    </w:p>
    <w:p w14:paraId="49C0E0E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8.4.1监理人在收到进度计划后确认或提出修改意见的期限：</w:t>
      </w:r>
      <w:r>
        <w:rPr>
          <w:rFonts w:hint="eastAsia" w:ascii="宋体" w:hAnsi="宋体" w:cs="宋体"/>
          <w:color w:val="auto"/>
          <w:kern w:val="0"/>
          <w:szCs w:val="21"/>
          <w:highlight w:val="none"/>
          <w:u w:val="single"/>
          <w:lang w:bidi="ar"/>
        </w:rPr>
        <w:t>收到进度计划后  天内</w:t>
      </w:r>
      <w:r>
        <w:rPr>
          <w:rFonts w:hint="eastAsia" w:ascii="宋体" w:hAnsi="宋体" w:cs="宋体"/>
          <w:color w:val="auto"/>
          <w:kern w:val="0"/>
          <w:szCs w:val="21"/>
          <w:highlight w:val="none"/>
          <w:lang w:bidi="ar"/>
        </w:rPr>
        <w:t>。</w:t>
      </w:r>
    </w:p>
    <w:p w14:paraId="32DAA52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8.4.2 进度计划的具体要求：</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50FA72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关键路径及关键路径变化的确定原则：</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C8195F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承包人提交项目进度计划的份数和时间：</w:t>
      </w:r>
      <w:r>
        <w:rPr>
          <w:rFonts w:hint="eastAsia" w:ascii="宋体" w:hAnsi="宋体" w:cs="宋体"/>
          <w:color w:val="auto"/>
          <w:kern w:val="0"/>
          <w:szCs w:val="21"/>
          <w:highlight w:val="none"/>
          <w:u w:val="single"/>
          <w:lang w:bidi="ar"/>
        </w:rPr>
        <w:t>合同订立后  天内提供3份，但最迟不得晚于开始工作通知载明的开工工作日期前7天</w:t>
      </w:r>
      <w:r>
        <w:rPr>
          <w:rFonts w:hint="eastAsia" w:ascii="宋体" w:hAnsi="宋体" w:cs="宋体"/>
          <w:color w:val="auto"/>
          <w:kern w:val="0"/>
          <w:szCs w:val="21"/>
          <w:highlight w:val="none"/>
          <w:lang w:bidi="ar"/>
        </w:rPr>
        <w:t>。</w:t>
      </w:r>
    </w:p>
    <w:p w14:paraId="1C4810B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8.4.3 进度计划的修订</w:t>
      </w:r>
    </w:p>
    <w:p w14:paraId="445E1A3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承包人答复发包人修订项目进度计划通知的期限：</w:t>
      </w:r>
      <w:r>
        <w:rPr>
          <w:rFonts w:hint="eastAsia" w:ascii="宋体" w:hAnsi="宋体" w:cs="宋体"/>
          <w:color w:val="auto"/>
          <w:kern w:val="0"/>
          <w:szCs w:val="21"/>
          <w:highlight w:val="none"/>
          <w:u w:val="single"/>
          <w:lang w:bidi="ar"/>
        </w:rPr>
        <w:t>接到修订项目进度计划的通知后</w:t>
      </w:r>
      <w:r>
        <w:rPr>
          <w:rFonts w:ascii="宋体" w:hAnsi="宋体" w:cs="宋体"/>
          <w:color w:val="auto"/>
          <w:kern w:val="0"/>
          <w:szCs w:val="21"/>
          <w:highlight w:val="none"/>
          <w:u w:val="single"/>
          <w:lang w:bidi="ar"/>
        </w:rPr>
        <w:t>2天内</w:t>
      </w:r>
      <w:r>
        <w:rPr>
          <w:rFonts w:hint="eastAsia" w:ascii="宋体" w:hAnsi="宋体" w:cs="宋体"/>
          <w:color w:val="auto"/>
          <w:kern w:val="0"/>
          <w:szCs w:val="21"/>
          <w:highlight w:val="none"/>
          <w:lang w:bidi="ar"/>
        </w:rPr>
        <w:t>。</w:t>
      </w:r>
    </w:p>
    <w:p w14:paraId="22AC6C3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承包人提交修订项目进度计划申请报告的期限：</w:t>
      </w:r>
      <w:r>
        <w:rPr>
          <w:rFonts w:hint="eastAsia" w:ascii="宋体" w:hAnsi="宋体" w:cs="宋体"/>
          <w:color w:val="auto"/>
          <w:kern w:val="0"/>
          <w:szCs w:val="21"/>
          <w:highlight w:val="none"/>
          <w:u w:val="single"/>
          <w:lang w:bidi="ar"/>
        </w:rPr>
        <w:t>接到修订项目进度计划的通知后</w:t>
      </w:r>
      <w:r>
        <w:rPr>
          <w:rFonts w:ascii="宋体" w:hAnsi="宋体" w:cs="宋体"/>
          <w:color w:val="auto"/>
          <w:kern w:val="0"/>
          <w:szCs w:val="21"/>
          <w:highlight w:val="none"/>
          <w:u w:val="single"/>
          <w:lang w:bidi="ar"/>
        </w:rPr>
        <w:t>7天内</w:t>
      </w:r>
      <w:r>
        <w:rPr>
          <w:rFonts w:hint="eastAsia" w:ascii="宋体" w:hAnsi="宋体" w:cs="宋体"/>
          <w:color w:val="auto"/>
          <w:kern w:val="0"/>
          <w:szCs w:val="21"/>
          <w:highlight w:val="none"/>
          <w:lang w:bidi="ar"/>
        </w:rPr>
        <w:t>。</w:t>
      </w:r>
    </w:p>
    <w:p w14:paraId="29BA5C1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发包人批复修订项目进度计划申请报告的期限：</w:t>
      </w:r>
      <w:r>
        <w:rPr>
          <w:rFonts w:hint="eastAsia" w:ascii="宋体" w:hAnsi="宋体" w:cs="宋体"/>
          <w:color w:val="auto"/>
          <w:kern w:val="0"/>
          <w:szCs w:val="21"/>
          <w:highlight w:val="none"/>
          <w:u w:val="single"/>
          <w:lang w:bidi="ar"/>
        </w:rPr>
        <w:t>收到修订项目进度计划</w:t>
      </w:r>
      <w:r>
        <w:rPr>
          <w:rFonts w:hint="eastAsia" w:ascii="宋体" w:hAnsi="宋体" w:cs="宋体"/>
          <w:color w:val="auto"/>
          <w:kern w:val="0"/>
          <w:szCs w:val="21"/>
          <w:highlight w:val="none"/>
          <w:lang w:bidi="ar"/>
        </w:rPr>
        <w:t>申请报告</w:t>
      </w:r>
      <w:r>
        <w:rPr>
          <w:rFonts w:hint="eastAsia" w:ascii="宋体" w:hAnsi="宋体" w:cs="宋体"/>
          <w:color w:val="auto"/>
          <w:kern w:val="0"/>
          <w:szCs w:val="21"/>
          <w:highlight w:val="none"/>
          <w:u w:val="single"/>
          <w:lang w:bidi="ar"/>
        </w:rPr>
        <w:t>后  天内</w:t>
      </w:r>
      <w:r>
        <w:rPr>
          <w:rFonts w:hint="eastAsia" w:ascii="宋体" w:hAnsi="宋体" w:cs="宋体"/>
          <w:color w:val="auto"/>
          <w:kern w:val="0"/>
          <w:szCs w:val="21"/>
          <w:highlight w:val="none"/>
          <w:lang w:bidi="ar"/>
        </w:rPr>
        <w:t>。</w:t>
      </w:r>
    </w:p>
    <w:p w14:paraId="2A0DE14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8.5 进度报告</w:t>
      </w:r>
    </w:p>
    <w:p w14:paraId="7F039DA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进度报告的具体要求：</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D75B8E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8.7 工期延误</w:t>
      </w:r>
    </w:p>
    <w:p w14:paraId="35EB9ED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8.7.2 因承包人原因导致工期延误</w:t>
      </w:r>
    </w:p>
    <w:p w14:paraId="6469298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因承包人原因使竣工日期延误，每延误1日的误期赔偿金额为合同协议书的合同价格的</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%或人民币金额为：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、累计最高赔偿金额为合同协议书的合同价格的</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%或人民币金额为：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3086279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8.7.3 行政审批迟延</w:t>
      </w:r>
    </w:p>
    <w:p w14:paraId="775EB1B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行政审批报送的职责分工：</w:t>
      </w:r>
      <w:r>
        <w:rPr>
          <w:rFonts w:hint="eastAsia" w:ascii="宋体" w:hAnsi="宋体" w:cs="宋体"/>
          <w:color w:val="auto"/>
          <w:kern w:val="0"/>
          <w:szCs w:val="21"/>
          <w:highlight w:val="none"/>
          <w:u w:val="single"/>
          <w:lang w:bidi="ar"/>
        </w:rPr>
        <w:t>由发包人报送，承包人配合提供相关资料</w:t>
      </w:r>
      <w:r>
        <w:rPr>
          <w:rFonts w:hint="eastAsia" w:ascii="宋体" w:hAnsi="宋体" w:cs="宋体"/>
          <w:color w:val="auto"/>
          <w:kern w:val="0"/>
          <w:szCs w:val="21"/>
          <w:highlight w:val="none"/>
          <w:lang w:bidi="ar"/>
        </w:rPr>
        <w:t>。</w:t>
      </w:r>
    </w:p>
    <w:p w14:paraId="2A51484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8.7.4 异常恶劣的气候条件</w:t>
      </w:r>
    </w:p>
    <w:p w14:paraId="16A55DC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双方约定视为异常恶劣的气候条件的情形：</w:t>
      </w:r>
      <w:r>
        <w:rPr>
          <w:rFonts w:hint="eastAsia" w:ascii="宋体" w:hAnsi="宋体" w:cs="宋体"/>
          <w:color w:val="auto"/>
          <w:kern w:val="0"/>
          <w:szCs w:val="21"/>
          <w:highlight w:val="none"/>
          <w:u w:val="single"/>
          <w:lang w:bidi="ar"/>
        </w:rPr>
        <w:t xml:space="preserve">    （异常恶劣气候是指项目所在地50年以上一遇的罕见恶劣气候现象）</w:t>
      </w:r>
      <w:r>
        <w:rPr>
          <w:rFonts w:hint="eastAsia" w:ascii="宋体" w:hAnsi="宋体" w:cs="宋体"/>
          <w:color w:val="auto"/>
          <w:kern w:val="0"/>
          <w:szCs w:val="21"/>
          <w:highlight w:val="none"/>
          <w:lang w:bidi="ar"/>
        </w:rPr>
        <w:t>。</w:t>
      </w:r>
    </w:p>
    <w:p w14:paraId="26C2BD8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8.8 工期提前</w:t>
      </w:r>
    </w:p>
    <w:p w14:paraId="0275D75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8.8.2 承包人提前竣工的奖励：</w:t>
      </w:r>
      <w:r>
        <w:rPr>
          <w:rFonts w:hint="eastAsia" w:ascii="宋体" w:hAnsi="宋体" w:cs="宋体"/>
          <w:color w:val="auto"/>
          <w:kern w:val="0"/>
          <w:szCs w:val="21"/>
          <w:highlight w:val="none"/>
          <w:u w:val="single"/>
          <w:lang w:bidi="ar"/>
        </w:rPr>
        <w:t xml:space="preserve">    元/天，不超过签约合同价的  %</w:t>
      </w:r>
      <w:r>
        <w:rPr>
          <w:rFonts w:hint="eastAsia" w:ascii="宋体" w:hAnsi="宋体" w:cs="宋体"/>
          <w:color w:val="auto"/>
          <w:kern w:val="0"/>
          <w:szCs w:val="21"/>
          <w:highlight w:val="none"/>
          <w:lang w:bidi="ar"/>
        </w:rPr>
        <w:t>。</w:t>
      </w:r>
    </w:p>
    <w:p w14:paraId="1793651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本款补充8.8.3项：</w:t>
      </w:r>
    </w:p>
    <w:p w14:paraId="3DE6701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8.8.3发包人不得随意要求承包人提前竣工，承包人也不得随意提出提前竣工的建议。如遇特殊情况，确需将工期提前的，发包人和承包人必须采取有效措施，确保工程质量。</w:t>
      </w:r>
    </w:p>
    <w:p w14:paraId="5741141E">
      <w:pPr>
        <w:widowControl/>
        <w:adjustRightInd w:val="0"/>
        <w:snapToGrid w:val="0"/>
        <w:spacing w:after="163" w:afterLines="50" w:line="360" w:lineRule="auto"/>
        <w:outlineLvl w:val="1"/>
        <w:rPr>
          <w:rFonts w:ascii="宋体" w:hAnsi="宋体" w:cs="Times"/>
          <w:color w:val="auto"/>
          <w:kern w:val="0"/>
          <w:highlight w:val="none"/>
        </w:rPr>
      </w:pPr>
      <w:bookmarkStart w:id="1843" w:name="_Toc20171882"/>
      <w:bookmarkEnd w:id="1843"/>
      <w:bookmarkStart w:id="1844" w:name="_Toc58860320"/>
      <w:r>
        <w:rPr>
          <w:rFonts w:hint="eastAsia" w:ascii="宋体" w:hAnsi="宋体" w:cs="Times"/>
          <w:color w:val="auto"/>
          <w:kern w:val="0"/>
          <w:szCs w:val="21"/>
          <w:highlight w:val="none"/>
          <w:lang w:bidi="ar"/>
        </w:rPr>
        <w:t>第9条 竣工试验</w:t>
      </w:r>
      <w:bookmarkEnd w:id="1844"/>
    </w:p>
    <w:p w14:paraId="205E9CB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本合同工程是否包含竣工试验：</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6CDD107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9.1 竣工试验的义务</w:t>
      </w:r>
    </w:p>
    <w:p w14:paraId="4F569F3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9.1.1 竣工试验方案的提交份数、时间和内容：</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EBAEF8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9.1.2 竣工试验所需人员、设备、材料、燃料、电力、消耗品、工具等必要条件的提供方：</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00C61C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竣工试验费用的承担方：</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421B75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9.1.3 竣工试验的阶段、内容和顺序：</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58056A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竣工试验的操作要求：</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3A71F16B">
      <w:pPr>
        <w:widowControl/>
        <w:adjustRightInd w:val="0"/>
        <w:snapToGrid w:val="0"/>
        <w:spacing w:after="163" w:afterLines="50" w:line="360" w:lineRule="auto"/>
        <w:outlineLvl w:val="1"/>
        <w:rPr>
          <w:rFonts w:ascii="宋体" w:hAnsi="宋体" w:cs="Times"/>
          <w:color w:val="auto"/>
          <w:kern w:val="0"/>
          <w:highlight w:val="none"/>
        </w:rPr>
      </w:pPr>
      <w:bookmarkStart w:id="1845" w:name="_Toc4784273"/>
      <w:bookmarkEnd w:id="1845"/>
      <w:bookmarkStart w:id="1846" w:name="_Toc4784272"/>
      <w:bookmarkEnd w:id="1846"/>
      <w:bookmarkStart w:id="1847" w:name="_Toc20171883"/>
      <w:bookmarkEnd w:id="1847"/>
      <w:bookmarkStart w:id="1848" w:name="_Toc58860321"/>
      <w:r>
        <w:rPr>
          <w:rFonts w:hint="eastAsia" w:ascii="宋体" w:hAnsi="宋体" w:cs="Times"/>
          <w:color w:val="auto"/>
          <w:kern w:val="0"/>
          <w:szCs w:val="21"/>
          <w:highlight w:val="none"/>
          <w:lang w:bidi="ar"/>
        </w:rPr>
        <w:t>第10条 验收和工程接收</w:t>
      </w:r>
      <w:bookmarkEnd w:id="1848"/>
    </w:p>
    <w:p w14:paraId="4187744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10.1 竣工验收</w:t>
      </w:r>
    </w:p>
    <w:p w14:paraId="5D48B28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10.1.2 关于竣工验收程序的约定：</w:t>
      </w:r>
    </w:p>
    <w:p w14:paraId="323F70C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（1）发包人应在收到承包人报送的竣工验收申请报告后14天内组织设计人、监理人、质监等其他部门进行验收，竣工日期以最后一次整改后通过竣工验收的时间为准。</w:t>
      </w:r>
    </w:p>
    <w:p w14:paraId="74D2660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当工程具备竣工验收条件时，承包人应及时向发包人提交竣工验收申请报告及竣工资料、办理移交手续。否则发包人有权依据监理人出具的鉴定结论书，自行组织有关部门验收，并提出整改意见。承包人必须按要求整改，并承担整改费用；如承包人拒绝按发包人提出的要求整改，发包人有权请第三方整改，由此发生的整改费用从未付工程款中扣除，不足部分发包人有权向承包人追偿。当验收通过后具备交付使用条件时，承包人不得以任何借口拒绝移交工程，否则，发包人有权强行使用，由此发生的一切后果，由承包人负责。</w:t>
      </w:r>
    </w:p>
    <w:p w14:paraId="03933E9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发包人不按照合同约定组织竣工验收、颁发工程接受证书的违约金的计算方式：</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3D01789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10.3 工程的接收</w:t>
      </w:r>
    </w:p>
    <w:p w14:paraId="51F792D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10.3.1 工程接收的先后顺序：</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9D8EBD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工程接收的时间安排：颁发工程接收证书后7天内完成工程的接收。</w:t>
      </w:r>
    </w:p>
    <w:p w14:paraId="4296926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工程接收的其他要求：</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2DE799C">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10.3.2</w:t>
      </w:r>
      <w:r>
        <w:rPr>
          <w:rFonts w:ascii="宋体" w:hAnsi="宋体" w:cs="宋体"/>
          <w:color w:val="auto"/>
          <w:kern w:val="0"/>
          <w:szCs w:val="21"/>
          <w:highlight w:val="none"/>
          <w:lang w:bidi="ar"/>
        </w:rPr>
        <w:t xml:space="preserve"> </w:t>
      </w:r>
      <w:r>
        <w:rPr>
          <w:rFonts w:hint="eastAsia" w:ascii="宋体" w:hAnsi="宋体" w:cs="宋体"/>
          <w:color w:val="auto"/>
          <w:kern w:val="0"/>
          <w:szCs w:val="21"/>
          <w:highlight w:val="none"/>
          <w:lang w:bidi="ar"/>
        </w:rPr>
        <w:t>接收工程时承包人需提交竣工验收资料的类别、内容、份数和提交时间：</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172C64C">
      <w:pPr>
        <w:widowControl/>
        <w:adjustRightInd w:val="0"/>
        <w:snapToGrid w:val="0"/>
        <w:spacing w:after="163" w:afterLines="50" w:line="360" w:lineRule="auto"/>
        <w:ind w:firstLine="420" w:firstLineChars="200"/>
        <w:rPr>
          <w:color w:val="auto"/>
          <w:highlight w:val="none"/>
          <w:lang w:bidi="ar"/>
        </w:rPr>
      </w:pPr>
      <w:r>
        <w:rPr>
          <w:rFonts w:ascii="宋体" w:hAnsi="宋体"/>
          <w:color w:val="auto"/>
          <w:highlight w:val="none"/>
          <w:lang w:bidi="ar"/>
        </w:rPr>
        <w:t>10.3.3</w:t>
      </w:r>
      <w:r>
        <w:rPr>
          <w:color w:val="auto"/>
          <w:highlight w:val="none"/>
          <w:lang w:bidi="ar"/>
        </w:rPr>
        <w:t xml:space="preserve"> </w:t>
      </w:r>
      <w:r>
        <w:rPr>
          <w:rFonts w:hint="eastAsia"/>
          <w:color w:val="auto"/>
          <w:highlight w:val="none"/>
          <w:lang w:bidi="ar"/>
        </w:rPr>
        <w:t>发包人逾期接收工程的违约责任：</w:t>
      </w:r>
      <w:r>
        <w:rPr>
          <w:color w:val="auto"/>
          <w:highlight w:val="none"/>
          <w:u w:val="single"/>
          <w:lang w:bidi="ar"/>
        </w:rPr>
        <w:t xml:space="preserve">                                             </w:t>
      </w:r>
      <w:r>
        <w:rPr>
          <w:rFonts w:hint="eastAsia"/>
          <w:color w:val="auto"/>
          <w:highlight w:val="none"/>
          <w:lang w:bidi="ar"/>
        </w:rPr>
        <w:t>。</w:t>
      </w:r>
    </w:p>
    <w:p w14:paraId="7593CC9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10.3.4</w:t>
      </w:r>
      <w:r>
        <w:rPr>
          <w:rFonts w:ascii="宋体" w:hAnsi="宋体" w:cs="宋体"/>
          <w:color w:val="auto"/>
          <w:kern w:val="0"/>
          <w:szCs w:val="21"/>
          <w:highlight w:val="none"/>
          <w:lang w:bidi="ar"/>
        </w:rPr>
        <w:t xml:space="preserve"> </w:t>
      </w:r>
      <w:r>
        <w:rPr>
          <w:rFonts w:hint="eastAsia" w:ascii="宋体" w:hAnsi="宋体" w:cs="宋体"/>
          <w:color w:val="auto"/>
          <w:kern w:val="0"/>
          <w:szCs w:val="21"/>
          <w:highlight w:val="none"/>
          <w:lang w:bidi="ar"/>
        </w:rPr>
        <w:t>承包人无正当理由不移交工程的违约责任：</w:t>
      </w:r>
      <w:r>
        <w:rPr>
          <w:rFonts w:hint="eastAsia" w:ascii="宋体" w:hAnsi="宋体" w:cs="宋体"/>
          <w:color w:val="auto"/>
          <w:kern w:val="0"/>
          <w:szCs w:val="21"/>
          <w:highlight w:val="none"/>
          <w:u w:val="single"/>
          <w:lang w:bidi="ar"/>
        </w:rPr>
        <w:t>承包人应承担工程照管、成品保护、保管等与工程有关的各项费用，并按经审定结算金额的0.5‰/天支付违约金</w:t>
      </w:r>
      <w:r>
        <w:rPr>
          <w:rFonts w:hint="eastAsia" w:ascii="宋体" w:hAnsi="宋体" w:cs="宋体"/>
          <w:color w:val="auto"/>
          <w:kern w:val="0"/>
          <w:szCs w:val="21"/>
          <w:highlight w:val="none"/>
          <w:lang w:bidi="ar"/>
        </w:rPr>
        <w:t>。</w:t>
      </w:r>
    </w:p>
    <w:p w14:paraId="083B8AA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10.4 接收证书</w:t>
      </w:r>
    </w:p>
    <w:p w14:paraId="42ABA7D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w:t>
      </w:r>
      <w:r>
        <w:rPr>
          <w:rFonts w:ascii="宋体" w:hAnsi="宋体" w:cs="宋体"/>
          <w:color w:val="auto"/>
          <w:kern w:val="0"/>
          <w:szCs w:val="21"/>
          <w:highlight w:val="none"/>
          <w:lang w:bidi="ar"/>
        </w:rPr>
        <w:t>4</w:t>
      </w:r>
      <w:r>
        <w:rPr>
          <w:rFonts w:hint="eastAsia" w:ascii="宋体" w:hAnsi="宋体" w:cs="宋体"/>
          <w:color w:val="auto"/>
          <w:kern w:val="0"/>
          <w:szCs w:val="21"/>
          <w:highlight w:val="none"/>
          <w:lang w:bidi="ar"/>
        </w:rPr>
        <w:t>.1 工程接收证书颁发时间：</w:t>
      </w:r>
      <w:r>
        <w:rPr>
          <w:rFonts w:hint="eastAsia" w:ascii="宋体" w:hAnsi="宋体" w:cs="宋体"/>
          <w:color w:val="auto"/>
          <w:kern w:val="0"/>
          <w:szCs w:val="21"/>
          <w:highlight w:val="none"/>
          <w:u w:val="single"/>
          <w:lang w:bidi="ar"/>
        </w:rPr>
        <w:t>发包人在竣工验收合格且工程具备接收条件后的14天内向承包人颁发工程接收证书</w:t>
      </w:r>
      <w:r>
        <w:rPr>
          <w:rFonts w:hint="eastAsia" w:ascii="宋体" w:hAnsi="宋体" w:cs="宋体"/>
          <w:color w:val="auto"/>
          <w:kern w:val="0"/>
          <w:szCs w:val="21"/>
          <w:highlight w:val="none"/>
          <w:lang w:bidi="ar"/>
        </w:rPr>
        <w:t>。</w:t>
      </w:r>
    </w:p>
    <w:p w14:paraId="02CC949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10.5 竣工退场</w:t>
      </w:r>
    </w:p>
    <w:p w14:paraId="36F845B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10.5.1 竣工退场的相关约定：</w:t>
      </w:r>
      <w:r>
        <w:rPr>
          <w:rFonts w:hint="eastAsia" w:ascii="宋体" w:hAnsi="宋体" w:cs="宋体"/>
          <w:color w:val="auto"/>
          <w:kern w:val="0"/>
          <w:szCs w:val="21"/>
          <w:highlight w:val="none"/>
          <w:u w:val="single"/>
          <w:lang w:bidi="ar"/>
        </w:rPr>
        <w:t>工程接收证书颁发后28天内，承包人的人员、剩余材料、施工设备和临时工程应完全撤离施工场地并对施工场地进行清理、平整、复原，直至监理人检验合格为止，由此发生的费用已包含在签约合同价内。承包人未在限期内拆除的，发包人可委托其他单位代为拆除，由此发生的费用（发包人可从应付承包人的款项中扣除）由承包人承担，承包人还应按审定结算金额的0.5‰/天的标准向发包人支付违约金。因工程维修需要部分人员必须留在施工现场的，需征得发包人同意</w:t>
      </w:r>
      <w:r>
        <w:rPr>
          <w:rFonts w:hint="eastAsia" w:ascii="宋体" w:hAnsi="宋体" w:cs="宋体"/>
          <w:color w:val="auto"/>
          <w:kern w:val="0"/>
          <w:szCs w:val="21"/>
          <w:highlight w:val="none"/>
          <w:lang w:bidi="ar"/>
        </w:rPr>
        <w:t>。</w:t>
      </w:r>
    </w:p>
    <w:p w14:paraId="23F8FFA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10.5.3 人员撤离</w:t>
      </w:r>
    </w:p>
    <w:p w14:paraId="095C32E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监理人同意需在缺陷责任期内继续工作和使用的人员、施工设备和临时工程的内容：</w:t>
      </w:r>
      <w:r>
        <w:rPr>
          <w:rFonts w:hint="eastAsia" w:ascii="宋体" w:hAnsi="宋体" w:cs="宋体"/>
          <w:color w:val="auto"/>
          <w:kern w:val="0"/>
          <w:szCs w:val="21"/>
          <w:highlight w:val="none"/>
          <w:u w:val="single"/>
          <w:lang w:bidi="ar"/>
        </w:rPr>
        <w:t>承包人提交缺陷责任期内继续工作和使用的人员、设备和临时工程清单，征得发包人同意，未在清单内的人员和施工设备应全部撤离施工现场</w:t>
      </w:r>
      <w:r>
        <w:rPr>
          <w:rFonts w:hint="eastAsia" w:ascii="宋体" w:hAnsi="宋体" w:cs="宋体"/>
          <w:color w:val="auto"/>
          <w:kern w:val="0"/>
          <w:szCs w:val="21"/>
          <w:highlight w:val="none"/>
          <w:lang w:bidi="ar"/>
        </w:rPr>
        <w:t>。</w:t>
      </w:r>
    </w:p>
    <w:p w14:paraId="1E7503D8">
      <w:pPr>
        <w:widowControl/>
        <w:adjustRightInd w:val="0"/>
        <w:snapToGrid w:val="0"/>
        <w:spacing w:after="163" w:afterLines="50" w:line="360" w:lineRule="auto"/>
        <w:outlineLvl w:val="1"/>
        <w:rPr>
          <w:rFonts w:ascii="宋体" w:hAnsi="宋体" w:cs="Times"/>
          <w:color w:val="auto"/>
          <w:kern w:val="0"/>
          <w:highlight w:val="none"/>
        </w:rPr>
      </w:pPr>
      <w:bookmarkStart w:id="1849" w:name="_Toc20171884"/>
      <w:bookmarkEnd w:id="1849"/>
      <w:bookmarkStart w:id="1850" w:name="_Toc58860322"/>
      <w:r>
        <w:rPr>
          <w:rFonts w:hint="eastAsia" w:ascii="宋体" w:hAnsi="宋体" w:cs="Times"/>
          <w:color w:val="auto"/>
          <w:kern w:val="0"/>
          <w:szCs w:val="21"/>
          <w:highlight w:val="none"/>
          <w:lang w:bidi="ar"/>
        </w:rPr>
        <w:t>第11条 缺陷责任与保修</w:t>
      </w:r>
      <w:bookmarkEnd w:id="1850"/>
    </w:p>
    <w:p w14:paraId="54661B2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11.2 缺陷责任期</w:t>
      </w:r>
    </w:p>
    <w:p w14:paraId="3BF426C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缺陷责任期的期限：</w:t>
      </w:r>
      <w:r>
        <w:rPr>
          <w:rFonts w:hint="eastAsia" w:ascii="宋体" w:hAnsi="宋体" w:cs="宋体"/>
          <w:color w:val="auto"/>
          <w:kern w:val="0"/>
          <w:szCs w:val="21"/>
          <w:highlight w:val="none"/>
          <w:u w:val="single"/>
          <w:lang w:bidi="ar"/>
        </w:rPr>
        <w:t>工程竣工验收合格之日起  个月</w:t>
      </w:r>
      <w:r>
        <w:rPr>
          <w:rFonts w:hint="eastAsia" w:ascii="宋体" w:hAnsi="宋体" w:cs="宋体"/>
          <w:color w:val="auto"/>
          <w:kern w:val="0"/>
          <w:szCs w:val="21"/>
          <w:highlight w:val="none"/>
          <w:lang w:bidi="ar"/>
        </w:rPr>
        <w:t>。</w:t>
      </w:r>
    </w:p>
    <w:p w14:paraId="60D7586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11.3 缺陷调查</w:t>
      </w:r>
    </w:p>
    <w:p w14:paraId="62581D4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11.3.</w:t>
      </w:r>
      <w:r>
        <w:rPr>
          <w:rFonts w:ascii="宋体" w:hAnsi="宋体" w:cs="宋体"/>
          <w:color w:val="auto"/>
          <w:kern w:val="0"/>
          <w:szCs w:val="21"/>
          <w:highlight w:val="none"/>
          <w:lang w:bidi="ar"/>
        </w:rPr>
        <w:t>4</w:t>
      </w:r>
      <w:r>
        <w:rPr>
          <w:rFonts w:hint="eastAsia" w:ascii="宋体" w:hAnsi="宋体" w:cs="宋体"/>
          <w:color w:val="auto"/>
          <w:kern w:val="0"/>
          <w:szCs w:val="21"/>
          <w:highlight w:val="none"/>
          <w:lang w:bidi="ar"/>
        </w:rPr>
        <w:t xml:space="preserve"> 修复通知</w:t>
      </w:r>
    </w:p>
    <w:p w14:paraId="7A8903D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承包人收到保修通知并到达工程现场的合理时间：</w:t>
      </w:r>
      <w:r>
        <w:rPr>
          <w:rFonts w:hint="eastAsia" w:ascii="宋体" w:hAnsi="宋体" w:cs="宋体"/>
          <w:color w:val="auto"/>
          <w:kern w:val="0"/>
          <w:szCs w:val="21"/>
          <w:highlight w:val="none"/>
          <w:u w:val="single"/>
          <w:lang w:bidi="ar"/>
        </w:rPr>
        <w:t xml:space="preserve">  小时内，最长不能超过  小时</w:t>
      </w:r>
      <w:r>
        <w:rPr>
          <w:rFonts w:hint="eastAsia" w:ascii="宋体" w:hAnsi="宋体" w:cs="宋体"/>
          <w:color w:val="auto"/>
          <w:kern w:val="0"/>
          <w:szCs w:val="21"/>
          <w:highlight w:val="none"/>
          <w:lang w:bidi="ar"/>
        </w:rPr>
        <w:t>。</w:t>
      </w:r>
    </w:p>
    <w:p w14:paraId="5364FC4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w:t>
      </w:r>
      <w:r>
        <w:rPr>
          <w:rFonts w:ascii="宋体" w:hAnsi="宋体" w:cs="宋体"/>
          <w:color w:val="auto"/>
          <w:kern w:val="0"/>
          <w:szCs w:val="21"/>
          <w:highlight w:val="none"/>
          <w:lang w:bidi="ar"/>
        </w:rPr>
        <w:t>6</w:t>
      </w:r>
      <w:r>
        <w:rPr>
          <w:rFonts w:hint="eastAsia" w:ascii="宋体" w:hAnsi="宋体" w:cs="宋体"/>
          <w:color w:val="auto"/>
          <w:kern w:val="0"/>
          <w:szCs w:val="21"/>
          <w:highlight w:val="none"/>
          <w:lang w:bidi="ar"/>
        </w:rPr>
        <w:t xml:space="preserve"> 缺陷责任期终止证书</w:t>
      </w:r>
    </w:p>
    <w:p w14:paraId="20A1E38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承包人应于缺陷责任期届满后</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天内向发包人发出缺陷责任期届满通知，发包人应在收到缺陷责任期满通知后</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天内核实承包人是否履行缺陷修复义务，承包人未能履行缺陷修复义务的，发包人有权扣除相应金额的维修费用。发包人应在收到缺陷责任期届满通知后</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天内，向承包人颁发缺陷责任期终止证书。</w:t>
      </w:r>
    </w:p>
    <w:p w14:paraId="3BF0E32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w:t>
      </w:r>
      <w:r>
        <w:rPr>
          <w:rFonts w:ascii="宋体" w:hAnsi="宋体" w:cs="宋体"/>
          <w:color w:val="auto"/>
          <w:kern w:val="0"/>
          <w:szCs w:val="21"/>
          <w:highlight w:val="none"/>
          <w:lang w:bidi="ar"/>
        </w:rPr>
        <w:t>7</w:t>
      </w:r>
      <w:r>
        <w:rPr>
          <w:rFonts w:hint="eastAsia" w:ascii="宋体" w:hAnsi="宋体" w:cs="宋体"/>
          <w:color w:val="auto"/>
          <w:kern w:val="0"/>
          <w:szCs w:val="21"/>
          <w:highlight w:val="none"/>
          <w:lang w:bidi="ar"/>
        </w:rPr>
        <w:t xml:space="preserve"> 保修责任</w:t>
      </w:r>
    </w:p>
    <w:p w14:paraId="1516D12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工程质量保修范围、期限和责任为：</w:t>
      </w:r>
      <w:r>
        <w:rPr>
          <w:rFonts w:hint="eastAsia" w:ascii="宋体" w:hAnsi="宋体" w:cs="宋体"/>
          <w:color w:val="auto"/>
          <w:kern w:val="0"/>
          <w:szCs w:val="21"/>
          <w:highlight w:val="none"/>
          <w:u w:val="single"/>
          <w:lang w:bidi="ar"/>
        </w:rPr>
        <w:t>按照合同附件3《工程质量保修书》的规定执行</w:t>
      </w:r>
      <w:r>
        <w:rPr>
          <w:rFonts w:hint="eastAsia" w:ascii="宋体" w:hAnsi="宋体" w:cs="宋体"/>
          <w:color w:val="auto"/>
          <w:kern w:val="0"/>
          <w:szCs w:val="21"/>
          <w:highlight w:val="none"/>
          <w:lang w:bidi="ar"/>
        </w:rPr>
        <w:t>。</w:t>
      </w:r>
    </w:p>
    <w:p w14:paraId="6674390C">
      <w:pPr>
        <w:widowControl/>
        <w:adjustRightInd w:val="0"/>
        <w:snapToGrid w:val="0"/>
        <w:spacing w:after="163" w:afterLines="50" w:line="360" w:lineRule="auto"/>
        <w:outlineLvl w:val="1"/>
        <w:rPr>
          <w:rFonts w:ascii="宋体" w:hAnsi="宋体" w:cs="Times"/>
          <w:color w:val="auto"/>
          <w:kern w:val="0"/>
          <w:highlight w:val="none"/>
        </w:rPr>
      </w:pPr>
      <w:bookmarkStart w:id="1851" w:name="_Toc20171885"/>
      <w:bookmarkEnd w:id="1851"/>
      <w:bookmarkStart w:id="1852" w:name="_Toc58860323"/>
      <w:r>
        <w:rPr>
          <w:rFonts w:hint="eastAsia" w:ascii="宋体" w:hAnsi="宋体" w:cs="Times"/>
          <w:color w:val="auto"/>
          <w:kern w:val="0"/>
          <w:szCs w:val="21"/>
          <w:highlight w:val="none"/>
          <w:lang w:bidi="ar"/>
        </w:rPr>
        <w:t>第12条 竣工后试验</w:t>
      </w:r>
      <w:bookmarkEnd w:id="1852"/>
    </w:p>
    <w:p w14:paraId="1F1393E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本合同工程是否包含竣工后试验：</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10E614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12.1 竣工后试验的程序 </w:t>
      </w:r>
    </w:p>
    <w:p w14:paraId="7DA3719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12.1.</w:t>
      </w:r>
      <w:r>
        <w:rPr>
          <w:rFonts w:ascii="宋体" w:hAnsi="宋体" w:cs="宋体"/>
          <w:color w:val="auto"/>
          <w:kern w:val="0"/>
          <w:szCs w:val="21"/>
          <w:highlight w:val="none"/>
          <w:lang w:bidi="ar"/>
        </w:rPr>
        <w:t>2</w:t>
      </w:r>
      <w:r>
        <w:rPr>
          <w:rFonts w:hint="eastAsia" w:ascii="宋体" w:hAnsi="宋体" w:cs="宋体"/>
          <w:color w:val="auto"/>
          <w:kern w:val="0"/>
          <w:szCs w:val="21"/>
          <w:highlight w:val="none"/>
          <w:lang w:bidi="ar"/>
        </w:rPr>
        <w:t xml:space="preserve"> 竣工后试验全部电力、水、污水处理、燃料、消耗品和材料，以及全部其他仪器、协助、文件或其他信息、设备、工具、劳力，启动工程设备，并组织安排有适当资质、经验和能力的工作人员等必要条件的提供方：</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6839BA5">
      <w:pPr>
        <w:widowControl/>
        <w:adjustRightInd w:val="0"/>
        <w:snapToGrid w:val="0"/>
        <w:spacing w:after="163" w:afterLines="50" w:line="360" w:lineRule="auto"/>
        <w:outlineLvl w:val="1"/>
        <w:rPr>
          <w:rFonts w:ascii="宋体" w:hAnsi="宋体" w:cs="Times"/>
          <w:color w:val="auto"/>
          <w:kern w:val="0"/>
          <w:highlight w:val="none"/>
        </w:rPr>
      </w:pPr>
      <w:bookmarkStart w:id="1853" w:name="_Toc20171886"/>
      <w:bookmarkEnd w:id="1853"/>
      <w:bookmarkStart w:id="1854" w:name="_Toc58860324"/>
      <w:r>
        <w:rPr>
          <w:rFonts w:hint="eastAsia" w:ascii="宋体" w:hAnsi="宋体" w:cs="Times"/>
          <w:color w:val="auto"/>
          <w:kern w:val="0"/>
          <w:szCs w:val="21"/>
          <w:highlight w:val="none"/>
          <w:lang w:bidi="ar"/>
        </w:rPr>
        <w:t>第13条 变更与调整</w:t>
      </w:r>
      <w:bookmarkEnd w:id="1854"/>
    </w:p>
    <w:p w14:paraId="6666F0D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13.2 承包人的合理化建议</w:t>
      </w:r>
    </w:p>
    <w:p w14:paraId="324FD078">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13.2.1承包人可以以单位名义向发包人提交书面合理化建议，详细说明建议的内容、理由，以及该建议对项目的工期、投资、质量、安全、运营管理、生态环境等的影响，客观反映项目合同变更的必要性和可行性，包括：</w:t>
      </w:r>
      <w:r>
        <w:rPr>
          <w:rFonts w:hint="eastAsia" w:ascii="宋体" w:hAnsi="宋体" w:cs="宋体"/>
          <w:color w:val="auto"/>
          <w:kern w:val="0"/>
          <w:szCs w:val="21"/>
          <w:highlight w:val="none"/>
          <w:u w:val="single"/>
          <w:lang w:bidi="ar"/>
        </w:rPr>
        <w:t>缩短工期，降低发包人的工程、施工、维护、营运的费用，提高竣工工程的效率或价值，给发包人带来的长远利益和其他利益。发包人接到此类建议后，可以选择：不采纳/采纳/要求补充进一步资料的书面通知</w:t>
      </w:r>
      <w:r>
        <w:rPr>
          <w:rFonts w:hint="eastAsia" w:ascii="宋体" w:hAnsi="宋体" w:cs="宋体"/>
          <w:color w:val="auto"/>
          <w:kern w:val="0"/>
          <w:szCs w:val="21"/>
          <w:highlight w:val="none"/>
          <w:lang w:bidi="ar"/>
        </w:rPr>
        <w:t>。</w:t>
      </w:r>
    </w:p>
    <w:p w14:paraId="4850F0FA">
      <w:pPr>
        <w:widowControl/>
        <w:autoSpaceDE w:val="0"/>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如果发包人对承包人已实施的项目在发出重大设计变更之前要求承包人提出一份建议，那么，承包人应尽快提出：</w:t>
      </w:r>
    </w:p>
    <w:p w14:paraId="737E3D8D">
      <w:pPr>
        <w:widowControl/>
        <w:autoSpaceDE w:val="0"/>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（1）对所提方案和（或）待做工作及其实施计划的说明；</w:t>
      </w:r>
    </w:p>
    <w:p w14:paraId="28B47616">
      <w:pPr>
        <w:widowControl/>
        <w:autoSpaceDE w:val="0"/>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（2）承包人按照对工程进度计划进行必要修改的建议；</w:t>
      </w:r>
    </w:p>
    <w:p w14:paraId="7BF9E40D">
      <w:pPr>
        <w:widowControl/>
        <w:autoSpaceDE w:val="0"/>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（3）承包人发生较大返工损失增加费用的建议。</w:t>
      </w:r>
    </w:p>
    <w:p w14:paraId="47F5322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发包人在收到上述建议书后，应尽快给予批准、否决或提出意见。</w:t>
      </w:r>
    </w:p>
    <w:p w14:paraId="6190371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13.2.2监理人应在收到承包人提交的合理化建议后</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日内审查完毕并报送发包人，发现其中存在技术上的缺陷，应通知承包人修改。发包人应在收到监理人报送的合理化建议后</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日内审批完毕。合理化建议经发包人批准的，监理人应及时发出变更指示，由此引起的合同价格调整按照</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执行。发包人不同意变更的，监理人应书面通知承包人。</w:t>
      </w:r>
    </w:p>
    <w:p w14:paraId="6E0BA88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13.2.3承包人提出的合理化变更建议的利益分享约定：</w:t>
      </w:r>
      <w:r>
        <w:rPr>
          <w:rFonts w:hint="eastAsia" w:ascii="宋体" w:hAnsi="宋体" w:cs="宋体"/>
          <w:color w:val="auto"/>
          <w:kern w:val="0"/>
          <w:szCs w:val="21"/>
          <w:highlight w:val="none"/>
          <w:u w:val="single"/>
          <w:lang w:bidi="ar"/>
        </w:rPr>
        <w:t>发包人分享合理化变更建议带来的合同价格降低、工期缩短、工程经济效益提高等实惠；承包人分享降低的合同金额或增加的经济效益的5～10 %的奖励，工期缩短的按提前竣工的奖励执行</w:t>
      </w:r>
      <w:r>
        <w:rPr>
          <w:rFonts w:hint="eastAsia" w:ascii="宋体" w:hAnsi="宋体" w:cs="宋体"/>
          <w:color w:val="auto"/>
          <w:kern w:val="0"/>
          <w:szCs w:val="21"/>
          <w:highlight w:val="none"/>
          <w:lang w:bidi="ar"/>
        </w:rPr>
        <w:t>。</w:t>
      </w:r>
    </w:p>
    <w:p w14:paraId="3EBC1A4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13.3 变更程序</w:t>
      </w:r>
    </w:p>
    <w:p w14:paraId="30D0770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13.3.2 变更执行</w:t>
      </w:r>
    </w:p>
    <w:p w14:paraId="29FC4FF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本项增加</w:t>
      </w:r>
      <w:r>
        <w:rPr>
          <w:rFonts w:ascii="宋体" w:hAnsi="宋体" w:cs="宋体"/>
          <w:color w:val="auto"/>
          <w:kern w:val="0"/>
          <w:szCs w:val="21"/>
          <w:highlight w:val="none"/>
          <w:lang w:bidi="ar"/>
        </w:rPr>
        <w:t>13.3.2.1</w:t>
      </w:r>
      <w:r>
        <w:rPr>
          <w:rFonts w:hint="eastAsia" w:ascii="宋体" w:hAnsi="宋体" w:cs="宋体"/>
          <w:color w:val="auto"/>
          <w:kern w:val="0"/>
          <w:szCs w:val="21"/>
          <w:highlight w:val="none"/>
          <w:lang w:bidi="ar"/>
        </w:rPr>
        <w:t>～1</w:t>
      </w:r>
      <w:r>
        <w:rPr>
          <w:rFonts w:ascii="宋体" w:hAnsi="宋体" w:cs="宋体"/>
          <w:color w:val="auto"/>
          <w:kern w:val="0"/>
          <w:szCs w:val="21"/>
          <w:highlight w:val="none"/>
          <w:lang w:bidi="ar"/>
        </w:rPr>
        <w:t>3.3.2.7</w:t>
      </w:r>
      <w:r>
        <w:rPr>
          <w:rFonts w:hint="eastAsia" w:ascii="宋体" w:hAnsi="宋体" w:cs="宋体"/>
          <w:color w:val="auto"/>
          <w:kern w:val="0"/>
          <w:szCs w:val="21"/>
          <w:highlight w:val="none"/>
          <w:lang w:bidi="ar"/>
        </w:rPr>
        <w:t>目：</w:t>
      </w:r>
    </w:p>
    <w:p w14:paraId="79EC4800">
      <w:pPr>
        <w:widowControl/>
        <w:autoSpaceDE w:val="0"/>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13.3.2.1一般设计变更和重大设计变更</w:t>
      </w:r>
    </w:p>
    <w:p w14:paraId="4D40E690">
      <w:pPr>
        <w:widowControl/>
        <w:autoSpaceDE w:val="0"/>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一般设计变更：承包人收到监理人下达的变更指示后，应按照监理人下达的变更指示执行，并书面说明实施该变更指示对合同工期的影响，合同价格不作调整。</w:t>
      </w:r>
    </w:p>
    <w:p w14:paraId="6F80D695">
      <w:pPr>
        <w:widowControl/>
        <w:autoSpaceDE w:val="0"/>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重大设计变更：需经设计人、监理人和发包人三方签字认可并报原施工图审查机构审查，审查合格后由发包人报具有管理权限的城乡建设主管部门审查备案后实施。合同价格调整按照第</w:t>
      </w:r>
      <w:r>
        <w:rPr>
          <w:rFonts w:ascii="宋体" w:hAnsi="宋体" w:cs="宋体"/>
          <w:color w:val="auto"/>
          <w:kern w:val="0"/>
          <w:szCs w:val="21"/>
          <w:highlight w:val="none"/>
          <w:lang w:bidi="ar"/>
        </w:rPr>
        <w:t>13.3.3.1</w:t>
      </w:r>
      <w:r>
        <w:rPr>
          <w:rFonts w:hint="eastAsia" w:ascii="宋体" w:hAnsi="宋体" w:cs="宋体"/>
          <w:color w:val="auto"/>
          <w:kern w:val="0"/>
          <w:szCs w:val="21"/>
          <w:highlight w:val="none"/>
          <w:lang w:bidi="ar"/>
        </w:rPr>
        <w:t>目[变更估价原则]约定执行。</w:t>
      </w:r>
    </w:p>
    <w:p w14:paraId="3554B0CB">
      <w:pPr>
        <w:widowControl/>
        <w:autoSpaceDE w:val="0"/>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13.3.2.2合同变更提出后，应当首先由发包人组织相关单位、专家进行论证。经论证确需变更的，发包人按照《重庆市政府投资项目合同变更管理暂行办法》规定的程序自行决策或者报批；经论证不需要变更的，继续按合同执行。</w:t>
      </w:r>
    </w:p>
    <w:p w14:paraId="5ABB1A42">
      <w:pPr>
        <w:widowControl/>
        <w:autoSpaceDE w:val="0"/>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13.3.2.3项目的施工图设计、实施内容等作重大设计变更的，应当按照规定的程序报原审查备案部门审核确认及备案；变更导致总投资超概的，应当报原投资概算核定部门核定。</w:t>
      </w:r>
    </w:p>
    <w:p w14:paraId="33C06A11">
      <w:pPr>
        <w:widowControl/>
        <w:autoSpaceDE w:val="0"/>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13.3.2.4项目管理人员变更的，应当经发包人领导班子集体决策同意，并将变更信息推送给行业主管部门。变更后的项目管理人员应当符合招标文件和行业主管部门的相关规定。</w:t>
      </w:r>
    </w:p>
    <w:p w14:paraId="6FAA612E">
      <w:pPr>
        <w:widowControl/>
        <w:autoSpaceDE w:val="0"/>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13.3.2.5因人工、原材料市场价格发生大幅度变化导致的合同总价变更，由发包人与承包人按照合同进行变更，并将变更信息推送给行业主管部门。</w:t>
      </w:r>
    </w:p>
    <w:p w14:paraId="09107777">
      <w:pPr>
        <w:widowControl/>
        <w:autoSpaceDE w:val="0"/>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13.3.2.6项目实施内容无变更，因不可抗力导致的工期变更，由发包人领导班子集体决策同意，并将变更信息推送给行业主管部门；因项目实施内容变更导致的工期变更，与项目实施内容变更一并办理。</w:t>
      </w:r>
    </w:p>
    <w:p w14:paraId="25AB9EE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13.3.2.7项目合同变更后，增加的实施内容达到依法必须招标的规模标准的，增加的部分应当依法通过招标选择承包单位。</w:t>
      </w:r>
    </w:p>
    <w:p w14:paraId="42B3FF8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13.3.3 变更估价</w:t>
      </w:r>
    </w:p>
    <w:p w14:paraId="04A0188A">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kern w:val="0"/>
          <w:szCs w:val="21"/>
          <w:highlight w:val="none"/>
          <w:lang w:bidi="ar"/>
        </w:rPr>
        <w:t>13.3.3.1</w:t>
      </w:r>
      <w:r>
        <w:rPr>
          <w:rFonts w:hint="eastAsia" w:ascii="宋体" w:hAnsi="宋体" w:cs="宋体"/>
          <w:color w:val="auto"/>
          <w:szCs w:val="21"/>
          <w:highlight w:val="none"/>
          <w:lang w:bidi="ar"/>
        </w:rPr>
        <w:t>变更估价原则</w:t>
      </w:r>
    </w:p>
    <w:p w14:paraId="412F14B8">
      <w:pPr>
        <w:widowControl/>
        <w:adjustRightInd w:val="0"/>
        <w:snapToGrid w:val="0"/>
        <w:spacing w:after="163" w:afterLines="50" w:line="360" w:lineRule="auto"/>
        <w:ind w:firstLine="420" w:firstLineChars="200"/>
        <w:jc w:val="left"/>
        <w:rPr>
          <w:rFonts w:ascii="宋体" w:hAnsi="宋体" w:cs="宋体"/>
          <w:color w:val="auto"/>
          <w:kern w:val="0"/>
          <w:szCs w:val="21"/>
          <w:highlight w:val="none"/>
          <w:u w:val="single"/>
          <w:lang w:bidi="ar"/>
        </w:rPr>
      </w:pPr>
      <w:r>
        <w:rPr>
          <w:rFonts w:hint="eastAsia" w:ascii="宋体" w:hAnsi="宋体" w:cs="宋体"/>
          <w:color w:val="auto"/>
          <w:kern w:val="0"/>
          <w:szCs w:val="21"/>
          <w:highlight w:val="none"/>
          <w:lang w:bidi="ar"/>
        </w:rPr>
        <w:t>当发生重大设计变更时，变更部分的设计费计价按</w:t>
      </w:r>
      <w:r>
        <w:rPr>
          <w:rFonts w:hint="eastAsia" w:ascii="宋体" w:hAnsi="宋体" w:cs="宋体"/>
          <w:color w:val="auto"/>
          <w:kern w:val="0"/>
          <w:szCs w:val="21"/>
          <w:highlight w:val="none"/>
          <w:u w:val="single"/>
          <w:lang w:bidi="ar"/>
        </w:rPr>
        <w:t xml:space="preserve">    </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u w:val="single"/>
          <w:lang w:bidi="ar"/>
        </w:rPr>
        <w:t xml:space="preserve">    原则执行。</w:t>
      </w:r>
      <w:r>
        <w:rPr>
          <w:rFonts w:hint="eastAsia" w:ascii="宋体" w:hAnsi="宋体" w:cs="宋体"/>
          <w:color w:val="auto"/>
          <w:kern w:val="0"/>
          <w:szCs w:val="21"/>
          <w:highlight w:val="none"/>
          <w:lang w:bidi="ar"/>
        </w:rPr>
        <w:t>变更部分的</w:t>
      </w:r>
      <w:r>
        <w:rPr>
          <w:rFonts w:hint="eastAsia" w:ascii="宋体" w:hAnsi="宋体" w:cs="宋体"/>
          <w:color w:val="auto"/>
          <w:kern w:val="0"/>
          <w:szCs w:val="21"/>
          <w:highlight w:val="none"/>
          <w:u w:val="single"/>
          <w:lang w:bidi="ar"/>
        </w:rPr>
        <w:t>专业设备材料价格</w:t>
      </w:r>
      <w:r>
        <w:rPr>
          <w:rFonts w:hint="eastAsia" w:ascii="宋体" w:hAnsi="宋体" w:cs="宋体"/>
          <w:color w:val="auto"/>
          <w:kern w:val="0"/>
          <w:szCs w:val="21"/>
          <w:highlight w:val="none"/>
          <w:lang w:bidi="ar"/>
        </w:rPr>
        <w:t>按承包人投标报价中相同专业设备材料单价执行；承包人投标报价中没有的，由承包人申报，监理人会同跟审单位、发包人根据市场行情认质核价确定。变更部分的工程量按</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规定的计算规则计量，按以下办法计价：</w:t>
      </w:r>
      <w:bookmarkStart w:id="1855" w:name="_Hlk524770102"/>
      <w:bookmarkEnd w:id="1855"/>
    </w:p>
    <w:p w14:paraId="6F3C26B8">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A.按《重庆市房屋建筑与装饰工程计价定额》（CQJZZSDE-2018）、《重庆市仿古建筑工程计价定额》（CQFGDE-2018）、《重庆市通用安装工程计价定额》（CQAZDE-2018） 、《重庆市市政工程计价定额》（CQSZDE-2018）、《重庆市园林绿化工程计价定额》（CQYLLHDE-2018）、《重庆市构筑物工程计价定额》（CQGZWDE-2018）、《重庆市城市轨道交通工程计价定额》（CQGDDE-2018）、《重庆市爆破工程计价定额》（CQBPDE-2018）、《重庆市房屋修缮工程计价定额》（CQXSDE-2018）、《重庆市绿色建筑工程计价定额》（CQLSJZDE-2018）、《重庆市建设工程施工机械台班定额》（CQJXDE-2018）、《重庆市建设工程施工仪器仪表台班定额》（CQYQYBDE-2018）、《重庆市建设工程混凝土及砂浆配合比表》（CQPHBB-2018）、《重庆市建设工程费用定额》（CQFYDE-2018）及相关配套文件进行组价并按承包人建筑安装工程费报价浮动率进行计算（认质核价的设备和材料不参与浮动），经监理人、跟审单位（如有）、发包人审定后执行。</w:t>
      </w:r>
    </w:p>
    <w:p w14:paraId="58C26048">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投标报价方式为固定总价的，承包人建筑安装工程费报价浮动率=建筑安装工程费中标价/建筑安装工程费最高限价×100%；投标报价方式为固定费率的，承包人建筑安装工程费报价浮动率=中标固定费率。</w:t>
      </w:r>
    </w:p>
    <w:p w14:paraId="3ACC3D14">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（1）人工单价：按开标当期《重庆工程造价信息》发布的项目所在地的人工单价执行。</w:t>
      </w:r>
    </w:p>
    <w:p w14:paraId="3784B149">
      <w:pPr>
        <w:widowControl/>
        <w:adjustRightInd w:val="0"/>
        <w:snapToGrid w:val="0"/>
        <w:spacing w:after="163" w:afterLines="50" w:line="360" w:lineRule="auto"/>
        <w:ind w:firstLine="420" w:firstLineChars="200"/>
        <w:jc w:val="left"/>
        <w:rPr>
          <w:rFonts w:ascii="宋体" w:hAnsi="宋体" w:cs="宋体"/>
          <w:color w:val="auto"/>
          <w:kern w:val="0"/>
          <w:highlight w:val="none"/>
        </w:rPr>
      </w:pPr>
      <w:bookmarkStart w:id="1856" w:name="_Hlk529023896"/>
      <w:bookmarkEnd w:id="1856"/>
      <w:r>
        <w:rPr>
          <w:rFonts w:hint="eastAsia" w:ascii="宋体" w:hAnsi="宋体" w:cs="宋体"/>
          <w:color w:val="auto"/>
          <w:kern w:val="0"/>
          <w:szCs w:val="21"/>
          <w:highlight w:val="none"/>
          <w:lang w:bidi="ar"/>
        </w:rPr>
        <w:t>（2）设备材料单价：</w:t>
      </w:r>
    </w:p>
    <w:p w14:paraId="43C67D91">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①按</w:t>
      </w:r>
      <w:bookmarkStart w:id="1857" w:name="_Hlk529023354"/>
      <w:r>
        <w:rPr>
          <w:rFonts w:hint="eastAsia" w:ascii="宋体" w:hAnsi="宋体" w:cs="宋体"/>
          <w:color w:val="auto"/>
          <w:kern w:val="0"/>
          <w:szCs w:val="21"/>
          <w:highlight w:val="none"/>
          <w:lang w:bidi="ar"/>
        </w:rPr>
        <w:t>开标当期《重庆工程造价信息》发布的项目所在地的信息价</w:t>
      </w:r>
      <w:bookmarkEnd w:id="1857"/>
      <w:r>
        <w:rPr>
          <w:rFonts w:hint="eastAsia" w:ascii="宋体" w:hAnsi="宋体" w:cs="宋体"/>
          <w:color w:val="auto"/>
          <w:kern w:val="0"/>
          <w:szCs w:val="21"/>
          <w:highlight w:val="none"/>
          <w:lang w:bidi="ar"/>
        </w:rPr>
        <w:t>执行；</w:t>
      </w:r>
    </w:p>
    <w:p w14:paraId="1D383DFE">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②开标当期《重庆工程造价信息》中没有的，承包人投标报价中有的，按承包人投标报价中相同设备材料单价的最低值执行；</w:t>
      </w:r>
    </w:p>
    <w:p w14:paraId="5C98FE32">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③开标当期《重庆工程造价信息》和承包人投标报价没有的，由承包人申报，监理人会同跟审单位、发包人根据市场行情认质核价确定。</w:t>
      </w:r>
    </w:p>
    <w:p w14:paraId="2ACA29B9">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（3）企业管理费和利润：按《重庆市建设工程费用定额》（CQFYDE-2018）费用标准进行计算。</w:t>
      </w:r>
    </w:p>
    <w:p w14:paraId="1E6ABE96">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（4）规费：按《重庆市建设工程费用定额》（CQFYDE-2018）费用标准进行计算。</w:t>
      </w:r>
    </w:p>
    <w:p w14:paraId="090545A9">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（5）税金：包含增值税、城市维护建设税、教育费附加、地方教育附加以及环境保护税。其中增值税、附加税按《重庆市建设工程费用定额》（CQFYDE-2018）规定及配套文件执行。</w:t>
      </w:r>
    </w:p>
    <w:p w14:paraId="2DD3C3D5">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B.无定额可套用的，由承包人会同监理人、跟审单位（如有）、发包人按相关原则、编制方法编制补充定额（人工、材料、机械基价执行2018年计价定额的基价，2018年计价定额没有的基价，按市场价计），其余计算按照A办法执行；或参照重庆市场相同工作的市场价格上报监理人，最终价格按承包人、监理人、跟审单位（如有）、发包人共同询价确认的价格执行。</w:t>
      </w:r>
    </w:p>
    <w:p w14:paraId="2313FF51">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本项补充13.3.3.3目：</w:t>
      </w:r>
    </w:p>
    <w:p w14:paraId="7EB4DF7C">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13.3.3.3工程变更引起施工方案改变并使措施项目发生变化时，承包人提出调整措施项目费的，应事前将拟实施的方案提交监理人审核报发包人确认，并应详细说明与原方案措施项目相比的变化情况。拟实施的方案经发承包双方确认后执行，并应按照下列规定调整措施项目费：</w:t>
      </w:r>
    </w:p>
    <w:p w14:paraId="57501756">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（1）安全文明施工费应按照实际发生变化的措施项目依据现行安全文明施工费计取及管理政策规定及《重庆市建设工程费用定额》（CQFYDE-2018）规定执行；</w:t>
      </w:r>
    </w:p>
    <w:p w14:paraId="46895B99">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（2）措施项目费应依照实际发生变化的措施项目费按承包人建筑安装工程费报价浮动率（或中标固定费率）进行计算；</w:t>
      </w:r>
    </w:p>
    <w:p w14:paraId="2B434AD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（3）如果承包人未事前将拟实施的方案提交给发包人确认，则应视为工程变更不引起措施项目费的调整或承包人放弃调整措施项目费的权利。</w:t>
      </w:r>
    </w:p>
    <w:p w14:paraId="2923B7D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13.4 暂估价</w:t>
      </w:r>
    </w:p>
    <w:p w14:paraId="2C7579C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13.4.1 依法必须招标的暂估价项目</w:t>
      </w:r>
    </w:p>
    <w:p w14:paraId="72A65E5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承包人可以参与投标的暂估价项目范围：</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935503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承包人不得参与投标的暂估价项目范围：</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036A04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招投标程序及其他约定：</w:t>
      </w:r>
      <w:r>
        <w:rPr>
          <w:rFonts w:hint="eastAsia" w:ascii="宋体" w:hAnsi="宋体" w:cs="宋体"/>
          <w:color w:val="auto"/>
          <w:kern w:val="0"/>
          <w:szCs w:val="21"/>
          <w:highlight w:val="none"/>
          <w:u w:val="single"/>
          <w:lang w:bidi="ar"/>
        </w:rPr>
        <w:t>单项合同暂估价在国家相关法律法规规定必须招标规模以上的，需依法必须招标的，由承包人、发包人共同招标确定</w:t>
      </w:r>
      <w:r>
        <w:rPr>
          <w:rFonts w:hint="eastAsia" w:ascii="宋体" w:hAnsi="宋体" w:cs="宋体"/>
          <w:color w:val="auto"/>
          <w:kern w:val="0"/>
          <w:szCs w:val="21"/>
          <w:highlight w:val="none"/>
          <w:lang w:bidi="ar"/>
        </w:rPr>
        <w:t>。</w:t>
      </w:r>
    </w:p>
    <w:p w14:paraId="0BAAFFD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13.4.2不属于依法必须招标的暂估价项目</w:t>
      </w:r>
    </w:p>
    <w:p w14:paraId="49D1EAA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不属于依法必须招标的暂估价项目的协商及估价的约定：</w:t>
      </w:r>
      <w:r>
        <w:rPr>
          <w:rFonts w:hint="eastAsia" w:ascii="宋体" w:hAnsi="宋体" w:cs="宋体"/>
          <w:color w:val="auto"/>
          <w:kern w:val="0"/>
          <w:szCs w:val="21"/>
          <w:highlight w:val="none"/>
          <w:u w:val="single"/>
          <w:lang w:bidi="ar"/>
        </w:rPr>
        <w:t>单项合同暂估价在国家相关法律法规规定必须招标规模以下的，符合可以不招标相关规定的，由承包人采取交钥匙工程模式实施，发包人配合。承包人（需在允许资质范围内）或承包人委托的有资质的专业分包单位实施。费用估价按照第13.3.3.1目[变更估价原则]执行，承包人申报，经监理人、跟审单位（如有）、发包人共同审定。审定后根据承包人订立的相关合同（需经监理人、跟审单位（如有）、发包人共同确认）约定，由承包人申报，随进度款按与相关单位订立的合同约定一并支付。</w:t>
      </w:r>
      <w:r>
        <w:rPr>
          <w:rFonts w:hint="eastAsia" w:ascii="宋体" w:hAnsi="宋体" w:cs="宋体"/>
          <w:color w:val="auto"/>
          <w:kern w:val="0"/>
          <w:szCs w:val="21"/>
          <w:highlight w:val="none"/>
          <w:lang w:bidi="ar"/>
        </w:rPr>
        <w:t>。</w:t>
      </w:r>
    </w:p>
    <w:p w14:paraId="6703D2E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13.5 暂列金额</w:t>
      </w:r>
    </w:p>
    <w:p w14:paraId="2DD4D68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其他关于暂列金额使用的约定：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D84B14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13.8 市场价格波动引起的调整</w:t>
      </w:r>
    </w:p>
    <w:p w14:paraId="4E6608B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13.8.1 市场价格波动是否调整合同价格的约定：</w:t>
      </w:r>
      <w:r>
        <w:rPr>
          <w:rFonts w:hint="eastAsia" w:ascii="宋体" w:hAnsi="宋体" w:cs="宋体"/>
          <w:color w:val="auto"/>
          <w:kern w:val="0"/>
          <w:szCs w:val="21"/>
          <w:highlight w:val="none"/>
          <w:u w:val="single"/>
          <w:lang w:bidi="ar"/>
        </w:rPr>
        <w:t>合同工期一年以上（含一年），且市场价格波动幅度符合第13.8.3.1目[人工费价差调整办法]和（或）第13.8.3.2目[材料费价差调整办法]约定的，按第13.8.3.1目[人工费价差调整办法]和（或）第13.8.3.2目[材料费价差调整办法]约定调整合同价格；第13.8.3.1目[人工费价差调整办法]和（或）第13.8.3.2目[材料费价差调整办法]约定的调差条件之外的市场价格波动风险不调整合同价格，风险费用由承包人自行考虑后纳入签约合同价格中，包干使用</w:t>
      </w:r>
      <w:r>
        <w:rPr>
          <w:rFonts w:hint="eastAsia" w:ascii="宋体" w:hAnsi="宋体" w:cs="宋体"/>
          <w:color w:val="auto"/>
          <w:kern w:val="0"/>
          <w:szCs w:val="21"/>
          <w:highlight w:val="none"/>
          <w:lang w:bidi="ar"/>
        </w:rPr>
        <w:t>。</w:t>
      </w:r>
    </w:p>
    <w:p w14:paraId="18E2576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13.8.2 关于是否采用《价格指数权重表》的约定：</w:t>
      </w:r>
      <w:r>
        <w:rPr>
          <w:rFonts w:hint="eastAsia" w:ascii="宋体" w:hAnsi="宋体" w:cs="宋体"/>
          <w:color w:val="auto"/>
          <w:kern w:val="0"/>
          <w:szCs w:val="21"/>
          <w:highlight w:val="none"/>
          <w:u w:val="single"/>
          <w:lang w:bidi="ar"/>
        </w:rPr>
        <w:t>本合同工程不采用</w:t>
      </w:r>
      <w:r>
        <w:rPr>
          <w:rFonts w:hint="eastAsia" w:ascii="宋体" w:hAnsi="宋体" w:cs="宋体"/>
          <w:color w:val="auto"/>
          <w:kern w:val="0"/>
          <w:szCs w:val="21"/>
          <w:highlight w:val="none"/>
          <w:lang w:bidi="ar"/>
        </w:rPr>
        <w:t>。</w:t>
      </w:r>
    </w:p>
    <w:p w14:paraId="7912075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关于各可调因子、定值和变值权重，以及基本价格指数及其来源的约定：</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w:t>
      </w:r>
    </w:p>
    <w:p w14:paraId="4F45708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13.8.3 采用造价信息进行价格调整：</w:t>
      </w:r>
    </w:p>
    <w:p w14:paraId="3B02E828">
      <w:pPr>
        <w:widowControl/>
        <w:adjustRightInd w:val="0"/>
        <w:snapToGrid w:val="0"/>
        <w:spacing w:after="163" w:afterLines="50" w:line="360" w:lineRule="auto"/>
        <w:ind w:firstLine="420" w:firstLineChars="200"/>
        <w:jc w:val="left"/>
        <w:rPr>
          <w:rFonts w:ascii="宋体" w:hAnsi="宋体" w:cs="宋体"/>
          <w:color w:val="auto"/>
          <w:kern w:val="0"/>
          <w:highlight w:val="none"/>
        </w:rPr>
      </w:pPr>
      <w:bookmarkStart w:id="1858" w:name="_Hlk524296901"/>
      <w:bookmarkEnd w:id="1858"/>
      <w:r>
        <w:rPr>
          <w:rFonts w:hint="eastAsia" w:ascii="宋体" w:hAnsi="宋体" w:cs="宋体"/>
          <w:color w:val="auto"/>
          <w:kern w:val="0"/>
          <w:szCs w:val="21"/>
          <w:highlight w:val="none"/>
          <w:lang w:bidi="ar"/>
        </w:rPr>
        <w:t>13.8.3.1人工费价差调整办法</w:t>
      </w:r>
    </w:p>
    <w:p w14:paraId="41A17B72">
      <w:pPr>
        <w:widowControl/>
        <w:adjustRightInd w:val="0"/>
        <w:snapToGrid w:val="0"/>
        <w:spacing w:after="163" w:afterLines="50" w:line="360" w:lineRule="auto"/>
        <w:ind w:firstLine="420" w:firstLineChars="200"/>
        <w:jc w:val="left"/>
        <w:rPr>
          <w:rFonts w:ascii="宋体" w:hAnsi="宋体" w:cs="宋体"/>
          <w:color w:val="auto"/>
          <w:kern w:val="0"/>
          <w:highlight w:val="none"/>
        </w:rPr>
      </w:pPr>
      <w:bookmarkStart w:id="1859" w:name="_Toc466911548"/>
      <w:bookmarkEnd w:id="1859"/>
      <w:bookmarkStart w:id="1860" w:name="_Toc466913966"/>
      <w:bookmarkEnd w:id="1860"/>
      <w:bookmarkStart w:id="1861" w:name="_Toc467689644"/>
      <w:bookmarkEnd w:id="1861"/>
      <w:bookmarkStart w:id="1862" w:name="_Toc466913516"/>
      <w:r>
        <w:rPr>
          <w:rFonts w:hint="eastAsia" w:ascii="宋体" w:hAnsi="宋体" w:cs="宋体"/>
          <w:color w:val="auto"/>
          <w:kern w:val="0"/>
          <w:szCs w:val="21"/>
          <w:highlight w:val="none"/>
          <w:lang w:bidi="ar"/>
        </w:rPr>
        <w:t>（</w:t>
      </w:r>
      <w:bookmarkEnd w:id="1862"/>
      <w:r>
        <w:rPr>
          <w:rFonts w:hint="eastAsia" w:ascii="宋体" w:hAnsi="宋体" w:cs="宋体"/>
          <w:color w:val="auto"/>
          <w:kern w:val="0"/>
          <w:szCs w:val="21"/>
          <w:highlight w:val="none"/>
          <w:lang w:bidi="ar"/>
        </w:rPr>
        <w:t>1）自实际开工时间起至合同约定的工期结束时间止，期间《重庆工程造价信息》发布人工单价的算术平均值较开标当期《重庆工程造价信息》发布的人工单价变化超过±5%时，按期间《重庆工程造价信息》发布人工单价的算术平均值减去开标当期《重庆工程造价信息》发布的人工单价乘以（1±5%）调差。</w:t>
      </w:r>
    </w:p>
    <w:p w14:paraId="7143C812">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（2）工程量按定额单位工程的人工消耗量执行。</w:t>
      </w:r>
    </w:p>
    <w:p w14:paraId="5CAF068A">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F201663">
      <w:pPr>
        <w:widowControl/>
        <w:adjustRightInd w:val="0"/>
        <w:snapToGrid w:val="0"/>
        <w:spacing w:after="163" w:afterLines="50" w:line="360" w:lineRule="auto"/>
        <w:ind w:firstLine="420" w:firstLineChars="200"/>
        <w:jc w:val="left"/>
        <w:rPr>
          <w:rFonts w:ascii="宋体" w:hAnsi="宋体" w:cs="宋体"/>
          <w:color w:val="auto"/>
          <w:kern w:val="0"/>
          <w:highlight w:val="none"/>
        </w:rPr>
      </w:pPr>
      <w:bookmarkStart w:id="1863" w:name="_Hlk524297138"/>
      <w:bookmarkEnd w:id="1863"/>
      <w:r>
        <w:rPr>
          <w:rFonts w:hint="eastAsia" w:ascii="宋体" w:hAnsi="宋体" w:cs="宋体"/>
          <w:color w:val="auto"/>
          <w:kern w:val="0"/>
          <w:szCs w:val="21"/>
          <w:highlight w:val="none"/>
          <w:lang w:bidi="ar"/>
        </w:rPr>
        <w:t>13.8.3.2材料费价差调整办法</w:t>
      </w:r>
    </w:p>
    <w:p w14:paraId="4440E5DE">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可调价差材料：水泥、商品砼、碎石、砂、钢材、条石、片石、预应力钢绞线、沥青混凝土、水泥稳定碎石拌和料、预拌商品砂浆、砌筑材料等主要材料（可按工程使用的具体材料确定）。</w:t>
      </w:r>
    </w:p>
    <w:p w14:paraId="6D7B7742">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可调价差材料的价差调整办法如下：</w:t>
      </w:r>
    </w:p>
    <w:p w14:paraId="18B8B580">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自实际开工时间起至合同约定的工期结束时间止，期间《重庆工程造价信息》发布的信息价的算术平均值较开标当期《重庆工程造价信息》发布的信息价变化超过±5%时，按期间《重庆工程造价信息》发布信息价的算术平均值减去开标当期《重庆工程造价信息》发布的信息价乘以（1±5%）调差。</w:t>
      </w:r>
    </w:p>
    <w:p w14:paraId="22FF7EFB">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（2）工程量按定额单位工程的材料消耗量执行。</w:t>
      </w:r>
    </w:p>
    <w:p w14:paraId="5D257949">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DCE4CB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第3种方式：其他价格调整方式：不采用。</w:t>
      </w:r>
    </w:p>
    <w:p w14:paraId="75B7ED11">
      <w:pPr>
        <w:widowControl/>
        <w:adjustRightInd w:val="0"/>
        <w:snapToGrid w:val="0"/>
        <w:spacing w:after="163" w:afterLines="50" w:line="360" w:lineRule="auto"/>
        <w:outlineLvl w:val="1"/>
        <w:rPr>
          <w:rFonts w:ascii="宋体" w:hAnsi="宋体" w:cs="Times"/>
          <w:color w:val="auto"/>
          <w:kern w:val="0"/>
          <w:highlight w:val="none"/>
        </w:rPr>
      </w:pPr>
      <w:bookmarkStart w:id="1864" w:name="_Toc20171887"/>
      <w:bookmarkEnd w:id="1864"/>
      <w:bookmarkStart w:id="1865" w:name="_Toc58860325"/>
      <w:r>
        <w:rPr>
          <w:rFonts w:hint="eastAsia" w:ascii="宋体" w:hAnsi="宋体" w:cs="Times"/>
          <w:color w:val="auto"/>
          <w:kern w:val="0"/>
          <w:szCs w:val="21"/>
          <w:highlight w:val="none"/>
          <w:lang w:bidi="ar"/>
        </w:rPr>
        <w:t>第14条 合同价格与支付</w:t>
      </w:r>
      <w:bookmarkEnd w:id="1865"/>
    </w:p>
    <w:p w14:paraId="3FA4453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14.1 合同价格形式</w:t>
      </w:r>
    </w:p>
    <w:p w14:paraId="3018FAA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14.1.1 关于合同价格形式的约定：在以下方式中选择其一，作为双方对合同价格形式的约定。</w:t>
      </w:r>
    </w:p>
    <w:p w14:paraId="79FD5BB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□固定总价合同</w:t>
      </w:r>
    </w:p>
    <w:p w14:paraId="5C1A2F7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szCs w:val="21"/>
          <w:highlight w:val="none"/>
          <w:lang w:bidi="ar"/>
        </w:rPr>
        <w:t>本合同为固定总价合同。设计费、专业设备材料费、建筑安装工程费均为固定总价，中标总价即为签约合同价，除根据第13条[变更与调整]，以及合同中其它相关增减金额的约定进行调整外，合同价格不做调整。</w:t>
      </w:r>
    </w:p>
    <w:p w14:paraId="5E84AD7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□固定单价/费率合同</w:t>
      </w:r>
    </w:p>
    <w:p w14:paraId="7B4EA7BF">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szCs w:val="21"/>
          <w:highlight w:val="none"/>
          <w:lang w:bidi="ar"/>
        </w:rPr>
        <w:t>本合同为</w:t>
      </w:r>
      <w:r>
        <w:rPr>
          <w:rFonts w:hint="eastAsia" w:ascii="宋体" w:hAnsi="宋体" w:cs="宋体"/>
          <w:color w:val="auto"/>
          <w:kern w:val="0"/>
          <w:szCs w:val="21"/>
          <w:highlight w:val="none"/>
          <w:lang w:bidi="ar"/>
        </w:rPr>
        <w:t>固定单价/费率</w:t>
      </w:r>
      <w:r>
        <w:rPr>
          <w:rFonts w:hint="eastAsia" w:ascii="宋体" w:hAnsi="宋体" w:cs="宋体"/>
          <w:color w:val="auto"/>
          <w:szCs w:val="21"/>
          <w:highlight w:val="none"/>
          <w:lang w:bidi="ar"/>
        </w:rPr>
        <w:t>合同。其中设计费为</w:t>
      </w:r>
      <w:r>
        <w:rPr>
          <w:rFonts w:hint="eastAsia" w:ascii="宋体" w:hAnsi="宋体" w:cs="宋体"/>
          <w:color w:val="auto"/>
          <w:szCs w:val="21"/>
          <w:highlight w:val="none"/>
          <w:u w:val="single"/>
          <w:lang w:bidi="ar"/>
        </w:rPr>
        <w:t>固定综合单价/固定费率/固定总价</w:t>
      </w:r>
      <w:r>
        <w:rPr>
          <w:rFonts w:hint="eastAsia" w:ascii="宋体" w:hAnsi="宋体" w:cs="宋体"/>
          <w:color w:val="auto"/>
          <w:szCs w:val="21"/>
          <w:highlight w:val="none"/>
          <w:lang w:bidi="ar"/>
        </w:rPr>
        <w:t>，专业设备材料费为</w:t>
      </w:r>
      <w:r>
        <w:rPr>
          <w:rFonts w:hint="eastAsia" w:ascii="宋体" w:hAnsi="宋体" w:cs="宋体"/>
          <w:color w:val="auto"/>
          <w:szCs w:val="21"/>
          <w:highlight w:val="none"/>
          <w:u w:val="single"/>
          <w:lang w:bidi="ar"/>
        </w:rPr>
        <w:t>固定综合单价/固定总价</w:t>
      </w:r>
      <w:r>
        <w:rPr>
          <w:rFonts w:hint="eastAsia" w:ascii="宋体" w:hAnsi="宋体" w:cs="宋体"/>
          <w:color w:val="auto"/>
          <w:szCs w:val="21"/>
          <w:highlight w:val="none"/>
          <w:lang w:bidi="ar"/>
        </w:rPr>
        <w:t>，建筑安装工程费为</w:t>
      </w:r>
      <w:r>
        <w:rPr>
          <w:rFonts w:hint="eastAsia" w:ascii="宋体" w:hAnsi="宋体" w:cs="宋体"/>
          <w:color w:val="auto"/>
          <w:szCs w:val="21"/>
          <w:highlight w:val="none"/>
          <w:u w:val="single"/>
          <w:lang w:bidi="ar"/>
        </w:rPr>
        <w:t>固定费率</w:t>
      </w:r>
      <w:r>
        <w:rPr>
          <w:rFonts w:hint="eastAsia" w:ascii="宋体" w:hAnsi="宋体" w:cs="宋体"/>
          <w:color w:val="auto"/>
          <w:szCs w:val="21"/>
          <w:highlight w:val="none"/>
          <w:lang w:bidi="ar"/>
        </w:rPr>
        <w:t>。采用固定综合单价或固定总价的，除根据第13条[变更与调整]，以及合同中其它相关增减金额的约定进行调整外，固定综合单价或固定总价不做调整；采用固定费率的，除合同中其它相关增减金额的约定进行调整外，固定费率不做调整。</w:t>
      </w:r>
    </w:p>
    <w:p w14:paraId="13D01611">
      <w:pPr>
        <w:widowControl/>
        <w:adjustRightInd w:val="0"/>
        <w:snapToGrid w:val="0"/>
        <w:spacing w:after="163" w:afterLines="50" w:line="360" w:lineRule="auto"/>
        <w:ind w:firstLine="420" w:firstLineChars="200"/>
        <w:rPr>
          <w:rFonts w:ascii="宋体" w:hAnsi="宋体" w:cs="宋体"/>
          <w:color w:val="auto"/>
          <w:highlight w:val="none"/>
        </w:rPr>
      </w:pPr>
      <w:r>
        <w:rPr>
          <w:rFonts w:hint="eastAsia" w:ascii="宋体" w:hAnsi="宋体" w:cs="宋体"/>
          <w:color w:val="auto"/>
          <w:kern w:val="0"/>
          <w:szCs w:val="21"/>
          <w:highlight w:val="none"/>
          <w:lang w:bidi="ar"/>
        </w:rPr>
        <w:t>□</w:t>
      </w:r>
      <w:r>
        <w:rPr>
          <w:rFonts w:hint="eastAsia" w:ascii="宋体" w:hAnsi="宋体" w:cs="宋体"/>
          <w:color w:val="auto"/>
          <w:szCs w:val="21"/>
          <w:highlight w:val="none"/>
          <w:lang w:bidi="ar"/>
        </w:rPr>
        <w:t>其他价格形式：</w:t>
      </w:r>
      <w:r>
        <w:rPr>
          <w:rFonts w:hint="eastAsia" w:ascii="宋体" w:hAnsi="宋体" w:cs="宋体"/>
          <w:color w:val="auto"/>
          <w:szCs w:val="21"/>
          <w:highlight w:val="none"/>
          <w:u w:val="single"/>
          <w:lang w:bidi="ar"/>
        </w:rPr>
        <w:t>不采用</w:t>
      </w:r>
      <w:r>
        <w:rPr>
          <w:rFonts w:hint="eastAsia" w:ascii="宋体" w:hAnsi="宋体" w:cs="宋体"/>
          <w:color w:val="auto"/>
          <w:szCs w:val="21"/>
          <w:highlight w:val="none"/>
          <w:lang w:bidi="ar"/>
        </w:rPr>
        <w:t>。</w:t>
      </w:r>
    </w:p>
    <w:p w14:paraId="30BBB28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14.1.2 合同价格中的税费：</w:t>
      </w:r>
      <w:r>
        <w:rPr>
          <w:rFonts w:hint="eastAsia" w:ascii="宋体" w:hAnsi="宋体" w:cs="宋体"/>
          <w:color w:val="auto"/>
          <w:kern w:val="0"/>
          <w:szCs w:val="21"/>
          <w:highlight w:val="none"/>
          <w:u w:val="single"/>
          <w:lang w:bidi="ar"/>
        </w:rPr>
        <w:t>包含增值税、城市维护建设税、教育费附加、地方教育附加以及环境保护税。其中增值税、附加税按《重庆市建设工程费用定额》（CQFYDE-2018）规定及配套文件执行</w:t>
      </w:r>
      <w:r>
        <w:rPr>
          <w:rFonts w:hint="eastAsia" w:ascii="宋体" w:hAnsi="宋体" w:cs="宋体"/>
          <w:color w:val="auto"/>
          <w:kern w:val="0"/>
          <w:szCs w:val="21"/>
          <w:highlight w:val="none"/>
          <w:lang w:bidi="ar"/>
        </w:rPr>
        <w:t>。</w:t>
      </w:r>
    </w:p>
    <w:p w14:paraId="39F32F3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14.1.3 按实际完成的工程量支付工程价款的计量方法</w:t>
      </w:r>
    </w:p>
    <w:p w14:paraId="3BB2C00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14.1.3.1计量原则</w:t>
      </w:r>
    </w:p>
    <w:p w14:paraId="6F38176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量按《房屋建筑与装饰工程工程量计算规范》（GB50854-2013）、《仿古建筑工程工程量计算规范》（GB50855-2013）、《通用安装工程工程量计算规范》（GB50856-2013）、《市政工程工程量计算规范》（GB50857-2013）、《园林绿化工程工程量计算规范》（GB50858-2013）、《矿山工程工程量计算规范》（GB50859-2013）、《构筑物工程工程量计算规范》（GB50860-2013）、《城市轨道交通工程工程量计算规范》（GB50861-2013）和《爆破工程工程量计算规范》（GB50862-2013）《重庆市建设工程工程量清单计价规则》（CQJJGZ-2013）、《重庆市建设工程工程量计算规则》（CQJLGZ-2013）等规定的计算规则计量。</w:t>
      </w:r>
    </w:p>
    <w:p w14:paraId="0E69A44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14.1.3.2计量周期</w:t>
      </w:r>
    </w:p>
    <w:p w14:paraId="5B90FB0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关于计量周期的约定：根据项目实际情况可以按月、按进度、按节点等形式计量，按进度、按节点计量的参考按月计量原则执行。</w:t>
      </w:r>
    </w:p>
    <w:p w14:paraId="04391C2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14.1.3.3固定总价合同的计量</w:t>
      </w:r>
    </w:p>
    <w:p w14:paraId="63EAF24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关于固定总价合同计量的约定：按形象进度或支付分解表计量。</w:t>
      </w:r>
    </w:p>
    <w:p w14:paraId="50E6209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14.1.3.4固定单价/费率合同的计量</w:t>
      </w:r>
    </w:p>
    <w:p w14:paraId="61FEE65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（1）承包人应于当月  日前向监理人报送上月已完成的工程量，并附进度付款申请单、已完成工程量报表和其他有关资料。</w:t>
      </w:r>
    </w:p>
    <w:p w14:paraId="7DE88E7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监理人应在收到承包人提交的工程量报表后7天内完成对承包人提交的工程量报表的审核并报送发包人；发包人收到监理人报送资料后7天内完成审批，以确定当月实际完成的工程量。监理人、跟审单位（如有）、发包人任一方对工程量有异议的，均有权要求承包人进行共同复核或抽样复测。承包人应协助监理人、跟审单位（如有）进行复核或抽样复测，并按监理人要求提供补充计量资料。承包人未按监理人要求参加复核或抽样复测的，监理人复核或修正的工程量视为承包人实际完成的工程量。</w:t>
      </w:r>
    </w:p>
    <w:p w14:paraId="658BF6E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（3）工程量的计量仅作为进度付款和工程施工进度控制的依据，不应认为是承包人履行合同义务完成工程的实际和准确的工程量，实际和准确工程量按竣工图和第14.1.3.1目[计量原则]约定确认的工程量为准。</w:t>
      </w:r>
    </w:p>
    <w:p w14:paraId="68B7CB4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14.1.3.5其他价格形式合同的计量</w:t>
      </w:r>
    </w:p>
    <w:p w14:paraId="59D51FE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其他价格形式的计量方式和程序：不采用。</w:t>
      </w:r>
    </w:p>
    <w:p w14:paraId="1ABE3B4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14.2 预付款</w:t>
      </w:r>
    </w:p>
    <w:p w14:paraId="6F0341F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14.2.1预付款支付</w:t>
      </w:r>
    </w:p>
    <w:p w14:paraId="5E8AFEF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预付款的金额或比例为：</w:t>
      </w:r>
      <w:r>
        <w:rPr>
          <w:rFonts w:hint="eastAsia" w:ascii="宋体" w:hAnsi="宋体" w:cs="宋体"/>
          <w:color w:val="auto"/>
          <w:kern w:val="0"/>
          <w:szCs w:val="21"/>
          <w:highlight w:val="none"/>
          <w:u w:val="single"/>
          <w:lang w:bidi="ar"/>
        </w:rPr>
        <w:t>10%</w:t>
      </w:r>
      <w:r>
        <w:rPr>
          <w:rFonts w:hint="eastAsia" w:ascii="宋体" w:hAnsi="宋体" w:cs="宋体"/>
          <w:color w:val="auto"/>
          <w:kern w:val="0"/>
          <w:szCs w:val="21"/>
          <w:highlight w:val="none"/>
          <w:lang w:bidi="ar"/>
        </w:rPr>
        <w:t>。</w:t>
      </w:r>
    </w:p>
    <w:p w14:paraId="12ADFE5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预付款支付期限：</w:t>
      </w:r>
      <w:r>
        <w:rPr>
          <w:rFonts w:hint="eastAsia" w:ascii="宋体" w:hAnsi="宋体" w:cs="宋体"/>
          <w:color w:val="auto"/>
          <w:kern w:val="0"/>
          <w:szCs w:val="21"/>
          <w:highlight w:val="none"/>
          <w:u w:val="single"/>
          <w:lang w:bidi="ar"/>
        </w:rPr>
        <w:t>预付款担保提交后7天内</w:t>
      </w:r>
      <w:r>
        <w:rPr>
          <w:rFonts w:hint="eastAsia" w:ascii="宋体" w:hAnsi="宋体" w:cs="宋体"/>
          <w:color w:val="auto"/>
          <w:kern w:val="0"/>
          <w:szCs w:val="21"/>
          <w:highlight w:val="none"/>
          <w:lang w:bidi="ar"/>
        </w:rPr>
        <w:t>。</w:t>
      </w:r>
    </w:p>
    <w:p w14:paraId="6A37086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预付款扣回的方式：</w:t>
      </w:r>
      <w:r>
        <w:rPr>
          <w:rFonts w:hint="eastAsia" w:ascii="宋体" w:hAnsi="宋体" w:cs="宋体"/>
          <w:color w:val="auto"/>
          <w:kern w:val="0"/>
          <w:szCs w:val="21"/>
          <w:highlight w:val="none"/>
          <w:u w:val="single"/>
          <w:lang w:bidi="ar"/>
        </w:rPr>
        <w:t>承包人完成累计金额达到签约合同金额的30%后，在合同约定的每个计量周期按审核确认的进度款金额的20%进行扣回，直至预付款全额扣回</w:t>
      </w:r>
      <w:r>
        <w:rPr>
          <w:rFonts w:hint="eastAsia" w:ascii="宋体" w:hAnsi="宋体" w:cs="宋体"/>
          <w:color w:val="auto"/>
          <w:kern w:val="0"/>
          <w:szCs w:val="21"/>
          <w:highlight w:val="none"/>
          <w:lang w:bidi="ar"/>
        </w:rPr>
        <w:t>。</w:t>
      </w:r>
    </w:p>
    <w:p w14:paraId="46B6E84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14.2.2预付款担保</w:t>
      </w:r>
    </w:p>
    <w:p w14:paraId="18A9567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在以下方式中选择其一，作为双方对预付款担保的约定。</w:t>
      </w:r>
    </w:p>
    <w:p w14:paraId="7767145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□承包人不提交预付款担保。</w:t>
      </w:r>
    </w:p>
    <w:p w14:paraId="2010C17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□承包人提交预付款担保的时间：</w:t>
      </w:r>
      <w:r>
        <w:rPr>
          <w:rFonts w:hint="eastAsia" w:ascii="宋体" w:hAnsi="宋体" w:cs="宋体"/>
          <w:color w:val="auto"/>
          <w:kern w:val="0"/>
          <w:szCs w:val="21"/>
          <w:highlight w:val="none"/>
          <w:u w:val="single"/>
          <w:lang w:bidi="ar"/>
        </w:rPr>
        <w:t>合同订立后7天内</w:t>
      </w:r>
      <w:r>
        <w:rPr>
          <w:rFonts w:hint="eastAsia" w:ascii="宋体" w:hAnsi="宋体" w:cs="宋体"/>
          <w:color w:val="auto"/>
          <w:kern w:val="0"/>
          <w:szCs w:val="21"/>
          <w:highlight w:val="none"/>
          <w:lang w:bidi="ar"/>
        </w:rPr>
        <w:t>。</w:t>
      </w:r>
    </w:p>
    <w:p w14:paraId="075D68F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预付款担保的形式为：</w:t>
      </w:r>
      <w:r>
        <w:rPr>
          <w:rFonts w:hint="eastAsia" w:ascii="宋体" w:hAnsi="宋体" w:cs="宋体"/>
          <w:color w:val="auto"/>
          <w:kern w:val="0"/>
          <w:szCs w:val="21"/>
          <w:highlight w:val="none"/>
          <w:u w:val="single"/>
          <w:lang w:bidi="ar"/>
        </w:rPr>
        <w:t>银行保函</w:t>
      </w:r>
      <w:r>
        <w:rPr>
          <w:rFonts w:hint="eastAsia" w:ascii="宋体" w:hAnsi="宋体" w:cs="宋体"/>
          <w:color w:val="auto"/>
          <w:kern w:val="0"/>
          <w:szCs w:val="21"/>
          <w:highlight w:val="none"/>
          <w:lang w:bidi="ar"/>
        </w:rPr>
        <w:t>。</w:t>
      </w:r>
    </w:p>
    <w:p w14:paraId="14ED39E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预付款担保的金额：</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58E5D8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预付款担保的期限：</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3167C16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预付款担保的退还时间：</w:t>
      </w:r>
      <w:r>
        <w:rPr>
          <w:rFonts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0C5C60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14.3 工程进度款</w:t>
      </w:r>
    </w:p>
    <w:p w14:paraId="242E9A6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14.3.1 工程进度付款申请</w:t>
      </w:r>
    </w:p>
    <w:p w14:paraId="19133DB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工程进度付款申请方式：</w:t>
      </w:r>
      <w:r>
        <w:rPr>
          <w:rFonts w:hint="eastAsia" w:ascii="宋体" w:hAnsi="宋体" w:cs="宋体"/>
          <w:color w:val="auto"/>
          <w:kern w:val="0"/>
          <w:szCs w:val="21"/>
          <w:highlight w:val="none"/>
          <w:u w:val="single"/>
          <w:lang w:bidi="ar"/>
        </w:rPr>
        <w:t>提交进度付款申请单</w:t>
      </w:r>
      <w:r>
        <w:rPr>
          <w:rFonts w:hint="eastAsia" w:ascii="宋体" w:hAnsi="宋体" w:cs="宋体"/>
          <w:color w:val="auto"/>
          <w:kern w:val="0"/>
          <w:szCs w:val="21"/>
          <w:highlight w:val="none"/>
          <w:lang w:bidi="ar"/>
        </w:rPr>
        <w:t>。</w:t>
      </w:r>
    </w:p>
    <w:p w14:paraId="7311D6C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承包人提交进度付款申请单的格式、内容、份数和时间：</w:t>
      </w:r>
    </w:p>
    <w:p w14:paraId="15B9B59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固定总价合同进度付款申请单提交的约定：按照第14.1.3.3目[固定总价合同的计量]约定的时间向监理人提交，并附上已完成工程量报表及有关资料，施工进度付款申请单还应附经审核的农民工工资发放的情况说明。</w:t>
      </w:r>
    </w:p>
    <w:p w14:paraId="2D40F27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固定单价/费率合同进度付款申请单提交的约定：按照第14.1.3.4目[固定单价/费率合同的计量]约定的时间按月向监理人提交，并附上已完成工程量报表及有关资料，施工进度付款申请单还应附经审核的农民工工资发放的情况说明。固定单价/费率合同中的采用固定总价计价的按工程形象进度或支付分解表分月计量后汇总列入当期进度付款申请单。</w:t>
      </w:r>
    </w:p>
    <w:p w14:paraId="673581C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3）其他价格形式合同进度付款申请单提交的约定：不采用。</w:t>
      </w:r>
    </w:p>
    <w:p w14:paraId="69A00BC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进度付款申请单应包括的内容：</w:t>
      </w:r>
    </w:p>
    <w:p w14:paraId="40B9E56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1）截至本次付款周期内已完成工作对应的金额；</w:t>
      </w:r>
    </w:p>
    <w:p w14:paraId="1708635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2）扣除依据通用合同条件第14.3.1项第（1）目约定中已扣除的人工费金额；</w:t>
      </w:r>
    </w:p>
    <w:p w14:paraId="7FAFAEB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3）根据第13条</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变更与调整</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应增加和扣减的变更金额；</w:t>
      </w:r>
    </w:p>
    <w:p w14:paraId="0994E41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4）根据第14.2款</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预付款</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约定应支付的预付款和扣减的返还预付款；</w:t>
      </w:r>
    </w:p>
    <w:p w14:paraId="257917E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5）根据第14.6.2项</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质量保证金的预留</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约定应预留的质量保证金金额；</w:t>
      </w:r>
    </w:p>
    <w:p w14:paraId="1BDF265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6）根据第19条</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索赔</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应增加和扣减的索赔金额；</w:t>
      </w:r>
    </w:p>
    <w:p w14:paraId="2E6CFE6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7）对已签发的进度款支付证书中出现错误的修正，应在本次进度付款中支付或扣除的金额；</w:t>
      </w:r>
    </w:p>
    <w:p w14:paraId="0B3C73C7">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8）根据合同约定承包人应向发包人支付的违约金；</w:t>
      </w:r>
    </w:p>
    <w:p w14:paraId="185BF68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9）根据合同约定发包人应向承包人支付的违约金和（或）奖励；</w:t>
      </w:r>
    </w:p>
    <w:p w14:paraId="5E3F81F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10）根据合同约定应增加和扣减的其他金额。</w:t>
      </w:r>
    </w:p>
    <w:p w14:paraId="6007E2D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14.3.2 进度付款审核和支付 </w:t>
      </w:r>
    </w:p>
    <w:p w14:paraId="6968F25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监理人完成审查并报送发包人的期限：</w:t>
      </w:r>
      <w:r>
        <w:rPr>
          <w:rFonts w:hint="eastAsia" w:ascii="宋体" w:hAnsi="宋体" w:cs="宋体"/>
          <w:color w:val="auto"/>
          <w:kern w:val="0"/>
          <w:szCs w:val="21"/>
          <w:highlight w:val="none"/>
          <w:u w:val="single"/>
          <w:lang w:bidi="ar"/>
        </w:rPr>
        <w:t>收到承包人进度付款申请单以及相关资料后7天内</w:t>
      </w:r>
      <w:r>
        <w:rPr>
          <w:rFonts w:hint="eastAsia" w:ascii="宋体" w:hAnsi="宋体" w:cs="宋体"/>
          <w:color w:val="auto"/>
          <w:kern w:val="0"/>
          <w:szCs w:val="21"/>
          <w:highlight w:val="none"/>
          <w:lang w:bidi="ar"/>
        </w:rPr>
        <w:t>。</w:t>
      </w:r>
    </w:p>
    <w:p w14:paraId="0640DB1A">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发包人完成审批并向承包人签发进度款支付证书的期限：</w:t>
      </w:r>
      <w:r>
        <w:rPr>
          <w:rFonts w:hint="eastAsia" w:ascii="宋体" w:hAnsi="宋体" w:cs="宋体"/>
          <w:color w:val="auto"/>
          <w:kern w:val="0"/>
          <w:szCs w:val="21"/>
          <w:highlight w:val="none"/>
          <w:u w:val="single"/>
          <w:lang w:bidi="ar"/>
        </w:rPr>
        <w:t>收到监理人报送资料后7天内。</w:t>
      </w:r>
    </w:p>
    <w:p w14:paraId="399F023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监理人、跟审单位（如有）和发包人中任一方对承包人的进度付款申请单有异议的，均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争议解决</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的约定处理。</w:t>
      </w:r>
    </w:p>
    <w:p w14:paraId="785C787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发包人应在进度款支付证书或临时进度款支付证书签发后14天内完成支付，发包人逾期支付进度款的，应按照</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支付违约金。</w:t>
      </w:r>
    </w:p>
    <w:p w14:paraId="6CF94A2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14.4 付款计划表</w:t>
      </w:r>
    </w:p>
    <w:p w14:paraId="150F7F4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本合同工程不采用合同通用条件约定的付款计划表方式，进度款支付采用下列方式：</w:t>
      </w:r>
    </w:p>
    <w:p w14:paraId="610A651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（1）设计进度款支付</w:t>
      </w:r>
    </w:p>
    <w:p w14:paraId="501AC36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□设计进度款不单独支付，含入合同价格内随施工进度款一并支付。</w:t>
      </w:r>
    </w:p>
    <w:p w14:paraId="1F776CC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□设计进度款按下列方式支付：</w:t>
      </w:r>
    </w:p>
    <w:p w14:paraId="3EEC5A5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u w:val="single"/>
          <w:lang w:bidi="ar"/>
        </w:rPr>
        <w:t>按发包人要求完成施工图设计及审查，在取得施工图审查合格书后</w:t>
      </w:r>
      <w:r>
        <w:rPr>
          <w:rFonts w:ascii="宋体" w:hAnsi="宋体" w:cs="宋体"/>
          <w:color w:val="auto"/>
          <w:kern w:val="0"/>
          <w:szCs w:val="21"/>
          <w:highlight w:val="none"/>
          <w:u w:val="single"/>
          <w:lang w:bidi="ar"/>
        </w:rPr>
        <w:t>28天内，发包人向承包人支付至中标设计费金额的   %</w:t>
      </w:r>
      <w:r>
        <w:rPr>
          <w:rFonts w:hint="eastAsia" w:ascii="宋体" w:hAnsi="宋体" w:cs="宋体"/>
          <w:color w:val="auto"/>
          <w:kern w:val="0"/>
          <w:szCs w:val="21"/>
          <w:highlight w:val="none"/>
          <w:u w:val="single"/>
          <w:lang w:bidi="ar"/>
        </w:rPr>
        <w:t>（不低于80%）</w:t>
      </w:r>
      <w:r>
        <w:rPr>
          <w:rFonts w:hint="eastAsia" w:ascii="宋体" w:hAnsi="宋体" w:cs="宋体"/>
          <w:color w:val="auto"/>
          <w:kern w:val="0"/>
          <w:szCs w:val="21"/>
          <w:highlight w:val="none"/>
          <w:lang w:bidi="ar"/>
        </w:rPr>
        <w:t>；</w:t>
      </w:r>
    </w:p>
    <w:p w14:paraId="16E7EA3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②</w:t>
      </w:r>
      <w:r>
        <w:rPr>
          <w:rFonts w:hint="eastAsia" w:ascii="宋体" w:hAnsi="宋体" w:cs="宋体"/>
          <w:color w:val="auto"/>
          <w:kern w:val="0"/>
          <w:szCs w:val="21"/>
          <w:highlight w:val="none"/>
          <w:u w:val="single"/>
          <w:lang w:bidi="ar"/>
        </w:rPr>
        <w:t>工程竣工验收合格后</w:t>
      </w:r>
      <w:r>
        <w:rPr>
          <w:rFonts w:ascii="宋体" w:hAnsi="宋体" w:cs="宋体"/>
          <w:color w:val="auto"/>
          <w:kern w:val="0"/>
          <w:szCs w:val="21"/>
          <w:highlight w:val="none"/>
          <w:u w:val="single"/>
          <w:lang w:bidi="ar"/>
        </w:rPr>
        <w:t>28天内，发包人向承包人</w:t>
      </w:r>
      <w:r>
        <w:rPr>
          <w:rFonts w:hint="eastAsia" w:ascii="宋体" w:hAnsi="宋体" w:cs="宋体"/>
          <w:color w:val="auto"/>
          <w:kern w:val="0"/>
          <w:szCs w:val="21"/>
          <w:highlight w:val="none"/>
          <w:u w:val="single"/>
          <w:lang w:bidi="ar"/>
        </w:rPr>
        <w:t>一次性支付剩余设计款</w:t>
      </w:r>
      <w:r>
        <w:rPr>
          <w:rFonts w:hint="eastAsia" w:ascii="宋体" w:hAnsi="宋体" w:cs="宋体"/>
          <w:color w:val="auto"/>
          <w:kern w:val="0"/>
          <w:szCs w:val="21"/>
          <w:highlight w:val="none"/>
          <w:lang w:bidi="ar"/>
        </w:rPr>
        <w:t>；</w:t>
      </w:r>
    </w:p>
    <w:p w14:paraId="2718E04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（2）采购进度款支付</w:t>
      </w:r>
    </w:p>
    <w:p w14:paraId="399FFD5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□采购进度款不单独支付，含入合同价格内随施工进度款一并支付。</w:t>
      </w:r>
    </w:p>
    <w:p w14:paraId="53D880E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□采购进度款按下列方式支付：</w:t>
      </w:r>
    </w:p>
    <w:p w14:paraId="4C3D25C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①</w:t>
      </w:r>
      <w:r>
        <w:rPr>
          <w:rFonts w:hint="eastAsia" w:ascii="宋体" w:hAnsi="宋体" w:cs="宋体"/>
          <w:color w:val="auto"/>
          <w:kern w:val="0"/>
          <w:szCs w:val="21"/>
          <w:highlight w:val="none"/>
          <w:u w:val="single"/>
          <w:lang w:bidi="ar"/>
        </w:rPr>
        <w:t>承包人采购的专业设备材料运至施工现场存放地点，经监理人、发包人验收合格后</w:t>
      </w:r>
      <w:r>
        <w:rPr>
          <w:rFonts w:ascii="宋体" w:hAnsi="宋体" w:cs="宋体"/>
          <w:color w:val="auto"/>
          <w:kern w:val="0"/>
          <w:szCs w:val="21"/>
          <w:highlight w:val="none"/>
          <w:u w:val="single"/>
          <w:lang w:bidi="ar"/>
        </w:rPr>
        <w:t>28天内，发包人向承包人支付至验收合格专业设备材料费金额的  %；</w:t>
      </w:r>
    </w:p>
    <w:p w14:paraId="2B94AC5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②</w:t>
      </w:r>
      <w:r>
        <w:rPr>
          <w:rFonts w:hint="eastAsia" w:ascii="宋体" w:hAnsi="宋体" w:cs="宋体"/>
          <w:color w:val="auto"/>
          <w:kern w:val="0"/>
          <w:szCs w:val="21"/>
          <w:highlight w:val="none"/>
          <w:u w:val="single"/>
          <w:lang w:bidi="ar"/>
        </w:rPr>
        <w:t>工程竣工验收合格，设备安装、调试完毕并通过验收后</w:t>
      </w:r>
      <w:r>
        <w:rPr>
          <w:rFonts w:ascii="宋体" w:hAnsi="宋体" w:cs="宋体"/>
          <w:color w:val="auto"/>
          <w:kern w:val="0"/>
          <w:szCs w:val="21"/>
          <w:highlight w:val="none"/>
          <w:u w:val="single"/>
          <w:lang w:bidi="ar"/>
        </w:rPr>
        <w:t>28天内，发包人向承包人支付至专业设备材料费结算价的97%，剩余3%作为质保金；</w:t>
      </w:r>
    </w:p>
    <w:p w14:paraId="07A6756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③</w:t>
      </w:r>
      <w:r>
        <w:rPr>
          <w:rFonts w:hint="eastAsia" w:ascii="宋体" w:hAnsi="宋体" w:cs="宋体"/>
          <w:color w:val="auto"/>
          <w:kern w:val="0"/>
          <w:szCs w:val="21"/>
          <w:highlight w:val="none"/>
          <w:u w:val="single"/>
          <w:lang w:bidi="ar"/>
        </w:rPr>
        <w:t>在工程缺陷责任期满后</w:t>
      </w:r>
      <w:r>
        <w:rPr>
          <w:rFonts w:ascii="宋体" w:hAnsi="宋体" w:cs="宋体"/>
          <w:color w:val="auto"/>
          <w:kern w:val="0"/>
          <w:szCs w:val="21"/>
          <w:highlight w:val="none"/>
          <w:u w:val="single"/>
          <w:lang w:bidi="ar"/>
        </w:rPr>
        <w:t>28天内，发包人一次性支付剩余专业设备材料款。</w:t>
      </w:r>
    </w:p>
    <w:p w14:paraId="6534EF9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（3）施工进度款支付</w:t>
      </w:r>
    </w:p>
    <w:p w14:paraId="327BE7E6">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①按月进度支付的，发包人将上月农民工工资支付凭证作为当月进度款支付的前置条件；按形象进度或支付分解表支付的，发包人将上期至当期之间所有月份的农民工工资支付凭证作为当期进度款支付的前置条件。</w:t>
      </w:r>
    </w:p>
    <w:p w14:paraId="36024137">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②</w:t>
      </w:r>
      <w:r>
        <w:rPr>
          <w:rFonts w:hint="eastAsia" w:ascii="宋体" w:hAnsi="宋体" w:cs="宋体"/>
          <w:color w:val="auto"/>
          <w:kern w:val="0"/>
          <w:szCs w:val="21"/>
          <w:highlight w:val="none"/>
          <w:u w:val="single"/>
          <w:lang w:bidi="ar"/>
        </w:rPr>
        <w:t>合同订立后，发包人在工程开工前按签约合同价中安全文明施工费的50％支付承包人，用于现场安全文明施工建设，余下安全文明施工费按施工进度支付</w:t>
      </w:r>
      <w:r>
        <w:rPr>
          <w:rFonts w:hint="eastAsia" w:ascii="宋体" w:hAnsi="宋体" w:cs="宋体"/>
          <w:color w:val="auto"/>
          <w:kern w:val="0"/>
          <w:szCs w:val="21"/>
          <w:highlight w:val="none"/>
          <w:lang w:bidi="ar"/>
        </w:rPr>
        <w:t>。</w:t>
      </w:r>
    </w:p>
    <w:p w14:paraId="7F841E62">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③无论按月进度付款还是按形象进度或支付分解表付款，发包人均按</w:t>
      </w:r>
      <w:r>
        <w:rPr>
          <w:rFonts w:hint="eastAsia" w:ascii="宋体" w:hAnsi="宋体" w:cs="宋体"/>
          <w:color w:val="auto"/>
          <w:kern w:val="0"/>
          <w:szCs w:val="21"/>
          <w:highlight w:val="none"/>
          <w:u w:val="single"/>
          <w:lang w:bidi="ar"/>
        </w:rPr>
        <w:t>当期实际完成并经监理人、跟审单位（如有）和发包人审核合格的工程量向承包人支付对应施工进度款的  %，最多支付至建筑安装工程费合同价格的  %（不低于80%）</w:t>
      </w:r>
      <w:r>
        <w:rPr>
          <w:rFonts w:hint="eastAsia" w:ascii="宋体" w:hAnsi="宋体" w:cs="宋体"/>
          <w:color w:val="auto"/>
          <w:kern w:val="0"/>
          <w:szCs w:val="21"/>
          <w:highlight w:val="none"/>
          <w:lang w:bidi="ar"/>
        </w:rPr>
        <w:t>。</w:t>
      </w:r>
    </w:p>
    <w:p w14:paraId="1D3FA81B">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④人工、材料价差按  %（不低于80%）纳入当期进度支付，价差调整方式按第13.8款[市场价格波动引起的调整]约定执行</w:t>
      </w:r>
      <w:r>
        <w:rPr>
          <w:rFonts w:hint="eastAsia" w:ascii="宋体" w:hAnsi="宋体" w:cs="宋体"/>
          <w:color w:val="auto"/>
          <w:kern w:val="0"/>
          <w:szCs w:val="21"/>
          <w:highlight w:val="none"/>
          <w:lang w:bidi="ar"/>
        </w:rPr>
        <w:t>。</w:t>
      </w:r>
    </w:p>
    <w:p w14:paraId="5231EA8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u w:val="single"/>
          <w:lang w:bidi="ar"/>
        </w:rPr>
        <w:t>⑤工程竣工验收合格后28天内，发包人向承包人支付至建筑安装工程费合同价格的  %（不低于85%）；完成结算审核后28天内，发包人向承包人支付至建筑安装工程费结算审定金额的97%；缺陷责任期满后28天内发包人向承包人支付剩余工程款</w:t>
      </w:r>
      <w:r>
        <w:rPr>
          <w:rFonts w:hint="eastAsia" w:ascii="宋体" w:hAnsi="宋体" w:cs="宋体"/>
          <w:color w:val="auto"/>
          <w:kern w:val="0"/>
          <w:szCs w:val="21"/>
          <w:highlight w:val="none"/>
          <w:lang w:bidi="ar"/>
        </w:rPr>
        <w:t>。</w:t>
      </w:r>
    </w:p>
    <w:p w14:paraId="32EDDAD4">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⑥设计进度款和（或）采购进度款一并纳入施工进度款支付的，以上施工进度款的支付均包含设计费和（或）专业设备材料费，不再对其单独说明。</w:t>
      </w:r>
    </w:p>
    <w:p w14:paraId="6AD8727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14.5 竣工结算</w:t>
      </w:r>
    </w:p>
    <w:p w14:paraId="07C527D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14.5.1 竣工结算申请</w:t>
      </w:r>
    </w:p>
    <w:p w14:paraId="76A3174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承包人提交竣工结算申请的时间：</w:t>
      </w:r>
      <w:r>
        <w:rPr>
          <w:rFonts w:hint="eastAsia" w:ascii="宋体" w:hAnsi="宋体" w:cs="宋体"/>
          <w:color w:val="auto"/>
          <w:kern w:val="0"/>
          <w:szCs w:val="21"/>
          <w:highlight w:val="none"/>
          <w:u w:val="single"/>
          <w:lang w:bidi="ar"/>
        </w:rPr>
        <w:t>承包人应在工程竣工验收合格且报送完整工程竣工资料之日起28天内向监理人、发包人提交竣工结算申请单，并向发包人报送完整的工程竣工资料及经监理人初审确认的完整的竣工结算资料。监理人或发包人对竣工结算申请单有异议的，应在接到竣工结算申请单后14天内要求承包人进行修正和提供补充资料，承包人在接到监理人或发包人提出的审核意见后，应在28天内按监理人或发包人提出的合理要求补充资料、修改竣工结算资料，并再次提交监理人或发包人审核。承包人未在规定时间内报送竣工结算资料给发包人造成经济损失的，承包人应承担赔偿责任。</w:t>
      </w:r>
      <w:r>
        <w:rPr>
          <w:rFonts w:hint="eastAsia" w:ascii="宋体" w:hAnsi="宋体" w:cs="宋体"/>
          <w:color w:val="auto"/>
          <w:kern w:val="0"/>
          <w:szCs w:val="21"/>
          <w:highlight w:val="none"/>
          <w:lang w:bidi="ar"/>
        </w:rPr>
        <w:t>。</w:t>
      </w:r>
    </w:p>
    <w:p w14:paraId="42A3D28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竣工结算申请的资料清单和份数：</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CE967F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竣工结算申请单的内容包括但不限于以下内容：</w:t>
      </w:r>
    </w:p>
    <w:p w14:paraId="0C1B7E4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（1）竣工结算合同价格；</w:t>
      </w:r>
    </w:p>
    <w:p w14:paraId="195CCDC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（2）变更增减金额；</w:t>
      </w:r>
    </w:p>
    <w:p w14:paraId="43DD7F9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（3）索赔增减金额；</w:t>
      </w:r>
    </w:p>
    <w:p w14:paraId="5921BCD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（4）奖励、罚金及违约金；</w:t>
      </w:r>
    </w:p>
    <w:p w14:paraId="7B2DA2D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（5）发包人已支付承包人的款项；</w:t>
      </w:r>
    </w:p>
    <w:p w14:paraId="0BD0394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（6）采用第14.6.1项</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承包人提供质量保证金的方式</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第(2)种方式提供质量保证金的，应当列明应预留的质量保证金金额；采用第14.6.1项</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承包人提供质量保证金的方式</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中其他方式提供质量保证金的，应当按第14.6款</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质量保证金</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提供相关文件作为附件；；</w:t>
      </w:r>
    </w:p>
    <w:p w14:paraId="3BE634A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（7）发包人应支付承包人的合同价款；</w:t>
      </w:r>
    </w:p>
    <w:p w14:paraId="4B99516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6C5710F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14.5.2竣工结算审核</w:t>
      </w:r>
    </w:p>
    <w:p w14:paraId="02A86A8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监理人审核竣工付款申请单的期限：在收到竣工结算申请单后  天内。</w:t>
      </w:r>
    </w:p>
    <w:p w14:paraId="67C24AA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发包人审批竣工付款申请单的期限：收到监理人提交的经审核的竣工结算申请单后 天内。</w:t>
      </w:r>
    </w:p>
    <w:p w14:paraId="7AA09F5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发包人完成竣工付款的期限：在签发竣工付款证书后的  天内。</w:t>
      </w:r>
    </w:p>
    <w:p w14:paraId="0D75840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关于竣工付款证书异议部分复核的方式和程序：按照第20条</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争议解决</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约定处理。</w:t>
      </w:r>
    </w:p>
    <w:p w14:paraId="3A067C2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本款补充14.5.3项：</w:t>
      </w:r>
    </w:p>
    <w:p w14:paraId="4EF3DD1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14.5.3 竣工结算原则</w:t>
      </w:r>
    </w:p>
    <w:p w14:paraId="1507DC7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合同工程竣工结算价=设计费结算价+专业设备材料费结算价+建筑安装工程费结算价±合同约定的其他费用。</w:t>
      </w:r>
    </w:p>
    <w:p w14:paraId="5BDA3446">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合同工程竣工结算价原则上按上述公式结算，设计费、专业设备材料费、建筑安装工程费分项单独结算。特殊情况下，设计费、专业设备材料费、建筑安装工程费不单独结算而采用一个固定总价的：合同工程竣工结算价=中标总价±合同约定的其他费用。</w:t>
      </w:r>
    </w:p>
    <w:p w14:paraId="6230E580">
      <w:pPr>
        <w:widowControl/>
        <w:adjustRightInd w:val="0"/>
        <w:snapToGrid w:val="0"/>
        <w:spacing w:after="163" w:afterLines="50" w:line="360" w:lineRule="auto"/>
        <w:ind w:firstLine="420" w:firstLineChars="200"/>
        <w:rPr>
          <w:color w:val="auto"/>
          <w:highlight w:val="none"/>
          <w:lang w:bidi="ar"/>
        </w:rPr>
      </w:pPr>
      <w:r>
        <w:rPr>
          <w:rFonts w:hint="eastAsia"/>
          <w:color w:val="auto"/>
          <w:highlight w:val="none"/>
          <w:lang w:bidi="ar"/>
        </w:rPr>
        <w:t>合同约定的其他费用包括</w:t>
      </w:r>
      <w:r>
        <w:rPr>
          <w:rFonts w:hint="eastAsia" w:ascii="宋体" w:hAnsi="宋体" w:cs="宋体"/>
          <w:color w:val="auto"/>
          <w:kern w:val="0"/>
          <w:szCs w:val="21"/>
          <w:highlight w:val="none"/>
          <w:u w:val="single"/>
          <w:lang w:bidi="ar"/>
        </w:rPr>
        <w:t>变更结算金额、索赔赔付金额、奖励、罚金、违约金等。</w:t>
      </w:r>
    </w:p>
    <w:p w14:paraId="70D3253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当按结算原则计算出的合同工程竣工结算价超过批准概算金额的，以概算金额为限价进行结算（发生重大设计变更的情况除外）。</w:t>
      </w:r>
    </w:p>
    <w:p w14:paraId="53CA274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14.5.3.1设计费结算原则</w:t>
      </w:r>
    </w:p>
    <w:p w14:paraId="17C18124">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□采用固定总价合同，设计费结算价=设计费中标价±合同约定的其他费用。</w:t>
      </w:r>
    </w:p>
    <w:p w14:paraId="072DA57A">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□采用固定综合单价合同，设计费结算价=∑经监理人、跟审单位（如有）、发包人审核通过的实际工作量×固定综合单价±合同约定的其他费用。</w:t>
      </w:r>
    </w:p>
    <w:p w14:paraId="255BBA7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u w:val="single"/>
          <w:lang w:bidi="ar"/>
        </w:rPr>
        <w:t>□采用固定费率合同，设计费结算价=结算建筑安装工程费×固定费率±合同约定的其他费用。</w:t>
      </w:r>
    </w:p>
    <w:p w14:paraId="3AE3E04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14.5.3.2专业设备材料费结算原则</w:t>
      </w:r>
    </w:p>
    <w:p w14:paraId="4A988132">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□采用固定总价合同，专业设备材料费结算价=专业设备材料费中标价±合同约定的其他费用。</w:t>
      </w:r>
    </w:p>
    <w:p w14:paraId="492EFEA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u w:val="single"/>
          <w:lang w:bidi="ar"/>
        </w:rPr>
        <w:t>□采用固定综合单价合同，专业设备材料费结算价=∑经监理人、跟审单位（如有）、发包人审核通过的实际采购的专业设备材料数量×固定综合单价±合同约定的其他费用。</w:t>
      </w:r>
    </w:p>
    <w:p w14:paraId="3477956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14.5.3.3建筑安装工程费结算原则</w:t>
      </w:r>
    </w:p>
    <w:p w14:paraId="418F61B4">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□采用固定总价合同，建筑安装工程费结算价=建筑安装工程费中标价±合同约定的其他费用。</w:t>
      </w:r>
    </w:p>
    <w:p w14:paraId="1984ACA2">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采用固定费率合同，建筑安装工程费结算价=（Σ经审核通过的实际工程量依据下列的计价原则、工程定额、造价信息等计算出的建筑安装工程费基价-认质核价的设备材料费-安全文明施工费-Σ规费-Σ税金）×固定费率+认质核价的设备材料费+安全文明施工费+Σ规费+Σ税金±合同约定的其他费用。（市场价格波动引起的调差直接在计算建筑安装工程费基价的过程中调整）</w:t>
      </w:r>
    </w:p>
    <w:p w14:paraId="590EEA9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建筑安装工程费基价计价原则：</w:t>
      </w:r>
    </w:p>
    <w:p w14:paraId="2F48E3D8">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（1）</w:t>
      </w:r>
      <w:r>
        <w:rPr>
          <w:rFonts w:hint="eastAsia" w:ascii="宋体" w:hAnsi="宋体" w:cs="宋体"/>
          <w:color w:val="auto"/>
          <w:kern w:val="0"/>
          <w:szCs w:val="21"/>
          <w:highlight w:val="none"/>
          <w:u w:val="single"/>
          <w:lang w:bidi="ar"/>
        </w:rPr>
        <w:t>以《建设工程工程量清单计价规范》（GB50500-2013）、《重庆市建设工程工程量清单计价规则》（CQQDGZ-2013）、《房屋建筑与装饰工程工程量计算规范》（GB50854-2013）、《市政工程工程量计算规范》（GB50857-2013）、《通用安装工程工程量计算规范》（GB50856-2013）、《构筑物工程工程量计算规范》（GB50860-2013）、《园林绿化工程工程量计算规范》（GB50858-2013）、《重庆市建筑工程计价定额》（CQJZDE-2018）、《重庆市装饰工程计价定额》（CQZSDE-2018）、《重庆市安装工程计价定额》（CQAZDE-2018）、《重庆市市政工程计价定额》（CQSZDE-2018）、《重庆市绿色建筑工程计价定额》（CQLSJZDE-2018）、《重庆市房屋修缮工程定额》（CQXSDE-2018）、《重庆市建设工程费用定额》（CQFYDE-2018）、《混凝土及砂浆配合比表、施工机械台班定额》（CQPSDE-2018）、《重庆建筑工程施工仪器仪表台班定额》（CQYQYBDE-2018）、《重庆市城市地下综合管廊工程计价定额》（CQGLDE-2018）、《重庆市城市管线迁改工程计价定额》 (CQGXDE-2019）、《重庆市城乡建设委员会关于建筑业营业税改征增值税调整建设工程计价依据的通知》（渝建（2016）35号）、《重庆市住房和城乡建设委员会关于适用增值税新税率调整建设工程计价依据的通知》渝建（2019）143号）、《重庆市建设工程造价管理总站关于颁发2018年重庆市建设工程计价定额综合解释的通知》等相关配套定额及文件为依据。</w:t>
      </w:r>
    </w:p>
    <w:p w14:paraId="471B8F20">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上述计价原则中无定额可套用的，由承包人会同监理人、跟审单位（如有）、发包人按相关原则、编制方法编制补充定额（人工、材料、机械基价执行2018年计价定额的基价，2018年计价定额没有的基价，按市场价计）；或参照重庆市场相同工作的市场价格上报监理人，最终价格按承包人、监理人、跟审单位（如有）、发包人共同询价确认的价格执行。</w:t>
      </w:r>
    </w:p>
    <w:p w14:paraId="1BC504EB">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2）分部分项工程量清单计价表中的工程数量以施工设计图为依据，以设计变更图、监理工程师和发包人认可的尺寸、断面为参考依据，根据《房屋建筑与装饰工程工程量计算规范》（GB50854-2013）、《市政工程工程量计算规范》（GB50857-2013）、《通用安装工程工程量计算规范》（GB50856-2013）、《构筑物工程工程量计算规范》（GB50860-2013）、《园林绿化工程工程量计算规范》（GB50858-2013）、《重庆市建设工程工程量计算规则》（CQJLGZ－2013）、《建设工程工程量清单计价规范》（GB50500-2013）、《重庆市建设工程工程量清单计价规则》（CQJJGZ-2013）各专业工程工程量计算规范规定的计算规则及招标文件约定的计算规则计量。</w:t>
      </w:r>
    </w:p>
    <w:p w14:paraId="7F16593C">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（3）人工单价：按开标当期《重庆工程造价信息》发布的项目所在地的人工单价执行。</w:t>
      </w:r>
    </w:p>
    <w:p w14:paraId="75053F42">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（4）设备材料单价：</w:t>
      </w:r>
    </w:p>
    <w:p w14:paraId="04562276">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①按开标当期《重庆工程造价信息》发布的项目所在地的信息价执行；</w:t>
      </w:r>
    </w:p>
    <w:p w14:paraId="4F067FC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②开标当期《重庆工程造价信息》中没有的，承包人投标报价中有的，按承包人投标报价中相同材料单价的最低值执行；</w:t>
      </w:r>
    </w:p>
    <w:p w14:paraId="0F43237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③开标当期《重庆工程造价信息》和承包人投标报价没有的，由承包人申报、监理人会同跟审单位、发包人根据市场行情认质核价确定。</w:t>
      </w:r>
    </w:p>
    <w:p w14:paraId="488B9D09">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（3）措施费：                      。</w:t>
      </w:r>
    </w:p>
    <w:p w14:paraId="07BDE8F1">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4）安全文明施工费：按照《重庆市建设工程安全文明施工费计取及使用管理规定》（渝建发[2014]25号）的规定（费率执行《重庆市建设工程费用定额》（CQFYDE-2018）规定）进行结算。施工期间，若相关行政主管部门颁布了新的重庆市建设安全文明施工费计取及使用管理规定的，按新颁布的文件规定执行。</w:t>
      </w:r>
    </w:p>
    <w:p w14:paraId="0EE6ECB0">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（5）规费：按《重庆市建设工程费用定额》（CQFYDE-2018）费用标准进行结算。</w:t>
      </w:r>
    </w:p>
    <w:p w14:paraId="30D9B810">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（6）税金：包含增值税、城市维护建设税、教育费附加、地方教育附加以及环境保护税。其中增值税按《重庆市建设工程费用定额》（CQFYDE-2018）规定及配套文件进行结算。</w:t>
      </w:r>
    </w:p>
    <w:p w14:paraId="4C6701A8">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14.5.3.4其他费用结算原则：</w:t>
      </w:r>
      <w:r>
        <w:rPr>
          <w:rFonts w:hint="eastAsia" w:ascii="宋体" w:hAnsi="宋体" w:cs="宋体"/>
          <w:color w:val="auto"/>
          <w:kern w:val="0"/>
          <w:szCs w:val="21"/>
          <w:highlight w:val="none"/>
          <w:u w:val="single"/>
          <w:lang w:bidi="ar"/>
        </w:rPr>
        <w:t xml:space="preserve">                    。</w:t>
      </w:r>
    </w:p>
    <w:p w14:paraId="1247262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14.6 质量保证金</w:t>
      </w:r>
    </w:p>
    <w:p w14:paraId="7B3795C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14.6.1 承包人提供质量保证金的方式</w:t>
      </w:r>
    </w:p>
    <w:p w14:paraId="2CCDCBD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质量保证金采用以下第</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种方式：</w:t>
      </w:r>
    </w:p>
    <w:p w14:paraId="7119547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（1）工程质量保证担保</w:t>
      </w:r>
    </w:p>
    <w:p w14:paraId="576BD13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担保形式：</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6479AF1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保证金额：</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356AC4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提交时间：</w:t>
      </w:r>
      <w:r>
        <w:rPr>
          <w:rFonts w:hint="eastAsia" w:ascii="宋体" w:hAnsi="宋体" w:cs="宋体"/>
          <w:color w:val="auto"/>
          <w:kern w:val="0"/>
          <w:szCs w:val="21"/>
          <w:highlight w:val="none"/>
          <w:u w:val="single"/>
          <w:lang w:bidi="ar"/>
        </w:rPr>
        <w:t>工程竣工验收合格后14天内</w:t>
      </w:r>
      <w:r>
        <w:rPr>
          <w:rFonts w:hint="eastAsia" w:ascii="宋体" w:hAnsi="宋体" w:cs="宋体"/>
          <w:color w:val="auto"/>
          <w:kern w:val="0"/>
          <w:szCs w:val="21"/>
          <w:highlight w:val="none"/>
          <w:lang w:bidi="ar"/>
        </w:rPr>
        <w:t>。</w:t>
      </w:r>
    </w:p>
    <w:p w14:paraId="7A850E8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（2）竣工结算价的</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654334F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（3）其他方式：</w:t>
      </w:r>
      <w:r>
        <w:rPr>
          <w:rFonts w:hint="eastAsia" w:ascii="宋体" w:hAnsi="宋体" w:cs="宋体"/>
          <w:color w:val="auto"/>
          <w:kern w:val="0"/>
          <w:szCs w:val="21"/>
          <w:highlight w:val="none"/>
          <w:u w:val="single"/>
          <w:lang w:bidi="ar"/>
        </w:rPr>
        <w:t>/</w:t>
      </w:r>
      <w:r>
        <w:rPr>
          <w:rFonts w:hint="eastAsia" w:ascii="宋体" w:hAnsi="宋体" w:cs="宋体"/>
          <w:color w:val="auto"/>
          <w:kern w:val="0"/>
          <w:szCs w:val="21"/>
          <w:highlight w:val="none"/>
          <w:lang w:bidi="ar"/>
        </w:rPr>
        <w:t>。</w:t>
      </w:r>
    </w:p>
    <w:p w14:paraId="357B906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14.6.2 质量保证金的预留</w:t>
      </w:r>
    </w:p>
    <w:p w14:paraId="7671923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质量保证金的预留采取以下第</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种方式：</w:t>
      </w:r>
    </w:p>
    <w:p w14:paraId="1AD9B70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（1）在支付工程进度款时逐次预留的质量保证金的比例：</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，在此情形下，质量保证金的计算基数不包括预付款的支付、扣回以及价格调整的金额；</w:t>
      </w:r>
    </w:p>
    <w:p w14:paraId="26816B6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（2）工程竣工结算时一次性预留专用合同条件第14.6.1项第（2）目约定比例</w:t>
      </w:r>
      <w:r>
        <w:rPr>
          <w:rFonts w:hint="eastAsia" w:ascii="宋体" w:hAnsi="宋体" w:cs="宋体"/>
          <w:color w:val="auto"/>
          <w:kern w:val="0"/>
          <w:szCs w:val="21"/>
          <w:highlight w:val="none"/>
          <w:lang w:eastAsia="zh-CN" w:bidi="ar"/>
        </w:rPr>
        <w:t>的</w:t>
      </w:r>
      <w:r>
        <w:rPr>
          <w:rFonts w:hint="eastAsia" w:ascii="宋体" w:hAnsi="宋体" w:cs="宋体"/>
          <w:color w:val="auto"/>
          <w:kern w:val="0"/>
          <w:szCs w:val="21"/>
          <w:highlight w:val="none"/>
          <w:lang w:bidi="ar"/>
        </w:rPr>
        <w:t>质量保证金；</w:t>
      </w:r>
    </w:p>
    <w:p w14:paraId="1760738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（3）其他预留方式: </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4607DF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14.6.3 质量保证金的返还</w:t>
      </w:r>
    </w:p>
    <w:p w14:paraId="20D486D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（1）在发包人向承包人颁发缺陷责任期终止证书之日起14天内退还。</w:t>
      </w:r>
    </w:p>
    <w:p w14:paraId="5C0E20B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（2）缺陷责任期内，承包人认真履行合同约定的责任，到期后，承包人可向发包人申请返还质量保证金。</w:t>
      </w:r>
    </w:p>
    <w:p w14:paraId="0575914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（3）质量保证金是否支付利息采取以下第</w:t>
      </w:r>
      <w:r>
        <w:rPr>
          <w:rFonts w:hint="eastAsia" w:ascii="宋体" w:hAnsi="宋体" w:cs="宋体"/>
          <w:color w:val="auto"/>
          <w:kern w:val="0"/>
          <w:szCs w:val="21"/>
          <w:highlight w:val="none"/>
          <w:u w:val="single"/>
          <w:lang w:bidi="ar"/>
        </w:rPr>
        <w:t>②</w:t>
      </w:r>
      <w:r>
        <w:rPr>
          <w:rFonts w:hint="eastAsia" w:ascii="宋体" w:hAnsi="宋体" w:cs="宋体"/>
          <w:color w:val="auto"/>
          <w:kern w:val="0"/>
          <w:szCs w:val="21"/>
          <w:highlight w:val="none"/>
          <w:lang w:bidi="ar"/>
        </w:rPr>
        <w:t>种方式：</w:t>
      </w:r>
    </w:p>
    <w:p w14:paraId="24C3FC1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①按照中国人民银行  年  月公布的5年期贷款市场报价利率支付利息。</w:t>
      </w:r>
    </w:p>
    <w:p w14:paraId="08359DB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②不采用。</w:t>
      </w:r>
    </w:p>
    <w:p w14:paraId="092A4EA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14.7 最终结清</w:t>
      </w:r>
    </w:p>
    <w:p w14:paraId="66BBF43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14.7.1 最终结清申请单</w:t>
      </w:r>
    </w:p>
    <w:p w14:paraId="6FED956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承包人提交最终结清申请单的份数：</w:t>
      </w:r>
      <w:r>
        <w:rPr>
          <w:rFonts w:hint="eastAsia" w:ascii="宋体" w:hAnsi="宋体" w:cs="宋体"/>
          <w:color w:val="auto"/>
          <w:kern w:val="0"/>
          <w:szCs w:val="21"/>
          <w:highlight w:val="none"/>
          <w:u w:val="single"/>
          <w:lang w:bidi="ar"/>
        </w:rPr>
        <w:t>3份</w:t>
      </w:r>
      <w:r>
        <w:rPr>
          <w:rFonts w:hint="eastAsia" w:ascii="宋体" w:hAnsi="宋体" w:cs="宋体"/>
          <w:color w:val="auto"/>
          <w:kern w:val="0"/>
          <w:szCs w:val="21"/>
          <w:highlight w:val="none"/>
          <w:lang w:bidi="ar"/>
        </w:rPr>
        <w:t>。</w:t>
      </w:r>
    </w:p>
    <w:p w14:paraId="626C3AC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承包人提交最终结算申请单的期限：</w:t>
      </w:r>
      <w:r>
        <w:rPr>
          <w:rFonts w:hint="eastAsia" w:ascii="宋体" w:hAnsi="宋体" w:cs="宋体"/>
          <w:color w:val="auto"/>
          <w:kern w:val="0"/>
          <w:szCs w:val="21"/>
          <w:highlight w:val="none"/>
          <w:u w:val="single"/>
          <w:lang w:bidi="ar"/>
        </w:rPr>
        <w:t>缺陷责任期终止证书颁发后14天内</w:t>
      </w:r>
      <w:r>
        <w:rPr>
          <w:rFonts w:hint="eastAsia" w:ascii="宋体" w:hAnsi="宋体" w:cs="宋体"/>
          <w:color w:val="auto"/>
          <w:kern w:val="0"/>
          <w:szCs w:val="21"/>
          <w:highlight w:val="none"/>
          <w:lang w:bidi="ar"/>
        </w:rPr>
        <w:t>。</w:t>
      </w:r>
    </w:p>
    <w:p w14:paraId="55A9374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14.7.2 最终结清证书和支付</w:t>
      </w:r>
    </w:p>
    <w:p w14:paraId="14CFDD9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（1）发包人完成最终结清申请单的审批并颁发最终结清证书的期限：</w:t>
      </w:r>
      <w:r>
        <w:rPr>
          <w:rFonts w:hint="eastAsia" w:ascii="宋体" w:hAnsi="宋体" w:cs="宋体"/>
          <w:color w:val="auto"/>
          <w:kern w:val="0"/>
          <w:szCs w:val="21"/>
          <w:highlight w:val="none"/>
          <w:u w:val="single"/>
          <w:lang w:bidi="ar"/>
        </w:rPr>
        <w:t>收到承包人提交的最终结清申请单后14天内</w:t>
      </w:r>
      <w:r>
        <w:rPr>
          <w:rFonts w:hint="eastAsia" w:ascii="宋体" w:hAnsi="宋体" w:cs="宋体"/>
          <w:color w:val="auto"/>
          <w:kern w:val="0"/>
          <w:szCs w:val="21"/>
          <w:highlight w:val="none"/>
          <w:lang w:bidi="ar"/>
        </w:rPr>
        <w:t>。</w:t>
      </w:r>
    </w:p>
    <w:p w14:paraId="6AD72E1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（2）发包人完成支付的期限：</w:t>
      </w:r>
      <w:r>
        <w:rPr>
          <w:rFonts w:hint="eastAsia" w:ascii="宋体" w:hAnsi="宋体" w:cs="宋体"/>
          <w:color w:val="auto"/>
          <w:kern w:val="0"/>
          <w:szCs w:val="21"/>
          <w:highlight w:val="none"/>
          <w:u w:val="single"/>
          <w:lang w:bidi="ar"/>
        </w:rPr>
        <w:t>颁发最终结清证书后14天内</w:t>
      </w:r>
      <w:r>
        <w:rPr>
          <w:rFonts w:hint="eastAsia" w:ascii="宋体" w:hAnsi="宋体" w:cs="宋体"/>
          <w:color w:val="auto"/>
          <w:kern w:val="0"/>
          <w:szCs w:val="21"/>
          <w:highlight w:val="none"/>
          <w:lang w:bidi="ar"/>
        </w:rPr>
        <w:t>。</w:t>
      </w:r>
    </w:p>
    <w:p w14:paraId="25F3C1EC">
      <w:pPr>
        <w:widowControl/>
        <w:adjustRightInd w:val="0"/>
        <w:snapToGrid w:val="0"/>
        <w:spacing w:after="163" w:afterLines="50" w:line="360" w:lineRule="auto"/>
        <w:outlineLvl w:val="1"/>
        <w:rPr>
          <w:rFonts w:ascii="宋体" w:hAnsi="宋体" w:cs="Times"/>
          <w:color w:val="auto"/>
          <w:kern w:val="0"/>
          <w:highlight w:val="none"/>
        </w:rPr>
      </w:pPr>
      <w:bookmarkStart w:id="1866" w:name="_Toc20171888"/>
      <w:bookmarkEnd w:id="1866"/>
      <w:bookmarkStart w:id="1867" w:name="_Toc58860326"/>
      <w:r>
        <w:rPr>
          <w:rFonts w:hint="eastAsia" w:ascii="宋体" w:hAnsi="宋体" w:cs="Times"/>
          <w:color w:val="auto"/>
          <w:kern w:val="0"/>
          <w:szCs w:val="21"/>
          <w:highlight w:val="none"/>
          <w:lang w:bidi="ar"/>
        </w:rPr>
        <w:t>第15条 违约</w:t>
      </w:r>
      <w:bookmarkEnd w:id="1867"/>
    </w:p>
    <w:p w14:paraId="456CEBE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15.1 发包人违约</w:t>
      </w:r>
    </w:p>
    <w:p w14:paraId="6C0F4DA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15.1.1 发包人违约的情形</w:t>
      </w:r>
    </w:p>
    <w:p w14:paraId="0F413E7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除通用合同条件约定外，发包人违约的其他情形：</w:t>
      </w:r>
    </w:p>
    <w:p w14:paraId="470B807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（1）发包人提供的材料、工程设备的规格、数量或质量不符合合同约定，或因发包人原因导致交货日期延误或交货地点变更等情况的；</w:t>
      </w:r>
    </w:p>
    <w:p w14:paraId="51EA060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（2）因发包人原因导致工期延误的；</w:t>
      </w:r>
    </w:p>
    <w:p w14:paraId="1B7B6B9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（3）因发包人原因未能及时办理完毕合同约定的许可、批准或备案的；</w:t>
      </w:r>
    </w:p>
    <w:p w14:paraId="14DD1F8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（4）因监理人未能按合同约定发出指示、指示延误或发出了错误指示而导致承包人费用增加和（或）工期延误的；</w:t>
      </w:r>
    </w:p>
    <w:p w14:paraId="21EC3C0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（5）发包人或监理人要求重新检查的，经检查证明工程质量符合合同要求的，并由此产生增加的费用和（或）延误的工期的；</w:t>
      </w:r>
    </w:p>
    <w:p w14:paraId="467F635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（6）因发包人原因造成工程质量未达到合同约定标准的；</w:t>
      </w:r>
    </w:p>
    <w:p w14:paraId="7A5FE9F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（7）由于发包人原因对承包人造成的人员人身伤亡和财产损失的；</w:t>
      </w:r>
    </w:p>
    <w:p w14:paraId="308466A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（8）因发包人原因导致工程无法按期办理竣工验收或竣工结算的；</w:t>
      </w:r>
    </w:p>
    <w:p w14:paraId="00F8F6E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（9）发包人无正当理由未按约定退还履约担保、低价风险担保、预付款担保或质量保证金的；</w:t>
      </w:r>
    </w:p>
    <w:p w14:paraId="3F3A876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（10）发包人不当提取履约担保、低价风险担保、预付款担保或质量保证金的；</w:t>
      </w:r>
    </w:p>
    <w:p w14:paraId="0796974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（11）发包人未按合同约定接收全部或部分工作的；</w:t>
      </w:r>
    </w:p>
    <w:p w14:paraId="5AB2ED5B">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（12）发包人未按合同约定办理保险的；</w:t>
      </w:r>
    </w:p>
    <w:p w14:paraId="0C2E48A2">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u w:val="single"/>
          <w:lang w:bidi="ar"/>
        </w:rPr>
        <w:t xml:space="preserve">（13）其他：        </w:t>
      </w:r>
      <w:r>
        <w:rPr>
          <w:rFonts w:hint="eastAsia" w:ascii="宋体" w:hAnsi="宋体" w:cs="宋体"/>
          <w:color w:val="auto"/>
          <w:kern w:val="0"/>
          <w:szCs w:val="21"/>
          <w:highlight w:val="none"/>
          <w:lang w:bidi="ar"/>
        </w:rPr>
        <w:t>。</w:t>
      </w:r>
    </w:p>
    <w:p w14:paraId="3EC03BB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15.1.3 发包人违约的责任</w:t>
      </w:r>
    </w:p>
    <w:p w14:paraId="674C2E1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发包人违约责任的承担方式和计算方法：</w:t>
      </w:r>
    </w:p>
    <w:p w14:paraId="556F721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（1）因发包人原因未能及时办理完毕前述许可、批准或备案的违约责任：由发包人承担由此增加的费用和（或）顺延工期，并支付合理利润，具体索赔程序按照第19条[索赔]约定执行。</w:t>
      </w:r>
    </w:p>
    <w:p w14:paraId="59BB91B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因监理人未能按合同约定发出指示、指示延误或发出了错误指示而导致承包人费用增加和（或）工期延误的，由发包人承担由此增加的费用和（或）顺延工期，并支付合理利润，具体索赔程序按照第19条[索赔]约定执行。</w:t>
      </w:r>
    </w:p>
    <w:p w14:paraId="32705FA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（3）因发包人原因导致工期延误的违约责任：由发包人承担由此增加的费用和（或）顺延工期，并支付合理利润，具体索赔程序按照第19条[索赔]约定执行。</w:t>
      </w:r>
    </w:p>
    <w:p w14:paraId="7E14921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（4）因发包人原因导致开始工作日期延误的违约责任：由发包人承担由此增加的费用和（或）顺延工期，并支付合理利润，具体索赔程序按照第19条[索赔]约定执行。</w:t>
      </w:r>
    </w:p>
    <w:p w14:paraId="4261F87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（5）根据5.3.3项发包人或监理人要求重新检查的，经检查证明工程质量符合合同要求的，由发包人承担由此增加的费用和（或）顺延工期，并支付合理利润，具体索赔程序按照第19条[索赔]约定执行。</w:t>
      </w:r>
    </w:p>
    <w:p w14:paraId="4A02A73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（6）因发包人原因未按合同约定支付合同价款的违约责任：发包人应向承包人支付违约金，自应当支付之日起28天后开始计算违约金，计算公式：</w:t>
      </w:r>
      <w:r>
        <w:rPr>
          <w:rFonts w:hint="eastAsia" w:ascii="宋体" w:hAnsi="宋体" w:cs="宋体"/>
          <w:color w:val="auto"/>
          <w:kern w:val="0"/>
          <w:szCs w:val="21"/>
          <w:highlight w:val="none"/>
          <w:u w:val="single"/>
          <w:lang w:bidi="ar"/>
        </w:rPr>
        <w:t>违约金=应付未付金额×中国人民银行  年  月公布的5年期贷款市场报价利率/360天×逾期天数（自第29天起计算）；逾期天数超过56天的，超过部分天数按上述利率的两倍计算并支付违约金</w:t>
      </w:r>
      <w:r>
        <w:rPr>
          <w:rFonts w:hint="eastAsia" w:ascii="宋体" w:hAnsi="宋体" w:cs="宋体"/>
          <w:color w:val="auto"/>
          <w:kern w:val="0"/>
          <w:szCs w:val="21"/>
          <w:highlight w:val="none"/>
          <w:lang w:bidi="ar"/>
        </w:rPr>
        <w:t>。</w:t>
      </w:r>
    </w:p>
    <w:p w14:paraId="7E8EC68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（7）发包人违反合同约定，自行实施被取消的工作或转由他人实施的违约责任：由发包人承担由此给承包人造成的实际损失并支付合理利润。</w:t>
      </w:r>
    </w:p>
    <w:p w14:paraId="28B0891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发包人提供的材料、工程设备的规格、数量或质量不符合合同约定，或因发包人原因导致交货日期延误或交货地点变更等情况的违约责任：由发包人承担由此增加的费用和（或）顺延工期，并支付合理利润，具体索赔程序按照第19条[索赔]约定执行。</w:t>
      </w:r>
    </w:p>
    <w:p w14:paraId="2BDB721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（9）因发包人原因造成工程质量未达到合同约定标准的，由发包人承担由此增加的费用和（或）延误的工期，并支付合理利润。</w:t>
      </w:r>
    </w:p>
    <w:p w14:paraId="7271705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（10）因发包人违反合同约定造成工程暂停施工的违约责任：由发包人承担由此增加的费用和（或）顺延工期，并支付合理利润，具体索赔程序按照第19条[索赔]约定执行。</w:t>
      </w:r>
    </w:p>
    <w:p w14:paraId="24D77FC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（11）发包人无正当理由没有在约定期限内发出复工指示，导致承包人无法复工的违约责任：由发包人承担由此增加的费用和（或）顺延工期，并支付合理利润，具体索赔程序按照第19条[索赔]约定执行。</w:t>
      </w:r>
    </w:p>
    <w:p w14:paraId="596053FA">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（12）因发包人原因导致工程无法按期办理竣工验收或竣工结算的违约责任：由发包人承担由此增加的费用和（或）顺延工期，并支付合理利润，具体索赔程序按照第19条[索赔]约定执行。</w:t>
      </w:r>
    </w:p>
    <w:p w14:paraId="0DAB29BC">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（13）发包人无正当理由未按约定退还履约担保、低价风险担保、预付款担保或质量保证金的违约责任：发包人应向承包人支付违约金，自应当退还之日起28天后开始计算违约金，</w:t>
      </w:r>
      <w:r>
        <w:rPr>
          <w:rFonts w:hint="eastAsia" w:ascii="宋体" w:hAnsi="宋体" w:cs="宋体"/>
          <w:color w:val="auto"/>
          <w:kern w:val="0"/>
          <w:szCs w:val="21"/>
          <w:highlight w:val="none"/>
          <w:u w:val="single"/>
          <w:lang w:bidi="ar"/>
        </w:rPr>
        <w:t>计算公式：违约金=应退未退担保金额×中国人民银行  年  月公布的5年期贷款市场报价利率/360天×逾期天数（自第29天起计算）</w:t>
      </w:r>
      <w:r>
        <w:rPr>
          <w:rFonts w:hint="eastAsia" w:ascii="宋体" w:hAnsi="宋体" w:cs="宋体"/>
          <w:color w:val="auto"/>
          <w:kern w:val="0"/>
          <w:szCs w:val="21"/>
          <w:highlight w:val="none"/>
          <w:lang w:bidi="ar"/>
        </w:rPr>
        <w:t>。</w:t>
      </w:r>
    </w:p>
    <w:p w14:paraId="6BD5985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（14）发包人不当提取履约担保、低价风险担保、预付款担保或质量保证金的，应及时予以退还，若不当提取超过28天的，应承担违约责任：发包人应向承包人支付违约金，</w:t>
      </w:r>
      <w:r>
        <w:rPr>
          <w:rFonts w:hint="eastAsia" w:ascii="宋体" w:hAnsi="宋体" w:cs="宋体"/>
          <w:color w:val="auto"/>
          <w:kern w:val="0"/>
          <w:szCs w:val="21"/>
          <w:highlight w:val="none"/>
          <w:u w:val="single"/>
          <w:lang w:bidi="ar"/>
        </w:rPr>
        <w:t>计算公式：违约金=不当提取的担保金额×中国人民银行  年  月公布的5年期贷款市场报价利率/360天×逾期天数（自第29天起计算）</w:t>
      </w:r>
      <w:r>
        <w:rPr>
          <w:rFonts w:hint="eastAsia" w:ascii="宋体" w:hAnsi="宋体" w:cs="宋体"/>
          <w:color w:val="auto"/>
          <w:kern w:val="0"/>
          <w:szCs w:val="21"/>
          <w:highlight w:val="none"/>
          <w:lang w:bidi="ar"/>
        </w:rPr>
        <w:t>。</w:t>
      </w:r>
    </w:p>
    <w:p w14:paraId="76C8A7A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（15）发包人未按合同约定接收全部或部分工作的违约责任：由发包人承担自应当接收工程之日起的工程照管、成品保护、保管等与工程有关的各项费用。</w:t>
      </w:r>
    </w:p>
    <w:p w14:paraId="6C70705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（16）由于发包人原因对承包人造成的人员人身伤亡和财产损失的，由发包人负责赔偿，并承担由此增加的费用和（或）延误的工期，并支付合理利润。</w:t>
      </w:r>
    </w:p>
    <w:p w14:paraId="6BF76CF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（17）发包人未按合同约定办理保险的违约责任：除按通用合同条件18.</w:t>
      </w:r>
      <w:r>
        <w:rPr>
          <w:rFonts w:ascii="宋体" w:hAnsi="宋体" w:cs="宋体"/>
          <w:color w:val="auto"/>
          <w:kern w:val="0"/>
          <w:szCs w:val="21"/>
          <w:highlight w:val="none"/>
          <w:lang w:bidi="ar"/>
        </w:rPr>
        <w:t>5</w:t>
      </w:r>
      <w:r>
        <w:rPr>
          <w:rFonts w:hint="eastAsia" w:ascii="宋体" w:hAnsi="宋体" w:cs="宋体"/>
          <w:color w:val="auto"/>
          <w:kern w:val="0"/>
          <w:szCs w:val="21"/>
          <w:highlight w:val="none"/>
          <w:lang w:bidi="ar"/>
        </w:rPr>
        <w:t>.</w:t>
      </w:r>
      <w:r>
        <w:rPr>
          <w:rFonts w:ascii="宋体" w:hAnsi="宋体" w:cs="宋体"/>
          <w:color w:val="auto"/>
          <w:kern w:val="0"/>
          <w:szCs w:val="21"/>
          <w:highlight w:val="none"/>
          <w:lang w:bidi="ar"/>
        </w:rPr>
        <w:t>3</w:t>
      </w:r>
      <w:r>
        <w:rPr>
          <w:rFonts w:hint="eastAsia" w:ascii="宋体" w:hAnsi="宋体" w:cs="宋体"/>
          <w:color w:val="auto"/>
          <w:kern w:val="0"/>
          <w:szCs w:val="21"/>
          <w:highlight w:val="none"/>
          <w:lang w:bidi="ar"/>
        </w:rPr>
        <w:t>项[</w:t>
      </w:r>
      <w:r>
        <w:rPr>
          <w:rFonts w:hint="eastAsia" w:ascii="宋体" w:hAnsi="宋体" w:cs="宋体"/>
          <w:color w:val="auto"/>
          <w:szCs w:val="21"/>
          <w:highlight w:val="none"/>
          <w:lang w:bidi="ar"/>
        </w:rPr>
        <w:t>未按约定投保的补救</w:t>
      </w:r>
      <w:r>
        <w:rPr>
          <w:rFonts w:hint="eastAsia" w:ascii="宋体" w:hAnsi="宋体" w:cs="宋体"/>
          <w:color w:val="auto"/>
          <w:kern w:val="0"/>
          <w:szCs w:val="21"/>
          <w:highlight w:val="none"/>
          <w:lang w:bidi="ar"/>
        </w:rPr>
        <w:t>]执行外，每延迟1天，按</w:t>
      </w:r>
      <w:r>
        <w:rPr>
          <w:rFonts w:hint="eastAsia" w:ascii="宋体" w:hAnsi="宋体" w:cs="宋体"/>
          <w:color w:val="auto"/>
          <w:kern w:val="0"/>
          <w:szCs w:val="21"/>
          <w:highlight w:val="none"/>
          <w:u w:val="single"/>
          <w:lang w:bidi="ar"/>
        </w:rPr>
        <w:t>500元/天</w:t>
      </w:r>
      <w:r>
        <w:rPr>
          <w:rFonts w:hint="eastAsia" w:ascii="宋体" w:hAnsi="宋体" w:cs="宋体"/>
          <w:color w:val="auto"/>
          <w:kern w:val="0"/>
          <w:szCs w:val="21"/>
          <w:highlight w:val="none"/>
          <w:lang w:bidi="ar"/>
        </w:rPr>
        <w:t>支付违约金。</w:t>
      </w:r>
    </w:p>
    <w:p w14:paraId="191185A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（18）其他：</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39F7AEE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15.2 承包人违约</w:t>
      </w:r>
    </w:p>
    <w:p w14:paraId="38E3FE1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15.2.1 承包人违约的情形</w:t>
      </w:r>
    </w:p>
    <w:p w14:paraId="127C925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除通用合同条件约定外，承包人违约的其他情形：</w:t>
      </w:r>
    </w:p>
    <w:p w14:paraId="33FB494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（1）承包人未按合同约定提交履约担保或质量保证金的；</w:t>
      </w:r>
    </w:p>
    <w:p w14:paraId="1E953F1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（2）承包人未能按期开始工作的；</w:t>
      </w:r>
    </w:p>
    <w:p w14:paraId="00C29B9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（3）承包人未按投标文件或监理人的要求及时配备称职的主要管理人员，或承包人未按经审定的施工组织设计配备或更换关键施工设备的；</w:t>
      </w:r>
    </w:p>
    <w:p w14:paraId="79B411E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（4）承包人有安全问题或有违反安全管理规章制度情况的；</w:t>
      </w:r>
    </w:p>
    <w:p w14:paraId="0760B47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（5）承包人在缺陷责任期及保修期内，未能在合理期限对工程缺陷进行修复，或拒绝按发包人要求进行修复的；</w:t>
      </w:r>
    </w:p>
    <w:p w14:paraId="41675A2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（6）承包人拖欠其工人或所雇人员工资或报酬，导致其工人或所雇人员向有关部门投诉、控告、检举或以聚集等方式讨要工资或报酬的；</w:t>
      </w:r>
    </w:p>
    <w:p w14:paraId="4E05281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（7）承包人不配合发包人、监理人及发包人委托的工程造价咨询服务单位结算审核或承包人其他原因导致未按期完成工程竣工结算的；</w:t>
      </w:r>
    </w:p>
    <w:p w14:paraId="64BC239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（8）承包人未按合同约定移交全部或部分工作的；</w:t>
      </w:r>
    </w:p>
    <w:p w14:paraId="60DEC53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（9）承包人未按合同约定购买保险的；</w:t>
      </w:r>
    </w:p>
    <w:p w14:paraId="7A324650">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（10）工程总承包项目经理或施工负责人若有以下情形，属于承包人违约：</w:t>
      </w:r>
    </w:p>
    <w:p w14:paraId="24AFC484">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1）不按承诺到岗的；</w:t>
      </w:r>
    </w:p>
    <w:p w14:paraId="6D88B7F9">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2）每月在施工现场的天数少于约定天数的；</w:t>
      </w:r>
    </w:p>
    <w:p w14:paraId="5ACE47F2">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3）承包人未提交工程总承包项目经理或施工负责人的劳动合同和社会保险证明的；</w:t>
      </w:r>
    </w:p>
    <w:p w14:paraId="5AA55764">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4）未经批准，擅自离开施工现场（超过约定时间）的；</w:t>
      </w:r>
    </w:p>
    <w:p w14:paraId="5756A7D3">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5）未经批准，擅自变更工程总承包项目经理或施工负责人的；</w:t>
      </w:r>
    </w:p>
    <w:p w14:paraId="5C527B0E">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6）按照渝建发〔2015〕35号文的要求，施工期间，因在一个记分周期内累计记分达到12分，被建设行政主管部门依法责令停止执业的；</w:t>
      </w:r>
    </w:p>
    <w:p w14:paraId="044DB879">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7）发包人有正当理由认为工程总承包项目经理或施工负责人不称职/不履职，且承包人在约定时间内不予更换的；</w:t>
      </w:r>
    </w:p>
    <w:p w14:paraId="6E70A450">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8）其他双方约定的情形。</w:t>
      </w:r>
    </w:p>
    <w:p w14:paraId="3B245912">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（11）施工技术负责人若有以下情形，属于承包人违约：</w:t>
      </w:r>
    </w:p>
    <w:p w14:paraId="2532F88C">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1）每月在施工现场的天数少于约定天数的；</w:t>
      </w:r>
    </w:p>
    <w:p w14:paraId="40F42F02">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2）承包人未提交施工技术负责人劳动合同和社会保险证明的；</w:t>
      </w:r>
    </w:p>
    <w:p w14:paraId="4413EE69">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3）未经批准，擅自离开施工现场（超过约定时间）的；</w:t>
      </w:r>
    </w:p>
    <w:p w14:paraId="2C6D3F10">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4）未经批准，擅自变更施工技术负责人的；</w:t>
      </w:r>
    </w:p>
    <w:p w14:paraId="36C4B926">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5）发包人有正当理由认为施工技术负责人不称职/不履职，且承包人在约定时间内不予更换的；</w:t>
      </w:r>
    </w:p>
    <w:p w14:paraId="78908D29">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6）其他双方约定的情形。</w:t>
      </w:r>
    </w:p>
    <w:p w14:paraId="61EF0F3B">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（12）设计负责人及其他主要管理人员若有以下情形，属于承包人违约：</w:t>
      </w:r>
    </w:p>
    <w:p w14:paraId="626E2EDE">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1）承包人未提交人员劳动合同和社会保险证明的；</w:t>
      </w:r>
    </w:p>
    <w:p w14:paraId="39913796">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2）未经批准，施工管理人员擅自离开施工现场（超过约定时间）的；</w:t>
      </w:r>
    </w:p>
    <w:p w14:paraId="7C16E1F6">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3）未经批准，擅自变更主要管理人员的；</w:t>
      </w:r>
    </w:p>
    <w:p w14:paraId="4159C25C">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4）发包人有正当理由认为主要管理人员不称职/不履职，且承包人在约定时间内不予更换的；</w:t>
      </w:r>
    </w:p>
    <w:p w14:paraId="606E5AA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5）其他双方约定的情形。</w:t>
      </w:r>
    </w:p>
    <w:p w14:paraId="79FA9F0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（13）其他：</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0F8B66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15.2.2 通知改正</w:t>
      </w:r>
    </w:p>
    <w:p w14:paraId="44C5C35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监理人通知承包人改正的合理期限是：</w:t>
      </w:r>
      <w:r>
        <w:rPr>
          <w:rFonts w:hint="eastAsia" w:ascii="宋体" w:hAnsi="宋体" w:cs="宋体"/>
          <w:color w:val="auto"/>
          <w:kern w:val="0"/>
          <w:szCs w:val="21"/>
          <w:highlight w:val="none"/>
          <w:u w:val="single"/>
          <w:lang w:bidi="ar"/>
        </w:rPr>
        <w:t>发出整改通知后   天</w:t>
      </w:r>
      <w:r>
        <w:rPr>
          <w:rFonts w:hint="eastAsia" w:ascii="宋体" w:hAnsi="宋体" w:cs="宋体"/>
          <w:color w:val="auto"/>
          <w:kern w:val="0"/>
          <w:szCs w:val="21"/>
          <w:highlight w:val="none"/>
          <w:lang w:bidi="ar"/>
        </w:rPr>
        <w:t>。</w:t>
      </w:r>
    </w:p>
    <w:p w14:paraId="2E28DED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15.2.3 承包人违约的责任</w:t>
      </w:r>
    </w:p>
    <w:p w14:paraId="138A9A6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承包人违约责任的承担方式和计算方法：</w:t>
      </w:r>
    </w:p>
    <w:p w14:paraId="68A0B46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（1）承包人未按合同约定提交履约担保或质量保证金的违约责任：承包人应支付违约金，违约金的计算方法：每延误1天，承包人按</w:t>
      </w:r>
      <w:r>
        <w:rPr>
          <w:rFonts w:hint="eastAsia" w:ascii="宋体" w:hAnsi="宋体" w:cs="宋体"/>
          <w:color w:val="auto"/>
          <w:kern w:val="0"/>
          <w:szCs w:val="21"/>
          <w:highlight w:val="none"/>
          <w:u w:val="single"/>
          <w:lang w:bidi="ar"/>
        </w:rPr>
        <w:t xml:space="preserve">  （5000～50000）元/天</w:t>
      </w:r>
      <w:r>
        <w:rPr>
          <w:rFonts w:hint="eastAsia" w:ascii="宋体" w:hAnsi="宋体" w:cs="宋体"/>
          <w:color w:val="auto"/>
          <w:kern w:val="0"/>
          <w:szCs w:val="21"/>
          <w:highlight w:val="none"/>
          <w:lang w:bidi="ar"/>
        </w:rPr>
        <w:t>计算违约金，累计违约金上限：</w:t>
      </w:r>
      <w:r>
        <w:rPr>
          <w:rFonts w:hint="eastAsia" w:ascii="宋体" w:hAnsi="宋体" w:cs="宋体"/>
          <w:color w:val="auto"/>
          <w:kern w:val="0"/>
          <w:szCs w:val="21"/>
          <w:highlight w:val="none"/>
          <w:u w:val="single"/>
          <w:lang w:bidi="ar"/>
        </w:rPr>
        <w:t xml:space="preserve">  万元（不超过签约合同价的3%）</w:t>
      </w:r>
      <w:r>
        <w:rPr>
          <w:rFonts w:hint="eastAsia" w:ascii="宋体" w:hAnsi="宋体" w:cs="宋体"/>
          <w:color w:val="auto"/>
          <w:kern w:val="0"/>
          <w:szCs w:val="21"/>
          <w:highlight w:val="none"/>
          <w:lang w:bidi="ar"/>
        </w:rPr>
        <w:t>。</w:t>
      </w:r>
    </w:p>
    <w:p w14:paraId="0AE1ED7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（2）承包人的原因导致的承包人文件、实施和竣工的工程不符合法律法规、工程质量验收标准以及合同约定的违约责任：限期改正，并按照其不符合法律以及合同约定的相应合同金额的</w:t>
      </w:r>
      <w:r>
        <w:rPr>
          <w:rFonts w:hint="eastAsia" w:ascii="宋体" w:hAnsi="宋体" w:cs="宋体"/>
          <w:color w:val="auto"/>
          <w:kern w:val="0"/>
          <w:szCs w:val="21"/>
          <w:highlight w:val="none"/>
          <w:u w:val="single"/>
          <w:lang w:bidi="ar"/>
        </w:rPr>
        <w:t xml:space="preserve">  （5～10）%</w:t>
      </w:r>
      <w:r>
        <w:rPr>
          <w:rFonts w:hint="eastAsia" w:ascii="宋体" w:hAnsi="宋体" w:cs="宋体"/>
          <w:color w:val="auto"/>
          <w:kern w:val="0"/>
          <w:szCs w:val="21"/>
          <w:highlight w:val="none"/>
          <w:lang w:bidi="ar"/>
        </w:rPr>
        <w:t>支付违约金；造成工期延误的，还应承担造成工期延误的违约责任。</w:t>
      </w:r>
    </w:p>
    <w:p w14:paraId="7FB77C9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（3）承包人违反合同约定进行转包或违法分包的违约责任：按照违反合同约定进行转包和（或）违法分包相应转包和（或）分包合同的合同金额的</w:t>
      </w:r>
      <w:r>
        <w:rPr>
          <w:rFonts w:hint="eastAsia" w:ascii="宋体" w:hAnsi="宋体" w:cs="宋体"/>
          <w:color w:val="auto"/>
          <w:kern w:val="0"/>
          <w:szCs w:val="21"/>
          <w:highlight w:val="none"/>
          <w:u w:val="single"/>
          <w:lang w:bidi="ar"/>
        </w:rPr>
        <w:t xml:space="preserve">  （5～10）%</w:t>
      </w:r>
      <w:r>
        <w:rPr>
          <w:rFonts w:hint="eastAsia" w:ascii="宋体" w:hAnsi="宋体" w:cs="宋体"/>
          <w:color w:val="auto"/>
          <w:kern w:val="0"/>
          <w:szCs w:val="21"/>
          <w:highlight w:val="none"/>
          <w:lang w:bidi="ar"/>
        </w:rPr>
        <w:t>支付违约金，违法转/分包商应在7天内撤离出场。</w:t>
      </w:r>
    </w:p>
    <w:p w14:paraId="7E6268A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（4）承包人违反合同约定采购和使用不合格的材料和工程设备的违约责任：按照违反合同约定采购和使用不合格的材料和（或）工程设备相应合同金额的</w:t>
      </w:r>
      <w:r>
        <w:rPr>
          <w:rFonts w:hint="eastAsia" w:ascii="宋体" w:hAnsi="宋体" w:cs="宋体"/>
          <w:color w:val="auto"/>
          <w:kern w:val="0"/>
          <w:szCs w:val="21"/>
          <w:highlight w:val="none"/>
          <w:u w:val="single"/>
          <w:lang w:bidi="ar"/>
        </w:rPr>
        <w:t xml:space="preserve">  （5～10）%</w:t>
      </w:r>
      <w:r>
        <w:rPr>
          <w:rFonts w:hint="eastAsia" w:ascii="宋体" w:hAnsi="宋体" w:cs="宋体"/>
          <w:color w:val="auto"/>
          <w:kern w:val="0"/>
          <w:szCs w:val="21"/>
          <w:highlight w:val="none"/>
          <w:lang w:bidi="ar"/>
        </w:rPr>
        <w:t>支付违约金。</w:t>
      </w:r>
    </w:p>
    <w:p w14:paraId="042F290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（5）因承包人原因导致工程质量不符合合同要求的违约责任：承包人退还已支付工程质量不符合合同要求工程的工程款，并按照工程质量不符合合同要求工程相应合同金额的</w:t>
      </w:r>
      <w:r>
        <w:rPr>
          <w:rFonts w:hint="eastAsia" w:ascii="宋体" w:hAnsi="宋体" w:cs="宋体"/>
          <w:color w:val="auto"/>
          <w:kern w:val="0"/>
          <w:szCs w:val="21"/>
          <w:highlight w:val="none"/>
          <w:u w:val="single"/>
          <w:lang w:bidi="ar"/>
        </w:rPr>
        <w:t xml:space="preserve">  （5～10）%</w:t>
      </w:r>
      <w:r>
        <w:rPr>
          <w:rFonts w:hint="eastAsia" w:ascii="宋体" w:hAnsi="宋体" w:cs="宋体"/>
          <w:color w:val="auto"/>
          <w:kern w:val="0"/>
          <w:szCs w:val="21"/>
          <w:highlight w:val="none"/>
          <w:lang w:bidi="ar"/>
        </w:rPr>
        <w:t>支付违约金。</w:t>
      </w:r>
    </w:p>
    <w:p w14:paraId="1CB1396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承包人违反材料与设备的约定，未经批准，擅自将已按合同约定进入施工现场的施工设备、临时设施或材料撤离施工现场的违约责任：按照承包人擅自撤离施工现场施工设备、临时设施或材料相应合同金额的</w:t>
      </w:r>
      <w:r>
        <w:rPr>
          <w:rFonts w:hint="eastAsia" w:ascii="宋体" w:hAnsi="宋体" w:cs="宋体"/>
          <w:color w:val="auto"/>
          <w:kern w:val="0"/>
          <w:szCs w:val="21"/>
          <w:highlight w:val="none"/>
          <w:u w:val="single"/>
          <w:lang w:bidi="ar"/>
        </w:rPr>
        <w:t xml:space="preserve">  （1～5）%</w:t>
      </w:r>
      <w:r>
        <w:rPr>
          <w:rFonts w:hint="eastAsia" w:ascii="宋体" w:hAnsi="宋体" w:cs="宋体"/>
          <w:color w:val="auto"/>
          <w:kern w:val="0"/>
          <w:szCs w:val="21"/>
          <w:highlight w:val="none"/>
          <w:lang w:bidi="ar"/>
        </w:rPr>
        <w:t>支付违约金。</w:t>
      </w:r>
    </w:p>
    <w:p w14:paraId="681D0AC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（7）因承包人原因造成工期延误的违约承担方式和计算方法：由承包人承担由此增加的费用，由此导致工期延误的，工期不予顺延；逾期竣工违约金的计算方法：每延误1天，承包人按</w:t>
      </w:r>
      <w:r>
        <w:rPr>
          <w:rFonts w:hint="eastAsia" w:ascii="宋体" w:hAnsi="宋体" w:cs="宋体"/>
          <w:color w:val="auto"/>
          <w:kern w:val="0"/>
          <w:szCs w:val="21"/>
          <w:highlight w:val="none"/>
          <w:u w:val="single"/>
          <w:lang w:bidi="ar"/>
        </w:rPr>
        <w:t xml:space="preserve">  （5000～50000）元/天</w:t>
      </w:r>
      <w:r>
        <w:rPr>
          <w:rFonts w:hint="eastAsia" w:ascii="宋体" w:hAnsi="宋体" w:cs="宋体"/>
          <w:color w:val="auto"/>
          <w:kern w:val="0"/>
          <w:szCs w:val="21"/>
          <w:highlight w:val="none"/>
          <w:lang w:bidi="ar"/>
        </w:rPr>
        <w:t>计算逾期竣工违约金，累计违约金上限：</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万元（不超过签约合同价的3%）；承包人支付逾期竣工违约金后，不免除承包人继续完成工程及修补缺陷的义务。</w:t>
      </w:r>
    </w:p>
    <w:p w14:paraId="4DD5D74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（8）由于承包人原因未能通过竣工试验或竣工后试验</w:t>
      </w:r>
      <w:r>
        <w:rPr>
          <w:rFonts w:hint="eastAsia" w:ascii="宋体" w:hAnsi="宋体" w:cs="宋体"/>
          <w:color w:val="auto"/>
          <w:kern w:val="0"/>
          <w:szCs w:val="21"/>
          <w:highlight w:val="none"/>
          <w:lang w:eastAsia="zh-CN" w:bidi="ar"/>
        </w:rPr>
        <w:t>的</w:t>
      </w:r>
      <w:r>
        <w:rPr>
          <w:rFonts w:hint="eastAsia" w:ascii="宋体" w:hAnsi="宋体" w:cs="宋体"/>
          <w:color w:val="auto"/>
          <w:kern w:val="0"/>
          <w:szCs w:val="21"/>
          <w:highlight w:val="none"/>
          <w:lang w:bidi="ar"/>
        </w:rPr>
        <w:t>违约责任：限期改正，并按照整改费用的</w:t>
      </w:r>
      <w:r>
        <w:rPr>
          <w:rFonts w:hint="eastAsia" w:ascii="宋体" w:hAnsi="宋体" w:cs="宋体"/>
          <w:color w:val="auto"/>
          <w:kern w:val="0"/>
          <w:szCs w:val="21"/>
          <w:highlight w:val="none"/>
          <w:u w:val="single"/>
          <w:lang w:bidi="ar"/>
        </w:rPr>
        <w:t xml:space="preserve">  （1～5）%</w:t>
      </w:r>
      <w:r>
        <w:rPr>
          <w:rFonts w:hint="eastAsia" w:ascii="宋体" w:hAnsi="宋体" w:cs="宋体"/>
          <w:color w:val="auto"/>
          <w:kern w:val="0"/>
          <w:szCs w:val="21"/>
          <w:highlight w:val="none"/>
          <w:lang w:bidi="ar"/>
        </w:rPr>
        <w:t>支付违约金；造成工期延误的，还应承担造成工期延误的违约责任。</w:t>
      </w:r>
    </w:p>
    <w:p w14:paraId="082EB87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（9）承包人在缺陷责任期及保修期内，未能在合理期限对工程缺陷进行修复，或拒绝按发包人指示进行修复的违约责任：按照发包人修复缺陷费用的</w:t>
      </w:r>
      <w:r>
        <w:rPr>
          <w:rFonts w:hint="eastAsia" w:ascii="宋体" w:hAnsi="宋体" w:cs="宋体"/>
          <w:color w:val="auto"/>
          <w:kern w:val="0"/>
          <w:szCs w:val="21"/>
          <w:highlight w:val="none"/>
          <w:u w:val="single"/>
          <w:lang w:bidi="ar"/>
        </w:rPr>
        <w:t xml:space="preserve">  （0.5～2）%</w:t>
      </w:r>
      <w:r>
        <w:rPr>
          <w:rFonts w:hint="eastAsia" w:ascii="宋体" w:hAnsi="宋体" w:cs="宋体"/>
          <w:color w:val="auto"/>
          <w:kern w:val="0"/>
          <w:szCs w:val="21"/>
          <w:highlight w:val="none"/>
          <w:lang w:bidi="ar"/>
        </w:rPr>
        <w:t>支付违约金。</w:t>
      </w:r>
    </w:p>
    <w:p w14:paraId="1F915BB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（10）承包人明确表示或者以其行为表明不履行合同主要义务的违约责任：按签约合同价的</w:t>
      </w:r>
      <w:r>
        <w:rPr>
          <w:rFonts w:hint="eastAsia" w:ascii="宋体" w:hAnsi="宋体" w:cs="宋体"/>
          <w:color w:val="auto"/>
          <w:kern w:val="0"/>
          <w:szCs w:val="21"/>
          <w:highlight w:val="none"/>
          <w:u w:val="single"/>
          <w:lang w:bidi="ar"/>
        </w:rPr>
        <w:t xml:space="preserve">  （5～10）%</w:t>
      </w:r>
      <w:r>
        <w:rPr>
          <w:rFonts w:hint="eastAsia" w:ascii="宋体" w:hAnsi="宋体" w:cs="宋体"/>
          <w:color w:val="auto"/>
          <w:kern w:val="0"/>
          <w:szCs w:val="21"/>
          <w:highlight w:val="none"/>
          <w:lang w:bidi="ar"/>
        </w:rPr>
        <w:t>支付违约金。</w:t>
      </w:r>
    </w:p>
    <w:p w14:paraId="5B7F866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（11）承包人未能按照合同约定履行其他义务的违约责任：按</w:t>
      </w:r>
      <w:r>
        <w:rPr>
          <w:rFonts w:hint="eastAsia" w:ascii="宋体" w:hAnsi="宋体" w:cs="宋体"/>
          <w:color w:val="auto"/>
          <w:kern w:val="0"/>
          <w:szCs w:val="21"/>
          <w:highlight w:val="none"/>
          <w:u w:val="single"/>
          <w:lang w:bidi="ar"/>
        </w:rPr>
        <w:t>（500～5000）元/次</w:t>
      </w:r>
      <w:r>
        <w:rPr>
          <w:rFonts w:hint="eastAsia" w:ascii="宋体" w:hAnsi="宋体" w:cs="宋体"/>
          <w:color w:val="auto"/>
          <w:kern w:val="0"/>
          <w:szCs w:val="21"/>
          <w:highlight w:val="none"/>
          <w:lang w:bidi="ar"/>
        </w:rPr>
        <w:t>支付违约金。</w:t>
      </w:r>
    </w:p>
    <w:p w14:paraId="224C105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（12）承包人未能按期开始工作的违约责任：按合同价</w:t>
      </w:r>
      <w:r>
        <w:rPr>
          <w:rFonts w:hint="eastAsia" w:ascii="宋体" w:hAnsi="宋体" w:cs="宋体"/>
          <w:color w:val="auto"/>
          <w:kern w:val="0"/>
          <w:szCs w:val="21"/>
          <w:highlight w:val="none"/>
          <w:u w:val="single"/>
          <w:lang w:bidi="ar"/>
        </w:rPr>
        <w:t>0.2‰/天</w:t>
      </w:r>
      <w:r>
        <w:rPr>
          <w:rFonts w:hint="eastAsia" w:ascii="宋体" w:hAnsi="宋体" w:cs="宋体"/>
          <w:color w:val="auto"/>
          <w:kern w:val="0"/>
          <w:szCs w:val="21"/>
          <w:highlight w:val="none"/>
          <w:lang w:bidi="ar"/>
        </w:rPr>
        <w:t>支付违约金，本项违约金累计限额为签约合同价的</w:t>
      </w:r>
      <w:r>
        <w:rPr>
          <w:rFonts w:hint="eastAsia" w:ascii="宋体" w:hAnsi="宋体" w:cs="宋体"/>
          <w:color w:val="auto"/>
          <w:kern w:val="0"/>
          <w:szCs w:val="21"/>
          <w:highlight w:val="none"/>
          <w:u w:val="single"/>
          <w:lang w:bidi="ar"/>
        </w:rPr>
        <w:t xml:space="preserve"> 1 %</w:t>
      </w:r>
      <w:r>
        <w:rPr>
          <w:rFonts w:hint="eastAsia" w:ascii="宋体" w:hAnsi="宋体" w:cs="宋体"/>
          <w:color w:val="auto"/>
          <w:kern w:val="0"/>
          <w:szCs w:val="21"/>
          <w:highlight w:val="none"/>
          <w:lang w:bidi="ar"/>
        </w:rPr>
        <w:t>。</w:t>
      </w:r>
    </w:p>
    <w:p w14:paraId="7117141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（13）承包人未按经审定的施工组织设计配备或更换关键施工设备的违约责任：按</w:t>
      </w:r>
      <w:r>
        <w:rPr>
          <w:rFonts w:hint="eastAsia" w:ascii="宋体" w:hAnsi="宋体" w:cs="宋体"/>
          <w:color w:val="auto"/>
          <w:kern w:val="0"/>
          <w:szCs w:val="21"/>
          <w:highlight w:val="none"/>
          <w:u w:val="single"/>
          <w:lang w:bidi="ar"/>
        </w:rPr>
        <w:t xml:space="preserve">  （5000～50000）元/台·次</w:t>
      </w:r>
      <w:r>
        <w:rPr>
          <w:rFonts w:hint="eastAsia" w:ascii="宋体" w:hAnsi="宋体" w:cs="宋体"/>
          <w:color w:val="auto"/>
          <w:kern w:val="0"/>
          <w:szCs w:val="21"/>
          <w:highlight w:val="none"/>
          <w:lang w:bidi="ar"/>
        </w:rPr>
        <w:t>支付违约金。</w:t>
      </w:r>
    </w:p>
    <w:p w14:paraId="7158901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（14）承包人有安全问题或有违反安全管理规章制度情况的违约责任：根据具体情节，按签约合同价的</w:t>
      </w:r>
      <w:r>
        <w:rPr>
          <w:rFonts w:hint="eastAsia" w:ascii="宋体" w:hAnsi="宋体" w:cs="宋体"/>
          <w:color w:val="auto"/>
          <w:kern w:val="0"/>
          <w:szCs w:val="21"/>
          <w:highlight w:val="none"/>
          <w:u w:val="single"/>
          <w:lang w:bidi="ar"/>
        </w:rPr>
        <w:t>0.5‰～4‰/次</w:t>
      </w:r>
      <w:r>
        <w:rPr>
          <w:rFonts w:hint="eastAsia" w:ascii="宋体" w:hAnsi="宋体" w:cs="宋体"/>
          <w:color w:val="auto"/>
          <w:kern w:val="0"/>
          <w:szCs w:val="21"/>
          <w:highlight w:val="none"/>
          <w:lang w:bidi="ar"/>
        </w:rPr>
        <w:t>支付违约金（累计不超过签约合同价的1%，详见附件9安全管理协议）。</w:t>
      </w:r>
    </w:p>
    <w:p w14:paraId="2674552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（15）承包人拖欠其工人或所雇人员工资或报酬，导致其工人或所雇人员向有关部门投诉、控告、检举或以聚集等方式讨要工资或报酬的违约责任：根据具体情节，按违约金额</w:t>
      </w:r>
      <w:r>
        <w:rPr>
          <w:rFonts w:hint="eastAsia" w:ascii="宋体" w:hAnsi="宋体" w:cs="宋体"/>
          <w:color w:val="auto"/>
          <w:kern w:val="0"/>
          <w:szCs w:val="21"/>
          <w:highlight w:val="none"/>
          <w:u w:val="single"/>
          <w:lang w:bidi="ar"/>
        </w:rPr>
        <w:t xml:space="preserve">  （50000～200000）元/次</w:t>
      </w:r>
      <w:r>
        <w:rPr>
          <w:rFonts w:hint="eastAsia" w:ascii="宋体" w:hAnsi="宋体" w:cs="宋体"/>
          <w:color w:val="auto"/>
          <w:kern w:val="0"/>
          <w:szCs w:val="21"/>
          <w:highlight w:val="none"/>
          <w:lang w:bidi="ar"/>
        </w:rPr>
        <w:t>支付违约金。</w:t>
      </w:r>
    </w:p>
    <w:p w14:paraId="378B3BA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（16）承包人不配合发包人、监理人及发包人委托的工程造价咨询服务单位结算审核的违约责任：根据具体情节，按</w:t>
      </w:r>
      <w:r>
        <w:rPr>
          <w:rFonts w:hint="eastAsia" w:ascii="宋体" w:hAnsi="宋体" w:cs="宋体"/>
          <w:color w:val="auto"/>
          <w:kern w:val="0"/>
          <w:szCs w:val="21"/>
          <w:highlight w:val="none"/>
          <w:u w:val="single"/>
          <w:lang w:bidi="ar"/>
        </w:rPr>
        <w:t xml:space="preserve">  （10000～100000）元/次</w:t>
      </w:r>
      <w:r>
        <w:rPr>
          <w:rFonts w:hint="eastAsia" w:ascii="宋体" w:hAnsi="宋体" w:cs="宋体"/>
          <w:color w:val="auto"/>
          <w:kern w:val="0"/>
          <w:szCs w:val="21"/>
          <w:highlight w:val="none"/>
          <w:lang w:bidi="ar"/>
        </w:rPr>
        <w:t>支付违约金。</w:t>
      </w:r>
    </w:p>
    <w:p w14:paraId="4045D69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（17）承包人未按合同约定移交全部和部分工程的违约责任：由承包人承担工程照管、成品保护、保管等与工程有关的各种费用，并按结算金额或违约部分结算金额的</w:t>
      </w:r>
      <w:r>
        <w:rPr>
          <w:rFonts w:hint="eastAsia" w:ascii="宋体" w:hAnsi="宋体" w:cs="宋体"/>
          <w:color w:val="auto"/>
          <w:kern w:val="0"/>
          <w:szCs w:val="21"/>
          <w:highlight w:val="none"/>
          <w:u w:val="single"/>
          <w:lang w:bidi="ar"/>
        </w:rPr>
        <w:t>0.5～1‰</w:t>
      </w:r>
      <w:r>
        <w:rPr>
          <w:rFonts w:hint="eastAsia" w:ascii="宋体" w:hAnsi="宋体" w:cs="宋体"/>
          <w:color w:val="auto"/>
          <w:kern w:val="0"/>
          <w:szCs w:val="21"/>
          <w:highlight w:val="none"/>
          <w:lang w:bidi="ar"/>
        </w:rPr>
        <w:t>支付违约金。</w:t>
      </w:r>
    </w:p>
    <w:p w14:paraId="0424CD9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（18）承包人未按合同约定购买保险的违约责任：除按通用合同条件18.</w:t>
      </w:r>
      <w:r>
        <w:rPr>
          <w:rFonts w:ascii="宋体" w:hAnsi="宋体" w:cs="宋体"/>
          <w:color w:val="auto"/>
          <w:kern w:val="0"/>
          <w:szCs w:val="21"/>
          <w:highlight w:val="none"/>
          <w:lang w:bidi="ar"/>
        </w:rPr>
        <w:t>5</w:t>
      </w:r>
      <w:r>
        <w:rPr>
          <w:rFonts w:hint="eastAsia" w:ascii="宋体" w:hAnsi="宋体" w:cs="宋体"/>
          <w:color w:val="auto"/>
          <w:kern w:val="0"/>
          <w:szCs w:val="21"/>
          <w:highlight w:val="none"/>
          <w:lang w:bidi="ar"/>
        </w:rPr>
        <w:t>.</w:t>
      </w:r>
      <w:r>
        <w:rPr>
          <w:rFonts w:ascii="宋体" w:hAnsi="宋体" w:cs="宋体"/>
          <w:color w:val="auto"/>
          <w:kern w:val="0"/>
          <w:szCs w:val="21"/>
          <w:highlight w:val="none"/>
          <w:lang w:bidi="ar"/>
        </w:rPr>
        <w:t>3</w:t>
      </w:r>
      <w:r>
        <w:rPr>
          <w:rFonts w:hint="eastAsia" w:ascii="宋体" w:hAnsi="宋体" w:cs="宋体"/>
          <w:color w:val="auto"/>
          <w:kern w:val="0"/>
          <w:szCs w:val="21"/>
          <w:highlight w:val="none"/>
          <w:lang w:bidi="ar"/>
        </w:rPr>
        <w:t>项[未按约定投保的补救]执行外，每延迟1天，按</w:t>
      </w:r>
      <w:r>
        <w:rPr>
          <w:rFonts w:hint="eastAsia" w:ascii="宋体" w:hAnsi="宋体" w:cs="宋体"/>
          <w:color w:val="auto"/>
          <w:kern w:val="0"/>
          <w:szCs w:val="21"/>
          <w:highlight w:val="none"/>
          <w:u w:val="single"/>
          <w:lang w:bidi="ar"/>
        </w:rPr>
        <w:t>500元/天</w:t>
      </w:r>
      <w:r>
        <w:rPr>
          <w:rFonts w:hint="eastAsia" w:ascii="宋体" w:hAnsi="宋体" w:cs="宋体"/>
          <w:color w:val="auto"/>
          <w:kern w:val="0"/>
          <w:szCs w:val="21"/>
          <w:highlight w:val="none"/>
          <w:lang w:bidi="ar"/>
        </w:rPr>
        <w:t>支付违约金。</w:t>
      </w:r>
    </w:p>
    <w:p w14:paraId="29C935D6">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（19）发生第15.2.1项（10）目、15.2.1项（11）目、15.2.1项（12）目违约情形的违约责任：除承担由此增加的费用和工期延误的责任，承包人应向发包人支付违约金：</w:t>
      </w:r>
    </w:p>
    <w:p w14:paraId="4AE852B7">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工程总承包项目经理或施工负责人违约承担方式和计算方法：对于第15.2.1项（10）目的情形，每发现一次，根据具体情节，按1000～30000元/天·次计算违约金；不按承诺到岗的（第4.4.4项约定的情形除外），按履约保证金的（50～100）%支付违约金，并解除合同；擅自更换的，按签约合同价的（0.5～3）%/人·次支付违约金，每次不低于20万，累计不超过200万；被责令停止执业的，按签约合同价的（0.5～3）%/人·次支付违约金，每次不低于20万，累计不超过200万。</w:t>
      </w:r>
    </w:p>
    <w:p w14:paraId="26AA31B8">
      <w:pPr>
        <w:widowControl/>
        <w:adjustRightInd w:val="0"/>
        <w:snapToGrid w:val="0"/>
        <w:spacing w:after="163" w:afterLines="50"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施工技术负责人违约承担方式和计算方法：对于第15.2.1项（11）目的六种情形，每发现一次，根据具体情节，按1000～30000元/天·次计算违约金；擅自更换施工技术负责人的，按签约合同价的（0.5～2）%/人·次支付违约金，每次不低于10万，累计不超过100万。</w:t>
      </w:r>
    </w:p>
    <w:p w14:paraId="51D6591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3）设计负责人及其他主要管理人员违约承担方式和计算方法：对于第15.2.1项（12）目的五种情形，每发现一次，根据具体情节，按500～10000元/天·次计算违约金。</w:t>
      </w:r>
    </w:p>
    <w:p w14:paraId="1E9F2B8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（20）其他：</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9A08E6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应当由承包人向发包人支付的违约金，发包人可直接提取届时有效的履约担保相应金额，不足部分由承包人支付；若发包人提取履约担保相应金额，则承包人应在提取后7日内补足或提交合同约定的履约担保的金额，否则承担相应违约责任，并从应付或到期应付给承包人的任何款项中或采用其他方法，扣除该违约金。</w:t>
      </w:r>
    </w:p>
    <w:p w14:paraId="5F74D65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承包人必须及时纠正违约行为并采取积极措施，满足合同要求，自行承担与纠正违约行为有关的人身伤亡、罚款、索赔、损失补偿、诉讼费用及其他一切责任，工期不予顺延，承担由此给发包人造成的经济损失。</w:t>
      </w:r>
    </w:p>
    <w:p w14:paraId="2C454B54">
      <w:pPr>
        <w:widowControl/>
        <w:adjustRightInd w:val="0"/>
        <w:snapToGrid w:val="0"/>
        <w:spacing w:after="163" w:afterLines="50" w:line="360" w:lineRule="auto"/>
        <w:outlineLvl w:val="1"/>
        <w:rPr>
          <w:rFonts w:ascii="宋体" w:hAnsi="宋体" w:cs="Times"/>
          <w:color w:val="auto"/>
          <w:kern w:val="0"/>
          <w:highlight w:val="none"/>
        </w:rPr>
      </w:pPr>
      <w:bookmarkStart w:id="1868" w:name="_Toc20171889"/>
      <w:bookmarkEnd w:id="1868"/>
      <w:bookmarkStart w:id="1869" w:name="_Toc58860327"/>
      <w:r>
        <w:rPr>
          <w:rFonts w:hint="eastAsia" w:ascii="宋体" w:hAnsi="宋体" w:cs="Times"/>
          <w:color w:val="auto"/>
          <w:kern w:val="0"/>
          <w:szCs w:val="21"/>
          <w:highlight w:val="none"/>
          <w:lang w:bidi="ar"/>
        </w:rPr>
        <w:t>第16条 合同解除</w:t>
      </w:r>
      <w:bookmarkEnd w:id="1869"/>
    </w:p>
    <w:p w14:paraId="3B4D719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16.1由发包人解除合同</w:t>
      </w:r>
    </w:p>
    <w:p w14:paraId="325A226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16.1.1因承包人违约解除合同</w:t>
      </w:r>
    </w:p>
    <w:p w14:paraId="5317763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除通用合同条件约定外，可由发包人解除合同的其他事由：</w:t>
      </w:r>
    </w:p>
    <w:p w14:paraId="1249AAF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（1）未按合同约定延迟提供履约担保、质量保证金超过14天的；</w:t>
      </w:r>
    </w:p>
    <w:p w14:paraId="56FC8F9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（2）未按合同约定购买保险且经催告后超过56天的；</w:t>
      </w:r>
    </w:p>
    <w:p w14:paraId="00353A1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（3）因承包人原因导致开始工作时间累计延误超过56天的；</w:t>
      </w:r>
    </w:p>
    <w:p w14:paraId="28CEFEA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（4）因承包人原因导致工期延误超过90天的；</w:t>
      </w:r>
    </w:p>
    <w:p w14:paraId="4AE9748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（5）发生第21.1.1项约定的情形的；</w:t>
      </w:r>
    </w:p>
    <w:p w14:paraId="499EA5E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（6）监理人发出整改通知后，承包人在监理人限定的期限内仍不纠正违约行为的；</w:t>
      </w:r>
    </w:p>
    <w:p w14:paraId="6CC004E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（7）承包人严重资不抵债且无法履行合同的；</w:t>
      </w:r>
    </w:p>
    <w:p w14:paraId="307850B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（8）违反适用法律而被相关政府部门依法吊销营业执照、责令关闭的；</w:t>
      </w:r>
    </w:p>
    <w:p w14:paraId="76A7530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（9）承包人未履行合同项下的义务构成对合同的实质性违约，并且在收到发包人要求说明其违约并予以补救的通知后56天内仍未能补救该实质性违约的；</w:t>
      </w:r>
    </w:p>
    <w:p w14:paraId="142FE89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（10）合同约定其他情况的，发包人有权解除合同的。</w:t>
      </w:r>
    </w:p>
    <w:p w14:paraId="6657A1C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16.2 由承包人解除合同</w:t>
      </w:r>
    </w:p>
    <w:p w14:paraId="7E16CCB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16.2.1 因发包人违约解除合同 </w:t>
      </w:r>
    </w:p>
    <w:p w14:paraId="3939B5E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除通用合同条件约定外，可由承包人解除合同的其他事由：</w:t>
      </w:r>
    </w:p>
    <w:p w14:paraId="7FE4B13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（1）因发包人原因延迟支付合同价款超过180天的；</w:t>
      </w:r>
    </w:p>
    <w:p w14:paraId="403E640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（2）因发包人原因导致工期延误超过90天的；</w:t>
      </w:r>
    </w:p>
    <w:p w14:paraId="1D542E2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（3）因发包人违约导致暂停施工满56天，且发包人仍未纠正其违约行为的；</w:t>
      </w:r>
    </w:p>
    <w:p w14:paraId="329FA66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（4）其他未履行合同项下的义务构成对合同的实质性违约，并且在收到承包人要求说明其违约并予以补救的通知后56天内仍未补救该实质性违约的。</w:t>
      </w:r>
    </w:p>
    <w:p w14:paraId="6F98CFE2">
      <w:pPr>
        <w:widowControl/>
        <w:adjustRightInd w:val="0"/>
        <w:snapToGrid w:val="0"/>
        <w:spacing w:after="163" w:afterLines="50" w:line="360" w:lineRule="auto"/>
        <w:outlineLvl w:val="1"/>
        <w:rPr>
          <w:rFonts w:ascii="宋体" w:hAnsi="宋体" w:cs="Times"/>
          <w:color w:val="auto"/>
          <w:kern w:val="0"/>
          <w:highlight w:val="none"/>
        </w:rPr>
      </w:pPr>
      <w:bookmarkStart w:id="1870" w:name="_Toc20171890"/>
      <w:bookmarkEnd w:id="1870"/>
      <w:bookmarkStart w:id="1871" w:name="_Toc58860328"/>
      <w:r>
        <w:rPr>
          <w:rFonts w:hint="eastAsia" w:ascii="宋体" w:hAnsi="宋体" w:cs="Times"/>
          <w:color w:val="auto"/>
          <w:kern w:val="0"/>
          <w:szCs w:val="21"/>
          <w:highlight w:val="none"/>
          <w:lang w:bidi="ar"/>
        </w:rPr>
        <w:t>第17条 不可抗力</w:t>
      </w:r>
      <w:bookmarkEnd w:id="1871"/>
    </w:p>
    <w:p w14:paraId="39B7CDD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17.1 不可抗力的定义</w:t>
      </w:r>
    </w:p>
    <w:p w14:paraId="7575E38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除通用合同条件约定的不可抗力事件之外，视为不可抗力的其他情形：</w:t>
      </w:r>
    </w:p>
    <w:p w14:paraId="2919405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（1）洪水、火山爆发、山崩、山体滑坡、泥石流、龙卷风、隧道内不可预测的突发性地质灾害等自然灾害；</w:t>
      </w:r>
    </w:p>
    <w:p w14:paraId="5118CA8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（2）封锁、禁运、恐怖行为等社会行为，但承包人或其分包人派遣与雇佣的人员由于合同工程施工原因引起的除外；</w:t>
      </w:r>
    </w:p>
    <w:p w14:paraId="0DB27D5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（3）不能合理预见的重大交通阻滞、停运、交通事故，非双方责任引起的火灾、爆炸、船舶撞击等情形；</w:t>
      </w:r>
    </w:p>
    <w:p w14:paraId="633BA18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（4）化学或放射性污染或核辐射；</w:t>
      </w:r>
    </w:p>
    <w:p w14:paraId="69E61BF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（5）环保治理等政府行为导致项目停工的。</w:t>
      </w:r>
    </w:p>
    <w:p w14:paraId="143A2DF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BF2BF2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17.6 因不可抗力解除合同</w:t>
      </w:r>
    </w:p>
    <w:p w14:paraId="1AE917C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合同解除后，发包人应当在商定或确定发包人应支付款项后的</w:t>
      </w:r>
      <w:r>
        <w:rPr>
          <w:rFonts w:ascii="宋体" w:hAnsi="宋体" w:cs="宋体"/>
          <w:color w:val="auto"/>
          <w:kern w:val="0"/>
          <w:szCs w:val="21"/>
          <w:highlight w:val="none"/>
          <w:u w:val="single"/>
          <w:lang w:bidi="ar"/>
        </w:rPr>
        <w:t>28</w:t>
      </w:r>
      <w:r>
        <w:rPr>
          <w:rFonts w:hint="eastAsia" w:ascii="宋体" w:hAnsi="宋体" w:cs="宋体"/>
          <w:color w:val="auto"/>
          <w:kern w:val="0"/>
          <w:szCs w:val="21"/>
          <w:highlight w:val="none"/>
          <w:lang w:bidi="ar"/>
        </w:rPr>
        <w:t>天内完成款项的支付。</w:t>
      </w:r>
    </w:p>
    <w:p w14:paraId="3FF6E0B4">
      <w:pPr>
        <w:widowControl/>
        <w:adjustRightInd w:val="0"/>
        <w:snapToGrid w:val="0"/>
        <w:spacing w:after="163" w:afterLines="50" w:line="360" w:lineRule="auto"/>
        <w:outlineLvl w:val="1"/>
        <w:rPr>
          <w:rFonts w:ascii="宋体" w:hAnsi="宋体" w:cs="Times"/>
          <w:color w:val="auto"/>
          <w:kern w:val="0"/>
          <w:highlight w:val="none"/>
        </w:rPr>
      </w:pPr>
      <w:bookmarkStart w:id="1872" w:name="_Toc4784276"/>
      <w:bookmarkEnd w:id="1872"/>
      <w:bookmarkStart w:id="1873" w:name="_Toc4784277"/>
      <w:bookmarkEnd w:id="1873"/>
      <w:bookmarkStart w:id="1874" w:name="_Toc20171891"/>
      <w:bookmarkEnd w:id="1874"/>
      <w:bookmarkStart w:id="1875" w:name="_Toc58860329"/>
      <w:r>
        <w:rPr>
          <w:rFonts w:hint="eastAsia" w:ascii="宋体" w:hAnsi="宋体" w:cs="Times"/>
          <w:color w:val="auto"/>
          <w:kern w:val="0"/>
          <w:szCs w:val="21"/>
          <w:highlight w:val="none"/>
          <w:lang w:bidi="ar"/>
        </w:rPr>
        <w:t>第18条 保险</w:t>
      </w:r>
      <w:bookmarkEnd w:id="1875"/>
    </w:p>
    <w:p w14:paraId="6020188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18.1 设计和工程保险</w:t>
      </w:r>
    </w:p>
    <w:p w14:paraId="40B476E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w:t>
      </w:r>
      <w:r>
        <w:rPr>
          <w:rFonts w:ascii="宋体" w:hAnsi="宋体" w:cs="宋体"/>
          <w:color w:val="auto"/>
          <w:kern w:val="0"/>
          <w:szCs w:val="21"/>
          <w:highlight w:val="none"/>
          <w:lang w:bidi="ar"/>
        </w:rPr>
        <w:t xml:space="preserve">8.1.1 </w:t>
      </w:r>
      <w:r>
        <w:rPr>
          <w:rFonts w:hint="eastAsia" w:ascii="宋体" w:hAnsi="宋体" w:cs="宋体"/>
          <w:color w:val="auto"/>
          <w:kern w:val="0"/>
          <w:szCs w:val="21"/>
          <w:highlight w:val="none"/>
          <w:lang w:bidi="ar"/>
        </w:rPr>
        <w:t>双方当事人关于设计和工程保险的特别约定：承包人应投保建设工程设计责任险，</w:t>
      </w:r>
      <w:r>
        <w:rPr>
          <w:rFonts w:hint="eastAsia" w:ascii="宋体" w:hAnsi="宋体" w:cs="宋体"/>
          <w:color w:val="auto"/>
          <w:kern w:val="0"/>
          <w:szCs w:val="21"/>
          <w:highlight w:val="none"/>
          <w:u w:val="single"/>
          <w:lang w:bidi="ar"/>
        </w:rPr>
        <w:t>发包人应投保建筑工程一切险或安装工程一切险；发包人委托承包人投保的，因投保产生的保险费和其他相关费用由发包人承担</w:t>
      </w:r>
      <w:r>
        <w:rPr>
          <w:rFonts w:hint="eastAsia" w:ascii="宋体" w:hAnsi="宋体" w:cs="宋体"/>
          <w:color w:val="auto"/>
          <w:kern w:val="0"/>
          <w:szCs w:val="21"/>
          <w:highlight w:val="none"/>
          <w:lang w:bidi="ar"/>
        </w:rPr>
        <w:t>。</w:t>
      </w:r>
    </w:p>
    <w:p w14:paraId="397F2D7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w:t>
      </w:r>
      <w:r>
        <w:rPr>
          <w:rFonts w:ascii="宋体" w:hAnsi="宋体" w:cs="宋体"/>
          <w:color w:val="auto"/>
          <w:kern w:val="0"/>
          <w:szCs w:val="21"/>
          <w:highlight w:val="none"/>
          <w:lang w:bidi="ar"/>
        </w:rPr>
        <w:t xml:space="preserve">8.1.2 </w:t>
      </w:r>
      <w:r>
        <w:rPr>
          <w:rFonts w:hint="eastAsia" w:ascii="宋体" w:hAnsi="宋体" w:cs="宋体"/>
          <w:color w:val="auto"/>
          <w:kern w:val="0"/>
          <w:szCs w:val="21"/>
          <w:highlight w:val="none"/>
          <w:lang w:bidi="ar"/>
        </w:rPr>
        <w:t>双方当事人关于第三方责任险的特别约定：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6B0D6B5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18.2 工伤和意外伤害保险 </w:t>
      </w:r>
    </w:p>
    <w:p w14:paraId="6D36A70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w:t>
      </w:r>
      <w:r>
        <w:rPr>
          <w:rFonts w:ascii="宋体" w:hAnsi="宋体" w:cs="宋体"/>
          <w:color w:val="auto"/>
          <w:kern w:val="0"/>
          <w:szCs w:val="21"/>
          <w:highlight w:val="none"/>
          <w:lang w:bidi="ar"/>
        </w:rPr>
        <w:t xml:space="preserve">8.2.3 </w:t>
      </w:r>
      <w:r>
        <w:rPr>
          <w:rFonts w:hint="eastAsia" w:ascii="宋体" w:hAnsi="宋体" w:cs="宋体"/>
          <w:color w:val="auto"/>
          <w:kern w:val="0"/>
          <w:szCs w:val="21"/>
          <w:highlight w:val="none"/>
          <w:lang w:bidi="ar"/>
        </w:rPr>
        <w:t>关于工伤保险和意外伤害保险的特别约定：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4CAB04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18.3 货物保险</w:t>
      </w:r>
    </w:p>
    <w:p w14:paraId="62164CD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关于承包人应为其施工设备、材料、工程设备和临时工程等办理财产保险的特别约定：</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F6173A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18.4 其他保险</w:t>
      </w:r>
    </w:p>
    <w:p w14:paraId="05BEC25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关于其他保险的约定：</w:t>
      </w:r>
      <w:r>
        <w:rPr>
          <w:rFonts w:hint="eastAsia" w:ascii="宋体" w:hAnsi="宋体" w:cs="宋体"/>
          <w:color w:val="auto"/>
          <w:kern w:val="0"/>
          <w:szCs w:val="21"/>
          <w:highlight w:val="none"/>
          <w:u w:val="single"/>
          <w:lang w:bidi="ar"/>
        </w:rPr>
        <w:t>承包人应按《重庆市人民政府办公厅关于在高危行业领域强制推行安全生产责任保险的实施意见》（渝府办法〔2017〕182号）的要求办理安全生产责任保险</w:t>
      </w:r>
      <w:r>
        <w:rPr>
          <w:rFonts w:hint="eastAsia" w:ascii="宋体" w:hAnsi="宋体" w:cs="宋体"/>
          <w:color w:val="auto"/>
          <w:kern w:val="0"/>
          <w:szCs w:val="21"/>
          <w:highlight w:val="none"/>
          <w:lang w:bidi="ar"/>
        </w:rPr>
        <w:t>。</w:t>
      </w:r>
    </w:p>
    <w:p w14:paraId="5864D1E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18.5对各项保险的一般要求</w:t>
      </w:r>
    </w:p>
    <w:p w14:paraId="7520335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18.5.2 保险凭证</w:t>
      </w:r>
    </w:p>
    <w:p w14:paraId="7D06134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u w:val="single"/>
          <w:lang w:bidi="ar"/>
        </w:rPr>
        <w:t>开始工作前，承包人向发包人提交其已投保的各项保险的凭证和保险单复印件。</w:t>
      </w:r>
    </w:p>
    <w:p w14:paraId="342E2AE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保险单的条件：</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5AE70F0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18.5.4通知义务</w:t>
      </w:r>
    </w:p>
    <w:p w14:paraId="5EAF60E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关于变更保险合同时的通知义务的约定：</w:t>
      </w:r>
      <w:r>
        <w:rPr>
          <w:rFonts w:hint="eastAsia" w:ascii="宋体" w:hAnsi="宋体" w:cs="宋体"/>
          <w:color w:val="auto"/>
          <w:kern w:val="0"/>
          <w:szCs w:val="21"/>
          <w:highlight w:val="none"/>
          <w:u w:val="single"/>
          <w:lang w:bidi="ar"/>
        </w:rPr>
        <w:t>按通用合同条件执行</w:t>
      </w:r>
      <w:r>
        <w:rPr>
          <w:rFonts w:hint="eastAsia" w:ascii="宋体" w:hAnsi="宋体" w:cs="宋体"/>
          <w:color w:val="auto"/>
          <w:kern w:val="0"/>
          <w:szCs w:val="21"/>
          <w:highlight w:val="none"/>
          <w:lang w:bidi="ar"/>
        </w:rPr>
        <w:t>。</w:t>
      </w:r>
    </w:p>
    <w:p w14:paraId="539AE149">
      <w:pPr>
        <w:widowControl/>
        <w:adjustRightInd w:val="0"/>
        <w:snapToGrid w:val="0"/>
        <w:spacing w:after="163" w:afterLines="50" w:line="360" w:lineRule="auto"/>
        <w:outlineLvl w:val="1"/>
        <w:rPr>
          <w:rFonts w:ascii="宋体" w:hAnsi="宋体" w:cs="Times"/>
          <w:color w:val="auto"/>
          <w:kern w:val="0"/>
          <w:highlight w:val="none"/>
        </w:rPr>
      </w:pPr>
      <w:bookmarkStart w:id="1876" w:name="_Toc58860330"/>
      <w:r>
        <w:rPr>
          <w:rFonts w:hint="eastAsia" w:ascii="宋体" w:hAnsi="宋体" w:cs="Times"/>
          <w:color w:val="auto"/>
          <w:kern w:val="0"/>
          <w:szCs w:val="21"/>
          <w:highlight w:val="none"/>
          <w:lang w:bidi="ar"/>
        </w:rPr>
        <w:t>第19条 索赔</w:t>
      </w:r>
      <w:bookmarkEnd w:id="1876"/>
    </w:p>
    <w:p w14:paraId="3B82EC2D">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877" w:name="_Toc532375675"/>
      <w:bookmarkEnd w:id="1877"/>
      <w:bookmarkStart w:id="1878" w:name="_Toc532375676"/>
      <w:bookmarkEnd w:id="1878"/>
      <w:bookmarkStart w:id="1879" w:name="_Toc532377415"/>
      <w:r>
        <w:rPr>
          <w:rFonts w:hint="eastAsia" w:ascii="宋体" w:hAnsi="宋体" w:cs="宋体"/>
          <w:color w:val="auto"/>
          <w:kern w:val="0"/>
          <w:szCs w:val="21"/>
          <w:highlight w:val="none"/>
          <w:lang w:bidi="ar"/>
        </w:rPr>
        <w:t>19.2</w:t>
      </w:r>
      <w:bookmarkEnd w:id="1879"/>
      <w:r>
        <w:rPr>
          <w:rFonts w:hint="eastAsia" w:ascii="宋体" w:hAnsi="宋体" w:cs="宋体"/>
          <w:color w:val="auto"/>
          <w:kern w:val="0"/>
          <w:szCs w:val="21"/>
          <w:highlight w:val="none"/>
          <w:lang w:bidi="ar"/>
        </w:rPr>
        <w:t xml:space="preserve"> 承包人索赔的处理程序</w:t>
      </w:r>
    </w:p>
    <w:p w14:paraId="3C83873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（1）监理人应在收到索赔报告后14天内完成审查并报送发包人。监理人对索赔报告存在异议的，有权要求承包人提交全部原始记录副本；</w:t>
      </w:r>
    </w:p>
    <w:p w14:paraId="0A5FC80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发包人应在监理人收到索赔报告或有关索赔的进一步证明材料后的28天内，由监理人向承包人出具经发包人签认的索赔处理结果。发包人逾期未答复的，承包人应以书面形式催告发包人，经承包人三次（每次间隔不少于3天）书面催告后，发包人仍未按期限答复的，则视为认可承包人的索赔要求；</w:t>
      </w:r>
    </w:p>
    <w:p w14:paraId="32ED8DF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（3）承包人接受索赔处理结果的，索赔款项在当期进度款中进行支付；承包人不接受索赔处理结果的，按照第20条[争议解决]约定处理；</w:t>
      </w:r>
    </w:p>
    <w:p w14:paraId="6FCE572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（4）工期延误的关键线路按照经监理人、发包人审批同意的施工组织设计计算。</w:t>
      </w:r>
    </w:p>
    <w:p w14:paraId="295FFE7D">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880" w:name="_Toc532377416"/>
      <w:bookmarkEnd w:id="1880"/>
      <w:bookmarkStart w:id="1881" w:name="_Toc532377417"/>
      <w:bookmarkEnd w:id="1881"/>
      <w:bookmarkStart w:id="1882" w:name="_Toc532375678"/>
      <w:r>
        <w:rPr>
          <w:rFonts w:hint="eastAsia" w:ascii="宋体" w:hAnsi="宋体" w:cs="宋体"/>
          <w:color w:val="auto"/>
          <w:kern w:val="0"/>
          <w:szCs w:val="21"/>
          <w:highlight w:val="none"/>
          <w:lang w:bidi="ar"/>
        </w:rPr>
        <w:t>19.</w:t>
      </w:r>
      <w:bookmarkEnd w:id="1882"/>
      <w:r>
        <w:rPr>
          <w:rFonts w:ascii="宋体" w:hAnsi="宋体" w:cs="宋体"/>
          <w:color w:val="auto"/>
          <w:kern w:val="0"/>
          <w:szCs w:val="21"/>
          <w:highlight w:val="none"/>
          <w:lang w:bidi="ar"/>
        </w:rPr>
        <w:t xml:space="preserve">3 </w:t>
      </w:r>
      <w:r>
        <w:rPr>
          <w:rFonts w:hint="eastAsia" w:ascii="宋体" w:hAnsi="宋体" w:cs="宋体"/>
          <w:color w:val="auto"/>
          <w:kern w:val="0"/>
          <w:szCs w:val="21"/>
          <w:highlight w:val="none"/>
          <w:lang w:bidi="ar"/>
        </w:rPr>
        <w:t>发包人索赔的处理程序</w:t>
      </w:r>
    </w:p>
    <w:p w14:paraId="31E8C10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（1）承包人收到发包人提交的索赔报告后，应及时审查索赔报告的内容、查验发包人证明材料；</w:t>
      </w:r>
    </w:p>
    <w:p w14:paraId="3855ECC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承包人应在收到索赔报告或有关索赔的进一步证明材料后28天内，将索赔处理结果答复发包人。如果承包人未在上述期限内作出答复的，监理人应以书面形式催告承包人，经监理人三次书面催告后，承包人仍未按期限答复的，则视为对发包人索赔要求的认可；</w:t>
      </w:r>
    </w:p>
    <w:p w14:paraId="150C2C9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（3）承包人接受索赔处理结果的，发包人可从应支付给承包人的合同价款中扣除赔付的金额或延长缺陷责任期；发包人不接受索赔处理结果的，按第20条[争议解决]约定处理。</w:t>
      </w:r>
    </w:p>
    <w:p w14:paraId="0FB2A97F">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883" w:name="_Toc532375679"/>
      <w:bookmarkEnd w:id="1883"/>
      <w:bookmarkStart w:id="1884" w:name="_Toc532377418"/>
      <w:r>
        <w:rPr>
          <w:rFonts w:hint="eastAsia" w:ascii="宋体" w:hAnsi="宋体" w:cs="宋体"/>
          <w:color w:val="auto"/>
          <w:kern w:val="0"/>
          <w:szCs w:val="21"/>
          <w:highlight w:val="none"/>
          <w:lang w:bidi="ar"/>
        </w:rPr>
        <w:t>19.</w:t>
      </w:r>
      <w:r>
        <w:rPr>
          <w:rFonts w:ascii="宋体" w:hAnsi="宋体" w:cs="宋体"/>
          <w:color w:val="auto"/>
          <w:kern w:val="0"/>
          <w:szCs w:val="21"/>
          <w:highlight w:val="none"/>
          <w:lang w:bidi="ar"/>
        </w:rPr>
        <w:t>4</w:t>
      </w:r>
      <w:r>
        <w:rPr>
          <w:rFonts w:hint="eastAsia" w:ascii="宋体" w:hAnsi="宋体" w:cs="宋体"/>
          <w:color w:val="auto"/>
          <w:kern w:val="0"/>
          <w:szCs w:val="21"/>
          <w:highlight w:val="none"/>
          <w:lang w:bidi="ar"/>
        </w:rPr>
        <w:t xml:space="preserve"> 提出索赔的期限</w:t>
      </w:r>
      <w:bookmarkEnd w:id="1884"/>
    </w:p>
    <w:p w14:paraId="6A2CBBA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任一索赔事件发生后28天内，承包人/发包人未向对方发出索赔意向通知书的，视为其已放弃索赔权，无权再就该索赔事项提出任何索赔。</w:t>
      </w:r>
    </w:p>
    <w:p w14:paraId="48A8133B">
      <w:pPr>
        <w:widowControl/>
        <w:adjustRightInd w:val="0"/>
        <w:snapToGrid w:val="0"/>
        <w:spacing w:after="163" w:afterLines="50" w:line="360" w:lineRule="auto"/>
        <w:outlineLvl w:val="1"/>
        <w:rPr>
          <w:rFonts w:ascii="宋体" w:hAnsi="宋体" w:cs="Times"/>
          <w:color w:val="auto"/>
          <w:kern w:val="0"/>
          <w:highlight w:val="none"/>
        </w:rPr>
      </w:pPr>
      <w:bookmarkStart w:id="1885" w:name="_Toc20171892"/>
      <w:bookmarkEnd w:id="1885"/>
      <w:bookmarkStart w:id="1886" w:name="_Toc58860331"/>
      <w:r>
        <w:rPr>
          <w:rFonts w:hint="eastAsia" w:ascii="宋体" w:hAnsi="宋体" w:cs="Times"/>
          <w:color w:val="auto"/>
          <w:kern w:val="0"/>
          <w:szCs w:val="21"/>
          <w:highlight w:val="none"/>
          <w:lang w:bidi="ar"/>
        </w:rPr>
        <w:t>第20条 争议解决</w:t>
      </w:r>
      <w:bookmarkEnd w:id="1886"/>
    </w:p>
    <w:p w14:paraId="787303B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20.3 争议评审</w:t>
      </w:r>
    </w:p>
    <w:p w14:paraId="12FE3C0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合同当事人是否同意将工程争议提交争议评审小组决定： </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B13DEB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20.4 仲裁或诉讼</w:t>
      </w:r>
    </w:p>
    <w:p w14:paraId="59EA175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因合同及合同有关事项发生的争议，按下列第</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种方式解决：</w:t>
      </w:r>
    </w:p>
    <w:p w14:paraId="1230286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（1）向</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仲裁委员会申请仲裁；</w:t>
      </w:r>
    </w:p>
    <w:p w14:paraId="4DFCFB5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（2）向</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人民法院起诉。</w:t>
      </w:r>
    </w:p>
    <w:p w14:paraId="4DAAC674">
      <w:pPr>
        <w:widowControl/>
        <w:adjustRightInd w:val="0"/>
        <w:snapToGrid w:val="0"/>
        <w:spacing w:after="163" w:afterLines="50" w:line="360" w:lineRule="auto"/>
        <w:outlineLvl w:val="1"/>
        <w:rPr>
          <w:rFonts w:ascii="宋体" w:hAnsi="宋体" w:cs="Times"/>
          <w:color w:val="auto"/>
          <w:kern w:val="0"/>
          <w:highlight w:val="none"/>
        </w:rPr>
      </w:pPr>
      <w:bookmarkStart w:id="1887" w:name="_Toc58860332"/>
      <w:r>
        <w:rPr>
          <w:rFonts w:hint="eastAsia" w:ascii="宋体" w:hAnsi="宋体" w:cs="Times"/>
          <w:color w:val="auto"/>
          <w:kern w:val="0"/>
          <w:szCs w:val="21"/>
          <w:highlight w:val="none"/>
          <w:lang w:bidi="ar"/>
        </w:rPr>
        <w:t>第21条 补充条款</w:t>
      </w:r>
      <w:bookmarkEnd w:id="1887"/>
    </w:p>
    <w:p w14:paraId="0ABA446C">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888" w:name="_Toc532377423"/>
      <w:bookmarkEnd w:id="1888"/>
      <w:bookmarkStart w:id="1889" w:name="_Toc532375684"/>
      <w:r>
        <w:rPr>
          <w:rFonts w:hint="eastAsia" w:ascii="宋体" w:hAnsi="宋体" w:cs="宋体"/>
          <w:color w:val="auto"/>
          <w:kern w:val="0"/>
          <w:szCs w:val="21"/>
          <w:highlight w:val="none"/>
          <w:lang w:bidi="ar"/>
        </w:rPr>
        <w:t>21.1 退出机制</w:t>
      </w:r>
      <w:bookmarkEnd w:id="1889"/>
    </w:p>
    <w:p w14:paraId="2DAF215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21.1.1有下列情形之一的，发包人有权解除合同，亦有权兑付履约担保，并对承包人做清退出场处理：</w:t>
      </w:r>
    </w:p>
    <w:p w14:paraId="70465DE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（1）因承包人原因造成较大及以上等级生产安全事故或工程质量事故的；</w:t>
      </w:r>
    </w:p>
    <w:p w14:paraId="4E1D1E3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（2）因承包人债权债务纠纷或其他纠纷导致工程无法正常施工的。</w:t>
      </w:r>
    </w:p>
    <w:p w14:paraId="492048C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246BA37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21.1.2有下列情形之一的，承包人有权解除合同，并按通用合同条件第16.2.3项[</w:t>
      </w:r>
      <w:r>
        <w:rPr>
          <w:rFonts w:hint="eastAsia" w:ascii="宋体" w:hAnsi="宋体" w:cs="宋体"/>
          <w:color w:val="auto"/>
          <w:szCs w:val="21"/>
          <w:highlight w:val="none"/>
          <w:lang w:bidi="ar"/>
        </w:rPr>
        <w:t>因发包人违约解除合同后的付款</w:t>
      </w:r>
      <w:r>
        <w:rPr>
          <w:rFonts w:hint="eastAsia" w:ascii="宋体" w:hAnsi="宋体" w:cs="宋体"/>
          <w:color w:val="auto"/>
          <w:kern w:val="0"/>
          <w:szCs w:val="21"/>
          <w:highlight w:val="none"/>
          <w:lang w:bidi="ar"/>
        </w:rPr>
        <w:t>]约定执行：</w:t>
      </w:r>
    </w:p>
    <w:p w14:paraId="3E256AB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（1）因发包人征地、拆迁、补偿、审批手续等原因致使本工程延期开工超过90天的。</w:t>
      </w:r>
    </w:p>
    <w:p w14:paraId="5936D07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13102084">
      <w:pPr>
        <w:widowControl/>
        <w:adjustRightInd w:val="0"/>
        <w:snapToGrid w:val="0"/>
        <w:spacing w:after="163" w:afterLines="50" w:line="360" w:lineRule="auto"/>
        <w:ind w:firstLine="420" w:firstLineChars="200"/>
        <w:rPr>
          <w:rFonts w:ascii="宋体" w:hAnsi="宋体" w:cs="宋体"/>
          <w:color w:val="auto"/>
          <w:kern w:val="0"/>
          <w:highlight w:val="none"/>
        </w:rPr>
      </w:pPr>
      <w:bookmarkStart w:id="1890" w:name="_Toc532375685"/>
      <w:bookmarkEnd w:id="1890"/>
      <w:bookmarkStart w:id="1891" w:name="_Toc532377424"/>
      <w:r>
        <w:rPr>
          <w:rFonts w:hint="eastAsia" w:ascii="宋体" w:hAnsi="宋体" w:cs="宋体"/>
          <w:color w:val="auto"/>
          <w:kern w:val="0"/>
          <w:szCs w:val="21"/>
          <w:highlight w:val="none"/>
          <w:lang w:bidi="ar"/>
        </w:rPr>
        <w:t>21.2</w:t>
      </w:r>
      <w:bookmarkEnd w:id="1891"/>
      <w:r>
        <w:rPr>
          <w:rFonts w:hint="eastAsia" w:ascii="宋体" w:hAnsi="宋体" w:cs="宋体"/>
          <w:color w:val="auto"/>
          <w:kern w:val="0"/>
          <w:szCs w:val="21"/>
          <w:highlight w:val="none"/>
          <w:lang w:bidi="ar"/>
        </w:rPr>
        <w:t xml:space="preserve"> 智慧工地</w:t>
      </w:r>
    </w:p>
    <w:p w14:paraId="53A9EAB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工地建设可参照重庆市城乡建设委员会《关于印发“智慧工地”建设工作方案的通知》（渝建〔2017〕414号）的相关要求建设。</w:t>
      </w:r>
    </w:p>
    <w:p w14:paraId="39B2925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21.3</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44163052">
      <w:pPr>
        <w:spacing w:line="360" w:lineRule="auto"/>
        <w:rPr>
          <w:rFonts w:ascii="宋体" w:hAnsi="宋体"/>
          <w:b/>
          <w:color w:val="auto"/>
          <w:kern w:val="44"/>
          <w:szCs w:val="21"/>
          <w:highlight w:val="none"/>
          <w:lang w:bidi="ar"/>
        </w:rPr>
        <w:sectPr>
          <w:pgSz w:w="11906" w:h="16838"/>
          <w:pgMar w:top="1304" w:right="1135" w:bottom="1304" w:left="1304" w:header="720" w:footer="720" w:gutter="0"/>
          <w:cols w:space="720" w:num="1"/>
          <w:docGrid w:type="lines" w:linePitch="326" w:charSpace="0"/>
        </w:sectPr>
      </w:pPr>
    </w:p>
    <w:p w14:paraId="08E4207C">
      <w:pPr>
        <w:widowControl/>
        <w:adjustRightInd w:val="0"/>
        <w:snapToGrid w:val="0"/>
        <w:spacing w:after="50" w:line="360" w:lineRule="auto"/>
        <w:jc w:val="center"/>
        <w:outlineLvl w:val="0"/>
        <w:rPr>
          <w:rFonts w:ascii="宋体" w:hAnsi="宋体" w:cs="宋体"/>
          <w:b/>
          <w:color w:val="auto"/>
          <w:kern w:val="44"/>
          <w:highlight w:val="none"/>
        </w:rPr>
      </w:pPr>
      <w:bookmarkStart w:id="1892" w:name="_Toc20171893"/>
      <w:bookmarkEnd w:id="1892"/>
      <w:bookmarkStart w:id="1893" w:name="_Toc58860333"/>
      <w:r>
        <w:rPr>
          <w:rFonts w:hint="eastAsia" w:ascii="宋体" w:hAnsi="宋体" w:cs="宋体"/>
          <w:b/>
          <w:color w:val="auto"/>
          <w:kern w:val="44"/>
          <w:szCs w:val="21"/>
          <w:highlight w:val="none"/>
          <w:lang w:bidi="ar"/>
        </w:rPr>
        <w:t>专用合同条件附件</w:t>
      </w:r>
      <w:bookmarkEnd w:id="1893"/>
    </w:p>
    <w:p w14:paraId="45C7AE87">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p>
    <w:p w14:paraId="0E13AAE2">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以下10个附件是专用合同条件的有效组成部分：</w:t>
      </w:r>
    </w:p>
    <w:p w14:paraId="3CF0B94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附件1：发包人要求</w:t>
      </w:r>
    </w:p>
    <w:p w14:paraId="45B9236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附件2：发包人供应材料设备一览表</w:t>
      </w:r>
    </w:p>
    <w:p w14:paraId="2CB1221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附件3：工程质量保修书</w:t>
      </w:r>
    </w:p>
    <w:p w14:paraId="737E8316">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附件4：主要建设工程文件目录</w:t>
      </w:r>
    </w:p>
    <w:p w14:paraId="08E9A4E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附件5：承包人主要管理人员表</w:t>
      </w:r>
    </w:p>
    <w:p w14:paraId="7E8BCFA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附件</w:t>
      </w:r>
      <w:r>
        <w:rPr>
          <w:rFonts w:ascii="宋体" w:hAnsi="宋体" w:cs="宋体"/>
          <w:color w:val="auto"/>
          <w:kern w:val="0"/>
          <w:szCs w:val="21"/>
          <w:highlight w:val="none"/>
          <w:lang w:bidi="ar"/>
        </w:rPr>
        <w:t>6</w:t>
      </w:r>
      <w:r>
        <w:rPr>
          <w:rFonts w:hint="eastAsia" w:ascii="宋体" w:hAnsi="宋体" w:cs="宋体"/>
          <w:color w:val="auto"/>
          <w:kern w:val="0"/>
          <w:szCs w:val="21"/>
          <w:highlight w:val="none"/>
          <w:lang w:bidi="ar"/>
        </w:rPr>
        <w:t>：价格指数权重表</w:t>
      </w:r>
    </w:p>
    <w:p w14:paraId="1BF319A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附件</w:t>
      </w:r>
      <w:r>
        <w:rPr>
          <w:rFonts w:ascii="宋体" w:hAnsi="宋体" w:cs="宋体"/>
          <w:color w:val="auto"/>
          <w:kern w:val="0"/>
          <w:szCs w:val="21"/>
          <w:highlight w:val="none"/>
          <w:lang w:bidi="ar"/>
        </w:rPr>
        <w:t>7</w:t>
      </w:r>
      <w:r>
        <w:rPr>
          <w:rFonts w:hint="eastAsia" w:ascii="宋体" w:hAnsi="宋体" w:cs="宋体"/>
          <w:color w:val="auto"/>
          <w:kern w:val="0"/>
          <w:szCs w:val="21"/>
          <w:highlight w:val="none"/>
          <w:lang w:bidi="ar"/>
        </w:rPr>
        <w:t>：专业工程暂估价表</w:t>
      </w:r>
    </w:p>
    <w:p w14:paraId="7BF554E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附件</w:t>
      </w:r>
      <w:r>
        <w:rPr>
          <w:rFonts w:ascii="宋体" w:hAnsi="宋体" w:cs="宋体"/>
          <w:color w:val="auto"/>
          <w:kern w:val="0"/>
          <w:szCs w:val="21"/>
          <w:highlight w:val="none"/>
          <w:lang w:bidi="ar"/>
        </w:rPr>
        <w:t>8</w:t>
      </w:r>
      <w:r>
        <w:rPr>
          <w:rFonts w:hint="eastAsia" w:ascii="宋体" w:hAnsi="宋体" w:cs="宋体"/>
          <w:color w:val="auto"/>
          <w:kern w:val="0"/>
          <w:szCs w:val="21"/>
          <w:highlight w:val="none"/>
          <w:lang w:bidi="ar"/>
        </w:rPr>
        <w:t>：廉洁从业协议</w:t>
      </w:r>
    </w:p>
    <w:p w14:paraId="0DA0FED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附件</w:t>
      </w:r>
      <w:r>
        <w:rPr>
          <w:rFonts w:ascii="宋体" w:hAnsi="宋体" w:cs="宋体"/>
          <w:color w:val="auto"/>
          <w:kern w:val="0"/>
          <w:szCs w:val="21"/>
          <w:highlight w:val="none"/>
          <w:lang w:bidi="ar"/>
        </w:rPr>
        <w:t>9</w:t>
      </w:r>
      <w:r>
        <w:rPr>
          <w:rFonts w:hint="eastAsia" w:ascii="宋体" w:hAnsi="宋体" w:cs="宋体"/>
          <w:color w:val="auto"/>
          <w:kern w:val="0"/>
          <w:szCs w:val="21"/>
          <w:highlight w:val="none"/>
          <w:lang w:bidi="ar"/>
        </w:rPr>
        <w:t>：安全管理协议</w:t>
      </w:r>
    </w:p>
    <w:p w14:paraId="0A50393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附件1</w:t>
      </w:r>
      <w:r>
        <w:rPr>
          <w:rFonts w:ascii="宋体" w:hAnsi="宋体" w:cs="宋体"/>
          <w:color w:val="auto"/>
          <w:kern w:val="0"/>
          <w:szCs w:val="21"/>
          <w:highlight w:val="none"/>
          <w:lang w:bidi="ar"/>
        </w:rPr>
        <w:t>0</w:t>
      </w:r>
      <w:r>
        <w:rPr>
          <w:rFonts w:hint="eastAsia" w:ascii="宋体" w:hAnsi="宋体" w:cs="宋体"/>
          <w:color w:val="auto"/>
          <w:kern w:val="0"/>
          <w:szCs w:val="21"/>
          <w:highlight w:val="none"/>
          <w:lang w:bidi="ar"/>
        </w:rPr>
        <w:t>：保障建筑工人工资支付协议</w:t>
      </w:r>
    </w:p>
    <w:p w14:paraId="0E07BC49">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3A33454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236911F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09E4137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06B2F752">
      <w:pPr>
        <w:widowControl/>
        <w:jc w:val="left"/>
        <w:rPr>
          <w:rFonts w:ascii="宋体" w:hAnsi="宋体" w:cs="宋体"/>
          <w:color w:val="auto"/>
          <w:kern w:val="0"/>
          <w:highlight w:val="none"/>
        </w:rPr>
      </w:pPr>
      <w:r>
        <w:rPr>
          <w:rFonts w:hint="eastAsia" w:ascii="宋体" w:hAnsi="宋体"/>
          <w:color w:val="auto"/>
          <w:szCs w:val="21"/>
          <w:highlight w:val="none"/>
          <w:lang w:bidi="ar"/>
        </w:rPr>
        <w:br w:type="page"/>
      </w:r>
    </w:p>
    <w:p w14:paraId="47A830D3">
      <w:pPr>
        <w:keepNext/>
        <w:keepLines/>
        <w:widowControl/>
        <w:wordWrap w:val="0"/>
        <w:topLinePunct/>
        <w:adjustRightInd w:val="0"/>
        <w:snapToGrid w:val="0"/>
        <w:spacing w:after="163" w:afterLines="50" w:line="360" w:lineRule="auto"/>
        <w:jc w:val="center"/>
        <w:outlineLvl w:val="1"/>
        <w:rPr>
          <w:rFonts w:ascii="宋体" w:hAnsi="宋体" w:cs="宋体"/>
          <w:b/>
          <w:color w:val="auto"/>
          <w:kern w:val="0"/>
          <w:highlight w:val="none"/>
        </w:rPr>
      </w:pPr>
      <w:bookmarkStart w:id="1894" w:name="_Hlk38571789"/>
      <w:bookmarkEnd w:id="1894"/>
      <w:bookmarkStart w:id="1895" w:name="_Toc58860334"/>
      <w:r>
        <w:rPr>
          <w:rFonts w:hint="eastAsia" w:ascii="宋体" w:hAnsi="宋体" w:cs="宋体"/>
          <w:b/>
          <w:color w:val="auto"/>
          <w:kern w:val="0"/>
          <w:szCs w:val="21"/>
          <w:highlight w:val="none"/>
          <w:lang w:bidi="ar"/>
        </w:rPr>
        <w:t>附件1  《发包人要求》</w:t>
      </w:r>
      <w:bookmarkEnd w:id="1895"/>
    </w:p>
    <w:p w14:paraId="2CC693D9">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w:t>
      </w:r>
    </w:p>
    <w:p w14:paraId="364A2519">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《发包人要求》通常包括但不限于以下内容：</w:t>
      </w:r>
    </w:p>
    <w:p w14:paraId="6F5D50EB">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一、功能要求</w:t>
      </w:r>
    </w:p>
    <w:p w14:paraId="59626BF2">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（一）工程目的。</w:t>
      </w:r>
    </w:p>
    <w:p w14:paraId="1DBD1A34">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（二）工程规模。</w:t>
      </w:r>
    </w:p>
    <w:p w14:paraId="04B7A2C0">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（三）性能保证指标（性能保证表）。</w:t>
      </w:r>
    </w:p>
    <w:p w14:paraId="25FB245F">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（四）产能保证指标。</w:t>
      </w:r>
    </w:p>
    <w:p w14:paraId="4BBFC342">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二、工程范围</w:t>
      </w:r>
    </w:p>
    <w:p w14:paraId="6EA2165C">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（一）概述</w:t>
      </w:r>
    </w:p>
    <w:p w14:paraId="492BD78F">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（二）包括的工作</w:t>
      </w:r>
    </w:p>
    <w:p w14:paraId="61AC61C9">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 永久工程的设计、采购、施工范围。</w:t>
      </w:r>
    </w:p>
    <w:p w14:paraId="31CE1938">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 临时工程的设计与施工范围。</w:t>
      </w:r>
    </w:p>
    <w:p w14:paraId="5D73EE7B">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 竣工验收工作范围。</w:t>
      </w:r>
    </w:p>
    <w:p w14:paraId="470FD425">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 技术服务工作范围。</w:t>
      </w:r>
    </w:p>
    <w:p w14:paraId="5D6C1223">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 培训工作范围。</w:t>
      </w:r>
    </w:p>
    <w:p w14:paraId="7C74DE64">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6. 保修工作范围。</w:t>
      </w:r>
    </w:p>
    <w:p w14:paraId="532E81E9">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（三）工作界区</w:t>
      </w:r>
    </w:p>
    <w:p w14:paraId="3E178817">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（四）发包人提供的现场条件</w:t>
      </w:r>
    </w:p>
    <w:p w14:paraId="1A5295CA">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 施工用电。</w:t>
      </w:r>
    </w:p>
    <w:p w14:paraId="31BC215E">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 施工用水。</w:t>
      </w:r>
    </w:p>
    <w:p w14:paraId="2E91F5A0">
      <w:pPr>
        <w:widowControl/>
        <w:wordWrap w:val="0"/>
        <w:topLinePunct/>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3. 施工排水。</w:t>
      </w:r>
    </w:p>
    <w:p w14:paraId="5057AE2A">
      <w:pPr>
        <w:widowControl/>
        <w:wordWrap w:val="0"/>
        <w:topLinePunct/>
        <w:adjustRightInd w:val="0"/>
        <w:snapToGrid w:val="0"/>
        <w:spacing w:after="163" w:afterLines="50" w:line="360" w:lineRule="auto"/>
        <w:ind w:firstLine="420" w:firstLineChars="200"/>
        <w:rPr>
          <w:color w:val="auto"/>
          <w:highlight w:val="none"/>
          <w:lang w:bidi="ar"/>
        </w:rPr>
      </w:pPr>
      <w:r>
        <w:rPr>
          <w:color w:val="auto"/>
          <w:highlight w:val="none"/>
          <w:lang w:bidi="ar"/>
        </w:rPr>
        <w:t>4</w:t>
      </w:r>
      <w:r>
        <w:rPr>
          <w:rFonts w:hint="eastAsia" w:ascii="宋体" w:hAnsi="宋体" w:cs="宋体"/>
          <w:color w:val="auto"/>
          <w:kern w:val="0"/>
          <w:szCs w:val="21"/>
          <w:highlight w:val="none"/>
          <w:lang w:bidi="ar"/>
        </w:rPr>
        <w:t>.</w:t>
      </w:r>
      <w:r>
        <w:rPr>
          <w:rFonts w:hint="eastAsia"/>
          <w:color w:val="auto"/>
          <w:highlight w:val="none"/>
          <w:lang w:bidi="ar"/>
        </w:rPr>
        <w:t xml:space="preserve"> 施工道路。</w:t>
      </w:r>
    </w:p>
    <w:p w14:paraId="032C637E">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（五）发包人提供的技术文件</w:t>
      </w:r>
    </w:p>
    <w:p w14:paraId="32236329">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除另有批准外，承包人的工作需要遵照发包人的下列技术文件:</w:t>
      </w:r>
    </w:p>
    <w:p w14:paraId="453A1508">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 发包人需求任务书。</w:t>
      </w:r>
    </w:p>
    <w:p w14:paraId="5701BA25">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 发包人已完成的设计文件。</w:t>
      </w:r>
    </w:p>
    <w:p w14:paraId="796C1A99">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三、工艺安排或要求（如有）</w:t>
      </w:r>
    </w:p>
    <w:p w14:paraId="5B1AC142">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四、时间要求</w:t>
      </w:r>
    </w:p>
    <w:p w14:paraId="783FAA12">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（一）开始工作时间。</w:t>
      </w:r>
    </w:p>
    <w:p w14:paraId="222C527F">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（二）设计完成时间。</w:t>
      </w:r>
    </w:p>
    <w:p w14:paraId="04B7950E">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（三）进度计划。</w:t>
      </w:r>
    </w:p>
    <w:p w14:paraId="2F9C359A">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（四）竣工时间。</w:t>
      </w:r>
    </w:p>
    <w:p w14:paraId="77C906C6">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（五）缺陷责任期。</w:t>
      </w:r>
    </w:p>
    <w:p w14:paraId="4752A879">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（六）其他时间要求。</w:t>
      </w:r>
    </w:p>
    <w:p w14:paraId="148882EE">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五、技术要求</w:t>
      </w:r>
    </w:p>
    <w:p w14:paraId="528698EC">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（一）设计阶段和设计任务。</w:t>
      </w:r>
    </w:p>
    <w:p w14:paraId="4EA8738E">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（二）设计标准和规范。</w:t>
      </w:r>
    </w:p>
    <w:p w14:paraId="66D694A8">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（三）技术标准和要求。</w:t>
      </w:r>
    </w:p>
    <w:p w14:paraId="0F80E3D5">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（四）质量标准。</w:t>
      </w:r>
    </w:p>
    <w:p w14:paraId="71311C92">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（五）设计、施工和设备监造、试验（如有）。</w:t>
      </w:r>
    </w:p>
    <w:p w14:paraId="32C2FF31">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（六）样品。</w:t>
      </w:r>
    </w:p>
    <w:p w14:paraId="79EB414F">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（七）发包人提供的其他条件，如发包人或其委托的第三人提供的设计、工艺包、用于试验检验的工器具等，以及据此对承包人提出的予以配套的要求。</w:t>
      </w:r>
    </w:p>
    <w:p w14:paraId="307023AD">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六、竣工试验</w:t>
      </w:r>
    </w:p>
    <w:p w14:paraId="6D90070C">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（一）第一阶段，如对单车试验等的要求，包括试验前准备。</w:t>
      </w:r>
    </w:p>
    <w:p w14:paraId="241FA400">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（二）第二阶段，如对联动试车、投料试车等的要求，包括人员、设备、材料、燃料、电力、消耗品、工具等必要条件。</w:t>
      </w:r>
    </w:p>
    <w:p w14:paraId="23DA7964">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（三）第三阶段，如对性能测试及其他竣工试验的要求，包括产能指标、产品质量标准、运营指标、环保指标等。</w:t>
      </w:r>
    </w:p>
    <w:p w14:paraId="7E47078E">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七、竣工验收</w:t>
      </w:r>
    </w:p>
    <w:p w14:paraId="00AAB23A">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八、竣工后试验（如有）</w:t>
      </w:r>
    </w:p>
    <w:p w14:paraId="4DA2B7E7">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九、文件要求</w:t>
      </w:r>
    </w:p>
    <w:p w14:paraId="198BEE74">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（一）设计文件，及其相关审批、核准、备案要求。</w:t>
      </w:r>
    </w:p>
    <w:p w14:paraId="4B9FA88F">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（二）沟通计划。</w:t>
      </w:r>
    </w:p>
    <w:p w14:paraId="15AE9FA3">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（三）风险管理计划。</w:t>
      </w:r>
    </w:p>
    <w:p w14:paraId="06DC2C25">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（四）竣工文件和工程的其他记录。</w:t>
      </w:r>
    </w:p>
    <w:p w14:paraId="24F20ED1">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（五）操作和维修手册。</w:t>
      </w:r>
    </w:p>
    <w:p w14:paraId="5A0C6CF5">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（六）其他承包人文件。</w:t>
      </w:r>
    </w:p>
    <w:p w14:paraId="2B7AA80C">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十、工程项目管理规定</w:t>
      </w:r>
    </w:p>
    <w:p w14:paraId="55C1A3A7">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（一）质量。</w:t>
      </w:r>
    </w:p>
    <w:p w14:paraId="1C06589C">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（二）进度，包括里程碑进度计划（如果有）。</w:t>
      </w:r>
    </w:p>
    <w:p w14:paraId="31A90CDE">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（三）支付。</w:t>
      </w:r>
    </w:p>
    <w:p w14:paraId="144BA817">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（四）HSE（健康、安全与环境管理体系）。</w:t>
      </w:r>
    </w:p>
    <w:p w14:paraId="7F9DEA37">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（五）沟通。</w:t>
      </w:r>
    </w:p>
    <w:p w14:paraId="12AF26F1">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（六）变更。</w:t>
      </w:r>
    </w:p>
    <w:p w14:paraId="5CD47BA5">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十一、其他要求</w:t>
      </w:r>
    </w:p>
    <w:p w14:paraId="0AB9C09A">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（一）对承包人的主要人员资格要求。</w:t>
      </w:r>
    </w:p>
    <w:p w14:paraId="21103C99">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（二）相关审批、核准和备案手续的办理。</w:t>
      </w:r>
    </w:p>
    <w:p w14:paraId="500B36FE">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（三）对项目业主人员的操作培训。</w:t>
      </w:r>
    </w:p>
    <w:p w14:paraId="03F01027">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（四）分包。</w:t>
      </w:r>
    </w:p>
    <w:p w14:paraId="4EF074E8">
      <w:pPr>
        <w:widowControl/>
        <w:wordWrap w:val="0"/>
        <w:topLinePunct/>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（五）设备供应商。</w:t>
      </w:r>
    </w:p>
    <w:p w14:paraId="3AC70E1B">
      <w:pPr>
        <w:widowControl/>
        <w:wordWrap w:val="0"/>
        <w:topLinePunct/>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（六）缺陷责任期的服务要求。</w:t>
      </w:r>
    </w:p>
    <w:p w14:paraId="3A503C70">
      <w:pPr>
        <w:pStyle w:val="2"/>
        <w:rPr>
          <w:color w:val="auto"/>
          <w:highlight w:val="none"/>
          <w:lang w:bidi="ar"/>
        </w:rPr>
      </w:pPr>
    </w:p>
    <w:p w14:paraId="468BA6A7">
      <w:pPr>
        <w:keepNext/>
        <w:keepLines/>
        <w:widowControl/>
        <w:wordWrap w:val="0"/>
        <w:topLinePunct/>
        <w:adjustRightInd w:val="0"/>
        <w:snapToGrid w:val="0"/>
        <w:spacing w:after="163" w:afterLines="50" w:line="360" w:lineRule="auto"/>
        <w:jc w:val="center"/>
        <w:outlineLvl w:val="1"/>
        <w:rPr>
          <w:rFonts w:ascii="宋体" w:hAnsi="宋体" w:cs="宋体"/>
          <w:b/>
          <w:color w:val="auto"/>
          <w:kern w:val="0"/>
          <w:highlight w:val="none"/>
        </w:rPr>
      </w:pPr>
      <w:bookmarkStart w:id="1896" w:name="_Toc58860335"/>
      <w:r>
        <w:rPr>
          <w:rFonts w:hint="eastAsia" w:ascii="宋体" w:hAnsi="宋体" w:cs="宋体"/>
          <w:b/>
          <w:color w:val="auto"/>
          <w:kern w:val="0"/>
          <w:szCs w:val="21"/>
          <w:highlight w:val="none"/>
          <w:lang w:bidi="ar"/>
        </w:rPr>
        <w:t>附件2  发包人供应材料设备一览表</w:t>
      </w:r>
      <w:bookmarkEnd w:id="1896"/>
    </w:p>
    <w:tbl>
      <w:tblPr>
        <w:tblStyle w:val="45"/>
        <w:tblW w:w="92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552"/>
        <w:gridCol w:w="1165"/>
        <w:gridCol w:w="1126"/>
        <w:gridCol w:w="567"/>
        <w:gridCol w:w="686"/>
        <w:gridCol w:w="992"/>
        <w:gridCol w:w="1135"/>
        <w:gridCol w:w="1135"/>
        <w:gridCol w:w="1135"/>
        <w:gridCol w:w="709"/>
      </w:tblGrid>
      <w:tr w14:paraId="3A0B5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52" w:type="dxa"/>
            <w:tcBorders>
              <w:top w:val="single" w:color="auto" w:sz="12" w:space="0"/>
              <w:left w:val="single" w:color="auto" w:sz="12" w:space="0"/>
              <w:bottom w:val="double" w:color="auto" w:sz="2" w:space="0"/>
              <w:right w:val="single" w:color="auto" w:sz="6" w:space="0"/>
            </w:tcBorders>
            <w:shd w:val="clear" w:color="auto" w:fill="auto"/>
            <w:vAlign w:val="center"/>
          </w:tcPr>
          <w:p w14:paraId="465F41FA">
            <w:pPr>
              <w:widowControl/>
              <w:adjustRightInd w:val="0"/>
              <w:snapToGrid w:val="0"/>
              <w:jc w:val="center"/>
              <w:rPr>
                <w:rFonts w:ascii="宋体" w:hAnsi="宋体" w:cs="宋体"/>
                <w:color w:val="auto"/>
                <w:kern w:val="0"/>
                <w:highlight w:val="none"/>
              </w:rPr>
            </w:pPr>
            <w:r>
              <w:rPr>
                <w:rFonts w:hint="eastAsia" w:ascii="宋体" w:hAnsi="宋体" w:cs="宋体"/>
                <w:color w:val="auto"/>
                <w:kern w:val="0"/>
                <w:szCs w:val="21"/>
                <w:highlight w:val="none"/>
                <w:lang w:bidi="ar"/>
              </w:rPr>
              <w:t>序号</w:t>
            </w:r>
          </w:p>
        </w:tc>
        <w:tc>
          <w:tcPr>
            <w:tcW w:w="1165" w:type="dxa"/>
            <w:tcBorders>
              <w:top w:val="single" w:color="auto" w:sz="12" w:space="0"/>
              <w:left w:val="single" w:color="auto" w:sz="6" w:space="0"/>
              <w:bottom w:val="double" w:color="auto" w:sz="2" w:space="0"/>
              <w:right w:val="single" w:color="auto" w:sz="6" w:space="0"/>
            </w:tcBorders>
            <w:shd w:val="clear" w:color="auto" w:fill="auto"/>
            <w:vAlign w:val="center"/>
          </w:tcPr>
          <w:p w14:paraId="05DF9306">
            <w:pPr>
              <w:widowControl/>
              <w:adjustRightInd w:val="0"/>
              <w:snapToGrid w:val="0"/>
              <w:jc w:val="center"/>
              <w:rPr>
                <w:rFonts w:ascii="宋体" w:hAnsi="宋体" w:cs="宋体"/>
                <w:color w:val="auto"/>
                <w:kern w:val="0"/>
                <w:highlight w:val="none"/>
              </w:rPr>
            </w:pPr>
            <w:r>
              <w:rPr>
                <w:rFonts w:hint="eastAsia" w:ascii="宋体" w:hAnsi="宋体" w:cs="宋体"/>
                <w:color w:val="auto"/>
                <w:kern w:val="0"/>
                <w:szCs w:val="21"/>
                <w:highlight w:val="none"/>
                <w:lang w:bidi="ar"/>
              </w:rPr>
              <w:t>材料、设备品种</w:t>
            </w:r>
          </w:p>
        </w:tc>
        <w:tc>
          <w:tcPr>
            <w:tcW w:w="1126" w:type="dxa"/>
            <w:tcBorders>
              <w:top w:val="single" w:color="auto" w:sz="12" w:space="0"/>
              <w:left w:val="single" w:color="auto" w:sz="6" w:space="0"/>
              <w:bottom w:val="double" w:color="auto" w:sz="2" w:space="0"/>
              <w:right w:val="single" w:color="auto" w:sz="6" w:space="0"/>
            </w:tcBorders>
            <w:shd w:val="clear" w:color="auto" w:fill="auto"/>
            <w:vAlign w:val="center"/>
          </w:tcPr>
          <w:p w14:paraId="332FD644">
            <w:pPr>
              <w:widowControl/>
              <w:adjustRightInd w:val="0"/>
              <w:snapToGrid w:val="0"/>
              <w:jc w:val="center"/>
              <w:rPr>
                <w:rFonts w:ascii="宋体" w:hAnsi="宋体" w:cs="宋体"/>
                <w:color w:val="auto"/>
                <w:kern w:val="0"/>
                <w:highlight w:val="none"/>
              </w:rPr>
            </w:pPr>
            <w:r>
              <w:rPr>
                <w:rFonts w:hint="eastAsia" w:ascii="宋体" w:hAnsi="宋体" w:cs="宋体"/>
                <w:color w:val="auto"/>
                <w:kern w:val="0"/>
                <w:szCs w:val="21"/>
                <w:highlight w:val="none"/>
                <w:lang w:bidi="ar"/>
              </w:rPr>
              <w:t>规格型号</w:t>
            </w:r>
          </w:p>
        </w:tc>
        <w:tc>
          <w:tcPr>
            <w:tcW w:w="567" w:type="dxa"/>
            <w:tcBorders>
              <w:top w:val="single" w:color="auto" w:sz="12" w:space="0"/>
              <w:left w:val="single" w:color="auto" w:sz="6" w:space="0"/>
              <w:bottom w:val="double" w:color="auto" w:sz="2" w:space="0"/>
              <w:right w:val="single" w:color="auto" w:sz="6" w:space="0"/>
            </w:tcBorders>
            <w:shd w:val="clear" w:color="auto" w:fill="auto"/>
            <w:vAlign w:val="center"/>
          </w:tcPr>
          <w:p w14:paraId="54148C1A">
            <w:pPr>
              <w:widowControl/>
              <w:adjustRightInd w:val="0"/>
              <w:snapToGrid w:val="0"/>
              <w:jc w:val="center"/>
              <w:rPr>
                <w:rFonts w:ascii="宋体" w:hAnsi="宋体" w:cs="宋体"/>
                <w:color w:val="auto"/>
                <w:kern w:val="0"/>
                <w:highlight w:val="none"/>
              </w:rPr>
            </w:pPr>
            <w:r>
              <w:rPr>
                <w:rFonts w:hint="eastAsia" w:ascii="宋体" w:hAnsi="宋体" w:cs="宋体"/>
                <w:color w:val="auto"/>
                <w:kern w:val="0"/>
                <w:szCs w:val="21"/>
                <w:highlight w:val="none"/>
                <w:lang w:bidi="ar"/>
              </w:rPr>
              <w:t>单位</w:t>
            </w:r>
          </w:p>
        </w:tc>
        <w:tc>
          <w:tcPr>
            <w:tcW w:w="686" w:type="dxa"/>
            <w:tcBorders>
              <w:top w:val="single" w:color="auto" w:sz="12" w:space="0"/>
              <w:left w:val="single" w:color="auto" w:sz="6" w:space="0"/>
              <w:bottom w:val="double" w:color="auto" w:sz="2" w:space="0"/>
              <w:right w:val="single" w:color="auto" w:sz="6" w:space="0"/>
            </w:tcBorders>
            <w:shd w:val="clear" w:color="auto" w:fill="auto"/>
            <w:vAlign w:val="center"/>
          </w:tcPr>
          <w:p w14:paraId="3EF51028">
            <w:pPr>
              <w:widowControl/>
              <w:adjustRightInd w:val="0"/>
              <w:snapToGrid w:val="0"/>
              <w:jc w:val="center"/>
              <w:rPr>
                <w:rFonts w:ascii="宋体" w:hAnsi="宋体" w:cs="宋体"/>
                <w:color w:val="auto"/>
                <w:kern w:val="0"/>
                <w:highlight w:val="none"/>
              </w:rPr>
            </w:pPr>
            <w:r>
              <w:rPr>
                <w:rFonts w:hint="eastAsia" w:ascii="宋体" w:hAnsi="宋体" w:cs="宋体"/>
                <w:color w:val="auto"/>
                <w:kern w:val="0"/>
                <w:szCs w:val="21"/>
                <w:highlight w:val="none"/>
                <w:lang w:bidi="ar"/>
              </w:rPr>
              <w:t>数量</w:t>
            </w:r>
          </w:p>
        </w:tc>
        <w:tc>
          <w:tcPr>
            <w:tcW w:w="992" w:type="dxa"/>
            <w:tcBorders>
              <w:top w:val="single" w:color="auto" w:sz="12" w:space="0"/>
              <w:left w:val="single" w:color="auto" w:sz="6" w:space="0"/>
              <w:bottom w:val="double" w:color="auto" w:sz="2" w:space="0"/>
              <w:right w:val="single" w:color="auto" w:sz="6" w:space="0"/>
            </w:tcBorders>
            <w:shd w:val="clear" w:color="auto" w:fill="auto"/>
            <w:vAlign w:val="center"/>
          </w:tcPr>
          <w:p w14:paraId="15139010">
            <w:pPr>
              <w:widowControl/>
              <w:adjustRightInd w:val="0"/>
              <w:snapToGrid w:val="0"/>
              <w:jc w:val="center"/>
              <w:rPr>
                <w:rFonts w:ascii="宋体" w:hAnsi="宋体" w:cs="宋体"/>
                <w:color w:val="auto"/>
                <w:kern w:val="0"/>
                <w:highlight w:val="none"/>
              </w:rPr>
            </w:pPr>
            <w:r>
              <w:rPr>
                <w:rFonts w:hint="eastAsia" w:ascii="宋体" w:hAnsi="宋体" w:cs="宋体"/>
                <w:color w:val="auto"/>
                <w:kern w:val="0"/>
                <w:szCs w:val="21"/>
                <w:highlight w:val="none"/>
                <w:lang w:bidi="ar"/>
              </w:rPr>
              <w:t>单价（元）</w:t>
            </w:r>
          </w:p>
        </w:tc>
        <w:tc>
          <w:tcPr>
            <w:tcW w:w="1135" w:type="dxa"/>
            <w:tcBorders>
              <w:top w:val="single" w:color="auto" w:sz="12" w:space="0"/>
              <w:left w:val="single" w:color="auto" w:sz="6" w:space="0"/>
              <w:bottom w:val="double" w:color="auto" w:sz="2" w:space="0"/>
              <w:right w:val="single" w:color="auto" w:sz="6" w:space="0"/>
            </w:tcBorders>
            <w:shd w:val="clear" w:color="auto" w:fill="auto"/>
            <w:vAlign w:val="center"/>
          </w:tcPr>
          <w:p w14:paraId="01707CB8">
            <w:pPr>
              <w:widowControl/>
              <w:adjustRightInd w:val="0"/>
              <w:snapToGrid w:val="0"/>
              <w:jc w:val="center"/>
              <w:rPr>
                <w:rFonts w:ascii="宋体" w:hAnsi="宋体" w:cs="宋体"/>
                <w:color w:val="auto"/>
                <w:kern w:val="0"/>
                <w:highlight w:val="none"/>
              </w:rPr>
            </w:pPr>
            <w:r>
              <w:rPr>
                <w:rFonts w:hint="eastAsia" w:ascii="宋体" w:hAnsi="宋体" w:cs="宋体"/>
                <w:color w:val="auto"/>
                <w:kern w:val="0"/>
                <w:szCs w:val="21"/>
                <w:highlight w:val="none"/>
                <w:lang w:bidi="ar"/>
              </w:rPr>
              <w:t>质量等级</w:t>
            </w:r>
          </w:p>
        </w:tc>
        <w:tc>
          <w:tcPr>
            <w:tcW w:w="1135" w:type="dxa"/>
            <w:tcBorders>
              <w:top w:val="single" w:color="auto" w:sz="12" w:space="0"/>
              <w:left w:val="single" w:color="auto" w:sz="6" w:space="0"/>
              <w:bottom w:val="double" w:color="auto" w:sz="2" w:space="0"/>
              <w:right w:val="single" w:color="auto" w:sz="6" w:space="0"/>
            </w:tcBorders>
            <w:shd w:val="clear" w:color="auto" w:fill="auto"/>
            <w:vAlign w:val="center"/>
          </w:tcPr>
          <w:p w14:paraId="66382EF9">
            <w:pPr>
              <w:widowControl/>
              <w:adjustRightInd w:val="0"/>
              <w:snapToGrid w:val="0"/>
              <w:jc w:val="center"/>
              <w:rPr>
                <w:rFonts w:ascii="宋体" w:hAnsi="宋体" w:cs="宋体"/>
                <w:color w:val="auto"/>
                <w:kern w:val="0"/>
                <w:highlight w:val="none"/>
              </w:rPr>
            </w:pPr>
            <w:r>
              <w:rPr>
                <w:rFonts w:hint="eastAsia" w:ascii="宋体" w:hAnsi="宋体" w:cs="宋体"/>
                <w:color w:val="auto"/>
                <w:kern w:val="0"/>
                <w:szCs w:val="21"/>
                <w:highlight w:val="none"/>
                <w:lang w:bidi="ar"/>
              </w:rPr>
              <w:t>供应时间</w:t>
            </w:r>
          </w:p>
        </w:tc>
        <w:tc>
          <w:tcPr>
            <w:tcW w:w="1135" w:type="dxa"/>
            <w:tcBorders>
              <w:top w:val="single" w:color="auto" w:sz="12" w:space="0"/>
              <w:left w:val="single" w:color="auto" w:sz="6" w:space="0"/>
              <w:bottom w:val="double" w:color="auto" w:sz="2" w:space="0"/>
              <w:right w:val="single" w:color="auto" w:sz="6" w:space="0"/>
            </w:tcBorders>
            <w:shd w:val="clear" w:color="auto" w:fill="auto"/>
            <w:vAlign w:val="center"/>
          </w:tcPr>
          <w:p w14:paraId="2C3F041E">
            <w:pPr>
              <w:widowControl/>
              <w:adjustRightInd w:val="0"/>
              <w:snapToGrid w:val="0"/>
              <w:jc w:val="center"/>
              <w:rPr>
                <w:rFonts w:ascii="宋体" w:hAnsi="宋体" w:cs="宋体"/>
                <w:color w:val="auto"/>
                <w:kern w:val="0"/>
                <w:highlight w:val="none"/>
              </w:rPr>
            </w:pPr>
            <w:r>
              <w:rPr>
                <w:rFonts w:hint="eastAsia" w:ascii="宋体" w:hAnsi="宋体" w:cs="宋体"/>
                <w:color w:val="auto"/>
                <w:kern w:val="0"/>
                <w:szCs w:val="21"/>
                <w:highlight w:val="none"/>
                <w:lang w:bidi="ar"/>
              </w:rPr>
              <w:t>送达地点</w:t>
            </w:r>
          </w:p>
        </w:tc>
        <w:tc>
          <w:tcPr>
            <w:tcW w:w="709" w:type="dxa"/>
            <w:tcBorders>
              <w:top w:val="single" w:color="auto" w:sz="12" w:space="0"/>
              <w:left w:val="single" w:color="auto" w:sz="6" w:space="0"/>
              <w:bottom w:val="double" w:color="auto" w:sz="2" w:space="0"/>
              <w:right w:val="single" w:color="auto" w:sz="12" w:space="0"/>
            </w:tcBorders>
            <w:shd w:val="clear" w:color="auto" w:fill="auto"/>
            <w:vAlign w:val="center"/>
          </w:tcPr>
          <w:p w14:paraId="692E9814">
            <w:pPr>
              <w:widowControl/>
              <w:adjustRightInd w:val="0"/>
              <w:snapToGrid w:val="0"/>
              <w:jc w:val="center"/>
              <w:rPr>
                <w:rFonts w:ascii="宋体" w:hAnsi="宋体" w:cs="宋体"/>
                <w:color w:val="auto"/>
                <w:kern w:val="0"/>
                <w:highlight w:val="none"/>
              </w:rPr>
            </w:pPr>
            <w:r>
              <w:rPr>
                <w:rFonts w:hint="eastAsia" w:ascii="宋体" w:hAnsi="宋体" w:cs="宋体"/>
                <w:color w:val="auto"/>
                <w:kern w:val="0"/>
                <w:szCs w:val="21"/>
                <w:highlight w:val="none"/>
                <w:lang w:bidi="ar"/>
              </w:rPr>
              <w:t>备注</w:t>
            </w:r>
          </w:p>
        </w:tc>
      </w:tr>
      <w:tr w14:paraId="2284C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double" w:color="auto" w:sz="2" w:space="0"/>
              <w:left w:val="single" w:color="auto" w:sz="12" w:space="0"/>
              <w:bottom w:val="single" w:color="auto" w:sz="6" w:space="0"/>
              <w:right w:val="single" w:color="auto" w:sz="6" w:space="0"/>
            </w:tcBorders>
            <w:shd w:val="clear" w:color="auto" w:fill="auto"/>
            <w:vAlign w:val="center"/>
          </w:tcPr>
          <w:p w14:paraId="512E27E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double" w:color="auto" w:sz="2" w:space="0"/>
              <w:left w:val="single" w:color="auto" w:sz="6" w:space="0"/>
              <w:bottom w:val="single" w:color="auto" w:sz="6" w:space="0"/>
              <w:right w:val="single" w:color="auto" w:sz="6" w:space="0"/>
            </w:tcBorders>
            <w:shd w:val="clear" w:color="auto" w:fill="auto"/>
            <w:vAlign w:val="center"/>
          </w:tcPr>
          <w:p w14:paraId="02DD7AC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double" w:color="auto" w:sz="2" w:space="0"/>
              <w:left w:val="single" w:color="auto" w:sz="6" w:space="0"/>
              <w:bottom w:val="single" w:color="auto" w:sz="6" w:space="0"/>
              <w:right w:val="single" w:color="auto" w:sz="6" w:space="0"/>
            </w:tcBorders>
            <w:shd w:val="clear" w:color="auto" w:fill="auto"/>
            <w:vAlign w:val="center"/>
          </w:tcPr>
          <w:p w14:paraId="5393F26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double" w:color="auto" w:sz="2" w:space="0"/>
              <w:left w:val="single" w:color="auto" w:sz="6" w:space="0"/>
              <w:bottom w:val="single" w:color="auto" w:sz="6" w:space="0"/>
              <w:right w:val="single" w:color="auto" w:sz="6" w:space="0"/>
            </w:tcBorders>
            <w:shd w:val="clear" w:color="auto" w:fill="auto"/>
            <w:vAlign w:val="center"/>
          </w:tcPr>
          <w:p w14:paraId="1B44A8A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double" w:color="auto" w:sz="2" w:space="0"/>
              <w:left w:val="single" w:color="auto" w:sz="6" w:space="0"/>
              <w:bottom w:val="single" w:color="auto" w:sz="6" w:space="0"/>
              <w:right w:val="single" w:color="auto" w:sz="6" w:space="0"/>
            </w:tcBorders>
            <w:shd w:val="clear" w:color="auto" w:fill="auto"/>
            <w:vAlign w:val="center"/>
          </w:tcPr>
          <w:p w14:paraId="5203984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double" w:color="auto" w:sz="2" w:space="0"/>
              <w:left w:val="single" w:color="auto" w:sz="6" w:space="0"/>
              <w:bottom w:val="single" w:color="auto" w:sz="6" w:space="0"/>
              <w:right w:val="single" w:color="auto" w:sz="6" w:space="0"/>
            </w:tcBorders>
            <w:shd w:val="clear" w:color="auto" w:fill="auto"/>
          </w:tcPr>
          <w:p w14:paraId="4CCDE41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double" w:color="auto" w:sz="2" w:space="0"/>
              <w:left w:val="single" w:color="auto" w:sz="6" w:space="0"/>
              <w:bottom w:val="single" w:color="auto" w:sz="6" w:space="0"/>
              <w:right w:val="single" w:color="auto" w:sz="6" w:space="0"/>
            </w:tcBorders>
            <w:shd w:val="clear" w:color="auto" w:fill="auto"/>
            <w:vAlign w:val="center"/>
          </w:tcPr>
          <w:p w14:paraId="0ED1BCA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double" w:color="auto" w:sz="2" w:space="0"/>
              <w:left w:val="single" w:color="auto" w:sz="6" w:space="0"/>
              <w:bottom w:val="single" w:color="auto" w:sz="6" w:space="0"/>
              <w:right w:val="single" w:color="auto" w:sz="6" w:space="0"/>
            </w:tcBorders>
            <w:shd w:val="clear" w:color="auto" w:fill="auto"/>
            <w:vAlign w:val="center"/>
          </w:tcPr>
          <w:p w14:paraId="1C73994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double" w:color="auto" w:sz="2" w:space="0"/>
              <w:left w:val="single" w:color="auto" w:sz="6" w:space="0"/>
              <w:bottom w:val="single" w:color="auto" w:sz="6" w:space="0"/>
              <w:right w:val="single" w:color="auto" w:sz="6" w:space="0"/>
            </w:tcBorders>
            <w:shd w:val="clear" w:color="auto" w:fill="auto"/>
            <w:vAlign w:val="center"/>
          </w:tcPr>
          <w:p w14:paraId="1C8645F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double" w:color="auto" w:sz="2" w:space="0"/>
              <w:left w:val="single" w:color="auto" w:sz="6" w:space="0"/>
              <w:bottom w:val="single" w:color="auto" w:sz="6" w:space="0"/>
              <w:right w:val="single" w:color="auto" w:sz="12" w:space="0"/>
            </w:tcBorders>
            <w:shd w:val="clear" w:color="auto" w:fill="auto"/>
            <w:vAlign w:val="center"/>
          </w:tcPr>
          <w:p w14:paraId="3604F268">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7C37D9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nil"/>
              <w:left w:val="single" w:color="auto" w:sz="12" w:space="0"/>
              <w:bottom w:val="single" w:color="auto" w:sz="6" w:space="0"/>
              <w:right w:val="single" w:color="auto" w:sz="6" w:space="0"/>
            </w:tcBorders>
            <w:shd w:val="clear" w:color="auto" w:fill="auto"/>
            <w:vAlign w:val="center"/>
          </w:tcPr>
          <w:p w14:paraId="20658B1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nil"/>
              <w:left w:val="single" w:color="auto" w:sz="6" w:space="0"/>
              <w:bottom w:val="single" w:color="auto" w:sz="6" w:space="0"/>
              <w:right w:val="single" w:color="auto" w:sz="6" w:space="0"/>
            </w:tcBorders>
            <w:shd w:val="clear" w:color="auto" w:fill="auto"/>
            <w:vAlign w:val="center"/>
          </w:tcPr>
          <w:p w14:paraId="51E4B1B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nil"/>
              <w:left w:val="single" w:color="auto" w:sz="6" w:space="0"/>
              <w:bottom w:val="single" w:color="auto" w:sz="6" w:space="0"/>
              <w:right w:val="single" w:color="auto" w:sz="6" w:space="0"/>
            </w:tcBorders>
            <w:shd w:val="clear" w:color="auto" w:fill="auto"/>
            <w:vAlign w:val="center"/>
          </w:tcPr>
          <w:p w14:paraId="7403DE4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nil"/>
              <w:left w:val="single" w:color="auto" w:sz="6" w:space="0"/>
              <w:bottom w:val="single" w:color="auto" w:sz="6" w:space="0"/>
              <w:right w:val="single" w:color="auto" w:sz="6" w:space="0"/>
            </w:tcBorders>
            <w:shd w:val="clear" w:color="auto" w:fill="auto"/>
            <w:vAlign w:val="center"/>
          </w:tcPr>
          <w:p w14:paraId="573DB8C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nil"/>
              <w:left w:val="single" w:color="auto" w:sz="6" w:space="0"/>
              <w:bottom w:val="single" w:color="auto" w:sz="6" w:space="0"/>
              <w:right w:val="single" w:color="auto" w:sz="6" w:space="0"/>
            </w:tcBorders>
            <w:shd w:val="clear" w:color="auto" w:fill="auto"/>
            <w:vAlign w:val="center"/>
          </w:tcPr>
          <w:p w14:paraId="407F15D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nil"/>
              <w:left w:val="single" w:color="auto" w:sz="6" w:space="0"/>
              <w:bottom w:val="single" w:color="auto" w:sz="6" w:space="0"/>
              <w:right w:val="single" w:color="auto" w:sz="6" w:space="0"/>
            </w:tcBorders>
            <w:shd w:val="clear" w:color="auto" w:fill="auto"/>
          </w:tcPr>
          <w:p w14:paraId="45E1A7E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nil"/>
              <w:left w:val="single" w:color="auto" w:sz="6" w:space="0"/>
              <w:bottom w:val="single" w:color="auto" w:sz="6" w:space="0"/>
              <w:right w:val="single" w:color="auto" w:sz="6" w:space="0"/>
            </w:tcBorders>
            <w:shd w:val="clear" w:color="auto" w:fill="auto"/>
            <w:vAlign w:val="center"/>
          </w:tcPr>
          <w:p w14:paraId="578DD9F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nil"/>
              <w:left w:val="single" w:color="auto" w:sz="6" w:space="0"/>
              <w:bottom w:val="single" w:color="auto" w:sz="6" w:space="0"/>
              <w:right w:val="single" w:color="auto" w:sz="6" w:space="0"/>
            </w:tcBorders>
            <w:shd w:val="clear" w:color="auto" w:fill="auto"/>
            <w:vAlign w:val="center"/>
          </w:tcPr>
          <w:p w14:paraId="0AD190B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nil"/>
              <w:left w:val="single" w:color="auto" w:sz="6" w:space="0"/>
              <w:bottom w:val="single" w:color="auto" w:sz="6" w:space="0"/>
              <w:right w:val="single" w:color="auto" w:sz="6" w:space="0"/>
            </w:tcBorders>
            <w:shd w:val="clear" w:color="auto" w:fill="auto"/>
            <w:vAlign w:val="center"/>
          </w:tcPr>
          <w:p w14:paraId="1A8C4E4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nil"/>
              <w:left w:val="single" w:color="auto" w:sz="6" w:space="0"/>
              <w:bottom w:val="single" w:color="auto" w:sz="6" w:space="0"/>
              <w:right w:val="single" w:color="auto" w:sz="12" w:space="0"/>
            </w:tcBorders>
            <w:shd w:val="clear" w:color="auto" w:fill="auto"/>
            <w:vAlign w:val="center"/>
          </w:tcPr>
          <w:p w14:paraId="6B6B3120">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44B19D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7611AE9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0E56125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0C1E59E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73A03E8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7ADF23F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35256AF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3EC5C2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2FF6228D">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50CA000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4E6A460C">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06E3DA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0B4A112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7707420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2FEFA12D">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76E87E7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6BFEDCE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46D89C1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1CC230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00D52D6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0527561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618E19A1">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272B01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08A1765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1B9F1CF4">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4FB82AA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7B9E5B7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6C897E2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2A5BC70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0888B90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7D08732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73C012D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5371778A">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121C33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7750A51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3B93BD7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2776BC3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3A38A934">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3281D0D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5A90085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0F2BBD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7B2883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5300A5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6E1C1DC4">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7D983B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2B0E8EB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7ED8160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37BB47A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5045551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2796B66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76FF7F6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ADD8CB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E78D5C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D850B3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2B53DE6C">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7A36BD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30F9847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45E1DE6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50E461B4">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738C3B9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76FE0A4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175CA5E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A2FF714">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BD3A34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5AD7651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0938792F">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42485A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64C2482D">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2A2612C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3CFCAF3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183C18B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3E18966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4DC46BE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5C0897D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2545867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66F3D58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47AE4FB5">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2D1D61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12AC6B9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1EC9DF7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39126CD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05ABCBD4">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423C6F9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347514DD">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2BD88C1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E61F8D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84F587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52F5BF0F">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41CA35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6FCACEA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5BA89FC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168280B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7962F52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075F928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132E48C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216144AD">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667367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051DB4A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391AD31D">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239F0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37FB291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31982FC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4C7879F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2BF5579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0BEF567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6E92D0C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543191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C0E305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2D64EE2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2D94DF50">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5BB4A3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6E03549D">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6C0C932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0E649A8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1FE5BB74">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444C92D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0465A65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6D9C5EF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8CF9CF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5694BC0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28D5DFEF">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1A3EE0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341426B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304D38B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5F17A8E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52077CD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2D62BD6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0FED581D">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6FA9960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A448B0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5691C5D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3D6D953F">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1BC8D3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24AFE73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423B1534">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02A0AD1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0A29609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4EEA449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6320F01D">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27E4FD8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D19613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3776238D">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6136867C">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79AFA4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12C69F2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27CB892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1A04DBD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3F16A91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7471668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1D7231B4">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7905C48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740AF18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6AC701C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62EFD5E6">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54C05D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6" w:space="0"/>
              <w:right w:val="single" w:color="auto" w:sz="6" w:space="0"/>
            </w:tcBorders>
            <w:shd w:val="clear" w:color="auto" w:fill="auto"/>
            <w:vAlign w:val="center"/>
          </w:tcPr>
          <w:p w14:paraId="58A989C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6" w:space="0"/>
              <w:right w:val="single" w:color="auto" w:sz="6" w:space="0"/>
            </w:tcBorders>
            <w:shd w:val="clear" w:color="auto" w:fill="auto"/>
            <w:vAlign w:val="center"/>
          </w:tcPr>
          <w:p w14:paraId="13C8055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6" w:space="0"/>
              <w:right w:val="single" w:color="auto" w:sz="6" w:space="0"/>
            </w:tcBorders>
            <w:shd w:val="clear" w:color="auto" w:fill="auto"/>
            <w:vAlign w:val="center"/>
          </w:tcPr>
          <w:p w14:paraId="1E19AAC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6" w:space="0"/>
              <w:right w:val="single" w:color="auto" w:sz="6" w:space="0"/>
            </w:tcBorders>
            <w:shd w:val="clear" w:color="auto" w:fill="auto"/>
            <w:vAlign w:val="center"/>
          </w:tcPr>
          <w:p w14:paraId="0366EA6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6" w:space="0"/>
              <w:right w:val="single" w:color="auto" w:sz="6" w:space="0"/>
            </w:tcBorders>
            <w:shd w:val="clear" w:color="auto" w:fill="auto"/>
            <w:vAlign w:val="center"/>
          </w:tcPr>
          <w:p w14:paraId="3D8C224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6" w:space="0"/>
              <w:right w:val="single" w:color="auto" w:sz="6" w:space="0"/>
            </w:tcBorders>
            <w:shd w:val="clear" w:color="auto" w:fill="auto"/>
          </w:tcPr>
          <w:p w14:paraId="081D620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99711C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1F386C6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6" w:space="0"/>
              <w:right w:val="single" w:color="auto" w:sz="6" w:space="0"/>
            </w:tcBorders>
            <w:shd w:val="clear" w:color="auto" w:fill="auto"/>
            <w:vAlign w:val="center"/>
          </w:tcPr>
          <w:p w14:paraId="403879F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6" w:space="0"/>
              <w:right w:val="single" w:color="auto" w:sz="12" w:space="0"/>
            </w:tcBorders>
            <w:shd w:val="clear" w:color="auto" w:fill="auto"/>
            <w:vAlign w:val="center"/>
          </w:tcPr>
          <w:p w14:paraId="56F4C640">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304FAF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52" w:type="dxa"/>
            <w:tcBorders>
              <w:top w:val="single" w:color="auto" w:sz="6" w:space="0"/>
              <w:left w:val="single" w:color="auto" w:sz="12" w:space="0"/>
              <w:bottom w:val="single" w:color="auto" w:sz="12" w:space="0"/>
              <w:right w:val="single" w:color="auto" w:sz="6" w:space="0"/>
            </w:tcBorders>
            <w:shd w:val="clear" w:color="auto" w:fill="auto"/>
            <w:vAlign w:val="center"/>
          </w:tcPr>
          <w:p w14:paraId="76D8BED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65" w:type="dxa"/>
            <w:tcBorders>
              <w:top w:val="single" w:color="auto" w:sz="6" w:space="0"/>
              <w:left w:val="single" w:color="auto" w:sz="6" w:space="0"/>
              <w:bottom w:val="single" w:color="auto" w:sz="12" w:space="0"/>
              <w:right w:val="single" w:color="auto" w:sz="6" w:space="0"/>
            </w:tcBorders>
            <w:shd w:val="clear" w:color="auto" w:fill="auto"/>
            <w:vAlign w:val="center"/>
          </w:tcPr>
          <w:p w14:paraId="235B955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26" w:type="dxa"/>
            <w:tcBorders>
              <w:top w:val="single" w:color="auto" w:sz="6" w:space="0"/>
              <w:left w:val="single" w:color="auto" w:sz="6" w:space="0"/>
              <w:bottom w:val="single" w:color="auto" w:sz="12" w:space="0"/>
              <w:right w:val="single" w:color="auto" w:sz="6" w:space="0"/>
            </w:tcBorders>
            <w:shd w:val="clear" w:color="auto" w:fill="auto"/>
            <w:vAlign w:val="center"/>
          </w:tcPr>
          <w:p w14:paraId="787F426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567" w:type="dxa"/>
            <w:tcBorders>
              <w:top w:val="single" w:color="auto" w:sz="6" w:space="0"/>
              <w:left w:val="single" w:color="auto" w:sz="6" w:space="0"/>
              <w:bottom w:val="single" w:color="auto" w:sz="12" w:space="0"/>
              <w:right w:val="single" w:color="auto" w:sz="6" w:space="0"/>
            </w:tcBorders>
            <w:shd w:val="clear" w:color="auto" w:fill="auto"/>
            <w:vAlign w:val="center"/>
          </w:tcPr>
          <w:p w14:paraId="2676399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686" w:type="dxa"/>
            <w:tcBorders>
              <w:top w:val="single" w:color="auto" w:sz="6" w:space="0"/>
              <w:left w:val="single" w:color="auto" w:sz="6" w:space="0"/>
              <w:bottom w:val="single" w:color="auto" w:sz="12" w:space="0"/>
              <w:right w:val="single" w:color="auto" w:sz="6" w:space="0"/>
            </w:tcBorders>
            <w:shd w:val="clear" w:color="auto" w:fill="auto"/>
            <w:vAlign w:val="center"/>
          </w:tcPr>
          <w:p w14:paraId="526347D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992" w:type="dxa"/>
            <w:tcBorders>
              <w:top w:val="single" w:color="auto" w:sz="6" w:space="0"/>
              <w:left w:val="single" w:color="auto" w:sz="6" w:space="0"/>
              <w:bottom w:val="single" w:color="auto" w:sz="12" w:space="0"/>
              <w:right w:val="single" w:color="auto" w:sz="6" w:space="0"/>
            </w:tcBorders>
            <w:shd w:val="clear" w:color="auto" w:fill="auto"/>
          </w:tcPr>
          <w:p w14:paraId="56EBF36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12" w:space="0"/>
              <w:right w:val="single" w:color="auto" w:sz="6" w:space="0"/>
            </w:tcBorders>
            <w:shd w:val="clear" w:color="auto" w:fill="auto"/>
            <w:vAlign w:val="center"/>
          </w:tcPr>
          <w:p w14:paraId="0AC0F9D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12" w:space="0"/>
              <w:right w:val="single" w:color="auto" w:sz="6" w:space="0"/>
            </w:tcBorders>
            <w:shd w:val="clear" w:color="auto" w:fill="auto"/>
            <w:vAlign w:val="center"/>
          </w:tcPr>
          <w:p w14:paraId="0FF1113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135" w:type="dxa"/>
            <w:tcBorders>
              <w:top w:val="single" w:color="auto" w:sz="6" w:space="0"/>
              <w:left w:val="single" w:color="auto" w:sz="6" w:space="0"/>
              <w:bottom w:val="single" w:color="auto" w:sz="12" w:space="0"/>
              <w:right w:val="single" w:color="auto" w:sz="6" w:space="0"/>
            </w:tcBorders>
            <w:shd w:val="clear" w:color="auto" w:fill="auto"/>
            <w:vAlign w:val="center"/>
          </w:tcPr>
          <w:p w14:paraId="02BBCDB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709" w:type="dxa"/>
            <w:tcBorders>
              <w:top w:val="single" w:color="auto" w:sz="6" w:space="0"/>
              <w:left w:val="single" w:color="auto" w:sz="6" w:space="0"/>
              <w:bottom w:val="single" w:color="auto" w:sz="12" w:space="0"/>
              <w:right w:val="single" w:color="auto" w:sz="12" w:space="0"/>
            </w:tcBorders>
            <w:shd w:val="clear" w:color="auto" w:fill="auto"/>
            <w:vAlign w:val="center"/>
          </w:tcPr>
          <w:p w14:paraId="5F758C0F">
            <w:pPr>
              <w:widowControl/>
              <w:adjustRightInd w:val="0"/>
              <w:snapToGrid w:val="0"/>
              <w:spacing w:after="163" w:afterLines="50" w:line="360" w:lineRule="auto"/>
              <w:ind w:firstLine="420" w:firstLineChars="200"/>
              <w:rPr>
                <w:rFonts w:ascii="宋体" w:hAnsi="宋体" w:cs="宋体"/>
                <w:color w:val="auto"/>
                <w:kern w:val="0"/>
                <w:highlight w:val="none"/>
              </w:rPr>
            </w:pPr>
          </w:p>
        </w:tc>
      </w:tr>
    </w:tbl>
    <w:p w14:paraId="2726717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642CDF00">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olor w:val="auto"/>
          <w:szCs w:val="21"/>
          <w:highlight w:val="none"/>
          <w:lang w:bidi="ar"/>
        </w:rPr>
        <w:br w:type="page"/>
      </w:r>
    </w:p>
    <w:p w14:paraId="686412FA">
      <w:pPr>
        <w:keepNext/>
        <w:keepLines/>
        <w:widowControl/>
        <w:wordWrap w:val="0"/>
        <w:topLinePunct/>
        <w:adjustRightInd w:val="0"/>
        <w:snapToGrid w:val="0"/>
        <w:spacing w:after="163" w:afterLines="50" w:line="360" w:lineRule="auto"/>
        <w:jc w:val="center"/>
        <w:outlineLvl w:val="1"/>
        <w:rPr>
          <w:rFonts w:ascii="宋体" w:hAnsi="宋体" w:cs="宋体"/>
          <w:b/>
          <w:color w:val="auto"/>
          <w:kern w:val="0"/>
          <w:highlight w:val="none"/>
        </w:rPr>
      </w:pPr>
      <w:bookmarkStart w:id="1897" w:name="_Toc20171895"/>
      <w:bookmarkEnd w:id="1897"/>
      <w:bookmarkStart w:id="1898" w:name="_Toc58860336"/>
      <w:r>
        <w:rPr>
          <w:rFonts w:hint="eastAsia" w:ascii="宋体" w:hAnsi="宋体" w:cs="宋体"/>
          <w:b/>
          <w:color w:val="auto"/>
          <w:kern w:val="0"/>
          <w:szCs w:val="21"/>
          <w:highlight w:val="none"/>
          <w:lang w:bidi="ar"/>
        </w:rPr>
        <w:t>附件3  工程质量保修书</w:t>
      </w:r>
      <w:bookmarkEnd w:id="1898"/>
    </w:p>
    <w:p w14:paraId="7752C92F">
      <w:pPr>
        <w:widowControl/>
        <w:adjustRightInd w:val="0"/>
        <w:snapToGrid w:val="0"/>
        <w:spacing w:after="163"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发包人（全称）：</w:t>
      </w:r>
      <w:r>
        <w:rPr>
          <w:rFonts w:hint="eastAsia" w:ascii="宋体" w:hAnsi="宋体" w:cs="宋体"/>
          <w:color w:val="auto"/>
          <w:kern w:val="0"/>
          <w:szCs w:val="21"/>
          <w:highlight w:val="none"/>
          <w:u w:val="single"/>
          <w:lang w:bidi="ar"/>
        </w:rPr>
        <w:t xml:space="preserve">                                  </w:t>
      </w:r>
    </w:p>
    <w:p w14:paraId="4D86E755">
      <w:pPr>
        <w:widowControl/>
        <w:adjustRightInd w:val="0"/>
        <w:snapToGrid w:val="0"/>
        <w:spacing w:after="163"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承包人（全称）：</w:t>
      </w:r>
      <w:r>
        <w:rPr>
          <w:rFonts w:hint="eastAsia" w:ascii="宋体" w:hAnsi="宋体" w:cs="宋体"/>
          <w:color w:val="auto"/>
          <w:kern w:val="0"/>
          <w:szCs w:val="21"/>
          <w:highlight w:val="none"/>
          <w:u w:val="single"/>
          <w:lang w:bidi="ar"/>
        </w:rPr>
        <w:t xml:space="preserve">                                  </w:t>
      </w:r>
    </w:p>
    <w:p w14:paraId="30FC963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发包人和承包人根据《中华人民共和国建筑法》和《建设工程质量管理条例》，经协商一致就</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（工程全称）订立工程质量保修书。</w:t>
      </w:r>
    </w:p>
    <w:p w14:paraId="366A4A0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一、工程质量保修范围和内容</w:t>
      </w:r>
    </w:p>
    <w:p w14:paraId="03C3917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承包人在质量保修期内，按照有关法律规定和合同约定，承担工程质量保修责任。</w:t>
      </w:r>
    </w:p>
    <w:p w14:paraId="7782BFAF">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0EDC6E3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二、质量保修期</w:t>
      </w:r>
    </w:p>
    <w:p w14:paraId="4019756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根据《建设工程质量管理条例》及有关规定，工程的质量保修期如下：</w:t>
      </w:r>
    </w:p>
    <w:p w14:paraId="53E4684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1．地基基础工程和主体结构工程为设计文件规定的工程合理使用年限；</w:t>
      </w:r>
    </w:p>
    <w:p w14:paraId="75C273D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2．屋面防水工程、有防水要求的卫生间、房间和外墙面的防渗为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年；</w:t>
      </w:r>
    </w:p>
    <w:p w14:paraId="0C7D03F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3．装修工程为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年；</w:t>
      </w:r>
    </w:p>
    <w:p w14:paraId="01CB761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4．电气管线、给排水管道、设备安装工程为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年；</w:t>
      </w:r>
    </w:p>
    <w:p w14:paraId="39A00DB8">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5．供热与供冷系统为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个采暖期、供冷期；</w:t>
      </w:r>
    </w:p>
    <w:p w14:paraId="61DF03C4">
      <w:pPr>
        <w:widowControl/>
        <w:adjustRightInd w:val="0"/>
        <w:snapToGrid w:val="0"/>
        <w:spacing w:after="163" w:afterLines="50" w:line="360" w:lineRule="auto"/>
        <w:ind w:left="420" w:leftChars="200"/>
        <w:rPr>
          <w:rFonts w:ascii="宋体" w:hAnsi="宋体" w:cs="宋体"/>
          <w:color w:val="auto"/>
          <w:kern w:val="0"/>
          <w:highlight w:val="none"/>
        </w:rPr>
      </w:pPr>
      <w:r>
        <w:rPr>
          <w:rFonts w:hint="eastAsia" w:ascii="宋体" w:hAnsi="宋体" w:cs="宋体"/>
          <w:color w:val="auto"/>
          <w:kern w:val="0"/>
          <w:szCs w:val="21"/>
          <w:highlight w:val="none"/>
          <w:lang w:bidi="ar"/>
        </w:rPr>
        <w:t>6．住宅小区内的给排水设施、道路等配套工程为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年；</w:t>
      </w:r>
    </w:p>
    <w:p w14:paraId="5DCF9B0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7．其他项目保修期限约定如下：</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7D219DA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质量保修期自工程竣工验收合格之日起计算。</w:t>
      </w:r>
    </w:p>
    <w:p w14:paraId="4EAE807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三、缺陷责任期</w:t>
      </w:r>
    </w:p>
    <w:p w14:paraId="50B15D6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工程缺陷责任期为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个月，缺陷责任期自工程通过竣工验收之日起计算。单位/区段工程先于全部工程进行验收，单位/区段工程缺陷责任期自单位/区段工程验收合格之日起算。</w:t>
      </w:r>
    </w:p>
    <w:p w14:paraId="7147049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缺陷责任期终止后，发包人应返还剩余的质量保证金。</w:t>
      </w:r>
    </w:p>
    <w:p w14:paraId="0826B82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四、质量保修责任</w:t>
      </w:r>
    </w:p>
    <w:p w14:paraId="673377E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1．属于保修范围、内容的项目，承包人应当在接到保修通知之日起7天内派人保修。承包人不在约定期限内派人保修的，发包人可以委托他人修理。</w:t>
      </w:r>
    </w:p>
    <w:p w14:paraId="2586F6D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2．发生紧急事故需抢修的，承包人在接到事故通知后，应当立即到达事故现场抢修。</w:t>
      </w:r>
    </w:p>
    <w:p w14:paraId="17F9B4FE">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3．对于涉及结构安全的质量问题，应当按照《建设工程质量管理条例》的规定，立即向当地建设行政主管部门和有关部门报告，采取安全防范措施，并由承包人承包人提出保修方案，承包人将设计业务分包的，应由原设计分包人或具有相应资质等级的设计人提出保修方案，承包人实施保修。</w:t>
      </w:r>
    </w:p>
    <w:p w14:paraId="3C1CDB5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4．质量保修完成后，由发包人组织验收。</w:t>
      </w:r>
    </w:p>
    <w:p w14:paraId="7B5B6B0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五、保修费用</w:t>
      </w:r>
    </w:p>
    <w:p w14:paraId="4D0F5E9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保修费用由造成质量缺陷的责任方承担。</w:t>
      </w:r>
    </w:p>
    <w:p w14:paraId="14D60702">
      <w:pPr>
        <w:widowControl/>
        <w:adjustRightInd w:val="0"/>
        <w:snapToGrid w:val="0"/>
        <w:spacing w:after="163" w:afterLines="50" w:line="360" w:lineRule="auto"/>
        <w:ind w:firstLine="420" w:firstLineChars="200"/>
        <w:rPr>
          <w:rFonts w:ascii="宋体" w:hAnsi="宋体" w:cs="宋体"/>
          <w:color w:val="auto"/>
          <w:kern w:val="0"/>
          <w:highlight w:val="none"/>
          <w:u w:val="single"/>
        </w:rPr>
      </w:pPr>
      <w:r>
        <w:rPr>
          <w:rFonts w:hint="eastAsia" w:ascii="宋体" w:hAnsi="宋体" w:cs="宋体"/>
          <w:color w:val="auto"/>
          <w:kern w:val="0"/>
          <w:szCs w:val="21"/>
          <w:highlight w:val="none"/>
          <w:lang w:bidi="ar"/>
        </w:rPr>
        <w:t>六、双方约定的其他工程质量保修事项：</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w:t>
      </w:r>
    </w:p>
    <w:p w14:paraId="68277FC9">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工程质量保修书由发包人、承包人在工程竣工验收前共同签署，作为工程总承包合同附件，其有效期限至保修期满。</w:t>
      </w:r>
    </w:p>
    <w:p w14:paraId="1519EBF1">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七、本文件生效</w:t>
      </w:r>
    </w:p>
    <w:p w14:paraId="688A0907">
      <w:pPr>
        <w:widowControl/>
        <w:adjustRightInd w:val="0"/>
        <w:snapToGrid w:val="0"/>
        <w:spacing w:after="163" w:afterLines="50" w:line="360" w:lineRule="auto"/>
        <w:ind w:firstLine="420" w:firstLineChars="200"/>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本工程质量保修书经发包人与承包人盖章后生效。</w:t>
      </w:r>
    </w:p>
    <w:p w14:paraId="509E9431">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4CCDD0B4">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发包人(公章)： </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承包人(公章)：</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p>
    <w:p w14:paraId="2ED5013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地  址： </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地  址：</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p>
    <w:p w14:paraId="34BC54D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法定代表人(签字)：</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法定代表人(签字)：</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p>
    <w:p w14:paraId="55454DEC">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委托代理人(签字)：</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委托代理人(签字)：</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p>
    <w:p w14:paraId="3A213237">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电  话：</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电  话：</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p>
    <w:p w14:paraId="12BD739A">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传  真：</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传  真：</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p>
    <w:p w14:paraId="206F4FBB">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开户银行：</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开户银行：</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p>
    <w:p w14:paraId="0FC8195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账  号：</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账  号：</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p>
    <w:p w14:paraId="2EFC3123">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邮政编码： </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邮政编码：</w:t>
      </w:r>
      <w:r>
        <w:rPr>
          <w:rFonts w:hint="eastAsia" w:ascii="宋体" w:hAnsi="宋体" w:cs="MingLiU_HKSCS"/>
          <w:color w:val="auto"/>
          <w:kern w:val="0"/>
          <w:szCs w:val="21"/>
          <w:highlight w:val="none"/>
          <w:lang w:bidi="ar"/>
        </w:rPr>
        <w:t></w:t>
      </w:r>
      <w:r>
        <w:rPr>
          <w:rFonts w:hint="eastAsia" w:ascii="宋体" w:hAnsi="宋体" w:cs="宋体"/>
          <w:color w:val="auto"/>
          <w:kern w:val="0"/>
          <w:szCs w:val="21"/>
          <w:highlight w:val="none"/>
          <w:lang w:bidi="ar"/>
        </w:rPr>
        <w:t xml:space="preserve">   </w:t>
      </w:r>
    </w:p>
    <w:p w14:paraId="2024B972">
      <w:pPr>
        <w:widowControl/>
        <w:jc w:val="left"/>
        <w:rPr>
          <w:rFonts w:ascii="宋体" w:hAnsi="宋体" w:cs="宋体"/>
          <w:color w:val="auto"/>
          <w:kern w:val="0"/>
          <w:highlight w:val="none"/>
        </w:rPr>
      </w:pPr>
      <w:r>
        <w:rPr>
          <w:rFonts w:hint="eastAsia" w:ascii="宋体" w:hAnsi="宋体" w:cs="宋体"/>
          <w:color w:val="auto"/>
          <w:kern w:val="0"/>
          <w:highlight w:val="none"/>
        </w:rPr>
        <w:br w:type="page"/>
      </w:r>
    </w:p>
    <w:p w14:paraId="398B343A">
      <w:pPr>
        <w:widowControl/>
        <w:jc w:val="left"/>
        <w:rPr>
          <w:rFonts w:ascii="宋体" w:hAnsi="宋体" w:cs="宋体"/>
          <w:color w:val="auto"/>
          <w:kern w:val="0"/>
          <w:highlight w:val="none"/>
        </w:rPr>
      </w:pPr>
    </w:p>
    <w:p w14:paraId="6635C22D">
      <w:pPr>
        <w:keepNext/>
        <w:keepLines/>
        <w:widowControl/>
        <w:wordWrap w:val="0"/>
        <w:topLinePunct/>
        <w:adjustRightInd w:val="0"/>
        <w:snapToGrid w:val="0"/>
        <w:spacing w:after="163" w:afterLines="50" w:line="360" w:lineRule="auto"/>
        <w:jc w:val="center"/>
        <w:outlineLvl w:val="1"/>
        <w:rPr>
          <w:rFonts w:ascii="宋体" w:hAnsi="宋体" w:cs="宋体"/>
          <w:b/>
          <w:color w:val="auto"/>
          <w:kern w:val="0"/>
          <w:highlight w:val="none"/>
        </w:rPr>
      </w:pPr>
      <w:bookmarkStart w:id="1899" w:name="_Toc20171896"/>
      <w:bookmarkEnd w:id="1899"/>
      <w:bookmarkStart w:id="1900" w:name="_Toc58860337"/>
      <w:r>
        <w:rPr>
          <w:rFonts w:hint="eastAsia" w:ascii="宋体" w:hAnsi="宋体" w:cs="宋体"/>
          <w:b/>
          <w:color w:val="auto"/>
          <w:kern w:val="0"/>
          <w:szCs w:val="21"/>
          <w:highlight w:val="none"/>
          <w:lang w:bidi="ar"/>
        </w:rPr>
        <w:t>附件4  主要建设工程文件目录</w:t>
      </w:r>
      <w:bookmarkEnd w:id="1900"/>
    </w:p>
    <w:tbl>
      <w:tblPr>
        <w:tblStyle w:val="45"/>
        <w:tblW w:w="9214"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2125"/>
        <w:gridCol w:w="1276"/>
        <w:gridCol w:w="1450"/>
        <w:gridCol w:w="1243"/>
        <w:gridCol w:w="1450"/>
        <w:gridCol w:w="1670"/>
      </w:tblGrid>
      <w:tr w14:paraId="455AC9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2125" w:type="dxa"/>
            <w:tcBorders>
              <w:top w:val="single" w:color="auto" w:sz="12" w:space="0"/>
              <w:left w:val="single" w:color="auto" w:sz="12" w:space="0"/>
              <w:bottom w:val="double" w:color="auto" w:sz="2" w:space="0"/>
              <w:right w:val="single" w:color="auto" w:sz="6" w:space="0"/>
            </w:tcBorders>
            <w:shd w:val="clear" w:color="auto" w:fill="auto"/>
            <w:vAlign w:val="center"/>
          </w:tcPr>
          <w:p w14:paraId="63E680BD">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文件名称</w:t>
            </w:r>
          </w:p>
        </w:tc>
        <w:tc>
          <w:tcPr>
            <w:tcW w:w="1276" w:type="dxa"/>
            <w:tcBorders>
              <w:top w:val="single" w:color="auto" w:sz="12" w:space="0"/>
              <w:left w:val="single" w:color="auto" w:sz="6" w:space="0"/>
              <w:bottom w:val="double" w:color="auto" w:sz="2" w:space="0"/>
              <w:right w:val="single" w:color="auto" w:sz="6" w:space="0"/>
            </w:tcBorders>
            <w:shd w:val="clear" w:color="auto" w:fill="auto"/>
            <w:vAlign w:val="center"/>
          </w:tcPr>
          <w:p w14:paraId="22CC6F02">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套数</w:t>
            </w:r>
          </w:p>
        </w:tc>
        <w:tc>
          <w:tcPr>
            <w:tcW w:w="1450" w:type="dxa"/>
            <w:tcBorders>
              <w:top w:val="single" w:color="auto" w:sz="12" w:space="0"/>
              <w:left w:val="single" w:color="auto" w:sz="6" w:space="0"/>
              <w:bottom w:val="double" w:color="auto" w:sz="2" w:space="0"/>
              <w:right w:val="single" w:color="auto" w:sz="6" w:space="0"/>
            </w:tcBorders>
            <w:shd w:val="clear" w:color="auto" w:fill="auto"/>
            <w:vAlign w:val="center"/>
          </w:tcPr>
          <w:p w14:paraId="1E18609E">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费用（元）</w:t>
            </w:r>
          </w:p>
        </w:tc>
        <w:tc>
          <w:tcPr>
            <w:tcW w:w="1243" w:type="dxa"/>
            <w:tcBorders>
              <w:top w:val="single" w:color="auto" w:sz="12" w:space="0"/>
              <w:left w:val="single" w:color="auto" w:sz="6" w:space="0"/>
              <w:bottom w:val="double" w:color="auto" w:sz="2" w:space="0"/>
              <w:right w:val="single" w:color="auto" w:sz="6" w:space="0"/>
            </w:tcBorders>
            <w:shd w:val="clear" w:color="auto" w:fill="auto"/>
            <w:vAlign w:val="center"/>
          </w:tcPr>
          <w:p w14:paraId="19D83CD3">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质量</w:t>
            </w:r>
          </w:p>
        </w:tc>
        <w:tc>
          <w:tcPr>
            <w:tcW w:w="1450" w:type="dxa"/>
            <w:tcBorders>
              <w:top w:val="single" w:color="auto" w:sz="12" w:space="0"/>
              <w:left w:val="single" w:color="auto" w:sz="6" w:space="0"/>
              <w:bottom w:val="double" w:color="auto" w:sz="2" w:space="0"/>
              <w:right w:val="single" w:color="auto" w:sz="6" w:space="0"/>
            </w:tcBorders>
            <w:shd w:val="clear" w:color="auto" w:fill="auto"/>
          </w:tcPr>
          <w:p w14:paraId="765AEB45">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移交时间</w:t>
            </w:r>
          </w:p>
        </w:tc>
        <w:tc>
          <w:tcPr>
            <w:tcW w:w="1670" w:type="dxa"/>
            <w:tcBorders>
              <w:top w:val="single" w:color="auto" w:sz="12" w:space="0"/>
              <w:left w:val="single" w:color="auto" w:sz="6" w:space="0"/>
              <w:bottom w:val="double" w:color="auto" w:sz="2" w:space="0"/>
              <w:right w:val="single" w:color="auto" w:sz="12" w:space="0"/>
            </w:tcBorders>
            <w:shd w:val="clear" w:color="auto" w:fill="auto"/>
          </w:tcPr>
          <w:p w14:paraId="53F26177">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责任人</w:t>
            </w:r>
          </w:p>
        </w:tc>
      </w:tr>
      <w:tr w14:paraId="1F6BF7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double" w:color="auto" w:sz="2" w:space="0"/>
              <w:left w:val="single" w:color="auto" w:sz="12" w:space="0"/>
              <w:bottom w:val="single" w:color="auto" w:sz="6" w:space="0"/>
              <w:right w:val="single" w:color="auto" w:sz="6" w:space="0"/>
            </w:tcBorders>
            <w:shd w:val="clear" w:color="auto" w:fill="auto"/>
            <w:vAlign w:val="center"/>
          </w:tcPr>
          <w:p w14:paraId="419FDC6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double" w:color="auto" w:sz="2" w:space="0"/>
              <w:left w:val="single" w:color="auto" w:sz="6" w:space="0"/>
              <w:bottom w:val="single" w:color="auto" w:sz="6" w:space="0"/>
              <w:right w:val="single" w:color="auto" w:sz="6" w:space="0"/>
            </w:tcBorders>
            <w:shd w:val="clear" w:color="auto" w:fill="auto"/>
            <w:vAlign w:val="center"/>
          </w:tcPr>
          <w:p w14:paraId="63A684F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double" w:color="auto" w:sz="2" w:space="0"/>
              <w:left w:val="single" w:color="auto" w:sz="6" w:space="0"/>
              <w:bottom w:val="single" w:color="auto" w:sz="6" w:space="0"/>
              <w:right w:val="single" w:color="auto" w:sz="6" w:space="0"/>
            </w:tcBorders>
            <w:shd w:val="clear" w:color="auto" w:fill="auto"/>
            <w:vAlign w:val="center"/>
          </w:tcPr>
          <w:p w14:paraId="4AF520B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double" w:color="auto" w:sz="2" w:space="0"/>
              <w:left w:val="single" w:color="auto" w:sz="6" w:space="0"/>
              <w:bottom w:val="single" w:color="auto" w:sz="6" w:space="0"/>
              <w:right w:val="single" w:color="auto" w:sz="6" w:space="0"/>
            </w:tcBorders>
            <w:shd w:val="clear" w:color="auto" w:fill="auto"/>
            <w:vAlign w:val="center"/>
          </w:tcPr>
          <w:p w14:paraId="14F7E3B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double" w:color="auto" w:sz="2" w:space="0"/>
              <w:left w:val="single" w:color="auto" w:sz="6" w:space="0"/>
              <w:bottom w:val="single" w:color="auto" w:sz="6" w:space="0"/>
              <w:right w:val="single" w:color="auto" w:sz="6" w:space="0"/>
            </w:tcBorders>
            <w:shd w:val="clear" w:color="auto" w:fill="auto"/>
            <w:vAlign w:val="center"/>
          </w:tcPr>
          <w:p w14:paraId="37268E9D">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double" w:color="auto" w:sz="2" w:space="0"/>
              <w:left w:val="single" w:color="auto" w:sz="6" w:space="0"/>
              <w:bottom w:val="single" w:color="auto" w:sz="6" w:space="0"/>
              <w:right w:val="single" w:color="auto" w:sz="12" w:space="0"/>
            </w:tcBorders>
            <w:shd w:val="clear" w:color="auto" w:fill="auto"/>
            <w:vAlign w:val="center"/>
          </w:tcPr>
          <w:p w14:paraId="49CF2E8C">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2CF21B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nil"/>
              <w:left w:val="single" w:color="auto" w:sz="12" w:space="0"/>
              <w:bottom w:val="single" w:color="auto" w:sz="6" w:space="0"/>
              <w:right w:val="single" w:color="auto" w:sz="6" w:space="0"/>
            </w:tcBorders>
            <w:shd w:val="clear" w:color="auto" w:fill="auto"/>
            <w:vAlign w:val="center"/>
          </w:tcPr>
          <w:p w14:paraId="7CA30E2D">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nil"/>
              <w:left w:val="single" w:color="auto" w:sz="6" w:space="0"/>
              <w:bottom w:val="single" w:color="auto" w:sz="6" w:space="0"/>
              <w:right w:val="single" w:color="auto" w:sz="6" w:space="0"/>
            </w:tcBorders>
            <w:shd w:val="clear" w:color="auto" w:fill="auto"/>
            <w:vAlign w:val="center"/>
          </w:tcPr>
          <w:p w14:paraId="38CAB0F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nil"/>
              <w:left w:val="single" w:color="auto" w:sz="6" w:space="0"/>
              <w:bottom w:val="single" w:color="auto" w:sz="6" w:space="0"/>
              <w:right w:val="single" w:color="auto" w:sz="6" w:space="0"/>
            </w:tcBorders>
            <w:shd w:val="clear" w:color="auto" w:fill="auto"/>
            <w:vAlign w:val="center"/>
          </w:tcPr>
          <w:p w14:paraId="032BAFA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nil"/>
              <w:left w:val="single" w:color="auto" w:sz="6" w:space="0"/>
              <w:bottom w:val="single" w:color="auto" w:sz="6" w:space="0"/>
              <w:right w:val="single" w:color="auto" w:sz="6" w:space="0"/>
            </w:tcBorders>
            <w:shd w:val="clear" w:color="auto" w:fill="auto"/>
            <w:vAlign w:val="center"/>
          </w:tcPr>
          <w:p w14:paraId="798F5E2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nil"/>
              <w:left w:val="single" w:color="auto" w:sz="6" w:space="0"/>
              <w:bottom w:val="single" w:color="auto" w:sz="6" w:space="0"/>
              <w:right w:val="single" w:color="auto" w:sz="6" w:space="0"/>
            </w:tcBorders>
            <w:shd w:val="clear" w:color="auto" w:fill="auto"/>
            <w:vAlign w:val="center"/>
          </w:tcPr>
          <w:p w14:paraId="45D6FDD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nil"/>
              <w:left w:val="single" w:color="auto" w:sz="6" w:space="0"/>
              <w:bottom w:val="single" w:color="auto" w:sz="6" w:space="0"/>
              <w:right w:val="single" w:color="auto" w:sz="12" w:space="0"/>
            </w:tcBorders>
            <w:shd w:val="clear" w:color="auto" w:fill="auto"/>
            <w:vAlign w:val="center"/>
          </w:tcPr>
          <w:p w14:paraId="09C82232">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720E18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09D4525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05574AC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7668D21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21F82AD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1614715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13156A87">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40DE02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3260F55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73E5AF9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4C547BA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636FE35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208031E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46A44BE5">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1D0241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2670834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4D75234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275BBB6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1B24F86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03B9141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41DC7164">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433F8F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1F4E16F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2A99BED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382C37B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27C94B8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3C2B652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138B1DB6">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013B47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43733DF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72DE5EF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1BFC7F2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64FAF6B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4FC1814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0F99510F">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020DA3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7730E29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5AD2347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0FB14DC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11881ED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1F70652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19CD512E">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3EEC38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205A1A9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6623785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3AB7522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285539A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4FDAB96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4C2F7C79">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0E7E1D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vAlign w:val="center"/>
          </w:tcPr>
          <w:p w14:paraId="6615C0F8">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vAlign w:val="center"/>
          </w:tcPr>
          <w:p w14:paraId="79825D2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557F10C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vAlign w:val="center"/>
          </w:tcPr>
          <w:p w14:paraId="0808FDC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vAlign w:val="center"/>
          </w:tcPr>
          <w:p w14:paraId="0AC3D11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vAlign w:val="center"/>
          </w:tcPr>
          <w:p w14:paraId="1A1B398F">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39018E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3FB1CFE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4E84187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73403EE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0655575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5D714F7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7B810712">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40FD08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205D9FB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2CAA020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5614537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57708AE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1AAA68A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1398DA4C">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2CA857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747E345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4A190701">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0903C11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2D3A83F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38264C5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16F63A66">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29C46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335407F4">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69BDB23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382C2203">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3AA748C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7C36F5B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160337A3">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09EAC1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5A1AA78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162D9374">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0D4EAE3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2579B93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0198466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1E0C7896">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68DB4A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53EBC076">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3468477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06D11B0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08AAE46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554FF877">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4D339A69">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0AF960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6562155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4182680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3EB1C31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3393A1E0">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7632F2EB">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134E2BF0">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5BFCB4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6" w:space="0"/>
              <w:right w:val="single" w:color="auto" w:sz="6" w:space="0"/>
            </w:tcBorders>
            <w:shd w:val="clear" w:color="auto" w:fill="auto"/>
          </w:tcPr>
          <w:p w14:paraId="01A3FFD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6" w:space="0"/>
              <w:right w:val="single" w:color="auto" w:sz="6" w:space="0"/>
            </w:tcBorders>
            <w:shd w:val="clear" w:color="auto" w:fill="auto"/>
          </w:tcPr>
          <w:p w14:paraId="795152D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7BCD2C8A">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6" w:space="0"/>
              <w:right w:val="single" w:color="auto" w:sz="6" w:space="0"/>
            </w:tcBorders>
            <w:shd w:val="clear" w:color="auto" w:fill="auto"/>
          </w:tcPr>
          <w:p w14:paraId="1B4C7C19">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6" w:space="0"/>
              <w:right w:val="single" w:color="auto" w:sz="6" w:space="0"/>
            </w:tcBorders>
            <w:shd w:val="clear" w:color="auto" w:fill="auto"/>
          </w:tcPr>
          <w:p w14:paraId="7F631E15">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6" w:space="0"/>
              <w:right w:val="single" w:color="auto" w:sz="12" w:space="0"/>
            </w:tcBorders>
            <w:shd w:val="clear" w:color="auto" w:fill="auto"/>
          </w:tcPr>
          <w:p w14:paraId="470E5963">
            <w:pPr>
              <w:widowControl/>
              <w:adjustRightInd w:val="0"/>
              <w:snapToGrid w:val="0"/>
              <w:spacing w:after="163" w:afterLines="50" w:line="360" w:lineRule="auto"/>
              <w:ind w:firstLine="420" w:firstLineChars="200"/>
              <w:rPr>
                <w:rFonts w:ascii="宋体" w:hAnsi="宋体" w:cs="宋体"/>
                <w:color w:val="auto"/>
                <w:kern w:val="0"/>
                <w:highlight w:val="none"/>
              </w:rPr>
            </w:pPr>
          </w:p>
        </w:tc>
      </w:tr>
      <w:tr w14:paraId="4005E9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2125" w:type="dxa"/>
            <w:tcBorders>
              <w:top w:val="single" w:color="auto" w:sz="6" w:space="0"/>
              <w:left w:val="single" w:color="auto" w:sz="12" w:space="0"/>
              <w:bottom w:val="single" w:color="auto" w:sz="12" w:space="0"/>
              <w:right w:val="single" w:color="auto" w:sz="6" w:space="0"/>
            </w:tcBorders>
            <w:shd w:val="clear" w:color="auto" w:fill="auto"/>
          </w:tcPr>
          <w:p w14:paraId="00BF72A2">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76" w:type="dxa"/>
            <w:tcBorders>
              <w:top w:val="single" w:color="auto" w:sz="6" w:space="0"/>
              <w:left w:val="single" w:color="auto" w:sz="6" w:space="0"/>
              <w:bottom w:val="single" w:color="auto" w:sz="12" w:space="0"/>
              <w:right w:val="single" w:color="auto" w:sz="6" w:space="0"/>
            </w:tcBorders>
            <w:shd w:val="clear" w:color="auto" w:fill="auto"/>
          </w:tcPr>
          <w:p w14:paraId="110531A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12" w:space="0"/>
              <w:right w:val="single" w:color="auto" w:sz="6" w:space="0"/>
            </w:tcBorders>
            <w:shd w:val="clear" w:color="auto" w:fill="auto"/>
          </w:tcPr>
          <w:p w14:paraId="4A77B7DF">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243" w:type="dxa"/>
            <w:tcBorders>
              <w:top w:val="single" w:color="auto" w:sz="6" w:space="0"/>
              <w:left w:val="single" w:color="auto" w:sz="6" w:space="0"/>
              <w:bottom w:val="single" w:color="auto" w:sz="12" w:space="0"/>
              <w:right w:val="single" w:color="auto" w:sz="6" w:space="0"/>
            </w:tcBorders>
            <w:shd w:val="clear" w:color="auto" w:fill="auto"/>
          </w:tcPr>
          <w:p w14:paraId="54B9881C">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450" w:type="dxa"/>
            <w:tcBorders>
              <w:top w:val="single" w:color="auto" w:sz="6" w:space="0"/>
              <w:left w:val="single" w:color="auto" w:sz="6" w:space="0"/>
              <w:bottom w:val="single" w:color="auto" w:sz="12" w:space="0"/>
              <w:right w:val="single" w:color="auto" w:sz="6" w:space="0"/>
            </w:tcBorders>
            <w:shd w:val="clear" w:color="auto" w:fill="auto"/>
          </w:tcPr>
          <w:p w14:paraId="5611210E">
            <w:pPr>
              <w:widowControl/>
              <w:adjustRightInd w:val="0"/>
              <w:snapToGrid w:val="0"/>
              <w:spacing w:after="163" w:afterLines="50" w:line="360" w:lineRule="auto"/>
              <w:ind w:firstLine="420" w:firstLineChars="200"/>
              <w:rPr>
                <w:rFonts w:ascii="宋体" w:hAnsi="宋体" w:cs="宋体"/>
                <w:color w:val="auto"/>
                <w:kern w:val="0"/>
                <w:highlight w:val="none"/>
              </w:rPr>
            </w:pPr>
          </w:p>
        </w:tc>
        <w:tc>
          <w:tcPr>
            <w:tcW w:w="1670" w:type="dxa"/>
            <w:tcBorders>
              <w:top w:val="single" w:color="auto" w:sz="6" w:space="0"/>
              <w:left w:val="single" w:color="auto" w:sz="6" w:space="0"/>
              <w:bottom w:val="single" w:color="auto" w:sz="12" w:space="0"/>
              <w:right w:val="single" w:color="auto" w:sz="12" w:space="0"/>
            </w:tcBorders>
            <w:shd w:val="clear" w:color="auto" w:fill="auto"/>
          </w:tcPr>
          <w:p w14:paraId="59108AF3">
            <w:pPr>
              <w:widowControl/>
              <w:adjustRightInd w:val="0"/>
              <w:snapToGrid w:val="0"/>
              <w:spacing w:after="163" w:afterLines="50" w:line="360" w:lineRule="auto"/>
              <w:ind w:firstLine="420" w:firstLineChars="200"/>
              <w:rPr>
                <w:rFonts w:ascii="宋体" w:hAnsi="宋体" w:cs="宋体"/>
                <w:color w:val="auto"/>
                <w:kern w:val="0"/>
                <w:highlight w:val="none"/>
              </w:rPr>
            </w:pPr>
          </w:p>
        </w:tc>
      </w:tr>
    </w:tbl>
    <w:p w14:paraId="6A1DC5AD">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6EC9E3A5">
      <w:pPr>
        <w:widowControl/>
        <w:adjustRightInd w:val="0"/>
        <w:snapToGrid w:val="0"/>
        <w:spacing w:after="163"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5CDB0B4D">
      <w:pPr>
        <w:spacing w:line="360" w:lineRule="auto"/>
        <w:rPr>
          <w:rFonts w:ascii="宋体" w:hAnsi="宋体"/>
          <w:b/>
          <w:color w:val="auto"/>
          <w:szCs w:val="21"/>
          <w:highlight w:val="none"/>
          <w:lang w:bidi="ar"/>
        </w:rPr>
        <w:sectPr>
          <w:pgSz w:w="11906" w:h="16838"/>
          <w:pgMar w:top="1304" w:right="1135" w:bottom="1304" w:left="1304" w:header="720" w:footer="720" w:gutter="0"/>
          <w:cols w:space="720" w:num="1"/>
          <w:docGrid w:type="lines" w:linePitch="326" w:charSpace="0"/>
        </w:sectPr>
      </w:pPr>
    </w:p>
    <w:p w14:paraId="32906EAE">
      <w:pPr>
        <w:keepNext/>
        <w:keepLines/>
        <w:widowControl/>
        <w:wordWrap w:val="0"/>
        <w:topLinePunct/>
        <w:adjustRightInd w:val="0"/>
        <w:snapToGrid w:val="0"/>
        <w:spacing w:after="156" w:afterLines="50" w:line="360" w:lineRule="auto"/>
        <w:jc w:val="center"/>
        <w:outlineLvl w:val="1"/>
        <w:rPr>
          <w:rFonts w:ascii="宋体" w:hAnsi="宋体" w:cs="宋体"/>
          <w:b/>
          <w:color w:val="auto"/>
          <w:kern w:val="0"/>
          <w:highlight w:val="none"/>
        </w:rPr>
      </w:pPr>
      <w:bookmarkStart w:id="1901" w:name="_Toc20171897"/>
      <w:bookmarkEnd w:id="1901"/>
      <w:bookmarkStart w:id="1902" w:name="_Toc58860338"/>
      <w:r>
        <w:rPr>
          <w:rFonts w:hint="eastAsia" w:ascii="宋体" w:hAnsi="宋体" w:cs="宋体"/>
          <w:b/>
          <w:color w:val="auto"/>
          <w:kern w:val="0"/>
          <w:szCs w:val="21"/>
          <w:highlight w:val="none"/>
          <w:lang w:bidi="ar"/>
        </w:rPr>
        <w:t>附件5  承包人主要管理人员表</w:t>
      </w:r>
      <w:bookmarkEnd w:id="1902"/>
    </w:p>
    <w:tbl>
      <w:tblPr>
        <w:tblStyle w:val="45"/>
        <w:tblW w:w="908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505"/>
        <w:gridCol w:w="1418"/>
        <w:gridCol w:w="1135"/>
        <w:gridCol w:w="1135"/>
        <w:gridCol w:w="3896"/>
      </w:tblGrid>
      <w:tr w14:paraId="24191A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68712A56">
            <w:pPr>
              <w:widowControl/>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名    称</w:t>
            </w:r>
          </w:p>
        </w:tc>
        <w:tc>
          <w:tcPr>
            <w:tcW w:w="1418" w:type="dxa"/>
            <w:shd w:val="clear" w:color="auto" w:fill="auto"/>
            <w:vAlign w:val="center"/>
          </w:tcPr>
          <w:p w14:paraId="6B250D18">
            <w:pPr>
              <w:widowControl/>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姓名</w:t>
            </w:r>
          </w:p>
        </w:tc>
        <w:tc>
          <w:tcPr>
            <w:tcW w:w="1135" w:type="dxa"/>
            <w:shd w:val="clear" w:color="auto" w:fill="auto"/>
            <w:vAlign w:val="center"/>
          </w:tcPr>
          <w:p w14:paraId="386483C8">
            <w:pPr>
              <w:widowControl/>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职务</w:t>
            </w:r>
          </w:p>
        </w:tc>
        <w:tc>
          <w:tcPr>
            <w:tcW w:w="1135" w:type="dxa"/>
            <w:shd w:val="clear" w:color="auto" w:fill="auto"/>
            <w:vAlign w:val="center"/>
          </w:tcPr>
          <w:p w14:paraId="3BFA80C2">
            <w:pPr>
              <w:widowControl/>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职称</w:t>
            </w:r>
          </w:p>
        </w:tc>
        <w:tc>
          <w:tcPr>
            <w:tcW w:w="3896" w:type="dxa"/>
            <w:shd w:val="clear" w:color="auto" w:fill="auto"/>
            <w:vAlign w:val="center"/>
          </w:tcPr>
          <w:p w14:paraId="71661A78">
            <w:pPr>
              <w:widowControl/>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主要资历、经验及承担过的项目</w:t>
            </w:r>
          </w:p>
        </w:tc>
      </w:tr>
      <w:tr w14:paraId="256279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9" w:type="dxa"/>
            <w:gridSpan w:val="5"/>
            <w:shd w:val="clear" w:color="auto" w:fill="auto"/>
            <w:vAlign w:val="center"/>
          </w:tcPr>
          <w:p w14:paraId="24536D0B">
            <w:pPr>
              <w:widowControl/>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一、总部人员</w:t>
            </w:r>
          </w:p>
        </w:tc>
      </w:tr>
      <w:tr w14:paraId="220B6A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5F256786">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项目主管</w:t>
            </w:r>
          </w:p>
        </w:tc>
        <w:tc>
          <w:tcPr>
            <w:tcW w:w="1418" w:type="dxa"/>
            <w:shd w:val="clear" w:color="auto" w:fill="auto"/>
            <w:vAlign w:val="center"/>
          </w:tcPr>
          <w:p w14:paraId="757F0027">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463AF5BC">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710A3523">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4DD4F73A">
            <w:pPr>
              <w:widowControl/>
              <w:adjustRightInd w:val="0"/>
              <w:snapToGrid w:val="0"/>
              <w:spacing w:line="360" w:lineRule="auto"/>
              <w:ind w:firstLine="420" w:firstLineChars="200"/>
              <w:rPr>
                <w:rFonts w:ascii="宋体" w:hAnsi="宋体" w:cs="宋体"/>
                <w:color w:val="auto"/>
                <w:kern w:val="0"/>
                <w:highlight w:val="none"/>
              </w:rPr>
            </w:pPr>
          </w:p>
        </w:tc>
      </w:tr>
      <w:tr w14:paraId="7120F5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0819909C">
            <w:pPr>
              <w:widowControl/>
              <w:adjustRightInd w:val="0"/>
              <w:snapToGrid w:val="0"/>
              <w:spacing w:line="360" w:lineRule="auto"/>
              <w:ind w:firstLine="420" w:firstLineChars="200"/>
              <w:rPr>
                <w:rFonts w:ascii="宋体" w:hAnsi="宋体" w:cs="宋体"/>
                <w:color w:val="auto"/>
                <w:kern w:val="0"/>
                <w:highlight w:val="none"/>
              </w:rPr>
            </w:pPr>
          </w:p>
        </w:tc>
        <w:tc>
          <w:tcPr>
            <w:tcW w:w="1418" w:type="dxa"/>
            <w:shd w:val="clear" w:color="auto" w:fill="auto"/>
            <w:vAlign w:val="center"/>
          </w:tcPr>
          <w:p w14:paraId="1E51B6D9">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033C4B4E">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155508C8">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4C46840E">
            <w:pPr>
              <w:widowControl/>
              <w:adjustRightInd w:val="0"/>
              <w:snapToGrid w:val="0"/>
              <w:spacing w:line="360" w:lineRule="auto"/>
              <w:ind w:firstLine="420" w:firstLineChars="200"/>
              <w:rPr>
                <w:rFonts w:ascii="宋体" w:hAnsi="宋体" w:cs="宋体"/>
                <w:color w:val="auto"/>
                <w:kern w:val="0"/>
                <w:highlight w:val="none"/>
              </w:rPr>
            </w:pPr>
          </w:p>
        </w:tc>
      </w:tr>
      <w:tr w14:paraId="35949A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78DD6966">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其他人员</w:t>
            </w:r>
          </w:p>
        </w:tc>
        <w:tc>
          <w:tcPr>
            <w:tcW w:w="1418" w:type="dxa"/>
            <w:shd w:val="clear" w:color="auto" w:fill="auto"/>
            <w:vAlign w:val="center"/>
          </w:tcPr>
          <w:p w14:paraId="2E91A859">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7F5987CC">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1DBE57FB">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34F68503">
            <w:pPr>
              <w:widowControl/>
              <w:adjustRightInd w:val="0"/>
              <w:snapToGrid w:val="0"/>
              <w:spacing w:line="360" w:lineRule="auto"/>
              <w:ind w:firstLine="420" w:firstLineChars="200"/>
              <w:rPr>
                <w:rFonts w:ascii="宋体" w:hAnsi="宋体" w:cs="宋体"/>
                <w:color w:val="auto"/>
                <w:kern w:val="0"/>
                <w:highlight w:val="none"/>
              </w:rPr>
            </w:pPr>
          </w:p>
        </w:tc>
      </w:tr>
      <w:tr w14:paraId="49DD7A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29CE70AB">
            <w:pPr>
              <w:widowControl/>
              <w:adjustRightInd w:val="0"/>
              <w:snapToGrid w:val="0"/>
              <w:spacing w:line="360" w:lineRule="auto"/>
              <w:ind w:firstLine="420" w:firstLineChars="200"/>
              <w:rPr>
                <w:rFonts w:ascii="宋体" w:hAnsi="宋体" w:cs="宋体"/>
                <w:color w:val="auto"/>
                <w:kern w:val="0"/>
                <w:highlight w:val="none"/>
              </w:rPr>
            </w:pPr>
          </w:p>
        </w:tc>
        <w:tc>
          <w:tcPr>
            <w:tcW w:w="1418" w:type="dxa"/>
            <w:shd w:val="clear" w:color="auto" w:fill="auto"/>
            <w:vAlign w:val="center"/>
          </w:tcPr>
          <w:p w14:paraId="113DB5F6">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62ED5CAA">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72CF7B12">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79C7C84A">
            <w:pPr>
              <w:widowControl/>
              <w:adjustRightInd w:val="0"/>
              <w:snapToGrid w:val="0"/>
              <w:spacing w:line="360" w:lineRule="auto"/>
              <w:ind w:firstLine="420" w:firstLineChars="200"/>
              <w:rPr>
                <w:rFonts w:ascii="宋体" w:hAnsi="宋体" w:cs="宋体"/>
                <w:color w:val="auto"/>
                <w:kern w:val="0"/>
                <w:highlight w:val="none"/>
              </w:rPr>
            </w:pPr>
          </w:p>
        </w:tc>
      </w:tr>
      <w:tr w14:paraId="3A4683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089" w:type="dxa"/>
            <w:gridSpan w:val="5"/>
            <w:shd w:val="clear" w:color="auto" w:fill="auto"/>
            <w:vAlign w:val="center"/>
          </w:tcPr>
          <w:p w14:paraId="7E2E2D86">
            <w:pPr>
              <w:widowControl/>
              <w:adjustRightInd w:val="0"/>
              <w:snapToGrid w:val="0"/>
              <w:spacing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二、现场人员</w:t>
            </w:r>
          </w:p>
        </w:tc>
      </w:tr>
      <w:tr w14:paraId="6D3930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496CF101">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工程总承包</w:t>
            </w:r>
          </w:p>
          <w:p w14:paraId="430C78C4">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项目经理</w:t>
            </w:r>
          </w:p>
        </w:tc>
        <w:tc>
          <w:tcPr>
            <w:tcW w:w="1418" w:type="dxa"/>
            <w:shd w:val="clear" w:color="auto" w:fill="auto"/>
            <w:vAlign w:val="center"/>
          </w:tcPr>
          <w:p w14:paraId="70B052F5">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74615B97">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09D90326">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13D7235D">
            <w:pPr>
              <w:widowControl/>
              <w:adjustRightInd w:val="0"/>
              <w:snapToGrid w:val="0"/>
              <w:spacing w:line="360" w:lineRule="auto"/>
              <w:ind w:firstLine="420" w:firstLineChars="200"/>
              <w:rPr>
                <w:rFonts w:ascii="宋体" w:hAnsi="宋体" w:cs="宋体"/>
                <w:color w:val="auto"/>
                <w:kern w:val="0"/>
                <w:highlight w:val="none"/>
              </w:rPr>
            </w:pPr>
          </w:p>
          <w:p w14:paraId="50FD6490">
            <w:pPr>
              <w:widowControl/>
              <w:adjustRightInd w:val="0"/>
              <w:snapToGrid w:val="0"/>
              <w:spacing w:line="360" w:lineRule="auto"/>
              <w:ind w:firstLine="420" w:firstLineChars="200"/>
              <w:rPr>
                <w:rFonts w:ascii="宋体" w:hAnsi="宋体" w:cs="宋体"/>
                <w:color w:val="auto"/>
                <w:kern w:val="0"/>
                <w:highlight w:val="none"/>
              </w:rPr>
            </w:pPr>
          </w:p>
        </w:tc>
      </w:tr>
      <w:tr w14:paraId="5DC4BD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5B3C913F">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项目副经理</w:t>
            </w:r>
          </w:p>
        </w:tc>
        <w:tc>
          <w:tcPr>
            <w:tcW w:w="1418" w:type="dxa"/>
            <w:shd w:val="clear" w:color="auto" w:fill="auto"/>
            <w:vAlign w:val="center"/>
          </w:tcPr>
          <w:p w14:paraId="5B722F58">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30A4DB01">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34FC7A48">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327249A2">
            <w:pPr>
              <w:widowControl/>
              <w:adjustRightInd w:val="0"/>
              <w:snapToGrid w:val="0"/>
              <w:spacing w:line="360" w:lineRule="auto"/>
              <w:ind w:firstLine="420" w:firstLineChars="200"/>
              <w:rPr>
                <w:rFonts w:ascii="宋体" w:hAnsi="宋体" w:cs="宋体"/>
                <w:color w:val="auto"/>
                <w:kern w:val="0"/>
                <w:highlight w:val="none"/>
              </w:rPr>
            </w:pPr>
          </w:p>
        </w:tc>
      </w:tr>
      <w:tr w14:paraId="5B3C26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5BBC1FE2">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设计负责人</w:t>
            </w:r>
          </w:p>
        </w:tc>
        <w:tc>
          <w:tcPr>
            <w:tcW w:w="1418" w:type="dxa"/>
            <w:shd w:val="clear" w:color="auto" w:fill="auto"/>
            <w:vAlign w:val="center"/>
          </w:tcPr>
          <w:p w14:paraId="2BB29014">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016D3F24">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0B80D637">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7EB154AF">
            <w:pPr>
              <w:widowControl/>
              <w:adjustRightInd w:val="0"/>
              <w:snapToGrid w:val="0"/>
              <w:spacing w:line="360" w:lineRule="auto"/>
              <w:ind w:firstLine="420" w:firstLineChars="200"/>
              <w:rPr>
                <w:rFonts w:ascii="宋体" w:hAnsi="宋体" w:cs="宋体"/>
                <w:color w:val="auto"/>
                <w:kern w:val="0"/>
                <w:highlight w:val="none"/>
              </w:rPr>
            </w:pPr>
          </w:p>
        </w:tc>
      </w:tr>
      <w:tr w14:paraId="6FA1C6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0276A9DE">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采购负责人</w:t>
            </w:r>
          </w:p>
        </w:tc>
        <w:tc>
          <w:tcPr>
            <w:tcW w:w="1418" w:type="dxa"/>
            <w:shd w:val="clear" w:color="auto" w:fill="auto"/>
            <w:vAlign w:val="center"/>
          </w:tcPr>
          <w:p w14:paraId="6E88403B">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004F3E3C">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2B73C64B">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243CA6CA">
            <w:pPr>
              <w:widowControl/>
              <w:adjustRightInd w:val="0"/>
              <w:snapToGrid w:val="0"/>
              <w:spacing w:line="360" w:lineRule="auto"/>
              <w:ind w:firstLine="420" w:firstLineChars="200"/>
              <w:rPr>
                <w:rFonts w:ascii="宋体" w:hAnsi="宋体" w:cs="宋体"/>
                <w:color w:val="auto"/>
                <w:kern w:val="0"/>
                <w:highlight w:val="none"/>
              </w:rPr>
            </w:pPr>
          </w:p>
        </w:tc>
      </w:tr>
      <w:tr w14:paraId="4A7154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07073A26">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施工负责人</w:t>
            </w:r>
          </w:p>
        </w:tc>
        <w:tc>
          <w:tcPr>
            <w:tcW w:w="1418" w:type="dxa"/>
            <w:shd w:val="clear" w:color="auto" w:fill="auto"/>
            <w:vAlign w:val="center"/>
          </w:tcPr>
          <w:p w14:paraId="31A70261">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116DD0EC">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69001783">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5FB784E4">
            <w:pPr>
              <w:widowControl/>
              <w:adjustRightInd w:val="0"/>
              <w:snapToGrid w:val="0"/>
              <w:spacing w:line="360" w:lineRule="auto"/>
              <w:ind w:firstLine="420" w:firstLineChars="200"/>
              <w:rPr>
                <w:rFonts w:ascii="宋体" w:hAnsi="宋体" w:cs="宋体"/>
                <w:color w:val="auto"/>
                <w:kern w:val="0"/>
                <w:highlight w:val="none"/>
              </w:rPr>
            </w:pPr>
          </w:p>
        </w:tc>
      </w:tr>
      <w:tr w14:paraId="55915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3CE34EC7">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技术负责人</w:t>
            </w:r>
          </w:p>
        </w:tc>
        <w:tc>
          <w:tcPr>
            <w:tcW w:w="1418" w:type="dxa"/>
            <w:shd w:val="clear" w:color="auto" w:fill="auto"/>
            <w:vAlign w:val="center"/>
          </w:tcPr>
          <w:p w14:paraId="2C955967">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2CD7DEF6">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770ECDB5">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0406599F">
            <w:pPr>
              <w:widowControl/>
              <w:adjustRightInd w:val="0"/>
              <w:snapToGrid w:val="0"/>
              <w:spacing w:line="360" w:lineRule="auto"/>
              <w:ind w:firstLine="420" w:firstLineChars="200"/>
              <w:rPr>
                <w:rFonts w:ascii="宋体" w:hAnsi="宋体" w:cs="宋体"/>
                <w:color w:val="auto"/>
                <w:kern w:val="0"/>
                <w:highlight w:val="none"/>
              </w:rPr>
            </w:pPr>
          </w:p>
        </w:tc>
      </w:tr>
      <w:tr w14:paraId="7F2984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44D7CF80">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造价管理</w:t>
            </w:r>
          </w:p>
        </w:tc>
        <w:tc>
          <w:tcPr>
            <w:tcW w:w="1418" w:type="dxa"/>
            <w:shd w:val="clear" w:color="auto" w:fill="auto"/>
            <w:vAlign w:val="center"/>
          </w:tcPr>
          <w:p w14:paraId="310E19EB">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17F2DAD4">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1410A668">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54615CE4">
            <w:pPr>
              <w:widowControl/>
              <w:adjustRightInd w:val="0"/>
              <w:snapToGrid w:val="0"/>
              <w:spacing w:line="360" w:lineRule="auto"/>
              <w:ind w:firstLine="420" w:firstLineChars="200"/>
              <w:rPr>
                <w:rFonts w:ascii="宋体" w:hAnsi="宋体" w:cs="宋体"/>
                <w:color w:val="auto"/>
                <w:kern w:val="0"/>
                <w:highlight w:val="none"/>
              </w:rPr>
            </w:pPr>
          </w:p>
        </w:tc>
      </w:tr>
      <w:tr w14:paraId="2DD2D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542A3FBE">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质量管理</w:t>
            </w:r>
          </w:p>
        </w:tc>
        <w:tc>
          <w:tcPr>
            <w:tcW w:w="1418" w:type="dxa"/>
            <w:shd w:val="clear" w:color="auto" w:fill="auto"/>
            <w:vAlign w:val="center"/>
          </w:tcPr>
          <w:p w14:paraId="0455218F">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147E2EBA">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24719517">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0EB257BF">
            <w:pPr>
              <w:widowControl/>
              <w:adjustRightInd w:val="0"/>
              <w:snapToGrid w:val="0"/>
              <w:spacing w:line="360" w:lineRule="auto"/>
              <w:ind w:firstLine="420" w:firstLineChars="200"/>
              <w:rPr>
                <w:rFonts w:ascii="宋体" w:hAnsi="宋体" w:cs="宋体"/>
                <w:color w:val="auto"/>
                <w:kern w:val="0"/>
                <w:highlight w:val="none"/>
              </w:rPr>
            </w:pPr>
          </w:p>
        </w:tc>
      </w:tr>
      <w:tr w14:paraId="30506A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6988A8C9">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计划管理</w:t>
            </w:r>
          </w:p>
        </w:tc>
        <w:tc>
          <w:tcPr>
            <w:tcW w:w="1418" w:type="dxa"/>
            <w:shd w:val="clear" w:color="auto" w:fill="auto"/>
            <w:vAlign w:val="center"/>
          </w:tcPr>
          <w:p w14:paraId="1E11E4A9">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7CD7A3C1">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6347AF3B">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68662B55">
            <w:pPr>
              <w:widowControl/>
              <w:adjustRightInd w:val="0"/>
              <w:snapToGrid w:val="0"/>
              <w:spacing w:line="360" w:lineRule="auto"/>
              <w:ind w:firstLine="420" w:firstLineChars="200"/>
              <w:rPr>
                <w:rFonts w:ascii="宋体" w:hAnsi="宋体" w:cs="宋体"/>
                <w:color w:val="auto"/>
                <w:kern w:val="0"/>
                <w:highlight w:val="none"/>
              </w:rPr>
            </w:pPr>
          </w:p>
        </w:tc>
      </w:tr>
      <w:tr w14:paraId="10E3F8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4342A447">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安全管理</w:t>
            </w:r>
          </w:p>
        </w:tc>
        <w:tc>
          <w:tcPr>
            <w:tcW w:w="1418" w:type="dxa"/>
            <w:shd w:val="clear" w:color="auto" w:fill="auto"/>
            <w:vAlign w:val="center"/>
          </w:tcPr>
          <w:p w14:paraId="0E88E8CB">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36FFEF23">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410BAB12">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12C1BB97">
            <w:pPr>
              <w:widowControl/>
              <w:adjustRightInd w:val="0"/>
              <w:snapToGrid w:val="0"/>
              <w:spacing w:line="360" w:lineRule="auto"/>
              <w:ind w:firstLine="420" w:firstLineChars="200"/>
              <w:rPr>
                <w:rFonts w:ascii="宋体" w:hAnsi="宋体" w:cs="宋体"/>
                <w:color w:val="auto"/>
                <w:kern w:val="0"/>
                <w:highlight w:val="none"/>
              </w:rPr>
            </w:pPr>
          </w:p>
        </w:tc>
      </w:tr>
      <w:tr w14:paraId="165B5E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shd w:val="clear" w:color="auto" w:fill="auto"/>
            <w:vAlign w:val="center"/>
          </w:tcPr>
          <w:p w14:paraId="2029AA16">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环境管理</w:t>
            </w:r>
          </w:p>
        </w:tc>
        <w:tc>
          <w:tcPr>
            <w:tcW w:w="1418" w:type="dxa"/>
            <w:shd w:val="clear" w:color="auto" w:fill="auto"/>
            <w:vAlign w:val="center"/>
          </w:tcPr>
          <w:p w14:paraId="1C75EBA1">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0ED8C622">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40FA1259">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409C49A8">
            <w:pPr>
              <w:widowControl/>
              <w:adjustRightInd w:val="0"/>
              <w:snapToGrid w:val="0"/>
              <w:spacing w:line="360" w:lineRule="auto"/>
              <w:ind w:firstLine="420" w:firstLineChars="200"/>
              <w:rPr>
                <w:rFonts w:ascii="宋体" w:hAnsi="宋体" w:cs="宋体"/>
                <w:color w:val="auto"/>
                <w:kern w:val="0"/>
                <w:highlight w:val="none"/>
              </w:rPr>
            </w:pPr>
          </w:p>
        </w:tc>
      </w:tr>
      <w:tr w14:paraId="223B1C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restart"/>
            <w:shd w:val="clear" w:color="auto" w:fill="auto"/>
            <w:vAlign w:val="center"/>
          </w:tcPr>
          <w:p w14:paraId="3BB44E05">
            <w:pPr>
              <w:widowControl/>
              <w:adjustRightInd w:val="0"/>
              <w:snapToGrid w:val="0"/>
              <w:spacing w:line="360" w:lineRule="auto"/>
              <w:jc w:val="center"/>
              <w:rPr>
                <w:rFonts w:ascii="宋体" w:hAnsi="宋体" w:cs="宋体"/>
                <w:color w:val="auto"/>
                <w:kern w:val="0"/>
                <w:highlight w:val="none"/>
              </w:rPr>
            </w:pPr>
            <w:r>
              <w:rPr>
                <w:rFonts w:hint="eastAsia" w:ascii="宋体" w:hAnsi="宋体" w:cs="宋体"/>
                <w:color w:val="auto"/>
                <w:kern w:val="0"/>
                <w:szCs w:val="21"/>
                <w:highlight w:val="none"/>
                <w:lang w:bidi="ar"/>
              </w:rPr>
              <w:t>其他人员</w:t>
            </w:r>
          </w:p>
        </w:tc>
        <w:tc>
          <w:tcPr>
            <w:tcW w:w="1418" w:type="dxa"/>
            <w:shd w:val="clear" w:color="auto" w:fill="auto"/>
            <w:vAlign w:val="center"/>
          </w:tcPr>
          <w:p w14:paraId="190D5DBA">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25FF0FE7">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15227361">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185C81B6">
            <w:pPr>
              <w:widowControl/>
              <w:adjustRightInd w:val="0"/>
              <w:snapToGrid w:val="0"/>
              <w:spacing w:line="360" w:lineRule="auto"/>
              <w:ind w:firstLine="420" w:firstLineChars="200"/>
              <w:rPr>
                <w:rFonts w:ascii="宋体" w:hAnsi="宋体" w:cs="宋体"/>
                <w:color w:val="auto"/>
                <w:kern w:val="0"/>
                <w:highlight w:val="none"/>
              </w:rPr>
            </w:pPr>
          </w:p>
        </w:tc>
      </w:tr>
      <w:tr w14:paraId="6895F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shd w:val="clear" w:color="auto" w:fill="auto"/>
            <w:vAlign w:val="center"/>
          </w:tcPr>
          <w:p w14:paraId="713AF49D">
            <w:pPr>
              <w:rPr>
                <w:color w:val="auto"/>
                <w:sz w:val="20"/>
                <w:szCs w:val="20"/>
                <w:highlight w:val="none"/>
              </w:rPr>
            </w:pPr>
          </w:p>
        </w:tc>
        <w:tc>
          <w:tcPr>
            <w:tcW w:w="1418" w:type="dxa"/>
            <w:shd w:val="clear" w:color="auto" w:fill="auto"/>
            <w:vAlign w:val="center"/>
          </w:tcPr>
          <w:p w14:paraId="265B23DD">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11BCCF45">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244BF2A8">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6E1668DC">
            <w:pPr>
              <w:widowControl/>
              <w:adjustRightInd w:val="0"/>
              <w:snapToGrid w:val="0"/>
              <w:spacing w:line="360" w:lineRule="auto"/>
              <w:ind w:firstLine="420" w:firstLineChars="200"/>
              <w:rPr>
                <w:rFonts w:ascii="宋体" w:hAnsi="宋体" w:cs="宋体"/>
                <w:color w:val="auto"/>
                <w:kern w:val="0"/>
                <w:highlight w:val="none"/>
              </w:rPr>
            </w:pPr>
          </w:p>
        </w:tc>
      </w:tr>
      <w:tr w14:paraId="478EA2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shd w:val="clear" w:color="auto" w:fill="auto"/>
            <w:vAlign w:val="center"/>
          </w:tcPr>
          <w:p w14:paraId="29227F08">
            <w:pPr>
              <w:rPr>
                <w:color w:val="auto"/>
                <w:sz w:val="20"/>
                <w:szCs w:val="20"/>
                <w:highlight w:val="none"/>
              </w:rPr>
            </w:pPr>
          </w:p>
        </w:tc>
        <w:tc>
          <w:tcPr>
            <w:tcW w:w="1418" w:type="dxa"/>
            <w:shd w:val="clear" w:color="auto" w:fill="auto"/>
            <w:vAlign w:val="center"/>
          </w:tcPr>
          <w:p w14:paraId="0A668B62">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1AA67365">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078A50D9">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5479CFEE">
            <w:pPr>
              <w:widowControl/>
              <w:adjustRightInd w:val="0"/>
              <w:snapToGrid w:val="0"/>
              <w:spacing w:line="360" w:lineRule="auto"/>
              <w:ind w:firstLine="420" w:firstLineChars="200"/>
              <w:rPr>
                <w:rFonts w:ascii="宋体" w:hAnsi="宋体" w:cs="宋体"/>
                <w:color w:val="auto"/>
                <w:kern w:val="0"/>
                <w:highlight w:val="none"/>
              </w:rPr>
            </w:pPr>
          </w:p>
        </w:tc>
      </w:tr>
      <w:tr w14:paraId="00A823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shd w:val="clear" w:color="auto" w:fill="auto"/>
            <w:vAlign w:val="center"/>
          </w:tcPr>
          <w:p w14:paraId="7F7EFE26">
            <w:pPr>
              <w:rPr>
                <w:color w:val="auto"/>
                <w:sz w:val="20"/>
                <w:szCs w:val="20"/>
                <w:highlight w:val="none"/>
              </w:rPr>
            </w:pPr>
          </w:p>
        </w:tc>
        <w:tc>
          <w:tcPr>
            <w:tcW w:w="1418" w:type="dxa"/>
            <w:shd w:val="clear" w:color="auto" w:fill="auto"/>
            <w:vAlign w:val="center"/>
          </w:tcPr>
          <w:p w14:paraId="64362EB0">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6E01C660">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55DEDD97">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04E2603F">
            <w:pPr>
              <w:widowControl/>
              <w:adjustRightInd w:val="0"/>
              <w:snapToGrid w:val="0"/>
              <w:spacing w:line="360" w:lineRule="auto"/>
              <w:ind w:firstLine="420" w:firstLineChars="200"/>
              <w:rPr>
                <w:rFonts w:ascii="宋体" w:hAnsi="宋体" w:cs="宋体"/>
                <w:color w:val="auto"/>
                <w:kern w:val="0"/>
                <w:highlight w:val="none"/>
              </w:rPr>
            </w:pPr>
          </w:p>
        </w:tc>
      </w:tr>
      <w:tr w14:paraId="09805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shd w:val="clear" w:color="auto" w:fill="auto"/>
            <w:vAlign w:val="center"/>
          </w:tcPr>
          <w:p w14:paraId="12C39533">
            <w:pPr>
              <w:rPr>
                <w:color w:val="auto"/>
                <w:sz w:val="20"/>
                <w:szCs w:val="20"/>
                <w:highlight w:val="none"/>
              </w:rPr>
            </w:pPr>
          </w:p>
        </w:tc>
        <w:tc>
          <w:tcPr>
            <w:tcW w:w="1418" w:type="dxa"/>
            <w:shd w:val="clear" w:color="auto" w:fill="auto"/>
            <w:vAlign w:val="center"/>
          </w:tcPr>
          <w:p w14:paraId="708B8BD7">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7F8AD952">
            <w:pPr>
              <w:widowControl/>
              <w:adjustRightInd w:val="0"/>
              <w:snapToGrid w:val="0"/>
              <w:spacing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1F977BC1">
            <w:pPr>
              <w:widowControl/>
              <w:adjustRightInd w:val="0"/>
              <w:snapToGrid w:val="0"/>
              <w:spacing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3E873DD3">
            <w:pPr>
              <w:widowControl/>
              <w:adjustRightInd w:val="0"/>
              <w:snapToGrid w:val="0"/>
              <w:spacing w:line="360" w:lineRule="auto"/>
              <w:ind w:firstLine="420" w:firstLineChars="200"/>
              <w:rPr>
                <w:rFonts w:ascii="宋体" w:hAnsi="宋体" w:cs="宋体"/>
                <w:color w:val="auto"/>
                <w:kern w:val="0"/>
                <w:highlight w:val="none"/>
              </w:rPr>
            </w:pPr>
          </w:p>
        </w:tc>
      </w:tr>
      <w:tr w14:paraId="568D66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505" w:type="dxa"/>
            <w:vMerge w:val="continue"/>
            <w:shd w:val="clear" w:color="auto" w:fill="auto"/>
            <w:vAlign w:val="center"/>
          </w:tcPr>
          <w:p w14:paraId="7E7C2262">
            <w:pPr>
              <w:rPr>
                <w:color w:val="auto"/>
                <w:sz w:val="20"/>
                <w:szCs w:val="20"/>
                <w:highlight w:val="none"/>
              </w:rPr>
            </w:pPr>
          </w:p>
        </w:tc>
        <w:tc>
          <w:tcPr>
            <w:tcW w:w="1418" w:type="dxa"/>
            <w:shd w:val="clear" w:color="auto" w:fill="auto"/>
            <w:vAlign w:val="center"/>
          </w:tcPr>
          <w:p w14:paraId="2C6AE1F7">
            <w:pPr>
              <w:widowControl/>
              <w:adjustRightInd w:val="0"/>
              <w:snapToGrid w:val="0"/>
              <w:spacing w:after="156" w:afterLines="50"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31458C77">
            <w:pPr>
              <w:widowControl/>
              <w:adjustRightInd w:val="0"/>
              <w:snapToGrid w:val="0"/>
              <w:spacing w:after="156" w:afterLines="50" w:line="360" w:lineRule="auto"/>
              <w:ind w:firstLine="420" w:firstLineChars="200"/>
              <w:rPr>
                <w:rFonts w:ascii="宋体" w:hAnsi="宋体" w:cs="宋体"/>
                <w:color w:val="auto"/>
                <w:kern w:val="0"/>
                <w:highlight w:val="none"/>
              </w:rPr>
            </w:pPr>
          </w:p>
        </w:tc>
        <w:tc>
          <w:tcPr>
            <w:tcW w:w="1135" w:type="dxa"/>
            <w:shd w:val="clear" w:color="auto" w:fill="auto"/>
            <w:vAlign w:val="center"/>
          </w:tcPr>
          <w:p w14:paraId="524AD988">
            <w:pPr>
              <w:widowControl/>
              <w:adjustRightInd w:val="0"/>
              <w:snapToGrid w:val="0"/>
              <w:spacing w:after="156" w:afterLines="50" w:line="360" w:lineRule="auto"/>
              <w:ind w:firstLine="420" w:firstLineChars="200"/>
              <w:rPr>
                <w:rFonts w:ascii="宋体" w:hAnsi="宋体" w:cs="宋体"/>
                <w:color w:val="auto"/>
                <w:kern w:val="0"/>
                <w:highlight w:val="none"/>
              </w:rPr>
            </w:pPr>
          </w:p>
        </w:tc>
        <w:tc>
          <w:tcPr>
            <w:tcW w:w="3896" w:type="dxa"/>
            <w:shd w:val="clear" w:color="auto" w:fill="auto"/>
            <w:vAlign w:val="center"/>
          </w:tcPr>
          <w:p w14:paraId="7D7F303F">
            <w:pPr>
              <w:widowControl/>
              <w:adjustRightInd w:val="0"/>
              <w:snapToGrid w:val="0"/>
              <w:spacing w:after="156" w:afterLines="50" w:line="360" w:lineRule="auto"/>
              <w:ind w:firstLine="420" w:firstLineChars="200"/>
              <w:rPr>
                <w:rFonts w:ascii="宋体" w:hAnsi="宋体" w:cs="宋体"/>
                <w:color w:val="auto"/>
                <w:kern w:val="0"/>
                <w:highlight w:val="none"/>
              </w:rPr>
            </w:pPr>
          </w:p>
        </w:tc>
      </w:tr>
    </w:tbl>
    <w:p w14:paraId="24390BFA">
      <w:pPr>
        <w:widowControl/>
        <w:adjustRightInd w:val="0"/>
        <w:snapToGrid w:val="0"/>
        <w:spacing w:after="156" w:afterLines="50" w:line="360" w:lineRule="auto"/>
        <w:ind w:firstLine="420" w:firstLineChars="200"/>
        <w:rPr>
          <w:rFonts w:ascii="宋体" w:hAnsi="宋体" w:cs="宋体"/>
          <w:color w:val="auto"/>
          <w:kern w:val="0"/>
          <w:highlight w:val="none"/>
        </w:rPr>
      </w:pPr>
      <w:r>
        <w:rPr>
          <w:rFonts w:hint="eastAsia" w:ascii="宋体" w:hAnsi="宋体"/>
          <w:color w:val="auto"/>
          <w:szCs w:val="21"/>
          <w:highlight w:val="none"/>
          <w:lang w:bidi="ar"/>
        </w:rPr>
        <w:br w:type="page"/>
      </w:r>
    </w:p>
    <w:p w14:paraId="26C15C96">
      <w:pPr>
        <w:widowControl/>
        <w:jc w:val="left"/>
        <w:rPr>
          <w:rFonts w:ascii="宋体" w:hAnsi="宋体" w:cs="宋体"/>
          <w:color w:val="auto"/>
          <w:kern w:val="0"/>
          <w:highlight w:val="none"/>
        </w:rPr>
      </w:pPr>
      <w:bookmarkStart w:id="1903" w:name="_Toc20171898"/>
      <w:bookmarkEnd w:id="1903"/>
    </w:p>
    <w:p w14:paraId="1C03AAB8">
      <w:pPr>
        <w:keepNext/>
        <w:keepLines/>
        <w:widowControl/>
        <w:wordWrap w:val="0"/>
        <w:topLinePunct/>
        <w:adjustRightInd w:val="0"/>
        <w:snapToGrid w:val="0"/>
        <w:spacing w:after="156" w:afterLines="50" w:line="360" w:lineRule="auto"/>
        <w:jc w:val="center"/>
        <w:outlineLvl w:val="1"/>
        <w:rPr>
          <w:rFonts w:ascii="宋体" w:hAnsi="宋体" w:cs="宋体"/>
          <w:b/>
          <w:color w:val="auto"/>
          <w:kern w:val="0"/>
          <w:highlight w:val="none"/>
        </w:rPr>
      </w:pPr>
      <w:bookmarkStart w:id="1904" w:name="_Toc58860339"/>
      <w:r>
        <w:rPr>
          <w:rFonts w:hint="eastAsia" w:ascii="宋体" w:hAnsi="宋体" w:cs="宋体"/>
          <w:b/>
          <w:color w:val="auto"/>
          <w:kern w:val="0"/>
          <w:szCs w:val="21"/>
          <w:highlight w:val="none"/>
          <w:lang w:bidi="ar"/>
        </w:rPr>
        <w:t>附件</w:t>
      </w:r>
      <w:r>
        <w:rPr>
          <w:rFonts w:ascii="宋体" w:hAnsi="宋体" w:cs="宋体"/>
          <w:b/>
          <w:color w:val="auto"/>
          <w:kern w:val="0"/>
          <w:szCs w:val="21"/>
          <w:highlight w:val="none"/>
          <w:lang w:bidi="ar"/>
        </w:rPr>
        <w:t>6</w:t>
      </w:r>
      <w:r>
        <w:rPr>
          <w:rFonts w:hint="eastAsia" w:ascii="宋体" w:hAnsi="宋体" w:cs="宋体"/>
          <w:b/>
          <w:color w:val="auto"/>
          <w:kern w:val="0"/>
          <w:szCs w:val="21"/>
          <w:highlight w:val="none"/>
          <w:lang w:bidi="ar"/>
        </w:rPr>
        <w:t xml:space="preserve">  价格指数权重表</w:t>
      </w:r>
      <w:bookmarkEnd w:id="1904"/>
    </w:p>
    <w:tbl>
      <w:tblPr>
        <w:tblStyle w:val="45"/>
        <w:tblW w:w="84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
        <w:gridCol w:w="584"/>
        <w:gridCol w:w="876"/>
        <w:gridCol w:w="1215"/>
        <w:gridCol w:w="1080"/>
        <w:gridCol w:w="1215"/>
        <w:gridCol w:w="1230"/>
        <w:gridCol w:w="1380"/>
      </w:tblGrid>
      <w:tr w14:paraId="019E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jc w:val="center"/>
        </w:trPr>
        <w:tc>
          <w:tcPr>
            <w:tcW w:w="829" w:type="dxa"/>
            <w:vMerge w:val="restart"/>
            <w:tcBorders>
              <w:top w:val="single" w:color="auto" w:sz="4" w:space="0"/>
              <w:left w:val="single" w:color="auto" w:sz="4" w:space="0"/>
              <w:bottom w:val="single" w:color="auto" w:sz="4" w:space="0"/>
              <w:right w:val="single" w:color="auto" w:sz="4" w:space="0"/>
            </w:tcBorders>
            <w:shd w:val="clear" w:color="auto" w:fill="auto"/>
          </w:tcPr>
          <w:p w14:paraId="17E53613">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序号</w:t>
            </w:r>
          </w:p>
        </w:tc>
        <w:tc>
          <w:tcPr>
            <w:tcW w:w="1460" w:type="dxa"/>
            <w:gridSpan w:val="2"/>
            <w:vMerge w:val="restart"/>
            <w:tcBorders>
              <w:top w:val="single" w:color="auto" w:sz="4" w:space="0"/>
              <w:left w:val="nil"/>
              <w:bottom w:val="single" w:color="auto" w:sz="4" w:space="0"/>
              <w:right w:val="single" w:color="auto" w:sz="4" w:space="0"/>
            </w:tcBorders>
            <w:shd w:val="clear" w:color="auto" w:fill="auto"/>
          </w:tcPr>
          <w:p w14:paraId="0DD6B945">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名称</w:t>
            </w:r>
          </w:p>
        </w:tc>
        <w:tc>
          <w:tcPr>
            <w:tcW w:w="2295" w:type="dxa"/>
            <w:gridSpan w:val="2"/>
            <w:tcBorders>
              <w:top w:val="single" w:color="auto" w:sz="4" w:space="0"/>
              <w:left w:val="nil"/>
              <w:bottom w:val="single" w:color="auto" w:sz="4" w:space="0"/>
              <w:right w:val="single" w:color="auto" w:sz="4" w:space="0"/>
            </w:tcBorders>
            <w:shd w:val="clear" w:color="auto" w:fill="auto"/>
          </w:tcPr>
          <w:p w14:paraId="46CE21A2">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变更权重B</w:t>
            </w:r>
          </w:p>
        </w:tc>
        <w:tc>
          <w:tcPr>
            <w:tcW w:w="2445" w:type="dxa"/>
            <w:gridSpan w:val="2"/>
            <w:tcBorders>
              <w:top w:val="single" w:color="auto" w:sz="4" w:space="0"/>
              <w:left w:val="nil"/>
              <w:bottom w:val="single" w:color="auto" w:sz="4" w:space="0"/>
              <w:right w:val="single" w:color="auto" w:sz="4" w:space="0"/>
            </w:tcBorders>
            <w:shd w:val="clear" w:color="auto" w:fill="auto"/>
          </w:tcPr>
          <w:p w14:paraId="4D52C5C2">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基本价格指数F0</w:t>
            </w:r>
          </w:p>
        </w:tc>
        <w:tc>
          <w:tcPr>
            <w:tcW w:w="1380" w:type="dxa"/>
            <w:tcBorders>
              <w:top w:val="single" w:color="auto" w:sz="4" w:space="0"/>
              <w:left w:val="nil"/>
              <w:bottom w:val="single" w:color="auto" w:sz="4" w:space="0"/>
              <w:right w:val="single" w:color="auto" w:sz="4" w:space="0"/>
            </w:tcBorders>
            <w:shd w:val="clear" w:color="auto" w:fill="auto"/>
          </w:tcPr>
          <w:p w14:paraId="217062E8">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备注</w:t>
            </w:r>
          </w:p>
        </w:tc>
      </w:tr>
      <w:tr w14:paraId="57B23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829" w:type="dxa"/>
            <w:vMerge w:val="continue"/>
            <w:tcBorders>
              <w:top w:val="single" w:color="auto" w:sz="4" w:space="0"/>
              <w:left w:val="single" w:color="auto" w:sz="4" w:space="0"/>
              <w:bottom w:val="single" w:color="auto" w:sz="4" w:space="0"/>
              <w:right w:val="single" w:color="auto" w:sz="4" w:space="0"/>
            </w:tcBorders>
            <w:shd w:val="clear" w:color="auto" w:fill="auto"/>
          </w:tcPr>
          <w:p w14:paraId="4E5D5036">
            <w:pPr>
              <w:rPr>
                <w:rFonts w:ascii="Calibri" w:hAnsi="Calibri"/>
                <w:color w:val="auto"/>
                <w:sz w:val="20"/>
                <w:szCs w:val="20"/>
                <w:highlight w:val="none"/>
              </w:rPr>
            </w:pPr>
          </w:p>
        </w:tc>
        <w:tc>
          <w:tcPr>
            <w:tcW w:w="1460" w:type="dxa"/>
            <w:gridSpan w:val="2"/>
            <w:vMerge w:val="continue"/>
            <w:tcBorders>
              <w:top w:val="single" w:color="auto" w:sz="4" w:space="0"/>
              <w:left w:val="nil"/>
              <w:bottom w:val="single" w:color="auto" w:sz="4" w:space="0"/>
              <w:right w:val="single" w:color="auto" w:sz="4" w:space="0"/>
            </w:tcBorders>
            <w:shd w:val="clear" w:color="auto" w:fill="auto"/>
          </w:tcPr>
          <w:p w14:paraId="2FDC53D9">
            <w:pPr>
              <w:rPr>
                <w:rFonts w:ascii="Calibri" w:hAnsi="Calibri"/>
                <w:color w:val="auto"/>
                <w:sz w:val="20"/>
                <w:szCs w:val="2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168A1DE6">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代号</w:t>
            </w:r>
          </w:p>
        </w:tc>
        <w:tc>
          <w:tcPr>
            <w:tcW w:w="1080" w:type="dxa"/>
            <w:tcBorders>
              <w:top w:val="single" w:color="auto" w:sz="4" w:space="0"/>
              <w:left w:val="nil"/>
              <w:bottom w:val="single" w:color="auto" w:sz="4" w:space="0"/>
              <w:right w:val="single" w:color="auto" w:sz="4" w:space="0"/>
            </w:tcBorders>
            <w:shd w:val="clear" w:color="auto" w:fill="auto"/>
          </w:tcPr>
          <w:p w14:paraId="6061619D">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权重</w:t>
            </w:r>
          </w:p>
        </w:tc>
        <w:tc>
          <w:tcPr>
            <w:tcW w:w="1215" w:type="dxa"/>
            <w:tcBorders>
              <w:top w:val="single" w:color="auto" w:sz="4" w:space="0"/>
              <w:left w:val="nil"/>
              <w:bottom w:val="single" w:color="auto" w:sz="4" w:space="0"/>
              <w:right w:val="single" w:color="auto" w:sz="4" w:space="0"/>
            </w:tcBorders>
            <w:shd w:val="clear" w:color="auto" w:fill="auto"/>
          </w:tcPr>
          <w:p w14:paraId="1A370FCD">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代号</w:t>
            </w:r>
          </w:p>
        </w:tc>
        <w:tc>
          <w:tcPr>
            <w:tcW w:w="1230" w:type="dxa"/>
            <w:tcBorders>
              <w:top w:val="single" w:color="auto" w:sz="4" w:space="0"/>
              <w:left w:val="nil"/>
              <w:bottom w:val="single" w:color="auto" w:sz="4" w:space="0"/>
              <w:right w:val="single" w:color="auto" w:sz="4" w:space="0"/>
            </w:tcBorders>
            <w:shd w:val="clear" w:color="auto" w:fill="auto"/>
          </w:tcPr>
          <w:p w14:paraId="7FE57AAB">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指数</w:t>
            </w:r>
          </w:p>
        </w:tc>
        <w:tc>
          <w:tcPr>
            <w:tcW w:w="1380" w:type="dxa"/>
            <w:tcBorders>
              <w:top w:val="single" w:color="auto" w:sz="4" w:space="0"/>
              <w:left w:val="nil"/>
              <w:bottom w:val="single" w:color="auto" w:sz="4" w:space="0"/>
              <w:right w:val="single" w:color="auto" w:sz="4" w:space="0"/>
            </w:tcBorders>
            <w:shd w:val="clear" w:color="auto" w:fill="auto"/>
          </w:tcPr>
          <w:p w14:paraId="5BC87ABC">
            <w:pPr>
              <w:widowControl/>
              <w:adjustRightInd w:val="0"/>
              <w:snapToGrid w:val="0"/>
              <w:spacing w:after="156" w:afterLines="50" w:line="360" w:lineRule="auto"/>
              <w:rPr>
                <w:rFonts w:ascii="宋体" w:hAnsi="宋体" w:cs="宋体"/>
                <w:color w:val="auto"/>
                <w:kern w:val="0"/>
                <w:highlight w:val="none"/>
              </w:rPr>
            </w:pPr>
          </w:p>
        </w:tc>
      </w:tr>
      <w:tr w14:paraId="67D9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3FF0456D">
            <w:pPr>
              <w:widowControl/>
              <w:adjustRightInd w:val="0"/>
              <w:snapToGrid w:val="0"/>
              <w:spacing w:after="156" w:afterLines="50" w:line="360" w:lineRule="auto"/>
              <w:rPr>
                <w:rFonts w:ascii="宋体" w:hAnsi="宋体" w:cs="宋体"/>
                <w:color w:val="auto"/>
                <w:kern w:val="0"/>
                <w:highlight w:val="none"/>
              </w:rPr>
            </w:pPr>
          </w:p>
        </w:tc>
        <w:tc>
          <w:tcPr>
            <w:tcW w:w="584" w:type="dxa"/>
            <w:vMerge w:val="restart"/>
            <w:tcBorders>
              <w:top w:val="nil"/>
              <w:left w:val="nil"/>
              <w:bottom w:val="single" w:color="auto" w:sz="4" w:space="0"/>
              <w:right w:val="single" w:color="auto" w:sz="4" w:space="0"/>
            </w:tcBorders>
            <w:shd w:val="clear" w:color="auto" w:fill="auto"/>
          </w:tcPr>
          <w:p w14:paraId="6FF1BD98">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变</w:t>
            </w:r>
          </w:p>
          <w:p w14:paraId="0BF67716">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值</w:t>
            </w:r>
          </w:p>
          <w:p w14:paraId="2EBFC769">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部</w:t>
            </w:r>
          </w:p>
          <w:p w14:paraId="6A858B5A">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分</w:t>
            </w:r>
          </w:p>
        </w:tc>
        <w:tc>
          <w:tcPr>
            <w:tcW w:w="876" w:type="dxa"/>
            <w:tcBorders>
              <w:top w:val="single" w:color="auto" w:sz="4" w:space="0"/>
              <w:left w:val="nil"/>
              <w:bottom w:val="single" w:color="auto" w:sz="4" w:space="0"/>
              <w:right w:val="single" w:color="auto" w:sz="4" w:space="0"/>
            </w:tcBorders>
            <w:shd w:val="clear" w:color="auto" w:fill="auto"/>
          </w:tcPr>
          <w:p w14:paraId="1876E605">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6B6A788B">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B1</w:t>
            </w:r>
          </w:p>
        </w:tc>
        <w:tc>
          <w:tcPr>
            <w:tcW w:w="1080" w:type="dxa"/>
            <w:tcBorders>
              <w:top w:val="single" w:color="auto" w:sz="4" w:space="0"/>
              <w:left w:val="nil"/>
              <w:bottom w:val="single" w:color="auto" w:sz="4" w:space="0"/>
              <w:right w:val="single" w:color="auto" w:sz="4" w:space="0"/>
            </w:tcBorders>
            <w:shd w:val="clear" w:color="auto" w:fill="auto"/>
          </w:tcPr>
          <w:p w14:paraId="0E3CF139">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024654A2">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F01</w:t>
            </w:r>
          </w:p>
        </w:tc>
        <w:tc>
          <w:tcPr>
            <w:tcW w:w="1230" w:type="dxa"/>
            <w:tcBorders>
              <w:top w:val="single" w:color="auto" w:sz="4" w:space="0"/>
              <w:left w:val="nil"/>
              <w:bottom w:val="single" w:color="auto" w:sz="4" w:space="0"/>
              <w:right w:val="single" w:color="auto" w:sz="4" w:space="0"/>
            </w:tcBorders>
            <w:shd w:val="clear" w:color="auto" w:fill="auto"/>
          </w:tcPr>
          <w:p w14:paraId="37AA9E33">
            <w:pPr>
              <w:widowControl/>
              <w:adjustRightInd w:val="0"/>
              <w:snapToGrid w:val="0"/>
              <w:spacing w:after="156" w:afterLines="50" w:line="360" w:lineRule="auto"/>
              <w:rPr>
                <w:rFonts w:ascii="宋体" w:hAnsi="宋体" w:cs="宋体"/>
                <w:color w:val="auto"/>
                <w:kern w:val="0"/>
                <w:highlight w:val="none"/>
              </w:rPr>
            </w:pPr>
          </w:p>
        </w:tc>
        <w:tc>
          <w:tcPr>
            <w:tcW w:w="1380" w:type="dxa"/>
            <w:tcBorders>
              <w:top w:val="single" w:color="auto" w:sz="4" w:space="0"/>
              <w:left w:val="nil"/>
              <w:bottom w:val="single" w:color="auto" w:sz="4" w:space="0"/>
              <w:right w:val="single" w:color="auto" w:sz="4" w:space="0"/>
            </w:tcBorders>
            <w:shd w:val="clear" w:color="auto" w:fill="auto"/>
          </w:tcPr>
          <w:p w14:paraId="0F671467">
            <w:pPr>
              <w:widowControl/>
              <w:adjustRightInd w:val="0"/>
              <w:snapToGrid w:val="0"/>
              <w:spacing w:after="156" w:afterLines="50" w:line="360" w:lineRule="auto"/>
              <w:rPr>
                <w:rFonts w:ascii="宋体" w:hAnsi="宋体" w:cs="宋体"/>
                <w:color w:val="auto"/>
                <w:kern w:val="0"/>
                <w:highlight w:val="none"/>
              </w:rPr>
            </w:pPr>
          </w:p>
        </w:tc>
      </w:tr>
      <w:tr w14:paraId="0F290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44567FB0">
            <w:pPr>
              <w:widowControl/>
              <w:adjustRightInd w:val="0"/>
              <w:snapToGrid w:val="0"/>
              <w:spacing w:after="156" w:afterLines="50" w:line="360" w:lineRule="auto"/>
              <w:rPr>
                <w:rFonts w:ascii="宋体" w:hAnsi="宋体" w:cs="宋体"/>
                <w:color w:val="auto"/>
                <w:kern w:val="0"/>
                <w:highlight w:val="none"/>
              </w:rPr>
            </w:pPr>
          </w:p>
        </w:tc>
        <w:tc>
          <w:tcPr>
            <w:tcW w:w="584" w:type="dxa"/>
            <w:vMerge w:val="continue"/>
            <w:tcBorders>
              <w:top w:val="nil"/>
              <w:left w:val="nil"/>
              <w:bottom w:val="single" w:color="auto" w:sz="4" w:space="0"/>
              <w:right w:val="single" w:color="auto" w:sz="4" w:space="0"/>
            </w:tcBorders>
            <w:shd w:val="clear" w:color="auto" w:fill="auto"/>
          </w:tcPr>
          <w:p w14:paraId="315061D5">
            <w:pPr>
              <w:rPr>
                <w:rFonts w:ascii="Calibri" w:hAnsi="Calibri"/>
                <w:color w:val="auto"/>
                <w:sz w:val="20"/>
                <w:szCs w:val="20"/>
                <w:highlight w:val="none"/>
              </w:rPr>
            </w:pPr>
          </w:p>
        </w:tc>
        <w:tc>
          <w:tcPr>
            <w:tcW w:w="876" w:type="dxa"/>
            <w:tcBorders>
              <w:top w:val="single" w:color="auto" w:sz="4" w:space="0"/>
              <w:left w:val="nil"/>
              <w:bottom w:val="single" w:color="auto" w:sz="4" w:space="0"/>
              <w:right w:val="single" w:color="auto" w:sz="4" w:space="0"/>
            </w:tcBorders>
            <w:shd w:val="clear" w:color="auto" w:fill="auto"/>
          </w:tcPr>
          <w:p w14:paraId="1C9AF6CF">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24EF7578">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B2</w:t>
            </w:r>
          </w:p>
        </w:tc>
        <w:tc>
          <w:tcPr>
            <w:tcW w:w="1080" w:type="dxa"/>
            <w:tcBorders>
              <w:top w:val="single" w:color="auto" w:sz="4" w:space="0"/>
              <w:left w:val="nil"/>
              <w:bottom w:val="single" w:color="auto" w:sz="4" w:space="0"/>
              <w:right w:val="single" w:color="auto" w:sz="4" w:space="0"/>
            </w:tcBorders>
            <w:shd w:val="clear" w:color="auto" w:fill="auto"/>
          </w:tcPr>
          <w:p w14:paraId="15D2B026">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11D87A84">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F02</w:t>
            </w:r>
          </w:p>
        </w:tc>
        <w:tc>
          <w:tcPr>
            <w:tcW w:w="1230" w:type="dxa"/>
            <w:tcBorders>
              <w:top w:val="single" w:color="auto" w:sz="4" w:space="0"/>
              <w:left w:val="nil"/>
              <w:bottom w:val="single" w:color="auto" w:sz="4" w:space="0"/>
              <w:right w:val="single" w:color="auto" w:sz="4" w:space="0"/>
            </w:tcBorders>
            <w:shd w:val="clear" w:color="auto" w:fill="auto"/>
          </w:tcPr>
          <w:p w14:paraId="5A9027FC">
            <w:pPr>
              <w:widowControl/>
              <w:adjustRightInd w:val="0"/>
              <w:snapToGrid w:val="0"/>
              <w:spacing w:after="156" w:afterLines="50" w:line="360" w:lineRule="auto"/>
              <w:rPr>
                <w:rFonts w:ascii="宋体" w:hAnsi="宋体" w:cs="宋体"/>
                <w:color w:val="auto"/>
                <w:kern w:val="0"/>
                <w:highlight w:val="none"/>
              </w:rPr>
            </w:pPr>
          </w:p>
        </w:tc>
        <w:tc>
          <w:tcPr>
            <w:tcW w:w="1380" w:type="dxa"/>
            <w:tcBorders>
              <w:top w:val="single" w:color="auto" w:sz="4" w:space="0"/>
              <w:left w:val="nil"/>
              <w:bottom w:val="single" w:color="auto" w:sz="4" w:space="0"/>
              <w:right w:val="single" w:color="auto" w:sz="4" w:space="0"/>
            </w:tcBorders>
            <w:shd w:val="clear" w:color="auto" w:fill="auto"/>
          </w:tcPr>
          <w:p w14:paraId="0BC85EFE">
            <w:pPr>
              <w:widowControl/>
              <w:adjustRightInd w:val="0"/>
              <w:snapToGrid w:val="0"/>
              <w:spacing w:after="156" w:afterLines="50" w:line="360" w:lineRule="auto"/>
              <w:rPr>
                <w:rFonts w:ascii="宋体" w:hAnsi="宋体" w:cs="宋体"/>
                <w:color w:val="auto"/>
                <w:kern w:val="0"/>
                <w:highlight w:val="none"/>
              </w:rPr>
            </w:pPr>
          </w:p>
        </w:tc>
      </w:tr>
      <w:tr w14:paraId="33E82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7B36637C">
            <w:pPr>
              <w:widowControl/>
              <w:adjustRightInd w:val="0"/>
              <w:snapToGrid w:val="0"/>
              <w:spacing w:after="156" w:afterLines="50" w:line="360" w:lineRule="auto"/>
              <w:rPr>
                <w:rFonts w:ascii="宋体" w:hAnsi="宋体" w:cs="宋体"/>
                <w:color w:val="auto"/>
                <w:kern w:val="0"/>
                <w:highlight w:val="none"/>
              </w:rPr>
            </w:pPr>
          </w:p>
        </w:tc>
        <w:tc>
          <w:tcPr>
            <w:tcW w:w="584" w:type="dxa"/>
            <w:vMerge w:val="continue"/>
            <w:tcBorders>
              <w:top w:val="nil"/>
              <w:left w:val="nil"/>
              <w:bottom w:val="single" w:color="auto" w:sz="4" w:space="0"/>
              <w:right w:val="single" w:color="auto" w:sz="4" w:space="0"/>
            </w:tcBorders>
            <w:shd w:val="clear" w:color="auto" w:fill="auto"/>
          </w:tcPr>
          <w:p w14:paraId="7DEA74DB">
            <w:pPr>
              <w:rPr>
                <w:rFonts w:ascii="Calibri" w:hAnsi="Calibri"/>
                <w:color w:val="auto"/>
                <w:sz w:val="20"/>
                <w:szCs w:val="20"/>
                <w:highlight w:val="none"/>
              </w:rPr>
            </w:pPr>
          </w:p>
        </w:tc>
        <w:tc>
          <w:tcPr>
            <w:tcW w:w="876" w:type="dxa"/>
            <w:tcBorders>
              <w:top w:val="single" w:color="auto" w:sz="4" w:space="0"/>
              <w:left w:val="nil"/>
              <w:bottom w:val="single" w:color="auto" w:sz="4" w:space="0"/>
              <w:right w:val="single" w:color="auto" w:sz="4" w:space="0"/>
            </w:tcBorders>
            <w:shd w:val="clear" w:color="auto" w:fill="auto"/>
          </w:tcPr>
          <w:p w14:paraId="41ED9D22">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6BBEBFD3">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B3</w:t>
            </w:r>
          </w:p>
        </w:tc>
        <w:tc>
          <w:tcPr>
            <w:tcW w:w="1080" w:type="dxa"/>
            <w:tcBorders>
              <w:top w:val="single" w:color="auto" w:sz="4" w:space="0"/>
              <w:left w:val="nil"/>
              <w:bottom w:val="single" w:color="auto" w:sz="4" w:space="0"/>
              <w:right w:val="single" w:color="auto" w:sz="4" w:space="0"/>
            </w:tcBorders>
            <w:shd w:val="clear" w:color="auto" w:fill="auto"/>
          </w:tcPr>
          <w:p w14:paraId="5F97E95D">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2FCEA557">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F03</w:t>
            </w:r>
          </w:p>
        </w:tc>
        <w:tc>
          <w:tcPr>
            <w:tcW w:w="1230" w:type="dxa"/>
            <w:tcBorders>
              <w:top w:val="single" w:color="auto" w:sz="4" w:space="0"/>
              <w:left w:val="nil"/>
              <w:bottom w:val="single" w:color="auto" w:sz="4" w:space="0"/>
              <w:right w:val="single" w:color="auto" w:sz="4" w:space="0"/>
            </w:tcBorders>
            <w:shd w:val="clear" w:color="auto" w:fill="auto"/>
          </w:tcPr>
          <w:p w14:paraId="2A3A66D3">
            <w:pPr>
              <w:widowControl/>
              <w:adjustRightInd w:val="0"/>
              <w:snapToGrid w:val="0"/>
              <w:spacing w:after="156" w:afterLines="50" w:line="360" w:lineRule="auto"/>
              <w:rPr>
                <w:rFonts w:ascii="宋体" w:hAnsi="宋体" w:cs="宋体"/>
                <w:color w:val="auto"/>
                <w:kern w:val="0"/>
                <w:highlight w:val="none"/>
              </w:rPr>
            </w:pPr>
          </w:p>
        </w:tc>
        <w:tc>
          <w:tcPr>
            <w:tcW w:w="1380" w:type="dxa"/>
            <w:tcBorders>
              <w:top w:val="single" w:color="auto" w:sz="4" w:space="0"/>
              <w:left w:val="nil"/>
              <w:bottom w:val="single" w:color="auto" w:sz="4" w:space="0"/>
              <w:right w:val="single" w:color="auto" w:sz="4" w:space="0"/>
            </w:tcBorders>
            <w:shd w:val="clear" w:color="auto" w:fill="auto"/>
          </w:tcPr>
          <w:p w14:paraId="022530C6">
            <w:pPr>
              <w:widowControl/>
              <w:adjustRightInd w:val="0"/>
              <w:snapToGrid w:val="0"/>
              <w:spacing w:after="156" w:afterLines="50" w:line="360" w:lineRule="auto"/>
              <w:rPr>
                <w:rFonts w:ascii="宋体" w:hAnsi="宋体" w:cs="宋体"/>
                <w:color w:val="auto"/>
                <w:kern w:val="0"/>
                <w:highlight w:val="none"/>
              </w:rPr>
            </w:pPr>
          </w:p>
        </w:tc>
      </w:tr>
      <w:tr w14:paraId="5CE64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5F1EFC1B">
            <w:pPr>
              <w:widowControl/>
              <w:adjustRightInd w:val="0"/>
              <w:snapToGrid w:val="0"/>
              <w:spacing w:after="156" w:afterLines="50" w:line="360" w:lineRule="auto"/>
              <w:rPr>
                <w:rFonts w:ascii="宋体" w:hAnsi="宋体" w:cs="宋体"/>
                <w:color w:val="auto"/>
                <w:kern w:val="0"/>
                <w:highlight w:val="none"/>
              </w:rPr>
            </w:pPr>
          </w:p>
        </w:tc>
        <w:tc>
          <w:tcPr>
            <w:tcW w:w="584" w:type="dxa"/>
            <w:vMerge w:val="continue"/>
            <w:tcBorders>
              <w:top w:val="nil"/>
              <w:left w:val="nil"/>
              <w:bottom w:val="single" w:color="auto" w:sz="4" w:space="0"/>
              <w:right w:val="single" w:color="auto" w:sz="4" w:space="0"/>
            </w:tcBorders>
            <w:shd w:val="clear" w:color="auto" w:fill="auto"/>
          </w:tcPr>
          <w:p w14:paraId="641C2994">
            <w:pPr>
              <w:rPr>
                <w:rFonts w:ascii="Calibri" w:hAnsi="Calibri"/>
                <w:color w:val="auto"/>
                <w:sz w:val="20"/>
                <w:szCs w:val="20"/>
                <w:highlight w:val="none"/>
              </w:rPr>
            </w:pPr>
          </w:p>
        </w:tc>
        <w:tc>
          <w:tcPr>
            <w:tcW w:w="876" w:type="dxa"/>
            <w:tcBorders>
              <w:top w:val="single" w:color="auto" w:sz="4" w:space="0"/>
              <w:left w:val="nil"/>
              <w:bottom w:val="single" w:color="auto" w:sz="4" w:space="0"/>
              <w:right w:val="single" w:color="auto" w:sz="4" w:space="0"/>
            </w:tcBorders>
            <w:shd w:val="clear" w:color="auto" w:fill="auto"/>
          </w:tcPr>
          <w:p w14:paraId="09917F02">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110F81D8">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B4</w:t>
            </w:r>
          </w:p>
        </w:tc>
        <w:tc>
          <w:tcPr>
            <w:tcW w:w="1080" w:type="dxa"/>
            <w:tcBorders>
              <w:top w:val="single" w:color="auto" w:sz="4" w:space="0"/>
              <w:left w:val="nil"/>
              <w:bottom w:val="single" w:color="auto" w:sz="4" w:space="0"/>
              <w:right w:val="single" w:color="auto" w:sz="4" w:space="0"/>
            </w:tcBorders>
            <w:shd w:val="clear" w:color="auto" w:fill="auto"/>
          </w:tcPr>
          <w:p w14:paraId="384F01B2">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53EE3E94">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F04</w:t>
            </w:r>
          </w:p>
        </w:tc>
        <w:tc>
          <w:tcPr>
            <w:tcW w:w="1230" w:type="dxa"/>
            <w:tcBorders>
              <w:top w:val="single" w:color="auto" w:sz="4" w:space="0"/>
              <w:left w:val="nil"/>
              <w:bottom w:val="single" w:color="auto" w:sz="4" w:space="0"/>
              <w:right w:val="single" w:color="auto" w:sz="4" w:space="0"/>
            </w:tcBorders>
            <w:shd w:val="clear" w:color="auto" w:fill="auto"/>
          </w:tcPr>
          <w:p w14:paraId="79970876">
            <w:pPr>
              <w:widowControl/>
              <w:adjustRightInd w:val="0"/>
              <w:snapToGrid w:val="0"/>
              <w:spacing w:after="156" w:afterLines="50" w:line="360" w:lineRule="auto"/>
              <w:rPr>
                <w:rFonts w:ascii="宋体" w:hAnsi="宋体" w:cs="宋体"/>
                <w:color w:val="auto"/>
                <w:kern w:val="0"/>
                <w:highlight w:val="none"/>
              </w:rPr>
            </w:pPr>
          </w:p>
        </w:tc>
        <w:tc>
          <w:tcPr>
            <w:tcW w:w="1380" w:type="dxa"/>
            <w:tcBorders>
              <w:top w:val="single" w:color="auto" w:sz="4" w:space="0"/>
              <w:left w:val="nil"/>
              <w:bottom w:val="single" w:color="auto" w:sz="4" w:space="0"/>
              <w:right w:val="single" w:color="auto" w:sz="4" w:space="0"/>
            </w:tcBorders>
            <w:shd w:val="clear" w:color="auto" w:fill="auto"/>
          </w:tcPr>
          <w:p w14:paraId="46C7E87D">
            <w:pPr>
              <w:widowControl/>
              <w:adjustRightInd w:val="0"/>
              <w:snapToGrid w:val="0"/>
              <w:spacing w:after="156" w:afterLines="50" w:line="360" w:lineRule="auto"/>
              <w:rPr>
                <w:rFonts w:ascii="宋体" w:hAnsi="宋体" w:cs="宋体"/>
                <w:color w:val="auto"/>
                <w:kern w:val="0"/>
                <w:highlight w:val="none"/>
              </w:rPr>
            </w:pPr>
          </w:p>
        </w:tc>
      </w:tr>
      <w:tr w14:paraId="37B59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4C058750">
            <w:pPr>
              <w:widowControl/>
              <w:adjustRightInd w:val="0"/>
              <w:snapToGrid w:val="0"/>
              <w:spacing w:after="156" w:afterLines="50" w:line="360" w:lineRule="auto"/>
              <w:rPr>
                <w:rFonts w:ascii="宋体" w:hAnsi="宋体" w:cs="宋体"/>
                <w:color w:val="auto"/>
                <w:kern w:val="0"/>
                <w:highlight w:val="none"/>
              </w:rPr>
            </w:pPr>
          </w:p>
        </w:tc>
        <w:tc>
          <w:tcPr>
            <w:tcW w:w="584" w:type="dxa"/>
            <w:vMerge w:val="continue"/>
            <w:tcBorders>
              <w:top w:val="nil"/>
              <w:left w:val="nil"/>
              <w:bottom w:val="single" w:color="auto" w:sz="4" w:space="0"/>
              <w:right w:val="single" w:color="auto" w:sz="4" w:space="0"/>
            </w:tcBorders>
            <w:shd w:val="clear" w:color="auto" w:fill="auto"/>
          </w:tcPr>
          <w:p w14:paraId="55761050">
            <w:pPr>
              <w:rPr>
                <w:rFonts w:ascii="Calibri" w:hAnsi="Calibri"/>
                <w:color w:val="auto"/>
                <w:sz w:val="20"/>
                <w:szCs w:val="20"/>
                <w:highlight w:val="none"/>
              </w:rPr>
            </w:pPr>
          </w:p>
        </w:tc>
        <w:tc>
          <w:tcPr>
            <w:tcW w:w="876" w:type="dxa"/>
            <w:tcBorders>
              <w:top w:val="single" w:color="auto" w:sz="4" w:space="0"/>
              <w:left w:val="nil"/>
              <w:bottom w:val="single" w:color="auto" w:sz="4" w:space="0"/>
              <w:right w:val="single" w:color="auto" w:sz="4" w:space="0"/>
            </w:tcBorders>
            <w:shd w:val="clear" w:color="auto" w:fill="auto"/>
          </w:tcPr>
          <w:p w14:paraId="3048DDF3">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5BE9079F">
            <w:pPr>
              <w:widowControl/>
              <w:adjustRightInd w:val="0"/>
              <w:snapToGrid w:val="0"/>
              <w:spacing w:after="156" w:afterLines="50" w:line="360" w:lineRule="auto"/>
              <w:rPr>
                <w:rFonts w:ascii="宋体" w:hAnsi="宋体" w:cs="宋体"/>
                <w:color w:val="auto"/>
                <w:kern w:val="0"/>
                <w:highlight w:val="none"/>
              </w:rPr>
            </w:pPr>
          </w:p>
        </w:tc>
        <w:tc>
          <w:tcPr>
            <w:tcW w:w="1080" w:type="dxa"/>
            <w:tcBorders>
              <w:top w:val="single" w:color="auto" w:sz="4" w:space="0"/>
              <w:left w:val="nil"/>
              <w:bottom w:val="single" w:color="auto" w:sz="4" w:space="0"/>
              <w:right w:val="single" w:color="auto" w:sz="4" w:space="0"/>
            </w:tcBorders>
            <w:shd w:val="clear" w:color="auto" w:fill="auto"/>
          </w:tcPr>
          <w:p w14:paraId="09FF408B">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2BF1A3A0">
            <w:pPr>
              <w:widowControl/>
              <w:adjustRightInd w:val="0"/>
              <w:snapToGrid w:val="0"/>
              <w:spacing w:after="156" w:afterLines="50" w:line="360" w:lineRule="auto"/>
              <w:rPr>
                <w:rFonts w:ascii="宋体" w:hAnsi="宋体" w:cs="宋体"/>
                <w:color w:val="auto"/>
                <w:kern w:val="0"/>
                <w:highlight w:val="none"/>
              </w:rPr>
            </w:pPr>
          </w:p>
        </w:tc>
        <w:tc>
          <w:tcPr>
            <w:tcW w:w="1230" w:type="dxa"/>
            <w:tcBorders>
              <w:top w:val="single" w:color="auto" w:sz="4" w:space="0"/>
              <w:left w:val="nil"/>
              <w:bottom w:val="single" w:color="auto" w:sz="4" w:space="0"/>
              <w:right w:val="single" w:color="auto" w:sz="4" w:space="0"/>
            </w:tcBorders>
            <w:shd w:val="clear" w:color="auto" w:fill="auto"/>
          </w:tcPr>
          <w:p w14:paraId="18FF5395">
            <w:pPr>
              <w:widowControl/>
              <w:adjustRightInd w:val="0"/>
              <w:snapToGrid w:val="0"/>
              <w:spacing w:after="156" w:afterLines="50" w:line="360" w:lineRule="auto"/>
              <w:rPr>
                <w:rFonts w:ascii="宋体" w:hAnsi="宋体" w:cs="宋体"/>
                <w:color w:val="auto"/>
                <w:kern w:val="0"/>
                <w:highlight w:val="none"/>
              </w:rPr>
            </w:pPr>
          </w:p>
        </w:tc>
        <w:tc>
          <w:tcPr>
            <w:tcW w:w="1380" w:type="dxa"/>
            <w:tcBorders>
              <w:top w:val="single" w:color="auto" w:sz="4" w:space="0"/>
              <w:left w:val="nil"/>
              <w:bottom w:val="single" w:color="auto" w:sz="4" w:space="0"/>
              <w:right w:val="single" w:color="auto" w:sz="4" w:space="0"/>
            </w:tcBorders>
            <w:shd w:val="clear" w:color="auto" w:fill="auto"/>
          </w:tcPr>
          <w:p w14:paraId="66F749FF">
            <w:pPr>
              <w:widowControl/>
              <w:adjustRightInd w:val="0"/>
              <w:snapToGrid w:val="0"/>
              <w:spacing w:after="156" w:afterLines="50" w:line="360" w:lineRule="auto"/>
              <w:rPr>
                <w:rFonts w:ascii="宋体" w:hAnsi="宋体" w:cs="宋体"/>
                <w:color w:val="auto"/>
                <w:kern w:val="0"/>
                <w:highlight w:val="none"/>
              </w:rPr>
            </w:pPr>
          </w:p>
        </w:tc>
      </w:tr>
      <w:tr w14:paraId="72314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 w:type="dxa"/>
            <w:tcBorders>
              <w:top w:val="single" w:color="auto" w:sz="4" w:space="0"/>
              <w:left w:val="single" w:color="auto" w:sz="4" w:space="0"/>
              <w:bottom w:val="single" w:color="auto" w:sz="4" w:space="0"/>
              <w:right w:val="single" w:color="auto" w:sz="4" w:space="0"/>
            </w:tcBorders>
            <w:shd w:val="clear" w:color="auto" w:fill="auto"/>
          </w:tcPr>
          <w:p w14:paraId="3E570A02">
            <w:pPr>
              <w:widowControl/>
              <w:adjustRightInd w:val="0"/>
              <w:snapToGrid w:val="0"/>
              <w:spacing w:after="156" w:afterLines="50" w:line="360" w:lineRule="auto"/>
              <w:rPr>
                <w:rFonts w:ascii="宋体" w:hAnsi="宋体" w:cs="宋体"/>
                <w:color w:val="auto"/>
                <w:kern w:val="0"/>
                <w:highlight w:val="none"/>
              </w:rPr>
            </w:pPr>
          </w:p>
        </w:tc>
        <w:tc>
          <w:tcPr>
            <w:tcW w:w="584" w:type="dxa"/>
            <w:vMerge w:val="continue"/>
            <w:tcBorders>
              <w:top w:val="nil"/>
              <w:left w:val="nil"/>
              <w:bottom w:val="single" w:color="auto" w:sz="4" w:space="0"/>
              <w:right w:val="single" w:color="auto" w:sz="4" w:space="0"/>
            </w:tcBorders>
            <w:shd w:val="clear" w:color="auto" w:fill="auto"/>
          </w:tcPr>
          <w:p w14:paraId="67C40076">
            <w:pPr>
              <w:rPr>
                <w:rFonts w:ascii="Calibri" w:hAnsi="Calibri"/>
                <w:color w:val="auto"/>
                <w:sz w:val="20"/>
                <w:szCs w:val="20"/>
                <w:highlight w:val="none"/>
              </w:rPr>
            </w:pPr>
          </w:p>
        </w:tc>
        <w:tc>
          <w:tcPr>
            <w:tcW w:w="876" w:type="dxa"/>
            <w:tcBorders>
              <w:top w:val="single" w:color="auto" w:sz="4" w:space="0"/>
              <w:left w:val="nil"/>
              <w:bottom w:val="single" w:color="auto" w:sz="4" w:space="0"/>
              <w:right w:val="single" w:color="auto" w:sz="4" w:space="0"/>
            </w:tcBorders>
            <w:shd w:val="clear" w:color="auto" w:fill="auto"/>
          </w:tcPr>
          <w:p w14:paraId="6D0E2A58">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1065EA69">
            <w:pPr>
              <w:widowControl/>
              <w:adjustRightInd w:val="0"/>
              <w:snapToGrid w:val="0"/>
              <w:spacing w:after="156" w:afterLines="50" w:line="360" w:lineRule="auto"/>
              <w:rPr>
                <w:rFonts w:ascii="宋体" w:hAnsi="宋体" w:cs="宋体"/>
                <w:color w:val="auto"/>
                <w:kern w:val="0"/>
                <w:highlight w:val="none"/>
              </w:rPr>
            </w:pPr>
          </w:p>
        </w:tc>
        <w:tc>
          <w:tcPr>
            <w:tcW w:w="1080" w:type="dxa"/>
            <w:tcBorders>
              <w:top w:val="single" w:color="auto" w:sz="4" w:space="0"/>
              <w:left w:val="nil"/>
              <w:bottom w:val="single" w:color="auto" w:sz="4" w:space="0"/>
              <w:right w:val="single" w:color="auto" w:sz="4" w:space="0"/>
            </w:tcBorders>
            <w:shd w:val="clear" w:color="auto" w:fill="auto"/>
          </w:tcPr>
          <w:p w14:paraId="3543BA29">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2E55C03F">
            <w:pPr>
              <w:widowControl/>
              <w:adjustRightInd w:val="0"/>
              <w:snapToGrid w:val="0"/>
              <w:spacing w:after="156" w:afterLines="50" w:line="360" w:lineRule="auto"/>
              <w:rPr>
                <w:rFonts w:ascii="宋体" w:hAnsi="宋体" w:cs="宋体"/>
                <w:color w:val="auto"/>
                <w:kern w:val="0"/>
                <w:highlight w:val="none"/>
              </w:rPr>
            </w:pPr>
          </w:p>
        </w:tc>
        <w:tc>
          <w:tcPr>
            <w:tcW w:w="1230" w:type="dxa"/>
            <w:tcBorders>
              <w:top w:val="single" w:color="auto" w:sz="4" w:space="0"/>
              <w:left w:val="nil"/>
              <w:bottom w:val="single" w:color="auto" w:sz="4" w:space="0"/>
              <w:right w:val="single" w:color="auto" w:sz="4" w:space="0"/>
            </w:tcBorders>
            <w:shd w:val="clear" w:color="auto" w:fill="auto"/>
          </w:tcPr>
          <w:p w14:paraId="3DEBD524">
            <w:pPr>
              <w:widowControl/>
              <w:adjustRightInd w:val="0"/>
              <w:snapToGrid w:val="0"/>
              <w:spacing w:after="156" w:afterLines="50" w:line="360" w:lineRule="auto"/>
              <w:rPr>
                <w:rFonts w:ascii="宋体" w:hAnsi="宋体" w:cs="宋体"/>
                <w:color w:val="auto"/>
                <w:kern w:val="0"/>
                <w:highlight w:val="none"/>
              </w:rPr>
            </w:pPr>
          </w:p>
        </w:tc>
        <w:tc>
          <w:tcPr>
            <w:tcW w:w="1380" w:type="dxa"/>
            <w:tcBorders>
              <w:top w:val="single" w:color="auto" w:sz="4" w:space="0"/>
              <w:left w:val="nil"/>
              <w:bottom w:val="single" w:color="auto" w:sz="4" w:space="0"/>
              <w:right w:val="single" w:color="auto" w:sz="4" w:space="0"/>
            </w:tcBorders>
            <w:shd w:val="clear" w:color="auto" w:fill="auto"/>
          </w:tcPr>
          <w:p w14:paraId="6B0729D3">
            <w:pPr>
              <w:widowControl/>
              <w:adjustRightInd w:val="0"/>
              <w:snapToGrid w:val="0"/>
              <w:spacing w:after="156" w:afterLines="50" w:line="360" w:lineRule="auto"/>
              <w:rPr>
                <w:rFonts w:ascii="宋体" w:hAnsi="宋体" w:cs="宋体"/>
                <w:color w:val="auto"/>
                <w:kern w:val="0"/>
                <w:highlight w:val="none"/>
              </w:rPr>
            </w:pPr>
          </w:p>
        </w:tc>
      </w:tr>
      <w:tr w14:paraId="5F8DD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9" w:type="dxa"/>
            <w:gridSpan w:val="3"/>
            <w:tcBorders>
              <w:top w:val="single" w:color="auto" w:sz="4" w:space="0"/>
              <w:left w:val="single" w:color="auto" w:sz="4" w:space="0"/>
              <w:bottom w:val="single" w:color="auto" w:sz="4" w:space="0"/>
              <w:right w:val="single" w:color="auto" w:sz="4" w:space="0"/>
            </w:tcBorders>
            <w:shd w:val="clear" w:color="auto" w:fill="auto"/>
          </w:tcPr>
          <w:p w14:paraId="1F1B3A66">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定值部分权重A</w:t>
            </w:r>
          </w:p>
        </w:tc>
        <w:tc>
          <w:tcPr>
            <w:tcW w:w="1215" w:type="dxa"/>
            <w:tcBorders>
              <w:top w:val="single" w:color="auto" w:sz="4" w:space="0"/>
              <w:left w:val="nil"/>
              <w:bottom w:val="single" w:color="auto" w:sz="4" w:space="0"/>
              <w:right w:val="single" w:color="auto" w:sz="4" w:space="0"/>
            </w:tcBorders>
            <w:shd w:val="clear" w:color="auto" w:fill="auto"/>
          </w:tcPr>
          <w:p w14:paraId="114E1784">
            <w:pPr>
              <w:widowControl/>
              <w:adjustRightInd w:val="0"/>
              <w:snapToGrid w:val="0"/>
              <w:spacing w:after="156" w:afterLines="50" w:line="360" w:lineRule="auto"/>
              <w:rPr>
                <w:rFonts w:ascii="宋体" w:hAnsi="宋体" w:cs="宋体"/>
                <w:color w:val="auto"/>
                <w:kern w:val="0"/>
                <w:highlight w:val="none"/>
              </w:rPr>
            </w:pPr>
          </w:p>
        </w:tc>
        <w:tc>
          <w:tcPr>
            <w:tcW w:w="1080" w:type="dxa"/>
            <w:tcBorders>
              <w:top w:val="single" w:color="auto" w:sz="4" w:space="0"/>
              <w:left w:val="nil"/>
              <w:bottom w:val="single" w:color="auto" w:sz="4" w:space="0"/>
              <w:right w:val="single" w:color="auto" w:sz="4" w:space="0"/>
            </w:tcBorders>
            <w:shd w:val="clear" w:color="auto" w:fill="auto"/>
          </w:tcPr>
          <w:p w14:paraId="00720258">
            <w:pPr>
              <w:widowControl/>
              <w:adjustRightInd w:val="0"/>
              <w:snapToGrid w:val="0"/>
              <w:spacing w:after="156" w:afterLines="50" w:line="360" w:lineRule="auto"/>
              <w:rPr>
                <w:rFonts w:ascii="宋体" w:hAnsi="宋体" w:cs="宋体"/>
                <w:color w:val="auto"/>
                <w:kern w:val="0"/>
                <w:highlight w:val="none"/>
              </w:rPr>
            </w:pPr>
          </w:p>
        </w:tc>
        <w:tc>
          <w:tcPr>
            <w:tcW w:w="1215" w:type="dxa"/>
            <w:tcBorders>
              <w:top w:val="single" w:color="auto" w:sz="4" w:space="0"/>
              <w:left w:val="nil"/>
              <w:bottom w:val="single" w:color="auto" w:sz="4" w:space="0"/>
              <w:right w:val="single" w:color="auto" w:sz="4" w:space="0"/>
            </w:tcBorders>
            <w:shd w:val="clear" w:color="auto" w:fill="auto"/>
          </w:tcPr>
          <w:p w14:paraId="3BE8C0A7">
            <w:pPr>
              <w:widowControl/>
              <w:adjustRightInd w:val="0"/>
              <w:snapToGrid w:val="0"/>
              <w:spacing w:after="156" w:afterLines="50" w:line="360" w:lineRule="auto"/>
              <w:rPr>
                <w:rFonts w:ascii="宋体" w:hAnsi="宋体" w:cs="宋体"/>
                <w:color w:val="auto"/>
                <w:kern w:val="0"/>
                <w:highlight w:val="none"/>
              </w:rPr>
            </w:pPr>
          </w:p>
        </w:tc>
        <w:tc>
          <w:tcPr>
            <w:tcW w:w="1230" w:type="dxa"/>
            <w:tcBorders>
              <w:top w:val="single" w:color="auto" w:sz="4" w:space="0"/>
              <w:left w:val="nil"/>
              <w:bottom w:val="single" w:color="auto" w:sz="4" w:space="0"/>
              <w:right w:val="single" w:color="auto" w:sz="4" w:space="0"/>
            </w:tcBorders>
            <w:shd w:val="clear" w:color="auto" w:fill="auto"/>
          </w:tcPr>
          <w:p w14:paraId="6D1F7145">
            <w:pPr>
              <w:widowControl/>
              <w:adjustRightInd w:val="0"/>
              <w:snapToGrid w:val="0"/>
              <w:spacing w:after="156" w:afterLines="50" w:line="360" w:lineRule="auto"/>
              <w:rPr>
                <w:rFonts w:ascii="宋体" w:hAnsi="宋体" w:cs="宋体"/>
                <w:color w:val="auto"/>
                <w:kern w:val="0"/>
                <w:highlight w:val="none"/>
              </w:rPr>
            </w:pPr>
          </w:p>
        </w:tc>
        <w:tc>
          <w:tcPr>
            <w:tcW w:w="1380" w:type="dxa"/>
            <w:tcBorders>
              <w:top w:val="single" w:color="auto" w:sz="4" w:space="0"/>
              <w:left w:val="nil"/>
              <w:bottom w:val="single" w:color="auto" w:sz="4" w:space="0"/>
              <w:right w:val="single" w:color="auto" w:sz="4" w:space="0"/>
            </w:tcBorders>
            <w:shd w:val="clear" w:color="auto" w:fill="auto"/>
          </w:tcPr>
          <w:p w14:paraId="19D4C9DF">
            <w:pPr>
              <w:widowControl/>
              <w:adjustRightInd w:val="0"/>
              <w:snapToGrid w:val="0"/>
              <w:spacing w:after="156" w:afterLines="50" w:line="360" w:lineRule="auto"/>
              <w:rPr>
                <w:rFonts w:ascii="宋体" w:hAnsi="宋体" w:cs="宋体"/>
                <w:color w:val="auto"/>
                <w:kern w:val="0"/>
                <w:highlight w:val="none"/>
              </w:rPr>
            </w:pPr>
          </w:p>
        </w:tc>
      </w:tr>
      <w:tr w14:paraId="37189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89" w:type="dxa"/>
            <w:gridSpan w:val="3"/>
            <w:tcBorders>
              <w:top w:val="single" w:color="auto" w:sz="4" w:space="0"/>
              <w:left w:val="single" w:color="auto" w:sz="4" w:space="0"/>
              <w:bottom w:val="single" w:color="auto" w:sz="4" w:space="0"/>
              <w:right w:val="single" w:color="auto" w:sz="4" w:space="0"/>
            </w:tcBorders>
            <w:shd w:val="clear" w:color="auto" w:fill="auto"/>
          </w:tcPr>
          <w:p w14:paraId="47BA2EB9">
            <w:pPr>
              <w:widowControl/>
              <w:adjustRightInd w:val="0"/>
              <w:snapToGrid w:val="0"/>
              <w:spacing w:after="156" w:afterLines="50" w:line="360" w:lineRule="auto"/>
              <w:rPr>
                <w:rFonts w:ascii="宋体" w:hAnsi="宋体" w:cs="宋体"/>
                <w:color w:val="auto"/>
                <w:kern w:val="0"/>
                <w:highlight w:val="none"/>
              </w:rPr>
            </w:pPr>
            <w:r>
              <w:rPr>
                <w:rFonts w:hint="eastAsia" w:ascii="宋体" w:hAnsi="宋体" w:cs="宋体"/>
                <w:color w:val="auto"/>
                <w:kern w:val="0"/>
                <w:szCs w:val="21"/>
                <w:highlight w:val="none"/>
                <w:lang w:bidi="ar"/>
              </w:rPr>
              <w:t>合计</w:t>
            </w:r>
          </w:p>
        </w:tc>
        <w:tc>
          <w:tcPr>
            <w:tcW w:w="2295" w:type="dxa"/>
            <w:gridSpan w:val="2"/>
            <w:tcBorders>
              <w:top w:val="single" w:color="auto" w:sz="4" w:space="0"/>
              <w:left w:val="nil"/>
              <w:bottom w:val="single" w:color="auto" w:sz="4" w:space="0"/>
              <w:right w:val="single" w:color="auto" w:sz="4" w:space="0"/>
            </w:tcBorders>
            <w:shd w:val="clear" w:color="auto" w:fill="auto"/>
          </w:tcPr>
          <w:p w14:paraId="7A7419FC">
            <w:pPr>
              <w:widowControl/>
              <w:adjustRightInd w:val="0"/>
              <w:snapToGrid w:val="0"/>
              <w:spacing w:after="156" w:afterLines="50" w:line="360" w:lineRule="auto"/>
              <w:rPr>
                <w:rFonts w:ascii="宋体" w:hAnsi="宋体" w:cs="宋体"/>
                <w:color w:val="auto"/>
                <w:kern w:val="0"/>
                <w:highlight w:val="none"/>
              </w:rPr>
            </w:pPr>
          </w:p>
        </w:tc>
        <w:tc>
          <w:tcPr>
            <w:tcW w:w="2445" w:type="dxa"/>
            <w:gridSpan w:val="2"/>
            <w:tcBorders>
              <w:top w:val="single" w:color="auto" w:sz="4" w:space="0"/>
              <w:left w:val="nil"/>
              <w:bottom w:val="single" w:color="auto" w:sz="4" w:space="0"/>
              <w:right w:val="single" w:color="auto" w:sz="4" w:space="0"/>
            </w:tcBorders>
            <w:shd w:val="clear" w:color="auto" w:fill="auto"/>
          </w:tcPr>
          <w:p w14:paraId="5F253AF1">
            <w:pPr>
              <w:widowControl/>
              <w:adjustRightInd w:val="0"/>
              <w:snapToGrid w:val="0"/>
              <w:spacing w:after="156" w:afterLines="50" w:line="360" w:lineRule="auto"/>
              <w:rPr>
                <w:rFonts w:ascii="宋体" w:hAnsi="宋体" w:cs="宋体"/>
                <w:color w:val="auto"/>
                <w:kern w:val="0"/>
                <w:highlight w:val="none"/>
              </w:rPr>
            </w:pPr>
          </w:p>
        </w:tc>
        <w:tc>
          <w:tcPr>
            <w:tcW w:w="1380" w:type="dxa"/>
            <w:tcBorders>
              <w:top w:val="single" w:color="auto" w:sz="4" w:space="0"/>
              <w:left w:val="nil"/>
              <w:bottom w:val="single" w:color="auto" w:sz="4" w:space="0"/>
              <w:right w:val="single" w:color="auto" w:sz="4" w:space="0"/>
            </w:tcBorders>
            <w:shd w:val="clear" w:color="auto" w:fill="auto"/>
          </w:tcPr>
          <w:p w14:paraId="09FAB7C2">
            <w:pPr>
              <w:widowControl/>
              <w:adjustRightInd w:val="0"/>
              <w:snapToGrid w:val="0"/>
              <w:spacing w:after="156" w:afterLines="50" w:line="360" w:lineRule="auto"/>
              <w:rPr>
                <w:rFonts w:ascii="宋体" w:hAnsi="宋体" w:cs="宋体"/>
                <w:color w:val="auto"/>
                <w:kern w:val="0"/>
                <w:highlight w:val="none"/>
              </w:rPr>
            </w:pPr>
          </w:p>
        </w:tc>
      </w:tr>
    </w:tbl>
    <w:p w14:paraId="385D9D1C">
      <w:pPr>
        <w:widowControl/>
        <w:adjustRightInd w:val="0"/>
        <w:snapToGrid w:val="0"/>
        <w:spacing w:after="156" w:afterLines="50" w:line="360" w:lineRule="auto"/>
        <w:ind w:firstLine="420" w:firstLineChars="200"/>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2E63F4D4">
      <w:pPr>
        <w:widowControl/>
        <w:jc w:val="left"/>
        <w:rPr>
          <w:rFonts w:ascii="宋体" w:hAnsi="宋体" w:cs="宋体"/>
          <w:color w:val="auto"/>
          <w:kern w:val="0"/>
          <w:highlight w:val="none"/>
        </w:rPr>
      </w:pPr>
      <w:r>
        <w:rPr>
          <w:rFonts w:hint="eastAsia" w:ascii="宋体" w:hAnsi="宋体"/>
          <w:color w:val="auto"/>
          <w:szCs w:val="21"/>
          <w:highlight w:val="none"/>
          <w:lang w:bidi="ar"/>
        </w:rPr>
        <w:br w:type="page"/>
      </w:r>
    </w:p>
    <w:p w14:paraId="195FA84D">
      <w:pPr>
        <w:keepNext/>
        <w:keepLines/>
        <w:widowControl/>
        <w:wordWrap w:val="0"/>
        <w:topLinePunct/>
        <w:adjustRightInd w:val="0"/>
        <w:snapToGrid w:val="0"/>
        <w:spacing w:after="156" w:afterLines="50" w:line="360" w:lineRule="auto"/>
        <w:jc w:val="center"/>
        <w:outlineLvl w:val="1"/>
        <w:rPr>
          <w:rFonts w:ascii="宋体" w:hAnsi="宋体" w:cs="宋体"/>
          <w:b/>
          <w:color w:val="auto"/>
          <w:kern w:val="0"/>
          <w:highlight w:val="none"/>
        </w:rPr>
      </w:pPr>
      <w:bookmarkStart w:id="1905" w:name="_Toc58860340"/>
      <w:r>
        <w:rPr>
          <w:rFonts w:hint="eastAsia" w:ascii="宋体" w:hAnsi="宋体" w:cs="宋体"/>
          <w:b/>
          <w:color w:val="auto"/>
          <w:kern w:val="0"/>
          <w:szCs w:val="21"/>
          <w:highlight w:val="none"/>
          <w:lang w:bidi="ar"/>
        </w:rPr>
        <w:t>附件</w:t>
      </w:r>
      <w:r>
        <w:rPr>
          <w:rFonts w:ascii="宋体" w:hAnsi="宋体" w:cs="宋体"/>
          <w:b/>
          <w:color w:val="auto"/>
          <w:kern w:val="0"/>
          <w:szCs w:val="21"/>
          <w:highlight w:val="none"/>
          <w:lang w:bidi="ar"/>
        </w:rPr>
        <w:t>7</w:t>
      </w:r>
      <w:r>
        <w:rPr>
          <w:rFonts w:hint="eastAsia" w:ascii="宋体" w:hAnsi="宋体" w:cs="宋体"/>
          <w:b/>
          <w:color w:val="auto"/>
          <w:kern w:val="0"/>
          <w:szCs w:val="21"/>
          <w:highlight w:val="none"/>
          <w:lang w:bidi="ar"/>
        </w:rPr>
        <w:t>：专业工程暂估价表</w:t>
      </w:r>
      <w:bookmarkEnd w:id="1905"/>
    </w:p>
    <w:p w14:paraId="3DC58FDB">
      <w:pPr>
        <w:widowControl/>
        <w:jc w:val="center"/>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6B1A8772">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tbl>
      <w:tblPr>
        <w:tblStyle w:val="45"/>
        <w:tblW w:w="9529" w:type="dxa"/>
        <w:tblInd w:w="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79"/>
        <w:gridCol w:w="1984"/>
        <w:gridCol w:w="5106"/>
        <w:gridCol w:w="1560"/>
      </w:tblGrid>
      <w:tr w14:paraId="4276B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2D8899BD">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序号</w:t>
            </w:r>
          </w:p>
        </w:tc>
        <w:tc>
          <w:tcPr>
            <w:tcW w:w="1984" w:type="dxa"/>
            <w:tcBorders>
              <w:top w:val="single" w:color="auto" w:sz="4" w:space="0"/>
              <w:left w:val="nil"/>
              <w:bottom w:val="single" w:color="auto" w:sz="4" w:space="0"/>
              <w:right w:val="single" w:color="auto" w:sz="4" w:space="0"/>
            </w:tcBorders>
            <w:shd w:val="clear" w:color="auto" w:fill="auto"/>
          </w:tcPr>
          <w:p w14:paraId="415AE402">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专业工程名称</w:t>
            </w:r>
          </w:p>
        </w:tc>
        <w:tc>
          <w:tcPr>
            <w:tcW w:w="5106" w:type="dxa"/>
            <w:tcBorders>
              <w:top w:val="single" w:color="auto" w:sz="4" w:space="0"/>
              <w:left w:val="nil"/>
              <w:bottom w:val="single" w:color="auto" w:sz="4" w:space="0"/>
              <w:right w:val="single" w:color="auto" w:sz="4" w:space="0"/>
            </w:tcBorders>
            <w:shd w:val="clear" w:color="auto" w:fill="auto"/>
          </w:tcPr>
          <w:p w14:paraId="05D54517">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工程内容</w:t>
            </w:r>
          </w:p>
        </w:tc>
        <w:tc>
          <w:tcPr>
            <w:tcW w:w="1560" w:type="dxa"/>
            <w:tcBorders>
              <w:top w:val="single" w:color="auto" w:sz="4" w:space="0"/>
              <w:left w:val="nil"/>
              <w:bottom w:val="single" w:color="auto" w:sz="4" w:space="0"/>
              <w:right w:val="single" w:color="auto" w:sz="4" w:space="0"/>
            </w:tcBorders>
            <w:shd w:val="clear" w:color="auto" w:fill="auto"/>
          </w:tcPr>
          <w:p w14:paraId="10E992C4">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金额</w:t>
            </w:r>
          </w:p>
        </w:tc>
      </w:tr>
      <w:tr w14:paraId="69086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59D7D74C">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33C45217">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7D8694E6">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6ED5B9B7">
            <w:pPr>
              <w:widowControl/>
              <w:jc w:val="left"/>
              <w:rPr>
                <w:rFonts w:ascii="宋体" w:hAnsi="宋体" w:cs="宋体"/>
                <w:color w:val="auto"/>
                <w:kern w:val="0"/>
                <w:highlight w:val="none"/>
              </w:rPr>
            </w:pPr>
          </w:p>
        </w:tc>
      </w:tr>
      <w:tr w14:paraId="04DC5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670523CA">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08F09EF5">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0E41608E">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79B5B492">
            <w:pPr>
              <w:widowControl/>
              <w:jc w:val="left"/>
              <w:rPr>
                <w:rFonts w:ascii="宋体" w:hAnsi="宋体" w:cs="宋体"/>
                <w:color w:val="auto"/>
                <w:kern w:val="0"/>
                <w:highlight w:val="none"/>
              </w:rPr>
            </w:pPr>
          </w:p>
        </w:tc>
      </w:tr>
      <w:tr w14:paraId="6D98A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119E8DC4">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28661682">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2F13F4B0">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76CC81E0">
            <w:pPr>
              <w:widowControl/>
              <w:jc w:val="left"/>
              <w:rPr>
                <w:rFonts w:ascii="宋体" w:hAnsi="宋体" w:cs="宋体"/>
                <w:color w:val="auto"/>
                <w:kern w:val="0"/>
                <w:highlight w:val="none"/>
              </w:rPr>
            </w:pPr>
          </w:p>
        </w:tc>
      </w:tr>
      <w:tr w14:paraId="05FD1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27F7E02E">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0B5C9BED">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0B7E21D3">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70611A27">
            <w:pPr>
              <w:widowControl/>
              <w:jc w:val="left"/>
              <w:rPr>
                <w:rFonts w:ascii="宋体" w:hAnsi="宋体" w:cs="宋体"/>
                <w:color w:val="auto"/>
                <w:kern w:val="0"/>
                <w:highlight w:val="none"/>
              </w:rPr>
            </w:pPr>
          </w:p>
        </w:tc>
      </w:tr>
      <w:tr w14:paraId="1BBC8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2995332E">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1C593541">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434065A7">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5F4043C6">
            <w:pPr>
              <w:widowControl/>
              <w:jc w:val="left"/>
              <w:rPr>
                <w:rFonts w:ascii="宋体" w:hAnsi="宋体" w:cs="宋体"/>
                <w:color w:val="auto"/>
                <w:kern w:val="0"/>
                <w:highlight w:val="none"/>
              </w:rPr>
            </w:pPr>
          </w:p>
        </w:tc>
      </w:tr>
      <w:tr w14:paraId="7E012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1515FB24">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6045B87C">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5AA12436">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1CDC17B8">
            <w:pPr>
              <w:widowControl/>
              <w:jc w:val="left"/>
              <w:rPr>
                <w:rFonts w:ascii="宋体" w:hAnsi="宋体" w:cs="宋体"/>
                <w:color w:val="auto"/>
                <w:kern w:val="0"/>
                <w:highlight w:val="none"/>
              </w:rPr>
            </w:pPr>
          </w:p>
        </w:tc>
      </w:tr>
      <w:tr w14:paraId="5208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0307AF90">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7FC70957">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117AF048">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26D57E9E">
            <w:pPr>
              <w:widowControl/>
              <w:jc w:val="left"/>
              <w:rPr>
                <w:rFonts w:ascii="宋体" w:hAnsi="宋体" w:cs="宋体"/>
                <w:color w:val="auto"/>
                <w:kern w:val="0"/>
                <w:highlight w:val="none"/>
              </w:rPr>
            </w:pPr>
          </w:p>
        </w:tc>
      </w:tr>
      <w:tr w14:paraId="0ACD7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281240F8">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01BA04DD">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415F02A9">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3559539C">
            <w:pPr>
              <w:widowControl/>
              <w:jc w:val="left"/>
              <w:rPr>
                <w:rFonts w:ascii="宋体" w:hAnsi="宋体" w:cs="宋体"/>
                <w:color w:val="auto"/>
                <w:kern w:val="0"/>
                <w:highlight w:val="none"/>
              </w:rPr>
            </w:pPr>
          </w:p>
        </w:tc>
      </w:tr>
      <w:tr w14:paraId="67F3C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364822E0">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226C091E">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2609F06A">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55FFEFA1">
            <w:pPr>
              <w:widowControl/>
              <w:jc w:val="left"/>
              <w:rPr>
                <w:rFonts w:ascii="宋体" w:hAnsi="宋体" w:cs="宋体"/>
                <w:color w:val="auto"/>
                <w:kern w:val="0"/>
                <w:highlight w:val="none"/>
              </w:rPr>
            </w:pPr>
          </w:p>
        </w:tc>
      </w:tr>
      <w:tr w14:paraId="36FAB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02150993">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4A976047">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21489D30">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4D0AEC4F">
            <w:pPr>
              <w:widowControl/>
              <w:jc w:val="left"/>
              <w:rPr>
                <w:rFonts w:ascii="宋体" w:hAnsi="宋体" w:cs="宋体"/>
                <w:color w:val="auto"/>
                <w:kern w:val="0"/>
                <w:highlight w:val="none"/>
              </w:rPr>
            </w:pPr>
          </w:p>
        </w:tc>
      </w:tr>
      <w:tr w14:paraId="4BA6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48F731EE">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29C76822">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3E6DCCAD">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19EDFA75">
            <w:pPr>
              <w:widowControl/>
              <w:jc w:val="left"/>
              <w:rPr>
                <w:rFonts w:ascii="宋体" w:hAnsi="宋体" w:cs="宋体"/>
                <w:color w:val="auto"/>
                <w:kern w:val="0"/>
                <w:highlight w:val="none"/>
              </w:rPr>
            </w:pPr>
          </w:p>
        </w:tc>
      </w:tr>
      <w:tr w14:paraId="76EF4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0640AF7C">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7F3A5831">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62C4A0DE">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0300D80B">
            <w:pPr>
              <w:widowControl/>
              <w:jc w:val="left"/>
              <w:rPr>
                <w:rFonts w:ascii="宋体" w:hAnsi="宋体" w:cs="宋体"/>
                <w:color w:val="auto"/>
                <w:kern w:val="0"/>
                <w:highlight w:val="none"/>
              </w:rPr>
            </w:pPr>
          </w:p>
        </w:tc>
      </w:tr>
      <w:tr w14:paraId="51C0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0C4BFC3A">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79A9BED6">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27E0684D">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49287AE8">
            <w:pPr>
              <w:widowControl/>
              <w:jc w:val="left"/>
              <w:rPr>
                <w:rFonts w:ascii="宋体" w:hAnsi="宋体" w:cs="宋体"/>
                <w:color w:val="auto"/>
                <w:kern w:val="0"/>
                <w:highlight w:val="none"/>
              </w:rPr>
            </w:pPr>
          </w:p>
        </w:tc>
      </w:tr>
      <w:tr w14:paraId="4C3A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0F52265F">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215391E4">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13025E83">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42D618AC">
            <w:pPr>
              <w:widowControl/>
              <w:jc w:val="left"/>
              <w:rPr>
                <w:rFonts w:ascii="宋体" w:hAnsi="宋体" w:cs="宋体"/>
                <w:color w:val="auto"/>
                <w:kern w:val="0"/>
                <w:highlight w:val="none"/>
              </w:rPr>
            </w:pPr>
          </w:p>
        </w:tc>
      </w:tr>
      <w:tr w14:paraId="2F4B1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0EF2E77E">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1400D3EC">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236B2C08">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6A89640D">
            <w:pPr>
              <w:widowControl/>
              <w:jc w:val="left"/>
              <w:rPr>
                <w:rFonts w:ascii="宋体" w:hAnsi="宋体" w:cs="宋体"/>
                <w:color w:val="auto"/>
                <w:kern w:val="0"/>
                <w:highlight w:val="none"/>
              </w:rPr>
            </w:pPr>
          </w:p>
        </w:tc>
      </w:tr>
      <w:tr w14:paraId="4A13C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7E656A40">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25717122">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21890AC7">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736F3A64">
            <w:pPr>
              <w:widowControl/>
              <w:jc w:val="left"/>
              <w:rPr>
                <w:rFonts w:ascii="宋体" w:hAnsi="宋体" w:cs="宋体"/>
                <w:color w:val="auto"/>
                <w:kern w:val="0"/>
                <w:highlight w:val="none"/>
              </w:rPr>
            </w:pPr>
          </w:p>
        </w:tc>
      </w:tr>
      <w:tr w14:paraId="2FDEE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6743B25B">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0BDF1634">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273F470D">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2C017D99">
            <w:pPr>
              <w:widowControl/>
              <w:jc w:val="left"/>
              <w:rPr>
                <w:rFonts w:ascii="宋体" w:hAnsi="宋体" w:cs="宋体"/>
                <w:color w:val="auto"/>
                <w:kern w:val="0"/>
                <w:highlight w:val="none"/>
              </w:rPr>
            </w:pPr>
          </w:p>
        </w:tc>
      </w:tr>
      <w:tr w14:paraId="69706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2CA7F54A">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5E59B6D7">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7A6DD273">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33F154C1">
            <w:pPr>
              <w:widowControl/>
              <w:jc w:val="left"/>
              <w:rPr>
                <w:rFonts w:ascii="宋体" w:hAnsi="宋体" w:cs="宋体"/>
                <w:color w:val="auto"/>
                <w:kern w:val="0"/>
                <w:highlight w:val="none"/>
              </w:rPr>
            </w:pPr>
          </w:p>
        </w:tc>
      </w:tr>
      <w:tr w14:paraId="38DBA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21D836C6">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537BF3AE">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008CC1C9">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578866C8">
            <w:pPr>
              <w:widowControl/>
              <w:jc w:val="left"/>
              <w:rPr>
                <w:rFonts w:ascii="宋体" w:hAnsi="宋体" w:cs="宋体"/>
                <w:color w:val="auto"/>
                <w:kern w:val="0"/>
                <w:highlight w:val="none"/>
              </w:rPr>
            </w:pPr>
          </w:p>
        </w:tc>
      </w:tr>
      <w:tr w14:paraId="6892D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72EBF4FC">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2442E6D7">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0E744D39">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01B20E5C">
            <w:pPr>
              <w:widowControl/>
              <w:jc w:val="left"/>
              <w:rPr>
                <w:rFonts w:ascii="宋体" w:hAnsi="宋体" w:cs="宋体"/>
                <w:color w:val="auto"/>
                <w:kern w:val="0"/>
                <w:highlight w:val="none"/>
              </w:rPr>
            </w:pPr>
          </w:p>
        </w:tc>
      </w:tr>
      <w:tr w14:paraId="05E97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4A10B217">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33F74491">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6935FDD6">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7557CA4E">
            <w:pPr>
              <w:widowControl/>
              <w:jc w:val="left"/>
              <w:rPr>
                <w:rFonts w:ascii="宋体" w:hAnsi="宋体" w:cs="宋体"/>
                <w:color w:val="auto"/>
                <w:kern w:val="0"/>
                <w:highlight w:val="none"/>
              </w:rPr>
            </w:pPr>
          </w:p>
        </w:tc>
      </w:tr>
      <w:tr w14:paraId="3E857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879" w:type="dxa"/>
            <w:tcBorders>
              <w:top w:val="single" w:color="auto" w:sz="4" w:space="0"/>
              <w:left w:val="single" w:color="auto" w:sz="4" w:space="0"/>
              <w:bottom w:val="single" w:color="auto" w:sz="4" w:space="0"/>
              <w:right w:val="single" w:color="auto" w:sz="4" w:space="0"/>
            </w:tcBorders>
            <w:shd w:val="clear" w:color="auto" w:fill="auto"/>
          </w:tcPr>
          <w:p w14:paraId="19BB91C2">
            <w:pPr>
              <w:widowControl/>
              <w:jc w:val="left"/>
              <w:rPr>
                <w:rFonts w:ascii="宋体" w:hAnsi="宋体" w:cs="宋体"/>
                <w:color w:val="auto"/>
                <w:kern w:val="0"/>
                <w:highlight w:val="none"/>
              </w:rPr>
            </w:pPr>
          </w:p>
        </w:tc>
        <w:tc>
          <w:tcPr>
            <w:tcW w:w="1984" w:type="dxa"/>
            <w:tcBorders>
              <w:top w:val="single" w:color="auto" w:sz="4" w:space="0"/>
              <w:left w:val="nil"/>
              <w:bottom w:val="single" w:color="auto" w:sz="4" w:space="0"/>
              <w:right w:val="single" w:color="auto" w:sz="4" w:space="0"/>
            </w:tcBorders>
            <w:shd w:val="clear" w:color="auto" w:fill="auto"/>
          </w:tcPr>
          <w:p w14:paraId="5CE61AD1">
            <w:pPr>
              <w:widowControl/>
              <w:jc w:val="left"/>
              <w:rPr>
                <w:rFonts w:ascii="宋体" w:hAnsi="宋体" w:cs="宋体"/>
                <w:color w:val="auto"/>
                <w:kern w:val="0"/>
                <w:highlight w:val="none"/>
              </w:rPr>
            </w:pPr>
          </w:p>
        </w:tc>
        <w:tc>
          <w:tcPr>
            <w:tcW w:w="5106" w:type="dxa"/>
            <w:tcBorders>
              <w:top w:val="single" w:color="auto" w:sz="4" w:space="0"/>
              <w:left w:val="nil"/>
              <w:bottom w:val="single" w:color="auto" w:sz="4" w:space="0"/>
              <w:right w:val="single" w:color="auto" w:sz="4" w:space="0"/>
            </w:tcBorders>
            <w:shd w:val="clear" w:color="auto" w:fill="auto"/>
          </w:tcPr>
          <w:p w14:paraId="4373036C">
            <w:pPr>
              <w:widowControl/>
              <w:jc w:val="left"/>
              <w:rPr>
                <w:rFonts w:ascii="宋体" w:hAnsi="宋体" w:cs="宋体"/>
                <w:color w:val="auto"/>
                <w:kern w:val="0"/>
                <w:highlight w:val="none"/>
              </w:rPr>
            </w:pPr>
          </w:p>
        </w:tc>
        <w:tc>
          <w:tcPr>
            <w:tcW w:w="1560" w:type="dxa"/>
            <w:tcBorders>
              <w:top w:val="single" w:color="auto" w:sz="4" w:space="0"/>
              <w:left w:val="nil"/>
              <w:bottom w:val="single" w:color="auto" w:sz="4" w:space="0"/>
              <w:right w:val="single" w:color="auto" w:sz="4" w:space="0"/>
            </w:tcBorders>
            <w:shd w:val="clear" w:color="auto" w:fill="auto"/>
          </w:tcPr>
          <w:p w14:paraId="40A5A195">
            <w:pPr>
              <w:widowControl/>
              <w:jc w:val="left"/>
              <w:rPr>
                <w:rFonts w:ascii="宋体" w:hAnsi="宋体" w:cs="宋体"/>
                <w:color w:val="auto"/>
                <w:kern w:val="0"/>
                <w:highlight w:val="none"/>
              </w:rPr>
            </w:pPr>
          </w:p>
        </w:tc>
      </w:tr>
      <w:tr w14:paraId="1D18E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9529" w:type="dxa"/>
            <w:gridSpan w:val="4"/>
            <w:tcBorders>
              <w:top w:val="single" w:color="auto" w:sz="4" w:space="0"/>
              <w:left w:val="single" w:color="auto" w:sz="4" w:space="0"/>
              <w:bottom w:val="single" w:color="auto" w:sz="4" w:space="0"/>
              <w:right w:val="single" w:color="auto" w:sz="4" w:space="0"/>
            </w:tcBorders>
            <w:shd w:val="clear" w:color="auto" w:fill="auto"/>
          </w:tcPr>
          <w:p w14:paraId="7B739627">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小计：</w:t>
            </w:r>
          </w:p>
        </w:tc>
      </w:tr>
    </w:tbl>
    <w:p w14:paraId="33385F14">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25F2A368">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766883B5">
      <w:pPr>
        <w:widowControl/>
        <w:jc w:val="left"/>
        <w:rPr>
          <w:rFonts w:ascii="宋体" w:hAnsi="宋体" w:cs="宋体"/>
          <w:color w:val="auto"/>
          <w:kern w:val="0"/>
          <w:highlight w:val="none"/>
        </w:rPr>
      </w:pPr>
      <w:r>
        <w:rPr>
          <w:rFonts w:hint="eastAsia" w:ascii="宋体" w:hAnsi="宋体"/>
          <w:color w:val="auto"/>
          <w:szCs w:val="21"/>
          <w:highlight w:val="none"/>
          <w:lang w:bidi="ar"/>
        </w:rPr>
        <w:br w:type="page"/>
      </w:r>
    </w:p>
    <w:p w14:paraId="1FEA33F9">
      <w:pPr>
        <w:keepNext/>
        <w:keepLines/>
        <w:widowControl/>
        <w:wordWrap w:val="0"/>
        <w:topLinePunct/>
        <w:adjustRightInd w:val="0"/>
        <w:snapToGrid w:val="0"/>
        <w:spacing w:after="156" w:afterLines="50" w:line="360" w:lineRule="auto"/>
        <w:jc w:val="center"/>
        <w:outlineLvl w:val="1"/>
        <w:rPr>
          <w:rFonts w:ascii="宋体" w:hAnsi="宋体" w:cs="宋体"/>
          <w:b/>
          <w:color w:val="auto"/>
          <w:kern w:val="0"/>
          <w:highlight w:val="none"/>
        </w:rPr>
      </w:pPr>
      <w:bookmarkStart w:id="1906" w:name="_Toc58860341"/>
      <w:r>
        <w:rPr>
          <w:rFonts w:hint="eastAsia" w:ascii="宋体" w:hAnsi="宋体" w:cs="宋体"/>
          <w:b/>
          <w:color w:val="auto"/>
          <w:kern w:val="0"/>
          <w:szCs w:val="21"/>
          <w:highlight w:val="none"/>
          <w:lang w:bidi="ar"/>
        </w:rPr>
        <w:t>附件</w:t>
      </w:r>
      <w:r>
        <w:rPr>
          <w:rFonts w:ascii="宋体" w:hAnsi="宋体" w:cs="宋体"/>
          <w:b/>
          <w:color w:val="auto"/>
          <w:kern w:val="0"/>
          <w:szCs w:val="21"/>
          <w:highlight w:val="none"/>
          <w:lang w:bidi="ar"/>
        </w:rPr>
        <w:t>8</w:t>
      </w:r>
      <w:r>
        <w:rPr>
          <w:rFonts w:hint="eastAsia" w:ascii="宋体" w:hAnsi="宋体" w:cs="宋体"/>
          <w:b/>
          <w:color w:val="auto"/>
          <w:kern w:val="0"/>
          <w:szCs w:val="21"/>
          <w:highlight w:val="none"/>
          <w:lang w:bidi="ar"/>
        </w:rPr>
        <w:t>：廉洁从业协议</w:t>
      </w:r>
      <w:bookmarkEnd w:id="1906"/>
    </w:p>
    <w:p w14:paraId="12506069">
      <w:pPr>
        <w:widowControl/>
        <w:spacing w:line="360" w:lineRule="auto"/>
        <w:ind w:firstLine="420" w:firstLineChars="200"/>
        <w:jc w:val="left"/>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 xml:space="preserve"> </w:t>
      </w:r>
    </w:p>
    <w:p w14:paraId="34E0C162">
      <w:pPr>
        <w:pStyle w:val="2"/>
        <w:rPr>
          <w:color w:val="auto"/>
          <w:highlight w:val="none"/>
          <w:lang w:bidi="ar"/>
        </w:rPr>
      </w:pPr>
      <w:r>
        <w:rPr>
          <w:rFonts w:hint="eastAsia"/>
          <w:color w:val="auto"/>
          <w:highlight w:val="none"/>
          <w:lang w:bidi="ar"/>
        </w:rPr>
        <w:t>发包人（全称）：</w:t>
      </w:r>
      <w:r>
        <w:rPr>
          <w:rFonts w:hint="eastAsia"/>
          <w:color w:val="auto"/>
          <w:highlight w:val="none"/>
          <w:u w:val="single"/>
          <w:lang w:bidi="ar"/>
        </w:rPr>
        <w:t xml:space="preserve">                                  </w:t>
      </w:r>
    </w:p>
    <w:p w14:paraId="0BE70324">
      <w:pPr>
        <w:pStyle w:val="2"/>
        <w:rPr>
          <w:color w:val="auto"/>
          <w:highlight w:val="none"/>
          <w:lang w:bidi="ar"/>
        </w:rPr>
      </w:pPr>
      <w:r>
        <w:rPr>
          <w:rFonts w:hint="eastAsia"/>
          <w:color w:val="auto"/>
          <w:highlight w:val="none"/>
          <w:lang w:bidi="ar"/>
        </w:rPr>
        <w:t>承包人（全称）：</w:t>
      </w:r>
      <w:r>
        <w:rPr>
          <w:rFonts w:hint="eastAsia"/>
          <w:color w:val="auto"/>
          <w:highlight w:val="none"/>
          <w:u w:val="single"/>
          <w:lang w:bidi="ar"/>
        </w:rPr>
        <w:t xml:space="preserve">                                  </w:t>
      </w:r>
    </w:p>
    <w:p w14:paraId="656949A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根据国家有关部门以及有关工程建设、廉政建设的规定，为做好工程建设中的党风廉政建设，保证工程建设高效优质，保证建设资金的安全和有效使用以及投资效益，建设工程的项目法人（以下简称“发包人”）与承包人（以下简称“承包人”），特订立如下协议。</w:t>
      </w:r>
    </w:p>
    <w:p w14:paraId="53ADAC7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1. 发包人承包人的权利和义务</w:t>
      </w:r>
    </w:p>
    <w:p w14:paraId="671A1DF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（1）严格遵守党的政策规定和国家有关法律法规及相关部门的有关规定。</w:t>
      </w:r>
    </w:p>
    <w:p w14:paraId="7E5C4571">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（2）严格执行 工程的合同文件，自觉按合同办事。</w:t>
      </w:r>
    </w:p>
    <w:p w14:paraId="466F0DE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（3）双方的业务活动坚持公开、公正、诚信、透明的原则（法律认定的商业秘密和合同文件另有规定除外），不得损害国家和集体利益，违反工程建设管理规章制度。</w:t>
      </w:r>
    </w:p>
    <w:p w14:paraId="5FBB231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（4）建立健全廉政制度，开展廉政教育，设立廉政告示牌，公布举报电话，监督并认真查处违法违纪行为。</w:t>
      </w:r>
    </w:p>
    <w:p w14:paraId="39B0BD6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（5）发现对方在业务活动中有违反廉政规定的行为，有及时提醒对方纠正的权利和义务。</w:t>
      </w:r>
    </w:p>
    <w:p w14:paraId="1AE87470">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（6）发现对方严重违反协议义务条款的行为，有向其上级有关部门举报、建议给予处理并要求告知处理结果的权利。</w:t>
      </w:r>
    </w:p>
    <w:p w14:paraId="5276E060">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 发包人的义务</w:t>
      </w:r>
    </w:p>
    <w:p w14:paraId="4D57B9F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（1）发包人及其工作人员不得索要或接受承包人的礼金、有价证券和贵重物品，不得在承包人报销任何应由发包人或发包人工作人员个人支付的费用等。</w:t>
      </w:r>
    </w:p>
    <w:p w14:paraId="5DD7E2B1">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（2）发包人工作人员不得参加承包人安排的超标准宴请和娱乐活动；不得接受承包人提供的通讯工具、交通工具和高档办公用品等。</w:t>
      </w:r>
    </w:p>
    <w:p w14:paraId="022BAF3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（3）发包人及其工作人员不得要求或者接受承包人为其住房装修、婚丧嫁娶活动、配偶子女的工作安排以及出国出境、旅游等提供方便等。</w:t>
      </w:r>
    </w:p>
    <w:p w14:paraId="20951A4F">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（4）发包人工作人员及其配偶、子女不得从事与发包人工程有关的材料设备供应、工程分包、劳务等经济活动等。</w:t>
      </w:r>
    </w:p>
    <w:p w14:paraId="7F2924D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（5）发包人及其工作人员不得以任何理由向承包人推荐分包单位或推销材料，不得要求承包人购买合同规定外的材料和设备。</w:t>
      </w:r>
    </w:p>
    <w:p w14:paraId="748C0228">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（6）发包人工作人员要秉公办事，不准营私舞弊，不准利用职权从事各种个人有偿中介活动和安排个人施工队伍。</w:t>
      </w:r>
    </w:p>
    <w:p w14:paraId="06F7F3B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 承包人义务</w:t>
      </w:r>
    </w:p>
    <w:p w14:paraId="13B8DAD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（1）承包人不得以任何理由向发包人及其工作人员行贿或馈赠礼金、有价证券、贵重礼品。</w:t>
      </w:r>
    </w:p>
    <w:p w14:paraId="73F46F90">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（2）承包人不得以任何名义为发包人及其工作人员报销应由发包人单位或个人支付的任何费用。</w:t>
      </w:r>
    </w:p>
    <w:p w14:paraId="6DC753B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（3）承包人不得以任何理由安排发包人工作人员参加超标准宴请及娱乐活动。</w:t>
      </w:r>
    </w:p>
    <w:p w14:paraId="5C7F4D2E">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（4）承包人不得为发包人单位和个人购置或提供通讯工具、交通工具和高档办公用品等。</w:t>
      </w:r>
    </w:p>
    <w:p w14:paraId="7F5FAA7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 违约责任</w:t>
      </w:r>
    </w:p>
    <w:p w14:paraId="4A78AC6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（1）发包人及其工作人员违反合同第1、2条，按管理权限，依据有关规定给予党纪、政纪或组织处理；涉嫌犯罪的，移交司法机关追究刑事责任；给承包人单位造成经济损失的，应予以赔偿。</w:t>
      </w:r>
    </w:p>
    <w:p w14:paraId="52F5FA4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（2）承包人及其工作人员违反合同第1、3条，按管理权限，依据有关规定给予党纪、政纪或组织处理；给发包人单位造成经济损失的，应予以赔偿。</w:t>
      </w:r>
    </w:p>
    <w:p w14:paraId="35CFCD70">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 双方约定：协议由双方或双方上级单位的纪检监察机关负责监督执行。由发包人或发包人上级单位的纪检监察机关约请承包人或承包人上级单位纪检监察机关对合同执行情况进行检查，提出在协议规定范围内的裁定意见。</w:t>
      </w:r>
    </w:p>
    <w:p w14:paraId="57CE5B1E">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 协议有效期为甲乙双方签署之日起至该工程项目竣工验收后止。</w:t>
      </w:r>
    </w:p>
    <w:p w14:paraId="5E94378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7.协议作为 工程施工合同的附件，与工程施工合同具有同等的法律效力，经合同双方签署立即生效。</w:t>
      </w:r>
    </w:p>
    <w:p w14:paraId="473116ED">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（以下无正文）</w:t>
      </w:r>
    </w:p>
    <w:p w14:paraId="7496FCEE">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122C105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甲     方：                         乙     方：</w:t>
      </w:r>
    </w:p>
    <w:p w14:paraId="0A1C713D">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4B946D11">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3BF87B8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法定代表人                          法定代表人                      </w:t>
      </w:r>
    </w:p>
    <w:p w14:paraId="3AF56268">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2BE70348">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5AE62BAD">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或其授权的代理人：                  或授权的代理人：</w:t>
      </w:r>
    </w:p>
    <w:p w14:paraId="59818EB1">
      <w:pPr>
        <w:keepNext/>
        <w:keepLines/>
        <w:widowControl/>
        <w:wordWrap w:val="0"/>
        <w:topLinePunct/>
        <w:adjustRightInd w:val="0"/>
        <w:snapToGrid w:val="0"/>
        <w:spacing w:after="156" w:afterLines="50" w:line="360" w:lineRule="auto"/>
        <w:jc w:val="center"/>
        <w:outlineLvl w:val="1"/>
        <w:rPr>
          <w:rFonts w:ascii="宋体" w:hAnsi="宋体" w:cs="宋体"/>
          <w:color w:val="auto"/>
          <w:kern w:val="0"/>
          <w:highlight w:val="none"/>
        </w:rPr>
      </w:pPr>
      <w:r>
        <w:rPr>
          <w:rFonts w:hint="eastAsia" w:ascii="宋体" w:hAnsi="宋体"/>
          <w:color w:val="auto"/>
          <w:szCs w:val="21"/>
          <w:highlight w:val="none"/>
          <w:lang w:bidi="ar"/>
        </w:rPr>
        <w:br w:type="page"/>
      </w:r>
      <w:bookmarkStart w:id="1907" w:name="_Toc58860342"/>
      <w:r>
        <w:rPr>
          <w:rFonts w:hint="eastAsia" w:ascii="宋体" w:hAnsi="宋体" w:cs="宋体"/>
          <w:b/>
          <w:color w:val="auto"/>
          <w:kern w:val="0"/>
          <w:szCs w:val="21"/>
          <w:highlight w:val="none"/>
          <w:lang w:bidi="ar"/>
        </w:rPr>
        <w:t>附件</w:t>
      </w:r>
      <w:r>
        <w:rPr>
          <w:rFonts w:ascii="宋体" w:hAnsi="宋体" w:cs="宋体"/>
          <w:b/>
          <w:color w:val="auto"/>
          <w:kern w:val="0"/>
          <w:szCs w:val="21"/>
          <w:highlight w:val="none"/>
          <w:lang w:bidi="ar"/>
        </w:rPr>
        <w:t>9</w:t>
      </w:r>
      <w:r>
        <w:rPr>
          <w:rFonts w:hint="eastAsia" w:ascii="宋体" w:hAnsi="宋体" w:cs="宋体"/>
          <w:b/>
          <w:color w:val="auto"/>
          <w:kern w:val="0"/>
          <w:szCs w:val="21"/>
          <w:highlight w:val="none"/>
          <w:lang w:bidi="ar"/>
        </w:rPr>
        <w:t>：安全管理协议</w:t>
      </w:r>
      <w:bookmarkEnd w:id="1907"/>
    </w:p>
    <w:p w14:paraId="757AC204">
      <w:pPr>
        <w:widowControl/>
        <w:spacing w:line="360" w:lineRule="auto"/>
        <w:ind w:firstLine="420" w:firstLineChars="200"/>
        <w:jc w:val="left"/>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 xml:space="preserve"> </w:t>
      </w:r>
    </w:p>
    <w:p w14:paraId="7B55E2C1">
      <w:pPr>
        <w:pStyle w:val="2"/>
        <w:rPr>
          <w:color w:val="auto"/>
          <w:highlight w:val="none"/>
          <w:lang w:bidi="ar"/>
        </w:rPr>
      </w:pPr>
      <w:r>
        <w:rPr>
          <w:rFonts w:hint="eastAsia"/>
          <w:color w:val="auto"/>
          <w:highlight w:val="none"/>
          <w:lang w:bidi="ar"/>
        </w:rPr>
        <w:t>发包人（全称）：</w:t>
      </w:r>
      <w:r>
        <w:rPr>
          <w:rFonts w:hint="eastAsia"/>
          <w:color w:val="auto"/>
          <w:highlight w:val="none"/>
          <w:u w:val="single"/>
          <w:lang w:bidi="ar"/>
        </w:rPr>
        <w:t xml:space="preserve">                                  </w:t>
      </w:r>
    </w:p>
    <w:p w14:paraId="50E56599">
      <w:pPr>
        <w:pStyle w:val="2"/>
        <w:rPr>
          <w:color w:val="auto"/>
          <w:highlight w:val="none"/>
          <w:lang w:bidi="ar"/>
        </w:rPr>
      </w:pPr>
      <w:r>
        <w:rPr>
          <w:rFonts w:hint="eastAsia"/>
          <w:color w:val="auto"/>
          <w:highlight w:val="none"/>
          <w:lang w:bidi="ar"/>
        </w:rPr>
        <w:t>承包人（全称）：</w:t>
      </w:r>
      <w:r>
        <w:rPr>
          <w:rFonts w:hint="eastAsia"/>
          <w:color w:val="auto"/>
          <w:highlight w:val="none"/>
          <w:u w:val="single"/>
          <w:lang w:bidi="ar"/>
        </w:rPr>
        <w:t xml:space="preserve">                                  </w:t>
      </w:r>
    </w:p>
    <w:p w14:paraId="02090EA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为了确保实现</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安全生产目标，进一步明确双方的安全管理责任，加强安全生产管理工作的协调、管理力度，</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（以下简称“发包人”）与</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以下简称“承包人”）依据国家安全生产相关的法律、法规和安全方面的强制性国家标准或行业标准，双方同意签订该协议作为正式合同安全管理方面的补充规定，并承诺本协议具有与合同相同的法律效力。具体条款如下：</w:t>
      </w:r>
    </w:p>
    <w:p w14:paraId="236D3C66">
      <w:pPr>
        <w:widowControl/>
        <w:spacing w:line="360" w:lineRule="auto"/>
        <w:ind w:firstLine="420" w:firstLineChars="200"/>
        <w:jc w:val="left"/>
        <w:rPr>
          <w:rFonts w:ascii="宋体" w:hAnsi="宋体" w:cs="宋体"/>
          <w:color w:val="auto"/>
          <w:kern w:val="0"/>
          <w:highlight w:val="none"/>
        </w:rPr>
      </w:pPr>
      <w:bookmarkStart w:id="1908" w:name="_Toc247431423"/>
      <w:bookmarkEnd w:id="1908"/>
      <w:bookmarkStart w:id="1909" w:name="_Toc239510289"/>
      <w:bookmarkEnd w:id="1909"/>
      <w:bookmarkStart w:id="1910" w:name="_Toc532375700"/>
      <w:bookmarkEnd w:id="1910"/>
      <w:bookmarkStart w:id="1911" w:name="_Toc247418263"/>
      <w:r>
        <w:rPr>
          <w:rFonts w:hint="eastAsia" w:ascii="宋体" w:hAnsi="宋体" w:cs="宋体"/>
          <w:color w:val="auto"/>
          <w:kern w:val="0"/>
          <w:szCs w:val="21"/>
          <w:highlight w:val="none"/>
          <w:lang w:bidi="ar"/>
        </w:rPr>
        <w:t>一、协议有效期限</w:t>
      </w:r>
      <w:bookmarkEnd w:id="1911"/>
    </w:p>
    <w:p w14:paraId="497A7F5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本协议中所涉及的安全管理责任自合同订立之日起开始生效，至合同工程全部完工验收且经发包人与承包人签订移交协议生效后之日终止。</w:t>
      </w:r>
    </w:p>
    <w:p w14:paraId="2866527B">
      <w:pPr>
        <w:widowControl/>
        <w:spacing w:line="360" w:lineRule="auto"/>
        <w:ind w:firstLine="420" w:firstLineChars="200"/>
        <w:jc w:val="left"/>
        <w:rPr>
          <w:rFonts w:ascii="宋体" w:hAnsi="宋体" w:cs="宋体"/>
          <w:color w:val="auto"/>
          <w:kern w:val="0"/>
          <w:highlight w:val="none"/>
        </w:rPr>
      </w:pPr>
      <w:bookmarkStart w:id="1912" w:name="_Toc247418264"/>
      <w:bookmarkEnd w:id="1912"/>
      <w:bookmarkStart w:id="1913" w:name="_Toc239510290"/>
      <w:bookmarkEnd w:id="1913"/>
      <w:bookmarkStart w:id="1914" w:name="_Toc247431424"/>
      <w:bookmarkEnd w:id="1914"/>
      <w:bookmarkStart w:id="1915" w:name="_Toc532375701"/>
      <w:r>
        <w:rPr>
          <w:rFonts w:hint="eastAsia" w:ascii="宋体" w:hAnsi="宋体" w:cs="宋体"/>
          <w:color w:val="auto"/>
          <w:kern w:val="0"/>
          <w:szCs w:val="21"/>
          <w:highlight w:val="none"/>
          <w:lang w:bidi="ar"/>
        </w:rPr>
        <w:t>二、责任目标</w:t>
      </w:r>
      <w:bookmarkEnd w:id="1915"/>
    </w:p>
    <w:p w14:paraId="01AB15D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（一）承包人承诺承担和履行合同和发包人所规定的安全责任，且满足要求。</w:t>
      </w:r>
    </w:p>
    <w:p w14:paraId="12A61A71">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（二）承包人的安全控制目标是确保本工程在实施过程中：</w:t>
      </w:r>
    </w:p>
    <w:p w14:paraId="7256435F">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1．不发生人身重伤事故；</w:t>
      </w:r>
    </w:p>
    <w:p w14:paraId="40994A2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2．不发生火灾事故；</w:t>
      </w:r>
    </w:p>
    <w:p w14:paraId="15F35AC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3．不发生负有同等及以上事故责任的造成人身重伤的一般交通事故；</w:t>
      </w:r>
    </w:p>
    <w:p w14:paraId="3F61D88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4．不发生集体食物中毒事件（同时5人及以上的食物中毒）；</w:t>
      </w:r>
    </w:p>
    <w:p w14:paraId="2EBBE037">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5．不发生流行性传染病 （无甲型传染病、其他常见传染病未形成多人同时患病）；</w:t>
      </w:r>
    </w:p>
    <w:p w14:paraId="2F9CE34E">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6．不发生重大环境污染事件（生活、工业垃圾及其他污染物造成环境污染和大面积水土流失）；</w:t>
      </w:r>
    </w:p>
    <w:p w14:paraId="3B137D5B">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7．不发生对施工区附近生产、生活造成重大影响的事件（如造成重大设备损坏、重大财产损失、人员伤害等）；</w:t>
      </w:r>
    </w:p>
    <w:p w14:paraId="009CF46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8．不发生治安保卫事件（构成刑事拘留及以上的事件、盗窃直接损失超过1万元人民币的事件）。</w:t>
      </w:r>
    </w:p>
    <w:p w14:paraId="35F8833C">
      <w:pPr>
        <w:widowControl/>
        <w:spacing w:line="360" w:lineRule="auto"/>
        <w:ind w:firstLine="420" w:firstLineChars="200"/>
        <w:jc w:val="left"/>
        <w:rPr>
          <w:rFonts w:ascii="宋体" w:hAnsi="宋体" w:cs="宋体"/>
          <w:color w:val="auto"/>
          <w:kern w:val="0"/>
          <w:highlight w:val="none"/>
        </w:rPr>
      </w:pPr>
      <w:bookmarkStart w:id="1916" w:name="_Toc247418265"/>
      <w:bookmarkEnd w:id="1916"/>
      <w:bookmarkStart w:id="1917" w:name="_Toc247431425"/>
      <w:bookmarkEnd w:id="1917"/>
      <w:bookmarkStart w:id="1918" w:name="_Toc239510291"/>
      <w:r>
        <w:rPr>
          <w:rFonts w:hint="eastAsia" w:ascii="宋体" w:hAnsi="宋体" w:cs="宋体"/>
          <w:color w:val="auto"/>
          <w:kern w:val="0"/>
          <w:szCs w:val="21"/>
          <w:highlight w:val="none"/>
          <w:lang w:bidi="ar"/>
        </w:rPr>
        <w:t>（三）承包人承诺在施工中控制以下安全事故的发生：</w:t>
      </w:r>
      <w:bookmarkEnd w:id="1918"/>
    </w:p>
    <w:p w14:paraId="6DB38F2F">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1．人员轻伤事故。</w:t>
      </w:r>
    </w:p>
    <w:p w14:paraId="116CB70B">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2．负有同等及以上事故责任的人身轻伤交通事故。</w:t>
      </w:r>
    </w:p>
    <w:p w14:paraId="246B118B">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3．其他安全未遂事故和异常事件。</w:t>
      </w:r>
    </w:p>
    <w:p w14:paraId="0F1321CE">
      <w:pPr>
        <w:widowControl/>
        <w:spacing w:line="360" w:lineRule="auto"/>
        <w:ind w:firstLine="420" w:firstLineChars="200"/>
        <w:jc w:val="left"/>
        <w:rPr>
          <w:rFonts w:ascii="宋体" w:hAnsi="宋体" w:cs="宋体"/>
          <w:color w:val="auto"/>
          <w:kern w:val="0"/>
          <w:highlight w:val="none"/>
        </w:rPr>
      </w:pPr>
      <w:bookmarkStart w:id="1919" w:name="_Toc532375702"/>
      <w:bookmarkEnd w:id="1919"/>
      <w:bookmarkStart w:id="1920" w:name="_Toc247431426"/>
      <w:bookmarkEnd w:id="1920"/>
      <w:bookmarkStart w:id="1921" w:name="_Toc247418266"/>
      <w:bookmarkEnd w:id="1921"/>
      <w:bookmarkStart w:id="1922" w:name="_Toc239510292"/>
      <w:r>
        <w:rPr>
          <w:rFonts w:hint="eastAsia" w:ascii="宋体" w:hAnsi="宋体" w:cs="宋体"/>
          <w:color w:val="auto"/>
          <w:kern w:val="0"/>
          <w:szCs w:val="21"/>
          <w:highlight w:val="none"/>
          <w:lang w:bidi="ar"/>
        </w:rPr>
        <w:t>三、安全责任</w:t>
      </w:r>
      <w:bookmarkEnd w:id="1922"/>
    </w:p>
    <w:p w14:paraId="56D035B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1．承包人负有安全生产的管理责任和直接责任。</w:t>
      </w:r>
    </w:p>
    <w:p w14:paraId="3220F6C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2．承包人的法人或签署合同的公司总经理或受委托的代理人对合同安全负有全面的领导责任。</w:t>
      </w:r>
    </w:p>
    <w:p w14:paraId="479B0E7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3．承包人项目经理对施工现场的安全工作负有全面的直接领导责任。</w:t>
      </w:r>
    </w:p>
    <w:p w14:paraId="48C9E5D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4．承包人保证执行“谁施工、谁负责”的施工安全原则。</w:t>
      </w:r>
    </w:p>
    <w:p w14:paraId="6EC2084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5．承包人保证服从发包人对安全工作的统一协调和管理。</w:t>
      </w:r>
    </w:p>
    <w:p w14:paraId="338C2AD7">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6．承包人保证对本工程项目安全生产条件及其管理资源自行投入，保证安全资金的专款专用。</w:t>
      </w:r>
    </w:p>
    <w:p w14:paraId="008B7910">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7．承包人保证建立本工程项目的安全管理体系及安全保证体系（注：项目安全管理大纲/手册、管理性的程序文件等）。</w:t>
      </w:r>
    </w:p>
    <w:p w14:paraId="2085800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8．承包人保证现场的安全管理专职人员必须持有建设主管部门安全生产培训考核合格证书。</w:t>
      </w:r>
    </w:p>
    <w:p w14:paraId="43D2BDE7">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9．承包人保证为现场所有工作人员（含分包商员工及劳务人员）配备符合国家标准的有承包人和/或其下属分包商标志的个人基本劳动保护用品。</w:t>
      </w:r>
    </w:p>
    <w:p w14:paraId="7AC5C5D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10．承包人保证按照国家法律规定为现场所有工作人员（含分包商员工及劳务人员）购买意外伤害保险。</w:t>
      </w:r>
    </w:p>
    <w:p w14:paraId="4355C76B">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11．承包人保证施工生活营地（包括自建的和租用的营地）满足消防、安全用电、卫生防疫、防暴雨、防雷击等方面的安全要求。</w:t>
      </w:r>
    </w:p>
    <w:p w14:paraId="03E3838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12．承包人保证对带入现场的设备、工具、材料按照国家法规和标准进行检测、试验，并持有法定部门出具的检验证书。</w:t>
      </w:r>
    </w:p>
    <w:p w14:paraId="656E4C3F">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13．承包人保证制订施工现场的文明施工措施，保护环境、树木和植被，保持施工现场的良好秩序和整洁的作业环境。</w:t>
      </w:r>
    </w:p>
    <w:p w14:paraId="5CF1254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14．承包人负责在施工过程中与当地政府、周边群众及其他承包商保持良好的沟通和交流。承包人遇到与周边群众发生纠纷时，应负责协调工作，确保工程能够顺利进行。</w:t>
      </w:r>
    </w:p>
    <w:p w14:paraId="0B28EBC6">
      <w:pPr>
        <w:widowControl/>
        <w:spacing w:line="360" w:lineRule="auto"/>
        <w:ind w:firstLine="420" w:firstLineChars="200"/>
        <w:jc w:val="left"/>
        <w:rPr>
          <w:rFonts w:ascii="宋体" w:hAnsi="宋体" w:cs="宋体"/>
          <w:color w:val="auto"/>
          <w:kern w:val="0"/>
          <w:highlight w:val="none"/>
        </w:rPr>
      </w:pPr>
      <w:bookmarkStart w:id="1923" w:name="_Toc247418267"/>
      <w:bookmarkEnd w:id="1923"/>
      <w:bookmarkStart w:id="1924" w:name="_Toc247431427"/>
      <w:bookmarkEnd w:id="1924"/>
      <w:bookmarkStart w:id="1925" w:name="_Toc239510293"/>
      <w:bookmarkEnd w:id="1925"/>
      <w:bookmarkStart w:id="1926" w:name="_Toc532375703"/>
      <w:r>
        <w:rPr>
          <w:rFonts w:hint="eastAsia" w:ascii="宋体" w:hAnsi="宋体" w:cs="宋体"/>
          <w:color w:val="auto"/>
          <w:kern w:val="0"/>
          <w:szCs w:val="21"/>
          <w:highlight w:val="none"/>
          <w:lang w:bidi="ar"/>
        </w:rPr>
        <w:t>四、接口及协调</w:t>
      </w:r>
      <w:bookmarkEnd w:id="1926"/>
    </w:p>
    <w:p w14:paraId="7E18AEAD">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1．发包人委托监理公司对该工程实施监理，监理公司在安全管理方面代表发包人行使监督检查职能，承包人必须给予配合和支持。</w:t>
      </w:r>
    </w:p>
    <w:p w14:paraId="3ECCAB6D">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2．承包人人员、车辆的出入，带入现场的设备、机具、材料，在现场使用的或直接管理的办公、生活、生产性设施的安全管理须满足发包人现场管理的基本要求。</w:t>
      </w:r>
    </w:p>
    <w:p w14:paraId="17403E41">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3．承包人应指定专职安全管理人员与发包人委托的监理公司接口，参与安全协调和管理。安全协调和管理的内容包括职业健康、工业安全、消防安全、卫生防疫、交通安全、环境保护、治安保卫等各方面。</w:t>
      </w:r>
    </w:p>
    <w:p w14:paraId="26249F8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承包人的专职安全管理人员应具备协调安全工作的能力和授权。发包人委托的监理公司有权对专职安全管理人员的能力和权力做出评价，对于不能胜任的专职安全管理人员，发包人委托的监理公司有权要求承包人换人。</w:t>
      </w:r>
    </w:p>
    <w:p w14:paraId="5F181E0E">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5．承包人指定的专职安全管理人员应与发包人委托的监理公司建立联系，在业务上接受发包人委托的监理公司的协调和指导。</w:t>
      </w:r>
    </w:p>
    <w:p w14:paraId="0274DCB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6．开工后承包人的专职安全管理人员应按照发包人委托的监理公司的规定，定期报送安全月度快报、季报、年报和各种专项事故报告等。</w:t>
      </w:r>
    </w:p>
    <w:p w14:paraId="4AE9B5C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7．在工程实体未全部正式移交发包人施工管理部门之前，承包人依旧对施工范围内的安全管理负责。</w:t>
      </w:r>
    </w:p>
    <w:p w14:paraId="5B4B9E10">
      <w:pPr>
        <w:widowControl/>
        <w:spacing w:line="360" w:lineRule="auto"/>
        <w:ind w:firstLine="420" w:firstLineChars="200"/>
        <w:jc w:val="left"/>
        <w:rPr>
          <w:rFonts w:ascii="宋体" w:hAnsi="宋体" w:cs="宋体"/>
          <w:color w:val="auto"/>
          <w:kern w:val="0"/>
          <w:highlight w:val="none"/>
        </w:rPr>
      </w:pPr>
      <w:bookmarkStart w:id="1927" w:name="_Toc239510294"/>
      <w:bookmarkEnd w:id="1927"/>
      <w:bookmarkStart w:id="1928" w:name="_Toc247431428"/>
      <w:bookmarkEnd w:id="1928"/>
      <w:bookmarkStart w:id="1929" w:name="_Toc247418268"/>
      <w:bookmarkEnd w:id="1929"/>
      <w:bookmarkStart w:id="1930" w:name="_Toc532375704"/>
      <w:r>
        <w:rPr>
          <w:rFonts w:hint="eastAsia" w:ascii="宋体" w:hAnsi="宋体" w:cs="宋体"/>
          <w:color w:val="auto"/>
          <w:kern w:val="0"/>
          <w:szCs w:val="21"/>
          <w:highlight w:val="none"/>
          <w:lang w:bidi="ar"/>
        </w:rPr>
        <w:t>五、安全资质审查</w:t>
      </w:r>
      <w:bookmarkEnd w:id="1930"/>
    </w:p>
    <w:p w14:paraId="591E26F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承包人在项目开工前5个工作天内向发包人委托的监理公司提供以下安全资质供审查和存档：</w:t>
      </w:r>
    </w:p>
    <w:p w14:paraId="5BBF40F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1．企业安全生产许可证书复印件。</w:t>
      </w:r>
    </w:p>
    <w:p w14:paraId="264B4898">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2．企业近三年的施工简历及安全施工业绩证明文件。</w:t>
      </w:r>
    </w:p>
    <w:p w14:paraId="554E220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3．企业主要安全管理人员（包括项目经理、专职安全管理人员）经建设主管部门安全生产知识考核合格证书。</w:t>
      </w:r>
    </w:p>
    <w:p w14:paraId="58687D1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4．特种作业人员资格证书。</w:t>
      </w:r>
    </w:p>
    <w:p w14:paraId="6074D6A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5．项目安全管理机构及其人员配备（承包人必须配有专职的安全员）。</w:t>
      </w:r>
    </w:p>
    <w:p w14:paraId="5B0A49A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6．适用于项目的安全管理体系及保证体系文件（安全管理大纲及管理程序文件）。</w:t>
      </w:r>
    </w:p>
    <w:p w14:paraId="6D420A9A">
      <w:pPr>
        <w:widowControl/>
        <w:spacing w:line="360" w:lineRule="auto"/>
        <w:ind w:firstLine="420" w:firstLineChars="200"/>
        <w:jc w:val="left"/>
        <w:rPr>
          <w:rFonts w:ascii="宋体" w:hAnsi="宋体" w:cs="宋体"/>
          <w:color w:val="auto"/>
          <w:kern w:val="0"/>
          <w:highlight w:val="none"/>
        </w:rPr>
      </w:pPr>
      <w:bookmarkStart w:id="1931" w:name="_Toc247418269"/>
      <w:bookmarkEnd w:id="1931"/>
      <w:bookmarkStart w:id="1932" w:name="_Toc239510295"/>
      <w:bookmarkEnd w:id="1932"/>
      <w:bookmarkStart w:id="1933" w:name="_Toc247431429"/>
      <w:bookmarkEnd w:id="1933"/>
      <w:bookmarkStart w:id="1934" w:name="_Toc532375705"/>
      <w:r>
        <w:rPr>
          <w:rFonts w:hint="eastAsia" w:ascii="宋体" w:hAnsi="宋体" w:cs="宋体"/>
          <w:color w:val="auto"/>
          <w:kern w:val="0"/>
          <w:szCs w:val="21"/>
          <w:highlight w:val="none"/>
          <w:lang w:bidi="ar"/>
        </w:rPr>
        <w:t>六、人员基本素质</w:t>
      </w:r>
      <w:bookmarkEnd w:id="1934"/>
    </w:p>
    <w:p w14:paraId="7F1BF86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承包人提供的人员必须满足下列要求：</w:t>
      </w:r>
    </w:p>
    <w:p w14:paraId="22A3E3F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1．身体健康，无影响工作的精神疾病、无传染病和其他重大疾病；承包人需对其雇用的施工人员签发健康声明并保证其健康。其中体检证明材料（县级以上医院）和健康声明作为人员办理入场证件的必备材料。</w:t>
      </w:r>
    </w:p>
    <w:p w14:paraId="35EECB97">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2．无刑事案件牵连。</w:t>
      </w:r>
    </w:p>
    <w:p w14:paraId="11959780">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3．无吸毒、酗酒、赌博、嫖娼等恶习及违法行为。</w:t>
      </w:r>
    </w:p>
    <w:p w14:paraId="36811E6A">
      <w:pPr>
        <w:widowControl/>
        <w:spacing w:line="360" w:lineRule="auto"/>
        <w:ind w:firstLine="420" w:firstLineChars="200"/>
        <w:jc w:val="left"/>
        <w:rPr>
          <w:rFonts w:ascii="宋体" w:hAnsi="宋体" w:cs="宋体"/>
          <w:color w:val="auto"/>
          <w:kern w:val="0"/>
          <w:highlight w:val="none"/>
        </w:rPr>
      </w:pPr>
      <w:bookmarkStart w:id="1935" w:name="_Toc532375706"/>
      <w:bookmarkEnd w:id="1935"/>
      <w:bookmarkStart w:id="1936" w:name="_Toc247418270"/>
      <w:bookmarkEnd w:id="1936"/>
      <w:bookmarkStart w:id="1937" w:name="_Toc247431430"/>
      <w:bookmarkEnd w:id="1937"/>
      <w:bookmarkStart w:id="1938" w:name="_Toc239510296"/>
      <w:r>
        <w:rPr>
          <w:rFonts w:hint="eastAsia" w:ascii="宋体" w:hAnsi="宋体" w:cs="宋体"/>
          <w:color w:val="auto"/>
          <w:kern w:val="0"/>
          <w:szCs w:val="21"/>
          <w:highlight w:val="none"/>
          <w:lang w:bidi="ar"/>
        </w:rPr>
        <w:t>七、劳动保护</w:t>
      </w:r>
      <w:bookmarkEnd w:id="1938"/>
    </w:p>
    <w:p w14:paraId="3C985206">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1．承包人负责为本单位任何用工形式的员工提供个人劳动保护用品（包括工作服、安全帽、安全鞋等）。</w:t>
      </w:r>
    </w:p>
    <w:p w14:paraId="26AC3C5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2．承包人负责向特殊工种的员工提供特殊劳动保护，否则不得从事特殊工种作业。</w:t>
      </w:r>
    </w:p>
    <w:p w14:paraId="66A70521">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3．发包人委托的监理公司有权检查承包人的个人劳动保护用品是否符合国家的相应标准。</w:t>
      </w:r>
    </w:p>
    <w:p w14:paraId="30C3750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 承包人在特殊风险场所作业而需要特殊防护用品或安全仪表时，必须在上述防护用品全部到位后才能开工。</w:t>
      </w:r>
    </w:p>
    <w:p w14:paraId="5A71861E">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5．承包人应配备临时安全围栏、警示带、警告标志、防火布等集体防护用品。</w:t>
      </w:r>
    </w:p>
    <w:p w14:paraId="7AF8101F">
      <w:pPr>
        <w:widowControl/>
        <w:spacing w:line="360" w:lineRule="auto"/>
        <w:ind w:firstLine="420" w:firstLineChars="200"/>
        <w:jc w:val="left"/>
        <w:rPr>
          <w:rFonts w:ascii="宋体" w:hAnsi="宋体" w:cs="宋体"/>
          <w:color w:val="auto"/>
          <w:kern w:val="0"/>
          <w:highlight w:val="none"/>
        </w:rPr>
      </w:pPr>
      <w:bookmarkStart w:id="1939" w:name="_Toc247418271"/>
      <w:bookmarkEnd w:id="1939"/>
      <w:bookmarkStart w:id="1940" w:name="_Toc247431431"/>
      <w:bookmarkEnd w:id="1940"/>
      <w:bookmarkStart w:id="1941" w:name="_Toc239510297"/>
      <w:bookmarkEnd w:id="1941"/>
      <w:bookmarkStart w:id="1942" w:name="_Toc532375707"/>
      <w:r>
        <w:rPr>
          <w:rFonts w:hint="eastAsia" w:ascii="宋体" w:hAnsi="宋体" w:cs="宋体"/>
          <w:color w:val="auto"/>
          <w:kern w:val="0"/>
          <w:szCs w:val="21"/>
          <w:highlight w:val="none"/>
          <w:lang w:bidi="ar"/>
        </w:rPr>
        <w:t>八、施工机具与材料</w:t>
      </w:r>
      <w:bookmarkEnd w:id="1942"/>
    </w:p>
    <w:p w14:paraId="69CB245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1．承包人对带入现场的施工机械和工器具的安全负责。</w:t>
      </w:r>
    </w:p>
    <w:p w14:paraId="6E0E98E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2．对于承包人带入现场的特殊工器具，如起重设备、索具、机动车辆、压缩气瓶等，承包人必须按国家法规和标准进行检测、试验，并持有法定部门出具的检验证书。</w:t>
      </w:r>
    </w:p>
    <w:p w14:paraId="73698B1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3．对于不属于法定检测的工器具，承包人也必须建立相应的管理、检测制度，这些工器具包括登高工具、脚手架材料、电动工具、安全防护设备及用具等。</w:t>
      </w:r>
    </w:p>
    <w:p w14:paraId="3282CF35">
      <w:pPr>
        <w:widowControl/>
        <w:spacing w:line="360" w:lineRule="auto"/>
        <w:ind w:firstLine="420" w:firstLineChars="200"/>
        <w:jc w:val="left"/>
        <w:rPr>
          <w:rFonts w:ascii="宋体" w:hAnsi="宋体" w:cs="宋体"/>
          <w:color w:val="auto"/>
          <w:kern w:val="0"/>
          <w:highlight w:val="none"/>
        </w:rPr>
      </w:pPr>
      <w:bookmarkStart w:id="1943" w:name="_Toc247431432"/>
      <w:bookmarkEnd w:id="1943"/>
      <w:bookmarkStart w:id="1944" w:name="_Toc239510298"/>
      <w:bookmarkEnd w:id="1944"/>
      <w:bookmarkStart w:id="1945" w:name="_Toc247418272"/>
      <w:bookmarkEnd w:id="1945"/>
      <w:bookmarkStart w:id="1946" w:name="_Toc532375708"/>
      <w:r>
        <w:rPr>
          <w:rFonts w:hint="eastAsia" w:ascii="宋体" w:hAnsi="宋体" w:cs="宋体"/>
          <w:color w:val="auto"/>
          <w:kern w:val="0"/>
          <w:szCs w:val="21"/>
          <w:highlight w:val="none"/>
          <w:lang w:bidi="ar"/>
        </w:rPr>
        <w:t>九、开工前安全条件检查</w:t>
      </w:r>
      <w:bookmarkEnd w:id="1946"/>
    </w:p>
    <w:p w14:paraId="70BB4B81">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发包人委托的监理公司将在合同生效后，工程项目正式开工5个工作日前，依据合同安全条款的要求逐项对承包人安全准备情况进行检查。不满足开工安全条件时，承包人将不得开工，由此产生的工期和成本的影响，由承包人自行负责。</w:t>
      </w:r>
    </w:p>
    <w:p w14:paraId="1C365D2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开工前安全条件检查的基本内容包括：安全管理体系建设、安全资金投入、危险源识别和安全风险分析、施工机械的安全状况、安全工器具和材料、安全培训教材和教员、专职安全人员的到岗情况、培训的有效性、人员控制、个人劳动保护用品配备等内容。</w:t>
      </w:r>
    </w:p>
    <w:p w14:paraId="50EA5BB7">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3．发包人委托的监理公司检查发现的缺陷，承包人应在规定期限内完成整改。对于重大缺陷，发包人委托的监理公司有权要求承包人推迟开工，由此对工期产生的影响或经济损失，由承包人承担。</w:t>
      </w:r>
    </w:p>
    <w:p w14:paraId="1A25EDBD">
      <w:pPr>
        <w:widowControl/>
        <w:spacing w:line="360" w:lineRule="auto"/>
        <w:ind w:firstLine="420" w:firstLineChars="200"/>
        <w:jc w:val="left"/>
        <w:rPr>
          <w:rFonts w:ascii="宋体" w:hAnsi="宋体" w:cs="宋体"/>
          <w:color w:val="auto"/>
          <w:kern w:val="0"/>
          <w:highlight w:val="none"/>
        </w:rPr>
      </w:pPr>
      <w:bookmarkStart w:id="1947" w:name="_Toc247431433"/>
      <w:bookmarkEnd w:id="1947"/>
      <w:bookmarkStart w:id="1948" w:name="_Toc247418273"/>
      <w:bookmarkEnd w:id="1948"/>
      <w:bookmarkStart w:id="1949" w:name="_Toc532375709"/>
      <w:bookmarkEnd w:id="1949"/>
      <w:bookmarkStart w:id="1950" w:name="_Toc239510299"/>
      <w:r>
        <w:rPr>
          <w:rFonts w:hint="eastAsia" w:ascii="宋体" w:hAnsi="宋体" w:cs="宋体"/>
          <w:color w:val="auto"/>
          <w:kern w:val="0"/>
          <w:szCs w:val="21"/>
          <w:highlight w:val="none"/>
          <w:lang w:bidi="ar"/>
        </w:rPr>
        <w:t>十、安全监督</w:t>
      </w:r>
      <w:bookmarkEnd w:id="1950"/>
    </w:p>
    <w:p w14:paraId="751E563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1．承包人应配备有满足项目安全管理需要的专职安全管理人员。</w:t>
      </w:r>
    </w:p>
    <w:p w14:paraId="1E98BC36">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2．承包人的专职安全管理人员必须持建设主管部门颁发的安全生产知识考核合格证书。</w:t>
      </w:r>
    </w:p>
    <w:p w14:paraId="5D8E3B90">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3．承包人的专职安全管理人员在业务上接受发包人委托的监理公司和发包人安全管理部门的协调和指导。</w:t>
      </w:r>
    </w:p>
    <w:p w14:paraId="779D3036">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4．承包人应建立班前安全交底制度；施工期间坚持开展安全检查和日常安全监督并形成相应的记录。</w:t>
      </w:r>
    </w:p>
    <w:p w14:paraId="44DEF7A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5．承包人应在每个作业区任命兼职安全员，赋予兼职安全员相应的授权和义务，并对兼职安全员进行定期考核。</w:t>
      </w:r>
    </w:p>
    <w:p w14:paraId="7D85212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6．承包人应接受和配合发包人专业部门及委托的监理公司的监督与安全评价。</w:t>
      </w:r>
    </w:p>
    <w:p w14:paraId="4CD7AC8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7．发包人和委托的监理公司有权对承包人履行安全管理协议的情况进行监督，并有权对违章行为实行停工和处罚，处罚情况将通知承包人。涉及经济处罚时将直接通知合同管理部门从合同结算中扣除。</w:t>
      </w:r>
    </w:p>
    <w:p w14:paraId="33F5697E">
      <w:pPr>
        <w:widowControl/>
        <w:spacing w:line="360" w:lineRule="auto"/>
        <w:ind w:firstLine="420" w:firstLineChars="200"/>
        <w:jc w:val="left"/>
        <w:rPr>
          <w:rFonts w:ascii="宋体" w:hAnsi="宋体" w:cs="宋体"/>
          <w:color w:val="auto"/>
          <w:kern w:val="0"/>
          <w:highlight w:val="none"/>
        </w:rPr>
      </w:pPr>
      <w:bookmarkStart w:id="1951" w:name="_Toc247418274"/>
      <w:bookmarkEnd w:id="1951"/>
      <w:bookmarkStart w:id="1952" w:name="_Toc532375710"/>
      <w:bookmarkEnd w:id="1952"/>
      <w:bookmarkStart w:id="1953" w:name="_Toc239510300"/>
      <w:bookmarkEnd w:id="1953"/>
      <w:bookmarkStart w:id="1954" w:name="_Toc247431434"/>
      <w:r>
        <w:rPr>
          <w:rFonts w:hint="eastAsia" w:ascii="宋体" w:hAnsi="宋体" w:cs="宋体"/>
          <w:color w:val="auto"/>
          <w:kern w:val="0"/>
          <w:szCs w:val="21"/>
          <w:highlight w:val="none"/>
          <w:lang w:bidi="ar"/>
        </w:rPr>
        <w:t>十一、安全培训与授权</w:t>
      </w:r>
      <w:bookmarkEnd w:id="1954"/>
    </w:p>
    <w:p w14:paraId="034F1A6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1．承包人所有特殊工种人员必须持证上岗，发包人和发包人委托的监理公司有权对其进行抽查。承包人要建立特殊工种定期培训和检查计划，这些工种包括但不限于：机动车驾驶员、焊工、起重工、电工等。</w:t>
      </w:r>
    </w:p>
    <w:p w14:paraId="6C27D088">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2．承包人应在特殊工种之外的其他工种中，筛选出高风险工种，并对其开展针对性的专题安全培训。</w:t>
      </w:r>
    </w:p>
    <w:p w14:paraId="6D3B34C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3．承包人应组织 “入场培训”和考核。发包人委托的监理公司有权监督培训、考核情况或组织抽查考核。</w:t>
      </w:r>
    </w:p>
    <w:p w14:paraId="1F0E78E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4．承包人应建立安全培训和考核机制，编制培训教材和培训滚动计划。承包人应组织安全考试/考核，建立培训考核记录，发包人委托的监理公司有权查看这些记录。</w:t>
      </w:r>
    </w:p>
    <w:p w14:paraId="4610063E">
      <w:pPr>
        <w:widowControl/>
        <w:spacing w:line="360" w:lineRule="auto"/>
        <w:ind w:firstLine="420" w:firstLineChars="200"/>
        <w:jc w:val="left"/>
        <w:rPr>
          <w:rFonts w:ascii="宋体" w:hAnsi="宋体" w:cs="宋体"/>
          <w:color w:val="auto"/>
          <w:kern w:val="0"/>
          <w:highlight w:val="none"/>
        </w:rPr>
      </w:pPr>
      <w:bookmarkStart w:id="1955" w:name="_Toc239510301"/>
      <w:bookmarkEnd w:id="1955"/>
      <w:bookmarkStart w:id="1956" w:name="_Toc247431435"/>
      <w:bookmarkEnd w:id="1956"/>
      <w:bookmarkStart w:id="1957" w:name="_Toc247418275"/>
      <w:bookmarkEnd w:id="1957"/>
      <w:bookmarkStart w:id="1958" w:name="_Toc532375711"/>
      <w:r>
        <w:rPr>
          <w:rFonts w:hint="eastAsia" w:ascii="宋体" w:hAnsi="宋体" w:cs="宋体"/>
          <w:color w:val="auto"/>
          <w:kern w:val="0"/>
          <w:szCs w:val="21"/>
          <w:highlight w:val="none"/>
          <w:lang w:bidi="ar"/>
        </w:rPr>
        <w:t>十二、职业健康与卫生防疫</w:t>
      </w:r>
      <w:bookmarkEnd w:id="1958"/>
    </w:p>
    <w:p w14:paraId="0E0211E1">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1．承包人应有特殊健康检查制度，预防有禁忌症患者从事有关职业，如恐高症患者不得从事高空作业，患有心血管疾病的人员不得从事繁重的体力劳动，特殊工种人员的体检应符合国家的规定。</w:t>
      </w:r>
    </w:p>
    <w:p w14:paraId="685C5328">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2．承包人应保证卫生防疫基本设施的投入，以满足医疗、急救的要求，建立外部医疗支持渠道。</w:t>
      </w:r>
    </w:p>
    <w:p w14:paraId="3FBFFE5E">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应建立卫生防疫措施计划，做好生活区和施工区的卫生防疫工作；制定和执行保证饮水卫生、饮食卫生、环境卫生和预防集体食物中毒的措施；有灭蚊、灭鼠和消毒的专项工作计划；有针对性地制订预防SARS、禽流感、疟疾、霍乱、肠道传染病、肝炎、H1N1流感等疾病的措施。</w:t>
      </w:r>
    </w:p>
    <w:p w14:paraId="54150D3C">
      <w:pPr>
        <w:widowControl/>
        <w:spacing w:line="360" w:lineRule="auto"/>
        <w:ind w:firstLine="420" w:firstLineChars="200"/>
        <w:jc w:val="left"/>
        <w:rPr>
          <w:rFonts w:ascii="宋体" w:hAnsi="宋体" w:cs="宋体"/>
          <w:color w:val="auto"/>
          <w:kern w:val="0"/>
          <w:highlight w:val="none"/>
        </w:rPr>
      </w:pPr>
      <w:bookmarkStart w:id="1959" w:name="_Toc247418276"/>
      <w:bookmarkEnd w:id="1959"/>
      <w:bookmarkStart w:id="1960" w:name="_Toc239510302"/>
      <w:bookmarkEnd w:id="1960"/>
      <w:bookmarkStart w:id="1961" w:name="_Toc532375712"/>
      <w:bookmarkEnd w:id="1961"/>
      <w:bookmarkStart w:id="1962" w:name="_Toc247431436"/>
      <w:r>
        <w:rPr>
          <w:rFonts w:hint="eastAsia" w:ascii="宋体" w:hAnsi="宋体" w:cs="宋体"/>
          <w:color w:val="auto"/>
          <w:kern w:val="0"/>
          <w:szCs w:val="21"/>
          <w:highlight w:val="none"/>
          <w:lang w:bidi="ar"/>
        </w:rPr>
        <w:t>十三、文明施工与环保要求</w:t>
      </w:r>
      <w:bookmarkEnd w:id="1962"/>
    </w:p>
    <w:p w14:paraId="763711F0">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1．承包人需制订施工现场的文明施工措施，保持良好的施工现场秩序。施工现场的物料堆放要摆放整齐，安全标志和宣传标志要清楚醒目，废料、废物要分类收集，安全通道要畅通。</w:t>
      </w:r>
    </w:p>
    <w:p w14:paraId="326E25AE">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2．承包人作业时应避免建筑材料抛洒、飞扬、流淌；应尽可能降低噪音、震动。</w:t>
      </w:r>
    </w:p>
    <w:p w14:paraId="2DA87C28">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3．承包人应根据实际需要，在施工现场布置临时卫生设施（洗手间、卫生间等），施工作业不破坏环境卫生，不污染现场环境。</w:t>
      </w:r>
    </w:p>
    <w:p w14:paraId="6BF7983F">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4．承包人在施工中应充分重视对环境的保护，保护绿色植被，保护古树。施工如需伤害古树，必须报告发包人委托的监理公司，在未得到指令前，禁止擅自伤害古树。</w:t>
      </w:r>
    </w:p>
    <w:p w14:paraId="0F026DEE">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承包人应及时清理现场废物和垃圾。工业废料与生活垃圾必须分开，有害废物与普通废物必须分开（如油品废物、电池灯管等，必须单独收集、存放）；禁止在非指定场所乱倒、乱堆垃圾。禁止违章处理危险化学品和工业垃圾。</w:t>
      </w:r>
    </w:p>
    <w:p w14:paraId="59C8930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6．承包人在施工中应禁止向环境，排放工业污水、生活污水、废油或其他有害物质。</w:t>
      </w:r>
    </w:p>
    <w:p w14:paraId="05151F6F">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7．承包人在施工中应防止水土流失，应及时对裸露的地基、边坡、开挖出来的沙/土以及砂、石、水泥等建筑材料予以保护，防止风刮扬尘，雨水冲刷，流入下水道、排洪沟。如因防护不及时而造成大量水土流失、淤塞道路、沟道或污染环境的，承包人应承担清淤、清扫以及相应的赔偿责任。</w:t>
      </w:r>
    </w:p>
    <w:p w14:paraId="7BA6946F">
      <w:pPr>
        <w:widowControl/>
        <w:spacing w:line="360" w:lineRule="auto"/>
        <w:ind w:firstLine="420" w:firstLineChars="200"/>
        <w:jc w:val="left"/>
        <w:rPr>
          <w:rFonts w:ascii="宋体" w:hAnsi="宋体" w:cs="宋体"/>
          <w:color w:val="auto"/>
          <w:kern w:val="0"/>
          <w:highlight w:val="none"/>
        </w:rPr>
      </w:pPr>
      <w:bookmarkStart w:id="1963" w:name="_Toc247418277"/>
      <w:bookmarkEnd w:id="1963"/>
      <w:bookmarkStart w:id="1964" w:name="_Toc239510303"/>
      <w:bookmarkEnd w:id="1964"/>
      <w:bookmarkStart w:id="1965" w:name="_Toc247431437"/>
      <w:bookmarkEnd w:id="1965"/>
      <w:bookmarkStart w:id="1966" w:name="_Toc532375713"/>
      <w:r>
        <w:rPr>
          <w:rFonts w:hint="eastAsia" w:ascii="宋体" w:hAnsi="宋体" w:cs="宋体"/>
          <w:color w:val="auto"/>
          <w:kern w:val="0"/>
          <w:szCs w:val="21"/>
          <w:highlight w:val="none"/>
          <w:lang w:bidi="ar"/>
        </w:rPr>
        <w:t>十四、工程风险管理与事故预防</w:t>
      </w:r>
      <w:bookmarkEnd w:id="1966"/>
    </w:p>
    <w:p w14:paraId="143CB387">
      <w:pPr>
        <w:widowControl/>
        <w:spacing w:line="360" w:lineRule="auto"/>
        <w:ind w:firstLine="420" w:firstLineChars="200"/>
        <w:jc w:val="left"/>
        <w:rPr>
          <w:rFonts w:ascii="宋体" w:hAnsi="宋体" w:cs="宋体"/>
          <w:color w:val="auto"/>
          <w:kern w:val="0"/>
          <w:highlight w:val="none"/>
        </w:rPr>
      </w:pPr>
      <w:bookmarkStart w:id="1967" w:name="_Toc247418278"/>
      <w:bookmarkEnd w:id="1967"/>
      <w:bookmarkStart w:id="1968" w:name="_Toc247431438"/>
      <w:bookmarkEnd w:id="1968"/>
      <w:bookmarkStart w:id="1969" w:name="_Toc239510304"/>
      <w:r>
        <w:rPr>
          <w:rFonts w:hint="eastAsia" w:ascii="宋体" w:hAnsi="宋体" w:cs="宋体"/>
          <w:color w:val="auto"/>
          <w:kern w:val="0"/>
          <w:szCs w:val="21"/>
          <w:highlight w:val="none"/>
          <w:lang w:bidi="ar"/>
        </w:rPr>
        <w:t>（一）基本要求</w:t>
      </w:r>
      <w:bookmarkEnd w:id="1969"/>
    </w:p>
    <w:p w14:paraId="60538B04">
      <w:pPr>
        <w:widowControl/>
        <w:spacing w:line="360" w:lineRule="auto"/>
        <w:ind w:firstLine="420" w:firstLineChars="200"/>
        <w:jc w:val="left"/>
        <w:rPr>
          <w:rFonts w:ascii="宋体" w:hAnsi="宋体" w:cs="宋体"/>
          <w:color w:val="auto"/>
          <w:kern w:val="0"/>
          <w:highlight w:val="none"/>
        </w:rPr>
      </w:pPr>
      <w:bookmarkStart w:id="1970" w:name="_Toc532375714"/>
      <w:bookmarkEnd w:id="1970"/>
      <w:r>
        <w:rPr>
          <w:rFonts w:hint="eastAsia" w:ascii="宋体" w:hAnsi="宋体" w:cs="宋体"/>
          <w:color w:val="auto"/>
          <w:kern w:val="0"/>
          <w:szCs w:val="21"/>
          <w:highlight w:val="none"/>
          <w:lang w:bidi="ar"/>
        </w:rPr>
        <w:t>1．承包人应对施工过程进行全面、深入的危险源识别和风险分析。在施工安全组织设计中提供危险源及重要危险源清单、作业风险分析报告，该报告应包括（但不限于）如下信息：</w:t>
      </w:r>
    </w:p>
    <w:p w14:paraId="2B2B3AA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（1）高风险作业和工种清单：作业名称、类别和数量、主要事故风险。</w:t>
      </w:r>
    </w:p>
    <w:p w14:paraId="4237CDD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（2）施工能源和机械的种类、数量和主要事故风险。</w:t>
      </w:r>
    </w:p>
    <w:p w14:paraId="6F05D5AF">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（3）施工作业条件的类型和主要事故风险。</w:t>
      </w:r>
    </w:p>
    <w:p w14:paraId="755C39AD">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（4）主要工艺过程（或施工活动）的类别及其相关的事故风险。</w:t>
      </w:r>
    </w:p>
    <w:p w14:paraId="5431842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（5）主要火灾危险（可燃物、点火源）。</w:t>
      </w:r>
    </w:p>
    <w:p w14:paraId="527A29C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（6）主要自然灾害（洪水、大风、雷暴、暴雨、地质灾害等）。</w:t>
      </w:r>
    </w:p>
    <w:p w14:paraId="527482F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（7）主要环境保护事件（有害垃圾、机械的跑冒滴漏、原材料流失、水土流失等）。</w:t>
      </w:r>
    </w:p>
    <w:p w14:paraId="6A25E30B">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（8）其他。</w:t>
      </w:r>
    </w:p>
    <w:p w14:paraId="0CE6174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2．承包人应针对识别出的危险源制定有针对性的事故预防措施并确保在施工中得到有效落实。</w:t>
      </w:r>
    </w:p>
    <w:p w14:paraId="1BAA1C38">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3．承包人应建立日常施工活动的动态作业风险分析和安全交底制度。该制度应明确规定风险分析的方法、责任和交底的内容、时间及记录。</w:t>
      </w:r>
    </w:p>
    <w:p w14:paraId="28D800FB">
      <w:pPr>
        <w:widowControl/>
        <w:spacing w:line="360" w:lineRule="auto"/>
        <w:ind w:firstLine="420" w:firstLineChars="200"/>
        <w:jc w:val="left"/>
        <w:rPr>
          <w:rFonts w:ascii="宋体" w:hAnsi="宋体" w:cs="宋体"/>
          <w:color w:val="auto"/>
          <w:kern w:val="0"/>
          <w:highlight w:val="none"/>
        </w:rPr>
      </w:pPr>
      <w:bookmarkStart w:id="1971" w:name="_Toc239510305"/>
      <w:bookmarkEnd w:id="1971"/>
      <w:bookmarkStart w:id="1972" w:name="_Toc247418279"/>
      <w:bookmarkEnd w:id="1972"/>
      <w:bookmarkStart w:id="1973" w:name="_Toc247431439"/>
      <w:r>
        <w:rPr>
          <w:rFonts w:hint="eastAsia" w:ascii="宋体" w:hAnsi="宋体" w:cs="宋体"/>
          <w:color w:val="auto"/>
          <w:kern w:val="0"/>
          <w:szCs w:val="21"/>
          <w:highlight w:val="none"/>
          <w:lang w:bidi="ar"/>
        </w:rPr>
        <w:t>（二）现场作业基本安全条件</w:t>
      </w:r>
      <w:bookmarkEnd w:id="1973"/>
    </w:p>
    <w:p w14:paraId="611795C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承包人应规定现场作业的基本安全条件，包括照明条件、通风条件、作业平台和通道条件、物料堆放条件、供电供水条件、吸烟点、休息点等，并对临边现场、道路上作业现场、立体交叉作业现场、地面坑洞和沟道、夜间作业现场等的基本安全条件做出规定。</w:t>
      </w:r>
    </w:p>
    <w:p w14:paraId="4F2CF728">
      <w:pPr>
        <w:widowControl/>
        <w:spacing w:line="360" w:lineRule="auto"/>
        <w:ind w:firstLine="420" w:firstLineChars="200"/>
        <w:jc w:val="left"/>
        <w:rPr>
          <w:rFonts w:ascii="宋体" w:hAnsi="宋体" w:cs="宋体"/>
          <w:color w:val="auto"/>
          <w:kern w:val="0"/>
          <w:highlight w:val="none"/>
        </w:rPr>
      </w:pPr>
      <w:bookmarkStart w:id="1974" w:name="_Toc239510306"/>
      <w:bookmarkEnd w:id="1974"/>
      <w:bookmarkStart w:id="1975" w:name="_Toc247431440"/>
      <w:bookmarkEnd w:id="1975"/>
      <w:bookmarkStart w:id="1976" w:name="_Toc247418280"/>
      <w:bookmarkEnd w:id="1976"/>
      <w:bookmarkStart w:id="1977" w:name="_Toc532375715"/>
      <w:r>
        <w:rPr>
          <w:rFonts w:hint="eastAsia" w:ascii="宋体" w:hAnsi="宋体" w:cs="宋体"/>
          <w:color w:val="auto"/>
          <w:kern w:val="0"/>
          <w:szCs w:val="21"/>
          <w:highlight w:val="none"/>
          <w:lang w:bidi="ar"/>
        </w:rPr>
        <w:t>十五、事故报告与应急救援</w:t>
      </w:r>
      <w:bookmarkEnd w:id="1977"/>
    </w:p>
    <w:p w14:paraId="3E17BC43">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1．承包人应制定对于未遂事故及以上级别的安全事件和事故，定期报送安全月度快报、季报、年报和各种专项事故报告等。</w:t>
      </w:r>
    </w:p>
    <w:p w14:paraId="0D96F5C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2．承包人应建立安全事故统计记录、未遂事故统计记录、违章统计记录，并根据统计情况进行分析，并就分析结果制定相应的预防措施。</w:t>
      </w:r>
    </w:p>
    <w:p w14:paraId="7B26CA9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3．承包人应建立事故应急救援机制，明确事故处置的基本原则，即现场发生事故时，首先抢救生命，向救援组织报警，并采取措施限制事故扩大。</w:t>
      </w:r>
    </w:p>
    <w:p w14:paraId="3189BE17">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4．承包人应建立相应的应急响应组织，以便能迅速处理突发意外。</w:t>
      </w:r>
    </w:p>
    <w:p w14:paraId="6D85264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5．承包人应建立专项应急响应预案，包括重大人身伤亡事故的救护预案、火灾响应预案、“四防”预案（防风、防冻、防雷、防暴雨）、重大疫病防护预案、环境污染防护预案、地质灾害防护预案等。</w:t>
      </w:r>
    </w:p>
    <w:p w14:paraId="789CE04E">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6．承包人应对应急预案进行适当演练，保证应急预案的可操作性。</w:t>
      </w:r>
    </w:p>
    <w:p w14:paraId="49D7740F">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7．在工地的其他施工单位发生重大事故时，承包人应无条件立即配合、支持事故抢险。</w:t>
      </w:r>
    </w:p>
    <w:p w14:paraId="0C34823F">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8．承包人必须为事故处置支付各项费用，包括受伤者的抚恤、补偿等费用，并按合同要求赔偿对发包人造成的损失。</w:t>
      </w:r>
    </w:p>
    <w:p w14:paraId="161E07D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9．由于发包人原因而造成的事故，发包人应负责按事故的具体损失情况给予承包人经济赔偿。</w:t>
      </w:r>
    </w:p>
    <w:p w14:paraId="1EE7946F">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10．涉及承包人员工的伤害事故，承包人除要报告发包人委托的监理公司外，还应负责按照国家、行业和本单位上级公司的要求，上报事故。</w:t>
      </w:r>
    </w:p>
    <w:p w14:paraId="73942885">
      <w:pPr>
        <w:widowControl/>
        <w:spacing w:line="360" w:lineRule="auto"/>
        <w:ind w:firstLine="420" w:firstLineChars="200"/>
        <w:jc w:val="left"/>
        <w:rPr>
          <w:rFonts w:ascii="宋体" w:hAnsi="宋体" w:cs="宋体"/>
          <w:color w:val="auto"/>
          <w:kern w:val="0"/>
          <w:highlight w:val="none"/>
        </w:rPr>
      </w:pPr>
      <w:bookmarkStart w:id="1978" w:name="_Toc247418281"/>
      <w:bookmarkEnd w:id="1978"/>
      <w:bookmarkStart w:id="1979" w:name="_Toc247431441"/>
      <w:bookmarkEnd w:id="1979"/>
      <w:bookmarkStart w:id="1980" w:name="_Toc532375716"/>
      <w:bookmarkEnd w:id="1980"/>
      <w:bookmarkStart w:id="1981" w:name="_Toc239510307"/>
      <w:r>
        <w:rPr>
          <w:rFonts w:hint="eastAsia" w:ascii="宋体" w:hAnsi="宋体" w:cs="宋体"/>
          <w:color w:val="auto"/>
          <w:kern w:val="0"/>
          <w:szCs w:val="21"/>
          <w:highlight w:val="none"/>
          <w:lang w:bidi="ar"/>
        </w:rPr>
        <w:t>十六、安全业绩考核</w:t>
      </w:r>
      <w:bookmarkEnd w:id="1981"/>
    </w:p>
    <w:p w14:paraId="483B23E0">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为了落实安全管理的责任，承包人在施工过程中发生安全事故时，承包人除应按国家有关规定承担责任和处罚外，发包人还将按照以下标准进行考核：</w:t>
      </w:r>
    </w:p>
    <w:tbl>
      <w:tblPr>
        <w:tblStyle w:val="45"/>
        <w:tblW w:w="7005" w:type="dxa"/>
        <w:jc w:val="center"/>
        <w:tblLayout w:type="fixed"/>
        <w:tblCellMar>
          <w:top w:w="0" w:type="dxa"/>
          <w:left w:w="0" w:type="dxa"/>
          <w:bottom w:w="0" w:type="dxa"/>
          <w:right w:w="0" w:type="dxa"/>
        </w:tblCellMar>
      </w:tblPr>
      <w:tblGrid>
        <w:gridCol w:w="3240"/>
        <w:gridCol w:w="3765"/>
      </w:tblGrid>
      <w:tr w14:paraId="085DD6EE">
        <w:tblPrEx>
          <w:tblCellMar>
            <w:top w:w="0" w:type="dxa"/>
            <w:left w:w="0" w:type="dxa"/>
            <w:bottom w:w="0" w:type="dxa"/>
            <w:right w:w="0" w:type="dxa"/>
          </w:tblCellMar>
        </w:tblPrEx>
        <w:trPr>
          <w:trHeight w:val="188" w:hRule="atLeast"/>
          <w:jc w:val="center"/>
        </w:trPr>
        <w:tc>
          <w:tcPr>
            <w:tcW w:w="324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0C70D2DC">
            <w:pPr>
              <w:widowControl/>
              <w:jc w:val="center"/>
              <w:rPr>
                <w:rFonts w:ascii="宋体" w:hAnsi="宋体" w:cs="宋体"/>
                <w:color w:val="auto"/>
                <w:kern w:val="0"/>
                <w:highlight w:val="none"/>
              </w:rPr>
            </w:pPr>
            <w:r>
              <w:rPr>
                <w:rFonts w:hint="eastAsia" w:ascii="宋体" w:hAnsi="宋体" w:cs="宋体"/>
                <w:color w:val="auto"/>
                <w:kern w:val="0"/>
                <w:szCs w:val="21"/>
                <w:highlight w:val="none"/>
                <w:lang w:bidi="ar"/>
              </w:rPr>
              <w:t>事件类型</w:t>
            </w:r>
          </w:p>
        </w:tc>
        <w:tc>
          <w:tcPr>
            <w:tcW w:w="3765"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16F724A3">
            <w:pPr>
              <w:widowControl/>
              <w:jc w:val="center"/>
              <w:rPr>
                <w:rFonts w:ascii="宋体" w:hAnsi="宋体" w:cs="宋体"/>
                <w:color w:val="auto"/>
                <w:kern w:val="0"/>
                <w:highlight w:val="none"/>
              </w:rPr>
            </w:pPr>
            <w:r>
              <w:rPr>
                <w:rFonts w:hint="eastAsia" w:ascii="宋体" w:hAnsi="宋体" w:cs="宋体"/>
                <w:color w:val="auto"/>
                <w:kern w:val="0"/>
                <w:szCs w:val="21"/>
                <w:highlight w:val="none"/>
                <w:lang w:bidi="ar"/>
              </w:rPr>
              <w:t>违约金额</w:t>
            </w:r>
          </w:p>
        </w:tc>
      </w:tr>
      <w:tr w14:paraId="63D7C118">
        <w:tblPrEx>
          <w:tblCellMar>
            <w:top w:w="0" w:type="dxa"/>
            <w:left w:w="0" w:type="dxa"/>
            <w:bottom w:w="0" w:type="dxa"/>
            <w:right w:w="0" w:type="dxa"/>
          </w:tblCellMar>
        </w:tblPrEx>
        <w:trPr>
          <w:trHeight w:val="281" w:hRule="atLeast"/>
          <w:jc w:val="center"/>
        </w:trPr>
        <w:tc>
          <w:tcPr>
            <w:tcW w:w="324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37815117">
            <w:pPr>
              <w:widowControl/>
              <w:jc w:val="center"/>
              <w:rPr>
                <w:rFonts w:ascii="宋体" w:hAnsi="宋体" w:cs="宋体"/>
                <w:color w:val="auto"/>
                <w:kern w:val="0"/>
                <w:highlight w:val="none"/>
              </w:rPr>
            </w:pPr>
            <w:r>
              <w:rPr>
                <w:rFonts w:hint="eastAsia" w:ascii="宋体" w:hAnsi="宋体" w:cs="宋体"/>
                <w:color w:val="auto"/>
                <w:kern w:val="0"/>
                <w:szCs w:val="21"/>
                <w:highlight w:val="none"/>
                <w:lang w:bidi="ar"/>
              </w:rPr>
              <w:t>较大事故</w:t>
            </w:r>
          </w:p>
        </w:tc>
        <w:tc>
          <w:tcPr>
            <w:tcW w:w="3765" w:type="dxa"/>
            <w:tcBorders>
              <w:top w:val="single" w:color="auto" w:sz="8" w:space="0"/>
              <w:left w:val="nil"/>
              <w:bottom w:val="single" w:color="auto" w:sz="8" w:space="0"/>
              <w:right w:val="single" w:color="auto" w:sz="8" w:space="0"/>
            </w:tcBorders>
            <w:shd w:val="clear" w:color="auto" w:fill="auto"/>
            <w:vAlign w:val="center"/>
          </w:tcPr>
          <w:p w14:paraId="537F5412">
            <w:pPr>
              <w:widowControl/>
              <w:jc w:val="center"/>
              <w:rPr>
                <w:rFonts w:ascii="宋体" w:hAnsi="宋体" w:cs="宋体"/>
                <w:color w:val="auto"/>
                <w:kern w:val="0"/>
                <w:highlight w:val="none"/>
              </w:rPr>
            </w:pPr>
            <w:r>
              <w:rPr>
                <w:rFonts w:hint="eastAsia" w:ascii="宋体" w:hAnsi="宋体" w:cs="宋体"/>
                <w:color w:val="auto"/>
                <w:kern w:val="0"/>
                <w:szCs w:val="21"/>
                <w:highlight w:val="none"/>
                <w:lang w:bidi="ar"/>
              </w:rPr>
              <w:t>签约合同价的0.5‰</w:t>
            </w:r>
          </w:p>
        </w:tc>
      </w:tr>
      <w:tr w14:paraId="53F36467">
        <w:tblPrEx>
          <w:tblCellMar>
            <w:top w:w="0" w:type="dxa"/>
            <w:left w:w="0" w:type="dxa"/>
            <w:bottom w:w="0" w:type="dxa"/>
            <w:right w:w="0" w:type="dxa"/>
          </w:tblCellMar>
        </w:tblPrEx>
        <w:trPr>
          <w:trHeight w:val="274" w:hRule="atLeast"/>
          <w:jc w:val="center"/>
        </w:trPr>
        <w:tc>
          <w:tcPr>
            <w:tcW w:w="324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4FAB0486">
            <w:pPr>
              <w:widowControl/>
              <w:jc w:val="center"/>
              <w:rPr>
                <w:rFonts w:ascii="宋体" w:hAnsi="宋体" w:cs="宋体"/>
                <w:color w:val="auto"/>
                <w:kern w:val="0"/>
                <w:highlight w:val="none"/>
              </w:rPr>
            </w:pPr>
            <w:r>
              <w:rPr>
                <w:rFonts w:hint="eastAsia" w:ascii="宋体" w:hAnsi="宋体" w:cs="宋体"/>
                <w:color w:val="auto"/>
                <w:kern w:val="0"/>
                <w:szCs w:val="21"/>
                <w:highlight w:val="none"/>
                <w:lang w:bidi="ar"/>
              </w:rPr>
              <w:t>重大事故</w:t>
            </w:r>
          </w:p>
        </w:tc>
        <w:tc>
          <w:tcPr>
            <w:tcW w:w="3765" w:type="dxa"/>
            <w:tcBorders>
              <w:top w:val="single" w:color="auto" w:sz="8" w:space="0"/>
              <w:left w:val="nil"/>
              <w:bottom w:val="single" w:color="auto" w:sz="8" w:space="0"/>
              <w:right w:val="single" w:color="auto" w:sz="8" w:space="0"/>
            </w:tcBorders>
            <w:shd w:val="clear" w:color="auto" w:fill="auto"/>
            <w:vAlign w:val="center"/>
          </w:tcPr>
          <w:p w14:paraId="0822AD6C">
            <w:pPr>
              <w:widowControl/>
              <w:jc w:val="center"/>
              <w:rPr>
                <w:rFonts w:ascii="宋体" w:hAnsi="宋体" w:cs="宋体"/>
                <w:color w:val="auto"/>
                <w:kern w:val="0"/>
                <w:highlight w:val="none"/>
              </w:rPr>
            </w:pPr>
            <w:r>
              <w:rPr>
                <w:rFonts w:hint="eastAsia" w:ascii="宋体" w:hAnsi="宋体" w:cs="宋体"/>
                <w:color w:val="auto"/>
                <w:kern w:val="0"/>
                <w:szCs w:val="21"/>
                <w:highlight w:val="none"/>
                <w:lang w:bidi="ar"/>
              </w:rPr>
              <w:t>签约合同价的2‰</w:t>
            </w:r>
          </w:p>
        </w:tc>
      </w:tr>
      <w:tr w14:paraId="6AFAC03F">
        <w:tblPrEx>
          <w:tblCellMar>
            <w:top w:w="0" w:type="dxa"/>
            <w:left w:w="0" w:type="dxa"/>
            <w:bottom w:w="0" w:type="dxa"/>
            <w:right w:w="0" w:type="dxa"/>
          </w:tblCellMar>
        </w:tblPrEx>
        <w:trPr>
          <w:trHeight w:val="138" w:hRule="atLeast"/>
          <w:jc w:val="center"/>
        </w:trPr>
        <w:tc>
          <w:tcPr>
            <w:tcW w:w="3240"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5E61C992">
            <w:pPr>
              <w:widowControl/>
              <w:jc w:val="center"/>
              <w:rPr>
                <w:rFonts w:ascii="宋体" w:hAnsi="宋体" w:cs="宋体"/>
                <w:color w:val="auto"/>
                <w:kern w:val="0"/>
                <w:highlight w:val="none"/>
              </w:rPr>
            </w:pPr>
            <w:r>
              <w:rPr>
                <w:rFonts w:hint="eastAsia" w:ascii="宋体" w:hAnsi="宋体" w:cs="宋体"/>
                <w:color w:val="auto"/>
                <w:kern w:val="0"/>
                <w:szCs w:val="21"/>
                <w:highlight w:val="none"/>
                <w:lang w:bidi="ar"/>
              </w:rPr>
              <w:t>特别重大事故</w:t>
            </w:r>
          </w:p>
        </w:tc>
        <w:tc>
          <w:tcPr>
            <w:tcW w:w="3765" w:type="dxa"/>
            <w:tcBorders>
              <w:top w:val="single" w:color="auto" w:sz="8" w:space="0"/>
              <w:left w:val="nil"/>
              <w:bottom w:val="single" w:color="auto" w:sz="8" w:space="0"/>
              <w:right w:val="single" w:color="auto" w:sz="8" w:space="0"/>
            </w:tcBorders>
            <w:shd w:val="clear" w:color="auto" w:fill="auto"/>
            <w:vAlign w:val="center"/>
          </w:tcPr>
          <w:p w14:paraId="378DA79B">
            <w:pPr>
              <w:widowControl/>
              <w:jc w:val="center"/>
              <w:rPr>
                <w:rFonts w:ascii="宋体" w:hAnsi="宋体" w:cs="宋体"/>
                <w:color w:val="auto"/>
                <w:kern w:val="0"/>
                <w:highlight w:val="none"/>
              </w:rPr>
            </w:pPr>
            <w:r>
              <w:rPr>
                <w:rFonts w:hint="eastAsia" w:ascii="宋体" w:hAnsi="宋体" w:cs="宋体"/>
                <w:color w:val="auto"/>
                <w:kern w:val="0"/>
                <w:szCs w:val="21"/>
                <w:highlight w:val="none"/>
                <w:lang w:bidi="ar"/>
              </w:rPr>
              <w:t>签约合同价的4‰</w:t>
            </w:r>
          </w:p>
        </w:tc>
      </w:tr>
    </w:tbl>
    <w:p w14:paraId="17BCC086">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（1）较大事故，是指造成3人以上10人以下死亡，或者10人以上50人以下重伤，或者1000万元以上5000万元以下直接经济损失的事故；</w:t>
      </w:r>
    </w:p>
    <w:p w14:paraId="28B527C0">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（2）重大事故，是指造成10人以上30人以下死亡，或者50人以上100人以下重伤，或者5000万元以上1亿元以下直接经济损失的事故；</w:t>
      </w:r>
    </w:p>
    <w:p w14:paraId="1D9027B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（3）特别重大事故，是指造成30人以上死亡，或者100人以上重伤（包括急性工业中毒，下同），或者1亿元以上直接经济损失的事故；</w:t>
      </w:r>
    </w:p>
    <w:p w14:paraId="21614E0B">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（4）所称的“以上”包括本数，所称的“以下”不包括本数。</w:t>
      </w:r>
    </w:p>
    <w:p w14:paraId="6AC1076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（5）如整个施工过程未发生以上安全事故，则给予承包人建安费总额的1‰的安全奖励。</w:t>
      </w:r>
    </w:p>
    <w:p w14:paraId="10B722BD">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发包人委托的监理公司负责对承包人的安全业绩进行考核。每次合同支付前，承包人提交自我安全业绩评估报告，然后交发包人委托的监理公司评价。发包人委托的监理公司在签署评价意见后，将作为合同支付依据之一，同时也作为是否可接受承包人再次参加发包人项目投标的依据之一。 </w:t>
      </w:r>
    </w:p>
    <w:p w14:paraId="1F893106">
      <w:pPr>
        <w:widowControl/>
        <w:spacing w:line="360" w:lineRule="auto"/>
        <w:ind w:firstLine="420" w:firstLineChars="200"/>
        <w:jc w:val="left"/>
        <w:rPr>
          <w:rFonts w:ascii="宋体" w:hAnsi="宋体" w:cs="宋体"/>
          <w:color w:val="auto"/>
          <w:kern w:val="0"/>
          <w:highlight w:val="none"/>
        </w:rPr>
      </w:pPr>
      <w:bookmarkStart w:id="1982" w:name="_Toc532375717"/>
      <w:bookmarkEnd w:id="1982"/>
      <w:bookmarkStart w:id="1983" w:name="_Toc247418282"/>
      <w:bookmarkEnd w:id="1983"/>
      <w:bookmarkStart w:id="1984" w:name="_Toc239510308"/>
      <w:bookmarkEnd w:id="1984"/>
      <w:bookmarkStart w:id="1985" w:name="_Toc247431442"/>
      <w:r>
        <w:rPr>
          <w:rFonts w:hint="eastAsia" w:ascii="宋体" w:hAnsi="宋体" w:cs="宋体"/>
          <w:color w:val="auto"/>
          <w:kern w:val="0"/>
          <w:szCs w:val="21"/>
          <w:highlight w:val="none"/>
          <w:lang w:bidi="ar"/>
        </w:rPr>
        <w:t>十七、协议条款的修订</w:t>
      </w:r>
      <w:bookmarkEnd w:id="1985"/>
    </w:p>
    <w:p w14:paraId="7EDC52E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在项目实施过程中，经双方友好协商，本协议的有关条款也可做出相应的修改。</w:t>
      </w:r>
    </w:p>
    <w:p w14:paraId="4A4CAE1B">
      <w:pPr>
        <w:widowControl/>
        <w:spacing w:line="360" w:lineRule="auto"/>
        <w:ind w:firstLine="420" w:firstLineChars="200"/>
        <w:jc w:val="left"/>
        <w:rPr>
          <w:rFonts w:ascii="宋体" w:hAnsi="宋体" w:cs="宋体"/>
          <w:color w:val="auto"/>
          <w:kern w:val="0"/>
          <w:szCs w:val="21"/>
          <w:highlight w:val="none"/>
          <w:lang w:bidi="ar"/>
        </w:rPr>
      </w:pPr>
      <w:r>
        <w:rPr>
          <w:rFonts w:hint="eastAsia" w:ascii="宋体" w:hAnsi="宋体" w:cs="宋体"/>
          <w:color w:val="auto"/>
          <w:kern w:val="0"/>
          <w:szCs w:val="21"/>
          <w:highlight w:val="none"/>
          <w:lang w:bidi="ar"/>
        </w:rPr>
        <w:t>本工程安全管理协议，由发包人、承包人双方在施工承包合同签订后7天内共同签署，作为施工合同附件。</w:t>
      </w:r>
    </w:p>
    <w:p w14:paraId="4B2F4F6A">
      <w:pPr>
        <w:widowControl/>
        <w:spacing w:line="360" w:lineRule="auto"/>
        <w:ind w:firstLine="420" w:firstLineChars="200"/>
        <w:jc w:val="left"/>
        <w:rPr>
          <w:color w:val="auto"/>
          <w:highlight w:val="none"/>
          <w:lang w:bidi="ar"/>
        </w:rPr>
      </w:pPr>
      <w:r>
        <w:rPr>
          <w:rFonts w:hint="eastAsia"/>
          <w:color w:val="auto"/>
          <w:highlight w:val="none"/>
          <w:lang w:bidi="ar"/>
        </w:rPr>
        <w:t>（以下无正文）</w:t>
      </w:r>
    </w:p>
    <w:p w14:paraId="1294285D">
      <w:pPr>
        <w:pStyle w:val="2"/>
        <w:rPr>
          <w:color w:val="auto"/>
          <w:highlight w:val="none"/>
          <w:lang w:bidi="ar"/>
        </w:rPr>
      </w:pPr>
    </w:p>
    <w:p w14:paraId="11C7A5D2">
      <w:pPr>
        <w:pStyle w:val="2"/>
        <w:rPr>
          <w:color w:val="auto"/>
          <w:highlight w:val="none"/>
          <w:lang w:bidi="ar"/>
        </w:rPr>
      </w:pPr>
    </w:p>
    <w:p w14:paraId="4AA4A33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发  包  人（公章）：</w:t>
      </w:r>
      <w:r>
        <w:rPr>
          <w:rFonts w:hint="eastAsia" w:ascii="宋体" w:hAnsi="宋体" w:cs="宋体"/>
          <w:color w:val="auto"/>
          <w:kern w:val="0"/>
          <w:szCs w:val="21"/>
          <w:highlight w:val="none"/>
          <w:u w:val="single"/>
          <w:lang w:bidi="ar"/>
        </w:rPr>
        <w:t xml:space="preserve">                       </w:t>
      </w:r>
    </w:p>
    <w:p w14:paraId="4E37F4E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法定代表人（签字）：</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2D1F9875">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或其委托代理人（签字）：</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 xml:space="preserve">  </w:t>
      </w:r>
    </w:p>
    <w:p w14:paraId="4E12621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50F0A917">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承  包  人（公章）：</w:t>
      </w:r>
      <w:r>
        <w:rPr>
          <w:rFonts w:hint="eastAsia" w:ascii="宋体" w:hAnsi="宋体" w:cs="宋体"/>
          <w:color w:val="auto"/>
          <w:kern w:val="0"/>
          <w:szCs w:val="21"/>
          <w:highlight w:val="none"/>
          <w:u w:val="single"/>
          <w:lang w:bidi="ar"/>
        </w:rPr>
        <w:t xml:space="preserve">                       </w:t>
      </w:r>
    </w:p>
    <w:p w14:paraId="75955FF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法定代表人（签字）：</w:t>
      </w:r>
      <w:r>
        <w:rPr>
          <w:rFonts w:hint="eastAsia" w:ascii="宋体" w:hAnsi="宋体" w:cs="宋体"/>
          <w:color w:val="auto"/>
          <w:kern w:val="0"/>
          <w:szCs w:val="21"/>
          <w:highlight w:val="none"/>
          <w:u w:val="single"/>
          <w:lang w:bidi="ar"/>
        </w:rPr>
        <w:t xml:space="preserve">                       </w:t>
      </w:r>
    </w:p>
    <w:p w14:paraId="4A306598">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或其委托代理人（签字）：</w:t>
      </w:r>
      <w:r>
        <w:rPr>
          <w:rFonts w:hint="eastAsia" w:ascii="宋体" w:hAnsi="宋体" w:cs="宋体"/>
          <w:color w:val="auto"/>
          <w:kern w:val="0"/>
          <w:szCs w:val="21"/>
          <w:highlight w:val="none"/>
          <w:u w:val="single"/>
          <w:lang w:bidi="ar"/>
        </w:rPr>
        <w:t xml:space="preserve">                   </w:t>
      </w:r>
    </w:p>
    <w:p w14:paraId="35DC6049">
      <w:pPr>
        <w:widowControl/>
        <w:spacing w:line="360" w:lineRule="auto"/>
        <w:ind w:firstLine="420" w:firstLineChars="200"/>
        <w:jc w:val="left"/>
        <w:rPr>
          <w:rFonts w:ascii="宋体" w:hAnsi="宋体" w:cs="宋体"/>
          <w:color w:val="auto"/>
          <w:kern w:val="0"/>
          <w:highlight w:val="none"/>
        </w:rPr>
      </w:pPr>
      <w:r>
        <w:rPr>
          <w:rFonts w:hint="eastAsia" w:ascii="宋体" w:hAnsi="宋体"/>
          <w:color w:val="auto"/>
          <w:szCs w:val="21"/>
          <w:highlight w:val="none"/>
          <w:lang w:bidi="ar"/>
        </w:rPr>
        <w:br w:type="page"/>
      </w:r>
    </w:p>
    <w:p w14:paraId="6F8FD6E0">
      <w:pPr>
        <w:keepNext/>
        <w:keepLines/>
        <w:widowControl/>
        <w:wordWrap w:val="0"/>
        <w:topLinePunct/>
        <w:adjustRightInd w:val="0"/>
        <w:snapToGrid w:val="0"/>
        <w:spacing w:after="156" w:afterLines="50" w:line="360" w:lineRule="auto"/>
        <w:jc w:val="center"/>
        <w:outlineLvl w:val="1"/>
        <w:rPr>
          <w:rFonts w:ascii="宋体" w:hAnsi="宋体" w:cs="宋体"/>
          <w:b/>
          <w:color w:val="auto"/>
          <w:kern w:val="0"/>
          <w:highlight w:val="none"/>
        </w:rPr>
      </w:pPr>
      <w:bookmarkStart w:id="1986" w:name="_Toc58860343"/>
      <w:r>
        <w:rPr>
          <w:rFonts w:hint="eastAsia" w:ascii="宋体" w:hAnsi="宋体" w:cs="宋体"/>
          <w:b/>
          <w:color w:val="auto"/>
          <w:kern w:val="0"/>
          <w:szCs w:val="21"/>
          <w:highlight w:val="none"/>
          <w:lang w:bidi="ar"/>
        </w:rPr>
        <w:t>附件1</w:t>
      </w:r>
      <w:r>
        <w:rPr>
          <w:rFonts w:ascii="宋体" w:hAnsi="宋体" w:cs="宋体"/>
          <w:b/>
          <w:color w:val="auto"/>
          <w:kern w:val="0"/>
          <w:szCs w:val="21"/>
          <w:highlight w:val="none"/>
          <w:lang w:bidi="ar"/>
        </w:rPr>
        <w:t>0</w:t>
      </w:r>
      <w:r>
        <w:rPr>
          <w:rFonts w:hint="eastAsia" w:ascii="宋体" w:hAnsi="宋体" w:cs="宋体"/>
          <w:b/>
          <w:color w:val="auto"/>
          <w:kern w:val="0"/>
          <w:szCs w:val="21"/>
          <w:highlight w:val="none"/>
          <w:lang w:bidi="ar"/>
        </w:rPr>
        <w:t xml:space="preserve"> 保障建筑工人工资支付协议</w:t>
      </w:r>
      <w:bookmarkEnd w:id="1986"/>
    </w:p>
    <w:p w14:paraId="2715FC41">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3DDC276F">
      <w:pPr>
        <w:widowControl/>
        <w:spacing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发包人（全称）：</w:t>
      </w:r>
      <w:r>
        <w:rPr>
          <w:rFonts w:hint="eastAsia" w:ascii="宋体" w:hAnsi="宋体" w:cs="宋体"/>
          <w:color w:val="auto"/>
          <w:kern w:val="0"/>
          <w:szCs w:val="21"/>
          <w:highlight w:val="none"/>
          <w:u w:val="single"/>
          <w:lang w:bidi="ar"/>
        </w:rPr>
        <w:t xml:space="preserve">                                 </w:t>
      </w:r>
    </w:p>
    <w:p w14:paraId="3A1146E4">
      <w:pPr>
        <w:widowControl/>
        <w:spacing w:line="360" w:lineRule="auto"/>
        <w:jc w:val="left"/>
        <w:rPr>
          <w:rFonts w:ascii="宋体" w:hAnsi="宋体" w:cs="宋体"/>
          <w:color w:val="auto"/>
          <w:kern w:val="0"/>
          <w:highlight w:val="none"/>
        </w:rPr>
      </w:pPr>
      <w:r>
        <w:rPr>
          <w:rFonts w:hint="eastAsia" w:ascii="宋体" w:hAnsi="宋体" w:cs="宋体"/>
          <w:color w:val="auto"/>
          <w:kern w:val="0"/>
          <w:szCs w:val="21"/>
          <w:highlight w:val="none"/>
          <w:lang w:bidi="ar"/>
        </w:rPr>
        <w:t>承包人（全称）：</w:t>
      </w:r>
      <w:r>
        <w:rPr>
          <w:rFonts w:hint="eastAsia" w:ascii="宋体" w:hAnsi="宋体" w:cs="宋体"/>
          <w:color w:val="auto"/>
          <w:kern w:val="0"/>
          <w:szCs w:val="21"/>
          <w:highlight w:val="none"/>
          <w:u w:val="single"/>
          <w:lang w:bidi="ar"/>
        </w:rPr>
        <w:t xml:space="preserve">                                 </w:t>
      </w:r>
    </w:p>
    <w:p w14:paraId="0B45F62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为贯彻落实《国务院办公厅关于全面治理拖欠农民工工资问题的意见》（国办发〔2016〕1号），《重庆市人民政府办公厅关于全面治理拖欠农民工工资问题的实施意见》（渝府办发〔2016〕101号），健全预防和解决拖欠建筑工人工资问题的长效机制，切实保障建筑工人劳动报酬权益，维护社会公平正义，促进社会和谐稳定。经甲、乙双方结合实际情况，友好协商，达成如下协议：</w:t>
      </w:r>
    </w:p>
    <w:p w14:paraId="717F43FD">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一、承包人申报工程进度款时，应对上月已支付工程款用于建筑工人工资发放的情况进行说明，并附建筑工人代表按时足额收取了工资的签字确认书。监理单位应对相关情况说明和签字确认书（详附件）进行审查签字后，与工程进度款申报资料一并提交给发包人。发包人审核合格后，才进行当期工程进度款的支付。</w:t>
      </w:r>
    </w:p>
    <w:p w14:paraId="3395BAE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二、由于工程进度款申报和审查需一定时间，其与建筑工人工资发放时间存在一定时间的延后，承包人应具有垫付不低于3个月建筑工人工资能力。承包人在本补充协议签订后申请的第一笔工程进度款时应出具垫付不低于3个月建筑工人工资的书面承诺给发包人。发包人将承包人是否做出承诺作为支付工程进度款的前提条件之一。</w:t>
      </w:r>
    </w:p>
    <w:p w14:paraId="27377872">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三、承包人每月10日前将本月作业班组、班组人数、建筑工人身份信息等报监理单位，10日～15日分别以作业班组为小组，每小组自行选举产生一名建筑工人代表，监理单位应全程监督，选举结果与当期工程款支付申请一并报送发包人。</w:t>
      </w:r>
    </w:p>
    <w:p w14:paraId="7648DE47">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四、若发现承包人有下列事项的，发包人在支付当期进度款时暂扣当期应支付进度款5%比例的款项。</w:t>
      </w:r>
      <w:r>
        <w:rPr>
          <w:rFonts w:hint="eastAsia" w:ascii="宋体" w:hAnsi="宋体" w:cs="宋体"/>
          <w:color w:val="auto"/>
          <w:kern w:val="0"/>
          <w:szCs w:val="21"/>
          <w:highlight w:val="none"/>
          <w:lang w:bidi="ar"/>
        </w:rPr>
        <w:br w:type="textWrapping"/>
      </w:r>
      <w:r>
        <w:rPr>
          <w:rFonts w:hint="eastAsia" w:ascii="宋体" w:hAnsi="宋体" w:cs="宋体"/>
          <w:color w:val="auto"/>
          <w:kern w:val="0"/>
          <w:szCs w:val="21"/>
          <w:highlight w:val="none"/>
          <w:lang w:bidi="ar"/>
        </w:rPr>
        <w:t xml:space="preserve">    （一）现场检查发现项目存在拖欠建筑工人工资情况并经核查属实的；</w:t>
      </w:r>
    </w:p>
    <w:p w14:paraId="338702B6">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（二）相关行政管理部门检查发现存在拖欠建筑工人工资情况并经核查属实的；</w:t>
      </w:r>
      <w:r>
        <w:rPr>
          <w:rFonts w:hint="eastAsia" w:ascii="宋体" w:hAnsi="宋体" w:cs="宋体"/>
          <w:color w:val="auto"/>
          <w:kern w:val="0"/>
          <w:szCs w:val="21"/>
          <w:highlight w:val="none"/>
          <w:lang w:bidi="ar"/>
        </w:rPr>
        <w:br w:type="textWrapping"/>
      </w:r>
      <w:r>
        <w:rPr>
          <w:rFonts w:hint="eastAsia" w:ascii="宋体" w:hAnsi="宋体" w:cs="宋体"/>
          <w:color w:val="auto"/>
          <w:kern w:val="0"/>
          <w:szCs w:val="21"/>
          <w:highlight w:val="none"/>
          <w:lang w:bidi="ar"/>
        </w:rPr>
        <w:t xml:space="preserve">    （三）有拖欠建筑工人工资投诉事项并经核查属实的。</w:t>
      </w:r>
      <w:r>
        <w:rPr>
          <w:rFonts w:hint="eastAsia" w:ascii="宋体" w:hAnsi="宋体" w:cs="宋体"/>
          <w:color w:val="auto"/>
          <w:kern w:val="0"/>
          <w:szCs w:val="21"/>
          <w:highlight w:val="none"/>
          <w:lang w:bidi="ar"/>
        </w:rPr>
        <w:br w:type="textWrapping"/>
      </w:r>
      <w:r>
        <w:rPr>
          <w:rFonts w:hint="eastAsia" w:ascii="宋体" w:hAnsi="宋体" w:cs="宋体"/>
          <w:color w:val="auto"/>
          <w:kern w:val="0"/>
          <w:szCs w:val="21"/>
          <w:highlight w:val="none"/>
          <w:lang w:bidi="ar"/>
        </w:rPr>
        <w:t xml:space="preserve">    五、对发现的存在拖欠建筑工人工资事项，承包人应在3天内限时整改，并将整改措施和结果报发包人审查，经发包人批准同意后，在下一期工程进度款支付中返还暂扣的工程款；如承包人未在3天内限时整改，暂扣工程款将继续扣留，直至整改完毕。暂扣款不计息。</w:t>
      </w:r>
    </w:p>
    <w:p w14:paraId="6A52B34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六、本协议经双方法定代表人或委托代理人签字并加盖公章后生效，履行完毕后自然失效。</w:t>
      </w:r>
    </w:p>
    <w:p w14:paraId="7BBEC75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附件：</w:t>
      </w:r>
    </w:p>
    <w:p w14:paraId="4B230C70">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1、关于建筑工人工资发放情况的说明表</w:t>
      </w:r>
    </w:p>
    <w:p w14:paraId="61C5205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5536C53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（以下无正文）</w:t>
      </w:r>
    </w:p>
    <w:p w14:paraId="49BBCDE0">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5BC41BEB">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发包人：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（发包人）</w:t>
      </w:r>
    </w:p>
    <w:p w14:paraId="7AA21AF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法定代表人：</w:t>
      </w:r>
      <w:r>
        <w:rPr>
          <w:rFonts w:hint="eastAsia" w:ascii="宋体" w:hAnsi="宋体" w:cs="宋体"/>
          <w:color w:val="auto"/>
          <w:kern w:val="0"/>
          <w:szCs w:val="21"/>
          <w:highlight w:val="none"/>
          <w:u w:val="single"/>
          <w:lang w:bidi="ar"/>
        </w:rPr>
        <w:t xml:space="preserve">       </w:t>
      </w:r>
    </w:p>
    <w:p w14:paraId="2C55E6C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或委托代理人：</w:t>
      </w:r>
      <w:r>
        <w:rPr>
          <w:rFonts w:hint="eastAsia" w:ascii="宋体" w:hAnsi="宋体" w:cs="宋体"/>
          <w:color w:val="auto"/>
          <w:kern w:val="0"/>
          <w:szCs w:val="21"/>
          <w:highlight w:val="none"/>
          <w:u w:val="single"/>
          <w:lang w:bidi="ar"/>
        </w:rPr>
        <w:t xml:space="preserve">       </w:t>
      </w:r>
    </w:p>
    <w:p w14:paraId="2335857A">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联系人：</w:t>
      </w:r>
      <w:r>
        <w:rPr>
          <w:rFonts w:hint="eastAsia" w:ascii="宋体" w:hAnsi="宋体" w:cs="宋体"/>
          <w:color w:val="auto"/>
          <w:kern w:val="0"/>
          <w:szCs w:val="21"/>
          <w:highlight w:val="none"/>
          <w:u w:val="single"/>
          <w:lang w:bidi="ar"/>
        </w:rPr>
        <w:t xml:space="preserve">       </w:t>
      </w:r>
    </w:p>
    <w:p w14:paraId="4D51FB5E">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0BC570A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598FB229">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5B6BA9CB">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承包人：</w:t>
      </w:r>
      <w:r>
        <w:rPr>
          <w:rFonts w:hint="eastAsia" w:ascii="宋体" w:hAnsi="宋体" w:cs="宋体"/>
          <w:color w:val="auto"/>
          <w:kern w:val="0"/>
          <w:szCs w:val="21"/>
          <w:highlight w:val="none"/>
          <w:u w:val="single"/>
          <w:lang w:bidi="ar"/>
        </w:rPr>
        <w:t xml:space="preserve">       </w:t>
      </w:r>
      <w:r>
        <w:rPr>
          <w:rFonts w:hint="eastAsia" w:ascii="宋体" w:hAnsi="宋体" w:cs="宋体"/>
          <w:color w:val="auto"/>
          <w:kern w:val="0"/>
          <w:szCs w:val="21"/>
          <w:highlight w:val="none"/>
          <w:lang w:bidi="ar"/>
        </w:rPr>
        <w:t>（承包人）</w:t>
      </w:r>
    </w:p>
    <w:p w14:paraId="2713404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法定代表人：</w:t>
      </w:r>
      <w:r>
        <w:rPr>
          <w:rFonts w:hint="eastAsia" w:ascii="宋体" w:hAnsi="宋体" w:cs="宋体"/>
          <w:color w:val="auto"/>
          <w:kern w:val="0"/>
          <w:szCs w:val="21"/>
          <w:highlight w:val="none"/>
          <w:u w:val="single"/>
          <w:lang w:bidi="ar"/>
        </w:rPr>
        <w:t xml:space="preserve">       </w:t>
      </w:r>
    </w:p>
    <w:p w14:paraId="70457E64">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或委托代理人：</w:t>
      </w:r>
      <w:r>
        <w:rPr>
          <w:rFonts w:hint="eastAsia" w:ascii="宋体" w:hAnsi="宋体" w:cs="宋体"/>
          <w:color w:val="auto"/>
          <w:kern w:val="0"/>
          <w:szCs w:val="21"/>
          <w:highlight w:val="none"/>
          <w:u w:val="single"/>
          <w:lang w:bidi="ar"/>
        </w:rPr>
        <w:t xml:space="preserve">       </w:t>
      </w:r>
    </w:p>
    <w:p w14:paraId="522464DC">
      <w:pPr>
        <w:widowControl/>
        <w:spacing w:line="360" w:lineRule="auto"/>
        <w:ind w:firstLine="420" w:firstLineChars="200"/>
        <w:jc w:val="left"/>
        <w:rPr>
          <w:rFonts w:ascii="宋体" w:hAnsi="宋体" w:cs="宋体"/>
          <w:color w:val="auto"/>
          <w:kern w:val="0"/>
          <w:highlight w:val="none"/>
        </w:rPr>
      </w:pPr>
      <w:r>
        <w:rPr>
          <w:rFonts w:hint="eastAsia" w:ascii="宋体" w:hAnsi="宋体" w:cs="宋体"/>
          <w:color w:val="auto"/>
          <w:kern w:val="0"/>
          <w:szCs w:val="21"/>
          <w:highlight w:val="none"/>
          <w:lang w:bidi="ar"/>
        </w:rPr>
        <w:t>联系人：</w:t>
      </w:r>
      <w:r>
        <w:rPr>
          <w:rFonts w:hint="eastAsia" w:ascii="宋体" w:hAnsi="宋体" w:cs="宋体"/>
          <w:color w:val="auto"/>
          <w:kern w:val="0"/>
          <w:szCs w:val="21"/>
          <w:highlight w:val="none"/>
          <w:u w:val="single"/>
          <w:lang w:bidi="ar"/>
        </w:rPr>
        <w:t xml:space="preserve">       </w:t>
      </w:r>
    </w:p>
    <w:p w14:paraId="148D3DC5">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253916D2">
      <w:pPr>
        <w:widowControl/>
        <w:jc w:val="left"/>
        <w:rPr>
          <w:rFonts w:ascii="宋体" w:hAnsi="宋体" w:cs="宋体"/>
          <w:color w:val="auto"/>
          <w:kern w:val="0"/>
          <w:highlight w:val="none"/>
        </w:rPr>
      </w:pPr>
      <w:r>
        <w:rPr>
          <w:rFonts w:hint="eastAsia" w:ascii="宋体" w:hAnsi="宋体"/>
          <w:color w:val="auto"/>
          <w:szCs w:val="21"/>
          <w:highlight w:val="none"/>
          <w:lang w:bidi="ar"/>
        </w:rPr>
        <w:br w:type="page"/>
      </w:r>
    </w:p>
    <w:p w14:paraId="3C88D4D6">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保障建筑工人工资支付协议附件1：</w:t>
      </w:r>
    </w:p>
    <w:p w14:paraId="64235CA6">
      <w:pPr>
        <w:widowControl/>
        <w:jc w:val="center"/>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0C83F0DA">
      <w:pPr>
        <w:widowControl/>
        <w:jc w:val="center"/>
        <w:rPr>
          <w:rFonts w:ascii="宋体" w:hAnsi="宋体" w:cs="宋体"/>
          <w:color w:val="auto"/>
          <w:kern w:val="0"/>
          <w:highlight w:val="none"/>
        </w:rPr>
      </w:pPr>
      <w:r>
        <w:rPr>
          <w:rFonts w:hint="eastAsia" w:ascii="宋体" w:hAnsi="宋体" w:cs="宋体"/>
          <w:color w:val="auto"/>
          <w:kern w:val="0"/>
          <w:szCs w:val="21"/>
          <w:highlight w:val="none"/>
          <w:lang w:bidi="ar"/>
        </w:rPr>
        <w:t>关于建筑工人工资发放情况的说明表</w:t>
      </w:r>
    </w:p>
    <w:p w14:paraId="51E6D94F">
      <w:pPr>
        <w:widowControl/>
        <w:jc w:val="center"/>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tbl>
      <w:tblPr>
        <w:tblStyle w:val="45"/>
        <w:tblW w:w="84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6201"/>
      </w:tblGrid>
      <w:tr w14:paraId="06CB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437" w:type="dxa"/>
            <w:gridSpan w:val="2"/>
            <w:tcBorders>
              <w:top w:val="single" w:color="auto" w:sz="4" w:space="0"/>
              <w:left w:val="single" w:color="auto" w:sz="4" w:space="0"/>
              <w:bottom w:val="single" w:color="auto" w:sz="4" w:space="0"/>
              <w:right w:val="single" w:color="auto" w:sz="4" w:space="0"/>
            </w:tcBorders>
            <w:shd w:val="clear" w:color="auto" w:fill="auto"/>
          </w:tcPr>
          <w:p w14:paraId="146AD579">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工程名称：</w:t>
            </w:r>
          </w:p>
        </w:tc>
      </w:tr>
      <w:tr w14:paraId="54314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236" w:type="dxa"/>
            <w:tcBorders>
              <w:top w:val="single" w:color="auto" w:sz="4" w:space="0"/>
              <w:left w:val="single" w:color="auto" w:sz="4" w:space="0"/>
              <w:bottom w:val="single" w:color="auto" w:sz="4" w:space="0"/>
              <w:right w:val="single" w:color="auto" w:sz="4" w:space="0"/>
            </w:tcBorders>
            <w:shd w:val="clear" w:color="auto" w:fill="auto"/>
          </w:tcPr>
          <w:p w14:paraId="23DA7EA0">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施工单位：</w:t>
            </w:r>
          </w:p>
        </w:tc>
        <w:tc>
          <w:tcPr>
            <w:tcW w:w="6201" w:type="dxa"/>
            <w:tcBorders>
              <w:top w:val="single" w:color="auto" w:sz="4" w:space="0"/>
              <w:left w:val="nil"/>
              <w:bottom w:val="single" w:color="auto" w:sz="4" w:space="0"/>
              <w:right w:val="single" w:color="auto" w:sz="4" w:space="0"/>
            </w:tcBorders>
            <w:shd w:val="clear" w:color="auto" w:fill="auto"/>
          </w:tcPr>
          <w:p w14:paraId="175C8914">
            <w:pPr>
              <w:widowControl/>
              <w:jc w:val="left"/>
              <w:rPr>
                <w:rFonts w:ascii="宋体" w:hAnsi="宋体" w:cs="宋体"/>
                <w:color w:val="auto"/>
                <w:kern w:val="0"/>
                <w:highlight w:val="none"/>
              </w:rPr>
            </w:pPr>
          </w:p>
        </w:tc>
      </w:tr>
      <w:tr w14:paraId="3470B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36" w:type="dxa"/>
            <w:tcBorders>
              <w:top w:val="single" w:color="auto" w:sz="4" w:space="0"/>
              <w:left w:val="single" w:color="auto" w:sz="4" w:space="0"/>
              <w:bottom w:val="single" w:color="auto" w:sz="4" w:space="0"/>
              <w:right w:val="single" w:color="auto" w:sz="4" w:space="0"/>
            </w:tcBorders>
            <w:shd w:val="clear" w:color="auto" w:fill="auto"/>
          </w:tcPr>
          <w:p w14:paraId="55CAC8BE">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监理单位：</w:t>
            </w:r>
          </w:p>
        </w:tc>
        <w:tc>
          <w:tcPr>
            <w:tcW w:w="6201" w:type="dxa"/>
            <w:tcBorders>
              <w:top w:val="single" w:color="auto" w:sz="4" w:space="0"/>
              <w:left w:val="nil"/>
              <w:bottom w:val="single" w:color="auto" w:sz="4" w:space="0"/>
              <w:right w:val="single" w:color="auto" w:sz="4" w:space="0"/>
            </w:tcBorders>
            <w:shd w:val="clear" w:color="auto" w:fill="auto"/>
          </w:tcPr>
          <w:p w14:paraId="5C4A60D9">
            <w:pPr>
              <w:widowControl/>
              <w:jc w:val="left"/>
              <w:rPr>
                <w:rFonts w:ascii="宋体" w:hAnsi="宋体" w:cs="宋体"/>
                <w:color w:val="auto"/>
                <w:kern w:val="0"/>
                <w:highlight w:val="none"/>
              </w:rPr>
            </w:pPr>
          </w:p>
        </w:tc>
      </w:tr>
      <w:tr w14:paraId="1C2A6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8437" w:type="dxa"/>
            <w:gridSpan w:val="2"/>
            <w:tcBorders>
              <w:top w:val="single" w:color="auto" w:sz="4" w:space="0"/>
              <w:left w:val="single" w:color="auto" w:sz="4" w:space="0"/>
              <w:bottom w:val="single" w:color="auto" w:sz="4" w:space="0"/>
              <w:right w:val="single" w:color="auto" w:sz="4" w:space="0"/>
            </w:tcBorders>
            <w:shd w:val="clear" w:color="auto" w:fill="auto"/>
          </w:tcPr>
          <w:p w14:paraId="79E353F5">
            <w:pPr>
              <w:widowControl/>
              <w:jc w:val="left"/>
              <w:rPr>
                <w:rFonts w:ascii="宋体" w:hAnsi="宋体" w:cs="宋体"/>
                <w:color w:val="auto"/>
                <w:kern w:val="0"/>
                <w:highlight w:val="none"/>
                <w:u w:val="single"/>
              </w:rPr>
            </w:pPr>
          </w:p>
          <w:p w14:paraId="0006818B">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（项目业主单位名称）：</w:t>
            </w:r>
            <w:r>
              <w:rPr>
                <w:rFonts w:hint="eastAsia" w:ascii="宋体" w:hAnsi="宋体" w:cs="宋体"/>
                <w:color w:val="auto"/>
                <w:kern w:val="0"/>
                <w:szCs w:val="21"/>
                <w:highlight w:val="none"/>
                <w:u w:val="single"/>
                <w:lang w:bidi="ar"/>
              </w:rPr>
              <w:br w:type="textWrapping"/>
            </w:r>
            <w:r>
              <w:rPr>
                <w:rFonts w:hint="eastAsia" w:ascii="宋体" w:hAnsi="宋体" w:cs="宋体"/>
                <w:color w:val="auto"/>
                <w:kern w:val="0"/>
                <w:szCs w:val="21"/>
                <w:highlight w:val="none"/>
                <w:lang w:bidi="ar"/>
              </w:rPr>
              <w:t xml:space="preserve">    我单位负责承建的（工程名称）无拖欠建筑工人工资的情况，贵单位先期支付我单位的工程款已优先用于支付了建筑工人工资，建筑工人工资全部按时足额进行了发放，请贵单位予以审核。</w:t>
            </w:r>
          </w:p>
          <w:p w14:paraId="3592F03A">
            <w:pPr>
              <w:widowControl/>
              <w:jc w:val="left"/>
              <w:rPr>
                <w:rFonts w:ascii="宋体" w:hAnsi="宋体" w:cs="宋体"/>
                <w:color w:val="auto"/>
                <w:kern w:val="0"/>
                <w:highlight w:val="none"/>
                <w:u w:val="single"/>
              </w:rPr>
            </w:pPr>
            <w:r>
              <w:rPr>
                <w:rFonts w:hint="eastAsia" w:ascii="宋体" w:hAnsi="宋体" w:cs="宋体"/>
                <w:color w:val="auto"/>
                <w:kern w:val="0"/>
                <w:szCs w:val="21"/>
                <w:highlight w:val="none"/>
                <w:lang w:bidi="ar"/>
              </w:rPr>
              <w:t>施工单位项目负责人签字（加盖项目章）：</w:t>
            </w:r>
            <w:r>
              <w:rPr>
                <w:rFonts w:hint="eastAsia" w:ascii="宋体" w:hAnsi="宋体" w:cs="宋体"/>
                <w:color w:val="auto"/>
                <w:kern w:val="0"/>
                <w:szCs w:val="21"/>
                <w:highlight w:val="none"/>
                <w:u w:val="single"/>
                <w:lang w:bidi="ar"/>
              </w:rPr>
              <w:t xml:space="preserve">        </w:t>
            </w:r>
          </w:p>
        </w:tc>
      </w:tr>
      <w:tr w14:paraId="5E520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2236" w:type="dxa"/>
            <w:tcBorders>
              <w:top w:val="single" w:color="auto" w:sz="4" w:space="0"/>
              <w:left w:val="single" w:color="auto" w:sz="4" w:space="0"/>
              <w:bottom w:val="single" w:color="auto" w:sz="4" w:space="0"/>
              <w:right w:val="single" w:color="auto" w:sz="4" w:space="0"/>
            </w:tcBorders>
            <w:shd w:val="clear" w:color="auto" w:fill="auto"/>
            <w:vAlign w:val="center"/>
          </w:tcPr>
          <w:p w14:paraId="376A212E">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监理单位意见：</w:t>
            </w:r>
          </w:p>
        </w:tc>
        <w:tc>
          <w:tcPr>
            <w:tcW w:w="6201" w:type="dxa"/>
            <w:tcBorders>
              <w:top w:val="single" w:color="auto" w:sz="4" w:space="0"/>
              <w:left w:val="nil"/>
              <w:bottom w:val="single" w:color="auto" w:sz="4" w:space="0"/>
              <w:right w:val="single" w:color="auto" w:sz="4" w:space="0"/>
            </w:tcBorders>
            <w:shd w:val="clear" w:color="auto" w:fill="auto"/>
          </w:tcPr>
          <w:p w14:paraId="515CDBD4">
            <w:pPr>
              <w:widowControl/>
              <w:jc w:val="left"/>
              <w:rPr>
                <w:rFonts w:ascii="宋体" w:hAnsi="宋体" w:cs="宋体"/>
                <w:color w:val="auto"/>
                <w:kern w:val="0"/>
                <w:highlight w:val="none"/>
                <w:u w:val="single"/>
              </w:rPr>
            </w:pPr>
          </w:p>
          <w:p w14:paraId="3F16D8F2">
            <w:pPr>
              <w:widowControl/>
              <w:jc w:val="left"/>
              <w:rPr>
                <w:rFonts w:ascii="宋体" w:hAnsi="宋体" w:cs="宋体"/>
                <w:color w:val="auto"/>
                <w:kern w:val="0"/>
                <w:highlight w:val="none"/>
                <w:u w:val="single"/>
              </w:rPr>
            </w:pPr>
            <w:r>
              <w:rPr>
                <w:rFonts w:hint="eastAsia" w:ascii="宋体" w:hAnsi="宋体" w:cs="宋体"/>
                <w:color w:val="auto"/>
                <w:kern w:val="0"/>
                <w:szCs w:val="21"/>
                <w:highlight w:val="none"/>
                <w:lang w:bidi="ar"/>
              </w:rPr>
              <w:t xml:space="preserve">             总监签字并加盖项目章：</w:t>
            </w:r>
            <w:r>
              <w:rPr>
                <w:rFonts w:hint="eastAsia" w:ascii="宋体" w:hAnsi="宋体" w:cs="宋体"/>
                <w:color w:val="auto"/>
                <w:kern w:val="0"/>
                <w:szCs w:val="21"/>
                <w:highlight w:val="none"/>
                <w:u w:val="single"/>
                <w:lang w:bidi="ar"/>
              </w:rPr>
              <w:t xml:space="preserve">        </w:t>
            </w:r>
          </w:p>
        </w:tc>
      </w:tr>
      <w:tr w14:paraId="109FF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236" w:type="dxa"/>
            <w:tcBorders>
              <w:top w:val="single" w:color="auto" w:sz="4" w:space="0"/>
              <w:left w:val="single" w:color="auto" w:sz="4" w:space="0"/>
              <w:bottom w:val="single" w:color="auto" w:sz="4" w:space="0"/>
              <w:right w:val="single" w:color="auto" w:sz="4" w:space="0"/>
            </w:tcBorders>
            <w:shd w:val="clear" w:color="auto" w:fill="auto"/>
            <w:vAlign w:val="center"/>
          </w:tcPr>
          <w:p w14:paraId="466BE281">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工程部项目负责人意见：</w:t>
            </w:r>
          </w:p>
        </w:tc>
        <w:tc>
          <w:tcPr>
            <w:tcW w:w="6201" w:type="dxa"/>
            <w:tcBorders>
              <w:top w:val="single" w:color="auto" w:sz="4" w:space="0"/>
              <w:left w:val="nil"/>
              <w:bottom w:val="single" w:color="auto" w:sz="4" w:space="0"/>
              <w:right w:val="single" w:color="auto" w:sz="4" w:space="0"/>
            </w:tcBorders>
            <w:shd w:val="clear" w:color="auto" w:fill="auto"/>
          </w:tcPr>
          <w:p w14:paraId="093A4B81">
            <w:pPr>
              <w:widowControl/>
              <w:jc w:val="left"/>
              <w:rPr>
                <w:rFonts w:ascii="宋体" w:hAnsi="宋体" w:cs="宋体"/>
                <w:color w:val="auto"/>
                <w:kern w:val="0"/>
                <w:highlight w:val="none"/>
                <w:u w:val="single"/>
              </w:rPr>
            </w:pPr>
          </w:p>
          <w:p w14:paraId="6823ECEA">
            <w:pPr>
              <w:widowControl/>
              <w:jc w:val="left"/>
              <w:rPr>
                <w:rFonts w:ascii="宋体" w:hAnsi="宋体" w:cs="宋体"/>
                <w:color w:val="auto"/>
                <w:kern w:val="0"/>
                <w:highlight w:val="none"/>
                <w:u w:val="single"/>
              </w:rPr>
            </w:pPr>
            <w:r>
              <w:rPr>
                <w:rFonts w:hint="eastAsia" w:ascii="宋体" w:hAnsi="宋体" w:cs="宋体"/>
                <w:color w:val="auto"/>
                <w:kern w:val="0"/>
                <w:szCs w:val="21"/>
                <w:highlight w:val="none"/>
                <w:lang w:bidi="ar"/>
              </w:rPr>
              <w:t xml:space="preserve">                   项目负责人签字：</w:t>
            </w:r>
            <w:r>
              <w:rPr>
                <w:rFonts w:hint="eastAsia" w:ascii="宋体" w:hAnsi="宋体" w:cs="宋体"/>
                <w:color w:val="auto"/>
                <w:kern w:val="0"/>
                <w:szCs w:val="21"/>
                <w:highlight w:val="none"/>
                <w:u w:val="single"/>
                <w:lang w:bidi="ar"/>
              </w:rPr>
              <w:t xml:space="preserve">        </w:t>
            </w:r>
          </w:p>
        </w:tc>
      </w:tr>
    </w:tbl>
    <w:p w14:paraId="4AA1C01C">
      <w:pPr>
        <w:widowControl/>
        <w:jc w:val="left"/>
        <w:rPr>
          <w:rFonts w:ascii="宋体" w:hAnsi="宋体" w:cs="宋体"/>
          <w:color w:val="auto"/>
          <w:kern w:val="0"/>
          <w:highlight w:val="none"/>
        </w:rPr>
      </w:pPr>
      <w:r>
        <w:rPr>
          <w:rFonts w:hint="eastAsia" w:ascii="宋体" w:hAnsi="宋体" w:cs="宋体"/>
          <w:color w:val="auto"/>
          <w:kern w:val="0"/>
          <w:szCs w:val="21"/>
          <w:highlight w:val="none"/>
          <w:lang w:bidi="ar"/>
        </w:rPr>
        <w:t xml:space="preserve"> </w:t>
      </w:r>
    </w:p>
    <w:p w14:paraId="7772E87A">
      <w:pPr>
        <w:widowControl/>
        <w:jc w:val="left"/>
        <w:rPr>
          <w:color w:val="auto"/>
          <w:highlight w:val="none"/>
        </w:rPr>
      </w:pPr>
      <w:r>
        <w:rPr>
          <w:rFonts w:hint="eastAsia" w:ascii="宋体" w:hAnsi="宋体"/>
          <w:color w:val="auto"/>
          <w:sz w:val="24"/>
          <w:highlight w:val="none"/>
          <w:lang w:bidi="ar"/>
        </w:rPr>
        <w:t xml:space="preserve"> </w:t>
      </w:r>
      <w:bookmarkEnd w:id="693"/>
    </w:p>
    <w:p w14:paraId="12DEF358">
      <w:pPr>
        <w:pStyle w:val="2"/>
        <w:rPr>
          <w:rFonts w:ascii="宋体" w:hAnsi="宋体"/>
          <w:color w:val="auto"/>
          <w:sz w:val="24"/>
          <w:highlight w:val="none"/>
        </w:rPr>
      </w:pPr>
    </w:p>
    <w:p w14:paraId="17ED56D9">
      <w:pPr>
        <w:pStyle w:val="2"/>
        <w:rPr>
          <w:rFonts w:ascii="宋体" w:hAnsi="宋体"/>
          <w:color w:val="auto"/>
          <w:sz w:val="24"/>
          <w:highlight w:val="none"/>
        </w:rPr>
      </w:pPr>
    </w:p>
    <w:p w14:paraId="4ADE8B7B">
      <w:pPr>
        <w:pStyle w:val="2"/>
        <w:rPr>
          <w:rFonts w:ascii="宋体" w:hAnsi="宋体"/>
          <w:color w:val="auto"/>
          <w:sz w:val="24"/>
          <w:highlight w:val="none"/>
        </w:rPr>
      </w:pPr>
    </w:p>
    <w:p w14:paraId="3F46DF2A">
      <w:pPr>
        <w:pStyle w:val="2"/>
        <w:rPr>
          <w:rFonts w:ascii="宋体" w:hAnsi="宋体"/>
          <w:color w:val="auto"/>
          <w:sz w:val="24"/>
          <w:highlight w:val="none"/>
        </w:rPr>
      </w:pPr>
    </w:p>
    <w:p w14:paraId="5D18D582">
      <w:pPr>
        <w:pStyle w:val="2"/>
        <w:rPr>
          <w:rFonts w:ascii="宋体" w:hAnsi="宋体"/>
          <w:color w:val="auto"/>
          <w:sz w:val="24"/>
          <w:highlight w:val="none"/>
        </w:rPr>
      </w:pPr>
    </w:p>
    <w:p w14:paraId="37E13FFD">
      <w:pPr>
        <w:pStyle w:val="2"/>
        <w:rPr>
          <w:rFonts w:ascii="宋体" w:hAnsi="宋体"/>
          <w:color w:val="auto"/>
          <w:sz w:val="24"/>
          <w:highlight w:val="none"/>
        </w:rPr>
      </w:pPr>
    </w:p>
    <w:p w14:paraId="348AB24F">
      <w:pPr>
        <w:spacing w:line="360" w:lineRule="auto"/>
        <w:ind w:firstLine="480" w:firstLineChars="200"/>
        <w:jc w:val="left"/>
        <w:rPr>
          <w:rFonts w:ascii="宋体" w:hAnsi="宋体"/>
          <w:color w:val="auto"/>
          <w:sz w:val="24"/>
          <w:highlight w:val="none"/>
        </w:rPr>
      </w:pPr>
    </w:p>
    <w:bookmarkEnd w:id="690"/>
    <w:p w14:paraId="0ACD8358">
      <w:pPr>
        <w:spacing w:line="360" w:lineRule="auto"/>
        <w:rPr>
          <w:rFonts w:ascii="宋体" w:hAnsi="宋体"/>
          <w:color w:val="auto"/>
          <w:szCs w:val="20"/>
          <w:highlight w:val="none"/>
        </w:rPr>
      </w:pPr>
    </w:p>
    <w:p w14:paraId="13C7EBC7">
      <w:pPr>
        <w:spacing w:line="240" w:lineRule="exact"/>
        <w:rPr>
          <w:rFonts w:ascii="宋体" w:hAnsi="宋体"/>
          <w:color w:val="auto"/>
          <w:szCs w:val="20"/>
          <w:highlight w:val="none"/>
        </w:rPr>
      </w:pPr>
      <w:r>
        <w:rPr>
          <w:rFonts w:ascii="宋体" w:hAnsi="宋体"/>
          <w:color w:val="auto"/>
          <w:szCs w:val="20"/>
          <w:highlight w:val="none"/>
        </w:rPr>
        <w:br w:type="page"/>
      </w:r>
      <w:bookmarkStart w:id="1987" w:name="招标文件05章工程量清单"/>
      <w:bookmarkEnd w:id="1987"/>
    </w:p>
    <w:p w14:paraId="69C203D8">
      <w:pPr>
        <w:pStyle w:val="3"/>
        <w:spacing w:before="0" w:after="0" w:line="360" w:lineRule="auto"/>
        <w:jc w:val="center"/>
        <w:rPr>
          <w:rFonts w:ascii="宋体" w:hAnsi="宋体"/>
          <w:color w:val="auto"/>
          <w:highlight w:val="none"/>
        </w:rPr>
      </w:pPr>
      <w:bookmarkStart w:id="1988" w:name="_Toc58860344"/>
      <w:bookmarkStart w:id="1989" w:name="_Toc287620797"/>
      <w:bookmarkStart w:id="1990" w:name="_Toc287607855"/>
      <w:bookmarkStart w:id="1991" w:name="_Toc534185822"/>
      <w:bookmarkStart w:id="1992" w:name="_Toc430530513"/>
      <w:bookmarkStart w:id="1993" w:name="_Toc509218843"/>
      <w:r>
        <w:rPr>
          <w:rFonts w:hint="eastAsia" w:ascii="宋体" w:hAnsi="宋体"/>
          <w:color w:val="auto"/>
          <w:highlight w:val="none"/>
        </w:rPr>
        <w:t xml:space="preserve">第五章  </w:t>
      </w:r>
      <w:r>
        <w:rPr>
          <w:rFonts w:hint="eastAsia"/>
          <w:color w:val="auto"/>
          <w:highlight w:val="none"/>
        </w:rPr>
        <w:t>工程量清单（如有）</w:t>
      </w:r>
      <w:bookmarkEnd w:id="1988"/>
    </w:p>
    <w:p w14:paraId="281C5B69">
      <w:pPr>
        <w:spacing w:line="360" w:lineRule="auto"/>
        <w:jc w:val="center"/>
        <w:rPr>
          <w:rFonts w:ascii="宋体" w:hAnsi="宋体"/>
          <w:color w:val="auto"/>
          <w:highlight w:val="none"/>
        </w:rPr>
      </w:pPr>
      <w:r>
        <w:rPr>
          <w:rFonts w:hint="eastAsia" w:ascii="宋体" w:hAnsi="宋体"/>
          <w:color w:val="auto"/>
          <w:highlight w:val="none"/>
        </w:rPr>
        <w:br w:type="page"/>
      </w:r>
    </w:p>
    <w:p w14:paraId="568575BF">
      <w:pPr>
        <w:pStyle w:val="3"/>
        <w:spacing w:before="0" w:after="0" w:line="360" w:lineRule="auto"/>
        <w:jc w:val="center"/>
        <w:rPr>
          <w:rFonts w:ascii="宋体" w:hAnsi="宋体"/>
          <w:color w:val="auto"/>
          <w:highlight w:val="none"/>
        </w:rPr>
      </w:pPr>
      <w:bookmarkStart w:id="1994" w:name="_Toc58860345"/>
      <w:r>
        <w:rPr>
          <w:rFonts w:hint="eastAsia" w:ascii="宋体" w:hAnsi="宋体"/>
          <w:color w:val="auto"/>
          <w:highlight w:val="none"/>
        </w:rPr>
        <w:t xml:space="preserve">第六章  </w:t>
      </w:r>
      <w:bookmarkEnd w:id="1989"/>
      <w:bookmarkEnd w:id="1990"/>
      <w:bookmarkEnd w:id="1991"/>
      <w:bookmarkEnd w:id="1992"/>
      <w:bookmarkEnd w:id="1993"/>
      <w:bookmarkStart w:id="1995" w:name="招标文件05章工程量清单01"/>
      <w:bookmarkEnd w:id="1995"/>
      <w:bookmarkStart w:id="1996" w:name="_Toc277082638"/>
      <w:bookmarkStart w:id="1997" w:name="_Toc224103477"/>
      <w:bookmarkStart w:id="1998" w:name="_Toc287607856"/>
      <w:bookmarkStart w:id="1999" w:name="_Toc430530514"/>
      <w:bookmarkStart w:id="2000" w:name="_Toc287620798"/>
      <w:r>
        <w:rPr>
          <w:rFonts w:hint="eastAsia"/>
          <w:color w:val="auto"/>
          <w:highlight w:val="none"/>
        </w:rPr>
        <w:t>发包人要求</w:t>
      </w:r>
      <w:bookmarkEnd w:id="1994"/>
    </w:p>
    <w:bookmarkEnd w:id="1996"/>
    <w:bookmarkEnd w:id="1997"/>
    <w:bookmarkEnd w:id="1998"/>
    <w:bookmarkEnd w:id="1999"/>
    <w:bookmarkEnd w:id="2000"/>
    <w:p w14:paraId="136079D6">
      <w:pPr>
        <w:snapToGrid w:val="0"/>
        <w:spacing w:line="360" w:lineRule="auto"/>
        <w:jc w:val="center"/>
        <w:rPr>
          <w:rFonts w:ascii="宋体" w:hAnsi="宋体"/>
          <w:color w:val="auto"/>
          <w:sz w:val="24"/>
          <w:highlight w:val="none"/>
        </w:rPr>
      </w:pPr>
    </w:p>
    <w:p w14:paraId="27CA30B7">
      <w:pPr>
        <w:spacing w:line="360" w:lineRule="auto"/>
        <w:ind w:firstLine="420" w:firstLineChars="200"/>
        <w:rPr>
          <w:rFonts w:ascii="宋体" w:hAnsi="宋体"/>
          <w:i/>
          <w:iCs/>
          <w:color w:val="auto"/>
          <w:szCs w:val="21"/>
          <w:highlight w:val="none"/>
        </w:rPr>
      </w:pPr>
      <w:r>
        <w:rPr>
          <w:rFonts w:ascii="宋体" w:hAnsi="宋体"/>
          <w:i/>
          <w:iCs/>
          <w:color w:val="auto"/>
          <w:szCs w:val="21"/>
          <w:highlight w:val="none"/>
        </w:rPr>
        <w:t>[</w:t>
      </w:r>
      <w:r>
        <w:rPr>
          <w:rFonts w:hint="eastAsia" w:ascii="宋体" w:hAnsi="宋体"/>
          <w:i/>
          <w:iCs/>
          <w:color w:val="auto"/>
          <w:szCs w:val="21"/>
          <w:highlight w:val="none"/>
        </w:rPr>
        <w:t>提示：发包人要求应尽可能清晰准确，对于可以进行定量评估的工作，发包人要求不仅应明确规定其产能、功能、用途、质量、环境、安全，并且要规定偏离的范围和计算方法，以及检验、试验、试运行的具体要求。对于承包人负责提供的有关设备和服务，对发包人人员进行培训和提供一些消耗品等，在发包人要求中应一并明确规定。发包人要求通常包括但不限于以下内容，发包人根据项目实际情况编写。</w:t>
      </w:r>
      <w:r>
        <w:rPr>
          <w:rFonts w:ascii="宋体" w:hAnsi="宋体"/>
          <w:i/>
          <w:iCs/>
          <w:color w:val="auto"/>
          <w:szCs w:val="21"/>
          <w:highlight w:val="none"/>
        </w:rPr>
        <w:t>]</w:t>
      </w:r>
    </w:p>
    <w:p w14:paraId="5F7DCF9F">
      <w:pPr>
        <w:spacing w:line="360" w:lineRule="auto"/>
        <w:ind w:firstLine="420" w:firstLineChars="200"/>
        <w:rPr>
          <w:rFonts w:ascii="黑体" w:eastAsia="黑体"/>
          <w:color w:val="auto"/>
          <w:szCs w:val="21"/>
          <w:highlight w:val="none"/>
        </w:rPr>
      </w:pPr>
      <w:r>
        <w:rPr>
          <w:rFonts w:hint="eastAsia" w:ascii="黑体" w:eastAsia="黑体"/>
          <w:color w:val="auto"/>
          <w:szCs w:val="21"/>
          <w:highlight w:val="none"/>
        </w:rPr>
        <w:t>一、功能要求</w:t>
      </w:r>
    </w:p>
    <w:p w14:paraId="2ACC7FF8">
      <w:pPr>
        <w:spacing w:line="360" w:lineRule="auto"/>
        <w:ind w:firstLine="420" w:firstLineChars="200"/>
        <w:rPr>
          <w:rFonts w:ascii="黑体" w:eastAsia="黑体"/>
          <w:color w:val="auto"/>
          <w:szCs w:val="21"/>
          <w:highlight w:val="none"/>
        </w:rPr>
      </w:pPr>
      <w:r>
        <w:rPr>
          <w:rFonts w:hint="eastAsia" w:ascii="黑体" w:eastAsia="黑体"/>
          <w:color w:val="auto"/>
          <w:szCs w:val="21"/>
          <w:highlight w:val="none"/>
        </w:rPr>
        <w:t>二、工程范围</w:t>
      </w:r>
    </w:p>
    <w:p w14:paraId="70C2208B">
      <w:pPr>
        <w:spacing w:line="360" w:lineRule="auto"/>
        <w:ind w:firstLine="420" w:firstLineChars="200"/>
        <w:rPr>
          <w:rFonts w:ascii="黑体" w:eastAsia="黑体"/>
          <w:color w:val="auto"/>
          <w:szCs w:val="21"/>
          <w:highlight w:val="none"/>
        </w:rPr>
      </w:pPr>
      <w:r>
        <w:rPr>
          <w:rFonts w:hint="eastAsia" w:ascii="黑体" w:eastAsia="黑体"/>
          <w:color w:val="auto"/>
          <w:szCs w:val="21"/>
          <w:highlight w:val="none"/>
        </w:rPr>
        <w:t>三、工艺安排或要求</w:t>
      </w:r>
    </w:p>
    <w:p w14:paraId="04983838">
      <w:pPr>
        <w:spacing w:line="360" w:lineRule="auto"/>
        <w:ind w:firstLine="420" w:firstLineChars="200"/>
        <w:rPr>
          <w:rFonts w:ascii="黑体" w:eastAsia="黑体"/>
          <w:color w:val="auto"/>
          <w:szCs w:val="21"/>
          <w:highlight w:val="none"/>
        </w:rPr>
      </w:pPr>
      <w:r>
        <w:rPr>
          <w:rFonts w:hint="eastAsia" w:ascii="黑体" w:eastAsia="黑体"/>
          <w:color w:val="auto"/>
          <w:szCs w:val="21"/>
          <w:highlight w:val="none"/>
        </w:rPr>
        <w:t>四、时间要求</w:t>
      </w:r>
    </w:p>
    <w:p w14:paraId="7B990590">
      <w:pPr>
        <w:spacing w:line="360" w:lineRule="auto"/>
        <w:ind w:firstLine="420" w:firstLineChars="200"/>
        <w:rPr>
          <w:color w:val="auto"/>
          <w:szCs w:val="21"/>
          <w:highlight w:val="none"/>
        </w:rPr>
      </w:pPr>
      <w:r>
        <w:rPr>
          <w:rFonts w:hint="eastAsia" w:ascii="黑体" w:eastAsia="黑体"/>
          <w:color w:val="auto"/>
          <w:szCs w:val="21"/>
          <w:highlight w:val="none"/>
        </w:rPr>
        <w:t>五、技术要求</w:t>
      </w:r>
    </w:p>
    <w:p w14:paraId="4B9D9C77">
      <w:pPr>
        <w:spacing w:line="360" w:lineRule="auto"/>
        <w:ind w:firstLine="420" w:firstLineChars="200"/>
        <w:rPr>
          <w:rFonts w:ascii="黑体" w:eastAsia="黑体"/>
          <w:color w:val="auto"/>
          <w:szCs w:val="21"/>
          <w:highlight w:val="none"/>
        </w:rPr>
      </w:pPr>
      <w:r>
        <w:rPr>
          <w:rFonts w:hint="eastAsia" w:ascii="黑体" w:eastAsia="黑体"/>
          <w:color w:val="auto"/>
          <w:szCs w:val="21"/>
          <w:highlight w:val="none"/>
        </w:rPr>
        <w:t>六、专业设备材料采购要求和技术标准</w:t>
      </w:r>
    </w:p>
    <w:p w14:paraId="3B807703">
      <w:pPr>
        <w:spacing w:line="360" w:lineRule="auto"/>
        <w:ind w:firstLine="420" w:firstLineChars="200"/>
        <w:rPr>
          <w:rFonts w:ascii="黑体" w:eastAsia="黑体"/>
          <w:color w:val="auto"/>
          <w:szCs w:val="21"/>
          <w:highlight w:val="none"/>
        </w:rPr>
      </w:pPr>
      <w:r>
        <w:rPr>
          <w:rFonts w:hint="eastAsia" w:ascii="黑体" w:eastAsia="黑体"/>
          <w:color w:val="auto"/>
          <w:szCs w:val="21"/>
          <w:highlight w:val="none"/>
        </w:rPr>
        <w:t>七、竣工试验</w:t>
      </w:r>
    </w:p>
    <w:p w14:paraId="17824BBE">
      <w:pPr>
        <w:spacing w:line="360" w:lineRule="auto"/>
        <w:ind w:firstLine="420" w:firstLineChars="200"/>
        <w:rPr>
          <w:rFonts w:ascii="黑体" w:eastAsia="黑体"/>
          <w:color w:val="auto"/>
          <w:szCs w:val="21"/>
          <w:highlight w:val="none"/>
        </w:rPr>
      </w:pPr>
      <w:r>
        <w:rPr>
          <w:rFonts w:hint="eastAsia" w:ascii="黑体" w:eastAsia="黑体"/>
          <w:color w:val="auto"/>
          <w:szCs w:val="21"/>
          <w:highlight w:val="none"/>
        </w:rPr>
        <w:t>八、竣工验收</w:t>
      </w:r>
    </w:p>
    <w:p w14:paraId="75CEDC15">
      <w:pPr>
        <w:spacing w:line="360" w:lineRule="auto"/>
        <w:ind w:firstLine="420" w:firstLineChars="200"/>
        <w:rPr>
          <w:rFonts w:ascii="黑体" w:eastAsia="黑体"/>
          <w:color w:val="auto"/>
          <w:szCs w:val="21"/>
          <w:highlight w:val="none"/>
        </w:rPr>
      </w:pPr>
      <w:r>
        <w:rPr>
          <w:rFonts w:hint="eastAsia" w:ascii="黑体" w:eastAsia="黑体"/>
          <w:color w:val="auto"/>
          <w:szCs w:val="21"/>
          <w:highlight w:val="none"/>
        </w:rPr>
        <w:t>九、竣工后试验</w:t>
      </w:r>
    </w:p>
    <w:p w14:paraId="16C574C2">
      <w:pPr>
        <w:spacing w:line="360" w:lineRule="auto"/>
        <w:ind w:firstLine="420" w:firstLineChars="200"/>
        <w:rPr>
          <w:rFonts w:ascii="黑体" w:eastAsia="黑体"/>
          <w:color w:val="auto"/>
          <w:szCs w:val="21"/>
          <w:highlight w:val="none"/>
        </w:rPr>
      </w:pPr>
      <w:r>
        <w:rPr>
          <w:rFonts w:hint="eastAsia" w:ascii="黑体" w:eastAsia="黑体"/>
          <w:color w:val="auto"/>
          <w:szCs w:val="21"/>
          <w:highlight w:val="none"/>
        </w:rPr>
        <w:t>十、文件要求</w:t>
      </w:r>
    </w:p>
    <w:p w14:paraId="325CECCB">
      <w:pPr>
        <w:spacing w:line="360" w:lineRule="auto"/>
        <w:ind w:firstLine="420" w:firstLineChars="200"/>
        <w:rPr>
          <w:rFonts w:ascii="黑体" w:eastAsia="黑体"/>
          <w:color w:val="auto"/>
          <w:szCs w:val="21"/>
          <w:highlight w:val="none"/>
        </w:rPr>
      </w:pPr>
      <w:r>
        <w:rPr>
          <w:rFonts w:hint="eastAsia" w:ascii="黑体" w:eastAsia="黑体"/>
          <w:color w:val="auto"/>
          <w:szCs w:val="21"/>
          <w:highlight w:val="none"/>
        </w:rPr>
        <w:t>十一、工程项目管理规定</w:t>
      </w:r>
    </w:p>
    <w:p w14:paraId="2F1412B1">
      <w:pPr>
        <w:spacing w:line="360" w:lineRule="auto"/>
        <w:ind w:firstLine="420" w:firstLineChars="200"/>
        <w:rPr>
          <w:rFonts w:ascii="黑体" w:eastAsia="黑体"/>
          <w:color w:val="auto"/>
          <w:szCs w:val="21"/>
          <w:highlight w:val="none"/>
        </w:rPr>
      </w:pPr>
      <w:r>
        <w:rPr>
          <w:rFonts w:hint="eastAsia" w:ascii="黑体" w:eastAsia="黑体"/>
          <w:color w:val="auto"/>
          <w:szCs w:val="21"/>
          <w:highlight w:val="none"/>
        </w:rPr>
        <w:t>十二、其他要求</w:t>
      </w:r>
    </w:p>
    <w:p w14:paraId="79EC52AE">
      <w:pPr>
        <w:spacing w:line="360" w:lineRule="auto"/>
        <w:ind w:firstLine="420" w:firstLineChars="200"/>
        <w:rPr>
          <w:color w:val="auto"/>
          <w:szCs w:val="21"/>
          <w:highlight w:val="none"/>
        </w:rPr>
      </w:pPr>
    </w:p>
    <w:p w14:paraId="5987AA82">
      <w:pPr>
        <w:spacing w:line="400" w:lineRule="exact"/>
        <w:rPr>
          <w:color w:val="auto"/>
          <w:highlight w:val="none"/>
        </w:rPr>
      </w:pPr>
    </w:p>
    <w:p w14:paraId="0EFFB7A8">
      <w:pPr>
        <w:ind w:right="561"/>
        <w:rPr>
          <w:rFonts w:ascii="宋体" w:hAnsi="宋体"/>
          <w:color w:val="auto"/>
          <w:szCs w:val="21"/>
          <w:highlight w:val="none"/>
        </w:rPr>
      </w:pPr>
      <w:r>
        <w:rPr>
          <w:rFonts w:ascii="宋体" w:hAnsi="宋体"/>
          <w:color w:val="auto"/>
          <w:sz w:val="24"/>
          <w:highlight w:val="none"/>
        </w:rPr>
        <w:br w:type="page"/>
      </w:r>
    </w:p>
    <w:p w14:paraId="0BBA3B95">
      <w:pPr>
        <w:pStyle w:val="3"/>
        <w:spacing w:before="0" w:after="0" w:line="360" w:lineRule="auto"/>
        <w:jc w:val="center"/>
        <w:rPr>
          <w:rFonts w:ascii="宋体" w:hAnsi="宋体"/>
          <w:color w:val="auto"/>
          <w:sz w:val="52"/>
          <w:szCs w:val="52"/>
          <w:highlight w:val="none"/>
        </w:rPr>
      </w:pPr>
      <w:bookmarkStart w:id="2001" w:name="_Toc534185823"/>
      <w:bookmarkStart w:id="2002" w:name="_Toc58860346"/>
      <w:bookmarkStart w:id="2003" w:name="_Toc509218844"/>
      <w:r>
        <w:rPr>
          <w:rFonts w:ascii="宋体" w:hAnsi="宋体"/>
          <w:color w:val="auto"/>
          <w:sz w:val="52"/>
          <w:szCs w:val="52"/>
          <w:highlight w:val="none"/>
        </w:rPr>
        <w:t>第 二 卷</w:t>
      </w:r>
      <w:bookmarkEnd w:id="2001"/>
      <w:bookmarkEnd w:id="2002"/>
      <w:bookmarkEnd w:id="2003"/>
    </w:p>
    <w:p w14:paraId="4A8CB862">
      <w:pPr>
        <w:spacing w:line="360" w:lineRule="auto"/>
        <w:rPr>
          <w:rFonts w:ascii="宋体" w:hAnsi="宋体"/>
          <w:color w:val="auto"/>
          <w:szCs w:val="20"/>
          <w:highlight w:val="none"/>
        </w:rPr>
      </w:pPr>
      <w:r>
        <w:rPr>
          <w:rFonts w:ascii="宋体" w:hAnsi="宋体"/>
          <w:color w:val="auto"/>
          <w:szCs w:val="20"/>
          <w:highlight w:val="none"/>
        </w:rPr>
        <w:br w:type="page"/>
      </w:r>
    </w:p>
    <w:p w14:paraId="614AF281">
      <w:pPr>
        <w:pStyle w:val="3"/>
        <w:spacing w:line="360" w:lineRule="auto"/>
        <w:jc w:val="center"/>
        <w:rPr>
          <w:rFonts w:ascii="宋体" w:hAnsi="宋体"/>
          <w:color w:val="auto"/>
          <w:highlight w:val="none"/>
        </w:rPr>
      </w:pPr>
      <w:bookmarkStart w:id="2004" w:name="招标文件06章图纸"/>
      <w:bookmarkEnd w:id="2004"/>
      <w:bookmarkStart w:id="2005" w:name="_Toc287620803"/>
      <w:bookmarkStart w:id="2006" w:name="_Toc430530519"/>
      <w:bookmarkStart w:id="2007" w:name="_Toc509218846"/>
      <w:bookmarkStart w:id="2008" w:name="_Toc534185825"/>
      <w:bookmarkStart w:id="2009" w:name="_Toc287607861"/>
      <w:bookmarkStart w:id="2010" w:name="_Toc58860347"/>
      <w:r>
        <w:rPr>
          <w:rFonts w:hint="eastAsia" w:ascii="宋体" w:hAnsi="宋体"/>
          <w:color w:val="auto"/>
          <w:highlight w:val="none"/>
        </w:rPr>
        <w:t xml:space="preserve">第七章  </w:t>
      </w:r>
      <w:bookmarkEnd w:id="2005"/>
      <w:bookmarkEnd w:id="2006"/>
      <w:bookmarkEnd w:id="2007"/>
      <w:bookmarkEnd w:id="2008"/>
      <w:bookmarkEnd w:id="2009"/>
      <w:r>
        <w:rPr>
          <w:rFonts w:hint="eastAsia"/>
          <w:color w:val="auto"/>
          <w:highlight w:val="none"/>
        </w:rPr>
        <w:t>发包人提供的资料</w:t>
      </w:r>
      <w:bookmarkEnd w:id="2010"/>
    </w:p>
    <w:p w14:paraId="4338CC4B">
      <w:pPr>
        <w:spacing w:line="360" w:lineRule="auto"/>
        <w:jc w:val="center"/>
        <w:rPr>
          <w:rFonts w:ascii="宋体" w:hAnsi="宋体"/>
          <w:color w:val="auto"/>
          <w:szCs w:val="20"/>
          <w:highlight w:val="none"/>
        </w:rPr>
      </w:pPr>
      <w:r>
        <w:rPr>
          <w:rFonts w:hint="eastAsia" w:ascii="宋体" w:hAnsi="宋体"/>
          <w:color w:val="auto"/>
          <w:szCs w:val="20"/>
          <w:highlight w:val="none"/>
        </w:rPr>
        <w:t>在</w:t>
      </w:r>
      <w:r>
        <w:rPr>
          <w:rFonts w:hint="eastAsia" w:ascii="宋体" w:hAnsi="宋体"/>
          <w:color w:val="auto"/>
          <w:szCs w:val="20"/>
          <w:highlight w:val="none"/>
          <w:u w:val="single"/>
        </w:rPr>
        <w:t>重庆市公共资源交易网（www.cqggzy.com）</w:t>
      </w:r>
      <w:r>
        <w:rPr>
          <w:rFonts w:hint="eastAsia" w:ascii="宋体" w:hAnsi="宋体"/>
          <w:color w:val="auto"/>
          <w:szCs w:val="20"/>
          <w:highlight w:val="none"/>
        </w:rPr>
        <w:t>下载。</w:t>
      </w:r>
    </w:p>
    <w:p w14:paraId="11E26D52">
      <w:pPr>
        <w:spacing w:line="360" w:lineRule="auto"/>
        <w:rPr>
          <w:rFonts w:ascii="宋体" w:hAnsi="宋体"/>
          <w:color w:val="auto"/>
          <w:szCs w:val="20"/>
          <w:highlight w:val="none"/>
        </w:rPr>
      </w:pPr>
    </w:p>
    <w:p w14:paraId="3251381D">
      <w:pPr>
        <w:spacing w:line="360" w:lineRule="auto"/>
        <w:ind w:firstLine="420" w:firstLineChars="200"/>
        <w:rPr>
          <w:rFonts w:ascii="宋体" w:hAnsi="宋体"/>
          <w:i/>
          <w:color w:val="auto"/>
          <w:szCs w:val="20"/>
          <w:highlight w:val="none"/>
        </w:rPr>
      </w:pPr>
      <w:bookmarkStart w:id="2011" w:name="招标文件06章图纸01"/>
      <w:bookmarkEnd w:id="2011"/>
      <w:bookmarkStart w:id="2012" w:name="_Toc287620804"/>
      <w:bookmarkStart w:id="2013" w:name="_Toc430530520"/>
      <w:r>
        <w:rPr>
          <w:rFonts w:hint="eastAsia" w:ascii="宋体" w:hAnsi="宋体"/>
          <w:i/>
          <w:color w:val="auto"/>
          <w:szCs w:val="20"/>
          <w:highlight w:val="none"/>
        </w:rPr>
        <w:t>[提示：</w:t>
      </w:r>
      <w:r>
        <w:rPr>
          <w:rFonts w:hint="eastAsia" w:ascii="宋体" w:hAnsi="宋体"/>
          <w:i/>
          <w:iCs/>
          <w:color w:val="auto"/>
          <w:szCs w:val="20"/>
          <w:highlight w:val="none"/>
        </w:rPr>
        <w:t>包括但不限于水文地质资料、项目建议书、可研报告、初勘资料、详勘资料、方案设计文件、初步设计文件等，以及反映项目建设目标、建设规模、建设指标的其他资料。招标人根据招标项目实际需要提供以上资料。</w:t>
      </w:r>
      <w:r>
        <w:rPr>
          <w:rFonts w:hint="eastAsia" w:ascii="宋体" w:hAnsi="宋体"/>
          <w:i/>
          <w:color w:val="auto"/>
          <w:szCs w:val="20"/>
          <w:highlight w:val="none"/>
        </w:rPr>
        <w:t>]</w:t>
      </w:r>
    </w:p>
    <w:p w14:paraId="4DA3C6AF">
      <w:pPr>
        <w:spacing w:line="360" w:lineRule="auto"/>
        <w:rPr>
          <w:rFonts w:ascii="宋体" w:hAnsi="宋体"/>
          <w:color w:val="auto"/>
          <w:szCs w:val="20"/>
          <w:highlight w:val="none"/>
        </w:rPr>
      </w:pPr>
    </w:p>
    <w:bookmarkEnd w:id="2012"/>
    <w:bookmarkEnd w:id="2013"/>
    <w:p w14:paraId="1D483AED">
      <w:pPr>
        <w:spacing w:line="360" w:lineRule="auto"/>
        <w:rPr>
          <w:rFonts w:ascii="宋体" w:hAnsi="宋体"/>
          <w:color w:val="auto"/>
          <w:highlight w:val="none"/>
        </w:rPr>
      </w:pPr>
      <w:r>
        <w:rPr>
          <w:rFonts w:ascii="宋体" w:hAnsi="宋体"/>
          <w:color w:val="auto"/>
          <w:szCs w:val="20"/>
          <w:highlight w:val="none"/>
        </w:rPr>
        <w:br w:type="page"/>
      </w:r>
    </w:p>
    <w:p w14:paraId="3F881CF7">
      <w:pPr>
        <w:pStyle w:val="3"/>
        <w:spacing w:before="0" w:after="0" w:line="360" w:lineRule="auto"/>
        <w:jc w:val="center"/>
        <w:rPr>
          <w:rFonts w:ascii="宋体" w:hAnsi="宋体"/>
          <w:color w:val="auto"/>
          <w:sz w:val="52"/>
          <w:szCs w:val="52"/>
          <w:highlight w:val="none"/>
        </w:rPr>
      </w:pPr>
      <w:bookmarkStart w:id="2014" w:name="_Toc58860348"/>
      <w:r>
        <w:rPr>
          <w:rFonts w:hint="eastAsia" w:ascii="宋体" w:hAnsi="宋体"/>
          <w:color w:val="auto"/>
          <w:sz w:val="52"/>
          <w:szCs w:val="52"/>
          <w:highlight w:val="none"/>
        </w:rPr>
        <w:t>第 三 卷</w:t>
      </w:r>
      <w:bookmarkEnd w:id="2014"/>
      <w:bookmarkStart w:id="2015" w:name="_Toc536619968"/>
      <w:bookmarkStart w:id="2016" w:name="_Toc536621880"/>
      <w:bookmarkStart w:id="2017" w:name="_Toc536797390"/>
      <w:bookmarkStart w:id="2018" w:name="_Toc536797255"/>
      <w:bookmarkStart w:id="2019" w:name="_Toc536796850"/>
      <w:bookmarkStart w:id="2020" w:name="_Toc536796986"/>
      <w:bookmarkStart w:id="2021" w:name="_Toc536797121"/>
      <w:bookmarkStart w:id="2022" w:name="_Toc536620100"/>
      <w:bookmarkStart w:id="2023" w:name="_Toc509218847"/>
      <w:bookmarkStart w:id="2024" w:name="_Toc13210772"/>
      <w:bookmarkStart w:id="2025" w:name="_Toc536628344"/>
      <w:bookmarkStart w:id="2026" w:name="_Toc13211206"/>
      <w:bookmarkStart w:id="2027" w:name="_Toc534185826"/>
      <w:bookmarkStart w:id="2028" w:name="_Toc13211764"/>
    </w:p>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14:paraId="563E369F">
      <w:pPr>
        <w:rPr>
          <w:color w:val="auto"/>
          <w:highlight w:val="none"/>
        </w:rPr>
      </w:pPr>
      <w:bookmarkStart w:id="2029" w:name="招标文件07章技术标准和要求"/>
      <w:bookmarkEnd w:id="2029"/>
      <w:r>
        <w:rPr>
          <w:rFonts w:ascii="宋体" w:hAnsi="宋体"/>
          <w:color w:val="auto"/>
          <w:highlight w:val="none"/>
        </w:rPr>
        <w:br w:type="page"/>
      </w:r>
      <w:bookmarkStart w:id="2030" w:name="招标文件08章投标文件格式"/>
      <w:bookmarkEnd w:id="2030"/>
      <w:bookmarkStart w:id="2031" w:name="_Toc287620812"/>
      <w:bookmarkStart w:id="2032" w:name="_Toc287607865"/>
    </w:p>
    <w:p w14:paraId="105839CB">
      <w:pPr>
        <w:pStyle w:val="3"/>
        <w:spacing w:line="360" w:lineRule="auto"/>
        <w:jc w:val="center"/>
        <w:rPr>
          <w:rFonts w:ascii="宋体" w:hAnsi="宋体"/>
          <w:color w:val="auto"/>
          <w:highlight w:val="none"/>
        </w:rPr>
      </w:pPr>
      <w:bookmarkStart w:id="2033" w:name="_Toc509218852"/>
      <w:bookmarkStart w:id="2034" w:name="_Toc58860349"/>
      <w:bookmarkStart w:id="2035" w:name="_Toc430530528"/>
      <w:bookmarkStart w:id="2036" w:name="_Toc534185829"/>
      <w:r>
        <w:rPr>
          <w:rFonts w:hint="eastAsia" w:ascii="宋体" w:hAnsi="宋体"/>
          <w:color w:val="auto"/>
          <w:highlight w:val="none"/>
        </w:rPr>
        <w:t>第八章  投标文件格式</w:t>
      </w:r>
      <w:bookmarkEnd w:id="2031"/>
      <w:bookmarkEnd w:id="2032"/>
      <w:bookmarkEnd w:id="2033"/>
      <w:bookmarkEnd w:id="2034"/>
      <w:bookmarkEnd w:id="2035"/>
      <w:bookmarkEnd w:id="2036"/>
    </w:p>
    <w:p w14:paraId="180458C4">
      <w:pPr>
        <w:spacing w:line="360" w:lineRule="auto"/>
        <w:rPr>
          <w:rFonts w:ascii="宋体" w:hAnsi="宋体"/>
          <w:color w:val="auto"/>
          <w:sz w:val="32"/>
          <w:szCs w:val="32"/>
          <w:highlight w:val="none"/>
        </w:rPr>
      </w:pPr>
    </w:p>
    <w:p w14:paraId="49AFA1B6">
      <w:pPr>
        <w:spacing w:line="360" w:lineRule="auto"/>
        <w:jc w:val="center"/>
        <w:rPr>
          <w:rFonts w:ascii="宋体" w:hAnsi="宋体"/>
          <w:color w:val="auto"/>
          <w:sz w:val="36"/>
          <w:szCs w:val="36"/>
          <w:highlight w:val="none"/>
        </w:rPr>
      </w:pPr>
      <w:r>
        <w:rPr>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2365375</wp:posOffset>
                </wp:positionH>
                <wp:positionV relativeFrom="paragraph">
                  <wp:posOffset>8465820</wp:posOffset>
                </wp:positionV>
                <wp:extent cx="807720" cy="693420"/>
                <wp:effectExtent l="0" t="0" r="0" b="0"/>
                <wp:wrapNone/>
                <wp:docPr id="352" name="矩形 118"/>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101F4B24">
                            <w:pPr>
                              <w:jc w:val="center"/>
                            </w:pPr>
                          </w:p>
                        </w:txbxContent>
                      </wps:txbx>
                      <wps:bodyPr rot="0" vert="horz" wrap="square" lIns="91440" tIns="45720" rIns="91440" bIns="45720" anchor="t" anchorCtr="0" upright="1">
                        <a:noAutofit/>
                      </wps:bodyPr>
                    </wps:wsp>
                  </a:graphicData>
                </a:graphic>
              </wp:anchor>
            </w:drawing>
          </mc:Choice>
          <mc:Fallback>
            <w:pict>
              <v:rect id="矩形 118" o:spid="_x0000_s1026" o:spt="1" style="position:absolute;left:0pt;margin-left:186.25pt;margin-top:666.6pt;height:54.6pt;width:63.6pt;z-index:251661312;mso-width-relative:page;mso-height-relative:page;" fillcolor="#FFFFFF" filled="t" stroked="f" coordsize="21600,21600" o:gfxdata="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H75eqfaAAAADQEAAA8AAAAAAAAAAQAgAAAAIgAAAGRycy9kb3ducmV2LnhtbFBLAQIUABQAAAAI&#10;AIdO4kAJk5BrJAIAAEIEAAAOAAAAAAAAAAEAIAAAACkBAABkcnMvZTJvRG9jLnhtbFBLBQYAAAAA&#10;BgAGAFkBAAC/BQAAAAA=&#10;">
                <v:fill on="t" focussize="0,0"/>
                <v:stroke on="f"/>
                <v:imagedata o:title=""/>
                <o:lock v:ext="edit" aspectratio="f"/>
                <v:textbox>
                  <w:txbxContent>
                    <w:p w14:paraId="101F4B24">
                      <w:pPr>
                        <w:jc w:val="center"/>
                      </w:pPr>
                    </w:p>
                  </w:txbxContent>
                </v:textbox>
              </v:rect>
            </w:pict>
          </mc:Fallback>
        </mc:AlternateContent>
      </w:r>
      <w:r>
        <w:rPr>
          <w:rFonts w:ascii="宋体" w:hAnsi="宋体"/>
          <w:color w:val="auto"/>
          <w:szCs w:val="20"/>
          <w:highlight w:val="none"/>
        </w:rPr>
        <w:br w:type="page"/>
      </w:r>
      <w:bookmarkStart w:id="2037" w:name="_Toc224103493"/>
      <w:r>
        <w:rPr>
          <w:rFonts w:hint="eastAsia" w:ascii="宋体" w:hAnsi="宋体"/>
          <w:color w:val="auto"/>
          <w:sz w:val="36"/>
          <w:szCs w:val="36"/>
          <w:highlight w:val="none"/>
        </w:rPr>
        <w:t>目  录</w:t>
      </w:r>
      <w:bookmarkEnd w:id="2037"/>
    </w:p>
    <w:p w14:paraId="376959E1">
      <w:pPr>
        <w:spacing w:line="360" w:lineRule="auto"/>
        <w:jc w:val="center"/>
        <w:rPr>
          <w:rFonts w:ascii="宋体" w:hAnsi="宋体"/>
          <w:color w:val="auto"/>
          <w:szCs w:val="20"/>
          <w:highlight w:val="none"/>
        </w:rPr>
      </w:pPr>
    </w:p>
    <w:p w14:paraId="462AC8F4">
      <w:pPr>
        <w:spacing w:line="360" w:lineRule="auto"/>
        <w:rPr>
          <w:rFonts w:ascii="宋体" w:hAnsi="宋体"/>
          <w:b/>
          <w:color w:val="auto"/>
          <w:highlight w:val="none"/>
        </w:rPr>
      </w:pPr>
      <w:r>
        <w:rPr>
          <w:rFonts w:hint="eastAsia" w:ascii="宋体" w:hAnsi="宋体"/>
          <w:b/>
          <w:color w:val="auto"/>
          <w:highlight w:val="none"/>
        </w:rPr>
        <w:t>一</w:t>
      </w:r>
      <w:r>
        <w:rPr>
          <w:rFonts w:ascii="宋体" w:hAnsi="宋体"/>
          <w:b/>
          <w:color w:val="auto"/>
          <w:highlight w:val="none"/>
        </w:rPr>
        <w:t>、投标函部分</w:t>
      </w:r>
    </w:p>
    <w:p w14:paraId="6F77BE92">
      <w:pPr>
        <w:spacing w:line="360" w:lineRule="auto"/>
        <w:ind w:firstLine="420" w:firstLineChars="200"/>
        <w:rPr>
          <w:rFonts w:ascii="宋体" w:hAnsi="宋体"/>
          <w:color w:val="auto"/>
          <w:highlight w:val="none"/>
        </w:rPr>
      </w:pPr>
      <w:r>
        <w:rPr>
          <w:rFonts w:ascii="宋体" w:hAnsi="宋体"/>
          <w:color w:val="auto"/>
          <w:highlight w:val="none"/>
        </w:rPr>
        <w:t>（一）投标函</w:t>
      </w:r>
    </w:p>
    <w:p w14:paraId="633D2156">
      <w:pPr>
        <w:spacing w:line="360" w:lineRule="auto"/>
        <w:ind w:firstLine="420" w:firstLineChars="200"/>
        <w:rPr>
          <w:rFonts w:ascii="宋体" w:hAnsi="宋体"/>
          <w:color w:val="auto"/>
          <w:highlight w:val="none"/>
        </w:rPr>
      </w:pPr>
      <w:r>
        <w:rPr>
          <w:rFonts w:ascii="宋体" w:hAnsi="宋体"/>
          <w:color w:val="auto"/>
          <w:highlight w:val="none"/>
        </w:rPr>
        <w:t>（二）投标函附录</w:t>
      </w:r>
    </w:p>
    <w:p w14:paraId="6EFBC6F4">
      <w:pPr>
        <w:spacing w:line="360" w:lineRule="auto"/>
        <w:ind w:firstLine="420" w:firstLineChars="200"/>
        <w:rPr>
          <w:rFonts w:ascii="宋体" w:hAnsi="宋体"/>
          <w:color w:val="auto"/>
          <w:highlight w:val="none"/>
        </w:rPr>
      </w:pPr>
      <w:r>
        <w:rPr>
          <w:rFonts w:ascii="宋体" w:hAnsi="宋体"/>
          <w:color w:val="auto"/>
          <w:highlight w:val="none"/>
        </w:rPr>
        <w:t>（三）</w:t>
      </w:r>
      <w:r>
        <w:rPr>
          <w:rFonts w:hint="eastAsia" w:ascii="宋体" w:hAnsi="宋体"/>
          <w:snapToGrid w:val="0"/>
          <w:color w:val="auto"/>
          <w:kern w:val="0"/>
          <w:szCs w:val="21"/>
          <w:highlight w:val="none"/>
        </w:rPr>
        <w:t>法定代表人身份证明或附有法定代表人身份证明的授权委托书</w:t>
      </w:r>
    </w:p>
    <w:p w14:paraId="499B0DC3">
      <w:pPr>
        <w:spacing w:line="360" w:lineRule="auto"/>
        <w:ind w:firstLine="420" w:firstLineChars="200"/>
        <w:rPr>
          <w:rFonts w:ascii="宋体" w:hAnsi="宋体"/>
          <w:color w:val="auto"/>
          <w:highlight w:val="none"/>
        </w:rPr>
      </w:pPr>
      <w:r>
        <w:rPr>
          <w:rFonts w:ascii="宋体" w:hAnsi="宋体"/>
          <w:color w:val="auto"/>
          <w:highlight w:val="none"/>
        </w:rPr>
        <w:t>（四）</w:t>
      </w:r>
      <w:r>
        <w:rPr>
          <w:rFonts w:hint="eastAsia" w:ascii="宋体" w:hAnsi="宋体"/>
          <w:color w:val="auto"/>
          <w:highlight w:val="none"/>
        </w:rPr>
        <w:t>低价风险担保缴纳承诺书（如有）</w:t>
      </w:r>
    </w:p>
    <w:p w14:paraId="6D14BC93">
      <w:pPr>
        <w:spacing w:line="360" w:lineRule="auto"/>
        <w:ind w:firstLine="420" w:firstLineChars="200"/>
        <w:rPr>
          <w:rFonts w:ascii="宋体" w:hAnsi="宋体"/>
          <w:color w:val="auto"/>
          <w:highlight w:val="none"/>
        </w:rPr>
      </w:pPr>
      <w:r>
        <w:rPr>
          <w:rFonts w:ascii="宋体" w:hAnsi="宋体"/>
          <w:color w:val="auto"/>
          <w:highlight w:val="none"/>
        </w:rPr>
        <w:t>（五）联合体协议书</w:t>
      </w:r>
      <w:r>
        <w:rPr>
          <w:rFonts w:hint="eastAsia" w:ascii="宋体" w:hAnsi="宋体"/>
          <w:color w:val="auto"/>
          <w:highlight w:val="none"/>
        </w:rPr>
        <w:t>（如有）</w:t>
      </w:r>
    </w:p>
    <w:p w14:paraId="3861BE1C">
      <w:pPr>
        <w:spacing w:line="360" w:lineRule="auto"/>
        <w:rPr>
          <w:rFonts w:ascii="宋体" w:hAnsi="宋体"/>
          <w:b/>
          <w:color w:val="auto"/>
          <w:highlight w:val="none"/>
        </w:rPr>
      </w:pPr>
      <w:r>
        <w:rPr>
          <w:rFonts w:hint="eastAsia" w:ascii="宋体" w:hAnsi="宋体"/>
          <w:b/>
          <w:color w:val="auto"/>
          <w:highlight w:val="none"/>
        </w:rPr>
        <w:t>二</w:t>
      </w:r>
      <w:r>
        <w:rPr>
          <w:rFonts w:ascii="宋体" w:hAnsi="宋体"/>
          <w:b/>
          <w:color w:val="auto"/>
          <w:highlight w:val="none"/>
        </w:rPr>
        <w:t>、</w:t>
      </w:r>
      <w:r>
        <w:rPr>
          <w:rFonts w:hint="eastAsia" w:ascii="宋体" w:hAnsi="宋体"/>
          <w:b/>
          <w:color w:val="auto"/>
          <w:highlight w:val="none"/>
        </w:rPr>
        <w:t>经济部分</w:t>
      </w:r>
    </w:p>
    <w:p w14:paraId="455BA629">
      <w:pPr>
        <w:spacing w:line="360" w:lineRule="auto"/>
        <w:ind w:firstLine="420" w:firstLineChars="200"/>
        <w:rPr>
          <w:rFonts w:ascii="宋体" w:hAnsi="宋体"/>
          <w:color w:val="auto"/>
          <w:highlight w:val="none"/>
        </w:rPr>
      </w:pPr>
      <w:r>
        <w:rPr>
          <w:rFonts w:hint="eastAsia" w:ascii="宋体" w:hAnsi="宋体"/>
          <w:color w:val="auto"/>
          <w:highlight w:val="none"/>
        </w:rPr>
        <w:t>分项报价汇总表（如有）</w:t>
      </w:r>
    </w:p>
    <w:p w14:paraId="15F5BAB3">
      <w:pPr>
        <w:spacing w:line="360" w:lineRule="auto"/>
        <w:ind w:firstLine="420" w:firstLineChars="200"/>
        <w:rPr>
          <w:rFonts w:ascii="宋体" w:hAnsi="宋体"/>
          <w:color w:val="auto"/>
          <w:highlight w:val="none"/>
        </w:rPr>
      </w:pPr>
      <w:r>
        <w:rPr>
          <w:rFonts w:hint="eastAsia" w:ascii="宋体" w:hAnsi="宋体"/>
          <w:color w:val="auto"/>
          <w:highlight w:val="none"/>
        </w:rPr>
        <w:t>已标价的工程量清单（如有）</w:t>
      </w:r>
    </w:p>
    <w:p w14:paraId="66E2E09B">
      <w:pPr>
        <w:spacing w:line="360" w:lineRule="auto"/>
        <w:ind w:firstLine="420" w:firstLineChars="200"/>
        <w:rPr>
          <w:rFonts w:ascii="宋体" w:hAnsi="宋体"/>
          <w:color w:val="auto"/>
          <w:highlight w:val="none"/>
        </w:rPr>
      </w:pPr>
      <w:r>
        <w:rPr>
          <w:rFonts w:hint="eastAsia" w:ascii="宋体" w:hAnsi="宋体"/>
          <w:color w:val="auto"/>
          <w:highlight w:val="none"/>
        </w:rPr>
        <w:t>已标价的设备供货及服务清单（如有）</w:t>
      </w:r>
    </w:p>
    <w:p w14:paraId="5FC37A26">
      <w:pPr>
        <w:spacing w:line="360" w:lineRule="auto"/>
        <w:rPr>
          <w:rFonts w:ascii="宋体" w:hAnsi="宋体"/>
          <w:b/>
          <w:color w:val="auto"/>
          <w:highlight w:val="none"/>
        </w:rPr>
      </w:pPr>
      <w:r>
        <w:rPr>
          <w:rFonts w:hint="eastAsia" w:ascii="宋体" w:hAnsi="宋体"/>
          <w:b/>
          <w:color w:val="auto"/>
          <w:highlight w:val="none"/>
        </w:rPr>
        <w:t>三</w:t>
      </w:r>
      <w:r>
        <w:rPr>
          <w:rFonts w:ascii="宋体" w:hAnsi="宋体"/>
          <w:b/>
          <w:color w:val="auto"/>
          <w:highlight w:val="none"/>
        </w:rPr>
        <w:t>、</w:t>
      </w:r>
      <w:r>
        <w:rPr>
          <w:rFonts w:hint="eastAsia" w:ascii="宋体" w:hAnsi="宋体"/>
          <w:b/>
          <w:color w:val="auto"/>
          <w:highlight w:val="none"/>
        </w:rPr>
        <w:t>商务</w:t>
      </w:r>
      <w:r>
        <w:rPr>
          <w:rFonts w:ascii="宋体" w:hAnsi="宋体"/>
          <w:b/>
          <w:color w:val="auto"/>
          <w:highlight w:val="none"/>
        </w:rPr>
        <w:t>部分（不设置</w:t>
      </w:r>
      <w:r>
        <w:rPr>
          <w:rFonts w:hint="eastAsia" w:ascii="宋体" w:hAnsi="宋体"/>
          <w:b/>
          <w:color w:val="auto"/>
          <w:highlight w:val="none"/>
        </w:rPr>
        <w:t>商务部分</w:t>
      </w:r>
      <w:r>
        <w:rPr>
          <w:rFonts w:ascii="宋体" w:hAnsi="宋体"/>
          <w:b/>
          <w:color w:val="auto"/>
          <w:highlight w:val="none"/>
        </w:rPr>
        <w:t>评审的不设此部分）</w:t>
      </w:r>
    </w:p>
    <w:p w14:paraId="2EC60B53">
      <w:pPr>
        <w:spacing w:line="360" w:lineRule="auto"/>
        <w:rPr>
          <w:rFonts w:ascii="宋体" w:hAnsi="宋体"/>
          <w:b/>
          <w:color w:val="auto"/>
          <w:highlight w:val="none"/>
        </w:rPr>
      </w:pPr>
      <w:r>
        <w:rPr>
          <w:rFonts w:hint="eastAsia" w:ascii="宋体" w:hAnsi="宋体"/>
          <w:b/>
          <w:color w:val="auto"/>
          <w:highlight w:val="none"/>
        </w:rPr>
        <w:t>四</w:t>
      </w:r>
      <w:r>
        <w:rPr>
          <w:rFonts w:ascii="宋体" w:hAnsi="宋体"/>
          <w:b/>
          <w:color w:val="auto"/>
          <w:highlight w:val="none"/>
        </w:rPr>
        <w:t>、技术部分（不设置</w:t>
      </w:r>
      <w:r>
        <w:rPr>
          <w:rFonts w:hint="eastAsia" w:ascii="宋体" w:hAnsi="宋体"/>
          <w:b/>
          <w:color w:val="auto"/>
          <w:highlight w:val="none"/>
        </w:rPr>
        <w:t>技术部分</w:t>
      </w:r>
      <w:r>
        <w:rPr>
          <w:rFonts w:ascii="宋体" w:hAnsi="宋体"/>
          <w:b/>
          <w:color w:val="auto"/>
          <w:highlight w:val="none"/>
        </w:rPr>
        <w:t>评审的不设此部分）</w:t>
      </w:r>
    </w:p>
    <w:p w14:paraId="12EE694E">
      <w:pPr>
        <w:autoSpaceDE w:val="0"/>
        <w:autoSpaceDN w:val="0"/>
        <w:spacing w:line="360" w:lineRule="auto"/>
        <w:ind w:firstLine="420" w:firstLineChars="200"/>
        <w:rPr>
          <w:color w:val="auto"/>
          <w:highlight w:val="none"/>
        </w:rPr>
      </w:pPr>
      <w:r>
        <w:rPr>
          <w:rFonts w:hint="eastAsia" w:ascii="宋体" w:hAnsi="宋体"/>
          <w:color w:val="auto"/>
          <w:highlight w:val="none"/>
        </w:rPr>
        <w:t>设备材料功能和技术性能</w:t>
      </w:r>
      <w:r>
        <w:rPr>
          <w:rFonts w:ascii="宋体" w:hAnsi="宋体"/>
          <w:color w:val="auto"/>
          <w:highlight w:val="none"/>
        </w:rPr>
        <w:t>偏差表</w:t>
      </w:r>
      <w:r>
        <w:rPr>
          <w:rFonts w:hint="eastAsia" w:ascii="宋体" w:hAnsi="宋体"/>
          <w:color w:val="auto"/>
          <w:highlight w:val="none"/>
        </w:rPr>
        <w:t>（如有）</w:t>
      </w:r>
    </w:p>
    <w:p w14:paraId="0BA7D607">
      <w:pPr>
        <w:spacing w:line="360" w:lineRule="auto"/>
        <w:rPr>
          <w:rFonts w:ascii="宋体" w:hAnsi="宋体"/>
          <w:b/>
          <w:color w:val="auto"/>
          <w:highlight w:val="none"/>
        </w:rPr>
      </w:pPr>
      <w:r>
        <w:rPr>
          <w:rFonts w:hint="eastAsia" w:ascii="宋体" w:hAnsi="宋体"/>
          <w:b/>
          <w:color w:val="auto"/>
          <w:highlight w:val="none"/>
        </w:rPr>
        <w:t>五</w:t>
      </w:r>
      <w:r>
        <w:rPr>
          <w:rFonts w:ascii="宋体" w:hAnsi="宋体"/>
          <w:b/>
          <w:color w:val="auto"/>
          <w:highlight w:val="none"/>
        </w:rPr>
        <w:t>、</w:t>
      </w:r>
      <w:r>
        <w:rPr>
          <w:rFonts w:hint="eastAsia" w:ascii="宋体" w:hAnsi="宋体"/>
          <w:b/>
          <w:color w:val="auto"/>
          <w:highlight w:val="none"/>
        </w:rPr>
        <w:t>资格审查部分</w:t>
      </w:r>
    </w:p>
    <w:p w14:paraId="110268B1">
      <w:pPr>
        <w:spacing w:line="360" w:lineRule="auto"/>
        <w:ind w:firstLine="420" w:firstLineChars="200"/>
        <w:rPr>
          <w:rFonts w:ascii="宋体" w:hAnsi="宋体"/>
          <w:color w:val="auto"/>
          <w:highlight w:val="none"/>
        </w:rPr>
      </w:pPr>
      <w:r>
        <w:rPr>
          <w:rFonts w:ascii="宋体" w:hAnsi="宋体"/>
          <w:color w:val="auto"/>
          <w:highlight w:val="none"/>
        </w:rPr>
        <w:t>（一）</w:t>
      </w:r>
      <w:r>
        <w:rPr>
          <w:rFonts w:hint="eastAsia" w:ascii="宋体" w:hAnsi="宋体"/>
          <w:color w:val="auto"/>
          <w:highlight w:val="none"/>
        </w:rPr>
        <w:t>法定代表人身份证明或附有法定代表人身份证明的授权委托书</w:t>
      </w:r>
    </w:p>
    <w:p w14:paraId="20BCFA7B">
      <w:pPr>
        <w:spacing w:line="360" w:lineRule="auto"/>
        <w:ind w:firstLine="420" w:firstLineChars="200"/>
        <w:rPr>
          <w:rFonts w:ascii="宋体" w:hAnsi="宋体"/>
          <w:color w:val="auto"/>
          <w:highlight w:val="none"/>
        </w:rPr>
      </w:pPr>
      <w:r>
        <w:rPr>
          <w:rFonts w:ascii="宋体" w:hAnsi="宋体"/>
          <w:color w:val="auto"/>
          <w:highlight w:val="none"/>
        </w:rPr>
        <w:t>（二）联合体协议书</w:t>
      </w:r>
      <w:r>
        <w:rPr>
          <w:rFonts w:hint="eastAsia" w:ascii="宋体" w:hAnsi="宋体"/>
          <w:color w:val="auto"/>
          <w:highlight w:val="none"/>
        </w:rPr>
        <w:t>（如有）</w:t>
      </w:r>
    </w:p>
    <w:p w14:paraId="3160674F">
      <w:pPr>
        <w:spacing w:line="360" w:lineRule="auto"/>
        <w:ind w:firstLine="420" w:firstLineChars="200"/>
        <w:rPr>
          <w:rFonts w:ascii="宋体" w:hAnsi="宋体"/>
          <w:color w:val="auto"/>
          <w:highlight w:val="none"/>
        </w:rPr>
      </w:pPr>
      <w:r>
        <w:rPr>
          <w:rFonts w:ascii="宋体" w:hAnsi="宋体"/>
          <w:color w:val="auto"/>
          <w:highlight w:val="none"/>
        </w:rPr>
        <w:t>（三）投标人基本情况表</w:t>
      </w:r>
    </w:p>
    <w:p w14:paraId="7343869F">
      <w:pPr>
        <w:spacing w:line="360" w:lineRule="auto"/>
        <w:ind w:firstLine="420" w:firstLineChars="200"/>
        <w:rPr>
          <w:rFonts w:ascii="宋体" w:hAnsi="宋体"/>
          <w:color w:val="auto"/>
          <w:highlight w:val="none"/>
        </w:rPr>
      </w:pPr>
      <w:r>
        <w:rPr>
          <w:rFonts w:ascii="宋体" w:hAnsi="宋体"/>
          <w:color w:val="auto"/>
          <w:highlight w:val="none"/>
        </w:rPr>
        <w:t>（四）项目管理机构</w:t>
      </w:r>
    </w:p>
    <w:p w14:paraId="728BACC9">
      <w:pPr>
        <w:spacing w:line="360" w:lineRule="auto"/>
        <w:ind w:firstLine="420" w:firstLineChars="200"/>
        <w:rPr>
          <w:rFonts w:ascii="宋体" w:hAnsi="宋体"/>
          <w:color w:val="auto"/>
          <w:highlight w:val="none"/>
        </w:rPr>
      </w:pPr>
      <w:r>
        <w:rPr>
          <w:rFonts w:ascii="宋体" w:hAnsi="宋体"/>
          <w:color w:val="auto"/>
          <w:highlight w:val="none"/>
        </w:rPr>
        <w:t>（五）近年财务状况表</w:t>
      </w:r>
    </w:p>
    <w:p w14:paraId="03B1AEA0">
      <w:pPr>
        <w:spacing w:line="360" w:lineRule="auto"/>
        <w:ind w:firstLine="420" w:firstLineChars="200"/>
        <w:rPr>
          <w:rFonts w:ascii="宋体" w:hAnsi="宋体"/>
          <w:color w:val="auto"/>
          <w:highlight w:val="none"/>
        </w:rPr>
      </w:pPr>
      <w:r>
        <w:rPr>
          <w:rFonts w:ascii="宋体" w:hAnsi="宋体"/>
          <w:color w:val="auto"/>
          <w:highlight w:val="none"/>
        </w:rPr>
        <w:t>（六）类似项目情况表</w:t>
      </w:r>
    </w:p>
    <w:p w14:paraId="2B2DC0EE">
      <w:pPr>
        <w:spacing w:line="360" w:lineRule="auto"/>
        <w:ind w:firstLine="420" w:firstLineChars="200"/>
        <w:rPr>
          <w:rFonts w:ascii="宋体" w:hAnsi="宋体"/>
          <w:color w:val="auto"/>
          <w:highlight w:val="none"/>
        </w:rPr>
      </w:pPr>
      <w:r>
        <w:rPr>
          <w:rFonts w:ascii="宋体" w:hAnsi="宋体"/>
          <w:color w:val="auto"/>
          <w:highlight w:val="none"/>
        </w:rPr>
        <w:t>（七）</w:t>
      </w:r>
      <w:r>
        <w:rPr>
          <w:rFonts w:hint="eastAsia" w:ascii="宋体" w:hAnsi="宋体"/>
          <w:color w:val="auto"/>
          <w:highlight w:val="none"/>
        </w:rPr>
        <w:t>承诺</w:t>
      </w:r>
    </w:p>
    <w:p w14:paraId="5504AF54">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八</w:t>
      </w:r>
      <w:r>
        <w:rPr>
          <w:rFonts w:ascii="宋体" w:hAnsi="宋体"/>
          <w:color w:val="auto"/>
          <w:highlight w:val="none"/>
        </w:rPr>
        <w:t>）其他资料</w:t>
      </w:r>
    </w:p>
    <w:p w14:paraId="59BEB1D2">
      <w:pPr>
        <w:autoSpaceDE w:val="0"/>
        <w:autoSpaceDN w:val="0"/>
        <w:adjustRightInd w:val="0"/>
        <w:spacing w:line="276" w:lineRule="auto"/>
        <w:ind w:right="-23"/>
        <w:jc w:val="left"/>
        <w:rPr>
          <w:rFonts w:ascii="宋体" w:hAnsi="宋体"/>
          <w:color w:val="auto"/>
          <w:kern w:val="0"/>
          <w:szCs w:val="21"/>
          <w:highlight w:val="none"/>
          <w:u w:val="single"/>
        </w:rPr>
      </w:pPr>
      <w:r>
        <w:rPr>
          <w:rFonts w:ascii="宋体" w:hAnsi="宋体"/>
          <w:b/>
          <w:color w:val="auto"/>
          <w:kern w:val="0"/>
          <w:sz w:val="24"/>
          <w:highlight w:val="none"/>
        </w:rPr>
        <w:br w:type="page"/>
      </w:r>
      <w:bookmarkStart w:id="2038" w:name="_Toc224103494"/>
      <w:bookmarkStart w:id="2039" w:name="_Toc277082642"/>
      <w:bookmarkStart w:id="2040" w:name="_Toc287607866"/>
      <w:bookmarkStart w:id="2041" w:name="_Toc287620813"/>
      <w:bookmarkStart w:id="2042" w:name="_Toc430530529"/>
    </w:p>
    <w:p w14:paraId="76FA108A">
      <w:pPr>
        <w:pStyle w:val="4"/>
        <w:spacing w:line="360" w:lineRule="auto"/>
        <w:jc w:val="center"/>
        <w:rPr>
          <w:rFonts w:ascii="宋体" w:hAnsi="宋体"/>
          <w:b w:val="0"/>
          <w:bCs w:val="0"/>
          <w:color w:val="auto"/>
          <w:sz w:val="44"/>
          <w:szCs w:val="44"/>
          <w:highlight w:val="none"/>
        </w:rPr>
      </w:pPr>
      <w:bookmarkStart w:id="2043" w:name="_Toc58860350"/>
      <w:r>
        <w:rPr>
          <w:rFonts w:hint="eastAsia" w:ascii="宋体" w:hAnsi="宋体"/>
          <w:b w:val="0"/>
          <w:bCs w:val="0"/>
          <w:color w:val="auto"/>
          <w:sz w:val="44"/>
          <w:szCs w:val="44"/>
          <w:highlight w:val="none"/>
        </w:rPr>
        <w:t>一、投标函部分</w:t>
      </w:r>
      <w:bookmarkEnd w:id="2038"/>
      <w:bookmarkEnd w:id="2039"/>
      <w:bookmarkEnd w:id="2040"/>
      <w:bookmarkEnd w:id="2041"/>
      <w:bookmarkEnd w:id="2042"/>
      <w:bookmarkEnd w:id="2043"/>
    </w:p>
    <w:p w14:paraId="57AC92EB">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27854D4B">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2F23F476">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2795D261">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6C981754">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ADB475F">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2319463">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453DB208">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6E23E46E">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163E0612">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57FCBE6D">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24FC827">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6503AE4C">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74946E0D">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466587A0">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471091E1">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03FCA3F7">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3A111B2B">
      <w:pPr>
        <w:tabs>
          <w:tab w:val="left" w:pos="2580"/>
          <w:tab w:val="left" w:pos="5940"/>
        </w:tabs>
        <w:autoSpaceDE w:val="0"/>
        <w:autoSpaceDN w:val="0"/>
        <w:adjustRightInd w:val="0"/>
        <w:snapToGrid w:val="0"/>
        <w:spacing w:line="360" w:lineRule="auto"/>
        <w:ind w:firstLine="2940"/>
        <w:jc w:val="left"/>
        <w:rPr>
          <w:rFonts w:ascii="宋体" w:hAnsi="宋体"/>
          <w:color w:val="auto"/>
          <w:kern w:val="0"/>
          <w:sz w:val="28"/>
          <w:szCs w:val="28"/>
          <w:highlight w:val="none"/>
        </w:rPr>
      </w:pPr>
    </w:p>
    <w:p w14:paraId="74F6420F">
      <w:pPr>
        <w:tabs>
          <w:tab w:val="left" w:pos="2580"/>
          <w:tab w:val="left" w:pos="5940"/>
        </w:tabs>
        <w:autoSpaceDE w:val="0"/>
        <w:autoSpaceDN w:val="0"/>
        <w:adjustRightInd w:val="0"/>
        <w:snapToGrid w:val="0"/>
        <w:spacing w:line="360" w:lineRule="auto"/>
        <w:jc w:val="left"/>
        <w:rPr>
          <w:rFonts w:ascii="宋体" w:hAnsi="宋体"/>
          <w:color w:val="auto"/>
          <w:kern w:val="0"/>
          <w:sz w:val="28"/>
          <w:szCs w:val="28"/>
          <w:highlight w:val="none"/>
        </w:rPr>
      </w:pPr>
      <w:r>
        <w:rPr>
          <w:rFonts w:ascii="宋体" w:hAnsi="宋体"/>
          <w:color w:val="auto"/>
          <w:kern w:val="0"/>
          <w:sz w:val="28"/>
          <w:szCs w:val="28"/>
          <w:highlight w:val="none"/>
        </w:rPr>
        <w:br w:type="page"/>
      </w:r>
    </w:p>
    <w:p w14:paraId="6F3F4CC3">
      <w:pPr>
        <w:spacing w:line="360" w:lineRule="auto"/>
        <w:jc w:val="center"/>
        <w:rPr>
          <w:rFonts w:ascii="宋体" w:hAnsi="宋体"/>
          <w:color w:val="auto"/>
          <w:kern w:val="0"/>
          <w:sz w:val="32"/>
          <w:szCs w:val="32"/>
          <w:highlight w:val="none"/>
        </w:rPr>
      </w:pPr>
      <w:bookmarkStart w:id="2044" w:name="_Hlk45038325"/>
      <w:r>
        <w:rPr>
          <w:rFonts w:hint="eastAsia" w:ascii="宋体" w:hAnsi="宋体"/>
          <w:color w:val="auto"/>
          <w:kern w:val="0"/>
          <w:sz w:val="32"/>
          <w:szCs w:val="32"/>
          <w:highlight w:val="none"/>
          <w:u w:val="single"/>
        </w:rPr>
        <w:t xml:space="preserve">                   （项目名称）</w:t>
      </w:r>
    </w:p>
    <w:p w14:paraId="765FC12D">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60DE6D38">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F5820A9">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DB53D48">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3BA04773">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0FBF1FE">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6F6066B1">
      <w:pPr>
        <w:autoSpaceDE w:val="0"/>
        <w:autoSpaceDN w:val="0"/>
        <w:adjustRightInd w:val="0"/>
        <w:snapToGrid w:val="0"/>
        <w:spacing w:line="360" w:lineRule="auto"/>
        <w:jc w:val="left"/>
        <w:rPr>
          <w:rFonts w:ascii="宋体" w:hAnsi="宋体"/>
          <w:color w:val="auto"/>
          <w:kern w:val="0"/>
          <w:sz w:val="16"/>
          <w:szCs w:val="16"/>
          <w:highlight w:val="none"/>
        </w:rPr>
      </w:pPr>
    </w:p>
    <w:p w14:paraId="2A45D81E">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投标函部分</w:t>
      </w:r>
    </w:p>
    <w:p w14:paraId="29B45767">
      <w:pPr>
        <w:autoSpaceDE w:val="0"/>
        <w:autoSpaceDN w:val="0"/>
        <w:adjustRightInd w:val="0"/>
        <w:snapToGrid w:val="0"/>
        <w:spacing w:line="360" w:lineRule="auto"/>
        <w:jc w:val="left"/>
        <w:rPr>
          <w:rFonts w:ascii="宋体" w:hAnsi="宋体"/>
          <w:b/>
          <w:color w:val="auto"/>
          <w:kern w:val="0"/>
          <w:sz w:val="20"/>
          <w:szCs w:val="20"/>
          <w:highlight w:val="none"/>
        </w:rPr>
      </w:pPr>
    </w:p>
    <w:p w14:paraId="50ADE2F3">
      <w:pPr>
        <w:autoSpaceDE w:val="0"/>
        <w:autoSpaceDN w:val="0"/>
        <w:adjustRightInd w:val="0"/>
        <w:snapToGrid w:val="0"/>
        <w:spacing w:line="360" w:lineRule="auto"/>
        <w:jc w:val="left"/>
        <w:rPr>
          <w:rFonts w:ascii="宋体" w:hAnsi="宋体"/>
          <w:b/>
          <w:color w:val="auto"/>
          <w:kern w:val="0"/>
          <w:sz w:val="20"/>
          <w:szCs w:val="20"/>
          <w:highlight w:val="none"/>
        </w:rPr>
      </w:pPr>
    </w:p>
    <w:p w14:paraId="402C256F">
      <w:pPr>
        <w:autoSpaceDE w:val="0"/>
        <w:autoSpaceDN w:val="0"/>
        <w:adjustRightInd w:val="0"/>
        <w:snapToGrid w:val="0"/>
        <w:spacing w:line="360" w:lineRule="auto"/>
        <w:jc w:val="left"/>
        <w:rPr>
          <w:rFonts w:ascii="宋体" w:hAnsi="宋体"/>
          <w:b/>
          <w:color w:val="auto"/>
          <w:kern w:val="0"/>
          <w:sz w:val="20"/>
          <w:szCs w:val="20"/>
          <w:highlight w:val="none"/>
        </w:rPr>
      </w:pPr>
    </w:p>
    <w:p w14:paraId="3F4880C9">
      <w:pPr>
        <w:autoSpaceDE w:val="0"/>
        <w:autoSpaceDN w:val="0"/>
        <w:adjustRightInd w:val="0"/>
        <w:snapToGrid w:val="0"/>
        <w:spacing w:line="360" w:lineRule="auto"/>
        <w:jc w:val="left"/>
        <w:rPr>
          <w:rFonts w:ascii="宋体" w:hAnsi="宋体"/>
          <w:b/>
          <w:color w:val="auto"/>
          <w:kern w:val="0"/>
          <w:sz w:val="20"/>
          <w:szCs w:val="20"/>
          <w:highlight w:val="none"/>
        </w:rPr>
      </w:pPr>
    </w:p>
    <w:p w14:paraId="63618800">
      <w:pPr>
        <w:autoSpaceDE w:val="0"/>
        <w:autoSpaceDN w:val="0"/>
        <w:adjustRightInd w:val="0"/>
        <w:snapToGrid w:val="0"/>
        <w:spacing w:line="360" w:lineRule="auto"/>
        <w:jc w:val="left"/>
        <w:rPr>
          <w:rFonts w:ascii="宋体" w:hAnsi="宋体"/>
          <w:b/>
          <w:color w:val="auto"/>
          <w:kern w:val="0"/>
          <w:sz w:val="20"/>
          <w:szCs w:val="20"/>
          <w:highlight w:val="none"/>
        </w:rPr>
      </w:pPr>
    </w:p>
    <w:p w14:paraId="2EF9B68B">
      <w:pPr>
        <w:autoSpaceDE w:val="0"/>
        <w:autoSpaceDN w:val="0"/>
        <w:adjustRightInd w:val="0"/>
        <w:snapToGrid w:val="0"/>
        <w:spacing w:line="360" w:lineRule="auto"/>
        <w:jc w:val="left"/>
        <w:rPr>
          <w:rFonts w:ascii="宋体" w:hAnsi="宋体"/>
          <w:b/>
          <w:color w:val="auto"/>
          <w:kern w:val="0"/>
          <w:sz w:val="20"/>
          <w:szCs w:val="20"/>
          <w:highlight w:val="none"/>
        </w:rPr>
      </w:pPr>
    </w:p>
    <w:p w14:paraId="41801C01">
      <w:pPr>
        <w:autoSpaceDE w:val="0"/>
        <w:autoSpaceDN w:val="0"/>
        <w:adjustRightInd w:val="0"/>
        <w:snapToGrid w:val="0"/>
        <w:spacing w:line="360" w:lineRule="auto"/>
        <w:jc w:val="left"/>
        <w:rPr>
          <w:rFonts w:ascii="宋体" w:hAnsi="宋体"/>
          <w:b/>
          <w:color w:val="auto"/>
          <w:kern w:val="0"/>
          <w:sz w:val="20"/>
          <w:szCs w:val="20"/>
          <w:highlight w:val="none"/>
        </w:rPr>
      </w:pPr>
    </w:p>
    <w:p w14:paraId="0DE8B093">
      <w:pPr>
        <w:autoSpaceDE w:val="0"/>
        <w:autoSpaceDN w:val="0"/>
        <w:adjustRightInd w:val="0"/>
        <w:snapToGrid w:val="0"/>
        <w:spacing w:line="360" w:lineRule="auto"/>
        <w:jc w:val="left"/>
        <w:rPr>
          <w:rFonts w:ascii="宋体" w:hAnsi="宋体"/>
          <w:b/>
          <w:color w:val="auto"/>
          <w:kern w:val="0"/>
          <w:sz w:val="20"/>
          <w:szCs w:val="20"/>
          <w:highlight w:val="none"/>
        </w:rPr>
      </w:pPr>
    </w:p>
    <w:p w14:paraId="377257D0">
      <w:pPr>
        <w:autoSpaceDE w:val="0"/>
        <w:autoSpaceDN w:val="0"/>
        <w:adjustRightInd w:val="0"/>
        <w:snapToGrid w:val="0"/>
        <w:spacing w:line="360" w:lineRule="auto"/>
        <w:jc w:val="left"/>
        <w:rPr>
          <w:rFonts w:ascii="宋体" w:hAnsi="宋体"/>
          <w:b/>
          <w:color w:val="auto"/>
          <w:kern w:val="0"/>
          <w:sz w:val="20"/>
          <w:szCs w:val="20"/>
          <w:highlight w:val="none"/>
        </w:rPr>
      </w:pPr>
    </w:p>
    <w:p w14:paraId="4DBDECD4">
      <w:pPr>
        <w:autoSpaceDE w:val="0"/>
        <w:autoSpaceDN w:val="0"/>
        <w:adjustRightInd w:val="0"/>
        <w:snapToGrid w:val="0"/>
        <w:spacing w:line="360" w:lineRule="auto"/>
        <w:jc w:val="left"/>
        <w:rPr>
          <w:rFonts w:ascii="宋体" w:hAnsi="宋体"/>
          <w:b/>
          <w:color w:val="auto"/>
          <w:kern w:val="0"/>
          <w:sz w:val="20"/>
          <w:szCs w:val="20"/>
          <w:highlight w:val="none"/>
        </w:rPr>
      </w:pPr>
    </w:p>
    <w:p w14:paraId="702A85AC">
      <w:pPr>
        <w:autoSpaceDE w:val="0"/>
        <w:autoSpaceDN w:val="0"/>
        <w:adjustRightInd w:val="0"/>
        <w:snapToGrid w:val="0"/>
        <w:spacing w:line="360" w:lineRule="auto"/>
        <w:jc w:val="left"/>
        <w:rPr>
          <w:rFonts w:ascii="宋体" w:hAnsi="宋体"/>
          <w:b/>
          <w:color w:val="auto"/>
          <w:kern w:val="0"/>
          <w:sz w:val="20"/>
          <w:szCs w:val="20"/>
          <w:highlight w:val="none"/>
        </w:rPr>
      </w:pPr>
    </w:p>
    <w:p w14:paraId="4CFA0367">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795DB7D6">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56A43346">
      <w:pPr>
        <w:autoSpaceDE w:val="0"/>
        <w:autoSpaceDN w:val="0"/>
        <w:adjustRightInd w:val="0"/>
        <w:snapToGrid w:val="0"/>
        <w:spacing w:line="360" w:lineRule="auto"/>
        <w:jc w:val="center"/>
        <w:rPr>
          <w:rFonts w:ascii="宋体" w:hAnsi="宋体"/>
          <w:color w:val="auto"/>
          <w:kern w:val="0"/>
          <w:sz w:val="24"/>
          <w:szCs w:val="21"/>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bookmarkEnd w:id="2044"/>
      <w:r>
        <w:rPr>
          <w:rFonts w:ascii="宋体" w:hAnsi="宋体"/>
          <w:color w:val="auto"/>
          <w:kern w:val="0"/>
          <w:sz w:val="24"/>
          <w:szCs w:val="21"/>
          <w:highlight w:val="none"/>
        </w:rPr>
        <w:br w:type="page"/>
      </w:r>
    </w:p>
    <w:p w14:paraId="561E72B0">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38E063C7">
      <w:pPr>
        <w:autoSpaceDE w:val="0"/>
        <w:autoSpaceDN w:val="0"/>
        <w:adjustRightInd w:val="0"/>
        <w:snapToGrid w:val="0"/>
        <w:spacing w:line="360" w:lineRule="auto"/>
        <w:jc w:val="left"/>
        <w:rPr>
          <w:rFonts w:ascii="宋体" w:hAnsi="宋体"/>
          <w:color w:val="auto"/>
          <w:kern w:val="0"/>
          <w:sz w:val="24"/>
          <w:szCs w:val="21"/>
          <w:highlight w:val="none"/>
        </w:rPr>
      </w:pPr>
    </w:p>
    <w:p w14:paraId="05118D57">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（一）投标函</w:t>
      </w:r>
    </w:p>
    <w:p w14:paraId="266123C5">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（二）投标函附录</w:t>
      </w:r>
    </w:p>
    <w:p w14:paraId="6BA116C7">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（三）</w:t>
      </w:r>
      <w:r>
        <w:rPr>
          <w:rFonts w:hint="eastAsia" w:ascii="宋体" w:hAnsi="宋体"/>
          <w:color w:val="auto"/>
          <w:kern w:val="0"/>
          <w:sz w:val="24"/>
          <w:highlight w:val="none"/>
        </w:rPr>
        <w:t>法定代表人身份证明或附有法定代表人身份证明的授权委托书</w:t>
      </w:r>
    </w:p>
    <w:p w14:paraId="4E3434F1">
      <w:pPr>
        <w:autoSpaceDE w:val="0"/>
        <w:autoSpaceDN w:val="0"/>
        <w:adjustRightInd w:val="0"/>
        <w:spacing w:line="360" w:lineRule="auto"/>
        <w:ind w:firstLine="480" w:firstLineChars="200"/>
        <w:jc w:val="left"/>
        <w:rPr>
          <w:rFonts w:ascii="宋体" w:hAnsi="宋体"/>
          <w:color w:val="auto"/>
          <w:kern w:val="0"/>
          <w:sz w:val="24"/>
          <w:highlight w:val="none"/>
        </w:rPr>
      </w:pPr>
      <w:r>
        <w:rPr>
          <w:rFonts w:ascii="宋体" w:hAnsi="宋体"/>
          <w:color w:val="auto"/>
          <w:kern w:val="0"/>
          <w:sz w:val="24"/>
          <w:highlight w:val="none"/>
        </w:rPr>
        <w:t>（四）</w:t>
      </w:r>
      <w:r>
        <w:rPr>
          <w:rFonts w:hint="eastAsia" w:ascii="宋体" w:hAnsi="宋体"/>
          <w:color w:val="auto"/>
          <w:kern w:val="0"/>
          <w:sz w:val="24"/>
          <w:highlight w:val="none"/>
        </w:rPr>
        <w:t>低价风险担保缴纳承诺书（如有）</w:t>
      </w:r>
    </w:p>
    <w:p w14:paraId="0AC0B6C2">
      <w:pPr>
        <w:autoSpaceDE w:val="0"/>
        <w:autoSpaceDN w:val="0"/>
        <w:adjustRightInd w:val="0"/>
        <w:spacing w:line="360" w:lineRule="auto"/>
        <w:ind w:firstLine="480" w:firstLineChars="200"/>
        <w:jc w:val="left"/>
        <w:rPr>
          <w:rFonts w:ascii="宋体" w:hAnsi="宋体"/>
          <w:color w:val="auto"/>
          <w:kern w:val="0"/>
          <w:sz w:val="24"/>
          <w:highlight w:val="none"/>
        </w:rPr>
      </w:pPr>
      <w:r>
        <w:rPr>
          <w:rFonts w:hint="eastAsia" w:ascii="宋体" w:hAnsi="宋体"/>
          <w:color w:val="auto"/>
          <w:kern w:val="0"/>
          <w:sz w:val="24"/>
          <w:highlight w:val="none"/>
        </w:rPr>
        <w:t>（五）</w:t>
      </w:r>
      <w:r>
        <w:rPr>
          <w:rFonts w:ascii="宋体" w:hAnsi="宋体"/>
          <w:color w:val="auto"/>
          <w:kern w:val="0"/>
          <w:sz w:val="24"/>
          <w:highlight w:val="none"/>
        </w:rPr>
        <w:t>联合体协议书</w:t>
      </w:r>
      <w:r>
        <w:rPr>
          <w:rFonts w:hint="eastAsia" w:ascii="宋体" w:hAnsi="宋体"/>
          <w:color w:val="auto"/>
          <w:kern w:val="0"/>
          <w:sz w:val="24"/>
          <w:highlight w:val="none"/>
        </w:rPr>
        <w:t>（如有）</w:t>
      </w:r>
    </w:p>
    <w:p w14:paraId="23F967E9">
      <w:pPr>
        <w:autoSpaceDE w:val="0"/>
        <w:autoSpaceDN w:val="0"/>
        <w:adjustRightInd w:val="0"/>
        <w:snapToGrid w:val="0"/>
        <w:spacing w:line="360" w:lineRule="auto"/>
        <w:jc w:val="left"/>
        <w:rPr>
          <w:rFonts w:ascii="宋体" w:hAnsi="宋体"/>
          <w:color w:val="auto"/>
          <w:kern w:val="0"/>
          <w:szCs w:val="21"/>
          <w:highlight w:val="none"/>
        </w:rPr>
      </w:pPr>
    </w:p>
    <w:p w14:paraId="63A3556D">
      <w:pPr>
        <w:autoSpaceDE w:val="0"/>
        <w:autoSpaceDN w:val="0"/>
        <w:adjustRightInd w:val="0"/>
        <w:snapToGrid w:val="0"/>
        <w:spacing w:line="360" w:lineRule="auto"/>
        <w:jc w:val="left"/>
        <w:rPr>
          <w:rFonts w:ascii="宋体" w:hAnsi="宋体"/>
          <w:color w:val="auto"/>
          <w:kern w:val="0"/>
          <w:szCs w:val="21"/>
          <w:highlight w:val="none"/>
        </w:rPr>
      </w:pPr>
    </w:p>
    <w:p w14:paraId="65E16EAE">
      <w:pPr>
        <w:autoSpaceDE w:val="0"/>
        <w:autoSpaceDN w:val="0"/>
        <w:adjustRightInd w:val="0"/>
        <w:snapToGrid w:val="0"/>
        <w:spacing w:line="360" w:lineRule="auto"/>
        <w:jc w:val="left"/>
        <w:rPr>
          <w:rFonts w:ascii="宋体" w:hAnsi="宋体"/>
          <w:color w:val="auto"/>
          <w:kern w:val="0"/>
          <w:szCs w:val="21"/>
          <w:highlight w:val="none"/>
        </w:rPr>
      </w:pPr>
    </w:p>
    <w:p w14:paraId="6BB4D0BE">
      <w:pPr>
        <w:autoSpaceDE w:val="0"/>
        <w:autoSpaceDN w:val="0"/>
        <w:adjustRightInd w:val="0"/>
        <w:snapToGrid w:val="0"/>
        <w:spacing w:line="360" w:lineRule="auto"/>
        <w:jc w:val="left"/>
        <w:rPr>
          <w:rFonts w:ascii="宋体" w:hAnsi="宋体"/>
          <w:color w:val="auto"/>
          <w:kern w:val="0"/>
          <w:highlight w:val="none"/>
        </w:rPr>
      </w:pPr>
    </w:p>
    <w:p w14:paraId="7F8B404B">
      <w:pPr>
        <w:autoSpaceDE w:val="0"/>
        <w:autoSpaceDN w:val="0"/>
        <w:adjustRightInd w:val="0"/>
        <w:snapToGrid w:val="0"/>
        <w:spacing w:line="360" w:lineRule="auto"/>
        <w:jc w:val="left"/>
        <w:rPr>
          <w:rFonts w:ascii="宋体" w:hAnsi="宋体"/>
          <w:color w:val="auto"/>
          <w:kern w:val="0"/>
          <w:highlight w:val="none"/>
        </w:rPr>
      </w:pPr>
    </w:p>
    <w:p w14:paraId="20607014">
      <w:pPr>
        <w:autoSpaceDE w:val="0"/>
        <w:autoSpaceDN w:val="0"/>
        <w:adjustRightInd w:val="0"/>
        <w:snapToGrid w:val="0"/>
        <w:spacing w:line="360" w:lineRule="auto"/>
        <w:jc w:val="left"/>
        <w:rPr>
          <w:rFonts w:ascii="宋体" w:hAnsi="宋体"/>
          <w:color w:val="auto"/>
          <w:kern w:val="0"/>
          <w:highlight w:val="none"/>
        </w:rPr>
      </w:pPr>
    </w:p>
    <w:p w14:paraId="76DBAB4F">
      <w:pPr>
        <w:autoSpaceDE w:val="0"/>
        <w:autoSpaceDN w:val="0"/>
        <w:adjustRightInd w:val="0"/>
        <w:snapToGrid w:val="0"/>
        <w:spacing w:line="360" w:lineRule="auto"/>
        <w:jc w:val="left"/>
        <w:rPr>
          <w:rFonts w:ascii="宋体" w:hAnsi="宋体"/>
          <w:color w:val="auto"/>
          <w:kern w:val="0"/>
          <w:highlight w:val="none"/>
        </w:rPr>
      </w:pPr>
    </w:p>
    <w:p w14:paraId="6F393FFC">
      <w:pPr>
        <w:autoSpaceDE w:val="0"/>
        <w:autoSpaceDN w:val="0"/>
        <w:adjustRightInd w:val="0"/>
        <w:snapToGrid w:val="0"/>
        <w:spacing w:line="360" w:lineRule="auto"/>
        <w:jc w:val="left"/>
        <w:rPr>
          <w:rFonts w:ascii="宋体" w:hAnsi="宋体"/>
          <w:color w:val="auto"/>
          <w:kern w:val="0"/>
          <w:highlight w:val="none"/>
        </w:rPr>
      </w:pPr>
    </w:p>
    <w:p w14:paraId="692A2D87">
      <w:pPr>
        <w:autoSpaceDE w:val="0"/>
        <w:autoSpaceDN w:val="0"/>
        <w:adjustRightInd w:val="0"/>
        <w:snapToGrid w:val="0"/>
        <w:spacing w:line="360" w:lineRule="auto"/>
        <w:jc w:val="left"/>
        <w:rPr>
          <w:rFonts w:ascii="宋体" w:hAnsi="宋体"/>
          <w:color w:val="auto"/>
          <w:kern w:val="0"/>
          <w:highlight w:val="none"/>
        </w:rPr>
      </w:pPr>
    </w:p>
    <w:p w14:paraId="64D1AC6E">
      <w:pPr>
        <w:autoSpaceDE w:val="0"/>
        <w:autoSpaceDN w:val="0"/>
        <w:adjustRightInd w:val="0"/>
        <w:snapToGrid w:val="0"/>
        <w:spacing w:line="360" w:lineRule="auto"/>
        <w:jc w:val="left"/>
        <w:rPr>
          <w:rFonts w:ascii="宋体" w:hAnsi="宋体"/>
          <w:color w:val="auto"/>
          <w:kern w:val="0"/>
          <w:highlight w:val="none"/>
        </w:rPr>
      </w:pPr>
    </w:p>
    <w:p w14:paraId="48918D08">
      <w:pPr>
        <w:autoSpaceDE w:val="0"/>
        <w:autoSpaceDN w:val="0"/>
        <w:adjustRightInd w:val="0"/>
        <w:snapToGrid w:val="0"/>
        <w:spacing w:line="360" w:lineRule="auto"/>
        <w:jc w:val="left"/>
        <w:rPr>
          <w:rFonts w:ascii="宋体" w:hAnsi="宋体"/>
          <w:color w:val="auto"/>
          <w:kern w:val="0"/>
          <w:highlight w:val="none"/>
        </w:rPr>
      </w:pPr>
    </w:p>
    <w:p w14:paraId="735135AA">
      <w:pPr>
        <w:autoSpaceDE w:val="0"/>
        <w:autoSpaceDN w:val="0"/>
        <w:adjustRightInd w:val="0"/>
        <w:snapToGrid w:val="0"/>
        <w:spacing w:line="360" w:lineRule="auto"/>
        <w:jc w:val="left"/>
        <w:rPr>
          <w:rFonts w:ascii="宋体" w:hAnsi="宋体"/>
          <w:color w:val="auto"/>
          <w:w w:val="99"/>
          <w:kern w:val="0"/>
          <w:sz w:val="28"/>
          <w:szCs w:val="28"/>
          <w:highlight w:val="none"/>
        </w:rPr>
      </w:pPr>
    </w:p>
    <w:p w14:paraId="0032E0A6">
      <w:pPr>
        <w:autoSpaceDE w:val="0"/>
        <w:autoSpaceDN w:val="0"/>
        <w:adjustRightInd w:val="0"/>
        <w:snapToGrid w:val="0"/>
        <w:spacing w:line="360" w:lineRule="auto"/>
        <w:jc w:val="left"/>
        <w:rPr>
          <w:rFonts w:ascii="宋体" w:hAnsi="宋体"/>
          <w:color w:val="auto"/>
          <w:w w:val="99"/>
          <w:kern w:val="0"/>
          <w:sz w:val="28"/>
          <w:szCs w:val="28"/>
          <w:highlight w:val="none"/>
        </w:rPr>
      </w:pPr>
    </w:p>
    <w:p w14:paraId="681DC234">
      <w:pPr>
        <w:autoSpaceDE w:val="0"/>
        <w:autoSpaceDN w:val="0"/>
        <w:adjustRightInd w:val="0"/>
        <w:snapToGrid w:val="0"/>
        <w:spacing w:line="360" w:lineRule="auto"/>
        <w:jc w:val="left"/>
        <w:rPr>
          <w:rFonts w:ascii="宋体" w:hAnsi="宋体"/>
          <w:color w:val="auto"/>
          <w:w w:val="99"/>
          <w:kern w:val="0"/>
          <w:sz w:val="28"/>
          <w:szCs w:val="28"/>
          <w:highlight w:val="none"/>
        </w:rPr>
      </w:pPr>
    </w:p>
    <w:p w14:paraId="7062C6F3">
      <w:pPr>
        <w:autoSpaceDE w:val="0"/>
        <w:autoSpaceDN w:val="0"/>
        <w:adjustRightInd w:val="0"/>
        <w:snapToGrid w:val="0"/>
        <w:spacing w:line="360" w:lineRule="auto"/>
        <w:jc w:val="left"/>
        <w:rPr>
          <w:rFonts w:ascii="宋体" w:hAnsi="宋体"/>
          <w:color w:val="auto"/>
          <w:w w:val="99"/>
          <w:kern w:val="0"/>
          <w:sz w:val="28"/>
          <w:szCs w:val="28"/>
          <w:highlight w:val="none"/>
        </w:rPr>
      </w:pPr>
    </w:p>
    <w:p w14:paraId="290793D1">
      <w:pPr>
        <w:spacing w:after="260"/>
        <w:jc w:val="center"/>
        <w:rPr>
          <w:rFonts w:ascii="宋体" w:hAnsi="宋体"/>
          <w:b/>
          <w:color w:val="auto"/>
          <w:highlight w:val="none"/>
        </w:rPr>
      </w:pPr>
      <w:bookmarkStart w:id="2045" w:name="_Toc287607867"/>
      <w:bookmarkStart w:id="2046" w:name="_Toc534185831"/>
      <w:bookmarkStart w:id="2047" w:name="_Toc430530530"/>
      <w:bookmarkStart w:id="2048" w:name="_Toc277082643"/>
      <w:bookmarkStart w:id="2049" w:name="_Toc287620814"/>
      <w:bookmarkStart w:id="2050" w:name="_Toc509218854"/>
      <w:bookmarkStart w:id="2051" w:name="_Toc224103495"/>
      <w:r>
        <w:rPr>
          <w:rFonts w:ascii="宋体" w:hAnsi="宋体"/>
          <w:color w:val="auto"/>
          <w:highlight w:val="none"/>
        </w:rPr>
        <w:br w:type="page"/>
      </w:r>
      <w:r>
        <w:rPr>
          <w:rFonts w:hint="eastAsia" w:ascii="宋体" w:hAnsi="宋体"/>
          <w:snapToGrid w:val="0"/>
          <w:color w:val="auto"/>
          <w:kern w:val="0"/>
          <w:sz w:val="32"/>
          <w:szCs w:val="32"/>
          <w:highlight w:val="none"/>
        </w:rPr>
        <w:t>（一）投标函</w:t>
      </w:r>
      <w:bookmarkEnd w:id="2045"/>
      <w:bookmarkEnd w:id="2046"/>
      <w:bookmarkEnd w:id="2047"/>
      <w:bookmarkEnd w:id="2048"/>
      <w:bookmarkEnd w:id="2049"/>
      <w:bookmarkEnd w:id="2050"/>
      <w:bookmarkEnd w:id="2051"/>
    </w:p>
    <w:p w14:paraId="4481A4FE">
      <w:pPr>
        <w:tabs>
          <w:tab w:val="left" w:pos="2640"/>
        </w:tabs>
        <w:autoSpaceDE w:val="0"/>
        <w:autoSpaceDN w:val="0"/>
        <w:adjustRightInd w:val="0"/>
        <w:spacing w:line="360" w:lineRule="auto"/>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ascii="宋体" w:hAnsi="宋体"/>
          <w:snapToGrid w:val="0"/>
          <w:color w:val="auto"/>
          <w:kern w:val="0"/>
          <w:szCs w:val="21"/>
          <w:highlight w:val="none"/>
        </w:rPr>
        <w:t>（招标人名称）：</w:t>
      </w:r>
    </w:p>
    <w:p w14:paraId="062636C2">
      <w:pPr>
        <w:tabs>
          <w:tab w:val="left" w:pos="2655"/>
          <w:tab w:val="left" w:pos="3520"/>
          <w:tab w:val="left" w:pos="4920"/>
          <w:tab w:val="left" w:pos="5715"/>
          <w:tab w:val="left" w:pos="6945"/>
          <w:tab w:val="left" w:pos="7980"/>
        </w:tabs>
        <w:autoSpaceDE w:val="0"/>
        <w:autoSpaceDN w:val="0"/>
        <w:adjustRightInd w:val="0"/>
        <w:spacing w:line="440" w:lineRule="exact"/>
        <w:ind w:left="420" w:leftChars="200" w:right="94"/>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我方已仔细研究了</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（项目名称）</w:t>
      </w:r>
      <w:r>
        <w:rPr>
          <w:rFonts w:hint="eastAsia" w:ascii="宋体" w:hAnsi="宋体"/>
          <w:snapToGrid w:val="0"/>
          <w:color w:val="auto"/>
          <w:kern w:val="0"/>
          <w:szCs w:val="21"/>
          <w:highlight w:val="none"/>
        </w:rPr>
        <w:t>工程总承包</w:t>
      </w:r>
      <w:r>
        <w:rPr>
          <w:rFonts w:ascii="宋体" w:hAnsi="宋体"/>
          <w:snapToGrid w:val="0"/>
          <w:color w:val="auto"/>
          <w:kern w:val="0"/>
          <w:szCs w:val="21"/>
          <w:highlight w:val="none"/>
        </w:rPr>
        <w:t>招标文件的全部内容，</w:t>
      </w:r>
      <w:r>
        <w:rPr>
          <w:rFonts w:hint="eastAsia" w:ascii="宋体" w:hAnsi="宋体"/>
          <w:snapToGrid w:val="0"/>
          <w:color w:val="auto"/>
          <w:kern w:val="0"/>
          <w:szCs w:val="21"/>
          <w:highlight w:val="none"/>
        </w:rPr>
        <w:t>愿意以：</w:t>
      </w:r>
    </w:p>
    <w:p w14:paraId="485EF601">
      <w:pPr>
        <w:tabs>
          <w:tab w:val="left" w:pos="2655"/>
          <w:tab w:val="left" w:pos="3520"/>
          <w:tab w:val="left" w:pos="4920"/>
          <w:tab w:val="left" w:pos="5715"/>
          <w:tab w:val="left" w:pos="6945"/>
          <w:tab w:val="left" w:pos="7980"/>
        </w:tabs>
        <w:autoSpaceDE w:val="0"/>
        <w:autoSpaceDN w:val="0"/>
        <w:adjustRightInd w:val="0"/>
        <w:spacing w:line="440" w:lineRule="exact"/>
        <w:ind w:right="94"/>
        <w:rPr>
          <w:rFonts w:ascii="宋体" w:hAnsi="宋体"/>
          <w:color w:val="auto"/>
          <w:highlight w:val="none"/>
        </w:rPr>
      </w:pPr>
      <w:r>
        <w:rPr>
          <w:rFonts w:hint="eastAsia" w:ascii="宋体" w:hAnsi="宋体"/>
          <w:snapToGrid w:val="0"/>
          <w:color w:val="auto"/>
          <w:kern w:val="0"/>
          <w:szCs w:val="21"/>
          <w:highlight w:val="none"/>
        </w:rPr>
        <w:t>投标总报价：</w:t>
      </w:r>
      <w:r>
        <w:rPr>
          <w:rFonts w:hint="eastAsia"/>
          <w:color w:val="auto"/>
          <w:szCs w:val="21"/>
          <w:highlight w:val="none"/>
        </w:rPr>
        <w:t>（大写）</w:t>
      </w:r>
      <w:r>
        <w:rPr>
          <w:rFonts w:hint="eastAsia"/>
          <w:color w:val="auto"/>
          <w:szCs w:val="21"/>
          <w:highlight w:val="none"/>
          <w:u w:val="single"/>
        </w:rPr>
        <w:t xml:space="preserve">          </w:t>
      </w:r>
      <w:r>
        <w:rPr>
          <w:rFonts w:hint="eastAsia"/>
          <w:color w:val="auto"/>
          <w:szCs w:val="21"/>
          <w:highlight w:val="none"/>
        </w:rPr>
        <w:t>（¥</w:t>
      </w:r>
      <w:r>
        <w:rPr>
          <w:rFonts w:hint="eastAsia"/>
          <w:color w:val="auto"/>
          <w:szCs w:val="21"/>
          <w:highlight w:val="none"/>
          <w:u w:val="single"/>
        </w:rPr>
        <w:t xml:space="preserve">           </w:t>
      </w:r>
      <w:r>
        <w:rPr>
          <w:rFonts w:hint="eastAsia"/>
          <w:color w:val="auto"/>
          <w:szCs w:val="21"/>
          <w:highlight w:val="none"/>
        </w:rPr>
        <w:t>）</w:t>
      </w:r>
      <w:r>
        <w:rPr>
          <w:rFonts w:ascii="宋体" w:hAnsi="宋体"/>
          <w:snapToGrid w:val="0"/>
          <w:color w:val="auto"/>
          <w:kern w:val="0"/>
          <w:szCs w:val="21"/>
          <w:highlight w:val="none"/>
        </w:rPr>
        <w:t>按合同约定实施和完成</w:t>
      </w:r>
      <w:r>
        <w:rPr>
          <w:rFonts w:hint="eastAsia" w:ascii="宋体" w:hAnsi="宋体"/>
          <w:snapToGrid w:val="0"/>
          <w:color w:val="auto"/>
          <w:kern w:val="0"/>
          <w:szCs w:val="21"/>
          <w:highlight w:val="none"/>
        </w:rPr>
        <w:t>总</w:t>
      </w:r>
      <w:r>
        <w:rPr>
          <w:rFonts w:ascii="宋体" w:hAnsi="宋体"/>
          <w:snapToGrid w:val="0"/>
          <w:color w:val="auto"/>
          <w:kern w:val="0"/>
          <w:szCs w:val="21"/>
          <w:highlight w:val="none"/>
        </w:rPr>
        <w:t>承包工程</w:t>
      </w:r>
      <w:r>
        <w:rPr>
          <w:rFonts w:hint="eastAsia" w:ascii="宋体" w:hAnsi="宋体"/>
          <w:snapToGrid w:val="0"/>
          <w:color w:val="auto"/>
          <w:kern w:val="0"/>
          <w:szCs w:val="21"/>
          <w:highlight w:val="none"/>
        </w:rPr>
        <w:t>。其中：</w:t>
      </w:r>
    </w:p>
    <w:p w14:paraId="19B987BB">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color w:val="auto"/>
          <w:szCs w:val="21"/>
          <w:highlight w:val="none"/>
        </w:rPr>
      </w:pPr>
      <w:r>
        <w:rPr>
          <w:rFonts w:hint="eastAsia" w:ascii="宋体" w:hAnsi="宋体"/>
          <w:color w:val="auto"/>
          <w:highlight w:val="none"/>
        </w:rPr>
        <w:t>（</w:t>
      </w:r>
      <w:r>
        <w:rPr>
          <w:rFonts w:ascii="宋体" w:hAnsi="宋体"/>
          <w:color w:val="auto"/>
          <w:highlight w:val="none"/>
        </w:rPr>
        <w:t>1</w:t>
      </w:r>
      <w:r>
        <w:rPr>
          <w:rFonts w:hint="eastAsia" w:ascii="宋体" w:hAnsi="宋体"/>
          <w:color w:val="auto"/>
          <w:highlight w:val="none"/>
        </w:rPr>
        <w:t>）</w:t>
      </w:r>
      <w:r>
        <w:rPr>
          <w:rFonts w:hint="eastAsia" w:ascii="宋体" w:hAnsi="宋体"/>
          <w:color w:val="auto"/>
          <w:szCs w:val="21"/>
          <w:highlight w:val="none"/>
        </w:rPr>
        <w:t>设计费：</w:t>
      </w:r>
      <w:r>
        <w:rPr>
          <w:rFonts w:hint="eastAsia"/>
          <w:color w:val="auto"/>
          <w:szCs w:val="21"/>
          <w:highlight w:val="none"/>
        </w:rPr>
        <w:t>投标</w:t>
      </w:r>
      <w:r>
        <w:rPr>
          <w:rFonts w:hint="eastAsia" w:ascii="宋体" w:hAnsi="宋体"/>
          <w:color w:val="auto"/>
          <w:szCs w:val="21"/>
          <w:highlight w:val="none"/>
        </w:rPr>
        <w:t>设计费</w:t>
      </w:r>
      <w:r>
        <w:rPr>
          <w:rFonts w:hint="eastAsia"/>
          <w:color w:val="auto"/>
          <w:szCs w:val="21"/>
          <w:highlight w:val="none"/>
        </w:rPr>
        <w:t>报价人民币（大写）</w:t>
      </w:r>
      <w:r>
        <w:rPr>
          <w:rFonts w:hint="eastAsia"/>
          <w:color w:val="auto"/>
          <w:szCs w:val="21"/>
          <w:highlight w:val="none"/>
          <w:u w:val="single"/>
        </w:rPr>
        <w:t xml:space="preserve">          </w:t>
      </w:r>
      <w:r>
        <w:rPr>
          <w:rFonts w:hint="eastAsia"/>
          <w:color w:val="auto"/>
          <w:szCs w:val="21"/>
          <w:highlight w:val="none"/>
        </w:rPr>
        <w:t>（¥</w:t>
      </w:r>
      <w:r>
        <w:rPr>
          <w:rFonts w:hint="eastAsia"/>
          <w:color w:val="auto"/>
          <w:szCs w:val="21"/>
          <w:highlight w:val="none"/>
          <w:u w:val="single"/>
        </w:rPr>
        <w:t xml:space="preserve">           </w:t>
      </w:r>
      <w:r>
        <w:rPr>
          <w:rFonts w:hint="eastAsia"/>
          <w:color w:val="auto"/>
          <w:szCs w:val="21"/>
          <w:highlight w:val="none"/>
        </w:rPr>
        <w:t>）□投标</w:t>
      </w:r>
      <w:r>
        <w:rPr>
          <w:rFonts w:hint="eastAsia" w:ascii="宋体" w:hAnsi="宋体"/>
          <w:color w:val="auto"/>
          <w:szCs w:val="21"/>
          <w:highlight w:val="none"/>
        </w:rPr>
        <w:t>设计费</w:t>
      </w:r>
      <w:r>
        <w:rPr>
          <w:rFonts w:hint="eastAsia"/>
          <w:color w:val="auto"/>
          <w:szCs w:val="21"/>
          <w:highlight w:val="none"/>
        </w:rPr>
        <w:t>固定费率为</w:t>
      </w:r>
      <w:r>
        <w:rPr>
          <w:rFonts w:hint="eastAsia"/>
          <w:color w:val="auto"/>
          <w:szCs w:val="21"/>
          <w:highlight w:val="none"/>
          <w:u w:val="single"/>
        </w:rPr>
        <w:t xml:space="preserve">     </w:t>
      </w:r>
      <w:r>
        <w:rPr>
          <w:rFonts w:hint="eastAsia"/>
          <w:color w:val="auto"/>
          <w:szCs w:val="21"/>
          <w:highlight w:val="none"/>
        </w:rPr>
        <w:t>%  □投标</w:t>
      </w:r>
      <w:r>
        <w:rPr>
          <w:rFonts w:hint="eastAsia" w:ascii="宋体" w:hAnsi="宋体"/>
          <w:color w:val="auto"/>
          <w:szCs w:val="21"/>
          <w:highlight w:val="none"/>
        </w:rPr>
        <w:t>设计费</w:t>
      </w:r>
      <w:r>
        <w:rPr>
          <w:rFonts w:hint="eastAsia"/>
          <w:color w:val="auto"/>
          <w:szCs w:val="21"/>
          <w:highlight w:val="none"/>
        </w:rPr>
        <w:t>单价为</w:t>
      </w:r>
      <w:r>
        <w:rPr>
          <w:rFonts w:hint="eastAsia"/>
          <w:color w:val="auto"/>
          <w:szCs w:val="21"/>
          <w:highlight w:val="none"/>
          <w:u w:val="single"/>
        </w:rPr>
        <w:t xml:space="preserve">   </w:t>
      </w:r>
      <w:r>
        <w:rPr>
          <w:rFonts w:hint="eastAsia"/>
          <w:color w:val="auto"/>
          <w:szCs w:val="21"/>
          <w:highlight w:val="none"/>
        </w:rPr>
        <w:t>元/㎡；</w:t>
      </w:r>
    </w:p>
    <w:p w14:paraId="7EB2530F">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rFonts w:ascii="宋体" w:hAnsi="宋体"/>
          <w:snapToGrid w:val="0"/>
          <w:color w:val="auto"/>
          <w:kern w:val="0"/>
          <w:szCs w:val="21"/>
          <w:highlight w:val="none"/>
        </w:rPr>
      </w:pPr>
      <w:r>
        <w:rPr>
          <w:rFonts w:hint="eastAsia"/>
          <w:color w:val="auto"/>
          <w:szCs w:val="21"/>
          <w:highlight w:val="none"/>
        </w:rPr>
        <w:t>□（2）专业设备材料费：投标专业设备材料</w:t>
      </w:r>
      <w:r>
        <w:rPr>
          <w:rFonts w:hint="eastAsia" w:ascii="宋体" w:hAnsi="宋体"/>
          <w:color w:val="auto"/>
          <w:szCs w:val="21"/>
          <w:highlight w:val="none"/>
        </w:rPr>
        <w:t>费</w:t>
      </w:r>
      <w:r>
        <w:rPr>
          <w:rFonts w:hint="eastAsia"/>
          <w:color w:val="auto"/>
          <w:szCs w:val="21"/>
          <w:highlight w:val="none"/>
        </w:rPr>
        <w:t>报价人民币（大写）</w:t>
      </w:r>
      <w:r>
        <w:rPr>
          <w:rFonts w:hint="eastAsia"/>
          <w:color w:val="auto"/>
          <w:szCs w:val="21"/>
          <w:highlight w:val="none"/>
          <w:u w:val="single"/>
        </w:rPr>
        <w:t xml:space="preserve">          </w:t>
      </w:r>
      <w:r>
        <w:rPr>
          <w:rFonts w:hint="eastAsia"/>
          <w:color w:val="auto"/>
          <w:szCs w:val="21"/>
          <w:highlight w:val="none"/>
        </w:rPr>
        <w:t>（¥</w:t>
      </w:r>
      <w:r>
        <w:rPr>
          <w:rFonts w:hint="eastAsia"/>
          <w:color w:val="auto"/>
          <w:szCs w:val="21"/>
          <w:highlight w:val="none"/>
          <w:u w:val="single"/>
        </w:rPr>
        <w:t xml:space="preserve">           </w:t>
      </w:r>
      <w:r>
        <w:rPr>
          <w:rFonts w:hint="eastAsia"/>
          <w:color w:val="auto"/>
          <w:szCs w:val="21"/>
          <w:highlight w:val="none"/>
        </w:rPr>
        <w:t>）；</w:t>
      </w:r>
    </w:p>
    <w:p w14:paraId="71F01A24">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3</w:t>
      </w:r>
      <w:r>
        <w:rPr>
          <w:rFonts w:hint="eastAsia" w:ascii="宋体" w:hAnsi="宋体"/>
          <w:snapToGrid w:val="0"/>
          <w:color w:val="auto"/>
          <w:kern w:val="0"/>
          <w:szCs w:val="21"/>
          <w:highlight w:val="none"/>
        </w:rPr>
        <w:t>）建筑安装工程费：</w:t>
      </w:r>
      <w:r>
        <w:rPr>
          <w:rFonts w:hint="eastAsia"/>
          <w:color w:val="auto"/>
          <w:szCs w:val="21"/>
          <w:highlight w:val="none"/>
        </w:rPr>
        <w:t>投标</w:t>
      </w:r>
      <w:r>
        <w:rPr>
          <w:rFonts w:hint="eastAsia" w:ascii="宋体" w:hAnsi="宋体"/>
          <w:snapToGrid w:val="0"/>
          <w:color w:val="auto"/>
          <w:kern w:val="0"/>
          <w:szCs w:val="21"/>
          <w:highlight w:val="none"/>
        </w:rPr>
        <w:t>建筑安装工程费</w:t>
      </w:r>
      <w:r>
        <w:rPr>
          <w:rFonts w:hint="eastAsia"/>
          <w:color w:val="auto"/>
          <w:szCs w:val="21"/>
          <w:highlight w:val="none"/>
        </w:rPr>
        <w:t>报价人民币（大写）</w:t>
      </w:r>
      <w:r>
        <w:rPr>
          <w:rFonts w:hint="eastAsia"/>
          <w:color w:val="auto"/>
          <w:szCs w:val="21"/>
          <w:highlight w:val="none"/>
          <w:u w:val="single"/>
        </w:rPr>
        <w:t xml:space="preserve">          </w:t>
      </w:r>
      <w:r>
        <w:rPr>
          <w:rFonts w:hint="eastAsia"/>
          <w:color w:val="auto"/>
          <w:szCs w:val="21"/>
          <w:highlight w:val="none"/>
        </w:rPr>
        <w:t>（¥</w:t>
      </w:r>
      <w:r>
        <w:rPr>
          <w:rFonts w:hint="eastAsia"/>
          <w:color w:val="auto"/>
          <w:szCs w:val="21"/>
          <w:highlight w:val="none"/>
          <w:u w:val="single"/>
        </w:rPr>
        <w:t xml:space="preserve">           </w:t>
      </w:r>
      <w:r>
        <w:rPr>
          <w:rFonts w:hint="eastAsia"/>
          <w:color w:val="auto"/>
          <w:szCs w:val="21"/>
          <w:highlight w:val="none"/>
        </w:rPr>
        <w:t>）□投标</w:t>
      </w:r>
      <w:r>
        <w:rPr>
          <w:rFonts w:hint="eastAsia" w:ascii="宋体" w:hAnsi="宋体"/>
          <w:snapToGrid w:val="0"/>
          <w:color w:val="auto"/>
          <w:kern w:val="0"/>
          <w:szCs w:val="21"/>
          <w:highlight w:val="none"/>
        </w:rPr>
        <w:t>建筑安装工程费</w:t>
      </w:r>
      <w:r>
        <w:rPr>
          <w:rFonts w:hint="eastAsia"/>
          <w:color w:val="auto"/>
          <w:szCs w:val="21"/>
          <w:highlight w:val="none"/>
        </w:rPr>
        <w:t>固定费率为</w:t>
      </w:r>
      <w:r>
        <w:rPr>
          <w:rFonts w:hint="eastAsia"/>
          <w:color w:val="auto"/>
          <w:szCs w:val="21"/>
          <w:highlight w:val="none"/>
          <w:u w:val="single"/>
        </w:rPr>
        <w:t xml:space="preserve">     </w:t>
      </w:r>
      <w:r>
        <w:rPr>
          <w:rFonts w:hint="eastAsia"/>
          <w:color w:val="auto"/>
          <w:szCs w:val="21"/>
          <w:highlight w:val="none"/>
        </w:rPr>
        <w:t>%；</w:t>
      </w:r>
    </w:p>
    <w:p w14:paraId="20AB33F9">
      <w:pPr>
        <w:tabs>
          <w:tab w:val="left" w:pos="2655"/>
          <w:tab w:val="left" w:pos="3520"/>
          <w:tab w:val="left" w:pos="4920"/>
          <w:tab w:val="left" w:pos="5715"/>
          <w:tab w:val="left" w:pos="6945"/>
          <w:tab w:val="left" w:pos="7980"/>
        </w:tabs>
        <w:autoSpaceDE w:val="0"/>
        <w:autoSpaceDN w:val="0"/>
        <w:adjustRightInd w:val="0"/>
        <w:spacing w:line="440" w:lineRule="exact"/>
        <w:ind w:left="420" w:leftChars="200" w:right="94"/>
        <w:rPr>
          <w:rFonts w:ascii="宋体" w:hAnsi="宋体"/>
          <w:snapToGrid w:val="0"/>
          <w:color w:val="auto"/>
          <w:kern w:val="0"/>
          <w:szCs w:val="21"/>
          <w:highlight w:val="none"/>
        </w:rPr>
      </w:pPr>
      <w:r>
        <w:rPr>
          <w:rFonts w:hint="eastAsia" w:ascii="宋体" w:hAnsi="宋体"/>
          <w:snapToGrid w:val="0"/>
          <w:color w:val="auto"/>
          <w:kern w:val="0"/>
          <w:szCs w:val="21"/>
          <w:highlight w:val="none"/>
        </w:rPr>
        <w:t>（</w:t>
      </w:r>
      <w:r>
        <w:rPr>
          <w:rFonts w:ascii="宋体" w:hAnsi="宋体"/>
          <w:snapToGrid w:val="0"/>
          <w:color w:val="auto"/>
          <w:kern w:val="0"/>
          <w:szCs w:val="21"/>
          <w:highlight w:val="none"/>
        </w:rPr>
        <w:t>4</w:t>
      </w:r>
      <w:r>
        <w:rPr>
          <w:rFonts w:hint="eastAsia" w:ascii="宋体" w:hAnsi="宋体"/>
          <w:snapToGrid w:val="0"/>
          <w:color w:val="auto"/>
          <w:kern w:val="0"/>
          <w:szCs w:val="21"/>
          <w:highlight w:val="none"/>
        </w:rPr>
        <w:t>）</w:t>
      </w:r>
      <w:r>
        <w:rPr>
          <w:rFonts w:hint="eastAsia" w:ascii="宋体" w:hAnsi="宋体"/>
          <w:color w:val="auto"/>
          <w:szCs w:val="21"/>
          <w:highlight w:val="none"/>
        </w:rPr>
        <w:t>其他费用（如有）：</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455B34B7">
      <w:pPr>
        <w:tabs>
          <w:tab w:val="left" w:pos="2655"/>
          <w:tab w:val="left" w:pos="3520"/>
          <w:tab w:val="left" w:pos="4920"/>
          <w:tab w:val="left" w:pos="5715"/>
          <w:tab w:val="left" w:pos="6945"/>
          <w:tab w:val="left" w:pos="7980"/>
        </w:tabs>
        <w:autoSpaceDE w:val="0"/>
        <w:autoSpaceDN w:val="0"/>
        <w:adjustRightInd w:val="0"/>
        <w:spacing w:line="440" w:lineRule="exact"/>
        <w:ind w:left="420" w:leftChars="200" w:right="94"/>
        <w:rPr>
          <w:rFonts w:ascii="宋体" w:hAnsi="宋体"/>
          <w:snapToGrid w:val="0"/>
          <w:color w:val="auto"/>
          <w:kern w:val="0"/>
          <w:szCs w:val="21"/>
          <w:highlight w:val="none"/>
        </w:rPr>
      </w:pPr>
      <w:r>
        <w:rPr>
          <w:rFonts w:hint="eastAsia" w:ascii="宋体" w:hAnsi="宋体"/>
          <w:snapToGrid w:val="0"/>
          <w:color w:val="auto"/>
          <w:kern w:val="0"/>
          <w:szCs w:val="21"/>
          <w:highlight w:val="none"/>
        </w:rPr>
        <w:t>注：投标报价建议保留两位小数。</w:t>
      </w:r>
    </w:p>
    <w:p w14:paraId="4B97B3A6">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rFonts w:ascii="宋体" w:hAnsi="宋体"/>
          <w:snapToGrid w:val="0"/>
          <w:color w:val="auto"/>
          <w:kern w:val="0"/>
          <w:szCs w:val="21"/>
          <w:highlight w:val="none"/>
        </w:rPr>
      </w:pPr>
      <w:r>
        <w:rPr>
          <w:rFonts w:hint="eastAsia" w:ascii="宋体" w:hAnsi="宋体" w:cs="宋体"/>
          <w:color w:val="auto"/>
          <w:szCs w:val="21"/>
          <w:highlight w:val="none"/>
        </w:rPr>
        <w:t>总承包项目经理为：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snapToGrid w:val="0"/>
          <w:color w:val="auto"/>
          <w:kern w:val="0"/>
          <w:szCs w:val="21"/>
          <w:highlight w:val="none"/>
        </w:rPr>
        <w:t>委托代理人为：</w:t>
      </w:r>
      <w:r>
        <w:rPr>
          <w:rFonts w:hint="eastAsia"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w:t>
      </w:r>
      <w:r>
        <w:rPr>
          <w:rFonts w:hint="eastAsia" w:ascii="宋体" w:hAnsi="宋体" w:cs="宋体"/>
          <w:color w:val="auto"/>
          <w:szCs w:val="21"/>
          <w:highlight w:val="none"/>
        </w:rPr>
        <w:t>设计负责人为：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，施工负责人为：</w:t>
      </w:r>
      <w:r>
        <w:rPr>
          <w:rFonts w:hint="eastAsia" w:ascii="宋体" w:hAnsi="宋体" w:cs="宋体"/>
          <w:color w:val="auto"/>
          <w:szCs w:val="21"/>
          <w:highlight w:val="none"/>
          <w:u w:val="single"/>
        </w:rPr>
        <w:t xml:space="preserve">            </w:t>
      </w:r>
      <w:r>
        <w:rPr>
          <w:rFonts w:hint="eastAsia" w:ascii="宋体" w:hAnsi="宋体"/>
          <w:snapToGrid w:val="0"/>
          <w:color w:val="auto"/>
          <w:kern w:val="0"/>
          <w:szCs w:val="21"/>
          <w:highlight w:val="none"/>
        </w:rPr>
        <w:t>。总</w:t>
      </w:r>
      <w:r>
        <w:rPr>
          <w:rFonts w:ascii="宋体" w:hAnsi="宋体"/>
          <w:snapToGrid w:val="0"/>
          <w:color w:val="auto"/>
          <w:kern w:val="0"/>
          <w:szCs w:val="21"/>
          <w:highlight w:val="none"/>
        </w:rPr>
        <w:t>工期</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日历天</w:t>
      </w:r>
      <w:r>
        <w:rPr>
          <w:rFonts w:ascii="宋体" w:hAnsi="宋体"/>
          <w:snapToGrid w:val="0"/>
          <w:color w:val="auto"/>
          <w:kern w:val="0"/>
          <w:szCs w:val="21"/>
          <w:highlight w:val="none"/>
        </w:rPr>
        <w:t>，</w:t>
      </w:r>
      <w:r>
        <w:rPr>
          <w:rFonts w:hint="eastAsia" w:ascii="宋体" w:hAnsi="宋体" w:cs="宋体"/>
          <w:snapToGrid w:val="0"/>
          <w:color w:val="auto"/>
          <w:kern w:val="0"/>
          <w:position w:val="-2"/>
          <w:szCs w:val="21"/>
          <w:highlight w:val="none"/>
        </w:rPr>
        <w:t>其中：</w:t>
      </w:r>
      <w:r>
        <w:rPr>
          <w:rFonts w:hint="eastAsia" w:ascii="宋体" w:hAnsi="宋体" w:cs="宋体"/>
          <w:color w:val="auto"/>
          <w:szCs w:val="21"/>
          <w:highlight w:val="none"/>
        </w:rPr>
        <w:t>设计工期：</w:t>
      </w:r>
      <w:r>
        <w:rPr>
          <w:rFonts w:hint="eastAsia" w:ascii="新宋体" w:hAnsi="新宋体" w:eastAsia="新宋体"/>
          <w:color w:val="auto"/>
          <w:highlight w:val="none"/>
          <w:u w:val="single"/>
        </w:rPr>
        <w:t xml:space="preserve">      </w:t>
      </w:r>
      <w:r>
        <w:rPr>
          <w:rFonts w:hint="eastAsia" w:ascii="宋体" w:hAnsi="宋体"/>
          <w:snapToGrid w:val="0"/>
          <w:color w:val="auto"/>
          <w:kern w:val="0"/>
          <w:szCs w:val="21"/>
          <w:highlight w:val="none"/>
          <w:u w:val="single"/>
        </w:rPr>
        <w:t>日历天</w:t>
      </w:r>
      <w:r>
        <w:rPr>
          <w:rFonts w:hint="eastAsia" w:ascii="新宋体" w:hAnsi="新宋体" w:eastAsia="新宋体"/>
          <w:color w:val="auto"/>
          <w:highlight w:val="none"/>
        </w:rPr>
        <w:t>；</w:t>
      </w:r>
      <w:r>
        <w:rPr>
          <w:rFonts w:hint="eastAsia" w:ascii="宋体" w:hAnsi="宋体" w:cs="宋体"/>
          <w:color w:val="auto"/>
          <w:szCs w:val="21"/>
          <w:highlight w:val="none"/>
        </w:rPr>
        <w:t>施工工期：</w:t>
      </w:r>
      <w:r>
        <w:rPr>
          <w:rFonts w:hint="eastAsia" w:ascii="宋体" w:hAnsi="宋体" w:cs="宋体"/>
          <w:snapToGrid w:val="0"/>
          <w:color w:val="auto"/>
          <w:kern w:val="0"/>
          <w:position w:val="-2"/>
          <w:szCs w:val="21"/>
          <w:highlight w:val="none"/>
          <w:u w:val="single"/>
        </w:rPr>
        <w:t xml:space="preserve">      </w:t>
      </w:r>
      <w:r>
        <w:rPr>
          <w:rFonts w:hint="eastAsia" w:ascii="宋体" w:hAnsi="宋体"/>
          <w:snapToGrid w:val="0"/>
          <w:color w:val="auto"/>
          <w:kern w:val="0"/>
          <w:szCs w:val="21"/>
          <w:highlight w:val="none"/>
          <w:u w:val="single"/>
        </w:rPr>
        <w:t>日历天</w:t>
      </w:r>
      <w:r>
        <w:rPr>
          <w:rFonts w:hint="eastAsia" w:ascii="宋体" w:hAnsi="宋体" w:cs="宋体"/>
          <w:snapToGrid w:val="0"/>
          <w:color w:val="auto"/>
          <w:kern w:val="0"/>
          <w:position w:val="-2"/>
          <w:szCs w:val="21"/>
          <w:highlight w:val="none"/>
        </w:rPr>
        <w:t>。</w:t>
      </w:r>
      <w:r>
        <w:rPr>
          <w:rFonts w:ascii="宋体" w:hAnsi="宋体"/>
          <w:snapToGrid w:val="0"/>
          <w:color w:val="auto"/>
          <w:kern w:val="0"/>
          <w:szCs w:val="21"/>
          <w:highlight w:val="none"/>
        </w:rPr>
        <w:t>工程质量达到</w:t>
      </w:r>
      <w:r>
        <w:rPr>
          <w:rFonts w:hint="eastAsia" w:ascii="宋体" w:hAnsi="宋体"/>
          <w:snapToGrid w:val="0"/>
          <w:color w:val="auto"/>
          <w:kern w:val="0"/>
          <w:szCs w:val="21"/>
          <w:highlight w:val="none"/>
        </w:rPr>
        <w:t>以下质量标准：</w:t>
      </w:r>
    </w:p>
    <w:p w14:paraId="546598D1">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color w:val="auto"/>
          <w:highlight w:val="none"/>
          <w:u w:val="single"/>
        </w:rPr>
      </w:pPr>
      <w:r>
        <w:rPr>
          <w:rFonts w:hint="eastAsia"/>
          <w:color w:val="auto"/>
          <w:highlight w:val="none"/>
        </w:rPr>
        <w:t>（1）设计质量达到：</w:t>
      </w:r>
      <w:r>
        <w:rPr>
          <w:rFonts w:hint="eastAsia"/>
          <w:color w:val="auto"/>
          <w:highlight w:val="none"/>
          <w:u w:val="single"/>
        </w:rPr>
        <w:t xml:space="preserve"> </w:t>
      </w:r>
      <w:r>
        <w:rPr>
          <w:color w:val="auto"/>
          <w:highlight w:val="none"/>
          <w:u w:val="single"/>
        </w:rPr>
        <w:t xml:space="preserve">          </w:t>
      </w:r>
    </w:p>
    <w:p w14:paraId="0FB83327">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color w:val="auto"/>
          <w:highlight w:val="none"/>
        </w:rPr>
      </w:pPr>
      <w:r>
        <w:rPr>
          <w:rFonts w:hint="eastAsia"/>
          <w:color w:val="auto"/>
          <w:highlight w:val="none"/>
        </w:rPr>
        <w:t>□（2）专业设备材料达到：</w:t>
      </w:r>
      <w:r>
        <w:rPr>
          <w:rFonts w:hint="eastAsia"/>
          <w:color w:val="auto"/>
          <w:highlight w:val="none"/>
          <w:u w:val="single"/>
        </w:rPr>
        <w:t xml:space="preserve">           </w:t>
      </w:r>
    </w:p>
    <w:p w14:paraId="2DCC9145">
      <w:pPr>
        <w:tabs>
          <w:tab w:val="left" w:pos="2655"/>
          <w:tab w:val="left" w:pos="3520"/>
          <w:tab w:val="left" w:pos="4920"/>
          <w:tab w:val="left" w:pos="5715"/>
          <w:tab w:val="left" w:pos="6945"/>
          <w:tab w:val="left" w:pos="7980"/>
        </w:tabs>
        <w:autoSpaceDE w:val="0"/>
        <w:autoSpaceDN w:val="0"/>
        <w:adjustRightInd w:val="0"/>
        <w:spacing w:line="440" w:lineRule="exact"/>
        <w:ind w:firstLine="420" w:firstLineChars="200"/>
        <w:rPr>
          <w:color w:val="auto"/>
          <w:highlight w:val="none"/>
          <w:u w:val="single"/>
        </w:rPr>
      </w:pPr>
      <w:r>
        <w:rPr>
          <w:rFonts w:hint="eastAsia"/>
          <w:color w:val="auto"/>
          <w:highlight w:val="none"/>
        </w:rPr>
        <w:t>（3）工程质量达到：</w:t>
      </w:r>
      <w:r>
        <w:rPr>
          <w:rFonts w:hint="eastAsia"/>
          <w:color w:val="auto"/>
          <w:highlight w:val="none"/>
          <w:u w:val="single"/>
        </w:rPr>
        <w:t xml:space="preserve"> </w:t>
      </w:r>
      <w:r>
        <w:rPr>
          <w:color w:val="auto"/>
          <w:highlight w:val="none"/>
          <w:u w:val="single"/>
        </w:rPr>
        <w:t xml:space="preserve">           </w:t>
      </w:r>
    </w:p>
    <w:p w14:paraId="44EDF73F">
      <w:pPr>
        <w:tabs>
          <w:tab w:val="left" w:pos="2655"/>
          <w:tab w:val="left" w:pos="3520"/>
          <w:tab w:val="left" w:pos="4920"/>
          <w:tab w:val="left" w:pos="5715"/>
          <w:tab w:val="left" w:pos="6945"/>
          <w:tab w:val="left" w:pos="7980"/>
        </w:tabs>
        <w:autoSpaceDE w:val="0"/>
        <w:autoSpaceDN w:val="0"/>
        <w:adjustRightInd w:val="0"/>
        <w:spacing w:line="440" w:lineRule="exact"/>
        <w:ind w:left="420" w:leftChars="200" w:right="94"/>
        <w:rPr>
          <w:rFonts w:ascii="宋体" w:hAnsi="宋体"/>
          <w:snapToGrid w:val="0"/>
          <w:color w:val="auto"/>
          <w:kern w:val="0"/>
          <w:sz w:val="10"/>
          <w:szCs w:val="10"/>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我方承诺在投标有效期内不修改、撤销投标文件。</w:t>
      </w:r>
    </w:p>
    <w:p w14:paraId="64C55846">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随同本投标函提交投标保证金一份，金额为人民币（大写）</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）。投标保证金有</w:t>
      </w:r>
      <w:r>
        <w:rPr>
          <w:rFonts w:hint="eastAsia" w:ascii="宋体" w:hAnsi="宋体"/>
          <w:snapToGrid w:val="0"/>
          <w:color w:val="auto"/>
          <w:kern w:val="0"/>
          <w:szCs w:val="21"/>
          <w:highlight w:val="none"/>
        </w:rPr>
        <w:t>效</w:t>
      </w:r>
      <w:r>
        <w:rPr>
          <w:rFonts w:ascii="宋体" w:hAnsi="宋体"/>
          <w:snapToGrid w:val="0"/>
          <w:color w:val="auto"/>
          <w:kern w:val="0"/>
          <w:szCs w:val="21"/>
          <w:highlight w:val="none"/>
        </w:rPr>
        <w:t>期与投标有</w:t>
      </w:r>
      <w:r>
        <w:rPr>
          <w:rFonts w:hint="eastAsia" w:ascii="宋体" w:hAnsi="宋体"/>
          <w:snapToGrid w:val="0"/>
          <w:color w:val="auto"/>
          <w:kern w:val="0"/>
          <w:szCs w:val="21"/>
          <w:highlight w:val="none"/>
        </w:rPr>
        <w:t>效</w:t>
      </w:r>
      <w:r>
        <w:rPr>
          <w:rFonts w:ascii="宋体" w:hAnsi="宋体"/>
          <w:snapToGrid w:val="0"/>
          <w:color w:val="auto"/>
          <w:kern w:val="0"/>
          <w:szCs w:val="21"/>
          <w:highlight w:val="none"/>
        </w:rPr>
        <w:t>期一致，在此期间，若我方违反招投标有关法律、法规及本招标文件的相关规定，投标保证金的受益人为招标人。</w:t>
      </w:r>
    </w:p>
    <w:p w14:paraId="07819D4E">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4</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如我方中标：</w:t>
      </w:r>
    </w:p>
    <w:p w14:paraId="5817113F">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（1）我方承诺在收到中标通知书后，在中标通知书规定的期限内与你方签订合同。</w:t>
      </w:r>
    </w:p>
    <w:p w14:paraId="42185FC4">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（2）随同本投标函递交的投标函附录属于合同文件的组成部分。</w:t>
      </w:r>
    </w:p>
    <w:p w14:paraId="049A8660">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（3）我方承诺按照招标文件规定向你方递交履约担保。</w:t>
      </w:r>
    </w:p>
    <w:p w14:paraId="39E7C773">
      <w:pPr>
        <w:autoSpaceDE w:val="0"/>
        <w:autoSpaceDN w:val="0"/>
        <w:adjustRightInd w:val="0"/>
        <w:spacing w:line="360" w:lineRule="auto"/>
        <w:ind w:firstLine="420" w:firstLineChars="200"/>
        <w:rPr>
          <w:rFonts w:ascii="宋体" w:hAnsi="宋体"/>
          <w:snapToGrid w:val="0"/>
          <w:color w:val="auto"/>
          <w:kern w:val="0"/>
          <w:sz w:val="10"/>
          <w:szCs w:val="10"/>
          <w:highlight w:val="none"/>
        </w:rPr>
      </w:pPr>
      <w:r>
        <w:rPr>
          <w:rFonts w:ascii="宋体" w:hAnsi="宋体"/>
          <w:snapToGrid w:val="0"/>
          <w:color w:val="auto"/>
          <w:kern w:val="0"/>
          <w:szCs w:val="21"/>
          <w:highlight w:val="none"/>
        </w:rPr>
        <w:t>（4）我方承诺在合同约定的期限内完成并移交全部合同工程。</w:t>
      </w:r>
    </w:p>
    <w:p w14:paraId="4AF03A20">
      <w:pPr>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我方</w:t>
      </w:r>
      <w:r>
        <w:rPr>
          <w:rFonts w:ascii="宋体" w:hAnsi="宋体"/>
          <w:snapToGrid w:val="0"/>
          <w:color w:val="auto"/>
          <w:spacing w:val="-2"/>
          <w:kern w:val="0"/>
          <w:szCs w:val="21"/>
          <w:highlight w:val="none"/>
        </w:rPr>
        <w:t>在此声明，所递交的投标文件及有关资料内容完整、真实和准确，且不存在第二章“投标人</w:t>
      </w:r>
      <w:r>
        <w:rPr>
          <w:rFonts w:ascii="宋体" w:hAnsi="宋体"/>
          <w:snapToGrid w:val="0"/>
          <w:color w:val="auto"/>
          <w:kern w:val="0"/>
          <w:szCs w:val="21"/>
          <w:highlight w:val="none"/>
        </w:rPr>
        <w:t>须知”第 1.4.3 项规定的任何一种情形。同时我方承诺接受招标文件及附件、澄清及修改通知中所有的内容。</w:t>
      </w:r>
    </w:p>
    <w:p w14:paraId="3BA29008">
      <w:pPr>
        <w:tabs>
          <w:tab w:val="left" w:pos="5985"/>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6</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（其他补充说明）。</w:t>
      </w:r>
    </w:p>
    <w:p w14:paraId="3C38A27E">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p>
    <w:p w14:paraId="0D513E3D">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p>
    <w:p w14:paraId="72DC6901">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1223259D">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法定代表人</w:t>
      </w:r>
      <w:r>
        <w:rPr>
          <w:rFonts w:hint="eastAsia" w:ascii="宋体" w:hAnsi="宋体"/>
          <w:snapToGrid w:val="0"/>
          <w:color w:val="auto"/>
          <w:kern w:val="0"/>
          <w:szCs w:val="21"/>
          <w:highlight w:val="none"/>
        </w:rPr>
        <w:t>或其委托代理人</w:t>
      </w:r>
      <w:r>
        <w:rPr>
          <w:rFonts w:ascii="宋体" w:hAnsi="宋体"/>
          <w:snapToGrid w:val="0"/>
          <w:color w:val="auto"/>
          <w:kern w:val="0"/>
          <w:szCs w:val="21"/>
          <w:highlight w:val="none"/>
        </w:rPr>
        <w:t>：</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（签字或盖章）</w:t>
      </w:r>
    </w:p>
    <w:p w14:paraId="688E5628">
      <w:pPr>
        <w:tabs>
          <w:tab w:val="left" w:pos="7035"/>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地</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027F7FFA">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网</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址：</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2135BB7E">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u w:val="single"/>
        </w:rPr>
      </w:pPr>
      <w:r>
        <w:rPr>
          <w:rFonts w:hint="eastAsia" w:ascii="宋体" w:hAnsi="宋体"/>
          <w:snapToGrid w:val="0"/>
          <w:color w:val="auto"/>
          <w:kern w:val="0"/>
          <w:szCs w:val="21"/>
          <w:highlight w:val="none"/>
        </w:rPr>
        <w:t>单位电话（座机）：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rPr>
        <w:t>委托代理人电话（手机）：</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164A1192">
      <w:pPr>
        <w:tabs>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rPr>
        <w:t>传</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真：</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2FED3331">
      <w:pPr>
        <w:tabs>
          <w:tab w:val="left" w:pos="8300"/>
        </w:tabs>
        <w:autoSpaceDE w:val="0"/>
        <w:autoSpaceDN w:val="0"/>
        <w:adjustRightInd w:val="0"/>
        <w:spacing w:line="360" w:lineRule="auto"/>
        <w:ind w:firstLine="420" w:firstLineChars="200"/>
        <w:rPr>
          <w:rFonts w:ascii="宋体" w:hAnsi="宋体"/>
          <w:snapToGrid w:val="0"/>
          <w:color w:val="auto"/>
          <w:kern w:val="0"/>
          <w:sz w:val="20"/>
          <w:szCs w:val="20"/>
          <w:highlight w:val="none"/>
        </w:rPr>
      </w:pPr>
      <w:r>
        <w:rPr>
          <w:rFonts w:ascii="宋体" w:hAnsi="宋体"/>
          <w:snapToGrid w:val="0"/>
          <w:color w:val="auto"/>
          <w:kern w:val="0"/>
          <w:szCs w:val="21"/>
          <w:highlight w:val="none"/>
        </w:rPr>
        <w:t>邮政编码：</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p>
    <w:p w14:paraId="1DB46AA7">
      <w:pPr>
        <w:tabs>
          <w:tab w:val="left" w:pos="8300"/>
        </w:tabs>
        <w:autoSpaceDE w:val="0"/>
        <w:autoSpaceDN w:val="0"/>
        <w:adjustRightInd w:val="0"/>
        <w:spacing w:line="360" w:lineRule="auto"/>
        <w:ind w:firstLine="420" w:firstLineChars="200"/>
        <w:jc w:val="right"/>
        <w:rPr>
          <w:rFonts w:ascii="宋体" w:hAnsi="宋体"/>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4367F34F">
      <w:pPr>
        <w:pStyle w:val="2"/>
        <w:rPr>
          <w:rFonts w:ascii="宋体" w:hAnsi="宋体"/>
          <w:color w:val="auto"/>
          <w:kern w:val="0"/>
          <w:szCs w:val="21"/>
          <w:highlight w:val="none"/>
        </w:rPr>
      </w:pPr>
    </w:p>
    <w:p w14:paraId="0AA19ED5">
      <w:pPr>
        <w:spacing w:line="360" w:lineRule="auto"/>
        <w:ind w:firstLine="420" w:firstLineChars="200"/>
        <w:rPr>
          <w:rFonts w:ascii="宋体" w:hAnsi="宋体"/>
          <w:color w:val="auto"/>
          <w:highlight w:val="none"/>
        </w:rPr>
      </w:pPr>
    </w:p>
    <w:p w14:paraId="3BA6CE75">
      <w:pPr>
        <w:spacing w:line="360" w:lineRule="auto"/>
        <w:ind w:firstLine="420" w:firstLineChars="200"/>
        <w:rPr>
          <w:rFonts w:ascii="宋体" w:hAnsi="宋体"/>
          <w:color w:val="auto"/>
          <w:highlight w:val="none"/>
        </w:rPr>
      </w:pPr>
    </w:p>
    <w:p w14:paraId="797C6F0C">
      <w:pPr>
        <w:spacing w:line="360" w:lineRule="auto"/>
        <w:ind w:firstLine="420" w:firstLineChars="200"/>
        <w:rPr>
          <w:rFonts w:ascii="宋体" w:hAnsi="宋体"/>
          <w:color w:val="auto"/>
          <w:highlight w:val="none"/>
        </w:rPr>
      </w:pPr>
    </w:p>
    <w:p w14:paraId="2B5080AF">
      <w:pPr>
        <w:spacing w:line="360" w:lineRule="auto"/>
        <w:ind w:firstLine="420" w:firstLineChars="200"/>
        <w:rPr>
          <w:rFonts w:ascii="宋体" w:hAnsi="宋体"/>
          <w:color w:val="auto"/>
          <w:kern w:val="0"/>
          <w:szCs w:val="21"/>
          <w:highlight w:val="none"/>
        </w:rPr>
      </w:pPr>
      <w:r>
        <w:rPr>
          <w:rFonts w:hint="eastAsia" w:ascii="宋体" w:hAnsi="宋体"/>
          <w:color w:val="auto"/>
          <w:kern w:val="0"/>
          <w:szCs w:val="21"/>
          <w:highlight w:val="none"/>
        </w:rPr>
        <w:t>注：联合体投标的，应在本投标函第6条中列明联合体全体成员的单位全称；要求加盖单位法人章的地方由联合体牵头人</w:t>
      </w:r>
      <w:r>
        <w:rPr>
          <w:rFonts w:hint="eastAsia" w:ascii="宋体" w:hAnsi="宋体"/>
          <w:color w:val="auto"/>
          <w:highlight w:val="none"/>
        </w:rPr>
        <w:t>使用</w:t>
      </w:r>
      <w:r>
        <w:rPr>
          <w:rFonts w:ascii="宋体" w:hAnsi="宋体"/>
          <w:color w:val="auto"/>
          <w:highlight w:val="none"/>
        </w:rPr>
        <w:t xml:space="preserve"> CA </w:t>
      </w:r>
      <w:r>
        <w:rPr>
          <w:rFonts w:hint="eastAsia" w:ascii="宋体" w:hAnsi="宋体"/>
          <w:color w:val="auto"/>
          <w:highlight w:val="none"/>
        </w:rPr>
        <w:t>数字证书加盖单位电子印章</w:t>
      </w:r>
      <w:r>
        <w:rPr>
          <w:rFonts w:hint="eastAsia" w:ascii="宋体" w:hAnsi="宋体"/>
          <w:color w:val="auto"/>
          <w:kern w:val="0"/>
          <w:szCs w:val="21"/>
          <w:highlight w:val="none"/>
        </w:rPr>
        <w:t>即可；</w:t>
      </w:r>
    </w:p>
    <w:p w14:paraId="257E25ED">
      <w:pPr>
        <w:spacing w:after="260"/>
        <w:jc w:val="center"/>
        <w:rPr>
          <w:rFonts w:ascii="宋体" w:hAnsi="宋体"/>
          <w:snapToGrid w:val="0"/>
          <w:color w:val="auto"/>
          <w:kern w:val="0"/>
          <w:szCs w:val="21"/>
          <w:highlight w:val="none"/>
        </w:rPr>
      </w:pPr>
      <w:bookmarkStart w:id="2052" w:name="_Toc287607868"/>
      <w:bookmarkStart w:id="2053" w:name="_Toc430530531"/>
      <w:bookmarkStart w:id="2054" w:name="_Toc277082644"/>
      <w:bookmarkStart w:id="2055" w:name="_Toc287620815"/>
      <w:bookmarkStart w:id="2056" w:name="_Toc224103496"/>
      <w:r>
        <w:rPr>
          <w:rFonts w:ascii="宋体" w:hAnsi="宋体"/>
          <w:color w:val="auto"/>
          <w:sz w:val="28"/>
          <w:highlight w:val="none"/>
        </w:rPr>
        <w:br w:type="page"/>
      </w:r>
      <w:bookmarkStart w:id="2057" w:name="_Toc534185832"/>
      <w:bookmarkStart w:id="2058" w:name="_Toc509218855"/>
      <w:r>
        <w:rPr>
          <w:rFonts w:ascii="宋体" w:hAnsi="宋体"/>
          <w:snapToGrid w:val="0"/>
          <w:color w:val="auto"/>
          <w:kern w:val="0"/>
          <w:sz w:val="32"/>
          <w:szCs w:val="32"/>
          <w:highlight w:val="none"/>
        </w:rPr>
        <w:t>（二）投标函附录</w:t>
      </w:r>
      <w:bookmarkEnd w:id="2052"/>
      <w:bookmarkEnd w:id="2053"/>
      <w:bookmarkEnd w:id="2054"/>
      <w:bookmarkEnd w:id="2055"/>
      <w:bookmarkEnd w:id="2056"/>
      <w:bookmarkEnd w:id="2057"/>
      <w:bookmarkEnd w:id="2058"/>
    </w:p>
    <w:tbl>
      <w:tblPr>
        <w:tblStyle w:val="45"/>
        <w:tblW w:w="9469"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720"/>
        <w:gridCol w:w="2582"/>
        <w:gridCol w:w="2388"/>
        <w:gridCol w:w="2987"/>
        <w:gridCol w:w="792"/>
      </w:tblGrid>
      <w:tr w14:paraId="69E8FE4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4FFF1516">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序号</w:t>
            </w:r>
          </w:p>
        </w:tc>
        <w:tc>
          <w:tcPr>
            <w:tcW w:w="2582" w:type="dxa"/>
            <w:vAlign w:val="center"/>
          </w:tcPr>
          <w:p w14:paraId="6DD40C80">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条款名称</w:t>
            </w:r>
          </w:p>
        </w:tc>
        <w:tc>
          <w:tcPr>
            <w:tcW w:w="2388" w:type="dxa"/>
            <w:vAlign w:val="center"/>
          </w:tcPr>
          <w:p w14:paraId="4953E77B">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合同条款号</w:t>
            </w:r>
          </w:p>
        </w:tc>
        <w:tc>
          <w:tcPr>
            <w:tcW w:w="2987" w:type="dxa"/>
            <w:vAlign w:val="center"/>
          </w:tcPr>
          <w:p w14:paraId="0CE5C946">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约定内容</w:t>
            </w:r>
          </w:p>
        </w:tc>
        <w:tc>
          <w:tcPr>
            <w:tcW w:w="792" w:type="dxa"/>
            <w:vAlign w:val="center"/>
          </w:tcPr>
          <w:p w14:paraId="512C9594">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备注</w:t>
            </w:r>
          </w:p>
        </w:tc>
      </w:tr>
      <w:tr w14:paraId="4FB4AB4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51D7AB8B">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1</w:t>
            </w:r>
          </w:p>
        </w:tc>
        <w:tc>
          <w:tcPr>
            <w:tcW w:w="2582" w:type="dxa"/>
            <w:vAlign w:val="center"/>
          </w:tcPr>
          <w:p w14:paraId="54E9987D">
            <w:pPr>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总承包</w:t>
            </w:r>
            <w:r>
              <w:rPr>
                <w:rFonts w:ascii="宋体" w:hAnsi="宋体"/>
                <w:snapToGrid w:val="0"/>
                <w:color w:val="auto"/>
                <w:kern w:val="0"/>
                <w:szCs w:val="21"/>
                <w:highlight w:val="none"/>
              </w:rPr>
              <w:t>项目经理</w:t>
            </w:r>
          </w:p>
        </w:tc>
        <w:tc>
          <w:tcPr>
            <w:tcW w:w="2388" w:type="dxa"/>
            <w:vAlign w:val="center"/>
          </w:tcPr>
          <w:p w14:paraId="7ED05026">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4.3.1</w:t>
            </w:r>
          </w:p>
        </w:tc>
        <w:tc>
          <w:tcPr>
            <w:tcW w:w="2987" w:type="dxa"/>
            <w:vAlign w:val="center"/>
          </w:tcPr>
          <w:p w14:paraId="208B4BA4">
            <w:pPr>
              <w:tabs>
                <w:tab w:val="left" w:pos="2190"/>
              </w:tabs>
              <w:autoSpaceDE w:val="0"/>
              <w:autoSpaceDN w:val="0"/>
              <w:adjustRightInd w:val="0"/>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姓名：</w:t>
            </w:r>
          </w:p>
        </w:tc>
        <w:tc>
          <w:tcPr>
            <w:tcW w:w="792" w:type="dxa"/>
            <w:vAlign w:val="center"/>
          </w:tcPr>
          <w:p w14:paraId="71AEF8F1">
            <w:pPr>
              <w:autoSpaceDE w:val="0"/>
              <w:autoSpaceDN w:val="0"/>
              <w:adjustRightInd w:val="0"/>
              <w:jc w:val="center"/>
              <w:rPr>
                <w:rFonts w:ascii="宋体" w:hAnsi="宋体"/>
                <w:snapToGrid w:val="0"/>
                <w:color w:val="auto"/>
                <w:kern w:val="0"/>
                <w:szCs w:val="21"/>
                <w:highlight w:val="none"/>
              </w:rPr>
            </w:pPr>
          </w:p>
        </w:tc>
      </w:tr>
      <w:tr w14:paraId="0BECD5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3075E7B2">
            <w:pPr>
              <w:autoSpaceDE w:val="0"/>
              <w:autoSpaceDN w:val="0"/>
              <w:adjustRightInd w:val="0"/>
              <w:jc w:val="center"/>
              <w:rPr>
                <w:rFonts w:ascii="宋体" w:hAnsi="宋体"/>
                <w:snapToGrid w:val="0"/>
                <w:color w:val="auto"/>
                <w:kern w:val="0"/>
                <w:szCs w:val="21"/>
                <w:highlight w:val="none"/>
              </w:rPr>
            </w:pPr>
          </w:p>
        </w:tc>
        <w:tc>
          <w:tcPr>
            <w:tcW w:w="2582" w:type="dxa"/>
            <w:vAlign w:val="center"/>
          </w:tcPr>
          <w:p w14:paraId="30D0E11B">
            <w:pPr>
              <w:spacing w:line="440" w:lineRule="exact"/>
              <w:ind w:firstLine="735" w:firstLineChars="350"/>
              <w:rPr>
                <w:rFonts w:ascii="宋体" w:hAnsi="宋体" w:cs="宋体"/>
                <w:color w:val="auto"/>
                <w:szCs w:val="21"/>
                <w:highlight w:val="none"/>
              </w:rPr>
            </w:pPr>
            <w:r>
              <w:rPr>
                <w:rFonts w:hint="eastAsia" w:ascii="宋体" w:hAnsi="宋体" w:cs="宋体"/>
                <w:color w:val="auto"/>
                <w:szCs w:val="21"/>
                <w:highlight w:val="none"/>
              </w:rPr>
              <w:t>设计负责人</w:t>
            </w:r>
          </w:p>
        </w:tc>
        <w:tc>
          <w:tcPr>
            <w:tcW w:w="2388" w:type="dxa"/>
            <w:vAlign w:val="center"/>
          </w:tcPr>
          <w:p w14:paraId="0F806F44">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4.4.1</w:t>
            </w:r>
          </w:p>
        </w:tc>
        <w:tc>
          <w:tcPr>
            <w:tcW w:w="2987" w:type="dxa"/>
            <w:vAlign w:val="center"/>
          </w:tcPr>
          <w:p w14:paraId="2633F6AF">
            <w:pPr>
              <w:tabs>
                <w:tab w:val="left" w:pos="2190"/>
              </w:tabs>
              <w:autoSpaceDE w:val="0"/>
              <w:autoSpaceDN w:val="0"/>
              <w:adjustRightInd w:val="0"/>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姓名：</w:t>
            </w:r>
          </w:p>
        </w:tc>
        <w:tc>
          <w:tcPr>
            <w:tcW w:w="792" w:type="dxa"/>
            <w:vAlign w:val="center"/>
          </w:tcPr>
          <w:p w14:paraId="27951082">
            <w:pPr>
              <w:autoSpaceDE w:val="0"/>
              <w:autoSpaceDN w:val="0"/>
              <w:adjustRightInd w:val="0"/>
              <w:jc w:val="center"/>
              <w:rPr>
                <w:rFonts w:ascii="宋体" w:hAnsi="宋体"/>
                <w:snapToGrid w:val="0"/>
                <w:color w:val="auto"/>
                <w:kern w:val="0"/>
                <w:szCs w:val="21"/>
                <w:highlight w:val="none"/>
              </w:rPr>
            </w:pPr>
          </w:p>
        </w:tc>
      </w:tr>
      <w:tr w14:paraId="2A4991A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3E356E93">
            <w:pPr>
              <w:autoSpaceDE w:val="0"/>
              <w:autoSpaceDN w:val="0"/>
              <w:adjustRightInd w:val="0"/>
              <w:jc w:val="center"/>
              <w:rPr>
                <w:rFonts w:ascii="宋体" w:hAnsi="宋体"/>
                <w:snapToGrid w:val="0"/>
                <w:color w:val="auto"/>
                <w:kern w:val="0"/>
                <w:szCs w:val="21"/>
                <w:highlight w:val="none"/>
              </w:rPr>
            </w:pPr>
          </w:p>
        </w:tc>
        <w:tc>
          <w:tcPr>
            <w:tcW w:w="2582" w:type="dxa"/>
            <w:vAlign w:val="center"/>
          </w:tcPr>
          <w:p w14:paraId="459556E6">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施工负责人</w:t>
            </w:r>
          </w:p>
        </w:tc>
        <w:tc>
          <w:tcPr>
            <w:tcW w:w="2388" w:type="dxa"/>
            <w:vAlign w:val="center"/>
          </w:tcPr>
          <w:p w14:paraId="6F21B991">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4.4.1</w:t>
            </w:r>
          </w:p>
        </w:tc>
        <w:tc>
          <w:tcPr>
            <w:tcW w:w="2987" w:type="dxa"/>
            <w:vAlign w:val="center"/>
          </w:tcPr>
          <w:p w14:paraId="1D546C83">
            <w:pPr>
              <w:tabs>
                <w:tab w:val="left" w:pos="2190"/>
              </w:tabs>
              <w:autoSpaceDE w:val="0"/>
              <w:autoSpaceDN w:val="0"/>
              <w:adjustRightInd w:val="0"/>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姓名：</w:t>
            </w:r>
          </w:p>
        </w:tc>
        <w:tc>
          <w:tcPr>
            <w:tcW w:w="792" w:type="dxa"/>
            <w:vAlign w:val="center"/>
          </w:tcPr>
          <w:p w14:paraId="43BA4C9A">
            <w:pPr>
              <w:autoSpaceDE w:val="0"/>
              <w:autoSpaceDN w:val="0"/>
              <w:adjustRightInd w:val="0"/>
              <w:jc w:val="center"/>
              <w:rPr>
                <w:rFonts w:ascii="宋体" w:hAnsi="宋体"/>
                <w:snapToGrid w:val="0"/>
                <w:color w:val="auto"/>
                <w:kern w:val="0"/>
                <w:szCs w:val="21"/>
                <w:highlight w:val="none"/>
              </w:rPr>
            </w:pPr>
          </w:p>
        </w:tc>
      </w:tr>
      <w:tr w14:paraId="713E17A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5C87F17E">
            <w:pPr>
              <w:autoSpaceDE w:val="0"/>
              <w:autoSpaceDN w:val="0"/>
              <w:adjustRightInd w:val="0"/>
              <w:jc w:val="center"/>
              <w:rPr>
                <w:rFonts w:ascii="宋体" w:hAnsi="宋体"/>
                <w:snapToGrid w:val="0"/>
                <w:color w:val="auto"/>
                <w:kern w:val="0"/>
                <w:szCs w:val="21"/>
                <w:highlight w:val="none"/>
              </w:rPr>
            </w:pPr>
          </w:p>
        </w:tc>
        <w:tc>
          <w:tcPr>
            <w:tcW w:w="2582" w:type="dxa"/>
            <w:vAlign w:val="center"/>
          </w:tcPr>
          <w:p w14:paraId="29F47AA8">
            <w:pPr>
              <w:spacing w:line="440" w:lineRule="exact"/>
              <w:jc w:val="center"/>
              <w:rPr>
                <w:rFonts w:ascii="宋体" w:hAnsi="宋体" w:cs="宋体"/>
                <w:color w:val="auto"/>
                <w:szCs w:val="21"/>
                <w:highlight w:val="none"/>
              </w:rPr>
            </w:pPr>
            <w:r>
              <w:rPr>
                <w:rFonts w:hint="eastAsia" w:ascii="宋体" w:hAnsi="宋体" w:cs="宋体"/>
                <w:color w:val="auto"/>
                <w:szCs w:val="21"/>
                <w:highlight w:val="none"/>
              </w:rPr>
              <w:t>施工技术负责人</w:t>
            </w:r>
          </w:p>
        </w:tc>
        <w:tc>
          <w:tcPr>
            <w:tcW w:w="2388" w:type="dxa"/>
            <w:vAlign w:val="center"/>
          </w:tcPr>
          <w:p w14:paraId="4A83162C">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4.4.1</w:t>
            </w:r>
          </w:p>
        </w:tc>
        <w:tc>
          <w:tcPr>
            <w:tcW w:w="2987" w:type="dxa"/>
            <w:vAlign w:val="center"/>
          </w:tcPr>
          <w:p w14:paraId="4BD5ACBF">
            <w:pPr>
              <w:tabs>
                <w:tab w:val="left" w:pos="2190"/>
              </w:tabs>
              <w:autoSpaceDE w:val="0"/>
              <w:autoSpaceDN w:val="0"/>
              <w:adjustRightInd w:val="0"/>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姓名：</w:t>
            </w:r>
          </w:p>
        </w:tc>
        <w:tc>
          <w:tcPr>
            <w:tcW w:w="792" w:type="dxa"/>
            <w:vAlign w:val="center"/>
          </w:tcPr>
          <w:p w14:paraId="08AA4FE2">
            <w:pPr>
              <w:autoSpaceDE w:val="0"/>
              <w:autoSpaceDN w:val="0"/>
              <w:adjustRightInd w:val="0"/>
              <w:jc w:val="center"/>
              <w:rPr>
                <w:rFonts w:ascii="宋体" w:hAnsi="宋体"/>
                <w:snapToGrid w:val="0"/>
                <w:color w:val="auto"/>
                <w:kern w:val="0"/>
                <w:szCs w:val="21"/>
                <w:highlight w:val="none"/>
              </w:rPr>
            </w:pPr>
          </w:p>
        </w:tc>
      </w:tr>
      <w:tr w14:paraId="4F6911E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0B167816">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2</w:t>
            </w:r>
          </w:p>
        </w:tc>
        <w:tc>
          <w:tcPr>
            <w:tcW w:w="2582" w:type="dxa"/>
            <w:vAlign w:val="center"/>
          </w:tcPr>
          <w:p w14:paraId="752DB928">
            <w:pPr>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总</w:t>
            </w:r>
            <w:r>
              <w:rPr>
                <w:rFonts w:ascii="宋体" w:hAnsi="宋体"/>
                <w:snapToGrid w:val="0"/>
                <w:color w:val="auto"/>
                <w:kern w:val="0"/>
                <w:szCs w:val="21"/>
                <w:highlight w:val="none"/>
              </w:rPr>
              <w:t>工期</w:t>
            </w:r>
          </w:p>
        </w:tc>
        <w:tc>
          <w:tcPr>
            <w:tcW w:w="2388" w:type="dxa"/>
            <w:vAlign w:val="center"/>
          </w:tcPr>
          <w:p w14:paraId="0DF162AD">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8.2</w:t>
            </w:r>
          </w:p>
        </w:tc>
        <w:tc>
          <w:tcPr>
            <w:tcW w:w="2987" w:type="dxa"/>
            <w:vAlign w:val="center"/>
          </w:tcPr>
          <w:p w14:paraId="6D235B9F">
            <w:pPr>
              <w:tabs>
                <w:tab w:val="left" w:pos="1560"/>
              </w:tabs>
              <w:autoSpaceDE w:val="0"/>
              <w:autoSpaceDN w:val="0"/>
              <w:adjustRightInd w:val="0"/>
              <w:jc w:val="center"/>
              <w:rPr>
                <w:rFonts w:ascii="宋体" w:hAnsi="宋体"/>
                <w:snapToGrid w:val="0"/>
                <w:color w:val="auto"/>
                <w:kern w:val="0"/>
                <w:szCs w:val="21"/>
                <w:highlight w:val="none"/>
              </w:rPr>
            </w:pPr>
          </w:p>
        </w:tc>
        <w:tc>
          <w:tcPr>
            <w:tcW w:w="792" w:type="dxa"/>
            <w:vAlign w:val="center"/>
          </w:tcPr>
          <w:p w14:paraId="55499380">
            <w:pPr>
              <w:autoSpaceDE w:val="0"/>
              <w:autoSpaceDN w:val="0"/>
              <w:adjustRightInd w:val="0"/>
              <w:jc w:val="center"/>
              <w:rPr>
                <w:rFonts w:ascii="宋体" w:hAnsi="宋体"/>
                <w:snapToGrid w:val="0"/>
                <w:color w:val="auto"/>
                <w:kern w:val="0"/>
                <w:szCs w:val="21"/>
                <w:highlight w:val="none"/>
              </w:rPr>
            </w:pPr>
          </w:p>
        </w:tc>
      </w:tr>
      <w:tr w14:paraId="1E37563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58CB5855">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3</w:t>
            </w:r>
          </w:p>
        </w:tc>
        <w:tc>
          <w:tcPr>
            <w:tcW w:w="2582" w:type="dxa"/>
            <w:vAlign w:val="center"/>
          </w:tcPr>
          <w:p w14:paraId="0D64B17A">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缺陷责任期</w:t>
            </w:r>
          </w:p>
        </w:tc>
        <w:tc>
          <w:tcPr>
            <w:tcW w:w="2388" w:type="dxa"/>
            <w:vAlign w:val="center"/>
          </w:tcPr>
          <w:p w14:paraId="16B86BB7">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11.2</w:t>
            </w:r>
          </w:p>
        </w:tc>
        <w:tc>
          <w:tcPr>
            <w:tcW w:w="2987" w:type="dxa"/>
            <w:vAlign w:val="center"/>
          </w:tcPr>
          <w:p w14:paraId="26965BD2">
            <w:pPr>
              <w:autoSpaceDE w:val="0"/>
              <w:autoSpaceDN w:val="0"/>
              <w:adjustRightInd w:val="0"/>
              <w:jc w:val="center"/>
              <w:rPr>
                <w:rFonts w:ascii="宋体" w:hAnsi="宋体"/>
                <w:snapToGrid w:val="0"/>
                <w:color w:val="auto"/>
                <w:kern w:val="0"/>
                <w:szCs w:val="21"/>
                <w:highlight w:val="none"/>
              </w:rPr>
            </w:pPr>
          </w:p>
        </w:tc>
        <w:tc>
          <w:tcPr>
            <w:tcW w:w="792" w:type="dxa"/>
            <w:vAlign w:val="center"/>
          </w:tcPr>
          <w:p w14:paraId="780FF16B">
            <w:pPr>
              <w:autoSpaceDE w:val="0"/>
              <w:autoSpaceDN w:val="0"/>
              <w:adjustRightInd w:val="0"/>
              <w:jc w:val="center"/>
              <w:rPr>
                <w:rFonts w:ascii="宋体" w:hAnsi="宋体"/>
                <w:snapToGrid w:val="0"/>
                <w:color w:val="auto"/>
                <w:kern w:val="0"/>
                <w:szCs w:val="21"/>
                <w:highlight w:val="none"/>
              </w:rPr>
            </w:pPr>
          </w:p>
        </w:tc>
      </w:tr>
      <w:tr w14:paraId="3DAC13C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26D65E02">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4</w:t>
            </w:r>
          </w:p>
        </w:tc>
        <w:tc>
          <w:tcPr>
            <w:tcW w:w="2582" w:type="dxa"/>
            <w:vAlign w:val="center"/>
          </w:tcPr>
          <w:p w14:paraId="114B4305">
            <w:pPr>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分包</w:t>
            </w:r>
          </w:p>
        </w:tc>
        <w:tc>
          <w:tcPr>
            <w:tcW w:w="2388" w:type="dxa"/>
            <w:vAlign w:val="center"/>
          </w:tcPr>
          <w:p w14:paraId="6C7BBD18">
            <w:pPr>
              <w:tabs>
                <w:tab w:val="left" w:pos="2051"/>
              </w:tabs>
              <w:autoSpaceDE w:val="0"/>
              <w:autoSpaceDN w:val="0"/>
              <w:adjustRightInd w:val="0"/>
              <w:jc w:val="center"/>
              <w:rPr>
                <w:rFonts w:ascii="宋体" w:hAnsi="宋体"/>
                <w:snapToGrid w:val="0"/>
                <w:color w:val="auto"/>
                <w:kern w:val="0"/>
                <w:szCs w:val="21"/>
                <w:highlight w:val="none"/>
              </w:rPr>
            </w:pPr>
            <w:r>
              <w:rPr>
                <w:rFonts w:hint="eastAsia" w:ascii="宋体" w:hAnsi="宋体"/>
                <w:snapToGrid w:val="0"/>
                <w:color w:val="auto"/>
                <w:kern w:val="0"/>
                <w:szCs w:val="21"/>
                <w:highlight w:val="none"/>
              </w:rPr>
              <w:t>4.5</w:t>
            </w:r>
          </w:p>
        </w:tc>
        <w:tc>
          <w:tcPr>
            <w:tcW w:w="2987" w:type="dxa"/>
            <w:vAlign w:val="center"/>
          </w:tcPr>
          <w:p w14:paraId="004A545C">
            <w:pPr>
              <w:autoSpaceDE w:val="0"/>
              <w:autoSpaceDN w:val="0"/>
              <w:adjustRightInd w:val="0"/>
              <w:jc w:val="center"/>
              <w:rPr>
                <w:rFonts w:ascii="宋体" w:hAnsi="宋体"/>
                <w:snapToGrid w:val="0"/>
                <w:color w:val="auto"/>
                <w:kern w:val="0"/>
                <w:szCs w:val="21"/>
                <w:highlight w:val="none"/>
              </w:rPr>
            </w:pPr>
          </w:p>
        </w:tc>
        <w:tc>
          <w:tcPr>
            <w:tcW w:w="792" w:type="dxa"/>
            <w:vAlign w:val="center"/>
          </w:tcPr>
          <w:p w14:paraId="7A9E4154">
            <w:pPr>
              <w:autoSpaceDE w:val="0"/>
              <w:autoSpaceDN w:val="0"/>
              <w:adjustRightInd w:val="0"/>
              <w:jc w:val="center"/>
              <w:rPr>
                <w:rFonts w:ascii="宋体" w:hAnsi="宋体"/>
                <w:snapToGrid w:val="0"/>
                <w:color w:val="auto"/>
                <w:kern w:val="0"/>
                <w:szCs w:val="21"/>
                <w:highlight w:val="none"/>
              </w:rPr>
            </w:pPr>
          </w:p>
        </w:tc>
      </w:tr>
      <w:tr w14:paraId="01969B3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2C56BC6B">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vAlign w:val="center"/>
          </w:tcPr>
          <w:p w14:paraId="05D0C674">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vAlign w:val="center"/>
          </w:tcPr>
          <w:p w14:paraId="7D2649DA">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vAlign w:val="center"/>
          </w:tcPr>
          <w:p w14:paraId="30F8E829">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vAlign w:val="center"/>
          </w:tcPr>
          <w:p w14:paraId="1ECD1E2D">
            <w:pPr>
              <w:autoSpaceDE w:val="0"/>
              <w:autoSpaceDN w:val="0"/>
              <w:adjustRightInd w:val="0"/>
              <w:jc w:val="center"/>
              <w:rPr>
                <w:rFonts w:ascii="宋体" w:hAnsi="宋体"/>
                <w:snapToGrid w:val="0"/>
                <w:color w:val="auto"/>
                <w:kern w:val="0"/>
                <w:szCs w:val="21"/>
                <w:highlight w:val="none"/>
              </w:rPr>
            </w:pPr>
          </w:p>
        </w:tc>
      </w:tr>
      <w:tr w14:paraId="041AFC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10" w:hRule="exact"/>
        </w:trPr>
        <w:tc>
          <w:tcPr>
            <w:tcW w:w="720" w:type="dxa"/>
            <w:vAlign w:val="center"/>
          </w:tcPr>
          <w:p w14:paraId="560ACC02">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582" w:type="dxa"/>
            <w:vAlign w:val="center"/>
          </w:tcPr>
          <w:p w14:paraId="2432BC35">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388" w:type="dxa"/>
            <w:vAlign w:val="center"/>
          </w:tcPr>
          <w:p w14:paraId="1EF77977">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2987" w:type="dxa"/>
            <w:vAlign w:val="center"/>
          </w:tcPr>
          <w:p w14:paraId="7D2BF173">
            <w:pPr>
              <w:tabs>
                <w:tab w:val="left" w:pos="2051"/>
              </w:tabs>
              <w:autoSpaceDE w:val="0"/>
              <w:autoSpaceDN w:val="0"/>
              <w:adjustRightInd w:val="0"/>
              <w:jc w:val="center"/>
              <w:rPr>
                <w:rFonts w:ascii="宋体" w:hAnsi="宋体"/>
                <w:snapToGrid w:val="0"/>
                <w:color w:val="auto"/>
                <w:kern w:val="0"/>
                <w:szCs w:val="21"/>
                <w:highlight w:val="none"/>
              </w:rPr>
            </w:pPr>
            <w:r>
              <w:rPr>
                <w:rFonts w:ascii="宋体" w:hAnsi="宋体"/>
                <w:snapToGrid w:val="0"/>
                <w:color w:val="auto"/>
                <w:kern w:val="0"/>
                <w:szCs w:val="21"/>
                <w:highlight w:val="none"/>
              </w:rPr>
              <w:t>……</w:t>
            </w:r>
          </w:p>
        </w:tc>
        <w:tc>
          <w:tcPr>
            <w:tcW w:w="792" w:type="dxa"/>
            <w:vAlign w:val="center"/>
          </w:tcPr>
          <w:p w14:paraId="5270BE84">
            <w:pPr>
              <w:autoSpaceDE w:val="0"/>
              <w:autoSpaceDN w:val="0"/>
              <w:adjustRightInd w:val="0"/>
              <w:jc w:val="center"/>
              <w:rPr>
                <w:rFonts w:ascii="宋体" w:hAnsi="宋体"/>
                <w:snapToGrid w:val="0"/>
                <w:color w:val="auto"/>
                <w:kern w:val="0"/>
                <w:szCs w:val="21"/>
                <w:highlight w:val="none"/>
              </w:rPr>
            </w:pPr>
          </w:p>
        </w:tc>
      </w:tr>
    </w:tbl>
    <w:p w14:paraId="702F3241">
      <w:pPr>
        <w:spacing w:line="360" w:lineRule="auto"/>
        <w:rPr>
          <w:rFonts w:ascii="宋体" w:hAnsi="宋体"/>
          <w:snapToGrid w:val="0"/>
          <w:color w:val="auto"/>
          <w:w w:val="99"/>
          <w:highlight w:val="none"/>
        </w:rPr>
      </w:pPr>
    </w:p>
    <w:p w14:paraId="21F40ECF">
      <w:pPr>
        <w:spacing w:line="360" w:lineRule="auto"/>
        <w:rPr>
          <w:rFonts w:ascii="宋体" w:hAnsi="宋体"/>
          <w:snapToGrid w:val="0"/>
          <w:color w:val="auto"/>
          <w:highlight w:val="none"/>
        </w:rPr>
      </w:pPr>
    </w:p>
    <w:p w14:paraId="2D61E0AF">
      <w:pPr>
        <w:spacing w:line="360" w:lineRule="auto"/>
        <w:rPr>
          <w:rFonts w:ascii="宋体" w:hAnsi="宋体"/>
          <w:snapToGrid w:val="0"/>
          <w:color w:val="auto"/>
          <w:highlight w:val="none"/>
        </w:rPr>
      </w:pPr>
    </w:p>
    <w:p w14:paraId="519526B0">
      <w:pPr>
        <w:tabs>
          <w:tab w:val="left" w:pos="7140"/>
          <w:tab w:val="left" w:pos="7560"/>
          <w:tab w:val="left" w:pos="8300"/>
        </w:tabs>
        <w:autoSpaceDE w:val="0"/>
        <w:autoSpaceDN w:val="0"/>
        <w:adjustRightInd w:val="0"/>
        <w:spacing w:line="360" w:lineRule="auto"/>
        <w:ind w:right="210" w:firstLine="2396" w:firstLineChars="1141"/>
        <w:rPr>
          <w:rFonts w:ascii="宋体" w:hAnsi="宋体"/>
          <w:snapToGrid w:val="0"/>
          <w:color w:val="auto"/>
          <w:kern w:val="0"/>
          <w:szCs w:val="21"/>
          <w:highlight w:val="none"/>
        </w:rPr>
      </w:pPr>
      <w:r>
        <w:rPr>
          <w:rFonts w:ascii="宋体" w:hAnsi="宋体"/>
          <w:snapToGrid w:val="0"/>
          <w:color w:val="auto"/>
          <w:kern w:val="0"/>
          <w:szCs w:val="21"/>
          <w:highlight w:val="none"/>
        </w:rPr>
        <w:t>投  标  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（盖单位法人章） </w:t>
      </w:r>
    </w:p>
    <w:p w14:paraId="443B1999">
      <w:pPr>
        <w:tabs>
          <w:tab w:val="left" w:pos="7140"/>
          <w:tab w:val="left" w:pos="7560"/>
          <w:tab w:val="left" w:pos="8300"/>
        </w:tabs>
        <w:autoSpaceDE w:val="0"/>
        <w:autoSpaceDN w:val="0"/>
        <w:adjustRightInd w:val="0"/>
        <w:spacing w:line="360" w:lineRule="auto"/>
        <w:ind w:right="210" w:firstLine="1984" w:firstLineChars="945"/>
        <w:rPr>
          <w:rFonts w:ascii="宋体" w:hAnsi="宋体"/>
          <w:snapToGrid w:val="0"/>
          <w:color w:val="auto"/>
          <w:kern w:val="0"/>
          <w:szCs w:val="21"/>
          <w:highlight w:val="none"/>
        </w:rPr>
      </w:pPr>
      <w:r>
        <w:rPr>
          <w:rFonts w:hint="eastAsia" w:ascii="宋体" w:hAnsi="宋体"/>
          <w:snapToGrid w:val="0"/>
          <w:color w:val="auto"/>
          <w:kern w:val="0"/>
          <w:szCs w:val="21"/>
          <w:highlight w:val="none"/>
        </w:rPr>
        <w:t xml:space="preserve">   </w:t>
      </w:r>
    </w:p>
    <w:p w14:paraId="2F383504">
      <w:pPr>
        <w:tabs>
          <w:tab w:val="left" w:pos="7140"/>
          <w:tab w:val="left" w:pos="7560"/>
          <w:tab w:val="left" w:pos="8300"/>
        </w:tabs>
        <w:autoSpaceDE w:val="0"/>
        <w:autoSpaceDN w:val="0"/>
        <w:adjustRightInd w:val="0"/>
        <w:spacing w:line="360" w:lineRule="auto"/>
        <w:ind w:right="210" w:firstLine="2415" w:firstLineChars="1150"/>
        <w:rPr>
          <w:rFonts w:ascii="宋体" w:hAnsi="宋体"/>
          <w:snapToGrid w:val="0"/>
          <w:color w:val="auto"/>
          <w:kern w:val="0"/>
          <w:szCs w:val="21"/>
          <w:highlight w:val="none"/>
        </w:rPr>
      </w:pPr>
      <w:r>
        <w:rPr>
          <w:rFonts w:ascii="宋体" w:hAnsi="宋体"/>
          <w:snapToGrid w:val="0"/>
          <w:color w:val="auto"/>
          <w:kern w:val="0"/>
          <w:szCs w:val="21"/>
          <w:highlight w:val="none"/>
        </w:rPr>
        <w:t>法定代表人或其委托代理人：</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 xml:space="preserve">（签字或盖章） </w:t>
      </w:r>
    </w:p>
    <w:p w14:paraId="2CDB733F">
      <w:pPr>
        <w:tabs>
          <w:tab w:val="left" w:pos="7140"/>
          <w:tab w:val="left" w:pos="7560"/>
          <w:tab w:val="left" w:pos="8300"/>
        </w:tabs>
        <w:autoSpaceDE w:val="0"/>
        <w:autoSpaceDN w:val="0"/>
        <w:adjustRightInd w:val="0"/>
        <w:spacing w:line="360" w:lineRule="auto"/>
        <w:ind w:right="210" w:firstLine="1995" w:firstLineChars="950"/>
        <w:rPr>
          <w:rFonts w:ascii="宋体" w:hAnsi="宋体"/>
          <w:snapToGrid w:val="0"/>
          <w:color w:val="auto"/>
          <w:kern w:val="0"/>
          <w:szCs w:val="21"/>
          <w:highlight w:val="none"/>
        </w:rPr>
      </w:pPr>
    </w:p>
    <w:p w14:paraId="34EC3798">
      <w:pPr>
        <w:tabs>
          <w:tab w:val="left" w:pos="7140"/>
          <w:tab w:val="left" w:pos="7560"/>
          <w:tab w:val="left" w:pos="8300"/>
        </w:tabs>
        <w:autoSpaceDE w:val="0"/>
        <w:autoSpaceDN w:val="0"/>
        <w:adjustRightInd w:val="0"/>
        <w:spacing w:line="360" w:lineRule="auto"/>
        <w:ind w:right="210"/>
        <w:jc w:val="center"/>
        <w:rPr>
          <w:rFonts w:ascii="宋体" w:hAnsi="宋体"/>
          <w:snapToGrid w:val="0"/>
          <w:color w:val="auto"/>
          <w:kern w:val="0"/>
          <w:szCs w:val="21"/>
          <w:highlight w:val="none"/>
        </w:rPr>
      </w:pPr>
      <w:r>
        <w:rPr>
          <w:rFonts w:ascii="宋体" w:hAnsi="宋体"/>
          <w:snapToGrid w:val="0"/>
          <w:color w:val="auto"/>
          <w:highlight w:val="none"/>
        </w:rPr>
        <w:br w:type="page"/>
      </w:r>
      <w:bookmarkStart w:id="2059" w:name="_Toc287620816"/>
      <w:bookmarkStart w:id="2060" w:name="_Toc287607869"/>
      <w:bookmarkStart w:id="2061" w:name="_Toc277082645"/>
      <w:bookmarkStart w:id="2062" w:name="_Toc430530532"/>
      <w:bookmarkStart w:id="2063" w:name="_Toc224103497"/>
      <w:r>
        <w:rPr>
          <w:rFonts w:ascii="宋体" w:hAnsi="宋体"/>
          <w:snapToGrid w:val="0"/>
          <w:color w:val="auto"/>
          <w:kern w:val="0"/>
          <w:sz w:val="32"/>
          <w:szCs w:val="32"/>
          <w:highlight w:val="none"/>
        </w:rPr>
        <w:t>（三）</w:t>
      </w:r>
      <w:bookmarkEnd w:id="2059"/>
      <w:bookmarkEnd w:id="2060"/>
      <w:bookmarkEnd w:id="2061"/>
      <w:bookmarkEnd w:id="2062"/>
      <w:bookmarkEnd w:id="2063"/>
      <w:r>
        <w:rPr>
          <w:rFonts w:hint="eastAsia" w:ascii="宋体" w:hAnsi="宋体"/>
          <w:snapToGrid w:val="0"/>
          <w:color w:val="auto"/>
          <w:kern w:val="0"/>
          <w:sz w:val="30"/>
          <w:szCs w:val="30"/>
          <w:highlight w:val="none"/>
        </w:rPr>
        <w:t>法定代表人身份证明或附有法定代表人身份证明的授权委托书</w:t>
      </w:r>
    </w:p>
    <w:p w14:paraId="07672716">
      <w:pPr>
        <w:spacing w:line="480" w:lineRule="auto"/>
        <w:jc w:val="center"/>
        <w:rPr>
          <w:rFonts w:ascii="宋体" w:hAnsi="宋体"/>
          <w:color w:val="auto"/>
          <w:sz w:val="28"/>
          <w:highlight w:val="none"/>
        </w:rPr>
      </w:pPr>
      <w:r>
        <w:rPr>
          <w:rFonts w:hint="eastAsia" w:ascii="宋体" w:hAnsi="宋体"/>
          <w:color w:val="auto"/>
          <w:sz w:val="28"/>
          <w:highlight w:val="none"/>
        </w:rPr>
        <w:t>法定代表人身份证明</w:t>
      </w:r>
    </w:p>
    <w:p w14:paraId="228E91BC">
      <w:pPr>
        <w:spacing w:line="480" w:lineRule="auto"/>
        <w:jc w:val="center"/>
        <w:rPr>
          <w:rFonts w:ascii="宋体" w:hAnsi="宋体"/>
          <w:color w:val="auto"/>
          <w:highlight w:val="none"/>
        </w:rPr>
      </w:pPr>
    </w:p>
    <w:p w14:paraId="23EDEC9B">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5DC06BBE">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3247D985">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06AA663E">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3D2AE47D">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1623FE54">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3E70A771">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（投标人名称）的法定代表人。</w:t>
      </w:r>
    </w:p>
    <w:p w14:paraId="7DE29051">
      <w:pPr>
        <w:autoSpaceDE w:val="0"/>
        <w:autoSpaceDN w:val="0"/>
        <w:adjustRightInd w:val="0"/>
        <w:snapToGrid w:val="0"/>
        <w:spacing w:line="480" w:lineRule="auto"/>
        <w:ind w:firstLine="186" w:firstLineChars="186"/>
        <w:jc w:val="left"/>
        <w:rPr>
          <w:rFonts w:ascii="宋体" w:hAnsi="宋体"/>
          <w:color w:val="auto"/>
          <w:kern w:val="0"/>
          <w:sz w:val="10"/>
          <w:szCs w:val="10"/>
          <w:highlight w:val="none"/>
        </w:rPr>
      </w:pPr>
    </w:p>
    <w:p w14:paraId="4C287145">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ascii="宋体" w:hAnsi="宋体"/>
          <w:color w:val="auto"/>
          <w:kern w:val="0"/>
          <w:szCs w:val="21"/>
          <w:highlight w:val="none"/>
        </w:rPr>
        <w:t>特此证明。</w:t>
      </w:r>
    </w:p>
    <w:p w14:paraId="696535DB">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附：法定代表人身份证扫描件（双面）</w:t>
      </w:r>
    </w:p>
    <w:p w14:paraId="526C7C80">
      <w:pPr>
        <w:autoSpaceDE w:val="0"/>
        <w:autoSpaceDN w:val="0"/>
        <w:adjustRightInd w:val="0"/>
        <w:snapToGrid w:val="0"/>
        <w:spacing w:line="480" w:lineRule="auto"/>
        <w:ind w:firstLine="772" w:firstLineChars="386"/>
        <w:jc w:val="left"/>
        <w:rPr>
          <w:rFonts w:ascii="宋体" w:hAnsi="宋体"/>
          <w:color w:val="auto"/>
          <w:kern w:val="0"/>
          <w:sz w:val="20"/>
          <w:szCs w:val="20"/>
          <w:highlight w:val="none"/>
        </w:rPr>
      </w:pPr>
    </w:p>
    <w:p w14:paraId="0AEDDF50">
      <w:pPr>
        <w:autoSpaceDE w:val="0"/>
        <w:autoSpaceDN w:val="0"/>
        <w:adjustRightInd w:val="0"/>
        <w:snapToGrid w:val="0"/>
        <w:spacing w:line="480" w:lineRule="auto"/>
        <w:jc w:val="left"/>
        <w:rPr>
          <w:rFonts w:ascii="宋体" w:hAnsi="宋体"/>
          <w:color w:val="auto"/>
          <w:kern w:val="0"/>
          <w:sz w:val="20"/>
          <w:szCs w:val="20"/>
          <w:highlight w:val="none"/>
        </w:rPr>
      </w:pPr>
    </w:p>
    <w:p w14:paraId="06512DE1">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42521C39">
      <w:pPr>
        <w:autoSpaceDE w:val="0"/>
        <w:autoSpaceDN w:val="0"/>
        <w:adjustRightInd w:val="0"/>
        <w:snapToGrid w:val="0"/>
        <w:spacing w:line="480" w:lineRule="auto"/>
        <w:jc w:val="left"/>
        <w:rPr>
          <w:rFonts w:ascii="宋体" w:hAnsi="宋体"/>
          <w:color w:val="auto"/>
          <w:kern w:val="0"/>
          <w:sz w:val="20"/>
          <w:szCs w:val="20"/>
          <w:highlight w:val="none"/>
        </w:rPr>
      </w:pPr>
    </w:p>
    <w:p w14:paraId="1617367B">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2E6AF828">
      <w:pPr>
        <w:autoSpaceDE w:val="0"/>
        <w:autoSpaceDN w:val="0"/>
        <w:adjustRightInd w:val="0"/>
        <w:snapToGrid w:val="0"/>
        <w:spacing w:line="360" w:lineRule="auto"/>
        <w:jc w:val="left"/>
        <w:rPr>
          <w:rFonts w:ascii="宋体" w:hAnsi="宋体"/>
          <w:color w:val="auto"/>
          <w:kern w:val="0"/>
          <w:highlight w:val="none"/>
        </w:rPr>
      </w:pPr>
    </w:p>
    <w:p w14:paraId="0154683D">
      <w:pPr>
        <w:autoSpaceDE w:val="0"/>
        <w:autoSpaceDN w:val="0"/>
        <w:adjustRightInd w:val="0"/>
        <w:snapToGrid w:val="0"/>
        <w:spacing w:line="360" w:lineRule="auto"/>
        <w:jc w:val="left"/>
        <w:rPr>
          <w:rFonts w:ascii="宋体" w:hAnsi="宋体"/>
          <w:color w:val="auto"/>
          <w:kern w:val="0"/>
          <w:highlight w:val="none"/>
        </w:rPr>
      </w:pPr>
    </w:p>
    <w:p w14:paraId="5865C03F">
      <w:pPr>
        <w:spacing w:line="360" w:lineRule="auto"/>
        <w:ind w:firstLine="420" w:firstLineChars="200"/>
        <w:rPr>
          <w:rFonts w:ascii="宋体" w:hAnsi="宋体"/>
          <w:color w:val="auto"/>
          <w:highlight w:val="none"/>
        </w:rPr>
      </w:pPr>
      <w:r>
        <w:rPr>
          <w:rFonts w:ascii="宋体" w:hAnsi="宋体"/>
          <w:color w:val="auto"/>
          <w:highlight w:val="none"/>
        </w:rPr>
        <w:t>注：法定代表人身份证明需按上述格式填写完整，不可缺少内容。在此基础上增加内容的不影响其有效性。</w:t>
      </w:r>
    </w:p>
    <w:p w14:paraId="397F3981">
      <w:pPr>
        <w:autoSpaceDE w:val="0"/>
        <w:autoSpaceDN w:val="0"/>
        <w:adjustRightInd w:val="0"/>
        <w:snapToGrid w:val="0"/>
        <w:spacing w:line="360" w:lineRule="auto"/>
        <w:jc w:val="left"/>
        <w:rPr>
          <w:rFonts w:ascii="宋体" w:hAnsi="宋体"/>
          <w:color w:val="auto"/>
          <w:kern w:val="0"/>
          <w:highlight w:val="none"/>
        </w:rPr>
      </w:pPr>
    </w:p>
    <w:p w14:paraId="07A0B032">
      <w:pPr>
        <w:autoSpaceDE w:val="0"/>
        <w:autoSpaceDN w:val="0"/>
        <w:adjustRightInd w:val="0"/>
        <w:snapToGrid w:val="0"/>
        <w:spacing w:line="360" w:lineRule="auto"/>
        <w:jc w:val="left"/>
        <w:rPr>
          <w:rFonts w:ascii="宋体" w:hAnsi="宋体"/>
          <w:color w:val="auto"/>
          <w:kern w:val="0"/>
          <w:highlight w:val="none"/>
        </w:rPr>
      </w:pPr>
    </w:p>
    <w:p w14:paraId="7F3560BA">
      <w:pPr>
        <w:autoSpaceDE w:val="0"/>
        <w:autoSpaceDN w:val="0"/>
        <w:adjustRightInd w:val="0"/>
        <w:snapToGrid w:val="0"/>
        <w:spacing w:line="360" w:lineRule="auto"/>
        <w:jc w:val="left"/>
        <w:rPr>
          <w:rFonts w:ascii="宋体" w:hAnsi="宋体"/>
          <w:color w:val="auto"/>
          <w:kern w:val="0"/>
          <w:highlight w:val="none"/>
        </w:rPr>
      </w:pPr>
    </w:p>
    <w:p w14:paraId="71CBE48C">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49C37958">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（姓名）系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投</w:t>
      </w:r>
      <w:r>
        <w:rPr>
          <w:rFonts w:ascii="宋体" w:hAnsi="宋体"/>
          <w:color w:val="auto"/>
          <w:kern w:val="0"/>
          <w:szCs w:val="21"/>
          <w:highlight w:val="none"/>
        </w:rPr>
        <w:t>标人名称</w:t>
      </w:r>
      <w:r>
        <w:rPr>
          <w:rFonts w:ascii="宋体" w:hAnsi="宋体"/>
          <w:color w:val="auto"/>
          <w:spacing w:val="1"/>
          <w:kern w:val="0"/>
          <w:szCs w:val="21"/>
          <w:highlight w:val="non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（姓名）为我方代理人。代理人根据授权，以我方名义签署、澄清、说明、补正、递交、撤回、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（项</w:t>
      </w:r>
      <w:r>
        <w:rPr>
          <w:rFonts w:ascii="宋体" w:hAnsi="宋体"/>
          <w:color w:val="auto"/>
          <w:spacing w:val="-1"/>
          <w:kern w:val="0"/>
          <w:szCs w:val="21"/>
          <w:highlight w:val="none"/>
        </w:rPr>
        <w:t>目</w:t>
      </w:r>
      <w:r>
        <w:rPr>
          <w:rFonts w:ascii="宋体" w:hAnsi="宋体"/>
          <w:color w:val="auto"/>
          <w:kern w:val="0"/>
          <w:szCs w:val="21"/>
          <w:highlight w:val="none"/>
        </w:rPr>
        <w:t>名称）</w:t>
      </w:r>
      <w:r>
        <w:rPr>
          <w:rFonts w:hint="eastAsia" w:ascii="宋体" w:hAnsi="宋体"/>
          <w:color w:val="auto"/>
          <w:spacing w:val="-1"/>
          <w:kern w:val="0"/>
          <w:szCs w:val="21"/>
          <w:highlight w:val="none"/>
        </w:rPr>
        <w:t>工程</w:t>
      </w:r>
      <w:r>
        <w:rPr>
          <w:rFonts w:hint="eastAsia" w:ascii="宋体" w:hAnsi="宋体"/>
          <w:color w:val="auto"/>
          <w:kern w:val="0"/>
          <w:szCs w:val="21"/>
          <w:highlight w:val="none"/>
        </w:rPr>
        <w:t>总承包</w:t>
      </w:r>
      <w:r>
        <w:rPr>
          <w:rFonts w:ascii="宋体" w:hAnsi="宋体"/>
          <w:color w:val="auto"/>
          <w:kern w:val="0"/>
          <w:szCs w:val="21"/>
          <w:highlight w:val="none"/>
        </w:rPr>
        <w:t>投标文件、签订合同和处理有关事宜， 其法律后果由我方承担。</w:t>
      </w:r>
    </w:p>
    <w:p w14:paraId="018BA720">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14:paraId="0BF89341">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代理人无转委托权。</w:t>
      </w:r>
    </w:p>
    <w:p w14:paraId="177EFEBF">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p>
    <w:p w14:paraId="0C20E83D">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616AB4A9">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16EB26A1">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3D459945">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56C41EC1">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1BD83E4B">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0B52217D">
      <w:pPr>
        <w:tabs>
          <w:tab w:val="left" w:pos="5260"/>
        </w:tabs>
        <w:autoSpaceDE w:val="0"/>
        <w:autoSpaceDN w:val="0"/>
        <w:adjustRightInd w:val="0"/>
        <w:snapToGrid w:val="0"/>
        <w:spacing w:line="480" w:lineRule="auto"/>
        <w:ind w:firstLine="420" w:firstLineChars="200"/>
        <w:jc w:val="left"/>
        <w:rPr>
          <w:color w:val="auto"/>
          <w:highlight w:val="none"/>
        </w:rPr>
      </w:pPr>
      <w:r>
        <w:rPr>
          <w:rFonts w:hint="eastAsia" w:ascii="宋体" w:hAnsi="宋体"/>
          <w:color w:val="auto"/>
          <w:kern w:val="0"/>
          <w:szCs w:val="21"/>
          <w:highlight w:val="none"/>
        </w:rPr>
        <w:t>委托代理人电话（手机）：</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6B062AE0">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5E5C96C9">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highlight w:val="none"/>
        </w:rPr>
      </w:pPr>
    </w:p>
    <w:p w14:paraId="5CDB6A1F">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附：法定代表人及委托代理人身份证扫描件（双面）</w:t>
      </w:r>
    </w:p>
    <w:p w14:paraId="60CB713F">
      <w:pPr>
        <w:tabs>
          <w:tab w:val="left" w:pos="5760"/>
        </w:tabs>
        <w:autoSpaceDE w:val="0"/>
        <w:autoSpaceDN w:val="0"/>
        <w:adjustRightInd w:val="0"/>
        <w:spacing w:line="360" w:lineRule="auto"/>
        <w:rPr>
          <w:rFonts w:ascii="宋体" w:hAnsi="宋体"/>
          <w:color w:val="auto"/>
          <w:kern w:val="0"/>
          <w:highlight w:val="none"/>
        </w:rPr>
      </w:pPr>
    </w:p>
    <w:p w14:paraId="3548B35C">
      <w:pPr>
        <w:pStyle w:val="2"/>
        <w:rPr>
          <w:rFonts w:ascii="宋体" w:hAnsi="宋体"/>
          <w:color w:val="auto"/>
          <w:kern w:val="0"/>
          <w:highlight w:val="none"/>
        </w:rPr>
      </w:pPr>
    </w:p>
    <w:p w14:paraId="00C861F0">
      <w:pPr>
        <w:pStyle w:val="2"/>
        <w:rPr>
          <w:rFonts w:ascii="宋体" w:hAnsi="宋体"/>
          <w:color w:val="auto"/>
          <w:kern w:val="0"/>
          <w:highlight w:val="none"/>
        </w:rPr>
      </w:pPr>
    </w:p>
    <w:p w14:paraId="3EA9955F">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40AF8839">
      <w:pPr>
        <w:tabs>
          <w:tab w:val="left" w:pos="1680"/>
          <w:tab w:val="left" w:pos="4215"/>
          <w:tab w:val="left" w:pos="4305"/>
          <w:tab w:val="left" w:pos="8000"/>
        </w:tabs>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6F66466B">
      <w:pPr>
        <w:spacing w:line="360" w:lineRule="auto"/>
        <w:ind w:firstLine="420" w:firstLineChars="200"/>
        <w:rPr>
          <w:rFonts w:ascii="宋体" w:hAnsi="宋体"/>
          <w:color w:val="auto"/>
          <w:highlight w:val="none"/>
        </w:rPr>
      </w:pPr>
      <w:r>
        <w:rPr>
          <w:rFonts w:ascii="宋体" w:hAnsi="宋体"/>
          <w:color w:val="auto"/>
          <w:highlight w:val="none"/>
        </w:rPr>
        <w:br w:type="page"/>
      </w:r>
    </w:p>
    <w:p w14:paraId="2EBD0B15">
      <w:pPr>
        <w:autoSpaceDE w:val="0"/>
        <w:autoSpaceDN w:val="0"/>
        <w:adjustRightInd w:val="0"/>
        <w:snapToGrid w:val="0"/>
        <w:spacing w:line="360" w:lineRule="auto"/>
        <w:jc w:val="center"/>
        <w:rPr>
          <w:rFonts w:ascii="宋体" w:hAnsi="宋体"/>
          <w:snapToGrid w:val="0"/>
          <w:color w:val="auto"/>
          <w:kern w:val="0"/>
          <w:sz w:val="32"/>
          <w:szCs w:val="32"/>
          <w:highlight w:val="none"/>
        </w:rPr>
      </w:pPr>
      <w:bookmarkStart w:id="2064" w:name="_Toc287607870"/>
      <w:bookmarkStart w:id="2065" w:name="_Toc277082646"/>
      <w:bookmarkStart w:id="2066" w:name="_Toc287620817"/>
      <w:bookmarkStart w:id="2067" w:name="_Toc224103498"/>
      <w:bookmarkStart w:id="2068" w:name="_Toc430530533"/>
      <w:r>
        <w:rPr>
          <w:rFonts w:ascii="宋体" w:hAnsi="宋体"/>
          <w:snapToGrid w:val="0"/>
          <w:color w:val="auto"/>
          <w:kern w:val="0"/>
          <w:sz w:val="32"/>
          <w:szCs w:val="32"/>
          <w:highlight w:val="none"/>
        </w:rPr>
        <w:t>（四）</w:t>
      </w:r>
      <w:bookmarkEnd w:id="2064"/>
      <w:bookmarkEnd w:id="2065"/>
      <w:bookmarkEnd w:id="2066"/>
      <w:bookmarkEnd w:id="2067"/>
      <w:bookmarkStart w:id="2069" w:name="_Toc224103499"/>
      <w:bookmarkStart w:id="2070" w:name="_Toc287620818"/>
      <w:bookmarkStart w:id="2071" w:name="_Toc277082647"/>
      <w:bookmarkStart w:id="2072" w:name="_Toc287607871"/>
      <w:r>
        <w:rPr>
          <w:rFonts w:hint="eastAsia" w:ascii="宋体" w:hAnsi="宋体"/>
          <w:snapToGrid w:val="0"/>
          <w:color w:val="auto"/>
          <w:kern w:val="0"/>
          <w:sz w:val="32"/>
          <w:szCs w:val="32"/>
          <w:highlight w:val="none"/>
        </w:rPr>
        <w:t>低价风险担保缴纳承诺书</w:t>
      </w:r>
    </w:p>
    <w:p w14:paraId="557BBA53">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1D6186F0">
      <w:pPr>
        <w:autoSpaceDE w:val="0"/>
        <w:autoSpaceDN w:val="0"/>
        <w:adjustRightInd w:val="0"/>
        <w:snapToGrid w:val="0"/>
        <w:spacing w:line="360" w:lineRule="auto"/>
        <w:jc w:val="center"/>
        <w:rPr>
          <w:rFonts w:ascii="宋体" w:hAnsi="宋体"/>
          <w:snapToGrid w:val="0"/>
          <w:color w:val="auto"/>
          <w:kern w:val="0"/>
          <w:sz w:val="32"/>
          <w:szCs w:val="32"/>
          <w:highlight w:val="none"/>
        </w:rPr>
      </w:pPr>
      <w:r>
        <w:rPr>
          <w:rFonts w:hint="eastAsia" w:ascii="宋体" w:hAnsi="宋体"/>
          <w:snapToGrid w:val="0"/>
          <w:color w:val="auto"/>
          <w:kern w:val="0"/>
          <w:sz w:val="32"/>
          <w:szCs w:val="32"/>
          <w:highlight w:val="none"/>
        </w:rPr>
        <w:t>（投标报价低于招标项目最高限价的85%时采用）</w:t>
      </w:r>
    </w:p>
    <w:p w14:paraId="5A62C8F6">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6BD1E34A">
      <w:pPr>
        <w:autoSpaceDE w:val="0"/>
        <w:autoSpaceDN w:val="0"/>
        <w:adjustRightInd w:val="0"/>
        <w:snapToGrid w:val="0"/>
        <w:spacing w:line="480" w:lineRule="auto"/>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u w:val="single"/>
        </w:rPr>
        <w:t>（招标人名称）</w:t>
      </w:r>
      <w:r>
        <w:rPr>
          <w:rFonts w:hint="eastAsia" w:ascii="宋体" w:hAnsi="宋体" w:cs="宋体"/>
          <w:snapToGrid w:val="0"/>
          <w:color w:val="auto"/>
          <w:kern w:val="0"/>
          <w:szCs w:val="21"/>
          <w:highlight w:val="none"/>
        </w:rPr>
        <w:t>：</w:t>
      </w:r>
    </w:p>
    <w:p w14:paraId="627D1ADB">
      <w:pPr>
        <w:autoSpaceDE w:val="0"/>
        <w:autoSpaceDN w:val="0"/>
        <w:adjustRightInd w:val="0"/>
        <w:snapToGrid w:val="0"/>
        <w:spacing w:line="480" w:lineRule="auto"/>
        <w:ind w:firstLine="420" w:firstLineChars="20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我公司</w:t>
      </w:r>
      <w:r>
        <w:rPr>
          <w:rFonts w:hint="eastAsia" w:ascii="宋体" w:hAnsi="宋体" w:cs="宋体"/>
          <w:snapToGrid w:val="0"/>
          <w:color w:val="auto"/>
          <w:kern w:val="0"/>
          <w:szCs w:val="21"/>
          <w:highlight w:val="none"/>
          <w:u w:val="single"/>
        </w:rPr>
        <w:t>（投标人名称）</w:t>
      </w:r>
      <w:r>
        <w:rPr>
          <w:rFonts w:hint="eastAsia" w:ascii="宋体" w:hAnsi="宋体" w:cs="宋体"/>
          <w:snapToGrid w:val="0"/>
          <w:color w:val="auto"/>
          <w:kern w:val="0"/>
          <w:szCs w:val="21"/>
          <w:highlight w:val="none"/>
        </w:rPr>
        <w:t>参加了你公司</w:t>
      </w:r>
      <w:r>
        <w:rPr>
          <w:rFonts w:hint="eastAsia" w:ascii="宋体" w:hAnsi="宋体" w:cs="宋体"/>
          <w:snapToGrid w:val="0"/>
          <w:color w:val="auto"/>
          <w:kern w:val="0"/>
          <w:szCs w:val="21"/>
          <w:highlight w:val="none"/>
          <w:u w:val="single"/>
        </w:rPr>
        <w:t>（招标项目名称）</w:t>
      </w:r>
      <w:r>
        <w:rPr>
          <w:rFonts w:hint="eastAsia" w:ascii="宋体" w:hAnsi="宋体" w:cs="宋体"/>
          <w:snapToGrid w:val="0"/>
          <w:color w:val="auto"/>
          <w:kern w:val="0"/>
          <w:szCs w:val="21"/>
          <w:highlight w:val="none"/>
        </w:rPr>
        <w:t>的投标。我公司投标报价低于最高限价的85%，若获得中标资格，我公司承诺按照招标文件的规定递交低价风险担保。否则，我公司愿承担招标文件中约定的，因未按规定递交低价风险担保的相应责任。</w:t>
      </w:r>
    </w:p>
    <w:p w14:paraId="09A1916A">
      <w:pPr>
        <w:autoSpaceDE w:val="0"/>
        <w:autoSpaceDN w:val="0"/>
        <w:adjustRightInd w:val="0"/>
        <w:snapToGrid w:val="0"/>
        <w:spacing w:line="360" w:lineRule="auto"/>
        <w:ind w:firstLine="640"/>
        <w:rPr>
          <w:rFonts w:ascii="宋体" w:hAnsi="宋体" w:cs="宋体"/>
          <w:snapToGrid w:val="0"/>
          <w:color w:val="auto"/>
          <w:kern w:val="0"/>
          <w:szCs w:val="21"/>
          <w:highlight w:val="none"/>
        </w:rPr>
      </w:pPr>
      <w:r>
        <w:rPr>
          <w:rFonts w:hint="eastAsia" w:ascii="宋体" w:hAnsi="宋体" w:cs="宋体"/>
          <w:snapToGrid w:val="0"/>
          <w:color w:val="auto"/>
          <w:kern w:val="0"/>
          <w:szCs w:val="21"/>
          <w:highlight w:val="none"/>
        </w:rPr>
        <w:t>特此承诺。</w:t>
      </w:r>
    </w:p>
    <w:p w14:paraId="3B2C4E98">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34322806">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5BE1775C">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7F0B941F">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7325DED9">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58963382">
      <w:pPr>
        <w:tabs>
          <w:tab w:val="left" w:pos="4200"/>
          <w:tab w:val="left" w:pos="462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4C701CAB">
      <w:pPr>
        <w:tabs>
          <w:tab w:val="left" w:pos="6300"/>
        </w:tabs>
        <w:autoSpaceDE w:val="0"/>
        <w:autoSpaceDN w:val="0"/>
        <w:adjustRightInd w:val="0"/>
        <w:snapToGrid w:val="0"/>
        <w:spacing w:line="36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62D6A4BD">
      <w:pPr>
        <w:tabs>
          <w:tab w:val="left" w:pos="7140"/>
          <w:tab w:val="left" w:pos="7560"/>
          <w:tab w:val="left" w:pos="8300"/>
        </w:tabs>
        <w:autoSpaceDE w:val="0"/>
        <w:autoSpaceDN w:val="0"/>
        <w:adjustRightInd w:val="0"/>
        <w:spacing w:line="360" w:lineRule="auto"/>
        <w:ind w:firstLine="420" w:firstLineChars="200"/>
        <w:rPr>
          <w:rFonts w:ascii="宋体" w:hAnsi="宋体"/>
          <w:snapToGrid w:val="0"/>
          <w:color w:val="auto"/>
          <w:kern w:val="0"/>
          <w:szCs w:val="21"/>
          <w:highlight w:val="none"/>
        </w:rPr>
      </w:pPr>
    </w:p>
    <w:p w14:paraId="0491C95C">
      <w:pPr>
        <w:tabs>
          <w:tab w:val="left" w:pos="3840"/>
          <w:tab w:val="left" w:pos="4780"/>
          <w:tab w:val="left" w:pos="5720"/>
        </w:tabs>
        <w:autoSpaceDE w:val="0"/>
        <w:autoSpaceDN w:val="0"/>
        <w:adjustRightInd w:val="0"/>
        <w:snapToGrid w:val="0"/>
        <w:spacing w:before="156" w:beforeLines="50" w:line="360" w:lineRule="auto"/>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59F0E65C">
      <w:pPr>
        <w:autoSpaceDE w:val="0"/>
        <w:autoSpaceDN w:val="0"/>
        <w:adjustRightInd w:val="0"/>
        <w:snapToGrid w:val="0"/>
        <w:spacing w:line="360" w:lineRule="auto"/>
        <w:ind w:firstLine="640"/>
        <w:rPr>
          <w:rFonts w:ascii="宋体" w:hAnsi="宋体" w:cs="宋体"/>
          <w:snapToGrid w:val="0"/>
          <w:color w:val="auto"/>
          <w:kern w:val="0"/>
          <w:sz w:val="32"/>
          <w:szCs w:val="32"/>
          <w:highlight w:val="none"/>
        </w:rPr>
      </w:pPr>
    </w:p>
    <w:p w14:paraId="285A1569">
      <w:pPr>
        <w:autoSpaceDE w:val="0"/>
        <w:autoSpaceDN w:val="0"/>
        <w:adjustRightInd w:val="0"/>
        <w:snapToGrid w:val="0"/>
        <w:spacing w:line="360" w:lineRule="auto"/>
        <w:jc w:val="center"/>
        <w:rPr>
          <w:rFonts w:ascii="宋体" w:hAnsi="宋体"/>
          <w:snapToGrid w:val="0"/>
          <w:color w:val="auto"/>
          <w:kern w:val="0"/>
          <w:sz w:val="32"/>
          <w:szCs w:val="32"/>
          <w:highlight w:val="none"/>
        </w:rPr>
      </w:pPr>
    </w:p>
    <w:p w14:paraId="06A1F720">
      <w:pPr>
        <w:pStyle w:val="2"/>
        <w:rPr>
          <w:rFonts w:ascii="宋体" w:hAnsi="宋体"/>
          <w:snapToGrid w:val="0"/>
          <w:color w:val="auto"/>
          <w:kern w:val="0"/>
          <w:sz w:val="32"/>
          <w:szCs w:val="32"/>
          <w:highlight w:val="none"/>
        </w:rPr>
      </w:pPr>
      <w:r>
        <w:rPr>
          <w:rFonts w:ascii="宋体" w:hAnsi="宋体"/>
          <w:snapToGrid w:val="0"/>
          <w:color w:val="auto"/>
          <w:kern w:val="0"/>
          <w:sz w:val="32"/>
          <w:szCs w:val="32"/>
          <w:highlight w:val="none"/>
        </w:rPr>
        <w:br w:type="page"/>
      </w:r>
    </w:p>
    <w:p w14:paraId="20063A51">
      <w:pPr>
        <w:autoSpaceDE w:val="0"/>
        <w:autoSpaceDN w:val="0"/>
        <w:adjustRightInd w:val="0"/>
        <w:snapToGrid w:val="0"/>
        <w:spacing w:line="360" w:lineRule="auto"/>
        <w:jc w:val="center"/>
        <w:rPr>
          <w:rFonts w:ascii="宋体" w:hAnsi="宋体"/>
          <w:color w:val="auto"/>
          <w:highlight w:val="none"/>
        </w:rPr>
      </w:pPr>
      <w:r>
        <w:rPr>
          <w:rFonts w:hint="eastAsia" w:ascii="宋体" w:hAnsi="宋体"/>
          <w:snapToGrid w:val="0"/>
          <w:color w:val="auto"/>
          <w:kern w:val="0"/>
          <w:sz w:val="32"/>
          <w:szCs w:val="32"/>
          <w:highlight w:val="none"/>
        </w:rPr>
        <w:t>（五）</w:t>
      </w:r>
      <w:r>
        <w:rPr>
          <w:rFonts w:ascii="宋体" w:hAnsi="宋体"/>
          <w:snapToGrid w:val="0"/>
          <w:color w:val="auto"/>
          <w:kern w:val="0"/>
          <w:sz w:val="32"/>
          <w:szCs w:val="32"/>
          <w:highlight w:val="none"/>
        </w:rPr>
        <w:t>联合体协议书</w:t>
      </w:r>
      <w:bookmarkEnd w:id="2068"/>
      <w:bookmarkEnd w:id="2069"/>
      <w:bookmarkEnd w:id="2070"/>
      <w:bookmarkEnd w:id="2071"/>
      <w:bookmarkEnd w:id="2072"/>
      <w:r>
        <w:rPr>
          <w:rFonts w:hint="eastAsia" w:ascii="宋体" w:hAnsi="宋体"/>
          <w:snapToGrid w:val="0"/>
          <w:color w:val="auto"/>
          <w:kern w:val="0"/>
          <w:sz w:val="32"/>
          <w:szCs w:val="32"/>
          <w:highlight w:val="none"/>
        </w:rPr>
        <w:t>（如有）</w:t>
      </w:r>
    </w:p>
    <w:p w14:paraId="7DD62CCC">
      <w:pPr>
        <w:autoSpaceDE w:val="0"/>
        <w:autoSpaceDN w:val="0"/>
        <w:adjustRightInd w:val="0"/>
        <w:snapToGrid w:val="0"/>
        <w:spacing w:line="500" w:lineRule="exact"/>
        <w:ind w:firstLine="420" w:firstLineChars="200"/>
        <w:rPr>
          <w:rFonts w:ascii="宋体" w:hAnsi="宋体"/>
          <w:snapToGrid w:val="0"/>
          <w:color w:val="auto"/>
          <w:kern w:val="0"/>
          <w:szCs w:val="21"/>
          <w:highlight w:val="none"/>
        </w:rPr>
      </w:pP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（所有成员单位名称）自愿组成联合体，共同参加</w:t>
      </w:r>
      <w:r>
        <w:rPr>
          <w:rFonts w:ascii="宋体" w:hAnsi="宋体"/>
          <w:snapToGrid w:val="0"/>
          <w:color w:val="auto"/>
          <w:kern w:val="0"/>
          <w:szCs w:val="21"/>
          <w:highlight w:val="none"/>
          <w:u w:val="single"/>
        </w:rPr>
        <w:tab/>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（项目名称）</w:t>
      </w:r>
      <w:r>
        <w:rPr>
          <w:rFonts w:hint="eastAsia" w:ascii="宋体" w:hAnsi="宋体"/>
          <w:snapToGrid w:val="0"/>
          <w:color w:val="auto"/>
          <w:kern w:val="0"/>
          <w:szCs w:val="21"/>
          <w:highlight w:val="none"/>
        </w:rPr>
        <w:t>工程总承包</w:t>
      </w:r>
      <w:r>
        <w:rPr>
          <w:rFonts w:ascii="宋体" w:hAnsi="宋体"/>
          <w:snapToGrid w:val="0"/>
          <w:color w:val="auto"/>
          <w:kern w:val="0"/>
          <w:szCs w:val="21"/>
          <w:highlight w:val="none"/>
        </w:rPr>
        <w:t>投标。现就联合体投标事宜订立如下协议。</w:t>
      </w:r>
    </w:p>
    <w:p w14:paraId="445CBE66">
      <w:pPr>
        <w:tabs>
          <w:tab w:val="left" w:pos="2205"/>
          <w:tab w:val="left" w:pos="4200"/>
        </w:tabs>
        <w:autoSpaceDE w:val="0"/>
        <w:autoSpaceDN w:val="0"/>
        <w:adjustRightInd w:val="0"/>
        <w:snapToGrid w:val="0"/>
        <w:spacing w:line="500"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（某成员单位名称）为</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（项目名称）联合体牵头人。由联合体牵头人递交投标保证金。</w:t>
      </w:r>
    </w:p>
    <w:p w14:paraId="17E4694D">
      <w:pPr>
        <w:autoSpaceDE w:val="0"/>
        <w:autoSpaceDN w:val="0"/>
        <w:adjustRightInd w:val="0"/>
        <w:snapToGrid w:val="0"/>
        <w:spacing w:line="500"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46A5EC35">
      <w:pPr>
        <w:autoSpaceDE w:val="0"/>
        <w:autoSpaceDN w:val="0"/>
        <w:adjustRightInd w:val="0"/>
        <w:snapToGrid w:val="0"/>
        <w:spacing w:line="500"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3.联合体将严格按照招标文件的各项要求，递交投标文件，履行合同，并对外承担连带责任。</w:t>
      </w:r>
    </w:p>
    <w:p w14:paraId="6F6FECBB">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联合体牵头人的所有承诺均认为代表了联合体各成员。</w:t>
      </w:r>
    </w:p>
    <w:p w14:paraId="691919D7">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5.联合体各成员单位内部的职责分工如下：</w:t>
      </w:r>
    </w:p>
    <w:p w14:paraId="40C417ED">
      <w:pPr>
        <w:tabs>
          <w:tab w:val="left" w:pos="2020"/>
          <w:tab w:val="left" w:pos="4680"/>
          <w:tab w:val="left" w:pos="7640"/>
          <w:tab w:val="left" w:pos="7820"/>
        </w:tabs>
        <w:autoSpaceDE w:val="0"/>
        <w:autoSpaceDN w:val="0"/>
        <w:adjustRightInd w:val="0"/>
        <w:spacing w:line="500" w:lineRule="exact"/>
        <w:ind w:firstLine="416" w:firstLineChars="200"/>
        <w:jc w:val="left"/>
        <w:rPr>
          <w:rFonts w:ascii="宋体" w:hAnsi="宋体"/>
          <w:color w:val="auto"/>
          <w:spacing w:val="-1"/>
          <w:kern w:val="0"/>
          <w:szCs w:val="21"/>
          <w:highlight w:val="none"/>
        </w:rPr>
      </w:pPr>
      <w:r>
        <w:rPr>
          <w:rFonts w:ascii="宋体" w:hAnsi="宋体"/>
          <w:color w:val="auto"/>
          <w:spacing w:val="-1"/>
          <w:kern w:val="0"/>
          <w:szCs w:val="21"/>
          <w:highlight w:val="none"/>
          <w:u w:val="single"/>
        </w:rPr>
        <w:t>（牵头人名称</w:t>
      </w:r>
      <w:r>
        <w:rPr>
          <w:rFonts w:hint="eastAsia" w:ascii="宋体" w:hAnsi="宋体"/>
          <w:color w:val="auto"/>
          <w:spacing w:val="-1"/>
          <w:kern w:val="0"/>
          <w:szCs w:val="21"/>
          <w:highlight w:val="none"/>
          <w:u w:val="single"/>
        </w:rPr>
        <w:t>）</w:t>
      </w:r>
      <w:r>
        <w:rPr>
          <w:rFonts w:ascii="宋体" w:hAnsi="宋体"/>
          <w:color w:val="auto"/>
          <w:spacing w:val="-1"/>
          <w:kern w:val="0"/>
          <w:szCs w:val="21"/>
          <w:highlight w:val="none"/>
        </w:rPr>
        <w:t>承担</w:t>
      </w:r>
      <w:r>
        <w:rPr>
          <w:rFonts w:ascii="宋体" w:hAnsi="宋体"/>
          <w:color w:val="auto"/>
          <w:spacing w:val="-1"/>
          <w:kern w:val="0"/>
          <w:szCs w:val="21"/>
          <w:highlight w:val="none"/>
          <w:u w:val="single"/>
        </w:rPr>
        <w:tab/>
      </w:r>
      <w:r>
        <w:rPr>
          <w:rFonts w:ascii="宋体" w:hAnsi="宋体"/>
          <w:color w:val="auto"/>
          <w:spacing w:val="-1"/>
          <w:kern w:val="0"/>
          <w:szCs w:val="21"/>
          <w:highlight w:val="none"/>
        </w:rPr>
        <w:t>；</w:t>
      </w:r>
    </w:p>
    <w:p w14:paraId="018A056B">
      <w:pPr>
        <w:tabs>
          <w:tab w:val="left" w:pos="2020"/>
          <w:tab w:val="left" w:pos="4680"/>
          <w:tab w:val="left" w:pos="7640"/>
          <w:tab w:val="left" w:pos="7820"/>
        </w:tabs>
        <w:autoSpaceDE w:val="0"/>
        <w:autoSpaceDN w:val="0"/>
        <w:adjustRightInd w:val="0"/>
        <w:spacing w:line="500" w:lineRule="exact"/>
        <w:ind w:firstLine="428" w:firstLineChars="200"/>
        <w:jc w:val="left"/>
        <w:rPr>
          <w:rFonts w:ascii="宋体" w:hAnsi="宋体"/>
          <w:color w:val="auto"/>
          <w:spacing w:val="-1"/>
          <w:kern w:val="0"/>
          <w:szCs w:val="21"/>
          <w:highlight w:val="none"/>
        </w:rPr>
      </w:pPr>
      <w:r>
        <w:rPr>
          <w:rFonts w:ascii="宋体" w:hAnsi="宋体"/>
          <w:color w:val="auto"/>
          <w:spacing w:val="2"/>
          <w:kern w:val="0"/>
          <w:szCs w:val="21"/>
          <w:highlight w:val="none"/>
          <w:u w:val="single"/>
        </w:rPr>
        <w:t>（</w:t>
      </w:r>
      <w:r>
        <w:rPr>
          <w:rFonts w:ascii="宋体" w:hAnsi="宋体"/>
          <w:color w:val="auto"/>
          <w:kern w:val="0"/>
          <w:szCs w:val="21"/>
          <w:highlight w:val="none"/>
          <w:u w:val="single"/>
        </w:rPr>
        <w:t>成员一名称</w:t>
      </w:r>
      <w:r>
        <w:rPr>
          <w:rFonts w:hint="eastAsia" w:ascii="宋体" w:hAnsi="宋体"/>
          <w:color w:val="auto"/>
          <w:spacing w:val="-1"/>
          <w:kern w:val="0"/>
          <w:szCs w:val="21"/>
          <w:highlight w:val="none"/>
          <w:u w:val="single"/>
        </w:rPr>
        <w:t>）</w:t>
      </w:r>
      <w:r>
        <w:rPr>
          <w:rFonts w:ascii="宋体" w:hAnsi="宋体"/>
          <w:color w:val="auto"/>
          <w:kern w:val="0"/>
          <w:szCs w:val="21"/>
          <w:highlight w:val="none"/>
        </w:rPr>
        <w:t>承担</w:t>
      </w:r>
      <w:r>
        <w:rPr>
          <w:rFonts w:ascii="宋体" w:hAnsi="宋体"/>
          <w:color w:val="auto"/>
          <w:kern w:val="0"/>
          <w:szCs w:val="21"/>
          <w:highlight w:val="none"/>
          <w:u w:val="single"/>
        </w:rPr>
        <w:tab/>
      </w:r>
      <w:r>
        <w:rPr>
          <w:rFonts w:ascii="宋体" w:hAnsi="宋体"/>
          <w:color w:val="auto"/>
          <w:spacing w:val="-1"/>
          <w:kern w:val="0"/>
          <w:szCs w:val="21"/>
          <w:highlight w:val="none"/>
        </w:rPr>
        <w:t>；</w:t>
      </w:r>
    </w:p>
    <w:p w14:paraId="4FD4AFB3">
      <w:pPr>
        <w:tabs>
          <w:tab w:val="left" w:pos="2020"/>
          <w:tab w:val="left" w:pos="4680"/>
          <w:tab w:val="left" w:pos="7640"/>
          <w:tab w:val="left" w:pos="7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71D09E80">
      <w:pPr>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14:paraId="1731D653">
      <w:pPr>
        <w:tabs>
          <w:tab w:val="left" w:pos="6300"/>
          <w:tab w:val="left" w:pos="8295"/>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7.本协议书自签署之日起生效，合同履行完毕后自动失效。</w:t>
      </w:r>
    </w:p>
    <w:p w14:paraId="481C914B">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8.本协议书一式份，联合体成员和招标人各执一份。</w:t>
      </w:r>
    </w:p>
    <w:p w14:paraId="7DCAABE3">
      <w:pPr>
        <w:autoSpaceDE w:val="0"/>
        <w:autoSpaceDN w:val="0"/>
        <w:adjustRightInd w:val="0"/>
        <w:snapToGrid w:val="0"/>
        <w:spacing w:line="500" w:lineRule="exact"/>
        <w:ind w:firstLine="390" w:firstLineChars="186"/>
        <w:jc w:val="left"/>
        <w:rPr>
          <w:rFonts w:ascii="宋体" w:hAnsi="宋体"/>
          <w:snapToGrid w:val="0"/>
          <w:color w:val="auto"/>
          <w:kern w:val="0"/>
          <w:szCs w:val="21"/>
          <w:highlight w:val="none"/>
        </w:rPr>
      </w:pPr>
    </w:p>
    <w:p w14:paraId="112E7EA5">
      <w:pPr>
        <w:tabs>
          <w:tab w:val="left" w:pos="484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14:paraId="4597796E">
      <w:pPr>
        <w:tabs>
          <w:tab w:val="left" w:pos="5260"/>
        </w:tabs>
        <w:autoSpaceDE w:val="0"/>
        <w:autoSpaceDN w:val="0"/>
        <w:adjustRightInd w:val="0"/>
        <w:snapToGrid w:val="0"/>
        <w:spacing w:line="500"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hint="eastAsia" w:ascii="宋体" w:hAnsi="宋体"/>
          <w:snapToGrid w:val="0"/>
          <w:color w:val="auto"/>
          <w:kern w:val="0"/>
          <w:position w:val="-2"/>
          <w:szCs w:val="21"/>
          <w:highlight w:val="none"/>
          <w:u w:val="single"/>
        </w:rPr>
        <w:t xml:space="preserve">                                   </w:t>
      </w:r>
      <w:r>
        <w:rPr>
          <w:rFonts w:ascii="宋体" w:hAnsi="宋体"/>
          <w:snapToGrid w:val="0"/>
          <w:color w:val="auto"/>
          <w:kern w:val="0"/>
          <w:position w:val="-2"/>
          <w:szCs w:val="21"/>
          <w:highlight w:val="none"/>
        </w:rPr>
        <w:t>（</w:t>
      </w:r>
      <w:r>
        <w:rPr>
          <w:rFonts w:ascii="宋体" w:hAnsi="宋体"/>
          <w:snapToGrid w:val="0"/>
          <w:color w:val="auto"/>
          <w:kern w:val="0"/>
          <w:szCs w:val="21"/>
          <w:highlight w:val="none"/>
        </w:rPr>
        <w:t>签字或盖章</w:t>
      </w:r>
      <w:r>
        <w:rPr>
          <w:rFonts w:ascii="宋体" w:hAnsi="宋体"/>
          <w:snapToGrid w:val="0"/>
          <w:color w:val="auto"/>
          <w:kern w:val="0"/>
          <w:position w:val="-2"/>
          <w:szCs w:val="21"/>
          <w:highlight w:val="none"/>
        </w:rPr>
        <w:t>）</w:t>
      </w:r>
    </w:p>
    <w:p w14:paraId="066FDF7D">
      <w:pPr>
        <w:tabs>
          <w:tab w:val="left" w:pos="789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成员一名称：</w:t>
      </w:r>
      <w:r>
        <w:rPr>
          <w:rFonts w:hint="eastAsia" w:ascii="宋体" w:hAnsi="宋体"/>
          <w:color w:val="auto"/>
          <w:kern w:val="0"/>
          <w:szCs w:val="21"/>
          <w:highlight w:val="none"/>
          <w:u w:val="single"/>
        </w:rPr>
        <w:t xml:space="preserve">                                                 </w:t>
      </w:r>
      <w:r>
        <w:rPr>
          <w:rFonts w:hint="eastAsia" w:ascii="宋体" w:hAnsi="宋体"/>
          <w:color w:val="auto"/>
          <w:kern w:val="0"/>
          <w:szCs w:val="21"/>
          <w:highlight w:val="none"/>
        </w:rPr>
        <w:t>（</w:t>
      </w:r>
      <w:r>
        <w:rPr>
          <w:rFonts w:ascii="宋体" w:hAnsi="宋体"/>
          <w:color w:val="auto"/>
          <w:kern w:val="0"/>
          <w:szCs w:val="21"/>
          <w:highlight w:val="none"/>
        </w:rPr>
        <w:t>盖单位法人章）</w:t>
      </w:r>
    </w:p>
    <w:p w14:paraId="7CB4D022">
      <w:pPr>
        <w:tabs>
          <w:tab w:val="left" w:pos="774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snapToGrid w:val="0"/>
          <w:color w:val="auto"/>
          <w:kern w:val="0"/>
          <w:position w:val="-2"/>
          <w:szCs w:val="21"/>
          <w:highlight w:val="none"/>
        </w:rPr>
        <w:t>或其委托代理人：</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ascii="宋体" w:hAnsi="宋体"/>
          <w:color w:val="auto"/>
          <w:kern w:val="0"/>
          <w:szCs w:val="21"/>
          <w:highlight w:val="none"/>
        </w:rPr>
        <w:t>签字</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5735AB33">
      <w:pPr>
        <w:tabs>
          <w:tab w:val="left" w:pos="5140"/>
          <w:tab w:val="left" w:pos="6100"/>
          <w:tab w:val="left" w:pos="6820"/>
        </w:tabs>
        <w:autoSpaceDE w:val="0"/>
        <w:autoSpaceDN w:val="0"/>
        <w:adjustRightInd w:val="0"/>
        <w:spacing w:line="500"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4C682A3C">
      <w:pPr>
        <w:tabs>
          <w:tab w:val="left" w:pos="3840"/>
          <w:tab w:val="left" w:pos="4780"/>
          <w:tab w:val="left" w:pos="5720"/>
        </w:tabs>
        <w:autoSpaceDE w:val="0"/>
        <w:autoSpaceDN w:val="0"/>
        <w:adjustRightInd w:val="0"/>
        <w:snapToGrid w:val="0"/>
        <w:spacing w:before="156" w:beforeLines="50" w:line="500" w:lineRule="exact"/>
        <w:ind w:right="420" w:firstLine="5565" w:firstLineChars="2650"/>
        <w:jc w:val="right"/>
        <w:rPr>
          <w:rFonts w:ascii="宋体" w:hAnsi="宋体"/>
          <w:snapToGrid w:val="0"/>
          <w:color w:val="auto"/>
          <w:kern w:val="0"/>
          <w:szCs w:val="21"/>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2E77506E">
      <w:pPr>
        <w:pStyle w:val="9"/>
        <w:tabs>
          <w:tab w:val="left" w:pos="315"/>
        </w:tabs>
        <w:spacing w:before="156" w:beforeLines="50" w:line="500" w:lineRule="exact"/>
        <w:ind w:firstLineChars="200"/>
        <w:rPr>
          <w:rFonts w:ascii="宋体" w:hAnsi="宋体" w:eastAsia="宋体"/>
          <w:snapToGrid w:val="0"/>
          <w:color w:val="auto"/>
          <w:sz w:val="21"/>
          <w:szCs w:val="21"/>
          <w:highlight w:val="none"/>
        </w:rPr>
      </w:pP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41910</wp:posOffset>
                </wp:positionH>
                <wp:positionV relativeFrom="paragraph">
                  <wp:posOffset>139700</wp:posOffset>
                </wp:positionV>
                <wp:extent cx="2867025" cy="0"/>
                <wp:effectExtent l="0" t="0" r="0" b="0"/>
                <wp:wrapNone/>
                <wp:docPr id="351" name="直接连接符 114"/>
                <wp:cNvGraphicFramePr/>
                <a:graphic xmlns:a="http://schemas.openxmlformats.org/drawingml/2006/main">
                  <a:graphicData uri="http://schemas.microsoft.com/office/word/2010/wordprocessingShape">
                    <wps:wsp>
                      <wps:cNvCnPr>
                        <a:cxnSpLocks noChangeShapeType="1"/>
                      </wps:cNvCnPr>
                      <wps:spPr bwMode="auto">
                        <a:xfrm>
                          <a:off x="0" y="0"/>
                          <a:ext cx="2867025" cy="0"/>
                        </a:xfrm>
                        <a:prstGeom prst="line">
                          <a:avLst/>
                        </a:prstGeom>
                        <a:noFill/>
                        <a:ln w="3175">
                          <a:solidFill>
                            <a:srgbClr val="000000"/>
                          </a:solidFill>
                          <a:round/>
                        </a:ln>
                        <a:effectLst/>
                      </wps:spPr>
                      <wps:bodyPr/>
                    </wps:wsp>
                  </a:graphicData>
                </a:graphic>
              </wp:anchor>
            </w:drawing>
          </mc:Choice>
          <mc:Fallback>
            <w:pict>
              <v:line id="直接连接符 114" o:spid="_x0000_s1026" o:spt="20" style="position:absolute;left:0pt;margin-left:3.3pt;margin-top:11pt;height:0pt;width:225.75pt;z-index:251659264;mso-width-relative:page;mso-height-relative:page;" filled="f" stroked="t" coordsize="21600,21600" o:gfxdata="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AvRi59cAAAAHAQAADwAAAAAAAAABACAAAAAiAAAAZHJzL2Rvd25yZXYueG1sUEsBAhQAFAAAAAgA&#10;h07iQOVxLNTtAQAAvAMAAA4AAAAAAAAAAQAgAAAAJgEAAGRycy9lMm9Eb2MueG1sUEsFBgAAAAAG&#10;AAYAWQEAAIUFAAAAAA==&#10;">
                <v:fill on="f" focussize="0,0"/>
                <v:stroke weight="0.25pt" color="#000000" joinstyle="round"/>
                <v:imagedata o:title=""/>
                <o:lock v:ext="edit" aspectratio="f"/>
              </v:line>
            </w:pict>
          </mc:Fallback>
        </mc:AlternateContent>
      </w:r>
      <w:r>
        <w:rPr>
          <w:rFonts w:ascii="宋体" w:hAnsi="宋体" w:eastAsia="宋体"/>
          <w:snapToGrid w:val="0"/>
          <w:color w:val="auto"/>
          <w:sz w:val="21"/>
          <w:szCs w:val="21"/>
          <w:highlight w:val="none"/>
        </w:rPr>
        <w:t>注：本协议书由委托代理人签字或盖章的，应附法定代表人签字或盖章的授权委托书。</w:t>
      </w:r>
    </w:p>
    <w:p w14:paraId="55FC9535">
      <w:pPr>
        <w:pStyle w:val="4"/>
        <w:spacing w:line="360" w:lineRule="auto"/>
        <w:jc w:val="center"/>
        <w:rPr>
          <w:rFonts w:ascii="宋体" w:hAnsi="宋体"/>
          <w:b w:val="0"/>
          <w:bCs w:val="0"/>
          <w:color w:val="auto"/>
          <w:sz w:val="44"/>
          <w:szCs w:val="44"/>
          <w:highlight w:val="none"/>
        </w:rPr>
      </w:pPr>
      <w:bookmarkStart w:id="2073" w:name="_Toc58860351"/>
      <w:r>
        <w:rPr>
          <w:rFonts w:hint="eastAsia" w:ascii="宋体" w:hAnsi="宋体"/>
          <w:b w:val="0"/>
          <w:bCs w:val="0"/>
          <w:color w:val="auto"/>
          <w:sz w:val="44"/>
          <w:szCs w:val="44"/>
          <w:highlight w:val="none"/>
        </w:rPr>
        <w:t>二、经济部分</w:t>
      </w:r>
      <w:bookmarkEnd w:id="2073"/>
    </w:p>
    <w:p w14:paraId="2CD42C77">
      <w:pPr>
        <w:pStyle w:val="9"/>
        <w:tabs>
          <w:tab w:val="left" w:pos="315"/>
        </w:tabs>
        <w:spacing w:before="156" w:beforeLines="50" w:line="500" w:lineRule="exact"/>
        <w:ind w:firstLine="420" w:firstLineChars="200"/>
        <w:rPr>
          <w:rFonts w:ascii="宋体" w:hAnsi="宋体" w:eastAsia="宋体"/>
          <w:snapToGrid w:val="0"/>
          <w:color w:val="auto"/>
          <w:sz w:val="21"/>
          <w:szCs w:val="21"/>
          <w:highlight w:val="none"/>
        </w:rPr>
      </w:pPr>
    </w:p>
    <w:p w14:paraId="4435F608">
      <w:pPr>
        <w:widowControl/>
        <w:jc w:val="left"/>
        <w:rPr>
          <w:rFonts w:ascii="宋体" w:hAnsi="宋体"/>
          <w:snapToGrid w:val="0"/>
          <w:color w:val="auto"/>
          <w:kern w:val="0"/>
          <w:szCs w:val="21"/>
          <w:highlight w:val="none"/>
        </w:rPr>
      </w:pPr>
      <w:r>
        <w:rPr>
          <w:rFonts w:ascii="宋体" w:hAnsi="宋体"/>
          <w:snapToGrid w:val="0"/>
          <w:color w:val="auto"/>
          <w:szCs w:val="21"/>
          <w:highlight w:val="none"/>
        </w:rPr>
        <w:br w:type="page"/>
      </w:r>
    </w:p>
    <w:p w14:paraId="3279CFBC">
      <w:pPr>
        <w:spacing w:line="360" w:lineRule="auto"/>
        <w:jc w:val="center"/>
        <w:rPr>
          <w:rFonts w:ascii="宋体" w:hAnsi="宋体"/>
          <w:color w:val="auto"/>
          <w:kern w:val="0"/>
          <w:sz w:val="32"/>
          <w:szCs w:val="32"/>
          <w:highlight w:val="none"/>
        </w:rPr>
      </w:pPr>
      <w:bookmarkStart w:id="2074" w:name="_Hlk45039087"/>
      <w:r>
        <w:rPr>
          <w:rFonts w:hint="eastAsia" w:ascii="宋体" w:hAnsi="宋体"/>
          <w:color w:val="auto"/>
          <w:kern w:val="0"/>
          <w:sz w:val="32"/>
          <w:szCs w:val="32"/>
          <w:highlight w:val="none"/>
          <w:u w:val="single"/>
        </w:rPr>
        <w:t xml:space="preserve">                   （项目名称）</w:t>
      </w:r>
    </w:p>
    <w:p w14:paraId="0CB62667">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50D8C8DE">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53607B72">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0264FEE3">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C6035FA">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2253700E">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218E676C">
      <w:pPr>
        <w:autoSpaceDE w:val="0"/>
        <w:autoSpaceDN w:val="0"/>
        <w:adjustRightInd w:val="0"/>
        <w:snapToGrid w:val="0"/>
        <w:spacing w:line="360" w:lineRule="auto"/>
        <w:jc w:val="left"/>
        <w:rPr>
          <w:rFonts w:ascii="宋体" w:hAnsi="宋体"/>
          <w:color w:val="auto"/>
          <w:kern w:val="0"/>
          <w:sz w:val="16"/>
          <w:szCs w:val="16"/>
          <w:highlight w:val="none"/>
        </w:rPr>
      </w:pPr>
    </w:p>
    <w:p w14:paraId="6F7A51A5">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经济部分</w:t>
      </w:r>
    </w:p>
    <w:p w14:paraId="64FC41F1">
      <w:pPr>
        <w:autoSpaceDE w:val="0"/>
        <w:autoSpaceDN w:val="0"/>
        <w:adjustRightInd w:val="0"/>
        <w:snapToGrid w:val="0"/>
        <w:spacing w:line="360" w:lineRule="auto"/>
        <w:jc w:val="left"/>
        <w:rPr>
          <w:rFonts w:ascii="宋体" w:hAnsi="宋体"/>
          <w:b/>
          <w:color w:val="auto"/>
          <w:kern w:val="0"/>
          <w:sz w:val="20"/>
          <w:szCs w:val="20"/>
          <w:highlight w:val="none"/>
        </w:rPr>
      </w:pPr>
    </w:p>
    <w:p w14:paraId="0CC6FBE8">
      <w:pPr>
        <w:autoSpaceDE w:val="0"/>
        <w:autoSpaceDN w:val="0"/>
        <w:adjustRightInd w:val="0"/>
        <w:snapToGrid w:val="0"/>
        <w:spacing w:line="360" w:lineRule="auto"/>
        <w:jc w:val="left"/>
        <w:rPr>
          <w:rFonts w:ascii="宋体" w:hAnsi="宋体"/>
          <w:b/>
          <w:color w:val="auto"/>
          <w:kern w:val="0"/>
          <w:sz w:val="20"/>
          <w:szCs w:val="20"/>
          <w:highlight w:val="none"/>
        </w:rPr>
      </w:pPr>
    </w:p>
    <w:p w14:paraId="2C7D0C88">
      <w:pPr>
        <w:autoSpaceDE w:val="0"/>
        <w:autoSpaceDN w:val="0"/>
        <w:adjustRightInd w:val="0"/>
        <w:snapToGrid w:val="0"/>
        <w:spacing w:line="360" w:lineRule="auto"/>
        <w:jc w:val="left"/>
        <w:rPr>
          <w:rFonts w:ascii="宋体" w:hAnsi="宋体"/>
          <w:b/>
          <w:color w:val="auto"/>
          <w:kern w:val="0"/>
          <w:sz w:val="20"/>
          <w:szCs w:val="20"/>
          <w:highlight w:val="none"/>
        </w:rPr>
      </w:pPr>
    </w:p>
    <w:p w14:paraId="3E94A452">
      <w:pPr>
        <w:autoSpaceDE w:val="0"/>
        <w:autoSpaceDN w:val="0"/>
        <w:adjustRightInd w:val="0"/>
        <w:snapToGrid w:val="0"/>
        <w:spacing w:line="360" w:lineRule="auto"/>
        <w:jc w:val="left"/>
        <w:rPr>
          <w:rFonts w:ascii="宋体" w:hAnsi="宋体"/>
          <w:b/>
          <w:color w:val="auto"/>
          <w:kern w:val="0"/>
          <w:sz w:val="20"/>
          <w:szCs w:val="20"/>
          <w:highlight w:val="none"/>
        </w:rPr>
      </w:pPr>
    </w:p>
    <w:p w14:paraId="4D256DCC">
      <w:pPr>
        <w:autoSpaceDE w:val="0"/>
        <w:autoSpaceDN w:val="0"/>
        <w:adjustRightInd w:val="0"/>
        <w:snapToGrid w:val="0"/>
        <w:spacing w:line="360" w:lineRule="auto"/>
        <w:jc w:val="left"/>
        <w:rPr>
          <w:rFonts w:ascii="宋体" w:hAnsi="宋体"/>
          <w:b/>
          <w:color w:val="auto"/>
          <w:kern w:val="0"/>
          <w:sz w:val="20"/>
          <w:szCs w:val="20"/>
          <w:highlight w:val="none"/>
        </w:rPr>
      </w:pPr>
    </w:p>
    <w:p w14:paraId="7047F39F">
      <w:pPr>
        <w:autoSpaceDE w:val="0"/>
        <w:autoSpaceDN w:val="0"/>
        <w:adjustRightInd w:val="0"/>
        <w:snapToGrid w:val="0"/>
        <w:spacing w:line="360" w:lineRule="auto"/>
        <w:jc w:val="left"/>
        <w:rPr>
          <w:rFonts w:ascii="宋体" w:hAnsi="宋体"/>
          <w:b/>
          <w:color w:val="auto"/>
          <w:kern w:val="0"/>
          <w:sz w:val="20"/>
          <w:szCs w:val="20"/>
          <w:highlight w:val="none"/>
        </w:rPr>
      </w:pPr>
    </w:p>
    <w:p w14:paraId="3B24ADB8">
      <w:pPr>
        <w:autoSpaceDE w:val="0"/>
        <w:autoSpaceDN w:val="0"/>
        <w:adjustRightInd w:val="0"/>
        <w:snapToGrid w:val="0"/>
        <w:spacing w:line="360" w:lineRule="auto"/>
        <w:jc w:val="left"/>
        <w:rPr>
          <w:rFonts w:ascii="宋体" w:hAnsi="宋体"/>
          <w:b/>
          <w:color w:val="auto"/>
          <w:kern w:val="0"/>
          <w:sz w:val="20"/>
          <w:szCs w:val="20"/>
          <w:highlight w:val="none"/>
        </w:rPr>
      </w:pPr>
    </w:p>
    <w:p w14:paraId="445F02F2">
      <w:pPr>
        <w:autoSpaceDE w:val="0"/>
        <w:autoSpaceDN w:val="0"/>
        <w:adjustRightInd w:val="0"/>
        <w:snapToGrid w:val="0"/>
        <w:spacing w:line="360" w:lineRule="auto"/>
        <w:jc w:val="left"/>
        <w:rPr>
          <w:rFonts w:ascii="宋体" w:hAnsi="宋体"/>
          <w:b/>
          <w:color w:val="auto"/>
          <w:kern w:val="0"/>
          <w:sz w:val="20"/>
          <w:szCs w:val="20"/>
          <w:highlight w:val="none"/>
        </w:rPr>
      </w:pPr>
    </w:p>
    <w:p w14:paraId="591B6430">
      <w:pPr>
        <w:autoSpaceDE w:val="0"/>
        <w:autoSpaceDN w:val="0"/>
        <w:adjustRightInd w:val="0"/>
        <w:snapToGrid w:val="0"/>
        <w:spacing w:line="360" w:lineRule="auto"/>
        <w:jc w:val="left"/>
        <w:rPr>
          <w:rFonts w:ascii="宋体" w:hAnsi="宋体"/>
          <w:b/>
          <w:color w:val="auto"/>
          <w:kern w:val="0"/>
          <w:sz w:val="20"/>
          <w:szCs w:val="20"/>
          <w:highlight w:val="none"/>
        </w:rPr>
      </w:pPr>
    </w:p>
    <w:p w14:paraId="60629D92">
      <w:pPr>
        <w:autoSpaceDE w:val="0"/>
        <w:autoSpaceDN w:val="0"/>
        <w:adjustRightInd w:val="0"/>
        <w:snapToGrid w:val="0"/>
        <w:spacing w:line="360" w:lineRule="auto"/>
        <w:jc w:val="left"/>
        <w:rPr>
          <w:rFonts w:ascii="宋体" w:hAnsi="宋体"/>
          <w:b/>
          <w:color w:val="auto"/>
          <w:kern w:val="0"/>
          <w:sz w:val="20"/>
          <w:szCs w:val="20"/>
          <w:highlight w:val="none"/>
        </w:rPr>
      </w:pPr>
    </w:p>
    <w:p w14:paraId="4FD166A2">
      <w:pPr>
        <w:autoSpaceDE w:val="0"/>
        <w:autoSpaceDN w:val="0"/>
        <w:adjustRightInd w:val="0"/>
        <w:snapToGrid w:val="0"/>
        <w:spacing w:line="360" w:lineRule="auto"/>
        <w:jc w:val="left"/>
        <w:rPr>
          <w:rFonts w:ascii="宋体" w:hAnsi="宋体"/>
          <w:b/>
          <w:color w:val="auto"/>
          <w:kern w:val="0"/>
          <w:sz w:val="20"/>
          <w:szCs w:val="20"/>
          <w:highlight w:val="none"/>
        </w:rPr>
      </w:pPr>
    </w:p>
    <w:p w14:paraId="0112DCEF">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47295494">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7554A267">
      <w:pPr>
        <w:pStyle w:val="9"/>
        <w:tabs>
          <w:tab w:val="left" w:pos="315"/>
        </w:tabs>
        <w:spacing w:before="156" w:beforeLines="50" w:line="500" w:lineRule="exact"/>
        <w:ind w:firstLine="554" w:firstLineChars="200"/>
        <w:jc w:val="center"/>
        <w:rPr>
          <w:rFonts w:ascii="宋体" w:hAnsi="宋体" w:eastAsia="宋体"/>
          <w:b/>
          <w:color w:val="auto"/>
          <w:sz w:val="21"/>
          <w:szCs w:val="21"/>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bookmarkEnd w:id="2074"/>
    </w:p>
    <w:p w14:paraId="2CDCD737">
      <w:pPr>
        <w:tabs>
          <w:tab w:val="left" w:pos="2580"/>
          <w:tab w:val="left" w:pos="5940"/>
        </w:tabs>
        <w:autoSpaceDE w:val="0"/>
        <w:autoSpaceDN w:val="0"/>
        <w:adjustRightInd w:val="0"/>
        <w:snapToGrid w:val="0"/>
        <w:spacing w:line="360" w:lineRule="auto"/>
        <w:ind w:firstLine="2940"/>
        <w:jc w:val="left"/>
        <w:rPr>
          <w:rFonts w:ascii="宋体" w:hAnsi="宋体"/>
          <w:color w:val="auto"/>
          <w:highlight w:val="none"/>
        </w:rPr>
      </w:pPr>
      <w:bookmarkStart w:id="2075" w:name="_Toc224103500"/>
      <w:r>
        <w:rPr>
          <w:rFonts w:ascii="宋体" w:hAnsi="宋体"/>
          <w:color w:val="auto"/>
          <w:sz w:val="32"/>
          <w:szCs w:val="32"/>
          <w:highlight w:val="none"/>
        </w:rPr>
        <w:br w:type="page"/>
      </w:r>
      <w:bookmarkStart w:id="2076" w:name="_Toc430530534"/>
      <w:bookmarkStart w:id="2077" w:name="_Toc287620819"/>
      <w:bookmarkStart w:id="2078" w:name="_Toc287607872"/>
    </w:p>
    <w:bookmarkEnd w:id="2075"/>
    <w:bookmarkEnd w:id="2076"/>
    <w:bookmarkEnd w:id="2077"/>
    <w:bookmarkEnd w:id="2078"/>
    <w:p w14:paraId="234B68A4">
      <w:pPr>
        <w:autoSpaceDE w:val="0"/>
        <w:autoSpaceDN w:val="0"/>
        <w:adjustRightInd w:val="0"/>
        <w:snapToGrid w:val="0"/>
        <w:spacing w:line="360" w:lineRule="auto"/>
        <w:jc w:val="center"/>
        <w:rPr>
          <w:rFonts w:ascii="宋体" w:hAnsi="宋体"/>
          <w:color w:val="auto"/>
          <w:kern w:val="0"/>
          <w:szCs w:val="21"/>
          <w:highlight w:val="none"/>
        </w:rPr>
      </w:pPr>
      <w:bookmarkStart w:id="2079" w:name="_Toc224103502"/>
      <w:bookmarkStart w:id="2080" w:name="_Toc430530536"/>
      <w:bookmarkStart w:id="2081" w:name="_Toc287607874"/>
      <w:bookmarkStart w:id="2082" w:name="_Toc287620821"/>
      <w:r>
        <w:rPr>
          <w:rFonts w:hint="eastAsia" w:ascii="宋体" w:hAnsi="宋体"/>
          <w:color w:val="auto"/>
          <w:kern w:val="0"/>
          <w:sz w:val="36"/>
          <w:szCs w:val="36"/>
          <w:highlight w:val="none"/>
        </w:rPr>
        <w:t>目  录</w:t>
      </w:r>
    </w:p>
    <w:p w14:paraId="41191DFE">
      <w:pPr>
        <w:autoSpaceDE w:val="0"/>
        <w:autoSpaceDN w:val="0"/>
        <w:adjustRightInd w:val="0"/>
        <w:snapToGrid w:val="0"/>
        <w:spacing w:line="360" w:lineRule="auto"/>
        <w:jc w:val="left"/>
        <w:rPr>
          <w:rFonts w:ascii="宋体" w:hAnsi="宋体"/>
          <w:color w:val="auto"/>
          <w:kern w:val="0"/>
          <w:szCs w:val="21"/>
          <w:highlight w:val="none"/>
        </w:rPr>
      </w:pPr>
    </w:p>
    <w:p w14:paraId="3F8F13CB">
      <w:pPr>
        <w:autoSpaceDE w:val="0"/>
        <w:autoSpaceDN w:val="0"/>
        <w:adjustRightInd w:val="0"/>
        <w:snapToGrid w:val="0"/>
        <w:spacing w:line="360" w:lineRule="auto"/>
        <w:jc w:val="center"/>
        <w:rPr>
          <w:rFonts w:ascii="宋体" w:hAnsi="宋体"/>
          <w:color w:val="auto"/>
          <w:kern w:val="0"/>
          <w:szCs w:val="21"/>
          <w:highlight w:val="none"/>
        </w:rPr>
      </w:pPr>
      <w:r>
        <w:rPr>
          <w:rFonts w:ascii="宋体" w:hAnsi="宋体"/>
          <w:color w:val="auto"/>
          <w:kern w:val="0"/>
          <w:szCs w:val="21"/>
          <w:highlight w:val="none"/>
        </w:rPr>
        <w:t>[目录由投标人自行编制]</w:t>
      </w:r>
    </w:p>
    <w:p w14:paraId="1CB3380B">
      <w:pPr>
        <w:widowControl/>
        <w:jc w:val="left"/>
        <w:rPr>
          <w:rFonts w:ascii="宋体" w:hAnsi="宋体"/>
          <w:color w:val="auto"/>
          <w:kern w:val="0"/>
          <w:sz w:val="24"/>
          <w:szCs w:val="21"/>
          <w:highlight w:val="none"/>
        </w:rPr>
      </w:pPr>
      <w:r>
        <w:rPr>
          <w:rFonts w:ascii="宋体" w:hAnsi="宋体"/>
          <w:color w:val="auto"/>
          <w:kern w:val="0"/>
          <w:sz w:val="24"/>
          <w:szCs w:val="21"/>
          <w:highlight w:val="none"/>
        </w:rPr>
        <w:br w:type="page"/>
      </w:r>
    </w:p>
    <w:p w14:paraId="6DBB39B8">
      <w:pPr>
        <w:autoSpaceDE w:val="0"/>
        <w:autoSpaceDN w:val="0"/>
        <w:adjustRightInd w:val="0"/>
        <w:snapToGrid w:val="0"/>
        <w:spacing w:line="360" w:lineRule="auto"/>
        <w:jc w:val="left"/>
        <w:rPr>
          <w:rFonts w:ascii="宋体" w:hAnsi="宋体"/>
          <w:color w:val="auto"/>
          <w:kern w:val="0"/>
          <w:sz w:val="24"/>
          <w:szCs w:val="21"/>
          <w:highlight w:val="none"/>
        </w:rPr>
      </w:pPr>
    </w:p>
    <w:p w14:paraId="2721B0A3">
      <w:pPr>
        <w:autoSpaceDE w:val="0"/>
        <w:autoSpaceDN w:val="0"/>
        <w:adjustRightInd w:val="0"/>
        <w:snapToGrid w:val="0"/>
        <w:spacing w:line="360" w:lineRule="auto"/>
        <w:jc w:val="left"/>
        <w:rPr>
          <w:rFonts w:ascii="宋体" w:hAnsi="宋体"/>
          <w:color w:val="auto"/>
          <w:sz w:val="32"/>
          <w:szCs w:val="32"/>
          <w:highlight w:val="none"/>
        </w:rPr>
      </w:pPr>
    </w:p>
    <w:p w14:paraId="4C674A23">
      <w:pPr>
        <w:autoSpaceDE w:val="0"/>
        <w:autoSpaceDN w:val="0"/>
        <w:adjustRightInd w:val="0"/>
        <w:snapToGrid w:val="0"/>
        <w:spacing w:line="360" w:lineRule="auto"/>
        <w:jc w:val="left"/>
        <w:rPr>
          <w:rFonts w:ascii="宋体" w:hAnsi="宋体"/>
          <w:color w:val="auto"/>
          <w:sz w:val="32"/>
          <w:szCs w:val="32"/>
          <w:highlight w:val="none"/>
        </w:rPr>
      </w:pPr>
    </w:p>
    <w:p w14:paraId="6E01AB53">
      <w:pPr>
        <w:autoSpaceDE w:val="0"/>
        <w:autoSpaceDN w:val="0"/>
        <w:adjustRightInd w:val="0"/>
        <w:snapToGrid w:val="0"/>
        <w:spacing w:line="360" w:lineRule="auto"/>
        <w:jc w:val="center"/>
        <w:rPr>
          <w:rFonts w:ascii="宋体" w:hAnsi="宋体"/>
          <w:color w:val="auto"/>
          <w:sz w:val="32"/>
          <w:szCs w:val="32"/>
          <w:highlight w:val="none"/>
        </w:rPr>
      </w:pPr>
      <w:r>
        <w:rPr>
          <w:rFonts w:hint="eastAsia" w:ascii="宋体" w:hAnsi="宋体"/>
          <w:color w:val="auto"/>
          <w:sz w:val="32"/>
          <w:szCs w:val="32"/>
          <w:highlight w:val="none"/>
        </w:rPr>
        <w:t>分项报价汇总表（如有）</w:t>
      </w:r>
    </w:p>
    <w:p w14:paraId="0C7BBED0">
      <w:pPr>
        <w:autoSpaceDE w:val="0"/>
        <w:autoSpaceDN w:val="0"/>
        <w:adjustRightInd w:val="0"/>
        <w:snapToGrid w:val="0"/>
        <w:spacing w:line="360" w:lineRule="auto"/>
        <w:jc w:val="center"/>
        <w:rPr>
          <w:rFonts w:ascii="宋体" w:hAnsi="宋体"/>
          <w:color w:val="auto"/>
          <w:kern w:val="0"/>
          <w:sz w:val="24"/>
          <w:szCs w:val="21"/>
          <w:highlight w:val="none"/>
        </w:rPr>
      </w:pPr>
      <w:r>
        <w:rPr>
          <w:rFonts w:hint="eastAsia" w:ascii="宋体" w:hAnsi="宋体"/>
          <w:color w:val="auto"/>
          <w:sz w:val="32"/>
          <w:szCs w:val="32"/>
          <w:highlight w:val="none"/>
        </w:rPr>
        <w:t>已标价的工程量清单（如有）</w:t>
      </w:r>
    </w:p>
    <w:p w14:paraId="355706D1">
      <w:pPr>
        <w:autoSpaceDE w:val="0"/>
        <w:autoSpaceDN w:val="0"/>
        <w:adjustRightInd w:val="0"/>
        <w:snapToGrid w:val="0"/>
        <w:spacing w:line="360" w:lineRule="auto"/>
        <w:jc w:val="center"/>
        <w:rPr>
          <w:rFonts w:ascii="宋体" w:hAnsi="宋体"/>
          <w:color w:val="auto"/>
          <w:sz w:val="32"/>
          <w:szCs w:val="32"/>
          <w:highlight w:val="none"/>
        </w:rPr>
      </w:pPr>
      <w:r>
        <w:rPr>
          <w:rFonts w:hint="eastAsia" w:ascii="宋体" w:hAnsi="宋体"/>
          <w:color w:val="auto"/>
          <w:sz w:val="32"/>
          <w:szCs w:val="32"/>
          <w:highlight w:val="none"/>
        </w:rPr>
        <w:t>已报价的设备供货及服务清单（如有）</w:t>
      </w:r>
    </w:p>
    <w:p w14:paraId="50994566">
      <w:pPr>
        <w:widowControl/>
        <w:jc w:val="left"/>
        <w:rPr>
          <w:rFonts w:ascii="宋体" w:hAnsi="宋体"/>
          <w:color w:val="auto"/>
          <w:sz w:val="32"/>
          <w:szCs w:val="32"/>
          <w:highlight w:val="none"/>
        </w:rPr>
      </w:pPr>
      <w:r>
        <w:rPr>
          <w:rFonts w:ascii="宋体" w:hAnsi="宋体"/>
          <w:color w:val="auto"/>
          <w:sz w:val="32"/>
          <w:szCs w:val="32"/>
          <w:highlight w:val="none"/>
        </w:rPr>
        <w:br w:type="page"/>
      </w:r>
    </w:p>
    <w:p w14:paraId="4B080EF8">
      <w:pPr>
        <w:autoSpaceDE w:val="0"/>
        <w:autoSpaceDN w:val="0"/>
        <w:adjustRightInd w:val="0"/>
        <w:snapToGrid w:val="0"/>
        <w:spacing w:line="360" w:lineRule="auto"/>
        <w:jc w:val="center"/>
        <w:rPr>
          <w:rFonts w:ascii="宋体" w:hAnsi="宋体"/>
          <w:color w:val="auto"/>
          <w:sz w:val="32"/>
          <w:szCs w:val="32"/>
          <w:highlight w:val="none"/>
        </w:rPr>
      </w:pPr>
    </w:p>
    <w:p w14:paraId="438ABC12">
      <w:pPr>
        <w:pStyle w:val="4"/>
        <w:spacing w:line="360" w:lineRule="auto"/>
        <w:jc w:val="center"/>
        <w:rPr>
          <w:rFonts w:ascii="宋体" w:hAnsi="宋体"/>
          <w:b w:val="0"/>
          <w:bCs w:val="0"/>
          <w:color w:val="auto"/>
          <w:sz w:val="44"/>
          <w:szCs w:val="44"/>
          <w:highlight w:val="none"/>
        </w:rPr>
      </w:pPr>
      <w:bookmarkStart w:id="2083" w:name="_Toc58860352"/>
      <w:r>
        <w:rPr>
          <w:rFonts w:hint="eastAsia" w:ascii="宋体" w:hAnsi="宋体"/>
          <w:b w:val="0"/>
          <w:bCs w:val="0"/>
          <w:color w:val="auto"/>
          <w:sz w:val="44"/>
          <w:szCs w:val="44"/>
          <w:highlight w:val="none"/>
        </w:rPr>
        <w:t>三、商务部分</w:t>
      </w:r>
      <w:bookmarkEnd w:id="2083"/>
    </w:p>
    <w:p w14:paraId="25E6CDA9">
      <w:pPr>
        <w:jc w:val="center"/>
        <w:rPr>
          <w:color w:val="auto"/>
          <w:highlight w:val="none"/>
        </w:rPr>
      </w:pPr>
      <w:r>
        <w:rPr>
          <w:color w:val="auto"/>
          <w:highlight w:val="none"/>
        </w:rPr>
        <w:t>（不设置</w:t>
      </w:r>
      <w:r>
        <w:rPr>
          <w:rFonts w:hint="eastAsia"/>
          <w:color w:val="auto"/>
          <w:highlight w:val="none"/>
        </w:rPr>
        <w:t>商务部分</w:t>
      </w:r>
      <w:r>
        <w:rPr>
          <w:color w:val="auto"/>
          <w:highlight w:val="none"/>
        </w:rPr>
        <w:t>评审的不设此部分）</w:t>
      </w:r>
    </w:p>
    <w:p w14:paraId="21B00584">
      <w:pPr>
        <w:widowControl/>
        <w:jc w:val="left"/>
        <w:rPr>
          <w:rFonts w:ascii="宋体" w:hAnsi="宋体"/>
          <w:color w:val="auto"/>
          <w:sz w:val="32"/>
          <w:szCs w:val="32"/>
          <w:highlight w:val="none"/>
        </w:rPr>
      </w:pPr>
      <w:r>
        <w:rPr>
          <w:rFonts w:ascii="宋体" w:hAnsi="宋体"/>
          <w:color w:val="auto"/>
          <w:sz w:val="32"/>
          <w:szCs w:val="32"/>
          <w:highlight w:val="none"/>
        </w:rPr>
        <w:br w:type="page"/>
      </w:r>
    </w:p>
    <w:p w14:paraId="7B3ABBD2">
      <w:pPr>
        <w:spacing w:line="360" w:lineRule="auto"/>
        <w:jc w:val="center"/>
        <w:rPr>
          <w:rFonts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5AD375BE">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6D30317B">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04E793E2">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6B8E1040">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53E410BC">
      <w:pPr>
        <w:tabs>
          <w:tab w:val="left" w:pos="3600"/>
          <w:tab w:val="left" w:pos="4480"/>
          <w:tab w:val="left" w:pos="5360"/>
        </w:tabs>
        <w:autoSpaceDE w:val="0"/>
        <w:autoSpaceDN w:val="0"/>
        <w:adjustRightInd w:val="0"/>
        <w:snapToGrid w:val="0"/>
        <w:spacing w:line="360" w:lineRule="auto"/>
        <w:jc w:val="left"/>
        <w:rPr>
          <w:rFonts w:ascii="宋体" w:hAnsi="宋体"/>
          <w:color w:val="auto"/>
          <w:kern w:val="0"/>
          <w:sz w:val="44"/>
          <w:szCs w:val="44"/>
          <w:highlight w:val="none"/>
        </w:rPr>
      </w:pPr>
    </w:p>
    <w:p w14:paraId="4956C5C7">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51F1A04F">
      <w:pPr>
        <w:autoSpaceDE w:val="0"/>
        <w:autoSpaceDN w:val="0"/>
        <w:adjustRightInd w:val="0"/>
        <w:snapToGrid w:val="0"/>
        <w:spacing w:line="360" w:lineRule="auto"/>
        <w:jc w:val="left"/>
        <w:rPr>
          <w:rFonts w:ascii="宋体" w:hAnsi="宋体"/>
          <w:color w:val="auto"/>
          <w:kern w:val="0"/>
          <w:sz w:val="16"/>
          <w:szCs w:val="16"/>
          <w:highlight w:val="none"/>
        </w:rPr>
      </w:pPr>
    </w:p>
    <w:p w14:paraId="299F7CBB">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商务部分</w:t>
      </w:r>
    </w:p>
    <w:p w14:paraId="671FCB8E">
      <w:pPr>
        <w:autoSpaceDE w:val="0"/>
        <w:autoSpaceDN w:val="0"/>
        <w:adjustRightInd w:val="0"/>
        <w:snapToGrid w:val="0"/>
        <w:spacing w:line="360" w:lineRule="auto"/>
        <w:jc w:val="left"/>
        <w:rPr>
          <w:rFonts w:ascii="宋体" w:hAnsi="宋体"/>
          <w:b/>
          <w:color w:val="auto"/>
          <w:kern w:val="0"/>
          <w:sz w:val="20"/>
          <w:szCs w:val="20"/>
          <w:highlight w:val="none"/>
        </w:rPr>
      </w:pPr>
    </w:p>
    <w:p w14:paraId="5C1F1050">
      <w:pPr>
        <w:autoSpaceDE w:val="0"/>
        <w:autoSpaceDN w:val="0"/>
        <w:adjustRightInd w:val="0"/>
        <w:snapToGrid w:val="0"/>
        <w:spacing w:line="360" w:lineRule="auto"/>
        <w:jc w:val="left"/>
        <w:rPr>
          <w:rFonts w:ascii="宋体" w:hAnsi="宋体"/>
          <w:b/>
          <w:color w:val="auto"/>
          <w:kern w:val="0"/>
          <w:sz w:val="20"/>
          <w:szCs w:val="20"/>
          <w:highlight w:val="none"/>
        </w:rPr>
      </w:pPr>
    </w:p>
    <w:p w14:paraId="3F49A151">
      <w:pPr>
        <w:autoSpaceDE w:val="0"/>
        <w:autoSpaceDN w:val="0"/>
        <w:adjustRightInd w:val="0"/>
        <w:snapToGrid w:val="0"/>
        <w:spacing w:line="360" w:lineRule="auto"/>
        <w:jc w:val="left"/>
        <w:rPr>
          <w:rFonts w:ascii="宋体" w:hAnsi="宋体"/>
          <w:b/>
          <w:color w:val="auto"/>
          <w:kern w:val="0"/>
          <w:sz w:val="20"/>
          <w:szCs w:val="20"/>
          <w:highlight w:val="none"/>
        </w:rPr>
      </w:pPr>
    </w:p>
    <w:p w14:paraId="4B70CADD">
      <w:pPr>
        <w:autoSpaceDE w:val="0"/>
        <w:autoSpaceDN w:val="0"/>
        <w:adjustRightInd w:val="0"/>
        <w:snapToGrid w:val="0"/>
        <w:spacing w:line="360" w:lineRule="auto"/>
        <w:jc w:val="left"/>
        <w:rPr>
          <w:rFonts w:ascii="宋体" w:hAnsi="宋体"/>
          <w:b/>
          <w:color w:val="auto"/>
          <w:kern w:val="0"/>
          <w:sz w:val="20"/>
          <w:szCs w:val="20"/>
          <w:highlight w:val="none"/>
        </w:rPr>
      </w:pPr>
    </w:p>
    <w:p w14:paraId="16165312">
      <w:pPr>
        <w:autoSpaceDE w:val="0"/>
        <w:autoSpaceDN w:val="0"/>
        <w:adjustRightInd w:val="0"/>
        <w:snapToGrid w:val="0"/>
        <w:spacing w:line="360" w:lineRule="auto"/>
        <w:jc w:val="left"/>
        <w:rPr>
          <w:rFonts w:ascii="宋体" w:hAnsi="宋体"/>
          <w:b/>
          <w:color w:val="auto"/>
          <w:kern w:val="0"/>
          <w:sz w:val="20"/>
          <w:szCs w:val="20"/>
          <w:highlight w:val="none"/>
        </w:rPr>
      </w:pPr>
    </w:p>
    <w:p w14:paraId="296E48DE">
      <w:pPr>
        <w:autoSpaceDE w:val="0"/>
        <w:autoSpaceDN w:val="0"/>
        <w:adjustRightInd w:val="0"/>
        <w:snapToGrid w:val="0"/>
        <w:spacing w:line="360" w:lineRule="auto"/>
        <w:jc w:val="left"/>
        <w:rPr>
          <w:rFonts w:ascii="宋体" w:hAnsi="宋体"/>
          <w:b/>
          <w:color w:val="auto"/>
          <w:kern w:val="0"/>
          <w:sz w:val="20"/>
          <w:szCs w:val="20"/>
          <w:highlight w:val="none"/>
        </w:rPr>
      </w:pPr>
    </w:p>
    <w:p w14:paraId="1E30E8BC">
      <w:pPr>
        <w:autoSpaceDE w:val="0"/>
        <w:autoSpaceDN w:val="0"/>
        <w:adjustRightInd w:val="0"/>
        <w:snapToGrid w:val="0"/>
        <w:spacing w:line="360" w:lineRule="auto"/>
        <w:jc w:val="left"/>
        <w:rPr>
          <w:rFonts w:ascii="宋体" w:hAnsi="宋体"/>
          <w:b/>
          <w:color w:val="auto"/>
          <w:kern w:val="0"/>
          <w:sz w:val="20"/>
          <w:szCs w:val="20"/>
          <w:highlight w:val="none"/>
        </w:rPr>
      </w:pPr>
    </w:p>
    <w:p w14:paraId="5DF66F07">
      <w:pPr>
        <w:autoSpaceDE w:val="0"/>
        <w:autoSpaceDN w:val="0"/>
        <w:adjustRightInd w:val="0"/>
        <w:snapToGrid w:val="0"/>
        <w:spacing w:line="360" w:lineRule="auto"/>
        <w:jc w:val="left"/>
        <w:rPr>
          <w:rFonts w:ascii="宋体" w:hAnsi="宋体"/>
          <w:b/>
          <w:color w:val="auto"/>
          <w:kern w:val="0"/>
          <w:sz w:val="20"/>
          <w:szCs w:val="20"/>
          <w:highlight w:val="none"/>
        </w:rPr>
      </w:pPr>
    </w:p>
    <w:p w14:paraId="740C78FD">
      <w:pPr>
        <w:autoSpaceDE w:val="0"/>
        <w:autoSpaceDN w:val="0"/>
        <w:adjustRightInd w:val="0"/>
        <w:snapToGrid w:val="0"/>
        <w:spacing w:line="360" w:lineRule="auto"/>
        <w:jc w:val="left"/>
        <w:rPr>
          <w:rFonts w:ascii="宋体" w:hAnsi="宋体"/>
          <w:b/>
          <w:color w:val="auto"/>
          <w:kern w:val="0"/>
          <w:sz w:val="20"/>
          <w:szCs w:val="20"/>
          <w:highlight w:val="none"/>
        </w:rPr>
      </w:pPr>
    </w:p>
    <w:p w14:paraId="34FF27BD">
      <w:pPr>
        <w:autoSpaceDE w:val="0"/>
        <w:autoSpaceDN w:val="0"/>
        <w:adjustRightInd w:val="0"/>
        <w:snapToGrid w:val="0"/>
        <w:spacing w:line="360" w:lineRule="auto"/>
        <w:jc w:val="left"/>
        <w:rPr>
          <w:rFonts w:ascii="宋体" w:hAnsi="宋体"/>
          <w:b/>
          <w:color w:val="auto"/>
          <w:kern w:val="0"/>
          <w:sz w:val="20"/>
          <w:szCs w:val="20"/>
          <w:highlight w:val="none"/>
        </w:rPr>
      </w:pPr>
    </w:p>
    <w:p w14:paraId="3D90BDF0">
      <w:pPr>
        <w:autoSpaceDE w:val="0"/>
        <w:autoSpaceDN w:val="0"/>
        <w:adjustRightInd w:val="0"/>
        <w:snapToGrid w:val="0"/>
        <w:spacing w:line="360" w:lineRule="auto"/>
        <w:jc w:val="left"/>
        <w:rPr>
          <w:rFonts w:ascii="宋体" w:hAnsi="宋体"/>
          <w:b/>
          <w:color w:val="auto"/>
          <w:kern w:val="0"/>
          <w:sz w:val="20"/>
          <w:szCs w:val="20"/>
          <w:highlight w:val="none"/>
        </w:rPr>
      </w:pPr>
    </w:p>
    <w:p w14:paraId="30AA22BC">
      <w:pPr>
        <w:tabs>
          <w:tab w:val="left" w:pos="6080"/>
          <w:tab w:val="left" w:pos="6640"/>
        </w:tabs>
        <w:autoSpaceDE w:val="0"/>
        <w:autoSpaceDN w:val="0"/>
        <w:adjustRightInd w:val="0"/>
        <w:snapToGrid w:val="0"/>
        <w:spacing w:after="156" w:afterLines="50" w:line="36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371ED44A">
      <w:pPr>
        <w:tabs>
          <w:tab w:val="left" w:pos="6080"/>
          <w:tab w:val="left" w:pos="6640"/>
        </w:tabs>
        <w:autoSpaceDE w:val="0"/>
        <w:autoSpaceDN w:val="0"/>
        <w:adjustRightInd w:val="0"/>
        <w:snapToGrid w:val="0"/>
        <w:spacing w:after="156" w:afterLines="50" w:line="36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4B8F45F0">
      <w:pPr>
        <w:autoSpaceDE w:val="0"/>
        <w:autoSpaceDN w:val="0"/>
        <w:adjustRightInd w:val="0"/>
        <w:snapToGrid w:val="0"/>
        <w:spacing w:line="360" w:lineRule="auto"/>
        <w:jc w:val="center"/>
        <w:rPr>
          <w:rFonts w:ascii="宋体" w:hAnsi="宋体"/>
          <w:color w:val="auto"/>
          <w:sz w:val="32"/>
          <w:szCs w:val="32"/>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p>
    <w:p w14:paraId="1881C8F4">
      <w:pPr>
        <w:widowControl/>
        <w:jc w:val="left"/>
        <w:rPr>
          <w:rFonts w:ascii="宋体" w:hAnsi="宋体"/>
          <w:color w:val="auto"/>
          <w:sz w:val="32"/>
          <w:szCs w:val="32"/>
          <w:highlight w:val="none"/>
        </w:rPr>
      </w:pPr>
      <w:r>
        <w:rPr>
          <w:rFonts w:ascii="宋体" w:hAnsi="宋体"/>
          <w:color w:val="auto"/>
          <w:sz w:val="32"/>
          <w:szCs w:val="32"/>
          <w:highlight w:val="none"/>
        </w:rPr>
        <w:br w:type="page"/>
      </w:r>
    </w:p>
    <w:p w14:paraId="7A48BEDF">
      <w:pPr>
        <w:autoSpaceDE w:val="0"/>
        <w:autoSpaceDN w:val="0"/>
        <w:adjustRightInd w:val="0"/>
        <w:snapToGrid w:val="0"/>
        <w:spacing w:line="360" w:lineRule="auto"/>
        <w:jc w:val="center"/>
        <w:rPr>
          <w:rFonts w:ascii="宋体" w:hAnsi="宋体"/>
          <w:color w:val="auto"/>
          <w:sz w:val="32"/>
          <w:szCs w:val="32"/>
          <w:highlight w:val="none"/>
        </w:rPr>
      </w:pPr>
    </w:p>
    <w:p w14:paraId="25BE5EB9">
      <w:pPr>
        <w:autoSpaceDE w:val="0"/>
        <w:autoSpaceDN w:val="0"/>
        <w:adjustRightInd w:val="0"/>
        <w:snapToGrid w:val="0"/>
        <w:spacing w:line="360" w:lineRule="auto"/>
        <w:jc w:val="center"/>
        <w:rPr>
          <w:rFonts w:ascii="宋体" w:hAnsi="宋体"/>
          <w:color w:val="auto"/>
          <w:kern w:val="0"/>
          <w:sz w:val="32"/>
          <w:szCs w:val="32"/>
          <w:highlight w:val="none"/>
        </w:rPr>
      </w:pPr>
      <w:r>
        <w:rPr>
          <w:rFonts w:hint="eastAsia" w:ascii="宋体" w:hAnsi="宋体"/>
          <w:color w:val="auto"/>
          <w:kern w:val="0"/>
          <w:sz w:val="36"/>
          <w:szCs w:val="36"/>
          <w:highlight w:val="none"/>
        </w:rPr>
        <w:t>目  录</w:t>
      </w:r>
    </w:p>
    <w:p w14:paraId="54BC1ADD">
      <w:pPr>
        <w:autoSpaceDE w:val="0"/>
        <w:autoSpaceDN w:val="0"/>
        <w:adjustRightInd w:val="0"/>
        <w:snapToGrid w:val="0"/>
        <w:spacing w:line="360" w:lineRule="auto"/>
        <w:jc w:val="left"/>
        <w:rPr>
          <w:rFonts w:ascii="宋体" w:hAnsi="宋体"/>
          <w:color w:val="auto"/>
          <w:kern w:val="0"/>
          <w:sz w:val="32"/>
          <w:szCs w:val="32"/>
          <w:highlight w:val="none"/>
        </w:rPr>
      </w:pPr>
    </w:p>
    <w:p w14:paraId="4DF86BC7">
      <w:pPr>
        <w:autoSpaceDE w:val="0"/>
        <w:autoSpaceDN w:val="0"/>
        <w:adjustRightInd w:val="0"/>
        <w:snapToGrid w:val="0"/>
        <w:spacing w:line="360" w:lineRule="auto"/>
        <w:jc w:val="center"/>
        <w:rPr>
          <w:rFonts w:ascii="宋体" w:hAnsi="宋体"/>
          <w:color w:val="auto"/>
          <w:sz w:val="32"/>
          <w:szCs w:val="32"/>
          <w:highlight w:val="none"/>
        </w:rPr>
      </w:pPr>
      <w:r>
        <w:rPr>
          <w:rFonts w:ascii="宋体" w:hAnsi="宋体"/>
          <w:color w:val="auto"/>
          <w:kern w:val="0"/>
          <w:szCs w:val="21"/>
          <w:highlight w:val="none"/>
        </w:rPr>
        <w:t>[目录由投标人自行编制]</w:t>
      </w:r>
    </w:p>
    <w:p w14:paraId="5A4E7A40">
      <w:pPr>
        <w:autoSpaceDE w:val="0"/>
        <w:autoSpaceDN w:val="0"/>
        <w:adjustRightInd w:val="0"/>
        <w:snapToGrid w:val="0"/>
        <w:spacing w:line="360" w:lineRule="auto"/>
        <w:jc w:val="left"/>
        <w:rPr>
          <w:rFonts w:ascii="宋体" w:hAnsi="宋体"/>
          <w:color w:val="auto"/>
          <w:kern w:val="0"/>
          <w:sz w:val="24"/>
          <w:szCs w:val="21"/>
          <w:highlight w:val="none"/>
        </w:rPr>
      </w:pPr>
      <w:r>
        <w:rPr>
          <w:rFonts w:ascii="宋体" w:hAnsi="宋体"/>
          <w:color w:val="auto"/>
          <w:kern w:val="0"/>
          <w:sz w:val="24"/>
          <w:szCs w:val="21"/>
          <w:highlight w:val="none"/>
        </w:rPr>
        <w:br w:type="page"/>
      </w:r>
    </w:p>
    <w:p w14:paraId="61C88BC5">
      <w:pPr>
        <w:autoSpaceDE w:val="0"/>
        <w:autoSpaceDN w:val="0"/>
        <w:adjustRightInd w:val="0"/>
        <w:snapToGrid w:val="0"/>
        <w:spacing w:line="360" w:lineRule="auto"/>
        <w:jc w:val="left"/>
        <w:rPr>
          <w:rFonts w:ascii="宋体" w:hAnsi="宋体"/>
          <w:color w:val="auto"/>
          <w:kern w:val="0"/>
          <w:sz w:val="24"/>
          <w:szCs w:val="21"/>
          <w:highlight w:val="none"/>
        </w:rPr>
      </w:pPr>
    </w:p>
    <w:p w14:paraId="51D62B5C">
      <w:pPr>
        <w:pStyle w:val="4"/>
        <w:spacing w:line="360" w:lineRule="auto"/>
        <w:jc w:val="center"/>
        <w:rPr>
          <w:rFonts w:ascii="宋体" w:hAnsi="宋体"/>
          <w:b w:val="0"/>
          <w:bCs w:val="0"/>
          <w:color w:val="auto"/>
          <w:sz w:val="44"/>
          <w:szCs w:val="44"/>
          <w:highlight w:val="none"/>
        </w:rPr>
      </w:pPr>
      <w:bookmarkStart w:id="2084" w:name="_Toc58860353"/>
      <w:r>
        <w:rPr>
          <w:rFonts w:hint="eastAsia" w:ascii="宋体" w:hAnsi="宋体"/>
          <w:b w:val="0"/>
          <w:bCs w:val="0"/>
          <w:color w:val="auto"/>
          <w:sz w:val="44"/>
          <w:szCs w:val="44"/>
          <w:highlight w:val="none"/>
        </w:rPr>
        <w:t>四、技术部分</w:t>
      </w:r>
      <w:bookmarkEnd w:id="2079"/>
      <w:bookmarkEnd w:id="2080"/>
      <w:bookmarkEnd w:id="2084"/>
    </w:p>
    <w:p w14:paraId="19DEC24E">
      <w:pPr>
        <w:jc w:val="center"/>
        <w:rPr>
          <w:color w:val="auto"/>
          <w:highlight w:val="none"/>
        </w:rPr>
      </w:pPr>
      <w:bookmarkStart w:id="2085" w:name="_Toc430530537"/>
      <w:bookmarkStart w:id="2086" w:name="_Toc509218856"/>
      <w:bookmarkStart w:id="2087" w:name="_Toc536628352"/>
      <w:bookmarkStart w:id="2088" w:name="_Toc534185833"/>
      <w:r>
        <w:rPr>
          <w:color w:val="auto"/>
          <w:highlight w:val="none"/>
        </w:rPr>
        <w:t>（不设置</w:t>
      </w:r>
      <w:r>
        <w:rPr>
          <w:rFonts w:hint="eastAsia"/>
          <w:color w:val="auto"/>
          <w:highlight w:val="none"/>
        </w:rPr>
        <w:t>技术部分</w:t>
      </w:r>
      <w:r>
        <w:rPr>
          <w:color w:val="auto"/>
          <w:highlight w:val="none"/>
        </w:rPr>
        <w:t>评审的不设此部分）</w:t>
      </w:r>
      <w:bookmarkEnd w:id="2081"/>
      <w:bookmarkEnd w:id="2082"/>
      <w:bookmarkEnd w:id="2085"/>
      <w:bookmarkEnd w:id="2086"/>
      <w:bookmarkEnd w:id="2087"/>
      <w:bookmarkEnd w:id="2088"/>
    </w:p>
    <w:p w14:paraId="3A4CCB43">
      <w:pPr>
        <w:autoSpaceDE w:val="0"/>
        <w:autoSpaceDN w:val="0"/>
        <w:adjustRightInd w:val="0"/>
        <w:snapToGrid w:val="0"/>
        <w:spacing w:line="360" w:lineRule="auto"/>
        <w:ind w:firstLine="411" w:firstLineChars="196"/>
        <w:rPr>
          <w:rFonts w:ascii="宋体" w:hAnsi="宋体"/>
          <w:b/>
          <w:snapToGrid w:val="0"/>
          <w:color w:val="auto"/>
          <w:kern w:val="0"/>
          <w:sz w:val="24"/>
          <w:highlight w:val="none"/>
        </w:rPr>
      </w:pP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2541270</wp:posOffset>
                </wp:positionH>
                <wp:positionV relativeFrom="paragraph">
                  <wp:posOffset>8717280</wp:posOffset>
                </wp:positionV>
                <wp:extent cx="807720" cy="693420"/>
                <wp:effectExtent l="0" t="0" r="0" b="0"/>
                <wp:wrapNone/>
                <wp:docPr id="350" name="矩形 113"/>
                <wp:cNvGraphicFramePr/>
                <a:graphic xmlns:a="http://schemas.openxmlformats.org/drawingml/2006/main">
                  <a:graphicData uri="http://schemas.microsoft.com/office/word/2010/wordprocessingShape">
                    <wps:wsp>
                      <wps:cNvSpPr>
                        <a:spLocks noChangeArrowheads="1"/>
                      </wps:cNvSpPr>
                      <wps:spPr bwMode="auto">
                        <a:xfrm>
                          <a:off x="0" y="0"/>
                          <a:ext cx="807720" cy="693420"/>
                        </a:xfrm>
                        <a:prstGeom prst="rect">
                          <a:avLst/>
                        </a:prstGeom>
                        <a:solidFill>
                          <a:srgbClr val="FFFFFF"/>
                        </a:solidFill>
                        <a:ln>
                          <a:noFill/>
                        </a:ln>
                        <a:effectLst/>
                      </wps:spPr>
                      <wps:txbx>
                        <w:txbxContent>
                          <w:p w14:paraId="49C104FE">
                            <w:pPr>
                              <w:jc w:val="center"/>
                            </w:pPr>
                          </w:p>
                        </w:txbxContent>
                      </wps:txbx>
                      <wps:bodyPr rot="0" vert="horz" wrap="square" lIns="91440" tIns="45720" rIns="91440" bIns="45720" anchor="t" anchorCtr="0" upright="1">
                        <a:noAutofit/>
                      </wps:bodyPr>
                    </wps:wsp>
                  </a:graphicData>
                </a:graphic>
              </wp:anchor>
            </w:drawing>
          </mc:Choice>
          <mc:Fallback>
            <w:pict>
              <v:rect id="矩形 113" o:spid="_x0000_s1026" o:spt="1" style="position:absolute;left:0pt;margin-left:200.1pt;margin-top:686.4pt;height:54.6pt;width:63.6pt;z-index:251662336;mso-width-relative:page;mso-height-relative:page;" fillcolor="#FFFFFF" filled="t" stroked="f" coordsize="21600,21600" o:gfxdata="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CS8a1XaAAAADQEAAA8AAAAAAAAAAQAgAAAAIgAAAGRycy9kb3ducmV2LnhtbFBLAQIUABQAAAAI&#10;AIdO4kCmjfCkJAIAAEIEAAAOAAAAAAAAAAEAIAAAACkBAABkcnMvZTJvRG9jLnhtbFBLBQYAAAAA&#10;BgAGAFkBAAC/BQAAAAA=&#10;">
                <v:fill on="t" focussize="0,0"/>
                <v:stroke on="f"/>
                <v:imagedata o:title=""/>
                <o:lock v:ext="edit" aspectratio="f"/>
                <v:textbox>
                  <w:txbxContent>
                    <w:p w14:paraId="49C104FE">
                      <w:pPr>
                        <w:jc w:val="center"/>
                      </w:pPr>
                    </w:p>
                  </w:txbxContent>
                </v:textbox>
              </v:rect>
            </w:pict>
          </mc:Fallback>
        </mc:AlternateContent>
      </w:r>
    </w:p>
    <w:p w14:paraId="506161D7">
      <w:pPr>
        <w:autoSpaceDE w:val="0"/>
        <w:autoSpaceDN w:val="0"/>
        <w:adjustRightInd w:val="0"/>
        <w:snapToGrid w:val="0"/>
        <w:spacing w:line="360" w:lineRule="auto"/>
        <w:jc w:val="center"/>
        <w:rPr>
          <w:rFonts w:ascii="宋体" w:hAnsi="宋体"/>
          <w:color w:val="auto"/>
          <w:kern w:val="0"/>
          <w:sz w:val="24"/>
          <w:highlight w:val="none"/>
        </w:rPr>
      </w:pPr>
      <w:r>
        <w:rPr>
          <w:rFonts w:ascii="宋体" w:hAnsi="宋体"/>
          <w:color w:val="auto"/>
          <w:kern w:val="0"/>
          <w:sz w:val="24"/>
          <w:highlight w:val="none"/>
        </w:rPr>
        <w:br w:type="page"/>
      </w:r>
    </w:p>
    <w:p w14:paraId="7BF0EE43">
      <w:pPr>
        <w:autoSpaceDE w:val="0"/>
        <w:autoSpaceDN w:val="0"/>
        <w:adjustRightInd w:val="0"/>
        <w:snapToGrid w:val="0"/>
        <w:spacing w:line="360" w:lineRule="auto"/>
        <w:jc w:val="left"/>
        <w:rPr>
          <w:rFonts w:ascii="宋体" w:hAnsi="宋体"/>
          <w:color w:val="auto"/>
          <w:kern w:val="0"/>
          <w:sz w:val="24"/>
          <w:szCs w:val="21"/>
          <w:highlight w:val="none"/>
        </w:rPr>
      </w:pPr>
    </w:p>
    <w:p w14:paraId="0E0016E3">
      <w:pPr>
        <w:autoSpaceDE w:val="0"/>
        <w:autoSpaceDN w:val="0"/>
        <w:adjustRightInd w:val="0"/>
        <w:snapToGrid w:val="0"/>
        <w:spacing w:line="360" w:lineRule="auto"/>
        <w:jc w:val="center"/>
        <w:rPr>
          <w:rFonts w:ascii="宋体" w:hAnsi="宋体"/>
          <w:color w:val="auto"/>
          <w:kern w:val="0"/>
          <w:sz w:val="32"/>
          <w:szCs w:val="32"/>
          <w:highlight w:val="none"/>
        </w:rPr>
      </w:pPr>
      <w:r>
        <w:rPr>
          <w:rFonts w:hint="eastAsia" w:ascii="宋体" w:hAnsi="宋体"/>
          <w:color w:val="auto"/>
          <w:kern w:val="0"/>
          <w:sz w:val="36"/>
          <w:szCs w:val="36"/>
          <w:highlight w:val="none"/>
        </w:rPr>
        <w:t>目  录</w:t>
      </w:r>
    </w:p>
    <w:p w14:paraId="3B0885A0">
      <w:pPr>
        <w:autoSpaceDE w:val="0"/>
        <w:autoSpaceDN w:val="0"/>
        <w:adjustRightInd w:val="0"/>
        <w:snapToGrid w:val="0"/>
        <w:spacing w:line="360" w:lineRule="auto"/>
        <w:jc w:val="left"/>
        <w:rPr>
          <w:rFonts w:ascii="宋体" w:hAnsi="宋体"/>
          <w:color w:val="auto"/>
          <w:kern w:val="0"/>
          <w:sz w:val="32"/>
          <w:szCs w:val="32"/>
          <w:highlight w:val="none"/>
        </w:rPr>
      </w:pPr>
    </w:p>
    <w:p w14:paraId="0132D499">
      <w:pPr>
        <w:autoSpaceDE w:val="0"/>
        <w:autoSpaceDN w:val="0"/>
        <w:adjustRightInd w:val="0"/>
        <w:snapToGrid w:val="0"/>
        <w:spacing w:line="360" w:lineRule="auto"/>
        <w:jc w:val="center"/>
        <w:rPr>
          <w:rFonts w:ascii="宋体" w:hAnsi="宋体"/>
          <w:color w:val="auto"/>
          <w:kern w:val="0"/>
          <w:szCs w:val="21"/>
          <w:highlight w:val="none"/>
        </w:rPr>
      </w:pPr>
      <w:r>
        <w:rPr>
          <w:rFonts w:ascii="宋体" w:hAnsi="宋体"/>
          <w:color w:val="auto"/>
          <w:kern w:val="0"/>
          <w:szCs w:val="21"/>
          <w:highlight w:val="none"/>
        </w:rPr>
        <w:t>[目录由投标人自行编制]</w:t>
      </w:r>
    </w:p>
    <w:p w14:paraId="600427C0">
      <w:pPr>
        <w:widowControl/>
        <w:jc w:val="left"/>
        <w:rPr>
          <w:rFonts w:ascii="宋体" w:hAnsi="宋体"/>
          <w:color w:val="auto"/>
          <w:kern w:val="0"/>
          <w:szCs w:val="21"/>
          <w:highlight w:val="none"/>
        </w:rPr>
      </w:pPr>
      <w:r>
        <w:rPr>
          <w:rFonts w:ascii="宋体" w:hAnsi="宋体"/>
          <w:color w:val="auto"/>
          <w:kern w:val="0"/>
          <w:szCs w:val="21"/>
          <w:highlight w:val="none"/>
        </w:rPr>
        <w:br w:type="page"/>
      </w:r>
    </w:p>
    <w:p w14:paraId="1C42F6B4">
      <w:pPr>
        <w:autoSpaceDE w:val="0"/>
        <w:autoSpaceDN w:val="0"/>
        <w:adjustRightInd w:val="0"/>
        <w:snapToGrid w:val="0"/>
        <w:spacing w:line="360" w:lineRule="auto"/>
        <w:jc w:val="center"/>
        <w:rPr>
          <w:rFonts w:ascii="宋体" w:hAnsi="宋体"/>
          <w:color w:val="auto"/>
          <w:kern w:val="0"/>
          <w:szCs w:val="21"/>
          <w:highlight w:val="none"/>
        </w:rPr>
      </w:pPr>
    </w:p>
    <w:p w14:paraId="0D441819">
      <w:pPr>
        <w:autoSpaceDE w:val="0"/>
        <w:autoSpaceDN w:val="0"/>
        <w:spacing w:line="443" w:lineRule="exact"/>
        <w:jc w:val="center"/>
        <w:outlineLvl w:val="1"/>
        <w:rPr>
          <w:rFonts w:ascii="宋体" w:hAnsi="宋体"/>
          <w:color w:val="auto"/>
          <w:sz w:val="32"/>
          <w:szCs w:val="32"/>
          <w:highlight w:val="none"/>
        </w:rPr>
      </w:pPr>
      <w:bookmarkStart w:id="2089" w:name="_Toc1725859"/>
      <w:bookmarkStart w:id="2090" w:name="_Toc1725771"/>
      <w:bookmarkStart w:id="2091" w:name="_Toc1727688"/>
      <w:bookmarkStart w:id="2092" w:name="_Toc51766769"/>
      <w:bookmarkStart w:id="2093" w:name="_Toc58860354"/>
      <w:r>
        <w:rPr>
          <w:rFonts w:hint="eastAsia" w:ascii="宋体" w:hAnsi="宋体"/>
          <w:color w:val="auto"/>
          <w:sz w:val="32"/>
          <w:szCs w:val="32"/>
          <w:highlight w:val="none"/>
        </w:rPr>
        <w:t>设备材料功能和技术性能</w:t>
      </w:r>
      <w:r>
        <w:rPr>
          <w:rFonts w:ascii="宋体" w:hAnsi="宋体"/>
          <w:color w:val="auto"/>
          <w:sz w:val="32"/>
          <w:szCs w:val="32"/>
          <w:highlight w:val="none"/>
        </w:rPr>
        <w:t>偏差表</w:t>
      </w:r>
      <w:bookmarkEnd w:id="2089"/>
      <w:bookmarkEnd w:id="2090"/>
      <w:bookmarkEnd w:id="2091"/>
      <w:r>
        <w:rPr>
          <w:rFonts w:hint="eastAsia" w:ascii="宋体" w:hAnsi="宋体"/>
          <w:color w:val="auto"/>
          <w:sz w:val="32"/>
          <w:szCs w:val="32"/>
          <w:highlight w:val="none"/>
        </w:rPr>
        <w:t>（如有）</w:t>
      </w:r>
      <w:bookmarkEnd w:id="2092"/>
      <w:bookmarkEnd w:id="2093"/>
    </w:p>
    <w:p w14:paraId="4BC0F4ED">
      <w:pPr>
        <w:autoSpaceDE w:val="0"/>
        <w:autoSpaceDN w:val="0"/>
        <w:spacing w:after="120"/>
        <w:jc w:val="left"/>
        <w:rPr>
          <w:rFonts w:ascii="Microsoft JhengHei" w:hAnsi="宋体" w:cs="宋体"/>
          <w:b/>
          <w:color w:val="auto"/>
          <w:kern w:val="0"/>
          <w:sz w:val="20"/>
          <w:highlight w:val="none"/>
        </w:rPr>
      </w:pPr>
    </w:p>
    <w:p w14:paraId="33B66B4A">
      <w:pPr>
        <w:autoSpaceDE w:val="0"/>
        <w:autoSpaceDN w:val="0"/>
        <w:spacing w:before="12" w:after="120"/>
        <w:jc w:val="left"/>
        <w:rPr>
          <w:rFonts w:ascii="Microsoft JhengHei" w:hAnsi="宋体" w:cs="宋体"/>
          <w:b/>
          <w:color w:val="auto"/>
          <w:kern w:val="0"/>
          <w:sz w:val="12"/>
          <w:highlight w:val="none"/>
        </w:rPr>
      </w:pPr>
    </w:p>
    <w:tbl>
      <w:tblPr>
        <w:tblStyle w:val="45"/>
        <w:tblW w:w="9015" w:type="dxa"/>
        <w:tblInd w:w="28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15"/>
        <w:gridCol w:w="2953"/>
        <w:gridCol w:w="3265"/>
        <w:gridCol w:w="1782"/>
      </w:tblGrid>
      <w:tr w14:paraId="3E0281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015" w:type="dxa"/>
          </w:tcPr>
          <w:p w14:paraId="7BE0E550">
            <w:pPr>
              <w:autoSpaceDE w:val="0"/>
              <w:autoSpaceDN w:val="0"/>
              <w:spacing w:before="71" w:line="352" w:lineRule="exact"/>
              <w:ind w:left="223" w:right="218"/>
              <w:jc w:val="center"/>
              <w:rPr>
                <w:rFonts w:ascii="宋体" w:hAnsi="宋体" w:cs="宋体"/>
                <w:bCs/>
                <w:color w:val="auto"/>
                <w:kern w:val="0"/>
                <w:highlight w:val="none"/>
                <w:lang w:eastAsia="en-US"/>
              </w:rPr>
            </w:pPr>
            <w:r>
              <w:rPr>
                <w:rFonts w:ascii="宋体" w:hAnsi="宋体" w:cs="宋体"/>
                <w:bCs/>
                <w:color w:val="auto"/>
                <w:kern w:val="0"/>
                <w:highlight w:val="none"/>
                <w:lang w:eastAsia="en-US"/>
              </w:rPr>
              <w:t>序号</w:t>
            </w:r>
          </w:p>
        </w:tc>
        <w:tc>
          <w:tcPr>
            <w:tcW w:w="2953" w:type="dxa"/>
          </w:tcPr>
          <w:p w14:paraId="60CFF6BE">
            <w:pPr>
              <w:autoSpaceDE w:val="0"/>
              <w:autoSpaceDN w:val="0"/>
              <w:spacing w:before="71" w:line="352" w:lineRule="exact"/>
              <w:ind w:left="290"/>
              <w:jc w:val="left"/>
              <w:rPr>
                <w:rFonts w:ascii="宋体" w:hAnsi="宋体" w:cs="宋体"/>
                <w:bCs/>
                <w:color w:val="auto"/>
                <w:kern w:val="0"/>
                <w:highlight w:val="none"/>
              </w:rPr>
            </w:pPr>
            <w:r>
              <w:rPr>
                <w:rFonts w:ascii="宋体" w:hAnsi="宋体" w:cs="宋体"/>
                <w:bCs/>
                <w:color w:val="auto"/>
                <w:kern w:val="0"/>
                <w:highlight w:val="none"/>
              </w:rPr>
              <w:t>招标文件章节及条款号</w:t>
            </w:r>
          </w:p>
        </w:tc>
        <w:tc>
          <w:tcPr>
            <w:tcW w:w="3265" w:type="dxa"/>
          </w:tcPr>
          <w:p w14:paraId="1E9A3943">
            <w:pPr>
              <w:autoSpaceDE w:val="0"/>
              <w:autoSpaceDN w:val="0"/>
              <w:spacing w:before="71" w:line="352" w:lineRule="exact"/>
              <w:ind w:left="435"/>
              <w:jc w:val="left"/>
              <w:rPr>
                <w:rFonts w:ascii="宋体" w:hAnsi="宋体" w:cs="宋体"/>
                <w:bCs/>
                <w:color w:val="auto"/>
                <w:kern w:val="0"/>
                <w:highlight w:val="none"/>
              </w:rPr>
            </w:pPr>
            <w:r>
              <w:rPr>
                <w:rFonts w:ascii="宋体" w:hAnsi="宋体" w:cs="宋体"/>
                <w:bCs/>
                <w:color w:val="auto"/>
                <w:kern w:val="0"/>
                <w:highlight w:val="none"/>
              </w:rPr>
              <w:t>投标文件章节及条款号</w:t>
            </w:r>
          </w:p>
        </w:tc>
        <w:tc>
          <w:tcPr>
            <w:tcW w:w="1782" w:type="dxa"/>
          </w:tcPr>
          <w:p w14:paraId="7E3517B1">
            <w:pPr>
              <w:autoSpaceDE w:val="0"/>
              <w:autoSpaceDN w:val="0"/>
              <w:spacing w:before="71" w:line="352" w:lineRule="exact"/>
              <w:ind w:left="392"/>
              <w:jc w:val="left"/>
              <w:rPr>
                <w:rFonts w:ascii="宋体" w:hAnsi="宋体" w:cs="宋体"/>
                <w:bCs/>
                <w:color w:val="auto"/>
                <w:kern w:val="0"/>
                <w:highlight w:val="none"/>
                <w:lang w:eastAsia="en-US"/>
              </w:rPr>
            </w:pPr>
            <w:r>
              <w:rPr>
                <w:rFonts w:ascii="宋体" w:hAnsi="宋体" w:cs="宋体"/>
                <w:bCs/>
                <w:color w:val="auto"/>
                <w:kern w:val="0"/>
                <w:highlight w:val="none"/>
                <w:lang w:eastAsia="en-US"/>
              </w:rPr>
              <w:t>偏差说明</w:t>
            </w:r>
          </w:p>
        </w:tc>
      </w:tr>
      <w:tr w14:paraId="55B14E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1015" w:type="dxa"/>
          </w:tcPr>
          <w:p w14:paraId="00161DC1">
            <w:pPr>
              <w:autoSpaceDE w:val="0"/>
              <w:autoSpaceDN w:val="0"/>
              <w:spacing w:before="197" w:line="229" w:lineRule="exact"/>
              <w:ind w:left="5"/>
              <w:jc w:val="center"/>
              <w:rPr>
                <w:rFonts w:ascii="宋体" w:hAnsi="宋体" w:cs="宋体"/>
                <w:color w:val="auto"/>
                <w:kern w:val="0"/>
                <w:highlight w:val="none"/>
                <w:lang w:eastAsia="en-US"/>
              </w:rPr>
            </w:pPr>
            <w:r>
              <w:rPr>
                <w:rFonts w:ascii="宋体" w:hAnsi="宋体" w:cs="宋体"/>
                <w:color w:val="auto"/>
                <w:kern w:val="0"/>
                <w:highlight w:val="none"/>
                <w:lang w:eastAsia="en-US"/>
              </w:rPr>
              <w:t>1</w:t>
            </w:r>
          </w:p>
        </w:tc>
        <w:tc>
          <w:tcPr>
            <w:tcW w:w="2953" w:type="dxa"/>
          </w:tcPr>
          <w:p w14:paraId="607ACC3F">
            <w:pPr>
              <w:autoSpaceDE w:val="0"/>
              <w:autoSpaceDN w:val="0"/>
              <w:jc w:val="left"/>
              <w:rPr>
                <w:rFonts w:ascii="宋体" w:hAnsi="宋体" w:cs="宋体"/>
                <w:color w:val="auto"/>
                <w:kern w:val="0"/>
                <w:sz w:val="22"/>
                <w:highlight w:val="none"/>
                <w:lang w:eastAsia="en-US"/>
              </w:rPr>
            </w:pPr>
          </w:p>
        </w:tc>
        <w:tc>
          <w:tcPr>
            <w:tcW w:w="3265" w:type="dxa"/>
          </w:tcPr>
          <w:p w14:paraId="5867A709">
            <w:pPr>
              <w:autoSpaceDE w:val="0"/>
              <w:autoSpaceDN w:val="0"/>
              <w:jc w:val="left"/>
              <w:rPr>
                <w:rFonts w:ascii="宋体" w:hAnsi="宋体" w:cs="宋体"/>
                <w:color w:val="auto"/>
                <w:kern w:val="0"/>
                <w:sz w:val="22"/>
                <w:highlight w:val="none"/>
                <w:lang w:eastAsia="en-US"/>
              </w:rPr>
            </w:pPr>
          </w:p>
        </w:tc>
        <w:tc>
          <w:tcPr>
            <w:tcW w:w="1782" w:type="dxa"/>
          </w:tcPr>
          <w:p w14:paraId="7D2B71F1">
            <w:pPr>
              <w:autoSpaceDE w:val="0"/>
              <w:autoSpaceDN w:val="0"/>
              <w:jc w:val="left"/>
              <w:rPr>
                <w:rFonts w:ascii="宋体" w:hAnsi="宋体" w:cs="宋体"/>
                <w:color w:val="auto"/>
                <w:kern w:val="0"/>
                <w:sz w:val="22"/>
                <w:highlight w:val="none"/>
                <w:lang w:eastAsia="en-US"/>
              </w:rPr>
            </w:pPr>
          </w:p>
        </w:tc>
      </w:tr>
      <w:tr w14:paraId="5A525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015" w:type="dxa"/>
          </w:tcPr>
          <w:p w14:paraId="2D2A844A">
            <w:pPr>
              <w:autoSpaceDE w:val="0"/>
              <w:autoSpaceDN w:val="0"/>
              <w:spacing w:before="195" w:line="229" w:lineRule="exact"/>
              <w:ind w:left="5"/>
              <w:jc w:val="center"/>
              <w:rPr>
                <w:rFonts w:ascii="宋体" w:hAnsi="宋体" w:cs="宋体"/>
                <w:color w:val="auto"/>
                <w:kern w:val="0"/>
                <w:highlight w:val="none"/>
                <w:lang w:eastAsia="en-US"/>
              </w:rPr>
            </w:pPr>
            <w:r>
              <w:rPr>
                <w:rFonts w:ascii="宋体" w:hAnsi="宋体" w:cs="宋体"/>
                <w:color w:val="auto"/>
                <w:kern w:val="0"/>
                <w:highlight w:val="none"/>
                <w:lang w:eastAsia="en-US"/>
              </w:rPr>
              <w:t>2</w:t>
            </w:r>
          </w:p>
        </w:tc>
        <w:tc>
          <w:tcPr>
            <w:tcW w:w="2953" w:type="dxa"/>
          </w:tcPr>
          <w:p w14:paraId="174B70C4">
            <w:pPr>
              <w:autoSpaceDE w:val="0"/>
              <w:autoSpaceDN w:val="0"/>
              <w:jc w:val="left"/>
              <w:rPr>
                <w:rFonts w:ascii="宋体" w:hAnsi="宋体" w:cs="宋体"/>
                <w:color w:val="auto"/>
                <w:kern w:val="0"/>
                <w:sz w:val="22"/>
                <w:highlight w:val="none"/>
                <w:lang w:eastAsia="en-US"/>
              </w:rPr>
            </w:pPr>
          </w:p>
        </w:tc>
        <w:tc>
          <w:tcPr>
            <w:tcW w:w="3265" w:type="dxa"/>
          </w:tcPr>
          <w:p w14:paraId="59C983A0">
            <w:pPr>
              <w:autoSpaceDE w:val="0"/>
              <w:autoSpaceDN w:val="0"/>
              <w:jc w:val="left"/>
              <w:rPr>
                <w:rFonts w:ascii="宋体" w:hAnsi="宋体" w:cs="宋体"/>
                <w:color w:val="auto"/>
                <w:kern w:val="0"/>
                <w:sz w:val="22"/>
                <w:highlight w:val="none"/>
                <w:lang w:eastAsia="en-US"/>
              </w:rPr>
            </w:pPr>
          </w:p>
        </w:tc>
        <w:tc>
          <w:tcPr>
            <w:tcW w:w="1782" w:type="dxa"/>
          </w:tcPr>
          <w:p w14:paraId="7967E9D7">
            <w:pPr>
              <w:autoSpaceDE w:val="0"/>
              <w:autoSpaceDN w:val="0"/>
              <w:jc w:val="left"/>
              <w:rPr>
                <w:rFonts w:ascii="宋体" w:hAnsi="宋体" w:cs="宋体"/>
                <w:color w:val="auto"/>
                <w:kern w:val="0"/>
                <w:sz w:val="22"/>
                <w:highlight w:val="none"/>
                <w:lang w:eastAsia="en-US"/>
              </w:rPr>
            </w:pPr>
          </w:p>
        </w:tc>
      </w:tr>
      <w:tr w14:paraId="5B4C00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015" w:type="dxa"/>
          </w:tcPr>
          <w:p w14:paraId="51644CF3">
            <w:pPr>
              <w:autoSpaceDE w:val="0"/>
              <w:autoSpaceDN w:val="0"/>
              <w:spacing w:before="195" w:line="229" w:lineRule="exact"/>
              <w:ind w:left="5"/>
              <w:jc w:val="center"/>
              <w:rPr>
                <w:rFonts w:ascii="宋体" w:hAnsi="宋体" w:cs="宋体"/>
                <w:color w:val="auto"/>
                <w:kern w:val="0"/>
                <w:highlight w:val="none"/>
                <w:lang w:eastAsia="en-US"/>
              </w:rPr>
            </w:pPr>
            <w:r>
              <w:rPr>
                <w:rFonts w:ascii="宋体" w:hAnsi="宋体" w:cs="宋体"/>
                <w:color w:val="auto"/>
                <w:kern w:val="0"/>
                <w:highlight w:val="none"/>
                <w:lang w:eastAsia="en-US"/>
              </w:rPr>
              <w:t>3</w:t>
            </w:r>
          </w:p>
        </w:tc>
        <w:tc>
          <w:tcPr>
            <w:tcW w:w="2953" w:type="dxa"/>
          </w:tcPr>
          <w:p w14:paraId="09238565">
            <w:pPr>
              <w:autoSpaceDE w:val="0"/>
              <w:autoSpaceDN w:val="0"/>
              <w:jc w:val="left"/>
              <w:rPr>
                <w:rFonts w:ascii="宋体" w:hAnsi="宋体" w:cs="宋体"/>
                <w:color w:val="auto"/>
                <w:kern w:val="0"/>
                <w:sz w:val="22"/>
                <w:highlight w:val="none"/>
                <w:lang w:eastAsia="en-US"/>
              </w:rPr>
            </w:pPr>
          </w:p>
        </w:tc>
        <w:tc>
          <w:tcPr>
            <w:tcW w:w="3265" w:type="dxa"/>
          </w:tcPr>
          <w:p w14:paraId="0C304E3F">
            <w:pPr>
              <w:autoSpaceDE w:val="0"/>
              <w:autoSpaceDN w:val="0"/>
              <w:jc w:val="left"/>
              <w:rPr>
                <w:rFonts w:ascii="宋体" w:hAnsi="宋体" w:cs="宋体"/>
                <w:color w:val="auto"/>
                <w:kern w:val="0"/>
                <w:sz w:val="22"/>
                <w:highlight w:val="none"/>
                <w:lang w:eastAsia="en-US"/>
              </w:rPr>
            </w:pPr>
          </w:p>
        </w:tc>
        <w:tc>
          <w:tcPr>
            <w:tcW w:w="1782" w:type="dxa"/>
          </w:tcPr>
          <w:p w14:paraId="146E02A0">
            <w:pPr>
              <w:autoSpaceDE w:val="0"/>
              <w:autoSpaceDN w:val="0"/>
              <w:jc w:val="left"/>
              <w:rPr>
                <w:rFonts w:ascii="宋体" w:hAnsi="宋体" w:cs="宋体"/>
                <w:color w:val="auto"/>
                <w:kern w:val="0"/>
                <w:sz w:val="22"/>
                <w:highlight w:val="none"/>
                <w:lang w:eastAsia="en-US"/>
              </w:rPr>
            </w:pPr>
          </w:p>
        </w:tc>
      </w:tr>
      <w:tr w14:paraId="5EC16B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2" w:hRule="atLeast"/>
        </w:trPr>
        <w:tc>
          <w:tcPr>
            <w:tcW w:w="1015" w:type="dxa"/>
          </w:tcPr>
          <w:p w14:paraId="6F0190A9">
            <w:pPr>
              <w:autoSpaceDE w:val="0"/>
              <w:autoSpaceDN w:val="0"/>
              <w:spacing w:before="195" w:line="229" w:lineRule="exact"/>
              <w:ind w:left="5"/>
              <w:jc w:val="center"/>
              <w:rPr>
                <w:rFonts w:ascii="宋体" w:hAnsi="宋体" w:cs="宋体"/>
                <w:color w:val="auto"/>
                <w:kern w:val="0"/>
                <w:highlight w:val="none"/>
                <w:lang w:eastAsia="en-US"/>
              </w:rPr>
            </w:pPr>
            <w:r>
              <w:rPr>
                <w:rFonts w:ascii="宋体" w:hAnsi="宋体" w:cs="宋体"/>
                <w:color w:val="auto"/>
                <w:kern w:val="0"/>
                <w:highlight w:val="none"/>
                <w:lang w:eastAsia="en-US"/>
              </w:rPr>
              <w:t>4</w:t>
            </w:r>
          </w:p>
        </w:tc>
        <w:tc>
          <w:tcPr>
            <w:tcW w:w="2953" w:type="dxa"/>
          </w:tcPr>
          <w:p w14:paraId="7E488E37">
            <w:pPr>
              <w:autoSpaceDE w:val="0"/>
              <w:autoSpaceDN w:val="0"/>
              <w:jc w:val="left"/>
              <w:rPr>
                <w:rFonts w:ascii="宋体" w:hAnsi="宋体" w:cs="宋体"/>
                <w:color w:val="auto"/>
                <w:kern w:val="0"/>
                <w:sz w:val="22"/>
                <w:highlight w:val="none"/>
                <w:lang w:eastAsia="en-US"/>
              </w:rPr>
            </w:pPr>
          </w:p>
        </w:tc>
        <w:tc>
          <w:tcPr>
            <w:tcW w:w="3265" w:type="dxa"/>
          </w:tcPr>
          <w:p w14:paraId="513017EB">
            <w:pPr>
              <w:autoSpaceDE w:val="0"/>
              <w:autoSpaceDN w:val="0"/>
              <w:jc w:val="left"/>
              <w:rPr>
                <w:rFonts w:ascii="宋体" w:hAnsi="宋体" w:cs="宋体"/>
                <w:color w:val="auto"/>
                <w:kern w:val="0"/>
                <w:sz w:val="22"/>
                <w:highlight w:val="none"/>
                <w:lang w:eastAsia="en-US"/>
              </w:rPr>
            </w:pPr>
          </w:p>
        </w:tc>
        <w:tc>
          <w:tcPr>
            <w:tcW w:w="1782" w:type="dxa"/>
          </w:tcPr>
          <w:p w14:paraId="3992D6C2">
            <w:pPr>
              <w:autoSpaceDE w:val="0"/>
              <w:autoSpaceDN w:val="0"/>
              <w:jc w:val="left"/>
              <w:rPr>
                <w:rFonts w:ascii="宋体" w:hAnsi="宋体" w:cs="宋体"/>
                <w:color w:val="auto"/>
                <w:kern w:val="0"/>
                <w:sz w:val="22"/>
                <w:highlight w:val="none"/>
                <w:lang w:eastAsia="en-US"/>
              </w:rPr>
            </w:pPr>
          </w:p>
        </w:tc>
      </w:tr>
      <w:tr w14:paraId="198CB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1" w:hRule="atLeast"/>
        </w:trPr>
        <w:tc>
          <w:tcPr>
            <w:tcW w:w="1015" w:type="dxa"/>
          </w:tcPr>
          <w:p w14:paraId="557DC3BF">
            <w:pPr>
              <w:autoSpaceDE w:val="0"/>
              <w:autoSpaceDN w:val="0"/>
              <w:spacing w:before="197" w:line="226" w:lineRule="exact"/>
              <w:ind w:left="5"/>
              <w:jc w:val="center"/>
              <w:rPr>
                <w:rFonts w:ascii="宋体" w:hAnsi="宋体" w:cs="宋体"/>
                <w:color w:val="auto"/>
                <w:kern w:val="0"/>
                <w:highlight w:val="none"/>
                <w:lang w:eastAsia="en-US"/>
              </w:rPr>
            </w:pPr>
            <w:r>
              <w:rPr>
                <w:rFonts w:ascii="宋体" w:hAnsi="宋体" w:cs="宋体"/>
                <w:color w:val="auto"/>
                <w:kern w:val="0"/>
                <w:highlight w:val="none"/>
                <w:lang w:eastAsia="en-US"/>
              </w:rPr>
              <w:t>5</w:t>
            </w:r>
          </w:p>
        </w:tc>
        <w:tc>
          <w:tcPr>
            <w:tcW w:w="2953" w:type="dxa"/>
          </w:tcPr>
          <w:p w14:paraId="7508E1D3">
            <w:pPr>
              <w:autoSpaceDE w:val="0"/>
              <w:autoSpaceDN w:val="0"/>
              <w:jc w:val="left"/>
              <w:rPr>
                <w:rFonts w:ascii="宋体" w:hAnsi="宋体" w:cs="宋体"/>
                <w:color w:val="auto"/>
                <w:kern w:val="0"/>
                <w:sz w:val="22"/>
                <w:highlight w:val="none"/>
                <w:lang w:eastAsia="en-US"/>
              </w:rPr>
            </w:pPr>
          </w:p>
        </w:tc>
        <w:tc>
          <w:tcPr>
            <w:tcW w:w="3265" w:type="dxa"/>
          </w:tcPr>
          <w:p w14:paraId="268B08E0">
            <w:pPr>
              <w:autoSpaceDE w:val="0"/>
              <w:autoSpaceDN w:val="0"/>
              <w:jc w:val="left"/>
              <w:rPr>
                <w:rFonts w:ascii="宋体" w:hAnsi="宋体" w:cs="宋体"/>
                <w:color w:val="auto"/>
                <w:kern w:val="0"/>
                <w:sz w:val="22"/>
                <w:highlight w:val="none"/>
                <w:lang w:eastAsia="en-US"/>
              </w:rPr>
            </w:pPr>
          </w:p>
        </w:tc>
        <w:tc>
          <w:tcPr>
            <w:tcW w:w="1782" w:type="dxa"/>
          </w:tcPr>
          <w:p w14:paraId="1422C392">
            <w:pPr>
              <w:autoSpaceDE w:val="0"/>
              <w:autoSpaceDN w:val="0"/>
              <w:jc w:val="left"/>
              <w:rPr>
                <w:rFonts w:ascii="宋体" w:hAnsi="宋体" w:cs="宋体"/>
                <w:color w:val="auto"/>
                <w:kern w:val="0"/>
                <w:sz w:val="22"/>
                <w:highlight w:val="none"/>
                <w:lang w:eastAsia="en-US"/>
              </w:rPr>
            </w:pPr>
          </w:p>
        </w:tc>
      </w:tr>
      <w:tr w14:paraId="63912C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4" w:hRule="atLeast"/>
        </w:trPr>
        <w:tc>
          <w:tcPr>
            <w:tcW w:w="1015" w:type="dxa"/>
          </w:tcPr>
          <w:p w14:paraId="517FEFF4">
            <w:pPr>
              <w:autoSpaceDE w:val="0"/>
              <w:autoSpaceDN w:val="0"/>
              <w:spacing w:before="197" w:line="229" w:lineRule="exact"/>
              <w:ind w:left="228" w:right="218"/>
              <w:jc w:val="center"/>
              <w:rPr>
                <w:rFonts w:ascii="宋体" w:hAnsi="宋体" w:cs="宋体"/>
                <w:i/>
                <w:color w:val="auto"/>
                <w:kern w:val="0"/>
                <w:highlight w:val="none"/>
                <w:lang w:eastAsia="en-US"/>
              </w:rPr>
            </w:pPr>
            <w:r>
              <w:rPr>
                <w:rFonts w:ascii="宋体" w:hAnsi="宋体" w:cs="宋体"/>
                <w:i/>
                <w:color w:val="auto"/>
                <w:w w:val="115"/>
                <w:kern w:val="0"/>
                <w:highlight w:val="none"/>
                <w:lang w:eastAsia="en-US"/>
              </w:rPr>
              <w:t>…</w:t>
            </w:r>
          </w:p>
        </w:tc>
        <w:tc>
          <w:tcPr>
            <w:tcW w:w="2953" w:type="dxa"/>
          </w:tcPr>
          <w:p w14:paraId="7513CBB4">
            <w:pPr>
              <w:autoSpaceDE w:val="0"/>
              <w:autoSpaceDN w:val="0"/>
              <w:jc w:val="left"/>
              <w:rPr>
                <w:rFonts w:ascii="宋体" w:hAnsi="宋体" w:cs="宋体"/>
                <w:color w:val="auto"/>
                <w:kern w:val="0"/>
                <w:sz w:val="22"/>
                <w:highlight w:val="none"/>
                <w:lang w:eastAsia="en-US"/>
              </w:rPr>
            </w:pPr>
          </w:p>
        </w:tc>
        <w:tc>
          <w:tcPr>
            <w:tcW w:w="3265" w:type="dxa"/>
          </w:tcPr>
          <w:p w14:paraId="55B4B20E">
            <w:pPr>
              <w:autoSpaceDE w:val="0"/>
              <w:autoSpaceDN w:val="0"/>
              <w:jc w:val="left"/>
              <w:rPr>
                <w:rFonts w:ascii="宋体" w:hAnsi="宋体" w:cs="宋体"/>
                <w:color w:val="auto"/>
                <w:kern w:val="0"/>
                <w:sz w:val="22"/>
                <w:highlight w:val="none"/>
                <w:lang w:eastAsia="en-US"/>
              </w:rPr>
            </w:pPr>
          </w:p>
        </w:tc>
        <w:tc>
          <w:tcPr>
            <w:tcW w:w="1782" w:type="dxa"/>
          </w:tcPr>
          <w:p w14:paraId="12C93462">
            <w:pPr>
              <w:autoSpaceDE w:val="0"/>
              <w:autoSpaceDN w:val="0"/>
              <w:jc w:val="left"/>
              <w:rPr>
                <w:rFonts w:ascii="宋体" w:hAnsi="宋体" w:cs="宋体"/>
                <w:color w:val="auto"/>
                <w:kern w:val="0"/>
                <w:sz w:val="22"/>
                <w:highlight w:val="none"/>
                <w:lang w:eastAsia="en-US"/>
              </w:rPr>
            </w:pPr>
          </w:p>
        </w:tc>
      </w:tr>
    </w:tbl>
    <w:p w14:paraId="274DF9A3">
      <w:pPr>
        <w:autoSpaceDE w:val="0"/>
        <w:autoSpaceDN w:val="0"/>
        <w:spacing w:before="1" w:after="120"/>
        <w:jc w:val="left"/>
        <w:rPr>
          <w:rFonts w:ascii="Microsoft JhengHei" w:hAnsi="宋体" w:cs="宋体"/>
          <w:b/>
          <w:color w:val="auto"/>
          <w:kern w:val="0"/>
          <w:sz w:val="4"/>
          <w:highlight w:val="none"/>
          <w:lang w:eastAsia="en-US"/>
        </w:rPr>
      </w:pPr>
    </w:p>
    <w:p w14:paraId="23177467">
      <w:pPr>
        <w:autoSpaceDE w:val="0"/>
        <w:autoSpaceDN w:val="0"/>
        <w:jc w:val="left"/>
        <w:rPr>
          <w:rFonts w:ascii="宋体" w:hAnsi="宋体" w:cs="宋体"/>
          <w:color w:val="auto"/>
          <w:kern w:val="0"/>
          <w:sz w:val="22"/>
          <w:highlight w:val="none"/>
        </w:rPr>
      </w:pPr>
    </w:p>
    <w:p w14:paraId="050CFA16">
      <w:pPr>
        <w:autoSpaceDE w:val="0"/>
        <w:autoSpaceDN w:val="0"/>
        <w:spacing w:after="120"/>
        <w:jc w:val="left"/>
        <w:rPr>
          <w:rFonts w:ascii="宋体" w:hAnsi="宋体" w:cs="宋体"/>
          <w:color w:val="auto"/>
          <w:kern w:val="0"/>
          <w:sz w:val="22"/>
          <w:highlight w:val="none"/>
        </w:rPr>
      </w:pPr>
    </w:p>
    <w:p w14:paraId="200E4A12">
      <w:pPr>
        <w:autoSpaceDE w:val="0"/>
        <w:autoSpaceDN w:val="0"/>
        <w:jc w:val="left"/>
        <w:rPr>
          <w:rFonts w:ascii="宋体" w:hAnsi="宋体" w:cs="宋体"/>
          <w:color w:val="auto"/>
          <w:kern w:val="0"/>
          <w:sz w:val="22"/>
          <w:highlight w:val="none"/>
        </w:rPr>
      </w:pPr>
    </w:p>
    <w:p w14:paraId="10708517">
      <w:pPr>
        <w:tabs>
          <w:tab w:val="left" w:pos="540"/>
          <w:tab w:val="left" w:pos="900"/>
        </w:tabs>
        <w:autoSpaceDE w:val="0"/>
        <w:autoSpaceDN w:val="0"/>
        <w:spacing w:line="360" w:lineRule="auto"/>
        <w:ind w:firstLine="2530" w:firstLineChars="1150"/>
        <w:jc w:val="left"/>
        <w:rPr>
          <w:rFonts w:ascii="宋体" w:hAnsi="宋体" w:cs="宋体"/>
          <w:color w:val="auto"/>
          <w:kern w:val="0"/>
          <w:sz w:val="22"/>
          <w:szCs w:val="21"/>
          <w:highlight w:val="none"/>
        </w:rPr>
      </w:pPr>
      <w:r>
        <w:rPr>
          <w:rFonts w:hint="eastAsia" w:ascii="宋体" w:hAnsi="宋体" w:cs="宋体"/>
          <w:color w:val="auto"/>
          <w:kern w:val="0"/>
          <w:sz w:val="22"/>
          <w:szCs w:val="21"/>
          <w:highlight w:val="none"/>
        </w:rPr>
        <w:t xml:space="preserve">投 </w:t>
      </w:r>
      <w:r>
        <w:rPr>
          <w:rFonts w:ascii="宋体" w:hAnsi="宋体" w:cs="宋体"/>
          <w:color w:val="auto"/>
          <w:kern w:val="0"/>
          <w:sz w:val="22"/>
          <w:szCs w:val="21"/>
          <w:highlight w:val="none"/>
        </w:rPr>
        <w:t xml:space="preserve">    </w:t>
      </w:r>
      <w:r>
        <w:rPr>
          <w:rFonts w:hint="eastAsia" w:ascii="宋体" w:hAnsi="宋体" w:cs="宋体"/>
          <w:color w:val="auto"/>
          <w:kern w:val="0"/>
          <w:sz w:val="22"/>
          <w:szCs w:val="21"/>
          <w:highlight w:val="none"/>
        </w:rPr>
        <w:t xml:space="preserve">标 </w:t>
      </w:r>
      <w:r>
        <w:rPr>
          <w:rFonts w:ascii="宋体" w:hAnsi="宋体" w:cs="宋体"/>
          <w:color w:val="auto"/>
          <w:kern w:val="0"/>
          <w:sz w:val="22"/>
          <w:szCs w:val="21"/>
          <w:highlight w:val="none"/>
        </w:rPr>
        <w:t xml:space="preserve">   </w:t>
      </w:r>
      <w:r>
        <w:rPr>
          <w:rFonts w:hint="eastAsia" w:ascii="宋体" w:hAnsi="宋体" w:cs="宋体"/>
          <w:color w:val="auto"/>
          <w:kern w:val="0"/>
          <w:sz w:val="22"/>
          <w:szCs w:val="21"/>
          <w:highlight w:val="none"/>
        </w:rPr>
        <w:t>人：</w:t>
      </w:r>
      <w:r>
        <w:rPr>
          <w:rFonts w:hint="eastAsia" w:ascii="宋体" w:hAnsi="宋体" w:cs="宋体"/>
          <w:color w:val="auto"/>
          <w:kern w:val="0"/>
          <w:sz w:val="22"/>
          <w:szCs w:val="21"/>
          <w:highlight w:val="none"/>
          <w:u w:val="single"/>
        </w:rPr>
        <w:t xml:space="preserve">         </w:t>
      </w:r>
      <w:r>
        <w:rPr>
          <w:rFonts w:ascii="宋体" w:hAnsi="宋体" w:cs="宋体"/>
          <w:color w:val="auto"/>
          <w:kern w:val="0"/>
          <w:sz w:val="22"/>
          <w:szCs w:val="21"/>
          <w:highlight w:val="none"/>
          <w:u w:val="single"/>
        </w:rPr>
        <w:t xml:space="preserve">               </w:t>
      </w:r>
      <w:r>
        <w:rPr>
          <w:rFonts w:hint="eastAsia" w:ascii="宋体" w:hAnsi="宋体" w:cs="宋体"/>
          <w:color w:val="auto"/>
          <w:kern w:val="0"/>
          <w:sz w:val="22"/>
          <w:szCs w:val="21"/>
          <w:highlight w:val="none"/>
          <w:u w:val="single"/>
        </w:rPr>
        <w:t xml:space="preserve"> （盖单位公章）</w:t>
      </w:r>
    </w:p>
    <w:p w14:paraId="697242E0">
      <w:pPr>
        <w:tabs>
          <w:tab w:val="left" w:pos="540"/>
          <w:tab w:val="left" w:pos="900"/>
        </w:tabs>
        <w:autoSpaceDE w:val="0"/>
        <w:autoSpaceDN w:val="0"/>
        <w:spacing w:line="360" w:lineRule="auto"/>
        <w:ind w:firstLine="2530" w:firstLineChars="1150"/>
        <w:jc w:val="left"/>
        <w:rPr>
          <w:rFonts w:ascii="宋体" w:hAnsi="宋体" w:cs="宋体"/>
          <w:color w:val="auto"/>
          <w:kern w:val="0"/>
          <w:sz w:val="22"/>
          <w:szCs w:val="21"/>
          <w:highlight w:val="none"/>
        </w:rPr>
      </w:pPr>
      <w:r>
        <w:rPr>
          <w:rFonts w:hint="eastAsia" w:ascii="宋体" w:hAnsi="宋体" w:cs="宋体"/>
          <w:color w:val="auto"/>
          <w:kern w:val="0"/>
          <w:sz w:val="22"/>
          <w:szCs w:val="21"/>
          <w:highlight w:val="none"/>
        </w:rPr>
        <w:t xml:space="preserve">法定代表人或委托代理人: </w:t>
      </w:r>
      <w:r>
        <w:rPr>
          <w:rFonts w:ascii="宋体" w:hAnsi="宋体" w:cs="宋体"/>
          <w:color w:val="auto"/>
          <w:kern w:val="0"/>
          <w:sz w:val="22"/>
          <w:szCs w:val="21"/>
          <w:highlight w:val="none"/>
        </w:rPr>
        <w:t xml:space="preserve"> </w:t>
      </w:r>
      <w:r>
        <w:rPr>
          <w:rFonts w:hint="eastAsia" w:ascii="宋体" w:hAnsi="宋体" w:cs="宋体"/>
          <w:color w:val="auto"/>
          <w:kern w:val="0"/>
          <w:sz w:val="22"/>
          <w:szCs w:val="21"/>
          <w:highlight w:val="none"/>
          <w:u w:val="single"/>
        </w:rPr>
        <w:t xml:space="preserve">         </w:t>
      </w:r>
      <w:r>
        <w:rPr>
          <w:rFonts w:ascii="宋体" w:hAnsi="宋体" w:cs="宋体"/>
          <w:color w:val="auto"/>
          <w:kern w:val="0"/>
          <w:sz w:val="22"/>
          <w:szCs w:val="21"/>
          <w:highlight w:val="none"/>
          <w:u w:val="single"/>
        </w:rPr>
        <w:t xml:space="preserve">  </w:t>
      </w:r>
      <w:r>
        <w:rPr>
          <w:rFonts w:hint="eastAsia" w:ascii="宋体" w:hAnsi="宋体" w:cs="宋体"/>
          <w:color w:val="auto"/>
          <w:kern w:val="0"/>
          <w:sz w:val="22"/>
          <w:szCs w:val="21"/>
          <w:highlight w:val="none"/>
          <w:u w:val="single"/>
        </w:rPr>
        <w:t xml:space="preserve">     （签字或盖章）</w:t>
      </w:r>
    </w:p>
    <w:p w14:paraId="37D5F00D">
      <w:pPr>
        <w:tabs>
          <w:tab w:val="left" w:pos="540"/>
          <w:tab w:val="left" w:pos="900"/>
        </w:tabs>
        <w:autoSpaceDE w:val="0"/>
        <w:autoSpaceDN w:val="0"/>
        <w:spacing w:line="360" w:lineRule="auto"/>
        <w:ind w:firstLine="3410" w:firstLineChars="1550"/>
        <w:jc w:val="left"/>
        <w:rPr>
          <w:rFonts w:ascii="宋体" w:hAnsi="宋体" w:cs="宋体"/>
          <w:color w:val="auto"/>
          <w:kern w:val="0"/>
          <w:sz w:val="22"/>
          <w:highlight w:val="none"/>
        </w:rPr>
      </w:pPr>
      <w:r>
        <w:rPr>
          <w:rFonts w:hint="eastAsia" w:ascii="宋体" w:hAnsi="宋体" w:cs="宋体"/>
          <w:color w:val="auto"/>
          <w:kern w:val="0"/>
          <w:sz w:val="22"/>
          <w:szCs w:val="21"/>
          <w:highlight w:val="none"/>
        </w:rPr>
        <w:t xml:space="preserve">日 </w:t>
      </w:r>
      <w:r>
        <w:rPr>
          <w:rFonts w:ascii="宋体" w:hAnsi="宋体" w:cs="宋体"/>
          <w:color w:val="auto"/>
          <w:kern w:val="0"/>
          <w:sz w:val="22"/>
          <w:szCs w:val="21"/>
          <w:highlight w:val="none"/>
        </w:rPr>
        <w:t xml:space="preserve">          </w:t>
      </w:r>
      <w:r>
        <w:rPr>
          <w:rFonts w:hint="eastAsia" w:ascii="宋体" w:hAnsi="宋体" w:cs="宋体"/>
          <w:color w:val="auto"/>
          <w:kern w:val="0"/>
          <w:sz w:val="22"/>
          <w:szCs w:val="21"/>
          <w:highlight w:val="none"/>
        </w:rPr>
        <w:t>期：</w:t>
      </w:r>
      <w:r>
        <w:rPr>
          <w:rFonts w:hint="eastAsia" w:ascii="宋体" w:hAnsi="宋体" w:cs="宋体"/>
          <w:color w:val="auto"/>
          <w:kern w:val="0"/>
          <w:sz w:val="22"/>
          <w:szCs w:val="21"/>
          <w:highlight w:val="none"/>
          <w:u w:val="single"/>
        </w:rPr>
        <w:t xml:space="preserve">        </w:t>
      </w:r>
      <w:r>
        <w:rPr>
          <w:rFonts w:hint="eastAsia" w:ascii="宋体" w:hAnsi="宋体" w:cs="宋体"/>
          <w:color w:val="auto"/>
          <w:kern w:val="0"/>
          <w:sz w:val="22"/>
          <w:szCs w:val="21"/>
          <w:highlight w:val="none"/>
        </w:rPr>
        <w:t>年</w:t>
      </w:r>
      <w:r>
        <w:rPr>
          <w:rFonts w:hint="eastAsia" w:ascii="宋体" w:hAnsi="宋体" w:cs="宋体"/>
          <w:color w:val="auto"/>
          <w:kern w:val="0"/>
          <w:sz w:val="22"/>
          <w:szCs w:val="21"/>
          <w:highlight w:val="none"/>
          <w:u w:val="single"/>
        </w:rPr>
        <w:t xml:space="preserve">     </w:t>
      </w:r>
      <w:r>
        <w:rPr>
          <w:rFonts w:hint="eastAsia" w:ascii="宋体" w:hAnsi="宋体" w:cs="宋体"/>
          <w:color w:val="auto"/>
          <w:kern w:val="0"/>
          <w:sz w:val="22"/>
          <w:szCs w:val="21"/>
          <w:highlight w:val="none"/>
        </w:rPr>
        <w:t>月</w:t>
      </w:r>
      <w:r>
        <w:rPr>
          <w:rFonts w:hint="eastAsia" w:ascii="宋体" w:hAnsi="宋体" w:cs="宋体"/>
          <w:color w:val="auto"/>
          <w:kern w:val="0"/>
          <w:sz w:val="22"/>
          <w:szCs w:val="21"/>
          <w:highlight w:val="none"/>
          <w:u w:val="single"/>
        </w:rPr>
        <w:t xml:space="preserve">     </w:t>
      </w:r>
      <w:r>
        <w:rPr>
          <w:rFonts w:hint="eastAsia" w:ascii="宋体" w:hAnsi="宋体" w:cs="宋体"/>
          <w:color w:val="auto"/>
          <w:kern w:val="0"/>
          <w:sz w:val="22"/>
          <w:szCs w:val="21"/>
          <w:highlight w:val="none"/>
        </w:rPr>
        <w:t>日</w:t>
      </w:r>
    </w:p>
    <w:p w14:paraId="2BF6B004">
      <w:pPr>
        <w:widowControl/>
        <w:jc w:val="left"/>
        <w:rPr>
          <w:rFonts w:ascii="Microsoft JhengHei" w:hAnsi="Microsoft JhengHei" w:cs="Microsoft JhengHei" w:eastAsiaTheme="minorEastAsia"/>
          <w:b/>
          <w:bCs/>
          <w:color w:val="auto"/>
          <w:kern w:val="0"/>
          <w:sz w:val="32"/>
          <w:szCs w:val="32"/>
          <w:highlight w:val="none"/>
        </w:rPr>
      </w:pPr>
      <w:bookmarkStart w:id="2094" w:name="_bookmark162"/>
      <w:bookmarkEnd w:id="2094"/>
      <w:r>
        <w:rPr>
          <w:rFonts w:ascii="宋体" w:hAnsi="宋体" w:cs="宋体"/>
          <w:color w:val="auto"/>
          <w:kern w:val="0"/>
          <w:sz w:val="22"/>
          <w:highlight w:val="none"/>
        </w:rPr>
        <w:br w:type="page"/>
      </w:r>
    </w:p>
    <w:p w14:paraId="42B7B2E4">
      <w:pPr>
        <w:autoSpaceDE w:val="0"/>
        <w:autoSpaceDN w:val="0"/>
        <w:adjustRightInd w:val="0"/>
        <w:snapToGrid w:val="0"/>
        <w:spacing w:line="360" w:lineRule="auto"/>
        <w:rPr>
          <w:rFonts w:ascii="宋体" w:hAnsi="宋体"/>
          <w:color w:val="auto"/>
          <w:sz w:val="36"/>
          <w:szCs w:val="36"/>
          <w:highlight w:val="none"/>
        </w:rPr>
      </w:pPr>
    </w:p>
    <w:p w14:paraId="77AA8832">
      <w:pPr>
        <w:pStyle w:val="4"/>
        <w:spacing w:line="360" w:lineRule="auto"/>
        <w:jc w:val="center"/>
        <w:rPr>
          <w:rFonts w:ascii="宋体" w:hAnsi="宋体"/>
          <w:b w:val="0"/>
          <w:bCs w:val="0"/>
          <w:color w:val="auto"/>
          <w:sz w:val="44"/>
          <w:szCs w:val="44"/>
          <w:highlight w:val="none"/>
        </w:rPr>
      </w:pPr>
      <w:bookmarkStart w:id="2095" w:name="_Toc287620829"/>
      <w:bookmarkStart w:id="2096" w:name="_Toc287607882"/>
      <w:bookmarkStart w:id="2097" w:name="_Toc430530545"/>
      <w:bookmarkStart w:id="2098" w:name="_Toc277082656"/>
      <w:bookmarkStart w:id="2099" w:name="_Toc224103510"/>
      <w:bookmarkStart w:id="2100" w:name="_Toc58860355"/>
      <w:r>
        <w:rPr>
          <w:rFonts w:hint="eastAsia" w:ascii="宋体" w:hAnsi="宋体"/>
          <w:b w:val="0"/>
          <w:bCs w:val="0"/>
          <w:color w:val="auto"/>
          <w:sz w:val="44"/>
          <w:szCs w:val="44"/>
          <w:highlight w:val="none"/>
        </w:rPr>
        <w:t>五、</w:t>
      </w:r>
      <w:bookmarkEnd w:id="2095"/>
      <w:bookmarkEnd w:id="2096"/>
      <w:bookmarkEnd w:id="2097"/>
      <w:bookmarkEnd w:id="2098"/>
      <w:bookmarkEnd w:id="2099"/>
      <w:r>
        <w:rPr>
          <w:rFonts w:hint="eastAsia" w:ascii="宋体" w:hAnsi="宋体"/>
          <w:b w:val="0"/>
          <w:bCs w:val="0"/>
          <w:color w:val="auto"/>
          <w:sz w:val="44"/>
          <w:szCs w:val="44"/>
          <w:highlight w:val="none"/>
        </w:rPr>
        <w:t>资格审查部分</w:t>
      </w:r>
      <w:bookmarkEnd w:id="2100"/>
    </w:p>
    <w:p w14:paraId="021DAA73">
      <w:pPr>
        <w:adjustRightInd w:val="0"/>
        <w:snapToGrid w:val="0"/>
        <w:spacing w:line="360" w:lineRule="auto"/>
        <w:rPr>
          <w:rFonts w:ascii="宋体" w:hAnsi="宋体"/>
          <w:color w:val="auto"/>
          <w:sz w:val="32"/>
          <w:szCs w:val="32"/>
          <w:highlight w:val="none"/>
        </w:rPr>
      </w:pPr>
    </w:p>
    <w:p w14:paraId="252EE948">
      <w:pPr>
        <w:adjustRightInd w:val="0"/>
        <w:snapToGrid w:val="0"/>
        <w:spacing w:line="360" w:lineRule="auto"/>
        <w:rPr>
          <w:rFonts w:ascii="宋体" w:hAnsi="宋体"/>
          <w:color w:val="auto"/>
          <w:sz w:val="32"/>
          <w:szCs w:val="32"/>
          <w:highlight w:val="none"/>
        </w:rPr>
      </w:pPr>
    </w:p>
    <w:p w14:paraId="6397354D">
      <w:pPr>
        <w:spacing w:line="360" w:lineRule="auto"/>
        <w:rPr>
          <w:rFonts w:ascii="宋体" w:hAnsi="宋体"/>
          <w:color w:val="auto"/>
          <w:sz w:val="32"/>
          <w:szCs w:val="32"/>
          <w:highlight w:val="none"/>
        </w:rPr>
      </w:pPr>
    </w:p>
    <w:p w14:paraId="4E173CFF">
      <w:pPr>
        <w:spacing w:line="360" w:lineRule="auto"/>
        <w:rPr>
          <w:rFonts w:ascii="宋体" w:hAnsi="宋体"/>
          <w:color w:val="auto"/>
          <w:sz w:val="32"/>
          <w:szCs w:val="32"/>
          <w:highlight w:val="none"/>
        </w:rPr>
      </w:pPr>
    </w:p>
    <w:p w14:paraId="0717DF4E">
      <w:pPr>
        <w:spacing w:line="360" w:lineRule="auto"/>
        <w:rPr>
          <w:rFonts w:ascii="宋体" w:hAnsi="宋体"/>
          <w:color w:val="auto"/>
          <w:sz w:val="32"/>
          <w:szCs w:val="32"/>
          <w:highlight w:val="none"/>
        </w:rPr>
      </w:pPr>
    </w:p>
    <w:p w14:paraId="0F707785">
      <w:pPr>
        <w:spacing w:line="360" w:lineRule="auto"/>
        <w:rPr>
          <w:rFonts w:ascii="宋体" w:hAnsi="宋体"/>
          <w:color w:val="auto"/>
          <w:sz w:val="32"/>
          <w:szCs w:val="32"/>
          <w:highlight w:val="none"/>
        </w:rPr>
      </w:pPr>
    </w:p>
    <w:p w14:paraId="76A1CA4A">
      <w:pPr>
        <w:spacing w:line="360" w:lineRule="auto"/>
        <w:rPr>
          <w:rFonts w:ascii="宋体" w:hAnsi="宋体"/>
          <w:color w:val="auto"/>
          <w:sz w:val="32"/>
          <w:szCs w:val="32"/>
          <w:highlight w:val="none"/>
        </w:rPr>
      </w:pPr>
    </w:p>
    <w:p w14:paraId="254D29F4">
      <w:pPr>
        <w:spacing w:line="360" w:lineRule="auto"/>
        <w:rPr>
          <w:rFonts w:ascii="宋体" w:hAnsi="宋体"/>
          <w:color w:val="auto"/>
          <w:sz w:val="32"/>
          <w:szCs w:val="32"/>
          <w:highlight w:val="none"/>
        </w:rPr>
      </w:pPr>
    </w:p>
    <w:p w14:paraId="3695830E">
      <w:pPr>
        <w:spacing w:line="360" w:lineRule="auto"/>
        <w:rPr>
          <w:rFonts w:ascii="宋体" w:hAnsi="宋体"/>
          <w:color w:val="auto"/>
          <w:sz w:val="32"/>
          <w:szCs w:val="32"/>
          <w:highlight w:val="none"/>
        </w:rPr>
      </w:pPr>
    </w:p>
    <w:p w14:paraId="02F88F2A">
      <w:pPr>
        <w:spacing w:line="360" w:lineRule="auto"/>
        <w:rPr>
          <w:rFonts w:ascii="宋体" w:hAnsi="宋体"/>
          <w:color w:val="auto"/>
          <w:sz w:val="32"/>
          <w:szCs w:val="32"/>
          <w:highlight w:val="none"/>
        </w:rPr>
      </w:pPr>
    </w:p>
    <w:p w14:paraId="3490510B">
      <w:pPr>
        <w:spacing w:line="360" w:lineRule="auto"/>
        <w:rPr>
          <w:rFonts w:ascii="宋体" w:hAnsi="宋体"/>
          <w:color w:val="auto"/>
          <w:sz w:val="32"/>
          <w:szCs w:val="32"/>
          <w:highlight w:val="none"/>
        </w:rPr>
      </w:pPr>
    </w:p>
    <w:p w14:paraId="586D36E8">
      <w:pPr>
        <w:spacing w:line="360" w:lineRule="auto"/>
        <w:rPr>
          <w:rFonts w:ascii="宋体" w:hAnsi="宋体"/>
          <w:color w:val="auto"/>
          <w:sz w:val="32"/>
          <w:szCs w:val="32"/>
          <w:highlight w:val="none"/>
        </w:rPr>
      </w:pPr>
    </w:p>
    <w:p w14:paraId="47D8A832">
      <w:pPr>
        <w:spacing w:line="360" w:lineRule="auto"/>
        <w:rPr>
          <w:rFonts w:ascii="宋体" w:hAnsi="宋体"/>
          <w:color w:val="auto"/>
          <w:sz w:val="32"/>
          <w:szCs w:val="32"/>
          <w:highlight w:val="none"/>
        </w:rPr>
      </w:pPr>
    </w:p>
    <w:p w14:paraId="354A9BEE">
      <w:pPr>
        <w:spacing w:line="360" w:lineRule="auto"/>
        <w:rPr>
          <w:rFonts w:ascii="宋体" w:hAnsi="宋体"/>
          <w:color w:val="auto"/>
          <w:sz w:val="32"/>
          <w:szCs w:val="32"/>
          <w:highlight w:val="none"/>
        </w:rPr>
      </w:pPr>
    </w:p>
    <w:p w14:paraId="62E3DF74">
      <w:pPr>
        <w:spacing w:line="360" w:lineRule="auto"/>
        <w:rPr>
          <w:rFonts w:ascii="宋体" w:hAnsi="宋体"/>
          <w:color w:val="auto"/>
          <w:sz w:val="32"/>
          <w:szCs w:val="32"/>
          <w:highlight w:val="none"/>
        </w:rPr>
      </w:pPr>
    </w:p>
    <w:p w14:paraId="14C9B41A">
      <w:pPr>
        <w:spacing w:line="360" w:lineRule="auto"/>
        <w:rPr>
          <w:rFonts w:ascii="宋体" w:hAnsi="宋体"/>
          <w:color w:val="auto"/>
          <w:sz w:val="32"/>
          <w:szCs w:val="32"/>
          <w:highlight w:val="none"/>
        </w:rPr>
      </w:pPr>
      <w:r>
        <w:rPr>
          <w:rFonts w:ascii="宋体" w:hAnsi="宋体"/>
          <w:color w:val="auto"/>
          <w:sz w:val="32"/>
          <w:szCs w:val="32"/>
          <w:highlight w:val="none"/>
        </w:rPr>
        <w:br w:type="page"/>
      </w:r>
    </w:p>
    <w:p w14:paraId="65BCE8D5">
      <w:pPr>
        <w:spacing w:line="360" w:lineRule="auto"/>
        <w:jc w:val="center"/>
        <w:rPr>
          <w:rFonts w:ascii="宋体" w:hAnsi="宋体"/>
          <w:color w:val="auto"/>
          <w:kern w:val="0"/>
          <w:sz w:val="32"/>
          <w:szCs w:val="32"/>
          <w:highlight w:val="none"/>
        </w:rPr>
      </w:pPr>
      <w:r>
        <w:rPr>
          <w:rFonts w:hint="eastAsia" w:ascii="宋体" w:hAnsi="宋体"/>
          <w:color w:val="auto"/>
          <w:kern w:val="0"/>
          <w:sz w:val="32"/>
          <w:szCs w:val="32"/>
          <w:highlight w:val="none"/>
          <w:u w:val="single"/>
        </w:rPr>
        <w:t xml:space="preserve">                   （项目名称）</w:t>
      </w:r>
    </w:p>
    <w:p w14:paraId="33F5B556">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6AE32387">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7C9F9310">
      <w:pPr>
        <w:tabs>
          <w:tab w:val="left" w:pos="3600"/>
          <w:tab w:val="left" w:pos="4480"/>
          <w:tab w:val="left" w:pos="5360"/>
        </w:tabs>
        <w:autoSpaceDE w:val="0"/>
        <w:autoSpaceDN w:val="0"/>
        <w:adjustRightInd w:val="0"/>
        <w:snapToGrid w:val="0"/>
        <w:spacing w:line="360" w:lineRule="auto"/>
        <w:jc w:val="left"/>
        <w:rPr>
          <w:rFonts w:ascii="宋体" w:hAnsi="宋体" w:cs="MingLiU"/>
          <w:color w:val="auto"/>
          <w:kern w:val="0"/>
          <w:sz w:val="44"/>
          <w:szCs w:val="44"/>
          <w:highlight w:val="none"/>
        </w:rPr>
      </w:pPr>
    </w:p>
    <w:p w14:paraId="24C93BD5">
      <w:pPr>
        <w:tabs>
          <w:tab w:val="left" w:pos="3600"/>
          <w:tab w:val="left" w:pos="4480"/>
          <w:tab w:val="left" w:pos="5360"/>
        </w:tabs>
        <w:autoSpaceDE w:val="0"/>
        <w:autoSpaceDN w:val="0"/>
        <w:adjustRightInd w:val="0"/>
        <w:snapToGrid w:val="0"/>
        <w:spacing w:line="360" w:lineRule="auto"/>
        <w:jc w:val="center"/>
        <w:rPr>
          <w:rFonts w:ascii="宋体" w:hAnsi="宋体"/>
          <w:color w:val="auto"/>
          <w:kern w:val="0"/>
          <w:sz w:val="72"/>
          <w:szCs w:val="72"/>
          <w:highlight w:val="none"/>
        </w:rPr>
      </w:pPr>
      <w:r>
        <w:rPr>
          <w:rFonts w:hint="eastAsia" w:ascii="宋体" w:hAnsi="宋体"/>
          <w:color w:val="auto"/>
          <w:kern w:val="0"/>
          <w:sz w:val="72"/>
          <w:szCs w:val="72"/>
          <w:highlight w:val="none"/>
        </w:rPr>
        <w:t>投 标 文 件</w:t>
      </w:r>
    </w:p>
    <w:p w14:paraId="7C645C54">
      <w:pPr>
        <w:autoSpaceDE w:val="0"/>
        <w:autoSpaceDN w:val="0"/>
        <w:adjustRightInd w:val="0"/>
        <w:snapToGrid w:val="0"/>
        <w:spacing w:line="360" w:lineRule="auto"/>
        <w:jc w:val="left"/>
        <w:rPr>
          <w:rFonts w:ascii="宋体" w:hAnsi="宋体"/>
          <w:color w:val="auto"/>
          <w:kern w:val="0"/>
          <w:sz w:val="16"/>
          <w:szCs w:val="16"/>
          <w:highlight w:val="none"/>
        </w:rPr>
      </w:pPr>
    </w:p>
    <w:p w14:paraId="367713C3">
      <w:pPr>
        <w:autoSpaceDE w:val="0"/>
        <w:autoSpaceDN w:val="0"/>
        <w:adjustRightInd w:val="0"/>
        <w:snapToGrid w:val="0"/>
        <w:spacing w:line="360" w:lineRule="auto"/>
        <w:jc w:val="center"/>
        <w:rPr>
          <w:rFonts w:ascii="宋体" w:hAnsi="宋体"/>
          <w:color w:val="auto"/>
          <w:kern w:val="0"/>
          <w:sz w:val="36"/>
          <w:szCs w:val="36"/>
          <w:highlight w:val="none"/>
        </w:rPr>
      </w:pPr>
      <w:r>
        <w:rPr>
          <w:rFonts w:hint="eastAsia" w:ascii="宋体" w:hAnsi="宋体"/>
          <w:color w:val="auto"/>
          <w:kern w:val="0"/>
          <w:sz w:val="36"/>
          <w:szCs w:val="36"/>
          <w:highlight w:val="none"/>
        </w:rPr>
        <w:t>资格审查部分</w:t>
      </w:r>
    </w:p>
    <w:p w14:paraId="0597929A">
      <w:pPr>
        <w:autoSpaceDE w:val="0"/>
        <w:autoSpaceDN w:val="0"/>
        <w:adjustRightInd w:val="0"/>
        <w:snapToGrid w:val="0"/>
        <w:spacing w:line="360" w:lineRule="auto"/>
        <w:jc w:val="left"/>
        <w:rPr>
          <w:rFonts w:ascii="宋体" w:hAnsi="宋体" w:cs="MingLiU"/>
          <w:color w:val="auto"/>
          <w:kern w:val="0"/>
          <w:sz w:val="20"/>
          <w:szCs w:val="20"/>
          <w:highlight w:val="none"/>
        </w:rPr>
      </w:pPr>
    </w:p>
    <w:p w14:paraId="4C6DB07F">
      <w:pPr>
        <w:adjustRightInd w:val="0"/>
        <w:snapToGrid w:val="0"/>
        <w:spacing w:line="264" w:lineRule="auto"/>
        <w:rPr>
          <w:rFonts w:ascii="宋体" w:hAnsi="宋体"/>
          <w:color w:val="auto"/>
          <w:szCs w:val="21"/>
          <w:highlight w:val="none"/>
        </w:rPr>
      </w:pPr>
    </w:p>
    <w:p w14:paraId="221AC2F5">
      <w:pPr>
        <w:autoSpaceDE w:val="0"/>
        <w:autoSpaceDN w:val="0"/>
        <w:adjustRightInd w:val="0"/>
        <w:snapToGrid w:val="0"/>
        <w:spacing w:line="360" w:lineRule="auto"/>
        <w:jc w:val="left"/>
        <w:rPr>
          <w:rFonts w:ascii="宋体" w:hAnsi="宋体" w:cs="MingLiU"/>
          <w:color w:val="auto"/>
          <w:kern w:val="0"/>
          <w:sz w:val="20"/>
          <w:szCs w:val="20"/>
          <w:highlight w:val="none"/>
        </w:rPr>
      </w:pPr>
    </w:p>
    <w:p w14:paraId="769FD316">
      <w:pPr>
        <w:autoSpaceDE w:val="0"/>
        <w:autoSpaceDN w:val="0"/>
        <w:adjustRightInd w:val="0"/>
        <w:snapToGrid w:val="0"/>
        <w:spacing w:line="360" w:lineRule="auto"/>
        <w:jc w:val="left"/>
        <w:rPr>
          <w:rFonts w:ascii="宋体" w:hAnsi="宋体" w:cs="MingLiU"/>
          <w:color w:val="auto"/>
          <w:kern w:val="0"/>
          <w:sz w:val="20"/>
          <w:szCs w:val="20"/>
          <w:highlight w:val="none"/>
        </w:rPr>
      </w:pPr>
    </w:p>
    <w:p w14:paraId="77AA28C9">
      <w:pPr>
        <w:autoSpaceDE w:val="0"/>
        <w:autoSpaceDN w:val="0"/>
        <w:adjustRightInd w:val="0"/>
        <w:snapToGrid w:val="0"/>
        <w:spacing w:line="360" w:lineRule="auto"/>
        <w:jc w:val="left"/>
        <w:rPr>
          <w:rFonts w:ascii="宋体" w:hAnsi="宋体" w:cs="MingLiU"/>
          <w:color w:val="auto"/>
          <w:kern w:val="0"/>
          <w:sz w:val="20"/>
          <w:szCs w:val="20"/>
          <w:highlight w:val="none"/>
        </w:rPr>
      </w:pPr>
    </w:p>
    <w:p w14:paraId="4C261B43">
      <w:pPr>
        <w:autoSpaceDE w:val="0"/>
        <w:autoSpaceDN w:val="0"/>
        <w:adjustRightInd w:val="0"/>
        <w:snapToGrid w:val="0"/>
        <w:spacing w:line="360" w:lineRule="auto"/>
        <w:jc w:val="left"/>
        <w:rPr>
          <w:rFonts w:ascii="宋体" w:hAnsi="宋体" w:cs="MingLiU"/>
          <w:color w:val="auto"/>
          <w:kern w:val="0"/>
          <w:sz w:val="20"/>
          <w:szCs w:val="20"/>
          <w:highlight w:val="none"/>
        </w:rPr>
      </w:pPr>
    </w:p>
    <w:p w14:paraId="126161F5">
      <w:pPr>
        <w:autoSpaceDE w:val="0"/>
        <w:autoSpaceDN w:val="0"/>
        <w:adjustRightInd w:val="0"/>
        <w:snapToGrid w:val="0"/>
        <w:spacing w:line="360" w:lineRule="auto"/>
        <w:jc w:val="left"/>
        <w:rPr>
          <w:rFonts w:ascii="宋体" w:hAnsi="宋体" w:cs="MingLiU"/>
          <w:color w:val="auto"/>
          <w:kern w:val="0"/>
          <w:sz w:val="20"/>
          <w:szCs w:val="20"/>
          <w:highlight w:val="none"/>
        </w:rPr>
      </w:pPr>
    </w:p>
    <w:p w14:paraId="55B495F5">
      <w:pPr>
        <w:autoSpaceDE w:val="0"/>
        <w:autoSpaceDN w:val="0"/>
        <w:adjustRightInd w:val="0"/>
        <w:snapToGrid w:val="0"/>
        <w:spacing w:line="360" w:lineRule="auto"/>
        <w:jc w:val="left"/>
        <w:rPr>
          <w:rFonts w:ascii="宋体" w:hAnsi="宋体" w:cs="MingLiU"/>
          <w:color w:val="auto"/>
          <w:kern w:val="0"/>
          <w:sz w:val="20"/>
          <w:szCs w:val="20"/>
          <w:highlight w:val="none"/>
        </w:rPr>
      </w:pPr>
    </w:p>
    <w:p w14:paraId="48071DF4">
      <w:pPr>
        <w:autoSpaceDE w:val="0"/>
        <w:autoSpaceDN w:val="0"/>
        <w:adjustRightInd w:val="0"/>
        <w:snapToGrid w:val="0"/>
        <w:spacing w:line="360" w:lineRule="auto"/>
        <w:jc w:val="left"/>
        <w:rPr>
          <w:rFonts w:ascii="宋体" w:hAnsi="宋体" w:cs="MingLiU"/>
          <w:color w:val="auto"/>
          <w:kern w:val="0"/>
          <w:sz w:val="20"/>
          <w:szCs w:val="20"/>
          <w:highlight w:val="none"/>
        </w:rPr>
      </w:pPr>
    </w:p>
    <w:p w14:paraId="0E7820E7">
      <w:pPr>
        <w:autoSpaceDE w:val="0"/>
        <w:autoSpaceDN w:val="0"/>
        <w:adjustRightInd w:val="0"/>
        <w:snapToGrid w:val="0"/>
        <w:spacing w:line="360" w:lineRule="auto"/>
        <w:jc w:val="left"/>
        <w:rPr>
          <w:rFonts w:ascii="宋体" w:hAnsi="宋体" w:cs="MingLiU"/>
          <w:color w:val="auto"/>
          <w:kern w:val="0"/>
          <w:sz w:val="20"/>
          <w:szCs w:val="20"/>
          <w:highlight w:val="none"/>
        </w:rPr>
      </w:pPr>
    </w:p>
    <w:p w14:paraId="50E3562A">
      <w:pPr>
        <w:autoSpaceDE w:val="0"/>
        <w:autoSpaceDN w:val="0"/>
        <w:adjustRightInd w:val="0"/>
        <w:snapToGrid w:val="0"/>
        <w:spacing w:line="360" w:lineRule="auto"/>
        <w:jc w:val="left"/>
        <w:rPr>
          <w:rFonts w:ascii="宋体" w:hAnsi="宋体" w:cs="MingLiU"/>
          <w:color w:val="auto"/>
          <w:kern w:val="0"/>
          <w:sz w:val="20"/>
          <w:szCs w:val="20"/>
          <w:highlight w:val="none"/>
        </w:rPr>
      </w:pPr>
    </w:p>
    <w:p w14:paraId="0F466AFC">
      <w:pPr>
        <w:autoSpaceDE w:val="0"/>
        <w:autoSpaceDN w:val="0"/>
        <w:adjustRightInd w:val="0"/>
        <w:snapToGrid w:val="0"/>
        <w:spacing w:line="360" w:lineRule="auto"/>
        <w:jc w:val="left"/>
        <w:rPr>
          <w:rFonts w:ascii="宋体" w:hAnsi="宋体" w:cs="MingLiU"/>
          <w:color w:val="auto"/>
          <w:kern w:val="0"/>
          <w:sz w:val="20"/>
          <w:szCs w:val="20"/>
          <w:highlight w:val="none"/>
        </w:rPr>
      </w:pPr>
    </w:p>
    <w:p w14:paraId="5625E251">
      <w:pPr>
        <w:autoSpaceDE w:val="0"/>
        <w:autoSpaceDN w:val="0"/>
        <w:adjustRightInd w:val="0"/>
        <w:snapToGrid w:val="0"/>
        <w:spacing w:line="360" w:lineRule="auto"/>
        <w:jc w:val="left"/>
        <w:rPr>
          <w:rFonts w:ascii="宋体" w:hAnsi="宋体" w:cs="MingLiU"/>
          <w:color w:val="auto"/>
          <w:kern w:val="0"/>
          <w:sz w:val="20"/>
          <w:szCs w:val="20"/>
          <w:highlight w:val="none"/>
        </w:rPr>
      </w:pPr>
    </w:p>
    <w:p w14:paraId="2069477B">
      <w:pPr>
        <w:autoSpaceDE w:val="0"/>
        <w:autoSpaceDN w:val="0"/>
        <w:adjustRightInd w:val="0"/>
        <w:snapToGrid w:val="0"/>
        <w:spacing w:line="360" w:lineRule="auto"/>
        <w:jc w:val="left"/>
        <w:rPr>
          <w:rFonts w:ascii="宋体" w:hAnsi="宋体" w:cs="MingLiU"/>
          <w:color w:val="auto"/>
          <w:kern w:val="0"/>
          <w:sz w:val="20"/>
          <w:szCs w:val="20"/>
          <w:highlight w:val="none"/>
        </w:rPr>
      </w:pPr>
    </w:p>
    <w:p w14:paraId="3C53ED87">
      <w:pPr>
        <w:autoSpaceDE w:val="0"/>
        <w:autoSpaceDN w:val="0"/>
        <w:adjustRightInd w:val="0"/>
        <w:snapToGrid w:val="0"/>
        <w:spacing w:line="360" w:lineRule="auto"/>
        <w:jc w:val="left"/>
        <w:rPr>
          <w:rFonts w:ascii="宋体" w:hAnsi="宋体" w:cs="MingLiU"/>
          <w:color w:val="auto"/>
          <w:kern w:val="0"/>
          <w:sz w:val="20"/>
          <w:szCs w:val="20"/>
          <w:highlight w:val="none"/>
        </w:rPr>
      </w:pPr>
    </w:p>
    <w:p w14:paraId="14997D95">
      <w:pPr>
        <w:tabs>
          <w:tab w:val="left" w:pos="6080"/>
          <w:tab w:val="left" w:pos="6640"/>
        </w:tabs>
        <w:autoSpaceDE w:val="0"/>
        <w:autoSpaceDN w:val="0"/>
        <w:adjustRightInd w:val="0"/>
        <w:snapToGrid w:val="0"/>
        <w:spacing w:line="480" w:lineRule="auto"/>
        <w:jc w:val="center"/>
        <w:rPr>
          <w:rFonts w:ascii="宋体" w:hAnsi="宋体"/>
          <w:color w:val="auto"/>
          <w:w w:val="99"/>
          <w:kern w:val="0"/>
          <w:sz w:val="28"/>
          <w:szCs w:val="28"/>
          <w:highlight w:val="none"/>
        </w:rPr>
      </w:pPr>
      <w:r>
        <w:rPr>
          <w:rFonts w:ascii="宋体" w:hAnsi="宋体"/>
          <w:color w:val="auto"/>
          <w:w w:val="99"/>
          <w:kern w:val="0"/>
          <w:sz w:val="28"/>
          <w:szCs w:val="28"/>
          <w:highlight w:val="none"/>
        </w:rPr>
        <w:t>投标人</w:t>
      </w:r>
      <w:r>
        <w:rPr>
          <w:rFonts w:ascii="宋体" w:hAnsi="宋体"/>
          <w:color w:val="auto"/>
          <w:spacing w:val="1"/>
          <w:w w:val="99"/>
          <w:kern w:val="0"/>
          <w:sz w:val="28"/>
          <w:szCs w:val="28"/>
          <w:highlight w:val="none"/>
        </w:rPr>
        <w:t>：</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（盖单位法人章）</w:t>
      </w:r>
    </w:p>
    <w:p w14:paraId="7BD1E9F0">
      <w:pPr>
        <w:tabs>
          <w:tab w:val="left" w:pos="6080"/>
          <w:tab w:val="left" w:pos="6640"/>
        </w:tabs>
        <w:autoSpaceDE w:val="0"/>
        <w:autoSpaceDN w:val="0"/>
        <w:adjustRightInd w:val="0"/>
        <w:snapToGrid w:val="0"/>
        <w:spacing w:line="480" w:lineRule="auto"/>
        <w:jc w:val="center"/>
        <w:rPr>
          <w:rFonts w:ascii="宋体" w:hAnsi="宋体"/>
          <w:color w:val="auto"/>
          <w:kern w:val="0"/>
          <w:sz w:val="28"/>
          <w:szCs w:val="28"/>
          <w:highlight w:val="none"/>
        </w:rPr>
      </w:pPr>
      <w:r>
        <w:rPr>
          <w:rFonts w:ascii="宋体" w:hAnsi="宋体"/>
          <w:color w:val="auto"/>
          <w:w w:val="99"/>
          <w:kern w:val="0"/>
          <w:sz w:val="28"/>
          <w:szCs w:val="28"/>
          <w:highlight w:val="none"/>
        </w:rPr>
        <w:t>法定代表人或其委托代理人：</w:t>
      </w:r>
      <w:r>
        <w:rPr>
          <w:rFonts w:ascii="宋体" w:hAnsi="宋体"/>
          <w:color w:val="auto"/>
          <w:w w:val="198"/>
          <w:kern w:val="0"/>
          <w:sz w:val="28"/>
          <w:szCs w:val="28"/>
          <w:highlight w:val="none"/>
          <w:u w:val="single"/>
        </w:rPr>
        <w:t xml:space="preserve"> 　 　</w:t>
      </w:r>
      <w:r>
        <w:rPr>
          <w:rFonts w:ascii="宋体" w:hAnsi="宋体"/>
          <w:color w:val="auto"/>
          <w:w w:val="99"/>
          <w:kern w:val="0"/>
          <w:sz w:val="28"/>
          <w:szCs w:val="28"/>
          <w:highlight w:val="none"/>
        </w:rPr>
        <w:t>（签字或盖章）</w:t>
      </w:r>
    </w:p>
    <w:p w14:paraId="1FCA83FA">
      <w:pPr>
        <w:tabs>
          <w:tab w:val="left" w:pos="3280"/>
          <w:tab w:val="left" w:pos="4680"/>
          <w:tab w:val="left" w:pos="6080"/>
        </w:tabs>
        <w:autoSpaceDE w:val="0"/>
        <w:autoSpaceDN w:val="0"/>
        <w:adjustRightInd w:val="0"/>
        <w:snapToGrid w:val="0"/>
        <w:spacing w:line="480" w:lineRule="auto"/>
        <w:jc w:val="center"/>
        <w:rPr>
          <w:rFonts w:ascii="宋体" w:hAnsi="宋体"/>
          <w:b/>
          <w:color w:val="auto"/>
          <w:kern w:val="0"/>
          <w:sz w:val="28"/>
          <w:szCs w:val="28"/>
          <w:highlight w:val="none"/>
        </w:rPr>
      </w:pP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年</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月</w:t>
      </w:r>
      <w:r>
        <w:rPr>
          <w:rFonts w:hint="eastAsia" w:ascii="宋体" w:hAnsi="宋体"/>
          <w:color w:val="auto"/>
          <w:w w:val="99"/>
          <w:kern w:val="0"/>
          <w:sz w:val="28"/>
          <w:szCs w:val="28"/>
          <w:highlight w:val="none"/>
          <w:u w:val="single"/>
        </w:rPr>
        <w:t xml:space="preserve">    </w:t>
      </w:r>
      <w:r>
        <w:rPr>
          <w:rFonts w:hint="eastAsia" w:ascii="宋体" w:hAnsi="宋体"/>
          <w:color w:val="auto"/>
          <w:w w:val="99"/>
          <w:kern w:val="0"/>
          <w:sz w:val="28"/>
          <w:szCs w:val="28"/>
          <w:highlight w:val="none"/>
        </w:rPr>
        <w:t>日</w:t>
      </w:r>
    </w:p>
    <w:p w14:paraId="48237476">
      <w:pPr>
        <w:autoSpaceDE w:val="0"/>
        <w:autoSpaceDN w:val="0"/>
        <w:adjustRightInd w:val="0"/>
        <w:snapToGrid w:val="0"/>
        <w:jc w:val="center"/>
        <w:rPr>
          <w:rFonts w:ascii="宋体" w:hAnsi="宋体"/>
          <w:color w:val="auto"/>
          <w:kern w:val="0"/>
          <w:sz w:val="36"/>
          <w:szCs w:val="36"/>
          <w:highlight w:val="none"/>
        </w:rPr>
      </w:pPr>
    </w:p>
    <w:p w14:paraId="513466B0">
      <w:pPr>
        <w:autoSpaceDE w:val="0"/>
        <w:autoSpaceDN w:val="0"/>
        <w:adjustRightInd w:val="0"/>
        <w:snapToGrid w:val="0"/>
        <w:jc w:val="center"/>
        <w:rPr>
          <w:rFonts w:ascii="宋体" w:hAnsi="宋体"/>
          <w:color w:val="auto"/>
          <w:kern w:val="0"/>
          <w:sz w:val="36"/>
          <w:szCs w:val="36"/>
          <w:highlight w:val="none"/>
        </w:rPr>
      </w:pPr>
      <w:r>
        <w:rPr>
          <w:rFonts w:hint="eastAsia" w:ascii="宋体" w:hAnsi="宋体"/>
          <w:color w:val="auto"/>
          <w:kern w:val="0"/>
          <w:sz w:val="36"/>
          <w:szCs w:val="36"/>
          <w:highlight w:val="none"/>
        </w:rPr>
        <w:t>目  录</w:t>
      </w:r>
    </w:p>
    <w:p w14:paraId="59EC86AD">
      <w:pPr>
        <w:spacing w:line="360" w:lineRule="auto"/>
        <w:jc w:val="center"/>
        <w:rPr>
          <w:rFonts w:ascii="宋体" w:hAnsi="宋体"/>
          <w:b/>
          <w:color w:val="auto"/>
          <w:kern w:val="0"/>
          <w:sz w:val="32"/>
          <w:szCs w:val="32"/>
          <w:highlight w:val="none"/>
        </w:rPr>
      </w:pPr>
    </w:p>
    <w:p w14:paraId="2BB9766A">
      <w:pPr>
        <w:spacing w:line="360" w:lineRule="auto"/>
        <w:ind w:firstLine="420" w:firstLineChars="200"/>
        <w:rPr>
          <w:rFonts w:ascii="宋体" w:hAnsi="宋体"/>
          <w:color w:val="auto"/>
          <w:szCs w:val="21"/>
          <w:highlight w:val="none"/>
        </w:rPr>
      </w:pPr>
      <w:r>
        <w:rPr>
          <w:rFonts w:ascii="宋体" w:hAnsi="宋体"/>
          <w:color w:val="auto"/>
          <w:szCs w:val="21"/>
          <w:highlight w:val="none"/>
        </w:rPr>
        <w:t>（一）</w:t>
      </w:r>
      <w:r>
        <w:rPr>
          <w:rFonts w:hint="eastAsia" w:ascii="宋体" w:hAnsi="宋体"/>
          <w:snapToGrid w:val="0"/>
          <w:color w:val="auto"/>
          <w:kern w:val="0"/>
          <w:szCs w:val="21"/>
          <w:highlight w:val="none"/>
        </w:rPr>
        <w:t>法定代表人身份证明或附有法定代表人身份证明的授权委托书</w:t>
      </w:r>
    </w:p>
    <w:p w14:paraId="5C52638C">
      <w:pPr>
        <w:spacing w:line="360" w:lineRule="auto"/>
        <w:ind w:firstLine="420" w:firstLineChars="200"/>
        <w:rPr>
          <w:rFonts w:ascii="宋体" w:hAnsi="宋体"/>
          <w:color w:val="auto"/>
          <w:szCs w:val="21"/>
          <w:highlight w:val="none"/>
        </w:rPr>
      </w:pPr>
      <w:r>
        <w:rPr>
          <w:rFonts w:ascii="宋体" w:hAnsi="宋体"/>
          <w:color w:val="auto"/>
          <w:szCs w:val="21"/>
          <w:highlight w:val="none"/>
        </w:rPr>
        <w:t>（二）联合体协议书</w:t>
      </w:r>
      <w:r>
        <w:rPr>
          <w:rFonts w:hint="eastAsia" w:ascii="宋体" w:hAnsi="宋体"/>
          <w:color w:val="auto"/>
          <w:szCs w:val="21"/>
          <w:highlight w:val="none"/>
        </w:rPr>
        <w:t>（如有）</w:t>
      </w:r>
    </w:p>
    <w:p w14:paraId="4C7EB115">
      <w:pPr>
        <w:spacing w:line="360" w:lineRule="auto"/>
        <w:ind w:firstLine="420" w:firstLineChars="200"/>
        <w:rPr>
          <w:rFonts w:ascii="宋体" w:hAnsi="宋体"/>
          <w:color w:val="auto"/>
          <w:szCs w:val="21"/>
          <w:highlight w:val="none"/>
        </w:rPr>
      </w:pPr>
      <w:r>
        <w:rPr>
          <w:rFonts w:ascii="宋体" w:hAnsi="宋体"/>
          <w:color w:val="auto"/>
          <w:szCs w:val="21"/>
          <w:highlight w:val="none"/>
        </w:rPr>
        <w:t>（三）投标人基本情况表</w:t>
      </w:r>
    </w:p>
    <w:p w14:paraId="37BD0C11">
      <w:pPr>
        <w:spacing w:line="360" w:lineRule="auto"/>
        <w:ind w:firstLine="420" w:firstLineChars="200"/>
        <w:rPr>
          <w:rFonts w:ascii="宋体" w:hAnsi="宋体"/>
          <w:color w:val="auto"/>
          <w:szCs w:val="21"/>
          <w:highlight w:val="none"/>
        </w:rPr>
      </w:pPr>
      <w:r>
        <w:rPr>
          <w:rFonts w:ascii="宋体" w:hAnsi="宋体"/>
          <w:color w:val="auto"/>
          <w:szCs w:val="21"/>
          <w:highlight w:val="none"/>
        </w:rPr>
        <w:t>（四）项目管理机构</w:t>
      </w:r>
    </w:p>
    <w:p w14:paraId="70E8A7EC">
      <w:pPr>
        <w:spacing w:line="360" w:lineRule="auto"/>
        <w:ind w:firstLine="420" w:firstLineChars="200"/>
        <w:rPr>
          <w:rFonts w:ascii="宋体" w:hAnsi="宋体"/>
          <w:color w:val="auto"/>
          <w:szCs w:val="21"/>
          <w:highlight w:val="none"/>
        </w:rPr>
      </w:pPr>
      <w:r>
        <w:rPr>
          <w:rFonts w:ascii="宋体" w:hAnsi="宋体"/>
          <w:color w:val="auto"/>
          <w:szCs w:val="21"/>
          <w:highlight w:val="none"/>
        </w:rPr>
        <w:t>（五）近年财务状况表</w:t>
      </w:r>
    </w:p>
    <w:p w14:paraId="7FD73917">
      <w:pPr>
        <w:spacing w:line="360" w:lineRule="auto"/>
        <w:ind w:firstLine="420" w:firstLineChars="200"/>
        <w:rPr>
          <w:rFonts w:ascii="宋体" w:hAnsi="宋体"/>
          <w:color w:val="auto"/>
          <w:szCs w:val="21"/>
          <w:highlight w:val="none"/>
        </w:rPr>
      </w:pPr>
      <w:r>
        <w:rPr>
          <w:rFonts w:ascii="宋体" w:hAnsi="宋体"/>
          <w:color w:val="auto"/>
          <w:szCs w:val="21"/>
          <w:highlight w:val="none"/>
        </w:rPr>
        <w:t>（六）类似项目情况表</w:t>
      </w:r>
    </w:p>
    <w:p w14:paraId="397A23A7">
      <w:pPr>
        <w:spacing w:line="360" w:lineRule="auto"/>
        <w:ind w:firstLine="420" w:firstLineChars="200"/>
        <w:rPr>
          <w:rFonts w:ascii="宋体" w:hAnsi="宋体"/>
          <w:color w:val="auto"/>
          <w:szCs w:val="21"/>
          <w:highlight w:val="none"/>
        </w:rPr>
      </w:pPr>
      <w:r>
        <w:rPr>
          <w:rFonts w:ascii="宋体" w:hAnsi="宋体"/>
          <w:color w:val="auto"/>
          <w:szCs w:val="21"/>
          <w:highlight w:val="none"/>
        </w:rPr>
        <w:t>（七）</w:t>
      </w:r>
      <w:r>
        <w:rPr>
          <w:rFonts w:hint="eastAsia" w:ascii="宋体" w:hAnsi="宋体"/>
          <w:color w:val="auto"/>
          <w:szCs w:val="21"/>
          <w:highlight w:val="none"/>
        </w:rPr>
        <w:t>承诺</w:t>
      </w:r>
    </w:p>
    <w:p w14:paraId="0B18078F">
      <w:pPr>
        <w:spacing w:line="360" w:lineRule="auto"/>
        <w:ind w:firstLine="420" w:firstLineChars="200"/>
        <w:rPr>
          <w:rFonts w:ascii="宋体" w:hAnsi="宋体"/>
          <w:color w:val="auto"/>
          <w:szCs w:val="21"/>
          <w:highlight w:val="none"/>
        </w:rPr>
      </w:pPr>
      <w:r>
        <w:rPr>
          <w:rFonts w:ascii="宋体" w:hAnsi="宋体"/>
          <w:color w:val="auto"/>
          <w:szCs w:val="21"/>
          <w:highlight w:val="none"/>
        </w:rPr>
        <w:t>（</w:t>
      </w:r>
      <w:r>
        <w:rPr>
          <w:rFonts w:hint="eastAsia" w:ascii="宋体" w:hAnsi="宋体"/>
          <w:color w:val="auto"/>
          <w:szCs w:val="21"/>
          <w:highlight w:val="none"/>
        </w:rPr>
        <w:t>八</w:t>
      </w:r>
      <w:r>
        <w:rPr>
          <w:rFonts w:ascii="宋体" w:hAnsi="宋体"/>
          <w:color w:val="auto"/>
          <w:szCs w:val="21"/>
          <w:highlight w:val="none"/>
        </w:rPr>
        <w:t>）其他资料</w:t>
      </w:r>
    </w:p>
    <w:p w14:paraId="0C77CFE6">
      <w:pPr>
        <w:spacing w:line="360" w:lineRule="auto"/>
        <w:jc w:val="center"/>
        <w:rPr>
          <w:rFonts w:ascii="宋体" w:hAnsi="宋体"/>
          <w:b/>
          <w:color w:val="auto"/>
          <w:kern w:val="0"/>
          <w:sz w:val="32"/>
          <w:szCs w:val="32"/>
          <w:highlight w:val="none"/>
        </w:rPr>
      </w:pPr>
    </w:p>
    <w:p w14:paraId="51A13CC9">
      <w:pPr>
        <w:spacing w:line="360" w:lineRule="auto"/>
        <w:jc w:val="center"/>
        <w:rPr>
          <w:rFonts w:ascii="宋体" w:hAnsi="宋体"/>
          <w:b/>
          <w:color w:val="auto"/>
          <w:kern w:val="0"/>
          <w:sz w:val="32"/>
          <w:szCs w:val="32"/>
          <w:highlight w:val="none"/>
        </w:rPr>
      </w:pPr>
    </w:p>
    <w:p w14:paraId="46D47A65">
      <w:pPr>
        <w:pStyle w:val="5"/>
        <w:spacing w:before="0" w:after="0" w:line="240" w:lineRule="auto"/>
        <w:jc w:val="center"/>
        <w:rPr>
          <w:rFonts w:ascii="宋体" w:hAnsi="宋体"/>
          <w:color w:val="auto"/>
          <w:sz w:val="36"/>
          <w:szCs w:val="36"/>
          <w:highlight w:val="none"/>
        </w:rPr>
      </w:pPr>
      <w:r>
        <w:rPr>
          <w:rFonts w:ascii="宋体" w:hAnsi="宋体"/>
          <w:color w:val="auto"/>
          <w:highlight w:val="none"/>
        </w:rPr>
        <w:br w:type="page"/>
      </w:r>
      <w:bookmarkStart w:id="2101" w:name="_Toc430530546"/>
      <w:bookmarkStart w:id="2102" w:name="_Toc287607883"/>
      <w:bookmarkStart w:id="2103" w:name="_Toc287620830"/>
      <w:bookmarkStart w:id="2104" w:name="_Toc277082657"/>
      <w:bookmarkStart w:id="2105" w:name="_Toc224103511"/>
      <w:bookmarkStart w:id="2106" w:name="_Toc58860356"/>
      <w:r>
        <w:rPr>
          <w:rFonts w:hint="eastAsia" w:ascii="宋体" w:hAnsi="宋体"/>
          <w:b w:val="0"/>
          <w:bCs w:val="0"/>
          <w:color w:val="auto"/>
          <w:highlight w:val="none"/>
        </w:rPr>
        <w:t>（一）</w:t>
      </w:r>
      <w:bookmarkEnd w:id="2101"/>
      <w:bookmarkEnd w:id="2102"/>
      <w:bookmarkEnd w:id="2103"/>
      <w:bookmarkEnd w:id="2104"/>
      <w:bookmarkEnd w:id="2105"/>
      <w:r>
        <w:rPr>
          <w:rFonts w:hint="eastAsia" w:ascii="宋体" w:hAnsi="宋体"/>
          <w:snapToGrid w:val="0"/>
          <w:color w:val="auto"/>
          <w:kern w:val="0"/>
          <w:sz w:val="30"/>
          <w:szCs w:val="30"/>
          <w:highlight w:val="none"/>
        </w:rPr>
        <w:t>法定代表人身份证明或附有法定代表人身份证明的授权委托书</w:t>
      </w:r>
      <w:bookmarkEnd w:id="2106"/>
    </w:p>
    <w:p w14:paraId="4E91622F">
      <w:pPr>
        <w:spacing w:line="480" w:lineRule="auto"/>
        <w:jc w:val="center"/>
        <w:rPr>
          <w:rFonts w:ascii="宋体" w:hAnsi="宋体"/>
          <w:color w:val="auto"/>
          <w:sz w:val="28"/>
          <w:highlight w:val="none"/>
        </w:rPr>
      </w:pPr>
      <w:r>
        <w:rPr>
          <w:rFonts w:hint="eastAsia" w:ascii="宋体" w:hAnsi="宋体"/>
          <w:color w:val="auto"/>
          <w:sz w:val="28"/>
          <w:highlight w:val="none"/>
        </w:rPr>
        <w:t>法定代表人身份证明</w:t>
      </w:r>
    </w:p>
    <w:p w14:paraId="1706DC26">
      <w:pPr>
        <w:spacing w:line="480" w:lineRule="auto"/>
        <w:jc w:val="center"/>
        <w:rPr>
          <w:rFonts w:ascii="宋体" w:hAnsi="宋体"/>
          <w:color w:val="auto"/>
          <w:highlight w:val="none"/>
        </w:rPr>
      </w:pPr>
    </w:p>
    <w:p w14:paraId="31B6F9E0">
      <w:pPr>
        <w:tabs>
          <w:tab w:val="left" w:pos="556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投标人名称：</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652555BF">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单位性质：</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86A6494">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地</w:t>
      </w:r>
      <w:r>
        <w:rPr>
          <w:rFonts w:hint="eastAsia" w:ascii="宋体" w:hAnsi="宋体"/>
          <w:color w:val="auto"/>
          <w:kern w:val="0"/>
          <w:szCs w:val="21"/>
          <w:highlight w:val="none"/>
        </w:rPr>
        <w:t xml:space="preserve">    </w:t>
      </w:r>
      <w:r>
        <w:rPr>
          <w:rFonts w:ascii="宋体" w:hAnsi="宋体"/>
          <w:color w:val="auto"/>
          <w:kern w:val="0"/>
          <w:szCs w:val="21"/>
          <w:highlight w:val="none"/>
        </w:rPr>
        <w:t>址：</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2ED57F3C">
      <w:pPr>
        <w:tabs>
          <w:tab w:val="left" w:pos="2520"/>
          <w:tab w:val="left" w:pos="3836"/>
        </w:tabs>
        <w:autoSpaceDE w:val="0"/>
        <w:autoSpaceDN w:val="0"/>
        <w:adjustRightInd w:val="0"/>
        <w:snapToGrid w:val="0"/>
        <w:spacing w:line="480" w:lineRule="auto"/>
        <w:ind w:firstLine="390" w:firstLineChars="186"/>
        <w:jc w:val="left"/>
        <w:rPr>
          <w:rFonts w:ascii="宋体" w:hAnsi="宋体"/>
          <w:color w:val="auto"/>
          <w:kern w:val="0"/>
          <w:sz w:val="10"/>
          <w:szCs w:val="10"/>
          <w:highlight w:val="none"/>
        </w:rPr>
      </w:pPr>
      <w:r>
        <w:rPr>
          <w:rFonts w:ascii="宋体" w:hAnsi="宋体"/>
          <w:color w:val="auto"/>
          <w:kern w:val="0"/>
          <w:szCs w:val="21"/>
          <w:highlight w:val="none"/>
        </w:rPr>
        <w:t>成立时间：</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p>
    <w:p w14:paraId="0953E364">
      <w:pPr>
        <w:tabs>
          <w:tab w:val="left" w:pos="5475"/>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经营期限：</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p>
    <w:p w14:paraId="601F8F61">
      <w:pPr>
        <w:tabs>
          <w:tab w:val="left" w:pos="1580"/>
          <w:tab w:val="left" w:pos="3260"/>
          <w:tab w:val="left" w:pos="4840"/>
          <w:tab w:val="left" w:pos="630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姓名：</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性别</w:t>
      </w:r>
      <w:r>
        <w:rPr>
          <w:rFonts w:ascii="宋体" w:hAnsi="宋体"/>
          <w:color w:val="auto"/>
          <w:spacing w:val="-1"/>
          <w:kern w:val="0"/>
          <w:szCs w:val="21"/>
          <w:highlight w:val="none"/>
        </w:rPr>
        <w:t>：</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spacing w:val="-1"/>
          <w:kern w:val="0"/>
          <w:szCs w:val="21"/>
          <w:highlight w:val="none"/>
        </w:rPr>
        <w:t>年</w:t>
      </w:r>
      <w:r>
        <w:rPr>
          <w:rFonts w:ascii="宋体" w:hAnsi="宋体"/>
          <w:color w:val="auto"/>
          <w:kern w:val="0"/>
          <w:szCs w:val="21"/>
          <w:highlight w:val="none"/>
        </w:rPr>
        <w:t>龄：</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职务：</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078BE420">
      <w:pPr>
        <w:tabs>
          <w:tab w:val="left" w:pos="3360"/>
        </w:tabs>
        <w:autoSpaceDE w:val="0"/>
        <w:autoSpaceDN w:val="0"/>
        <w:adjustRightInd w:val="0"/>
        <w:snapToGrid w:val="0"/>
        <w:spacing w:line="480" w:lineRule="auto"/>
        <w:ind w:firstLine="390" w:firstLineChars="186"/>
        <w:jc w:val="left"/>
        <w:rPr>
          <w:rFonts w:ascii="宋体" w:hAnsi="宋体"/>
          <w:color w:val="auto"/>
          <w:kern w:val="0"/>
          <w:szCs w:val="21"/>
          <w:highlight w:val="none"/>
        </w:rPr>
      </w:pPr>
      <w:r>
        <w:rPr>
          <w:rFonts w:ascii="宋体" w:hAnsi="宋体"/>
          <w:color w:val="auto"/>
          <w:kern w:val="0"/>
          <w:szCs w:val="21"/>
          <w:highlight w:val="none"/>
        </w:rPr>
        <w:t>系</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（投标人名称）的法定代表人。</w:t>
      </w:r>
    </w:p>
    <w:p w14:paraId="57AF4772">
      <w:pPr>
        <w:autoSpaceDE w:val="0"/>
        <w:autoSpaceDN w:val="0"/>
        <w:adjustRightInd w:val="0"/>
        <w:snapToGrid w:val="0"/>
        <w:spacing w:line="480" w:lineRule="auto"/>
        <w:ind w:firstLine="186" w:firstLineChars="186"/>
        <w:jc w:val="left"/>
        <w:rPr>
          <w:rFonts w:ascii="宋体" w:hAnsi="宋体"/>
          <w:color w:val="auto"/>
          <w:kern w:val="0"/>
          <w:sz w:val="10"/>
          <w:szCs w:val="10"/>
          <w:highlight w:val="none"/>
        </w:rPr>
      </w:pPr>
    </w:p>
    <w:p w14:paraId="5EA9F308">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ascii="宋体" w:hAnsi="宋体"/>
          <w:color w:val="auto"/>
          <w:kern w:val="0"/>
          <w:szCs w:val="21"/>
          <w:highlight w:val="none"/>
        </w:rPr>
        <w:t>特此证明。</w:t>
      </w:r>
    </w:p>
    <w:p w14:paraId="0B9740CD">
      <w:pPr>
        <w:autoSpaceDE w:val="0"/>
        <w:autoSpaceDN w:val="0"/>
        <w:adjustRightInd w:val="0"/>
        <w:snapToGrid w:val="0"/>
        <w:spacing w:line="480" w:lineRule="auto"/>
        <w:ind w:firstLine="810" w:firstLineChars="386"/>
        <w:jc w:val="left"/>
        <w:rPr>
          <w:rFonts w:ascii="宋体" w:hAnsi="宋体"/>
          <w:color w:val="auto"/>
          <w:kern w:val="0"/>
          <w:szCs w:val="21"/>
          <w:highlight w:val="none"/>
        </w:rPr>
      </w:pPr>
      <w:r>
        <w:rPr>
          <w:rFonts w:hint="eastAsia" w:ascii="宋体" w:hAnsi="宋体"/>
          <w:color w:val="auto"/>
          <w:kern w:val="0"/>
          <w:szCs w:val="21"/>
          <w:highlight w:val="none"/>
        </w:rPr>
        <w:t>附：法定代表人身份证扫描件（双面）</w:t>
      </w:r>
    </w:p>
    <w:p w14:paraId="2B288CCA">
      <w:pPr>
        <w:autoSpaceDE w:val="0"/>
        <w:autoSpaceDN w:val="0"/>
        <w:adjustRightInd w:val="0"/>
        <w:snapToGrid w:val="0"/>
        <w:spacing w:line="480" w:lineRule="auto"/>
        <w:ind w:firstLine="810" w:firstLineChars="386"/>
        <w:jc w:val="left"/>
        <w:rPr>
          <w:rFonts w:ascii="宋体" w:hAnsi="宋体"/>
          <w:color w:val="auto"/>
          <w:kern w:val="0"/>
          <w:szCs w:val="21"/>
          <w:highlight w:val="none"/>
        </w:rPr>
      </w:pPr>
    </w:p>
    <w:p w14:paraId="5042CDBC">
      <w:pPr>
        <w:autoSpaceDE w:val="0"/>
        <w:autoSpaceDN w:val="0"/>
        <w:adjustRightInd w:val="0"/>
        <w:snapToGrid w:val="0"/>
        <w:spacing w:line="480" w:lineRule="auto"/>
        <w:ind w:firstLine="772" w:firstLineChars="386"/>
        <w:jc w:val="left"/>
        <w:rPr>
          <w:rFonts w:ascii="宋体" w:hAnsi="宋体"/>
          <w:color w:val="auto"/>
          <w:kern w:val="0"/>
          <w:sz w:val="20"/>
          <w:szCs w:val="20"/>
          <w:highlight w:val="none"/>
        </w:rPr>
      </w:pPr>
    </w:p>
    <w:p w14:paraId="00D56EC1">
      <w:pPr>
        <w:autoSpaceDE w:val="0"/>
        <w:autoSpaceDN w:val="0"/>
        <w:adjustRightInd w:val="0"/>
        <w:snapToGrid w:val="0"/>
        <w:spacing w:line="480" w:lineRule="auto"/>
        <w:jc w:val="left"/>
        <w:rPr>
          <w:rFonts w:ascii="宋体" w:hAnsi="宋体"/>
          <w:color w:val="auto"/>
          <w:kern w:val="0"/>
          <w:sz w:val="20"/>
          <w:szCs w:val="20"/>
          <w:highlight w:val="none"/>
        </w:rPr>
      </w:pPr>
    </w:p>
    <w:p w14:paraId="7B2071C4">
      <w:pPr>
        <w:tabs>
          <w:tab w:val="left" w:pos="5460"/>
        </w:tabs>
        <w:autoSpaceDE w:val="0"/>
        <w:autoSpaceDN w:val="0"/>
        <w:adjustRightInd w:val="0"/>
        <w:snapToGrid w:val="0"/>
        <w:spacing w:line="480" w:lineRule="auto"/>
        <w:ind w:firstLine="2100"/>
        <w:jc w:val="right"/>
        <w:rPr>
          <w:rFonts w:ascii="宋体" w:hAnsi="宋体"/>
          <w:color w:val="auto"/>
          <w:kern w:val="0"/>
          <w:szCs w:val="21"/>
          <w:highlight w:val="none"/>
        </w:rPr>
      </w:pPr>
      <w:r>
        <w:rPr>
          <w:rFonts w:ascii="宋体" w:hAnsi="宋体"/>
          <w:color w:val="auto"/>
          <w:kern w:val="0"/>
          <w:szCs w:val="21"/>
          <w:highlight w:val="none"/>
        </w:rPr>
        <w:t>投标</w:t>
      </w:r>
      <w:r>
        <w:rPr>
          <w:rFonts w:ascii="宋体" w:hAnsi="宋体"/>
          <w:color w:val="auto"/>
          <w:spacing w:val="-1"/>
          <w:kern w:val="0"/>
          <w:szCs w:val="21"/>
          <w:highlight w:val="none"/>
        </w:rPr>
        <w:t>人</w:t>
      </w:r>
      <w:r>
        <w:rPr>
          <w:rFonts w:ascii="宋体" w:hAnsi="宋体"/>
          <w:color w:val="auto"/>
          <w:kern w:val="0"/>
          <w:szCs w:val="21"/>
          <w:highlight w:val="none"/>
        </w:rPr>
        <w:t>：</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4973BF39">
      <w:pPr>
        <w:autoSpaceDE w:val="0"/>
        <w:autoSpaceDN w:val="0"/>
        <w:adjustRightInd w:val="0"/>
        <w:snapToGrid w:val="0"/>
        <w:spacing w:line="480" w:lineRule="auto"/>
        <w:jc w:val="left"/>
        <w:rPr>
          <w:rFonts w:ascii="宋体" w:hAnsi="宋体"/>
          <w:color w:val="auto"/>
          <w:kern w:val="0"/>
          <w:sz w:val="20"/>
          <w:szCs w:val="20"/>
          <w:highlight w:val="none"/>
        </w:rPr>
      </w:pPr>
    </w:p>
    <w:p w14:paraId="415971E1">
      <w:pPr>
        <w:tabs>
          <w:tab w:val="left" w:pos="4935"/>
          <w:tab w:val="left" w:pos="5460"/>
          <w:tab w:val="left" w:pos="6400"/>
        </w:tabs>
        <w:wordWrap w:val="0"/>
        <w:autoSpaceDE w:val="0"/>
        <w:autoSpaceDN w:val="0"/>
        <w:adjustRightInd w:val="0"/>
        <w:snapToGrid w:val="0"/>
        <w:spacing w:line="48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699B9A5A">
      <w:pPr>
        <w:autoSpaceDE w:val="0"/>
        <w:autoSpaceDN w:val="0"/>
        <w:adjustRightInd w:val="0"/>
        <w:snapToGrid w:val="0"/>
        <w:spacing w:line="360" w:lineRule="auto"/>
        <w:jc w:val="left"/>
        <w:rPr>
          <w:rFonts w:ascii="宋体" w:hAnsi="宋体"/>
          <w:color w:val="auto"/>
          <w:kern w:val="0"/>
          <w:highlight w:val="none"/>
        </w:rPr>
      </w:pPr>
    </w:p>
    <w:p w14:paraId="18248656">
      <w:pPr>
        <w:autoSpaceDE w:val="0"/>
        <w:autoSpaceDN w:val="0"/>
        <w:adjustRightInd w:val="0"/>
        <w:snapToGrid w:val="0"/>
        <w:spacing w:line="360" w:lineRule="auto"/>
        <w:jc w:val="left"/>
        <w:rPr>
          <w:rFonts w:ascii="宋体" w:hAnsi="宋体"/>
          <w:color w:val="auto"/>
          <w:kern w:val="0"/>
          <w:highlight w:val="none"/>
        </w:rPr>
      </w:pPr>
    </w:p>
    <w:p w14:paraId="146BD480">
      <w:pPr>
        <w:tabs>
          <w:tab w:val="left" w:pos="1680"/>
          <w:tab w:val="left" w:pos="4215"/>
          <w:tab w:val="left" w:pos="4305"/>
          <w:tab w:val="left" w:pos="8000"/>
        </w:tabs>
        <w:autoSpaceDE w:val="0"/>
        <w:autoSpaceDN w:val="0"/>
        <w:adjustRightInd w:val="0"/>
        <w:snapToGrid w:val="0"/>
        <w:spacing w:line="360" w:lineRule="auto"/>
        <w:ind w:firstLine="411" w:firstLineChars="196"/>
        <w:jc w:val="left"/>
        <w:rPr>
          <w:rFonts w:ascii="宋体" w:hAnsi="宋体"/>
          <w:color w:val="auto"/>
          <w:kern w:val="0"/>
          <w:szCs w:val="21"/>
          <w:highlight w:val="none"/>
        </w:rPr>
      </w:pPr>
      <w:r>
        <w:rPr>
          <w:rFonts w:ascii="宋体" w:hAnsi="宋体"/>
          <w:color w:val="auto"/>
          <w:highlight w:val="none"/>
        </w:rPr>
        <w:t>注：法定代表人身份证明需按上述格式填写完整，不可缺少内容。在此基础上增加内容的不影响其有效性</w:t>
      </w:r>
      <w:r>
        <w:rPr>
          <w:rFonts w:hint="eastAsia" w:ascii="宋体" w:hAnsi="宋体"/>
          <w:color w:val="auto"/>
          <w:kern w:val="0"/>
          <w:szCs w:val="21"/>
          <w:highlight w:val="none"/>
        </w:rPr>
        <w:t>。</w:t>
      </w:r>
    </w:p>
    <w:p w14:paraId="5263A887">
      <w:pPr>
        <w:tabs>
          <w:tab w:val="left" w:pos="1680"/>
          <w:tab w:val="left" w:pos="4215"/>
          <w:tab w:val="left" w:pos="4305"/>
          <w:tab w:val="left" w:pos="8000"/>
        </w:tabs>
        <w:autoSpaceDE w:val="0"/>
        <w:autoSpaceDN w:val="0"/>
        <w:adjustRightInd w:val="0"/>
        <w:snapToGrid w:val="0"/>
        <w:spacing w:line="360" w:lineRule="auto"/>
        <w:jc w:val="center"/>
        <w:rPr>
          <w:rFonts w:ascii="宋体" w:hAnsi="宋体"/>
          <w:color w:val="auto"/>
          <w:kern w:val="0"/>
          <w:sz w:val="28"/>
          <w:szCs w:val="28"/>
          <w:highlight w:val="none"/>
        </w:rPr>
      </w:pPr>
      <w:r>
        <w:rPr>
          <w:rFonts w:ascii="宋体" w:hAnsi="宋体"/>
          <w:b/>
          <w:color w:val="auto"/>
          <w:kern w:val="0"/>
          <w:sz w:val="28"/>
          <w:szCs w:val="28"/>
          <w:highlight w:val="none"/>
        </w:rPr>
        <w:br w:type="page"/>
      </w:r>
      <w:r>
        <w:rPr>
          <w:rFonts w:ascii="宋体" w:hAnsi="宋体"/>
          <w:snapToGrid w:val="0"/>
          <w:color w:val="auto"/>
          <w:kern w:val="0"/>
          <w:sz w:val="32"/>
          <w:szCs w:val="32"/>
          <w:highlight w:val="none"/>
        </w:rPr>
        <w:t>授权委托书</w:t>
      </w:r>
    </w:p>
    <w:p w14:paraId="4E9BD016">
      <w:pPr>
        <w:tabs>
          <w:tab w:val="left" w:pos="1680"/>
          <w:tab w:val="left" w:pos="4215"/>
          <w:tab w:val="left" w:pos="4305"/>
          <w:tab w:val="left" w:pos="8000"/>
        </w:tabs>
        <w:autoSpaceDE w:val="0"/>
        <w:autoSpaceDN w:val="0"/>
        <w:adjustRightInd w:val="0"/>
        <w:snapToGrid w:val="0"/>
        <w:spacing w:line="480" w:lineRule="auto"/>
        <w:ind w:firstLine="420"/>
        <w:jc w:val="left"/>
        <w:rPr>
          <w:rFonts w:ascii="宋体" w:hAnsi="宋体"/>
          <w:color w:val="auto"/>
          <w:kern w:val="0"/>
          <w:szCs w:val="21"/>
          <w:highlight w:val="none"/>
        </w:rPr>
      </w:pPr>
      <w:r>
        <w:rPr>
          <w:rFonts w:ascii="宋体" w:hAnsi="宋体"/>
          <w:color w:val="auto"/>
          <w:kern w:val="0"/>
          <w:szCs w:val="21"/>
          <w:highlight w:val="none"/>
        </w:rPr>
        <w:t>本人</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（姓名）系</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投</w:t>
      </w:r>
      <w:r>
        <w:rPr>
          <w:rFonts w:ascii="宋体" w:hAnsi="宋体"/>
          <w:color w:val="auto"/>
          <w:kern w:val="0"/>
          <w:szCs w:val="21"/>
          <w:highlight w:val="none"/>
        </w:rPr>
        <w:t>标人名称</w:t>
      </w:r>
      <w:r>
        <w:rPr>
          <w:rFonts w:ascii="宋体" w:hAnsi="宋体"/>
          <w:color w:val="auto"/>
          <w:spacing w:val="1"/>
          <w:kern w:val="0"/>
          <w:szCs w:val="21"/>
          <w:highlight w:val="none"/>
        </w:rPr>
        <w:t>）</w:t>
      </w:r>
      <w:r>
        <w:rPr>
          <w:rFonts w:ascii="宋体" w:hAnsi="宋体"/>
          <w:color w:val="auto"/>
          <w:kern w:val="0"/>
          <w:szCs w:val="21"/>
          <w:highlight w:val="none"/>
        </w:rPr>
        <w:t>的法定代</w:t>
      </w:r>
      <w:r>
        <w:rPr>
          <w:rFonts w:ascii="宋体" w:hAnsi="宋体"/>
          <w:color w:val="auto"/>
          <w:spacing w:val="1"/>
          <w:kern w:val="0"/>
          <w:szCs w:val="21"/>
          <w:highlight w:val="none"/>
        </w:rPr>
        <w:t>表</w:t>
      </w:r>
      <w:r>
        <w:rPr>
          <w:rFonts w:ascii="宋体" w:hAnsi="宋体"/>
          <w:color w:val="auto"/>
          <w:kern w:val="0"/>
          <w:szCs w:val="21"/>
          <w:highlight w:val="none"/>
        </w:rPr>
        <w:t>人，现委托</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（姓名）为我方代理人。代理人根据授权，以我方名义签署、澄清、说明、补正、递交、撤回、 修改</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（项</w:t>
      </w:r>
      <w:r>
        <w:rPr>
          <w:rFonts w:ascii="宋体" w:hAnsi="宋体"/>
          <w:color w:val="auto"/>
          <w:spacing w:val="-1"/>
          <w:kern w:val="0"/>
          <w:szCs w:val="21"/>
          <w:highlight w:val="none"/>
        </w:rPr>
        <w:t>目</w:t>
      </w:r>
      <w:r>
        <w:rPr>
          <w:rFonts w:ascii="宋体" w:hAnsi="宋体"/>
          <w:color w:val="auto"/>
          <w:kern w:val="0"/>
          <w:szCs w:val="21"/>
          <w:highlight w:val="none"/>
        </w:rPr>
        <w:t>名称）</w:t>
      </w:r>
      <w:r>
        <w:rPr>
          <w:rFonts w:hint="eastAsia" w:ascii="宋体" w:hAnsi="宋体"/>
          <w:color w:val="auto"/>
          <w:kern w:val="0"/>
          <w:szCs w:val="21"/>
          <w:highlight w:val="none"/>
        </w:rPr>
        <w:t>工程总承包</w:t>
      </w:r>
      <w:r>
        <w:rPr>
          <w:rFonts w:ascii="宋体" w:hAnsi="宋体"/>
          <w:color w:val="auto"/>
          <w:kern w:val="0"/>
          <w:szCs w:val="21"/>
          <w:highlight w:val="none"/>
        </w:rPr>
        <w:t>投标文件、签订合同和处理有关事宜， 其法律后果由我方承担。</w:t>
      </w:r>
    </w:p>
    <w:p w14:paraId="2AD48162">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委托</w:t>
      </w:r>
      <w:r>
        <w:rPr>
          <w:rFonts w:ascii="宋体" w:hAnsi="宋体"/>
          <w:color w:val="auto"/>
          <w:spacing w:val="-1"/>
          <w:kern w:val="0"/>
          <w:szCs w:val="21"/>
          <w:highlight w:val="none"/>
        </w:rPr>
        <w:t>期</w:t>
      </w:r>
      <w:r>
        <w:rPr>
          <w:rFonts w:ascii="宋体" w:hAnsi="宋体"/>
          <w:color w:val="auto"/>
          <w:kern w:val="0"/>
          <w:szCs w:val="21"/>
          <w:highlight w:val="none"/>
        </w:rPr>
        <w:t>限：</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 xml:space="preserve">。 </w:t>
      </w:r>
    </w:p>
    <w:p w14:paraId="6F9DEC21">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代理人无转委托权。</w:t>
      </w:r>
    </w:p>
    <w:p w14:paraId="1783B619">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p>
    <w:p w14:paraId="3DA07CF3">
      <w:pPr>
        <w:tabs>
          <w:tab w:val="left" w:pos="1680"/>
          <w:tab w:val="left" w:pos="4200"/>
          <w:tab w:val="left" w:pos="4305"/>
          <w:tab w:val="left" w:pos="8000"/>
        </w:tabs>
        <w:autoSpaceDE w:val="0"/>
        <w:autoSpaceDN w:val="0"/>
        <w:adjustRightInd w:val="0"/>
        <w:snapToGrid w:val="0"/>
        <w:spacing w:line="480" w:lineRule="auto"/>
        <w:ind w:firstLine="420"/>
        <w:rPr>
          <w:rFonts w:ascii="宋体" w:hAnsi="宋体"/>
          <w:color w:val="auto"/>
          <w:kern w:val="0"/>
          <w:szCs w:val="21"/>
          <w:highlight w:val="none"/>
        </w:rPr>
      </w:pPr>
      <w:r>
        <w:rPr>
          <w:rFonts w:ascii="宋体" w:hAnsi="宋体"/>
          <w:color w:val="auto"/>
          <w:kern w:val="0"/>
          <w:szCs w:val="21"/>
          <w:highlight w:val="none"/>
        </w:rPr>
        <w:t>投  标  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0BD62F18">
      <w:pPr>
        <w:tabs>
          <w:tab w:val="left" w:pos="630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（签字或盖章）</w:t>
      </w:r>
    </w:p>
    <w:p w14:paraId="1D11B862">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712E30EA">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rPr>
      </w:pPr>
      <w:r>
        <w:rPr>
          <w:rFonts w:ascii="宋体" w:hAnsi="宋体"/>
          <w:color w:val="auto"/>
          <w:kern w:val="0"/>
          <w:szCs w:val="21"/>
          <w:highlight w:val="none"/>
        </w:rPr>
        <w:t>委托代理人：</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ascii="宋体" w:hAnsi="宋体"/>
          <w:color w:val="auto"/>
          <w:kern w:val="0"/>
          <w:szCs w:val="21"/>
          <w:highlight w:val="none"/>
        </w:rPr>
        <w:t>（签</w:t>
      </w:r>
      <w:r>
        <w:rPr>
          <w:rFonts w:ascii="宋体" w:hAnsi="宋体"/>
          <w:color w:val="auto"/>
          <w:spacing w:val="-1"/>
          <w:kern w:val="0"/>
          <w:szCs w:val="21"/>
          <w:highlight w:val="none"/>
        </w:rPr>
        <w:t>字</w:t>
      </w:r>
      <w:r>
        <w:rPr>
          <w:rFonts w:ascii="宋体" w:hAnsi="宋体"/>
          <w:color w:val="auto"/>
          <w:kern w:val="0"/>
          <w:szCs w:val="21"/>
          <w:highlight w:val="none"/>
        </w:rPr>
        <w:t>）</w:t>
      </w:r>
    </w:p>
    <w:p w14:paraId="7AC761C6">
      <w:pPr>
        <w:tabs>
          <w:tab w:val="left" w:pos="6825"/>
        </w:tabs>
        <w:autoSpaceDE w:val="0"/>
        <w:autoSpaceDN w:val="0"/>
        <w:adjustRightInd w:val="0"/>
        <w:snapToGrid w:val="0"/>
        <w:spacing w:line="480" w:lineRule="auto"/>
        <w:ind w:firstLine="420" w:firstLineChars="200"/>
        <w:jc w:val="left"/>
        <w:rPr>
          <w:rFonts w:ascii="宋体" w:hAnsi="宋体"/>
          <w:color w:val="auto"/>
          <w:w w:val="200"/>
          <w:kern w:val="0"/>
          <w:szCs w:val="21"/>
          <w:highlight w:val="none"/>
          <w:u w:val="single"/>
        </w:rPr>
      </w:pPr>
      <w:r>
        <w:rPr>
          <w:rFonts w:ascii="宋体" w:hAnsi="宋体"/>
          <w:color w:val="auto"/>
          <w:kern w:val="0"/>
          <w:szCs w:val="21"/>
          <w:highlight w:val="none"/>
        </w:rPr>
        <w:t>身份证号码：</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w w:val="200"/>
          <w:kern w:val="0"/>
          <w:szCs w:val="21"/>
          <w:highlight w:val="none"/>
          <w:u w:val="single"/>
        </w:rPr>
        <w:t xml:space="preserve">   </w:t>
      </w:r>
    </w:p>
    <w:p w14:paraId="7960D55B">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单位电话（座机）：</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7F3ED3B1">
      <w:pPr>
        <w:tabs>
          <w:tab w:val="left" w:pos="5260"/>
        </w:tabs>
        <w:autoSpaceDE w:val="0"/>
        <w:autoSpaceDN w:val="0"/>
        <w:adjustRightInd w:val="0"/>
        <w:snapToGrid w:val="0"/>
        <w:spacing w:line="480" w:lineRule="auto"/>
        <w:ind w:firstLine="420" w:firstLineChars="200"/>
        <w:jc w:val="left"/>
        <w:rPr>
          <w:rFonts w:ascii="宋体" w:hAnsi="宋体"/>
          <w:color w:val="auto"/>
          <w:kern w:val="0"/>
          <w:szCs w:val="21"/>
          <w:highlight w:val="none"/>
          <w:u w:val="single"/>
        </w:rPr>
      </w:pPr>
      <w:r>
        <w:rPr>
          <w:rFonts w:hint="eastAsia" w:ascii="宋体" w:hAnsi="宋体"/>
          <w:color w:val="auto"/>
          <w:kern w:val="0"/>
          <w:szCs w:val="21"/>
          <w:highlight w:val="none"/>
        </w:rPr>
        <w:t>委托代理人电话（手机）：</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p>
    <w:p w14:paraId="21736A20">
      <w:pPr>
        <w:tabs>
          <w:tab w:val="left" w:pos="4005"/>
          <w:tab w:val="left" w:pos="4100"/>
          <w:tab w:val="left" w:pos="5040"/>
        </w:tabs>
        <w:wordWrap w:val="0"/>
        <w:autoSpaceDE w:val="0"/>
        <w:autoSpaceDN w:val="0"/>
        <w:adjustRightInd w:val="0"/>
        <w:snapToGrid w:val="0"/>
        <w:spacing w:line="360" w:lineRule="auto"/>
        <w:ind w:firstLine="3780"/>
        <w:jc w:val="right"/>
        <w:rPr>
          <w:rFonts w:ascii="宋体" w:hAnsi="宋体"/>
          <w:color w:val="auto"/>
          <w:kern w:val="0"/>
          <w:szCs w:val="21"/>
          <w:highlight w:val="none"/>
        </w:rPr>
      </w:pP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6319C7B4">
      <w:pPr>
        <w:tabs>
          <w:tab w:val="left" w:pos="4005"/>
          <w:tab w:val="left" w:pos="4100"/>
          <w:tab w:val="left" w:pos="5040"/>
        </w:tabs>
        <w:autoSpaceDE w:val="0"/>
        <w:autoSpaceDN w:val="0"/>
        <w:adjustRightInd w:val="0"/>
        <w:snapToGrid w:val="0"/>
        <w:spacing w:line="360" w:lineRule="auto"/>
        <w:ind w:firstLine="3780"/>
        <w:jc w:val="right"/>
        <w:rPr>
          <w:rFonts w:ascii="宋体" w:hAnsi="宋体"/>
          <w:color w:val="auto"/>
          <w:kern w:val="0"/>
          <w:szCs w:val="21"/>
          <w:highlight w:val="none"/>
        </w:rPr>
      </w:pPr>
    </w:p>
    <w:p w14:paraId="5771F80D">
      <w:pPr>
        <w:tabs>
          <w:tab w:val="left" w:pos="5760"/>
        </w:tabs>
        <w:autoSpaceDE w:val="0"/>
        <w:autoSpaceDN w:val="0"/>
        <w:adjustRightInd w:val="0"/>
        <w:spacing w:line="360" w:lineRule="auto"/>
        <w:ind w:firstLine="420" w:firstLineChars="200"/>
        <w:rPr>
          <w:rFonts w:ascii="宋体" w:hAnsi="宋体"/>
          <w:color w:val="auto"/>
          <w:kern w:val="0"/>
          <w:highlight w:val="none"/>
        </w:rPr>
      </w:pPr>
      <w:r>
        <w:rPr>
          <w:rFonts w:hint="eastAsia" w:ascii="宋体" w:hAnsi="宋体"/>
          <w:color w:val="auto"/>
          <w:kern w:val="0"/>
          <w:szCs w:val="21"/>
          <w:highlight w:val="none"/>
        </w:rPr>
        <w:t>附：法定代表人及委托代理人身份证扫描件（双面）</w:t>
      </w:r>
    </w:p>
    <w:p w14:paraId="3033AE4A">
      <w:pPr>
        <w:tabs>
          <w:tab w:val="left" w:pos="5760"/>
        </w:tabs>
        <w:autoSpaceDE w:val="0"/>
        <w:autoSpaceDN w:val="0"/>
        <w:adjustRightInd w:val="0"/>
        <w:spacing w:line="360" w:lineRule="auto"/>
        <w:ind w:firstLine="420" w:firstLineChars="200"/>
        <w:rPr>
          <w:rFonts w:ascii="宋体" w:hAnsi="宋体"/>
          <w:color w:val="auto"/>
          <w:kern w:val="0"/>
          <w:highlight w:val="none"/>
        </w:rPr>
      </w:pPr>
    </w:p>
    <w:p w14:paraId="7012CF88">
      <w:pPr>
        <w:autoSpaceDE w:val="0"/>
        <w:autoSpaceDN w:val="0"/>
        <w:adjustRightInd w:val="0"/>
        <w:snapToGrid w:val="0"/>
        <w:spacing w:line="360" w:lineRule="auto"/>
        <w:ind w:firstLine="420" w:firstLineChars="200"/>
        <w:rPr>
          <w:rFonts w:ascii="宋体" w:hAnsi="宋体"/>
          <w:color w:val="auto"/>
          <w:kern w:val="0"/>
          <w:szCs w:val="21"/>
          <w:highlight w:val="none"/>
        </w:rPr>
      </w:pPr>
      <w:r>
        <w:rPr>
          <w:rFonts w:ascii="宋体" w:hAnsi="宋体"/>
          <w:color w:val="auto"/>
          <w:kern w:val="0"/>
          <w:szCs w:val="21"/>
          <w:highlight w:val="none"/>
        </w:rPr>
        <w:t>注：1、法定代表人参加投标活动并签署文件的不需要授权委托书，只需提供法定代表人身份证明；非法定代表人参加投标活动及签署文件的除提供法定代表人身份证明外还须提供授权委托书。</w:t>
      </w:r>
    </w:p>
    <w:p w14:paraId="18DE617B">
      <w:pPr>
        <w:autoSpaceDE w:val="0"/>
        <w:autoSpaceDN w:val="0"/>
        <w:adjustRightInd w:val="0"/>
        <w:snapToGrid w:val="0"/>
        <w:spacing w:line="360" w:lineRule="auto"/>
        <w:ind w:firstLine="420" w:firstLineChars="200"/>
        <w:rPr>
          <w:rFonts w:ascii="宋体" w:hAnsi="宋体"/>
          <w:color w:val="auto"/>
          <w:highlight w:val="none"/>
        </w:rPr>
      </w:pPr>
      <w:r>
        <w:rPr>
          <w:rFonts w:hint="eastAsia" w:ascii="宋体" w:hAnsi="宋体"/>
          <w:color w:val="auto"/>
          <w:kern w:val="0"/>
          <w:szCs w:val="21"/>
          <w:highlight w:val="none"/>
        </w:rPr>
        <w:t>2.</w:t>
      </w:r>
      <w:r>
        <w:rPr>
          <w:rFonts w:hint="eastAsia" w:ascii="宋体" w:hAnsi="宋体"/>
          <w:color w:val="auto"/>
          <w:highlight w:val="none"/>
        </w:rPr>
        <w:t>授权委托书</w:t>
      </w:r>
      <w:r>
        <w:rPr>
          <w:rFonts w:ascii="宋体" w:hAnsi="宋体"/>
          <w:color w:val="auto"/>
          <w:highlight w:val="none"/>
        </w:rPr>
        <w:t>需按上述格式填写完整，不可缺少内容。在此基础上增加内容的不影响其有效性。</w:t>
      </w:r>
    </w:p>
    <w:p w14:paraId="0B71F0D5">
      <w:pPr>
        <w:autoSpaceDE w:val="0"/>
        <w:autoSpaceDN w:val="0"/>
        <w:adjustRightInd w:val="0"/>
        <w:snapToGrid w:val="0"/>
        <w:jc w:val="center"/>
        <w:rPr>
          <w:rFonts w:ascii="宋体" w:hAnsi="宋体"/>
          <w:color w:val="auto"/>
          <w:highlight w:val="none"/>
        </w:rPr>
      </w:pPr>
      <w:r>
        <w:rPr>
          <w:rFonts w:ascii="宋体" w:hAnsi="宋体"/>
          <w:color w:val="auto"/>
          <w:highlight w:val="none"/>
        </w:rPr>
        <w:br w:type="page"/>
      </w:r>
    </w:p>
    <w:p w14:paraId="259ECEA7">
      <w:pPr>
        <w:pStyle w:val="5"/>
        <w:spacing w:before="0" w:after="0" w:line="240" w:lineRule="auto"/>
        <w:jc w:val="center"/>
        <w:rPr>
          <w:rFonts w:ascii="宋体" w:hAnsi="宋体"/>
          <w:b w:val="0"/>
          <w:bCs w:val="0"/>
          <w:color w:val="auto"/>
          <w:highlight w:val="none"/>
        </w:rPr>
      </w:pPr>
      <w:bookmarkStart w:id="2107" w:name="_Toc430530547"/>
      <w:bookmarkStart w:id="2108" w:name="_Toc58860357"/>
      <w:bookmarkStart w:id="2109" w:name="_Toc287620831"/>
      <w:bookmarkStart w:id="2110" w:name="_Toc224103512"/>
      <w:bookmarkStart w:id="2111" w:name="_Toc287607884"/>
      <w:bookmarkStart w:id="2112" w:name="_Toc277082658"/>
      <w:r>
        <w:rPr>
          <w:rFonts w:hint="eastAsia" w:ascii="宋体" w:hAnsi="宋体"/>
          <w:b w:val="0"/>
          <w:bCs w:val="0"/>
          <w:color w:val="auto"/>
          <w:highlight w:val="none"/>
        </w:rPr>
        <w:t>（二）联合体协议书</w:t>
      </w:r>
      <w:bookmarkEnd w:id="2107"/>
      <w:r>
        <w:rPr>
          <w:rFonts w:hint="eastAsia" w:ascii="宋体" w:hAnsi="宋体"/>
          <w:b w:val="0"/>
          <w:bCs w:val="0"/>
          <w:color w:val="auto"/>
          <w:highlight w:val="none"/>
        </w:rPr>
        <w:t>（如有）</w:t>
      </w:r>
      <w:bookmarkEnd w:id="2108"/>
    </w:p>
    <w:p w14:paraId="03998C22">
      <w:pPr>
        <w:autoSpaceDE w:val="0"/>
        <w:autoSpaceDN w:val="0"/>
        <w:adjustRightInd w:val="0"/>
        <w:snapToGrid w:val="0"/>
        <w:spacing w:line="466" w:lineRule="exact"/>
        <w:ind w:firstLine="432" w:firstLineChars="103"/>
        <w:rPr>
          <w:rFonts w:ascii="宋体" w:hAnsi="宋体"/>
          <w:snapToGrid w:val="0"/>
          <w:color w:val="auto"/>
          <w:kern w:val="0"/>
          <w:szCs w:val="21"/>
          <w:highlight w:val="none"/>
        </w:rPr>
      </w:pPr>
      <w:r>
        <w:rPr>
          <w:rFonts w:ascii="宋体" w:hAnsi="宋体"/>
          <w:snapToGrid w:val="0"/>
          <w:color w:val="auto"/>
          <w:w w:val="200"/>
          <w:kern w:val="0"/>
          <w:szCs w:val="21"/>
          <w:highlight w:val="none"/>
          <w:u w:val="single"/>
        </w:rPr>
        <w:t xml:space="preserve">                  </w:t>
      </w:r>
      <w:r>
        <w:rPr>
          <w:rFonts w:hint="eastAsia" w:ascii="宋体" w:hAnsi="宋体"/>
          <w:snapToGrid w:val="0"/>
          <w:color w:val="auto"/>
          <w:w w:val="200"/>
          <w:kern w:val="0"/>
          <w:szCs w:val="21"/>
          <w:highlight w:val="none"/>
          <w:u w:val="single"/>
        </w:rPr>
        <w:t xml:space="preserve">  </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rPr>
        <w:t>（所有成员单位名称）自愿组成联合体，共同参加</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（项目名称）</w:t>
      </w:r>
      <w:r>
        <w:rPr>
          <w:rFonts w:hint="eastAsia" w:ascii="宋体" w:hAnsi="宋体"/>
          <w:snapToGrid w:val="0"/>
          <w:color w:val="auto"/>
          <w:kern w:val="0"/>
          <w:szCs w:val="21"/>
          <w:highlight w:val="none"/>
        </w:rPr>
        <w:t>工程总承包</w:t>
      </w:r>
      <w:r>
        <w:rPr>
          <w:rFonts w:ascii="宋体" w:hAnsi="宋体"/>
          <w:snapToGrid w:val="0"/>
          <w:color w:val="auto"/>
          <w:kern w:val="0"/>
          <w:szCs w:val="21"/>
          <w:highlight w:val="none"/>
        </w:rPr>
        <w:t>投标。现就联合体投标事宜订立如下协议。</w:t>
      </w:r>
    </w:p>
    <w:p w14:paraId="3B22E86A">
      <w:pPr>
        <w:tabs>
          <w:tab w:val="left" w:pos="3465"/>
          <w:tab w:val="left" w:pos="4200"/>
        </w:tabs>
        <w:autoSpaceDE w:val="0"/>
        <w:autoSpaceDN w:val="0"/>
        <w:adjustRightInd w:val="0"/>
        <w:snapToGrid w:val="0"/>
        <w:spacing w:line="466" w:lineRule="exact"/>
        <w:ind w:firstLine="405" w:firstLineChars="193"/>
        <w:jc w:val="left"/>
        <w:rPr>
          <w:rFonts w:ascii="宋体" w:hAnsi="宋体"/>
          <w:snapToGrid w:val="0"/>
          <w:color w:val="auto"/>
          <w:kern w:val="0"/>
          <w:szCs w:val="21"/>
          <w:highlight w:val="none"/>
        </w:rPr>
      </w:pPr>
      <w:r>
        <w:rPr>
          <w:rFonts w:ascii="宋体" w:hAnsi="宋体"/>
          <w:snapToGrid w:val="0"/>
          <w:color w:val="auto"/>
          <w:kern w:val="0"/>
          <w:szCs w:val="21"/>
          <w:highlight w:val="none"/>
        </w:rPr>
        <w:t>1.</w:t>
      </w:r>
      <w:r>
        <w:rPr>
          <w:rFonts w:hint="eastAsia" w:ascii="宋体" w:hAnsi="宋体"/>
          <w:snapToGrid w:val="0"/>
          <w:color w:val="auto"/>
          <w:kern w:val="0"/>
          <w:szCs w:val="21"/>
          <w:highlight w:val="none"/>
        </w:rPr>
        <w:t xml:space="preserve"> </w:t>
      </w:r>
      <w:r>
        <w:rPr>
          <w:rFonts w:ascii="宋体" w:hAnsi="宋体"/>
          <w:snapToGrid w:val="0"/>
          <w:color w:val="auto"/>
          <w:w w:val="200"/>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（某成员单位名称）</w:t>
      </w:r>
      <w:r>
        <w:rPr>
          <w:rFonts w:hint="eastAsia" w:ascii="宋体" w:hAnsi="宋体"/>
          <w:snapToGrid w:val="0"/>
          <w:color w:val="auto"/>
          <w:kern w:val="0"/>
          <w:szCs w:val="21"/>
          <w:highlight w:val="none"/>
        </w:rPr>
        <w:t>为</w:t>
      </w:r>
      <w:r>
        <w:rPr>
          <w:rFonts w:ascii="宋体" w:hAnsi="宋体"/>
          <w:snapToGrid w:val="0"/>
          <w:color w:val="auto"/>
          <w:kern w:val="0"/>
          <w:szCs w:val="21"/>
          <w:highlight w:val="none"/>
          <w:u w:val="single"/>
        </w:rPr>
        <w:tab/>
      </w:r>
      <w:r>
        <w:rPr>
          <w:rFonts w:ascii="宋体" w:hAnsi="宋体"/>
          <w:snapToGrid w:val="0"/>
          <w:color w:val="auto"/>
          <w:kern w:val="0"/>
          <w:szCs w:val="21"/>
          <w:highlight w:val="none"/>
          <w:u w:val="single"/>
        </w:rPr>
        <w:t xml:space="preserve">          </w:t>
      </w:r>
      <w:r>
        <w:rPr>
          <w:rFonts w:hint="eastAsia" w:ascii="宋体" w:hAnsi="宋体"/>
          <w:snapToGrid w:val="0"/>
          <w:color w:val="auto"/>
          <w:kern w:val="0"/>
          <w:szCs w:val="21"/>
          <w:highlight w:val="none"/>
          <w:u w:val="single"/>
        </w:rPr>
        <w:t xml:space="preserve">        </w:t>
      </w:r>
      <w:r>
        <w:rPr>
          <w:rFonts w:ascii="宋体" w:hAnsi="宋体"/>
          <w:snapToGrid w:val="0"/>
          <w:color w:val="auto"/>
          <w:kern w:val="0"/>
          <w:szCs w:val="21"/>
          <w:highlight w:val="none"/>
        </w:rPr>
        <w:t>（项目名称）联合体牵头人。由联合体牵头人单位递交投标保证金。</w:t>
      </w:r>
    </w:p>
    <w:p w14:paraId="6D67A60E">
      <w:pPr>
        <w:autoSpaceDE w:val="0"/>
        <w:autoSpaceDN w:val="0"/>
        <w:adjustRightInd w:val="0"/>
        <w:snapToGrid w:val="0"/>
        <w:spacing w:line="466" w:lineRule="exact"/>
        <w:ind w:firstLine="420"/>
        <w:rPr>
          <w:rFonts w:ascii="宋体" w:hAnsi="宋体"/>
          <w:snapToGrid w:val="0"/>
          <w:color w:val="auto"/>
          <w:kern w:val="0"/>
          <w:szCs w:val="21"/>
          <w:highlight w:val="none"/>
        </w:rPr>
      </w:pPr>
      <w:r>
        <w:rPr>
          <w:rFonts w:ascii="宋体" w:hAnsi="宋体"/>
          <w:snapToGrid w:val="0"/>
          <w:color w:val="auto"/>
          <w:kern w:val="0"/>
          <w:szCs w:val="21"/>
          <w:highlight w:val="none"/>
        </w:rPr>
        <w:t>2.</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联合体牵头人合法代表联合体各成员负责本招标项目投标文件编制和合同谈判活动， 并代表联合体提交和接收相关的资料、信息及指示，并处理与之有关的一切事务，负责合同 实施阶段的主办、组织和协调工作。</w:t>
      </w:r>
    </w:p>
    <w:p w14:paraId="3FDB250D">
      <w:pPr>
        <w:autoSpaceDE w:val="0"/>
        <w:autoSpaceDN w:val="0"/>
        <w:adjustRightInd w:val="0"/>
        <w:snapToGrid w:val="0"/>
        <w:spacing w:line="466" w:lineRule="exact"/>
        <w:ind w:firstLine="420"/>
        <w:jc w:val="left"/>
        <w:rPr>
          <w:rFonts w:ascii="宋体" w:hAnsi="宋体"/>
          <w:snapToGrid w:val="0"/>
          <w:color w:val="auto"/>
          <w:kern w:val="0"/>
          <w:szCs w:val="21"/>
          <w:highlight w:val="none"/>
        </w:rPr>
      </w:pPr>
      <w:r>
        <w:rPr>
          <w:rFonts w:ascii="宋体" w:hAnsi="宋体"/>
          <w:snapToGrid w:val="0"/>
          <w:color w:val="auto"/>
          <w:kern w:val="0"/>
          <w:szCs w:val="21"/>
          <w:highlight w:val="none"/>
        </w:rPr>
        <w:t>3.</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联合体将严格按照招标文件的各项要求，递交投标文件，履行合同，并对外承担连带责任。</w:t>
      </w:r>
    </w:p>
    <w:p w14:paraId="694980C9">
      <w:pPr>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4.</w:t>
      </w:r>
      <w:r>
        <w:rPr>
          <w:rFonts w:hint="eastAsia" w:ascii="宋体" w:hAnsi="宋体"/>
          <w:color w:val="auto"/>
          <w:kern w:val="0"/>
          <w:szCs w:val="21"/>
          <w:highlight w:val="none"/>
        </w:rPr>
        <w:t xml:space="preserve"> </w:t>
      </w:r>
      <w:r>
        <w:rPr>
          <w:rFonts w:ascii="宋体" w:hAnsi="宋体"/>
          <w:color w:val="auto"/>
          <w:kern w:val="0"/>
          <w:szCs w:val="21"/>
          <w:highlight w:val="none"/>
        </w:rPr>
        <w:t>联合体牵头人代表联合体签署投标文件</w:t>
      </w:r>
      <w:r>
        <w:rPr>
          <w:rFonts w:ascii="宋体" w:hAnsi="宋体"/>
          <w:color w:val="auto"/>
          <w:spacing w:val="-19"/>
          <w:kern w:val="0"/>
          <w:szCs w:val="21"/>
          <w:highlight w:val="none"/>
        </w:rPr>
        <w:t>，</w:t>
      </w:r>
      <w:r>
        <w:rPr>
          <w:rFonts w:ascii="宋体" w:hAnsi="宋体"/>
          <w:color w:val="auto"/>
          <w:kern w:val="0"/>
          <w:szCs w:val="21"/>
          <w:highlight w:val="none"/>
        </w:rPr>
        <w:t>联合体牵头人的所有承诺均认为代 表了联合体各成员。</w:t>
      </w:r>
    </w:p>
    <w:p w14:paraId="01B8C4C7">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5.</w:t>
      </w:r>
      <w:r>
        <w:rPr>
          <w:rFonts w:hint="eastAsia" w:ascii="宋体" w:hAnsi="宋体"/>
          <w:snapToGrid w:val="0"/>
          <w:color w:val="auto"/>
          <w:kern w:val="0"/>
          <w:szCs w:val="21"/>
          <w:highlight w:val="none"/>
        </w:rPr>
        <w:t xml:space="preserve"> </w:t>
      </w:r>
      <w:r>
        <w:rPr>
          <w:rFonts w:ascii="宋体" w:hAnsi="宋体"/>
          <w:snapToGrid w:val="0"/>
          <w:color w:val="auto"/>
          <w:kern w:val="0"/>
          <w:szCs w:val="21"/>
          <w:highlight w:val="none"/>
        </w:rPr>
        <w:t>联合体各成员单位内部的职责分工如下：</w:t>
      </w:r>
    </w:p>
    <w:p w14:paraId="02901D11">
      <w:pPr>
        <w:tabs>
          <w:tab w:val="left" w:pos="2020"/>
          <w:tab w:val="left" w:pos="4680"/>
          <w:tab w:val="left" w:pos="7640"/>
          <w:tab w:val="left" w:pos="7820"/>
        </w:tabs>
        <w:autoSpaceDE w:val="0"/>
        <w:autoSpaceDN w:val="0"/>
        <w:adjustRightInd w:val="0"/>
        <w:spacing w:line="466" w:lineRule="exact"/>
        <w:ind w:firstLine="416" w:firstLineChars="200"/>
        <w:jc w:val="left"/>
        <w:rPr>
          <w:rFonts w:ascii="宋体" w:hAnsi="宋体"/>
          <w:color w:val="auto"/>
          <w:spacing w:val="-1"/>
          <w:kern w:val="0"/>
          <w:szCs w:val="21"/>
          <w:highlight w:val="none"/>
        </w:rPr>
      </w:pPr>
      <w:r>
        <w:rPr>
          <w:rFonts w:ascii="宋体" w:hAnsi="宋体"/>
          <w:color w:val="auto"/>
          <w:spacing w:val="-1"/>
          <w:kern w:val="0"/>
          <w:szCs w:val="21"/>
          <w:highlight w:val="none"/>
          <w:u w:val="single"/>
        </w:rPr>
        <w:t>（牵头人名称）</w:t>
      </w:r>
      <w:r>
        <w:rPr>
          <w:rFonts w:ascii="宋体" w:hAnsi="宋体"/>
          <w:color w:val="auto"/>
          <w:spacing w:val="-1"/>
          <w:kern w:val="0"/>
          <w:szCs w:val="21"/>
          <w:highlight w:val="none"/>
        </w:rPr>
        <w:t>承担</w:t>
      </w:r>
      <w:r>
        <w:rPr>
          <w:rFonts w:ascii="宋体" w:hAnsi="宋体"/>
          <w:color w:val="auto"/>
          <w:spacing w:val="-1"/>
          <w:w w:val="200"/>
          <w:kern w:val="0"/>
          <w:szCs w:val="21"/>
          <w:highlight w:val="none"/>
          <w:u w:val="single"/>
        </w:rPr>
        <w:t xml:space="preserve"> </w:t>
      </w:r>
      <w:r>
        <w:rPr>
          <w:rFonts w:hint="eastAsia" w:ascii="宋体" w:hAnsi="宋体"/>
          <w:color w:val="auto"/>
          <w:spacing w:val="-1"/>
          <w:w w:val="200"/>
          <w:kern w:val="0"/>
          <w:szCs w:val="21"/>
          <w:highlight w:val="none"/>
          <w:u w:val="single"/>
        </w:rPr>
        <w:t xml:space="preserve">             </w:t>
      </w:r>
      <w:r>
        <w:rPr>
          <w:rFonts w:ascii="宋体" w:hAnsi="宋体"/>
          <w:color w:val="auto"/>
          <w:spacing w:val="-1"/>
          <w:kern w:val="0"/>
          <w:szCs w:val="21"/>
          <w:highlight w:val="none"/>
          <w:u w:val="single"/>
        </w:rPr>
        <w:tab/>
      </w:r>
      <w:r>
        <w:rPr>
          <w:rFonts w:ascii="宋体" w:hAnsi="宋体"/>
          <w:color w:val="auto"/>
          <w:spacing w:val="-1"/>
          <w:kern w:val="0"/>
          <w:szCs w:val="21"/>
          <w:highlight w:val="none"/>
        </w:rPr>
        <w:t>；</w:t>
      </w:r>
    </w:p>
    <w:p w14:paraId="27D13F95">
      <w:pPr>
        <w:tabs>
          <w:tab w:val="left" w:pos="2020"/>
          <w:tab w:val="left" w:pos="4680"/>
          <w:tab w:val="left" w:pos="7640"/>
          <w:tab w:val="left" w:pos="7820"/>
        </w:tabs>
        <w:autoSpaceDE w:val="0"/>
        <w:autoSpaceDN w:val="0"/>
        <w:adjustRightInd w:val="0"/>
        <w:spacing w:line="466" w:lineRule="exact"/>
        <w:ind w:firstLine="428" w:firstLineChars="200"/>
        <w:jc w:val="left"/>
        <w:rPr>
          <w:rFonts w:ascii="宋体" w:hAnsi="宋体"/>
          <w:color w:val="auto"/>
          <w:spacing w:val="-1"/>
          <w:kern w:val="0"/>
          <w:szCs w:val="21"/>
          <w:highlight w:val="none"/>
        </w:rPr>
      </w:pPr>
      <w:r>
        <w:rPr>
          <w:rFonts w:ascii="宋体" w:hAnsi="宋体"/>
          <w:color w:val="auto"/>
          <w:spacing w:val="2"/>
          <w:kern w:val="0"/>
          <w:szCs w:val="21"/>
          <w:highlight w:val="none"/>
          <w:u w:val="single"/>
        </w:rPr>
        <w:t>（</w:t>
      </w:r>
      <w:r>
        <w:rPr>
          <w:rFonts w:ascii="宋体" w:hAnsi="宋体"/>
          <w:color w:val="auto"/>
          <w:kern w:val="0"/>
          <w:szCs w:val="21"/>
          <w:highlight w:val="none"/>
          <w:u w:val="single"/>
        </w:rPr>
        <w:t>成员一名称</w:t>
      </w:r>
      <w:r>
        <w:rPr>
          <w:rFonts w:ascii="宋体" w:hAnsi="宋体"/>
          <w:color w:val="auto"/>
          <w:spacing w:val="-1"/>
          <w:kern w:val="0"/>
          <w:szCs w:val="21"/>
          <w:highlight w:val="none"/>
          <w:u w:val="single"/>
        </w:rPr>
        <w:t>）</w:t>
      </w:r>
      <w:r>
        <w:rPr>
          <w:rFonts w:ascii="宋体" w:hAnsi="宋体"/>
          <w:color w:val="auto"/>
          <w:kern w:val="0"/>
          <w:szCs w:val="21"/>
          <w:highlight w:val="none"/>
        </w:rPr>
        <w:t>承担</w:t>
      </w:r>
      <w:r>
        <w:rPr>
          <w:rFonts w:ascii="宋体" w:hAnsi="宋体"/>
          <w:color w:val="auto"/>
          <w:w w:val="200"/>
          <w:kern w:val="0"/>
          <w:szCs w:val="21"/>
          <w:highlight w:val="none"/>
          <w:u w:val="single"/>
        </w:rPr>
        <w:t xml:space="preserve"> </w:t>
      </w:r>
      <w:r>
        <w:rPr>
          <w:rFonts w:hint="eastAsia" w:ascii="宋体" w:hAnsi="宋体"/>
          <w:color w:val="auto"/>
          <w:w w:val="200"/>
          <w:kern w:val="0"/>
          <w:szCs w:val="21"/>
          <w:highlight w:val="none"/>
          <w:u w:val="single"/>
        </w:rPr>
        <w:t xml:space="preserve">             </w:t>
      </w:r>
      <w:r>
        <w:rPr>
          <w:rFonts w:ascii="宋体" w:hAnsi="宋体"/>
          <w:color w:val="auto"/>
          <w:kern w:val="0"/>
          <w:szCs w:val="21"/>
          <w:highlight w:val="none"/>
          <w:u w:val="single"/>
        </w:rPr>
        <w:tab/>
      </w:r>
      <w:r>
        <w:rPr>
          <w:rFonts w:ascii="宋体" w:hAnsi="宋体"/>
          <w:color w:val="auto"/>
          <w:spacing w:val="-1"/>
          <w:kern w:val="0"/>
          <w:szCs w:val="21"/>
          <w:highlight w:val="none"/>
        </w:rPr>
        <w:t>；</w:t>
      </w:r>
    </w:p>
    <w:p w14:paraId="3C23D34D">
      <w:pPr>
        <w:tabs>
          <w:tab w:val="left" w:pos="2020"/>
          <w:tab w:val="left" w:pos="4680"/>
          <w:tab w:val="left" w:pos="7640"/>
          <w:tab w:val="left" w:pos="7820"/>
        </w:tabs>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w:t>
      </w:r>
    </w:p>
    <w:p w14:paraId="0BF950B1">
      <w:pPr>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6</w:t>
      </w:r>
      <w:r>
        <w:rPr>
          <w:rFonts w:ascii="宋体" w:hAnsi="宋体"/>
          <w:color w:val="auto"/>
          <w:spacing w:val="7"/>
          <w:kern w:val="0"/>
          <w:szCs w:val="21"/>
          <w:highlight w:val="none"/>
        </w:rPr>
        <w:t>.投标工作和联合体</w:t>
      </w:r>
      <w:r>
        <w:rPr>
          <w:rFonts w:ascii="宋体" w:hAnsi="宋体"/>
          <w:color w:val="auto"/>
          <w:spacing w:val="5"/>
          <w:kern w:val="0"/>
          <w:szCs w:val="21"/>
          <w:highlight w:val="none"/>
        </w:rPr>
        <w:t>在</w:t>
      </w:r>
      <w:r>
        <w:rPr>
          <w:rFonts w:ascii="宋体" w:hAnsi="宋体"/>
          <w:color w:val="auto"/>
          <w:spacing w:val="7"/>
          <w:kern w:val="0"/>
          <w:szCs w:val="21"/>
          <w:highlight w:val="none"/>
        </w:rPr>
        <w:t>中标后工程实施过</w:t>
      </w:r>
      <w:r>
        <w:rPr>
          <w:rFonts w:ascii="宋体" w:hAnsi="宋体"/>
          <w:color w:val="auto"/>
          <w:spacing w:val="5"/>
          <w:kern w:val="0"/>
          <w:szCs w:val="21"/>
          <w:highlight w:val="none"/>
        </w:rPr>
        <w:t>程</w:t>
      </w:r>
      <w:r>
        <w:rPr>
          <w:rFonts w:ascii="宋体" w:hAnsi="宋体"/>
          <w:color w:val="auto"/>
          <w:spacing w:val="7"/>
          <w:kern w:val="0"/>
          <w:szCs w:val="21"/>
          <w:highlight w:val="none"/>
        </w:rPr>
        <w:t>中的有关费用按各</w:t>
      </w:r>
      <w:r>
        <w:rPr>
          <w:rFonts w:ascii="宋体" w:hAnsi="宋体"/>
          <w:color w:val="auto"/>
          <w:spacing w:val="5"/>
          <w:kern w:val="0"/>
          <w:szCs w:val="21"/>
          <w:highlight w:val="none"/>
        </w:rPr>
        <w:t>自</w:t>
      </w:r>
      <w:r>
        <w:rPr>
          <w:rFonts w:ascii="宋体" w:hAnsi="宋体"/>
          <w:color w:val="auto"/>
          <w:spacing w:val="7"/>
          <w:kern w:val="0"/>
          <w:szCs w:val="21"/>
          <w:highlight w:val="none"/>
        </w:rPr>
        <w:t>承担的工作</w:t>
      </w:r>
      <w:r>
        <w:rPr>
          <w:rFonts w:ascii="宋体" w:hAnsi="宋体"/>
          <w:color w:val="auto"/>
          <w:kern w:val="0"/>
          <w:szCs w:val="21"/>
          <w:highlight w:val="none"/>
        </w:rPr>
        <w:t>量分摊。</w:t>
      </w:r>
    </w:p>
    <w:p w14:paraId="3FC6129A">
      <w:pPr>
        <w:tabs>
          <w:tab w:val="left" w:pos="6300"/>
          <w:tab w:val="left" w:pos="8295"/>
        </w:tabs>
        <w:autoSpaceDE w:val="0"/>
        <w:autoSpaceDN w:val="0"/>
        <w:adjustRightInd w:val="0"/>
        <w:snapToGrid w:val="0"/>
        <w:spacing w:line="466"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7.本协议书自签署之日起生效，合同履行完毕后自动失效。</w:t>
      </w:r>
    </w:p>
    <w:p w14:paraId="0DA8C17E">
      <w:pPr>
        <w:autoSpaceDE w:val="0"/>
        <w:autoSpaceDN w:val="0"/>
        <w:adjustRightInd w:val="0"/>
        <w:snapToGrid w:val="0"/>
        <w:spacing w:line="466" w:lineRule="exact"/>
        <w:ind w:firstLine="390" w:firstLineChars="186"/>
        <w:jc w:val="left"/>
        <w:rPr>
          <w:rFonts w:ascii="宋体" w:hAnsi="宋体"/>
          <w:snapToGrid w:val="0"/>
          <w:color w:val="auto"/>
          <w:kern w:val="0"/>
          <w:szCs w:val="21"/>
          <w:highlight w:val="none"/>
        </w:rPr>
      </w:pPr>
      <w:r>
        <w:rPr>
          <w:rFonts w:ascii="宋体" w:hAnsi="宋体"/>
          <w:snapToGrid w:val="0"/>
          <w:color w:val="auto"/>
          <w:kern w:val="0"/>
          <w:szCs w:val="21"/>
          <w:highlight w:val="none"/>
        </w:rPr>
        <w:t>8.本协议书一式</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u w:val="single"/>
        </w:rPr>
        <w:t xml:space="preserve">  </w:t>
      </w:r>
      <w:r>
        <w:rPr>
          <w:rFonts w:ascii="宋体" w:hAnsi="宋体"/>
          <w:snapToGrid w:val="0"/>
          <w:color w:val="auto"/>
          <w:kern w:val="0"/>
          <w:szCs w:val="21"/>
          <w:highlight w:val="none"/>
        </w:rPr>
        <w:t>份，联合体成员和招标人各执一份。</w:t>
      </w:r>
    </w:p>
    <w:p w14:paraId="0858F317">
      <w:pPr>
        <w:autoSpaceDE w:val="0"/>
        <w:autoSpaceDN w:val="0"/>
        <w:adjustRightInd w:val="0"/>
        <w:snapToGrid w:val="0"/>
        <w:spacing w:line="466" w:lineRule="exact"/>
        <w:ind w:firstLine="390" w:firstLineChars="186"/>
        <w:jc w:val="left"/>
        <w:rPr>
          <w:rFonts w:ascii="宋体" w:hAnsi="宋体"/>
          <w:snapToGrid w:val="0"/>
          <w:color w:val="auto"/>
          <w:kern w:val="0"/>
          <w:szCs w:val="21"/>
          <w:highlight w:val="none"/>
        </w:rPr>
      </w:pPr>
    </w:p>
    <w:p w14:paraId="701C2D86">
      <w:pPr>
        <w:tabs>
          <w:tab w:val="left" w:pos="4840"/>
        </w:tabs>
        <w:autoSpaceDE w:val="0"/>
        <w:autoSpaceDN w:val="0"/>
        <w:adjustRightInd w:val="0"/>
        <w:snapToGrid w:val="0"/>
        <w:spacing w:line="466"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szCs w:val="21"/>
          <w:highlight w:val="none"/>
        </w:rPr>
        <w:t>牵头人名称：</w:t>
      </w:r>
      <w:r>
        <w:rPr>
          <w:rFonts w:ascii="宋体" w:hAnsi="宋体"/>
          <w:snapToGrid w:val="0"/>
          <w:color w:val="auto"/>
          <w:w w:val="200"/>
          <w:kern w:val="0"/>
          <w:szCs w:val="21"/>
          <w:highlight w:val="none"/>
          <w:u w:val="single"/>
        </w:rPr>
        <w:t xml:space="preserve">      　　　       </w:t>
      </w:r>
      <w:r>
        <w:rPr>
          <w:rFonts w:ascii="宋体" w:hAnsi="宋体"/>
          <w:snapToGrid w:val="0"/>
          <w:color w:val="auto"/>
          <w:kern w:val="0"/>
          <w:szCs w:val="21"/>
          <w:highlight w:val="none"/>
        </w:rPr>
        <w:t>（盖单位法人章）</w:t>
      </w:r>
    </w:p>
    <w:p w14:paraId="2CEFE242">
      <w:pPr>
        <w:tabs>
          <w:tab w:val="left" w:pos="5260"/>
        </w:tabs>
        <w:autoSpaceDE w:val="0"/>
        <w:autoSpaceDN w:val="0"/>
        <w:adjustRightInd w:val="0"/>
        <w:snapToGrid w:val="0"/>
        <w:spacing w:line="466" w:lineRule="exact"/>
        <w:ind w:firstLine="420" w:firstLineChars="200"/>
        <w:jc w:val="left"/>
        <w:rPr>
          <w:rFonts w:ascii="宋体" w:hAnsi="宋体"/>
          <w:snapToGrid w:val="0"/>
          <w:color w:val="auto"/>
          <w:kern w:val="0"/>
          <w:szCs w:val="21"/>
          <w:highlight w:val="none"/>
        </w:rPr>
      </w:pPr>
      <w:r>
        <w:rPr>
          <w:rFonts w:ascii="宋体" w:hAnsi="宋体"/>
          <w:snapToGrid w:val="0"/>
          <w:color w:val="auto"/>
          <w:kern w:val="0"/>
          <w:position w:val="-2"/>
          <w:szCs w:val="21"/>
          <w:highlight w:val="none"/>
        </w:rPr>
        <w:t>法定代表人或其委托代理人：</w:t>
      </w:r>
      <w:r>
        <w:rPr>
          <w:rFonts w:ascii="宋体" w:hAnsi="宋体"/>
          <w:snapToGrid w:val="0"/>
          <w:color w:val="auto"/>
          <w:w w:val="200"/>
          <w:kern w:val="0"/>
          <w:position w:val="-2"/>
          <w:szCs w:val="21"/>
          <w:highlight w:val="none"/>
          <w:u w:val="single"/>
        </w:rPr>
        <w:t xml:space="preserve">            </w:t>
      </w:r>
      <w:r>
        <w:rPr>
          <w:rFonts w:ascii="宋体" w:hAnsi="宋体"/>
          <w:snapToGrid w:val="0"/>
          <w:color w:val="auto"/>
          <w:kern w:val="0"/>
          <w:position w:val="-2"/>
          <w:szCs w:val="21"/>
          <w:highlight w:val="none"/>
        </w:rPr>
        <w:t>（</w:t>
      </w:r>
      <w:r>
        <w:rPr>
          <w:rFonts w:ascii="宋体" w:hAnsi="宋体"/>
          <w:snapToGrid w:val="0"/>
          <w:color w:val="auto"/>
          <w:kern w:val="0"/>
          <w:szCs w:val="21"/>
          <w:highlight w:val="none"/>
        </w:rPr>
        <w:t>签字或盖章</w:t>
      </w:r>
      <w:r>
        <w:rPr>
          <w:rFonts w:ascii="宋体" w:hAnsi="宋体"/>
          <w:snapToGrid w:val="0"/>
          <w:color w:val="auto"/>
          <w:kern w:val="0"/>
          <w:position w:val="-2"/>
          <w:szCs w:val="21"/>
          <w:highlight w:val="none"/>
        </w:rPr>
        <w:t>）</w:t>
      </w:r>
    </w:p>
    <w:p w14:paraId="2BC2C3BA">
      <w:pPr>
        <w:tabs>
          <w:tab w:val="left" w:pos="6735"/>
        </w:tabs>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成员一名称：</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ascii="宋体" w:hAnsi="宋体"/>
          <w:color w:val="auto"/>
          <w:kern w:val="0"/>
          <w:szCs w:val="21"/>
          <w:highlight w:val="none"/>
        </w:rPr>
        <w:t>盖单位法人章）</w:t>
      </w:r>
    </w:p>
    <w:p w14:paraId="20EB1B91">
      <w:pPr>
        <w:tabs>
          <w:tab w:val="left" w:pos="6795"/>
        </w:tabs>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法定代表人或</w:t>
      </w:r>
      <w:r>
        <w:rPr>
          <w:rFonts w:hint="eastAsia" w:ascii="宋体" w:hAnsi="宋体"/>
          <w:color w:val="auto"/>
          <w:kern w:val="0"/>
          <w:szCs w:val="21"/>
          <w:highlight w:val="none"/>
        </w:rPr>
        <w:t>其</w:t>
      </w:r>
      <w:r>
        <w:rPr>
          <w:rFonts w:ascii="宋体" w:hAnsi="宋体"/>
          <w:color w:val="auto"/>
          <w:kern w:val="0"/>
          <w:szCs w:val="21"/>
          <w:highlight w:val="none"/>
        </w:rPr>
        <w:t>委托代理人：</w:t>
      </w:r>
      <w:r>
        <w:rPr>
          <w:rFonts w:ascii="宋体" w:hAnsi="宋体"/>
          <w:color w:val="auto"/>
          <w:kern w:val="0"/>
          <w:szCs w:val="21"/>
          <w:highlight w:val="none"/>
          <w:u w:val="single"/>
        </w:rPr>
        <w:t xml:space="preserve"> </w:t>
      </w:r>
      <w:r>
        <w:rPr>
          <w:rFonts w:hint="eastAsia" w:ascii="宋体" w:hAnsi="宋体"/>
          <w:color w:val="auto"/>
          <w:kern w:val="0"/>
          <w:szCs w:val="21"/>
          <w:highlight w:val="none"/>
          <w:u w:val="single"/>
        </w:rPr>
        <w:t xml:space="preserve">                       </w:t>
      </w:r>
      <w:r>
        <w:rPr>
          <w:rFonts w:ascii="宋体" w:hAnsi="宋体"/>
          <w:color w:val="auto"/>
          <w:spacing w:val="-1"/>
          <w:kern w:val="0"/>
          <w:szCs w:val="21"/>
          <w:highlight w:val="none"/>
        </w:rPr>
        <w:t>（</w:t>
      </w:r>
      <w:r>
        <w:rPr>
          <w:rFonts w:ascii="宋体" w:hAnsi="宋体"/>
          <w:color w:val="auto"/>
          <w:kern w:val="0"/>
          <w:szCs w:val="21"/>
          <w:highlight w:val="none"/>
        </w:rPr>
        <w:t>签字</w:t>
      </w:r>
      <w:r>
        <w:rPr>
          <w:rFonts w:ascii="宋体" w:hAnsi="宋体"/>
          <w:snapToGrid w:val="0"/>
          <w:color w:val="auto"/>
          <w:kern w:val="0"/>
          <w:szCs w:val="21"/>
          <w:highlight w:val="none"/>
        </w:rPr>
        <w:t>或盖章</w:t>
      </w:r>
      <w:r>
        <w:rPr>
          <w:rFonts w:ascii="宋体" w:hAnsi="宋体"/>
          <w:color w:val="auto"/>
          <w:kern w:val="0"/>
          <w:szCs w:val="21"/>
          <w:highlight w:val="none"/>
        </w:rPr>
        <w:t>）</w:t>
      </w:r>
    </w:p>
    <w:p w14:paraId="77B583B2">
      <w:pPr>
        <w:tabs>
          <w:tab w:val="left" w:pos="5140"/>
          <w:tab w:val="left" w:pos="6100"/>
          <w:tab w:val="left" w:pos="6820"/>
        </w:tabs>
        <w:autoSpaceDE w:val="0"/>
        <w:autoSpaceDN w:val="0"/>
        <w:adjustRightInd w:val="0"/>
        <w:spacing w:line="466" w:lineRule="exact"/>
        <w:ind w:firstLine="420" w:firstLineChars="200"/>
        <w:jc w:val="left"/>
        <w:rPr>
          <w:rFonts w:ascii="宋体" w:hAnsi="宋体"/>
          <w:color w:val="auto"/>
          <w:kern w:val="0"/>
          <w:szCs w:val="21"/>
          <w:highlight w:val="none"/>
        </w:rPr>
      </w:pPr>
      <w:r>
        <w:rPr>
          <w:rFonts w:ascii="宋体" w:hAnsi="宋体"/>
          <w:color w:val="auto"/>
          <w:kern w:val="0"/>
          <w:szCs w:val="21"/>
          <w:highlight w:val="none"/>
        </w:rPr>
        <w:t xml:space="preserve">          ……</w:t>
      </w:r>
    </w:p>
    <w:p w14:paraId="6B5DEC57">
      <w:pPr>
        <w:tabs>
          <w:tab w:val="left" w:pos="3840"/>
          <w:tab w:val="left" w:pos="4780"/>
          <w:tab w:val="left" w:pos="5720"/>
        </w:tabs>
        <w:wordWrap w:val="0"/>
        <w:autoSpaceDE w:val="0"/>
        <w:autoSpaceDN w:val="0"/>
        <w:adjustRightInd w:val="0"/>
        <w:snapToGrid w:val="0"/>
        <w:spacing w:line="466" w:lineRule="exact"/>
        <w:jc w:val="right"/>
        <w:rPr>
          <w:rFonts w:ascii="宋体" w:hAnsi="宋体"/>
          <w:color w:val="auto"/>
          <w:kern w:val="0"/>
          <w:szCs w:val="21"/>
          <w:highlight w:val="none"/>
        </w:rPr>
      </w:pPr>
      <w:r>
        <w:rPr>
          <w:rFonts w:ascii="宋体" w:hAnsi="宋体"/>
          <w:color w:val="auto"/>
          <w:w w:val="200"/>
          <w:kern w:val="0"/>
          <w:szCs w:val="21"/>
          <w:highlight w:val="none"/>
          <w:u w:val="single"/>
        </w:rPr>
        <w:t xml:space="preserve">      </w:t>
      </w:r>
      <w:r>
        <w:rPr>
          <w:rFonts w:ascii="宋体" w:hAnsi="宋体"/>
          <w:color w:val="auto"/>
          <w:kern w:val="0"/>
          <w:szCs w:val="21"/>
          <w:highlight w:val="none"/>
        </w:rPr>
        <w:t>年</w:t>
      </w:r>
      <w:r>
        <w:rPr>
          <w:rFonts w:ascii="宋体" w:hAnsi="宋体"/>
          <w:color w:val="auto"/>
          <w:w w:val="200"/>
          <w:kern w:val="0"/>
          <w:szCs w:val="21"/>
          <w:highlight w:val="none"/>
          <w:u w:val="single"/>
        </w:rPr>
        <w:t xml:space="preserve">    </w:t>
      </w:r>
      <w:r>
        <w:rPr>
          <w:rFonts w:ascii="宋体" w:hAnsi="宋体"/>
          <w:color w:val="auto"/>
          <w:kern w:val="0"/>
          <w:szCs w:val="21"/>
          <w:highlight w:val="none"/>
        </w:rPr>
        <w:t>月</w:t>
      </w:r>
      <w:r>
        <w:rPr>
          <w:rFonts w:ascii="宋体" w:hAnsi="宋体"/>
          <w:color w:val="auto"/>
          <w:w w:val="200"/>
          <w:kern w:val="0"/>
          <w:szCs w:val="21"/>
          <w:highlight w:val="none"/>
          <w:u w:val="single"/>
        </w:rPr>
        <w:t xml:space="preserve">    </w:t>
      </w:r>
      <w:r>
        <w:rPr>
          <w:rFonts w:ascii="宋体" w:hAnsi="宋体"/>
          <w:color w:val="auto"/>
          <w:kern w:val="0"/>
          <w:szCs w:val="21"/>
          <w:highlight w:val="none"/>
        </w:rPr>
        <w:t>日</w:t>
      </w:r>
      <w:r>
        <w:rPr>
          <w:rFonts w:hint="eastAsia" w:ascii="宋体" w:hAnsi="宋体"/>
          <w:color w:val="auto"/>
          <w:kern w:val="0"/>
          <w:szCs w:val="21"/>
          <w:highlight w:val="none"/>
        </w:rPr>
        <w:t xml:space="preserve">  </w:t>
      </w:r>
    </w:p>
    <w:p w14:paraId="2B4A3660">
      <w:pPr>
        <w:pStyle w:val="9"/>
        <w:tabs>
          <w:tab w:val="left" w:pos="315"/>
        </w:tabs>
        <w:spacing w:line="466" w:lineRule="exact"/>
        <w:ind w:firstLine="0"/>
        <w:jc w:val="right"/>
        <w:rPr>
          <w:rFonts w:ascii="宋体" w:hAnsi="宋体" w:eastAsia="宋体"/>
          <w:color w:val="auto"/>
          <w:sz w:val="21"/>
          <w:szCs w:val="21"/>
          <w:highlight w:val="none"/>
        </w:rPr>
      </w:pP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47625</wp:posOffset>
                </wp:positionH>
                <wp:positionV relativeFrom="paragraph">
                  <wp:posOffset>240030</wp:posOffset>
                </wp:positionV>
                <wp:extent cx="5470525" cy="0"/>
                <wp:effectExtent l="0" t="0" r="0" b="0"/>
                <wp:wrapNone/>
                <wp:docPr id="241"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470525" cy="0"/>
                        </a:xfrm>
                        <a:prstGeom prst="line">
                          <a:avLst/>
                        </a:prstGeom>
                        <a:noFill/>
                        <a:ln w="3175">
                          <a:solidFill>
                            <a:srgbClr val="000000"/>
                          </a:solidFill>
                          <a:round/>
                        </a:ln>
                        <a:effectLst/>
                      </wps:spPr>
                      <wps:bodyPr/>
                    </wps:wsp>
                  </a:graphicData>
                </a:graphic>
              </wp:anchor>
            </w:drawing>
          </mc:Choice>
          <mc:Fallback>
            <w:pict>
              <v:line id="直接连接符 4" o:spid="_x0000_s1026" o:spt="20" style="position:absolute;left:0pt;margin-left:3.75pt;margin-top:18.9pt;height:0pt;width:430.75pt;z-index:251660288;mso-width-relative:page;mso-height-relative:page;" filled="f" stroked="t" coordsize="21600,21600" o:gfxdata="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kcgy&#10;l9YAAAAHAQAADwAAAAAAAAABACAAAAAiAAAAZHJzL2Rvd25yZXYueG1sUEsBAhQAFAAAAAgAh07i&#10;QMqNn+PrAQAAugMAAA4AAAAAAAAAAQAgAAAAJQEAAGRycy9lMm9Eb2MueG1sUEsFBgAAAAAGAAYA&#10;WQEAAIIFAAAAAA==&#10;">
                <v:fill on="f" focussize="0,0"/>
                <v:stroke weight="0.25pt" color="#000000" joinstyle="round"/>
                <v:imagedata o:title=""/>
                <o:lock v:ext="edit" aspectratio="f"/>
              </v:line>
            </w:pict>
          </mc:Fallback>
        </mc:AlternateContent>
      </w:r>
    </w:p>
    <w:p w14:paraId="576B4EA6">
      <w:pPr>
        <w:spacing w:line="360" w:lineRule="auto"/>
        <w:jc w:val="center"/>
        <w:rPr>
          <w:rFonts w:ascii="宋体" w:hAnsi="宋体"/>
          <w:color w:val="auto"/>
          <w:szCs w:val="21"/>
          <w:highlight w:val="none"/>
        </w:rPr>
      </w:pPr>
      <w:r>
        <w:rPr>
          <w:rFonts w:ascii="宋体" w:hAnsi="宋体"/>
          <w:color w:val="auto"/>
          <w:szCs w:val="21"/>
          <w:highlight w:val="none"/>
        </w:rPr>
        <w:t>注：本协议书由委托代理人签字或盖章的，应附法定代表人签字或盖章的授权委托书。</w:t>
      </w:r>
      <w:bookmarkEnd w:id="2109"/>
      <w:bookmarkEnd w:id="2110"/>
      <w:bookmarkEnd w:id="2111"/>
      <w:bookmarkEnd w:id="2112"/>
      <w:bookmarkStart w:id="2113" w:name="_Toc277082659"/>
      <w:bookmarkStart w:id="2114" w:name="_Toc287607887"/>
    </w:p>
    <w:p w14:paraId="0AB0361A">
      <w:pPr>
        <w:spacing w:line="20" w:lineRule="exact"/>
        <w:jc w:val="center"/>
        <w:rPr>
          <w:rFonts w:ascii="宋体" w:hAnsi="宋体"/>
          <w:color w:val="auto"/>
          <w:szCs w:val="21"/>
          <w:highlight w:val="none"/>
        </w:rPr>
      </w:pPr>
    </w:p>
    <w:p w14:paraId="7A6A5D13">
      <w:pPr>
        <w:pStyle w:val="5"/>
        <w:spacing w:before="0" w:after="0" w:line="240" w:lineRule="auto"/>
        <w:jc w:val="center"/>
        <w:rPr>
          <w:rFonts w:ascii="宋体" w:hAnsi="宋体"/>
          <w:color w:val="auto"/>
          <w:highlight w:val="none"/>
        </w:rPr>
      </w:pPr>
      <w:r>
        <w:rPr>
          <w:rFonts w:ascii="宋体" w:hAnsi="宋体"/>
          <w:color w:val="auto"/>
          <w:szCs w:val="21"/>
          <w:highlight w:val="none"/>
        </w:rPr>
        <w:br w:type="page"/>
      </w:r>
      <w:bookmarkStart w:id="2115" w:name="_Toc58860358"/>
      <w:r>
        <w:rPr>
          <w:rFonts w:hint="eastAsia" w:ascii="宋体" w:hAnsi="宋体"/>
          <w:b w:val="0"/>
          <w:bCs w:val="0"/>
          <w:color w:val="auto"/>
          <w:highlight w:val="none"/>
        </w:rPr>
        <w:t>（三）投标人基本情况表</w:t>
      </w:r>
      <w:bookmarkEnd w:id="2115"/>
    </w:p>
    <w:tbl>
      <w:tblPr>
        <w:tblStyle w:val="45"/>
        <w:tblW w:w="9469"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862"/>
        <w:gridCol w:w="967"/>
        <w:gridCol w:w="1024"/>
        <w:gridCol w:w="904"/>
        <w:gridCol w:w="452"/>
        <w:gridCol w:w="103"/>
        <w:gridCol w:w="1392"/>
        <w:gridCol w:w="529"/>
        <w:gridCol w:w="925"/>
        <w:gridCol w:w="1311"/>
      </w:tblGrid>
      <w:tr w14:paraId="3FA06F2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3D6303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投标人名称</w:t>
            </w:r>
          </w:p>
        </w:tc>
        <w:tc>
          <w:tcPr>
            <w:tcW w:w="7607" w:type="dxa"/>
            <w:gridSpan w:val="9"/>
            <w:vAlign w:val="center"/>
          </w:tcPr>
          <w:p w14:paraId="719D1056">
            <w:pPr>
              <w:autoSpaceDE w:val="0"/>
              <w:autoSpaceDN w:val="0"/>
              <w:adjustRightInd w:val="0"/>
              <w:snapToGrid w:val="0"/>
              <w:jc w:val="center"/>
              <w:rPr>
                <w:rFonts w:ascii="宋体" w:hAnsi="宋体"/>
                <w:color w:val="auto"/>
                <w:kern w:val="0"/>
                <w:szCs w:val="21"/>
                <w:highlight w:val="none"/>
              </w:rPr>
            </w:pPr>
          </w:p>
        </w:tc>
      </w:tr>
      <w:tr w14:paraId="5C32CA3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C1A25A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注册地址</w:t>
            </w:r>
          </w:p>
        </w:tc>
        <w:tc>
          <w:tcPr>
            <w:tcW w:w="3450" w:type="dxa"/>
            <w:gridSpan w:val="5"/>
            <w:vAlign w:val="center"/>
          </w:tcPr>
          <w:p w14:paraId="3A2C0098">
            <w:pPr>
              <w:autoSpaceDE w:val="0"/>
              <w:autoSpaceDN w:val="0"/>
              <w:adjustRightInd w:val="0"/>
              <w:snapToGrid w:val="0"/>
              <w:jc w:val="center"/>
              <w:rPr>
                <w:rFonts w:ascii="宋体" w:hAnsi="宋体"/>
                <w:color w:val="auto"/>
                <w:kern w:val="0"/>
                <w:szCs w:val="21"/>
                <w:highlight w:val="none"/>
              </w:rPr>
            </w:pPr>
          </w:p>
        </w:tc>
        <w:tc>
          <w:tcPr>
            <w:tcW w:w="1392" w:type="dxa"/>
            <w:vAlign w:val="center"/>
          </w:tcPr>
          <w:p w14:paraId="213FA58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邮政编码</w:t>
            </w:r>
          </w:p>
        </w:tc>
        <w:tc>
          <w:tcPr>
            <w:tcW w:w="2765" w:type="dxa"/>
            <w:gridSpan w:val="3"/>
            <w:vAlign w:val="center"/>
          </w:tcPr>
          <w:p w14:paraId="3D1EF66B">
            <w:pPr>
              <w:autoSpaceDE w:val="0"/>
              <w:autoSpaceDN w:val="0"/>
              <w:adjustRightInd w:val="0"/>
              <w:snapToGrid w:val="0"/>
              <w:jc w:val="center"/>
              <w:rPr>
                <w:rFonts w:ascii="宋体" w:hAnsi="宋体"/>
                <w:color w:val="auto"/>
                <w:kern w:val="0"/>
                <w:szCs w:val="21"/>
                <w:highlight w:val="none"/>
              </w:rPr>
            </w:pPr>
          </w:p>
        </w:tc>
      </w:tr>
      <w:tr w14:paraId="2E66615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restart"/>
            <w:vAlign w:val="center"/>
          </w:tcPr>
          <w:p w14:paraId="4E7DEC6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联系方式</w:t>
            </w:r>
          </w:p>
        </w:tc>
        <w:tc>
          <w:tcPr>
            <w:tcW w:w="967" w:type="dxa"/>
            <w:vAlign w:val="center"/>
          </w:tcPr>
          <w:p w14:paraId="46E0B9A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联系人</w:t>
            </w:r>
          </w:p>
        </w:tc>
        <w:tc>
          <w:tcPr>
            <w:tcW w:w="2483" w:type="dxa"/>
            <w:gridSpan w:val="4"/>
            <w:vAlign w:val="center"/>
          </w:tcPr>
          <w:p w14:paraId="7218F5F7">
            <w:pPr>
              <w:autoSpaceDE w:val="0"/>
              <w:autoSpaceDN w:val="0"/>
              <w:adjustRightInd w:val="0"/>
              <w:snapToGrid w:val="0"/>
              <w:jc w:val="center"/>
              <w:rPr>
                <w:rFonts w:ascii="宋体" w:hAnsi="宋体"/>
                <w:color w:val="auto"/>
                <w:kern w:val="0"/>
                <w:szCs w:val="21"/>
                <w:highlight w:val="none"/>
              </w:rPr>
            </w:pPr>
          </w:p>
        </w:tc>
        <w:tc>
          <w:tcPr>
            <w:tcW w:w="1392" w:type="dxa"/>
            <w:vAlign w:val="center"/>
          </w:tcPr>
          <w:p w14:paraId="212DD49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电话</w:t>
            </w:r>
          </w:p>
        </w:tc>
        <w:tc>
          <w:tcPr>
            <w:tcW w:w="2765" w:type="dxa"/>
            <w:gridSpan w:val="3"/>
            <w:vAlign w:val="center"/>
          </w:tcPr>
          <w:p w14:paraId="2C51C7E0">
            <w:pPr>
              <w:autoSpaceDE w:val="0"/>
              <w:autoSpaceDN w:val="0"/>
              <w:adjustRightInd w:val="0"/>
              <w:snapToGrid w:val="0"/>
              <w:jc w:val="center"/>
              <w:rPr>
                <w:rFonts w:ascii="宋体" w:hAnsi="宋体"/>
                <w:color w:val="auto"/>
                <w:kern w:val="0"/>
                <w:szCs w:val="21"/>
                <w:highlight w:val="none"/>
              </w:rPr>
            </w:pPr>
          </w:p>
        </w:tc>
      </w:tr>
      <w:tr w14:paraId="3A2AB35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Merge w:val="continue"/>
            <w:vAlign w:val="center"/>
          </w:tcPr>
          <w:p w14:paraId="1F0859CF">
            <w:pPr>
              <w:autoSpaceDE w:val="0"/>
              <w:autoSpaceDN w:val="0"/>
              <w:adjustRightInd w:val="0"/>
              <w:snapToGrid w:val="0"/>
              <w:jc w:val="center"/>
              <w:rPr>
                <w:rFonts w:ascii="宋体" w:hAnsi="宋体"/>
                <w:color w:val="auto"/>
                <w:kern w:val="0"/>
                <w:szCs w:val="21"/>
                <w:highlight w:val="none"/>
              </w:rPr>
            </w:pPr>
          </w:p>
        </w:tc>
        <w:tc>
          <w:tcPr>
            <w:tcW w:w="967" w:type="dxa"/>
            <w:vAlign w:val="center"/>
          </w:tcPr>
          <w:p w14:paraId="6452340A">
            <w:pPr>
              <w:tabs>
                <w:tab w:val="left" w:pos="5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传  真</w:t>
            </w:r>
          </w:p>
        </w:tc>
        <w:tc>
          <w:tcPr>
            <w:tcW w:w="2483" w:type="dxa"/>
            <w:gridSpan w:val="4"/>
            <w:vAlign w:val="center"/>
          </w:tcPr>
          <w:p w14:paraId="3BCF41B1">
            <w:pPr>
              <w:autoSpaceDE w:val="0"/>
              <w:autoSpaceDN w:val="0"/>
              <w:adjustRightInd w:val="0"/>
              <w:snapToGrid w:val="0"/>
              <w:jc w:val="center"/>
              <w:rPr>
                <w:rFonts w:ascii="宋体" w:hAnsi="宋体"/>
                <w:color w:val="auto"/>
                <w:kern w:val="0"/>
                <w:szCs w:val="21"/>
                <w:highlight w:val="none"/>
              </w:rPr>
            </w:pPr>
          </w:p>
        </w:tc>
        <w:tc>
          <w:tcPr>
            <w:tcW w:w="1392" w:type="dxa"/>
            <w:vAlign w:val="center"/>
          </w:tcPr>
          <w:p w14:paraId="134F7356">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网址</w:t>
            </w:r>
          </w:p>
        </w:tc>
        <w:tc>
          <w:tcPr>
            <w:tcW w:w="2765" w:type="dxa"/>
            <w:gridSpan w:val="3"/>
            <w:vAlign w:val="center"/>
          </w:tcPr>
          <w:p w14:paraId="020C9275">
            <w:pPr>
              <w:autoSpaceDE w:val="0"/>
              <w:autoSpaceDN w:val="0"/>
              <w:adjustRightInd w:val="0"/>
              <w:snapToGrid w:val="0"/>
              <w:jc w:val="center"/>
              <w:rPr>
                <w:rFonts w:ascii="宋体" w:hAnsi="宋体"/>
                <w:color w:val="auto"/>
                <w:kern w:val="0"/>
                <w:szCs w:val="21"/>
                <w:highlight w:val="none"/>
              </w:rPr>
            </w:pPr>
          </w:p>
        </w:tc>
      </w:tr>
      <w:tr w14:paraId="230677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31D808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组织结构</w:t>
            </w:r>
          </w:p>
        </w:tc>
        <w:tc>
          <w:tcPr>
            <w:tcW w:w="7607" w:type="dxa"/>
            <w:gridSpan w:val="9"/>
            <w:vAlign w:val="center"/>
          </w:tcPr>
          <w:p w14:paraId="1A9CDEED">
            <w:pPr>
              <w:autoSpaceDE w:val="0"/>
              <w:autoSpaceDN w:val="0"/>
              <w:adjustRightInd w:val="0"/>
              <w:snapToGrid w:val="0"/>
              <w:jc w:val="center"/>
              <w:rPr>
                <w:rFonts w:ascii="宋体" w:hAnsi="宋体"/>
                <w:color w:val="auto"/>
                <w:kern w:val="0"/>
                <w:szCs w:val="21"/>
                <w:highlight w:val="none"/>
              </w:rPr>
            </w:pPr>
          </w:p>
        </w:tc>
      </w:tr>
      <w:tr w14:paraId="4FE392B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841FC5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法定代表人</w:t>
            </w:r>
          </w:p>
        </w:tc>
        <w:tc>
          <w:tcPr>
            <w:tcW w:w="967" w:type="dxa"/>
            <w:vAlign w:val="center"/>
          </w:tcPr>
          <w:p w14:paraId="2ECD55F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vAlign w:val="center"/>
          </w:tcPr>
          <w:p w14:paraId="7AD59C85">
            <w:pPr>
              <w:autoSpaceDE w:val="0"/>
              <w:autoSpaceDN w:val="0"/>
              <w:adjustRightInd w:val="0"/>
              <w:snapToGrid w:val="0"/>
              <w:jc w:val="center"/>
              <w:rPr>
                <w:rFonts w:ascii="宋体" w:hAnsi="宋体"/>
                <w:color w:val="auto"/>
                <w:kern w:val="0"/>
                <w:szCs w:val="21"/>
                <w:highlight w:val="none"/>
              </w:rPr>
            </w:pPr>
          </w:p>
        </w:tc>
        <w:tc>
          <w:tcPr>
            <w:tcW w:w="1356" w:type="dxa"/>
            <w:gridSpan w:val="2"/>
            <w:vAlign w:val="center"/>
          </w:tcPr>
          <w:p w14:paraId="14B1CC5C">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vAlign w:val="center"/>
          </w:tcPr>
          <w:p w14:paraId="5D5B2516">
            <w:pPr>
              <w:autoSpaceDE w:val="0"/>
              <w:autoSpaceDN w:val="0"/>
              <w:adjustRightInd w:val="0"/>
              <w:snapToGrid w:val="0"/>
              <w:jc w:val="center"/>
              <w:rPr>
                <w:rFonts w:ascii="宋体" w:hAnsi="宋体"/>
                <w:color w:val="auto"/>
                <w:kern w:val="0"/>
                <w:szCs w:val="21"/>
                <w:highlight w:val="none"/>
              </w:rPr>
            </w:pPr>
          </w:p>
        </w:tc>
        <w:tc>
          <w:tcPr>
            <w:tcW w:w="925" w:type="dxa"/>
            <w:vAlign w:val="center"/>
          </w:tcPr>
          <w:p w14:paraId="4E02D62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vAlign w:val="center"/>
          </w:tcPr>
          <w:p w14:paraId="7CE0D467">
            <w:pPr>
              <w:autoSpaceDE w:val="0"/>
              <w:autoSpaceDN w:val="0"/>
              <w:adjustRightInd w:val="0"/>
              <w:snapToGrid w:val="0"/>
              <w:jc w:val="center"/>
              <w:rPr>
                <w:rFonts w:ascii="宋体" w:hAnsi="宋体"/>
                <w:color w:val="auto"/>
                <w:kern w:val="0"/>
                <w:szCs w:val="21"/>
                <w:highlight w:val="none"/>
              </w:rPr>
            </w:pPr>
          </w:p>
        </w:tc>
      </w:tr>
      <w:tr w14:paraId="428D636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120BEDD8">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技术负责人</w:t>
            </w:r>
          </w:p>
        </w:tc>
        <w:tc>
          <w:tcPr>
            <w:tcW w:w="967" w:type="dxa"/>
            <w:vAlign w:val="center"/>
          </w:tcPr>
          <w:p w14:paraId="57FDF5D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  名</w:t>
            </w:r>
          </w:p>
        </w:tc>
        <w:tc>
          <w:tcPr>
            <w:tcW w:w="1024" w:type="dxa"/>
            <w:vAlign w:val="center"/>
          </w:tcPr>
          <w:p w14:paraId="73EF3ABF">
            <w:pPr>
              <w:autoSpaceDE w:val="0"/>
              <w:autoSpaceDN w:val="0"/>
              <w:adjustRightInd w:val="0"/>
              <w:snapToGrid w:val="0"/>
              <w:jc w:val="center"/>
              <w:rPr>
                <w:rFonts w:ascii="宋体" w:hAnsi="宋体"/>
                <w:color w:val="auto"/>
                <w:kern w:val="0"/>
                <w:szCs w:val="21"/>
                <w:highlight w:val="none"/>
              </w:rPr>
            </w:pPr>
          </w:p>
        </w:tc>
        <w:tc>
          <w:tcPr>
            <w:tcW w:w="1356" w:type="dxa"/>
            <w:gridSpan w:val="2"/>
            <w:vAlign w:val="center"/>
          </w:tcPr>
          <w:p w14:paraId="198A3E0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技术职称</w:t>
            </w:r>
          </w:p>
        </w:tc>
        <w:tc>
          <w:tcPr>
            <w:tcW w:w="2024" w:type="dxa"/>
            <w:gridSpan w:val="3"/>
            <w:vAlign w:val="center"/>
          </w:tcPr>
          <w:p w14:paraId="7B726E32">
            <w:pPr>
              <w:autoSpaceDE w:val="0"/>
              <w:autoSpaceDN w:val="0"/>
              <w:adjustRightInd w:val="0"/>
              <w:snapToGrid w:val="0"/>
              <w:jc w:val="center"/>
              <w:rPr>
                <w:rFonts w:ascii="宋体" w:hAnsi="宋体"/>
                <w:color w:val="auto"/>
                <w:kern w:val="0"/>
                <w:szCs w:val="21"/>
                <w:highlight w:val="none"/>
              </w:rPr>
            </w:pPr>
          </w:p>
        </w:tc>
        <w:tc>
          <w:tcPr>
            <w:tcW w:w="925" w:type="dxa"/>
            <w:vAlign w:val="center"/>
          </w:tcPr>
          <w:p w14:paraId="27D8F85B">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电  话</w:t>
            </w:r>
          </w:p>
        </w:tc>
        <w:tc>
          <w:tcPr>
            <w:tcW w:w="1311" w:type="dxa"/>
            <w:vAlign w:val="center"/>
          </w:tcPr>
          <w:p w14:paraId="75626F83">
            <w:pPr>
              <w:autoSpaceDE w:val="0"/>
              <w:autoSpaceDN w:val="0"/>
              <w:adjustRightInd w:val="0"/>
              <w:snapToGrid w:val="0"/>
              <w:jc w:val="center"/>
              <w:rPr>
                <w:rFonts w:ascii="宋体" w:hAnsi="宋体"/>
                <w:color w:val="auto"/>
                <w:kern w:val="0"/>
                <w:szCs w:val="21"/>
                <w:highlight w:val="none"/>
              </w:rPr>
            </w:pPr>
          </w:p>
        </w:tc>
      </w:tr>
      <w:tr w14:paraId="5D3745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C28FDB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成立时间</w:t>
            </w:r>
          </w:p>
        </w:tc>
        <w:tc>
          <w:tcPr>
            <w:tcW w:w="1991" w:type="dxa"/>
            <w:gridSpan w:val="2"/>
            <w:vAlign w:val="center"/>
          </w:tcPr>
          <w:p w14:paraId="576AD844">
            <w:pPr>
              <w:autoSpaceDE w:val="0"/>
              <w:autoSpaceDN w:val="0"/>
              <w:adjustRightInd w:val="0"/>
              <w:snapToGrid w:val="0"/>
              <w:jc w:val="center"/>
              <w:rPr>
                <w:rFonts w:ascii="宋体" w:hAnsi="宋体"/>
                <w:color w:val="auto"/>
                <w:kern w:val="0"/>
                <w:szCs w:val="21"/>
                <w:highlight w:val="none"/>
              </w:rPr>
            </w:pPr>
          </w:p>
        </w:tc>
        <w:tc>
          <w:tcPr>
            <w:tcW w:w="5616" w:type="dxa"/>
            <w:gridSpan w:val="7"/>
            <w:vAlign w:val="center"/>
          </w:tcPr>
          <w:p w14:paraId="30D9DDF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员工总人数：</w:t>
            </w:r>
          </w:p>
        </w:tc>
      </w:tr>
      <w:tr w14:paraId="3066A3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086173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企业资质等级</w:t>
            </w:r>
          </w:p>
        </w:tc>
        <w:tc>
          <w:tcPr>
            <w:tcW w:w="1991" w:type="dxa"/>
            <w:gridSpan w:val="2"/>
            <w:vAlign w:val="center"/>
          </w:tcPr>
          <w:p w14:paraId="53ED1D07">
            <w:pPr>
              <w:autoSpaceDE w:val="0"/>
              <w:autoSpaceDN w:val="0"/>
              <w:adjustRightInd w:val="0"/>
              <w:snapToGrid w:val="0"/>
              <w:jc w:val="center"/>
              <w:rPr>
                <w:rFonts w:ascii="宋体" w:hAnsi="宋体"/>
                <w:color w:val="auto"/>
                <w:kern w:val="0"/>
                <w:szCs w:val="21"/>
                <w:highlight w:val="none"/>
              </w:rPr>
            </w:pPr>
          </w:p>
        </w:tc>
        <w:tc>
          <w:tcPr>
            <w:tcW w:w="904" w:type="dxa"/>
            <w:vMerge w:val="restart"/>
            <w:vAlign w:val="center"/>
          </w:tcPr>
          <w:p w14:paraId="5CBE1ED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其中</w:t>
            </w:r>
          </w:p>
        </w:tc>
        <w:tc>
          <w:tcPr>
            <w:tcW w:w="2476" w:type="dxa"/>
            <w:gridSpan w:val="4"/>
            <w:vAlign w:val="center"/>
          </w:tcPr>
          <w:p w14:paraId="39789FC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项目经理</w:t>
            </w:r>
          </w:p>
        </w:tc>
        <w:tc>
          <w:tcPr>
            <w:tcW w:w="2236" w:type="dxa"/>
            <w:gridSpan w:val="2"/>
            <w:vAlign w:val="center"/>
          </w:tcPr>
          <w:p w14:paraId="0B53492F">
            <w:pPr>
              <w:autoSpaceDE w:val="0"/>
              <w:autoSpaceDN w:val="0"/>
              <w:adjustRightInd w:val="0"/>
              <w:snapToGrid w:val="0"/>
              <w:jc w:val="center"/>
              <w:rPr>
                <w:rFonts w:ascii="宋体" w:hAnsi="宋体"/>
                <w:color w:val="auto"/>
                <w:kern w:val="0"/>
                <w:szCs w:val="21"/>
                <w:highlight w:val="none"/>
              </w:rPr>
            </w:pPr>
          </w:p>
        </w:tc>
      </w:tr>
      <w:tr w14:paraId="546CB0E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063D211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营业执照号</w:t>
            </w:r>
          </w:p>
        </w:tc>
        <w:tc>
          <w:tcPr>
            <w:tcW w:w="1991" w:type="dxa"/>
            <w:gridSpan w:val="2"/>
            <w:vAlign w:val="center"/>
          </w:tcPr>
          <w:p w14:paraId="6FB53EAC">
            <w:pPr>
              <w:autoSpaceDE w:val="0"/>
              <w:autoSpaceDN w:val="0"/>
              <w:adjustRightInd w:val="0"/>
              <w:snapToGrid w:val="0"/>
              <w:jc w:val="center"/>
              <w:rPr>
                <w:rFonts w:ascii="宋体" w:hAnsi="宋体"/>
                <w:color w:val="auto"/>
                <w:kern w:val="0"/>
                <w:szCs w:val="21"/>
                <w:highlight w:val="none"/>
              </w:rPr>
            </w:pPr>
          </w:p>
        </w:tc>
        <w:tc>
          <w:tcPr>
            <w:tcW w:w="904" w:type="dxa"/>
            <w:vMerge w:val="continue"/>
            <w:vAlign w:val="center"/>
          </w:tcPr>
          <w:p w14:paraId="2BAD031C">
            <w:pPr>
              <w:autoSpaceDE w:val="0"/>
              <w:autoSpaceDN w:val="0"/>
              <w:adjustRightInd w:val="0"/>
              <w:snapToGrid w:val="0"/>
              <w:jc w:val="center"/>
              <w:rPr>
                <w:rFonts w:ascii="宋体" w:hAnsi="宋体"/>
                <w:color w:val="auto"/>
                <w:kern w:val="0"/>
                <w:szCs w:val="21"/>
                <w:highlight w:val="none"/>
              </w:rPr>
            </w:pPr>
          </w:p>
        </w:tc>
        <w:tc>
          <w:tcPr>
            <w:tcW w:w="2476" w:type="dxa"/>
            <w:gridSpan w:val="4"/>
            <w:vAlign w:val="center"/>
          </w:tcPr>
          <w:p w14:paraId="5016474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高级职称人员</w:t>
            </w:r>
          </w:p>
        </w:tc>
        <w:tc>
          <w:tcPr>
            <w:tcW w:w="2236" w:type="dxa"/>
            <w:gridSpan w:val="2"/>
            <w:vAlign w:val="center"/>
          </w:tcPr>
          <w:p w14:paraId="4034FE87">
            <w:pPr>
              <w:autoSpaceDE w:val="0"/>
              <w:autoSpaceDN w:val="0"/>
              <w:adjustRightInd w:val="0"/>
              <w:snapToGrid w:val="0"/>
              <w:jc w:val="center"/>
              <w:rPr>
                <w:rFonts w:ascii="宋体" w:hAnsi="宋体"/>
                <w:color w:val="auto"/>
                <w:kern w:val="0"/>
                <w:szCs w:val="21"/>
                <w:highlight w:val="none"/>
              </w:rPr>
            </w:pPr>
          </w:p>
        </w:tc>
      </w:tr>
      <w:tr w14:paraId="0C81A9C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1A0278E">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注册资金</w:t>
            </w:r>
          </w:p>
        </w:tc>
        <w:tc>
          <w:tcPr>
            <w:tcW w:w="1991" w:type="dxa"/>
            <w:gridSpan w:val="2"/>
            <w:vAlign w:val="center"/>
          </w:tcPr>
          <w:p w14:paraId="3DC1F436">
            <w:pPr>
              <w:autoSpaceDE w:val="0"/>
              <w:autoSpaceDN w:val="0"/>
              <w:adjustRightInd w:val="0"/>
              <w:snapToGrid w:val="0"/>
              <w:jc w:val="center"/>
              <w:rPr>
                <w:rFonts w:ascii="宋体" w:hAnsi="宋体"/>
                <w:color w:val="auto"/>
                <w:kern w:val="0"/>
                <w:szCs w:val="21"/>
                <w:highlight w:val="none"/>
              </w:rPr>
            </w:pPr>
          </w:p>
        </w:tc>
        <w:tc>
          <w:tcPr>
            <w:tcW w:w="904" w:type="dxa"/>
            <w:vMerge w:val="continue"/>
            <w:vAlign w:val="center"/>
          </w:tcPr>
          <w:p w14:paraId="4FA7952B">
            <w:pPr>
              <w:autoSpaceDE w:val="0"/>
              <w:autoSpaceDN w:val="0"/>
              <w:adjustRightInd w:val="0"/>
              <w:snapToGrid w:val="0"/>
              <w:jc w:val="center"/>
              <w:rPr>
                <w:rFonts w:ascii="宋体" w:hAnsi="宋体"/>
                <w:color w:val="auto"/>
                <w:kern w:val="0"/>
                <w:szCs w:val="21"/>
                <w:highlight w:val="none"/>
              </w:rPr>
            </w:pPr>
          </w:p>
        </w:tc>
        <w:tc>
          <w:tcPr>
            <w:tcW w:w="2476" w:type="dxa"/>
            <w:gridSpan w:val="4"/>
            <w:vAlign w:val="center"/>
          </w:tcPr>
          <w:p w14:paraId="02C53F81">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中级职称人员</w:t>
            </w:r>
          </w:p>
        </w:tc>
        <w:tc>
          <w:tcPr>
            <w:tcW w:w="2236" w:type="dxa"/>
            <w:gridSpan w:val="2"/>
            <w:vAlign w:val="center"/>
          </w:tcPr>
          <w:p w14:paraId="2D2CBE7B">
            <w:pPr>
              <w:autoSpaceDE w:val="0"/>
              <w:autoSpaceDN w:val="0"/>
              <w:adjustRightInd w:val="0"/>
              <w:snapToGrid w:val="0"/>
              <w:jc w:val="center"/>
              <w:rPr>
                <w:rFonts w:ascii="宋体" w:hAnsi="宋体"/>
                <w:color w:val="auto"/>
                <w:kern w:val="0"/>
                <w:szCs w:val="21"/>
                <w:highlight w:val="none"/>
              </w:rPr>
            </w:pPr>
          </w:p>
        </w:tc>
      </w:tr>
      <w:tr w14:paraId="7CC4834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314DB90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开户银行</w:t>
            </w:r>
          </w:p>
        </w:tc>
        <w:tc>
          <w:tcPr>
            <w:tcW w:w="1991" w:type="dxa"/>
            <w:gridSpan w:val="2"/>
            <w:vAlign w:val="center"/>
          </w:tcPr>
          <w:p w14:paraId="0F9285BE">
            <w:pPr>
              <w:autoSpaceDE w:val="0"/>
              <w:autoSpaceDN w:val="0"/>
              <w:adjustRightInd w:val="0"/>
              <w:snapToGrid w:val="0"/>
              <w:jc w:val="center"/>
              <w:rPr>
                <w:rFonts w:ascii="宋体" w:hAnsi="宋体"/>
                <w:color w:val="auto"/>
                <w:kern w:val="0"/>
                <w:szCs w:val="21"/>
                <w:highlight w:val="none"/>
              </w:rPr>
            </w:pPr>
          </w:p>
        </w:tc>
        <w:tc>
          <w:tcPr>
            <w:tcW w:w="904" w:type="dxa"/>
            <w:vMerge w:val="continue"/>
            <w:vAlign w:val="center"/>
          </w:tcPr>
          <w:p w14:paraId="0282BAD4">
            <w:pPr>
              <w:autoSpaceDE w:val="0"/>
              <w:autoSpaceDN w:val="0"/>
              <w:adjustRightInd w:val="0"/>
              <w:snapToGrid w:val="0"/>
              <w:jc w:val="center"/>
              <w:rPr>
                <w:rFonts w:ascii="宋体" w:hAnsi="宋体"/>
                <w:color w:val="auto"/>
                <w:kern w:val="0"/>
                <w:szCs w:val="21"/>
                <w:highlight w:val="none"/>
              </w:rPr>
            </w:pPr>
          </w:p>
        </w:tc>
        <w:tc>
          <w:tcPr>
            <w:tcW w:w="2476" w:type="dxa"/>
            <w:gridSpan w:val="4"/>
            <w:vAlign w:val="center"/>
          </w:tcPr>
          <w:p w14:paraId="7B5E80FF">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初级职称人员</w:t>
            </w:r>
          </w:p>
        </w:tc>
        <w:tc>
          <w:tcPr>
            <w:tcW w:w="2236" w:type="dxa"/>
            <w:gridSpan w:val="2"/>
            <w:vAlign w:val="center"/>
          </w:tcPr>
          <w:p w14:paraId="6E1970E4">
            <w:pPr>
              <w:autoSpaceDE w:val="0"/>
              <w:autoSpaceDN w:val="0"/>
              <w:adjustRightInd w:val="0"/>
              <w:snapToGrid w:val="0"/>
              <w:jc w:val="center"/>
              <w:rPr>
                <w:rFonts w:ascii="宋体" w:hAnsi="宋体"/>
                <w:color w:val="auto"/>
                <w:kern w:val="0"/>
                <w:szCs w:val="21"/>
                <w:highlight w:val="none"/>
              </w:rPr>
            </w:pPr>
          </w:p>
        </w:tc>
      </w:tr>
      <w:tr w14:paraId="0F281A5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6E132A7C">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账号</w:t>
            </w:r>
          </w:p>
        </w:tc>
        <w:tc>
          <w:tcPr>
            <w:tcW w:w="1991" w:type="dxa"/>
            <w:gridSpan w:val="2"/>
            <w:vAlign w:val="center"/>
          </w:tcPr>
          <w:p w14:paraId="28160899">
            <w:pPr>
              <w:autoSpaceDE w:val="0"/>
              <w:autoSpaceDN w:val="0"/>
              <w:adjustRightInd w:val="0"/>
              <w:snapToGrid w:val="0"/>
              <w:jc w:val="center"/>
              <w:rPr>
                <w:rFonts w:ascii="宋体" w:hAnsi="宋体"/>
                <w:color w:val="auto"/>
                <w:kern w:val="0"/>
                <w:szCs w:val="21"/>
                <w:highlight w:val="none"/>
              </w:rPr>
            </w:pPr>
          </w:p>
        </w:tc>
        <w:tc>
          <w:tcPr>
            <w:tcW w:w="904" w:type="dxa"/>
            <w:vMerge w:val="continue"/>
            <w:vAlign w:val="center"/>
          </w:tcPr>
          <w:p w14:paraId="75AC3F77">
            <w:pPr>
              <w:autoSpaceDE w:val="0"/>
              <w:autoSpaceDN w:val="0"/>
              <w:adjustRightInd w:val="0"/>
              <w:snapToGrid w:val="0"/>
              <w:jc w:val="center"/>
              <w:rPr>
                <w:rFonts w:ascii="宋体" w:hAnsi="宋体"/>
                <w:color w:val="auto"/>
                <w:kern w:val="0"/>
                <w:szCs w:val="21"/>
                <w:highlight w:val="none"/>
              </w:rPr>
            </w:pPr>
          </w:p>
        </w:tc>
        <w:tc>
          <w:tcPr>
            <w:tcW w:w="2476" w:type="dxa"/>
            <w:gridSpan w:val="4"/>
            <w:vAlign w:val="center"/>
          </w:tcPr>
          <w:p w14:paraId="76C55C42">
            <w:pPr>
              <w:tabs>
                <w:tab w:val="left" w:pos="1240"/>
              </w:tabs>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技</w:t>
            </w:r>
            <w:r>
              <w:rPr>
                <w:rFonts w:ascii="宋体" w:hAnsi="宋体"/>
                <w:color w:val="auto"/>
                <w:kern w:val="0"/>
                <w:szCs w:val="21"/>
                <w:highlight w:val="none"/>
              </w:rPr>
              <w:tab/>
            </w:r>
            <w:r>
              <w:rPr>
                <w:rFonts w:hint="eastAsia" w:ascii="宋体" w:hAnsi="宋体" w:cs="MingLiU"/>
                <w:color w:val="auto"/>
                <w:kern w:val="0"/>
                <w:szCs w:val="21"/>
                <w:highlight w:val="none"/>
              </w:rPr>
              <w:t>工</w:t>
            </w:r>
          </w:p>
        </w:tc>
        <w:tc>
          <w:tcPr>
            <w:tcW w:w="2236" w:type="dxa"/>
            <w:gridSpan w:val="2"/>
            <w:vAlign w:val="center"/>
          </w:tcPr>
          <w:p w14:paraId="6A1813F1">
            <w:pPr>
              <w:autoSpaceDE w:val="0"/>
              <w:autoSpaceDN w:val="0"/>
              <w:adjustRightInd w:val="0"/>
              <w:snapToGrid w:val="0"/>
              <w:jc w:val="center"/>
              <w:rPr>
                <w:rFonts w:ascii="宋体" w:hAnsi="宋体"/>
                <w:color w:val="auto"/>
                <w:kern w:val="0"/>
                <w:szCs w:val="21"/>
                <w:highlight w:val="none"/>
              </w:rPr>
            </w:pPr>
          </w:p>
        </w:tc>
      </w:tr>
      <w:tr w14:paraId="453332C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274020AD">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经营范围</w:t>
            </w:r>
          </w:p>
        </w:tc>
        <w:tc>
          <w:tcPr>
            <w:tcW w:w="7607" w:type="dxa"/>
            <w:gridSpan w:val="9"/>
            <w:vAlign w:val="center"/>
          </w:tcPr>
          <w:p w14:paraId="6075D961">
            <w:pPr>
              <w:autoSpaceDE w:val="0"/>
              <w:autoSpaceDN w:val="0"/>
              <w:adjustRightInd w:val="0"/>
              <w:snapToGrid w:val="0"/>
              <w:jc w:val="center"/>
              <w:rPr>
                <w:rFonts w:ascii="宋体" w:hAnsi="宋体"/>
                <w:color w:val="auto"/>
                <w:kern w:val="0"/>
                <w:szCs w:val="21"/>
                <w:highlight w:val="none"/>
              </w:rPr>
            </w:pPr>
          </w:p>
        </w:tc>
      </w:tr>
      <w:tr w14:paraId="574A9076">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51" w:hRule="exact"/>
        </w:trPr>
        <w:tc>
          <w:tcPr>
            <w:tcW w:w="1862" w:type="dxa"/>
            <w:vAlign w:val="center"/>
          </w:tcPr>
          <w:p w14:paraId="7F50357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c>
          <w:tcPr>
            <w:tcW w:w="7607" w:type="dxa"/>
            <w:gridSpan w:val="9"/>
            <w:vAlign w:val="center"/>
          </w:tcPr>
          <w:p w14:paraId="3C5365A3">
            <w:pPr>
              <w:autoSpaceDE w:val="0"/>
              <w:autoSpaceDN w:val="0"/>
              <w:adjustRightInd w:val="0"/>
              <w:snapToGrid w:val="0"/>
              <w:jc w:val="center"/>
              <w:rPr>
                <w:rFonts w:ascii="宋体" w:hAnsi="宋体"/>
                <w:color w:val="auto"/>
                <w:kern w:val="0"/>
                <w:szCs w:val="21"/>
                <w:highlight w:val="none"/>
              </w:rPr>
            </w:pPr>
          </w:p>
        </w:tc>
      </w:tr>
    </w:tbl>
    <w:p w14:paraId="2F57D5A8">
      <w:pPr>
        <w:spacing w:line="360" w:lineRule="auto"/>
        <w:jc w:val="center"/>
        <w:rPr>
          <w:rFonts w:ascii="宋体" w:hAnsi="宋体"/>
          <w:color w:val="auto"/>
          <w:szCs w:val="21"/>
          <w:highlight w:val="none"/>
        </w:rPr>
      </w:pPr>
    </w:p>
    <w:p w14:paraId="3975CDD1">
      <w:pPr>
        <w:pStyle w:val="5"/>
        <w:spacing w:before="0" w:after="0" w:line="240" w:lineRule="auto"/>
        <w:jc w:val="center"/>
        <w:rPr>
          <w:rFonts w:ascii="宋体" w:hAnsi="宋体"/>
          <w:b w:val="0"/>
          <w:bCs w:val="0"/>
          <w:color w:val="auto"/>
          <w:highlight w:val="none"/>
        </w:rPr>
      </w:pPr>
      <w:r>
        <w:rPr>
          <w:rFonts w:ascii="宋体" w:hAnsi="宋体"/>
          <w:color w:val="auto"/>
          <w:szCs w:val="21"/>
          <w:highlight w:val="none"/>
        </w:rPr>
        <w:br w:type="page"/>
      </w:r>
      <w:bookmarkStart w:id="2116" w:name="_Toc534185840"/>
      <w:bookmarkStart w:id="2117" w:name="_Toc509218863"/>
      <w:bookmarkStart w:id="2118" w:name="_Toc58860359"/>
      <w:r>
        <w:rPr>
          <w:rFonts w:hint="eastAsia" w:ascii="宋体" w:hAnsi="宋体"/>
          <w:b w:val="0"/>
          <w:bCs w:val="0"/>
          <w:color w:val="auto"/>
          <w:highlight w:val="none"/>
        </w:rPr>
        <w:t>（四）项目管理机构</w:t>
      </w:r>
      <w:bookmarkEnd w:id="2116"/>
      <w:bookmarkEnd w:id="2117"/>
      <w:bookmarkEnd w:id="2118"/>
    </w:p>
    <w:p w14:paraId="75522653">
      <w:pPr>
        <w:spacing w:line="360" w:lineRule="auto"/>
        <w:rPr>
          <w:rFonts w:ascii="宋体" w:hAnsi="宋体"/>
          <w:color w:val="auto"/>
          <w:highlight w:val="none"/>
        </w:rPr>
      </w:pPr>
    </w:p>
    <w:p w14:paraId="286C40B2">
      <w:pPr>
        <w:autoSpaceDE w:val="0"/>
        <w:autoSpaceDN w:val="0"/>
        <w:adjustRightInd w:val="0"/>
        <w:snapToGrid w:val="0"/>
        <w:spacing w:line="360" w:lineRule="auto"/>
        <w:jc w:val="center"/>
        <w:rPr>
          <w:rFonts w:ascii="宋体" w:hAnsi="宋体" w:cs="MingLiU"/>
          <w:color w:val="auto"/>
          <w:kern w:val="0"/>
          <w:sz w:val="28"/>
          <w:szCs w:val="28"/>
          <w:highlight w:val="none"/>
        </w:rPr>
      </w:pPr>
      <w:r>
        <w:rPr>
          <w:rFonts w:hint="eastAsia" w:ascii="宋体" w:hAnsi="宋体" w:cs="MingLiU"/>
          <w:color w:val="auto"/>
          <w:kern w:val="0"/>
          <w:sz w:val="28"/>
          <w:szCs w:val="28"/>
          <w:highlight w:val="none"/>
        </w:rPr>
        <w:t>项目管理机构组成表</w:t>
      </w:r>
    </w:p>
    <w:tbl>
      <w:tblPr>
        <w:tblStyle w:val="45"/>
        <w:tblW w:w="9482" w:type="dxa"/>
        <w:tblInd w:w="5"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856"/>
        <w:gridCol w:w="734"/>
        <w:gridCol w:w="776"/>
        <w:gridCol w:w="1167"/>
        <w:gridCol w:w="776"/>
        <w:gridCol w:w="778"/>
        <w:gridCol w:w="776"/>
        <w:gridCol w:w="2723"/>
        <w:gridCol w:w="896"/>
      </w:tblGrid>
      <w:tr w14:paraId="2B0389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restart"/>
            <w:vAlign w:val="center"/>
          </w:tcPr>
          <w:p w14:paraId="097E35D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职务</w:t>
            </w:r>
          </w:p>
        </w:tc>
        <w:tc>
          <w:tcPr>
            <w:tcW w:w="734" w:type="dxa"/>
            <w:vMerge w:val="restart"/>
            <w:vAlign w:val="center"/>
          </w:tcPr>
          <w:p w14:paraId="337C4D67">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姓名</w:t>
            </w:r>
          </w:p>
        </w:tc>
        <w:tc>
          <w:tcPr>
            <w:tcW w:w="776" w:type="dxa"/>
            <w:vMerge w:val="restart"/>
            <w:vAlign w:val="center"/>
          </w:tcPr>
          <w:p w14:paraId="032059A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职称</w:t>
            </w:r>
          </w:p>
        </w:tc>
        <w:tc>
          <w:tcPr>
            <w:tcW w:w="6220" w:type="dxa"/>
            <w:gridSpan w:val="5"/>
            <w:vAlign w:val="center"/>
          </w:tcPr>
          <w:p w14:paraId="4E14B6E4">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执业或职业资格证明</w:t>
            </w:r>
          </w:p>
        </w:tc>
        <w:tc>
          <w:tcPr>
            <w:tcW w:w="896" w:type="dxa"/>
            <w:vAlign w:val="center"/>
          </w:tcPr>
          <w:p w14:paraId="1917DD62">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备注</w:t>
            </w:r>
          </w:p>
        </w:tc>
      </w:tr>
      <w:tr w14:paraId="1245BDC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Merge w:val="continue"/>
          </w:tcPr>
          <w:p w14:paraId="1F330367">
            <w:pPr>
              <w:autoSpaceDE w:val="0"/>
              <w:autoSpaceDN w:val="0"/>
              <w:adjustRightInd w:val="0"/>
              <w:snapToGrid w:val="0"/>
              <w:jc w:val="left"/>
              <w:rPr>
                <w:rFonts w:ascii="宋体" w:hAnsi="宋体"/>
                <w:color w:val="auto"/>
                <w:kern w:val="0"/>
                <w:szCs w:val="21"/>
                <w:highlight w:val="none"/>
              </w:rPr>
            </w:pPr>
          </w:p>
        </w:tc>
        <w:tc>
          <w:tcPr>
            <w:tcW w:w="734" w:type="dxa"/>
            <w:vMerge w:val="continue"/>
          </w:tcPr>
          <w:p w14:paraId="5D44AA34">
            <w:pPr>
              <w:autoSpaceDE w:val="0"/>
              <w:autoSpaceDN w:val="0"/>
              <w:adjustRightInd w:val="0"/>
              <w:snapToGrid w:val="0"/>
              <w:jc w:val="left"/>
              <w:rPr>
                <w:rFonts w:ascii="宋体" w:hAnsi="宋体"/>
                <w:color w:val="auto"/>
                <w:kern w:val="0"/>
                <w:szCs w:val="21"/>
                <w:highlight w:val="none"/>
              </w:rPr>
            </w:pPr>
          </w:p>
        </w:tc>
        <w:tc>
          <w:tcPr>
            <w:tcW w:w="776" w:type="dxa"/>
            <w:vMerge w:val="continue"/>
          </w:tcPr>
          <w:p w14:paraId="123A2470">
            <w:pPr>
              <w:autoSpaceDE w:val="0"/>
              <w:autoSpaceDN w:val="0"/>
              <w:adjustRightInd w:val="0"/>
              <w:snapToGrid w:val="0"/>
              <w:jc w:val="left"/>
              <w:rPr>
                <w:rFonts w:ascii="宋体" w:hAnsi="宋体"/>
                <w:color w:val="auto"/>
                <w:kern w:val="0"/>
                <w:szCs w:val="21"/>
                <w:highlight w:val="none"/>
              </w:rPr>
            </w:pPr>
          </w:p>
        </w:tc>
        <w:tc>
          <w:tcPr>
            <w:tcW w:w="1167" w:type="dxa"/>
            <w:vAlign w:val="center"/>
          </w:tcPr>
          <w:p w14:paraId="37F87883">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证书名称</w:t>
            </w:r>
          </w:p>
        </w:tc>
        <w:tc>
          <w:tcPr>
            <w:tcW w:w="776" w:type="dxa"/>
            <w:vAlign w:val="center"/>
          </w:tcPr>
          <w:p w14:paraId="02D36609">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级别</w:t>
            </w:r>
          </w:p>
        </w:tc>
        <w:tc>
          <w:tcPr>
            <w:tcW w:w="778" w:type="dxa"/>
            <w:vAlign w:val="center"/>
          </w:tcPr>
          <w:p w14:paraId="0F131075">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证号</w:t>
            </w:r>
          </w:p>
        </w:tc>
        <w:tc>
          <w:tcPr>
            <w:tcW w:w="776" w:type="dxa"/>
            <w:vAlign w:val="center"/>
          </w:tcPr>
          <w:p w14:paraId="47442380">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专业</w:t>
            </w:r>
          </w:p>
        </w:tc>
        <w:tc>
          <w:tcPr>
            <w:tcW w:w="2723" w:type="dxa"/>
            <w:vAlign w:val="center"/>
          </w:tcPr>
          <w:p w14:paraId="76F533EA">
            <w:pPr>
              <w:autoSpaceDE w:val="0"/>
              <w:autoSpaceDN w:val="0"/>
              <w:adjustRightInd w:val="0"/>
              <w:snapToGrid w:val="0"/>
              <w:jc w:val="center"/>
              <w:rPr>
                <w:rFonts w:ascii="宋体" w:hAnsi="宋体"/>
                <w:color w:val="auto"/>
                <w:kern w:val="0"/>
                <w:szCs w:val="21"/>
                <w:highlight w:val="none"/>
              </w:rPr>
            </w:pPr>
            <w:r>
              <w:rPr>
                <w:rFonts w:hint="eastAsia" w:ascii="宋体" w:hAnsi="宋体" w:cs="MingLiU"/>
                <w:color w:val="auto"/>
                <w:kern w:val="0"/>
                <w:szCs w:val="21"/>
                <w:highlight w:val="none"/>
              </w:rPr>
              <w:t>养老保险</w:t>
            </w:r>
          </w:p>
        </w:tc>
        <w:tc>
          <w:tcPr>
            <w:tcW w:w="896" w:type="dxa"/>
          </w:tcPr>
          <w:p w14:paraId="024E45B8">
            <w:pPr>
              <w:autoSpaceDE w:val="0"/>
              <w:autoSpaceDN w:val="0"/>
              <w:adjustRightInd w:val="0"/>
              <w:snapToGrid w:val="0"/>
              <w:jc w:val="left"/>
              <w:rPr>
                <w:rFonts w:ascii="宋体" w:hAnsi="宋体"/>
                <w:color w:val="auto"/>
                <w:kern w:val="0"/>
                <w:szCs w:val="21"/>
                <w:highlight w:val="none"/>
              </w:rPr>
            </w:pPr>
          </w:p>
        </w:tc>
      </w:tr>
      <w:tr w14:paraId="701044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23DD29C3">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总承包项目经理</w:t>
            </w:r>
          </w:p>
        </w:tc>
        <w:tc>
          <w:tcPr>
            <w:tcW w:w="734" w:type="dxa"/>
          </w:tcPr>
          <w:p w14:paraId="10F19283">
            <w:pPr>
              <w:autoSpaceDE w:val="0"/>
              <w:autoSpaceDN w:val="0"/>
              <w:adjustRightInd w:val="0"/>
              <w:snapToGrid w:val="0"/>
              <w:jc w:val="left"/>
              <w:rPr>
                <w:rFonts w:ascii="宋体" w:hAnsi="宋体"/>
                <w:color w:val="auto"/>
                <w:kern w:val="0"/>
                <w:szCs w:val="21"/>
                <w:highlight w:val="none"/>
              </w:rPr>
            </w:pPr>
          </w:p>
        </w:tc>
        <w:tc>
          <w:tcPr>
            <w:tcW w:w="776" w:type="dxa"/>
          </w:tcPr>
          <w:p w14:paraId="1B88C8E6">
            <w:pPr>
              <w:autoSpaceDE w:val="0"/>
              <w:autoSpaceDN w:val="0"/>
              <w:adjustRightInd w:val="0"/>
              <w:snapToGrid w:val="0"/>
              <w:jc w:val="left"/>
              <w:rPr>
                <w:rFonts w:ascii="宋体" w:hAnsi="宋体"/>
                <w:color w:val="auto"/>
                <w:kern w:val="0"/>
                <w:szCs w:val="21"/>
                <w:highlight w:val="none"/>
              </w:rPr>
            </w:pPr>
          </w:p>
        </w:tc>
        <w:tc>
          <w:tcPr>
            <w:tcW w:w="1167" w:type="dxa"/>
          </w:tcPr>
          <w:p w14:paraId="336F0154">
            <w:pPr>
              <w:autoSpaceDE w:val="0"/>
              <w:autoSpaceDN w:val="0"/>
              <w:adjustRightInd w:val="0"/>
              <w:snapToGrid w:val="0"/>
              <w:jc w:val="left"/>
              <w:rPr>
                <w:rFonts w:ascii="宋体" w:hAnsi="宋体"/>
                <w:color w:val="auto"/>
                <w:kern w:val="0"/>
                <w:szCs w:val="21"/>
                <w:highlight w:val="none"/>
              </w:rPr>
            </w:pPr>
          </w:p>
        </w:tc>
        <w:tc>
          <w:tcPr>
            <w:tcW w:w="776" w:type="dxa"/>
          </w:tcPr>
          <w:p w14:paraId="003B27EB">
            <w:pPr>
              <w:autoSpaceDE w:val="0"/>
              <w:autoSpaceDN w:val="0"/>
              <w:adjustRightInd w:val="0"/>
              <w:snapToGrid w:val="0"/>
              <w:jc w:val="left"/>
              <w:rPr>
                <w:rFonts w:ascii="宋体" w:hAnsi="宋体"/>
                <w:color w:val="auto"/>
                <w:kern w:val="0"/>
                <w:szCs w:val="21"/>
                <w:highlight w:val="none"/>
              </w:rPr>
            </w:pPr>
          </w:p>
        </w:tc>
        <w:tc>
          <w:tcPr>
            <w:tcW w:w="778" w:type="dxa"/>
          </w:tcPr>
          <w:p w14:paraId="05F845BE">
            <w:pPr>
              <w:autoSpaceDE w:val="0"/>
              <w:autoSpaceDN w:val="0"/>
              <w:adjustRightInd w:val="0"/>
              <w:snapToGrid w:val="0"/>
              <w:jc w:val="left"/>
              <w:rPr>
                <w:rFonts w:ascii="宋体" w:hAnsi="宋体"/>
                <w:color w:val="auto"/>
                <w:kern w:val="0"/>
                <w:szCs w:val="21"/>
                <w:highlight w:val="none"/>
              </w:rPr>
            </w:pPr>
          </w:p>
        </w:tc>
        <w:tc>
          <w:tcPr>
            <w:tcW w:w="776" w:type="dxa"/>
          </w:tcPr>
          <w:p w14:paraId="5AF0A2F5">
            <w:pPr>
              <w:autoSpaceDE w:val="0"/>
              <w:autoSpaceDN w:val="0"/>
              <w:adjustRightInd w:val="0"/>
              <w:snapToGrid w:val="0"/>
              <w:jc w:val="left"/>
              <w:rPr>
                <w:rFonts w:ascii="宋体" w:hAnsi="宋体"/>
                <w:color w:val="auto"/>
                <w:kern w:val="0"/>
                <w:szCs w:val="21"/>
                <w:highlight w:val="none"/>
              </w:rPr>
            </w:pPr>
          </w:p>
        </w:tc>
        <w:tc>
          <w:tcPr>
            <w:tcW w:w="2723" w:type="dxa"/>
          </w:tcPr>
          <w:p w14:paraId="76418C92">
            <w:pPr>
              <w:autoSpaceDE w:val="0"/>
              <w:autoSpaceDN w:val="0"/>
              <w:adjustRightInd w:val="0"/>
              <w:snapToGrid w:val="0"/>
              <w:jc w:val="left"/>
              <w:rPr>
                <w:rFonts w:ascii="宋体" w:hAnsi="宋体"/>
                <w:color w:val="auto"/>
                <w:kern w:val="0"/>
                <w:szCs w:val="21"/>
                <w:highlight w:val="none"/>
              </w:rPr>
            </w:pPr>
          </w:p>
        </w:tc>
        <w:tc>
          <w:tcPr>
            <w:tcW w:w="896" w:type="dxa"/>
          </w:tcPr>
          <w:p w14:paraId="3F9CE6F7">
            <w:pPr>
              <w:autoSpaceDE w:val="0"/>
              <w:autoSpaceDN w:val="0"/>
              <w:adjustRightInd w:val="0"/>
              <w:snapToGrid w:val="0"/>
              <w:jc w:val="left"/>
              <w:rPr>
                <w:rFonts w:ascii="宋体" w:hAnsi="宋体"/>
                <w:color w:val="auto"/>
                <w:kern w:val="0"/>
                <w:szCs w:val="21"/>
                <w:highlight w:val="none"/>
              </w:rPr>
            </w:pPr>
          </w:p>
        </w:tc>
      </w:tr>
      <w:tr w14:paraId="64B5CB5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803" w:hRule="exact"/>
        </w:trPr>
        <w:tc>
          <w:tcPr>
            <w:tcW w:w="856" w:type="dxa"/>
            <w:vAlign w:val="center"/>
          </w:tcPr>
          <w:p w14:paraId="5C61893D">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设计负责人</w:t>
            </w:r>
          </w:p>
        </w:tc>
        <w:tc>
          <w:tcPr>
            <w:tcW w:w="734" w:type="dxa"/>
          </w:tcPr>
          <w:p w14:paraId="3C8F5B80">
            <w:pPr>
              <w:autoSpaceDE w:val="0"/>
              <w:autoSpaceDN w:val="0"/>
              <w:adjustRightInd w:val="0"/>
              <w:snapToGrid w:val="0"/>
              <w:jc w:val="left"/>
              <w:rPr>
                <w:rFonts w:ascii="宋体" w:hAnsi="宋体"/>
                <w:color w:val="auto"/>
                <w:kern w:val="0"/>
                <w:szCs w:val="21"/>
                <w:highlight w:val="none"/>
              </w:rPr>
            </w:pPr>
          </w:p>
        </w:tc>
        <w:tc>
          <w:tcPr>
            <w:tcW w:w="776" w:type="dxa"/>
          </w:tcPr>
          <w:p w14:paraId="535CEA75">
            <w:pPr>
              <w:autoSpaceDE w:val="0"/>
              <w:autoSpaceDN w:val="0"/>
              <w:adjustRightInd w:val="0"/>
              <w:snapToGrid w:val="0"/>
              <w:jc w:val="left"/>
              <w:rPr>
                <w:rFonts w:ascii="宋体" w:hAnsi="宋体"/>
                <w:color w:val="auto"/>
                <w:kern w:val="0"/>
                <w:szCs w:val="21"/>
                <w:highlight w:val="none"/>
              </w:rPr>
            </w:pPr>
          </w:p>
        </w:tc>
        <w:tc>
          <w:tcPr>
            <w:tcW w:w="1167" w:type="dxa"/>
          </w:tcPr>
          <w:p w14:paraId="70A9E220">
            <w:pPr>
              <w:autoSpaceDE w:val="0"/>
              <w:autoSpaceDN w:val="0"/>
              <w:adjustRightInd w:val="0"/>
              <w:snapToGrid w:val="0"/>
              <w:jc w:val="left"/>
              <w:rPr>
                <w:rFonts w:ascii="宋体" w:hAnsi="宋体"/>
                <w:color w:val="auto"/>
                <w:kern w:val="0"/>
                <w:szCs w:val="21"/>
                <w:highlight w:val="none"/>
              </w:rPr>
            </w:pPr>
          </w:p>
        </w:tc>
        <w:tc>
          <w:tcPr>
            <w:tcW w:w="776" w:type="dxa"/>
          </w:tcPr>
          <w:p w14:paraId="7E5B4E5B">
            <w:pPr>
              <w:autoSpaceDE w:val="0"/>
              <w:autoSpaceDN w:val="0"/>
              <w:adjustRightInd w:val="0"/>
              <w:snapToGrid w:val="0"/>
              <w:jc w:val="left"/>
              <w:rPr>
                <w:rFonts w:ascii="宋体" w:hAnsi="宋体"/>
                <w:color w:val="auto"/>
                <w:kern w:val="0"/>
                <w:szCs w:val="21"/>
                <w:highlight w:val="none"/>
              </w:rPr>
            </w:pPr>
          </w:p>
        </w:tc>
        <w:tc>
          <w:tcPr>
            <w:tcW w:w="778" w:type="dxa"/>
          </w:tcPr>
          <w:p w14:paraId="3F3EFF25">
            <w:pPr>
              <w:autoSpaceDE w:val="0"/>
              <w:autoSpaceDN w:val="0"/>
              <w:adjustRightInd w:val="0"/>
              <w:snapToGrid w:val="0"/>
              <w:jc w:val="left"/>
              <w:rPr>
                <w:rFonts w:ascii="宋体" w:hAnsi="宋体"/>
                <w:color w:val="auto"/>
                <w:kern w:val="0"/>
                <w:szCs w:val="21"/>
                <w:highlight w:val="none"/>
              </w:rPr>
            </w:pPr>
          </w:p>
        </w:tc>
        <w:tc>
          <w:tcPr>
            <w:tcW w:w="776" w:type="dxa"/>
          </w:tcPr>
          <w:p w14:paraId="511A8AE7">
            <w:pPr>
              <w:autoSpaceDE w:val="0"/>
              <w:autoSpaceDN w:val="0"/>
              <w:adjustRightInd w:val="0"/>
              <w:snapToGrid w:val="0"/>
              <w:jc w:val="left"/>
              <w:rPr>
                <w:rFonts w:ascii="宋体" w:hAnsi="宋体"/>
                <w:color w:val="auto"/>
                <w:kern w:val="0"/>
                <w:szCs w:val="21"/>
                <w:highlight w:val="none"/>
              </w:rPr>
            </w:pPr>
          </w:p>
        </w:tc>
        <w:tc>
          <w:tcPr>
            <w:tcW w:w="2723" w:type="dxa"/>
          </w:tcPr>
          <w:p w14:paraId="22D7CEBF">
            <w:pPr>
              <w:autoSpaceDE w:val="0"/>
              <w:autoSpaceDN w:val="0"/>
              <w:adjustRightInd w:val="0"/>
              <w:snapToGrid w:val="0"/>
              <w:jc w:val="left"/>
              <w:rPr>
                <w:rFonts w:ascii="宋体" w:hAnsi="宋体"/>
                <w:color w:val="auto"/>
                <w:kern w:val="0"/>
                <w:szCs w:val="21"/>
                <w:highlight w:val="none"/>
              </w:rPr>
            </w:pPr>
          </w:p>
        </w:tc>
        <w:tc>
          <w:tcPr>
            <w:tcW w:w="896" w:type="dxa"/>
          </w:tcPr>
          <w:p w14:paraId="7BF44228">
            <w:pPr>
              <w:autoSpaceDE w:val="0"/>
              <w:autoSpaceDN w:val="0"/>
              <w:adjustRightInd w:val="0"/>
              <w:snapToGrid w:val="0"/>
              <w:jc w:val="left"/>
              <w:rPr>
                <w:rFonts w:ascii="宋体" w:hAnsi="宋体"/>
                <w:color w:val="auto"/>
                <w:kern w:val="0"/>
                <w:szCs w:val="21"/>
                <w:highlight w:val="none"/>
              </w:rPr>
            </w:pPr>
          </w:p>
        </w:tc>
      </w:tr>
      <w:tr w14:paraId="009C73B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vAlign w:val="center"/>
          </w:tcPr>
          <w:p w14:paraId="15FE7E36">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施工负责人</w:t>
            </w:r>
          </w:p>
        </w:tc>
        <w:tc>
          <w:tcPr>
            <w:tcW w:w="734" w:type="dxa"/>
          </w:tcPr>
          <w:p w14:paraId="6C713232">
            <w:pPr>
              <w:autoSpaceDE w:val="0"/>
              <w:autoSpaceDN w:val="0"/>
              <w:adjustRightInd w:val="0"/>
              <w:snapToGrid w:val="0"/>
              <w:jc w:val="left"/>
              <w:rPr>
                <w:rFonts w:ascii="宋体" w:hAnsi="宋体"/>
                <w:color w:val="auto"/>
                <w:kern w:val="0"/>
                <w:szCs w:val="21"/>
                <w:highlight w:val="none"/>
              </w:rPr>
            </w:pPr>
          </w:p>
        </w:tc>
        <w:tc>
          <w:tcPr>
            <w:tcW w:w="776" w:type="dxa"/>
          </w:tcPr>
          <w:p w14:paraId="0E9DB218">
            <w:pPr>
              <w:autoSpaceDE w:val="0"/>
              <w:autoSpaceDN w:val="0"/>
              <w:adjustRightInd w:val="0"/>
              <w:snapToGrid w:val="0"/>
              <w:jc w:val="left"/>
              <w:rPr>
                <w:rFonts w:ascii="宋体" w:hAnsi="宋体"/>
                <w:color w:val="auto"/>
                <w:kern w:val="0"/>
                <w:szCs w:val="21"/>
                <w:highlight w:val="none"/>
              </w:rPr>
            </w:pPr>
          </w:p>
        </w:tc>
        <w:tc>
          <w:tcPr>
            <w:tcW w:w="1167" w:type="dxa"/>
          </w:tcPr>
          <w:p w14:paraId="1CC1AB99">
            <w:pPr>
              <w:autoSpaceDE w:val="0"/>
              <w:autoSpaceDN w:val="0"/>
              <w:adjustRightInd w:val="0"/>
              <w:snapToGrid w:val="0"/>
              <w:jc w:val="left"/>
              <w:rPr>
                <w:rFonts w:ascii="宋体" w:hAnsi="宋体"/>
                <w:color w:val="auto"/>
                <w:kern w:val="0"/>
                <w:szCs w:val="21"/>
                <w:highlight w:val="none"/>
              </w:rPr>
            </w:pPr>
          </w:p>
        </w:tc>
        <w:tc>
          <w:tcPr>
            <w:tcW w:w="776" w:type="dxa"/>
          </w:tcPr>
          <w:p w14:paraId="70C0F7FE">
            <w:pPr>
              <w:autoSpaceDE w:val="0"/>
              <w:autoSpaceDN w:val="0"/>
              <w:adjustRightInd w:val="0"/>
              <w:snapToGrid w:val="0"/>
              <w:jc w:val="left"/>
              <w:rPr>
                <w:rFonts w:ascii="宋体" w:hAnsi="宋体"/>
                <w:color w:val="auto"/>
                <w:kern w:val="0"/>
                <w:szCs w:val="21"/>
                <w:highlight w:val="none"/>
              </w:rPr>
            </w:pPr>
          </w:p>
        </w:tc>
        <w:tc>
          <w:tcPr>
            <w:tcW w:w="778" w:type="dxa"/>
          </w:tcPr>
          <w:p w14:paraId="6499AEB9">
            <w:pPr>
              <w:autoSpaceDE w:val="0"/>
              <w:autoSpaceDN w:val="0"/>
              <w:adjustRightInd w:val="0"/>
              <w:snapToGrid w:val="0"/>
              <w:jc w:val="left"/>
              <w:rPr>
                <w:rFonts w:ascii="宋体" w:hAnsi="宋体"/>
                <w:color w:val="auto"/>
                <w:kern w:val="0"/>
                <w:szCs w:val="21"/>
                <w:highlight w:val="none"/>
              </w:rPr>
            </w:pPr>
          </w:p>
        </w:tc>
        <w:tc>
          <w:tcPr>
            <w:tcW w:w="776" w:type="dxa"/>
          </w:tcPr>
          <w:p w14:paraId="34562F11">
            <w:pPr>
              <w:autoSpaceDE w:val="0"/>
              <w:autoSpaceDN w:val="0"/>
              <w:adjustRightInd w:val="0"/>
              <w:snapToGrid w:val="0"/>
              <w:jc w:val="left"/>
              <w:rPr>
                <w:rFonts w:ascii="宋体" w:hAnsi="宋体"/>
                <w:color w:val="auto"/>
                <w:kern w:val="0"/>
                <w:szCs w:val="21"/>
                <w:highlight w:val="none"/>
              </w:rPr>
            </w:pPr>
          </w:p>
        </w:tc>
        <w:tc>
          <w:tcPr>
            <w:tcW w:w="2723" w:type="dxa"/>
          </w:tcPr>
          <w:p w14:paraId="7EB2A744">
            <w:pPr>
              <w:autoSpaceDE w:val="0"/>
              <w:autoSpaceDN w:val="0"/>
              <w:adjustRightInd w:val="0"/>
              <w:snapToGrid w:val="0"/>
              <w:jc w:val="left"/>
              <w:rPr>
                <w:rFonts w:ascii="宋体" w:hAnsi="宋体"/>
                <w:color w:val="auto"/>
                <w:kern w:val="0"/>
                <w:szCs w:val="21"/>
                <w:highlight w:val="none"/>
              </w:rPr>
            </w:pPr>
          </w:p>
        </w:tc>
        <w:tc>
          <w:tcPr>
            <w:tcW w:w="896" w:type="dxa"/>
          </w:tcPr>
          <w:p w14:paraId="24D7B05E">
            <w:pPr>
              <w:autoSpaceDE w:val="0"/>
              <w:autoSpaceDN w:val="0"/>
              <w:adjustRightInd w:val="0"/>
              <w:snapToGrid w:val="0"/>
              <w:jc w:val="left"/>
              <w:rPr>
                <w:rFonts w:ascii="宋体" w:hAnsi="宋体"/>
                <w:color w:val="auto"/>
                <w:kern w:val="0"/>
                <w:szCs w:val="21"/>
                <w:highlight w:val="none"/>
              </w:rPr>
            </w:pPr>
          </w:p>
        </w:tc>
      </w:tr>
      <w:tr w14:paraId="04E3853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81FAA0D">
            <w:pPr>
              <w:autoSpaceDE w:val="0"/>
              <w:autoSpaceDN w:val="0"/>
              <w:adjustRightInd w:val="0"/>
              <w:snapToGrid w:val="0"/>
              <w:jc w:val="left"/>
              <w:rPr>
                <w:rFonts w:ascii="宋体" w:hAnsi="宋体"/>
                <w:color w:val="auto"/>
                <w:kern w:val="0"/>
                <w:szCs w:val="21"/>
                <w:highlight w:val="none"/>
              </w:rPr>
            </w:pPr>
            <w:r>
              <w:rPr>
                <w:rFonts w:hint="eastAsia" w:ascii="宋体" w:hAnsi="宋体"/>
                <w:color w:val="auto"/>
                <w:kern w:val="0"/>
                <w:szCs w:val="21"/>
                <w:highlight w:val="none"/>
              </w:rPr>
              <w:t>施工技术负责人</w:t>
            </w:r>
          </w:p>
        </w:tc>
        <w:tc>
          <w:tcPr>
            <w:tcW w:w="734" w:type="dxa"/>
          </w:tcPr>
          <w:p w14:paraId="65E707D2">
            <w:pPr>
              <w:autoSpaceDE w:val="0"/>
              <w:autoSpaceDN w:val="0"/>
              <w:adjustRightInd w:val="0"/>
              <w:snapToGrid w:val="0"/>
              <w:jc w:val="left"/>
              <w:rPr>
                <w:rFonts w:ascii="宋体" w:hAnsi="宋体"/>
                <w:color w:val="auto"/>
                <w:kern w:val="0"/>
                <w:szCs w:val="21"/>
                <w:highlight w:val="none"/>
              </w:rPr>
            </w:pPr>
          </w:p>
        </w:tc>
        <w:tc>
          <w:tcPr>
            <w:tcW w:w="776" w:type="dxa"/>
          </w:tcPr>
          <w:p w14:paraId="25A23362">
            <w:pPr>
              <w:autoSpaceDE w:val="0"/>
              <w:autoSpaceDN w:val="0"/>
              <w:adjustRightInd w:val="0"/>
              <w:snapToGrid w:val="0"/>
              <w:jc w:val="left"/>
              <w:rPr>
                <w:rFonts w:ascii="宋体" w:hAnsi="宋体"/>
                <w:color w:val="auto"/>
                <w:kern w:val="0"/>
                <w:szCs w:val="21"/>
                <w:highlight w:val="none"/>
              </w:rPr>
            </w:pPr>
          </w:p>
        </w:tc>
        <w:tc>
          <w:tcPr>
            <w:tcW w:w="1167" w:type="dxa"/>
          </w:tcPr>
          <w:p w14:paraId="44E7EEEC">
            <w:pPr>
              <w:autoSpaceDE w:val="0"/>
              <w:autoSpaceDN w:val="0"/>
              <w:adjustRightInd w:val="0"/>
              <w:snapToGrid w:val="0"/>
              <w:jc w:val="left"/>
              <w:rPr>
                <w:rFonts w:ascii="宋体" w:hAnsi="宋体"/>
                <w:color w:val="auto"/>
                <w:kern w:val="0"/>
                <w:szCs w:val="21"/>
                <w:highlight w:val="none"/>
              </w:rPr>
            </w:pPr>
          </w:p>
        </w:tc>
        <w:tc>
          <w:tcPr>
            <w:tcW w:w="776" w:type="dxa"/>
          </w:tcPr>
          <w:p w14:paraId="73CB1D91">
            <w:pPr>
              <w:autoSpaceDE w:val="0"/>
              <w:autoSpaceDN w:val="0"/>
              <w:adjustRightInd w:val="0"/>
              <w:snapToGrid w:val="0"/>
              <w:jc w:val="left"/>
              <w:rPr>
                <w:rFonts w:ascii="宋体" w:hAnsi="宋体"/>
                <w:color w:val="auto"/>
                <w:kern w:val="0"/>
                <w:szCs w:val="21"/>
                <w:highlight w:val="none"/>
              </w:rPr>
            </w:pPr>
          </w:p>
        </w:tc>
        <w:tc>
          <w:tcPr>
            <w:tcW w:w="778" w:type="dxa"/>
          </w:tcPr>
          <w:p w14:paraId="00D64AE4">
            <w:pPr>
              <w:autoSpaceDE w:val="0"/>
              <w:autoSpaceDN w:val="0"/>
              <w:adjustRightInd w:val="0"/>
              <w:snapToGrid w:val="0"/>
              <w:jc w:val="left"/>
              <w:rPr>
                <w:rFonts w:ascii="宋体" w:hAnsi="宋体"/>
                <w:color w:val="auto"/>
                <w:kern w:val="0"/>
                <w:szCs w:val="21"/>
                <w:highlight w:val="none"/>
              </w:rPr>
            </w:pPr>
          </w:p>
        </w:tc>
        <w:tc>
          <w:tcPr>
            <w:tcW w:w="776" w:type="dxa"/>
          </w:tcPr>
          <w:p w14:paraId="4D22FAD4">
            <w:pPr>
              <w:autoSpaceDE w:val="0"/>
              <w:autoSpaceDN w:val="0"/>
              <w:adjustRightInd w:val="0"/>
              <w:snapToGrid w:val="0"/>
              <w:jc w:val="left"/>
              <w:rPr>
                <w:rFonts w:ascii="宋体" w:hAnsi="宋体"/>
                <w:color w:val="auto"/>
                <w:kern w:val="0"/>
                <w:szCs w:val="21"/>
                <w:highlight w:val="none"/>
              </w:rPr>
            </w:pPr>
          </w:p>
        </w:tc>
        <w:tc>
          <w:tcPr>
            <w:tcW w:w="2723" w:type="dxa"/>
          </w:tcPr>
          <w:p w14:paraId="05E44A1B">
            <w:pPr>
              <w:autoSpaceDE w:val="0"/>
              <w:autoSpaceDN w:val="0"/>
              <w:adjustRightInd w:val="0"/>
              <w:snapToGrid w:val="0"/>
              <w:jc w:val="left"/>
              <w:rPr>
                <w:rFonts w:ascii="宋体" w:hAnsi="宋体"/>
                <w:color w:val="auto"/>
                <w:kern w:val="0"/>
                <w:szCs w:val="21"/>
                <w:highlight w:val="none"/>
              </w:rPr>
            </w:pPr>
          </w:p>
        </w:tc>
        <w:tc>
          <w:tcPr>
            <w:tcW w:w="896" w:type="dxa"/>
          </w:tcPr>
          <w:p w14:paraId="13DF11C6">
            <w:pPr>
              <w:autoSpaceDE w:val="0"/>
              <w:autoSpaceDN w:val="0"/>
              <w:adjustRightInd w:val="0"/>
              <w:snapToGrid w:val="0"/>
              <w:jc w:val="left"/>
              <w:rPr>
                <w:rFonts w:ascii="宋体" w:hAnsi="宋体"/>
                <w:color w:val="auto"/>
                <w:kern w:val="0"/>
                <w:szCs w:val="21"/>
                <w:highlight w:val="none"/>
              </w:rPr>
            </w:pPr>
          </w:p>
        </w:tc>
      </w:tr>
      <w:tr w14:paraId="7F718B1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8B5FDB7">
            <w:pPr>
              <w:autoSpaceDE w:val="0"/>
              <w:autoSpaceDN w:val="0"/>
              <w:adjustRightInd w:val="0"/>
              <w:snapToGrid w:val="0"/>
              <w:jc w:val="left"/>
              <w:rPr>
                <w:rFonts w:ascii="宋体" w:hAnsi="宋体"/>
                <w:color w:val="auto"/>
                <w:kern w:val="0"/>
                <w:szCs w:val="21"/>
                <w:highlight w:val="none"/>
              </w:rPr>
            </w:pPr>
          </w:p>
        </w:tc>
        <w:tc>
          <w:tcPr>
            <w:tcW w:w="734" w:type="dxa"/>
          </w:tcPr>
          <w:p w14:paraId="3258851A">
            <w:pPr>
              <w:autoSpaceDE w:val="0"/>
              <w:autoSpaceDN w:val="0"/>
              <w:adjustRightInd w:val="0"/>
              <w:snapToGrid w:val="0"/>
              <w:jc w:val="left"/>
              <w:rPr>
                <w:rFonts w:ascii="宋体" w:hAnsi="宋体"/>
                <w:color w:val="auto"/>
                <w:kern w:val="0"/>
                <w:szCs w:val="21"/>
                <w:highlight w:val="none"/>
              </w:rPr>
            </w:pPr>
          </w:p>
        </w:tc>
        <w:tc>
          <w:tcPr>
            <w:tcW w:w="776" w:type="dxa"/>
          </w:tcPr>
          <w:p w14:paraId="667E82B5">
            <w:pPr>
              <w:autoSpaceDE w:val="0"/>
              <w:autoSpaceDN w:val="0"/>
              <w:adjustRightInd w:val="0"/>
              <w:snapToGrid w:val="0"/>
              <w:jc w:val="left"/>
              <w:rPr>
                <w:rFonts w:ascii="宋体" w:hAnsi="宋体"/>
                <w:color w:val="auto"/>
                <w:kern w:val="0"/>
                <w:szCs w:val="21"/>
                <w:highlight w:val="none"/>
              </w:rPr>
            </w:pPr>
          </w:p>
        </w:tc>
        <w:tc>
          <w:tcPr>
            <w:tcW w:w="1167" w:type="dxa"/>
          </w:tcPr>
          <w:p w14:paraId="6ABFE1D0">
            <w:pPr>
              <w:autoSpaceDE w:val="0"/>
              <w:autoSpaceDN w:val="0"/>
              <w:adjustRightInd w:val="0"/>
              <w:snapToGrid w:val="0"/>
              <w:jc w:val="left"/>
              <w:rPr>
                <w:rFonts w:ascii="宋体" w:hAnsi="宋体"/>
                <w:color w:val="auto"/>
                <w:kern w:val="0"/>
                <w:szCs w:val="21"/>
                <w:highlight w:val="none"/>
              </w:rPr>
            </w:pPr>
          </w:p>
        </w:tc>
        <w:tc>
          <w:tcPr>
            <w:tcW w:w="776" w:type="dxa"/>
          </w:tcPr>
          <w:p w14:paraId="51FDDF94">
            <w:pPr>
              <w:autoSpaceDE w:val="0"/>
              <w:autoSpaceDN w:val="0"/>
              <w:adjustRightInd w:val="0"/>
              <w:snapToGrid w:val="0"/>
              <w:jc w:val="left"/>
              <w:rPr>
                <w:rFonts w:ascii="宋体" w:hAnsi="宋体"/>
                <w:color w:val="auto"/>
                <w:kern w:val="0"/>
                <w:szCs w:val="21"/>
                <w:highlight w:val="none"/>
              </w:rPr>
            </w:pPr>
          </w:p>
        </w:tc>
        <w:tc>
          <w:tcPr>
            <w:tcW w:w="778" w:type="dxa"/>
          </w:tcPr>
          <w:p w14:paraId="60512FAB">
            <w:pPr>
              <w:autoSpaceDE w:val="0"/>
              <w:autoSpaceDN w:val="0"/>
              <w:adjustRightInd w:val="0"/>
              <w:snapToGrid w:val="0"/>
              <w:jc w:val="left"/>
              <w:rPr>
                <w:rFonts w:ascii="宋体" w:hAnsi="宋体"/>
                <w:color w:val="auto"/>
                <w:kern w:val="0"/>
                <w:szCs w:val="21"/>
                <w:highlight w:val="none"/>
              </w:rPr>
            </w:pPr>
          </w:p>
        </w:tc>
        <w:tc>
          <w:tcPr>
            <w:tcW w:w="776" w:type="dxa"/>
          </w:tcPr>
          <w:p w14:paraId="42F4A2F2">
            <w:pPr>
              <w:autoSpaceDE w:val="0"/>
              <w:autoSpaceDN w:val="0"/>
              <w:adjustRightInd w:val="0"/>
              <w:snapToGrid w:val="0"/>
              <w:jc w:val="left"/>
              <w:rPr>
                <w:rFonts w:ascii="宋体" w:hAnsi="宋体"/>
                <w:color w:val="auto"/>
                <w:kern w:val="0"/>
                <w:szCs w:val="21"/>
                <w:highlight w:val="none"/>
              </w:rPr>
            </w:pPr>
          </w:p>
        </w:tc>
        <w:tc>
          <w:tcPr>
            <w:tcW w:w="2723" w:type="dxa"/>
          </w:tcPr>
          <w:p w14:paraId="6E0F7239">
            <w:pPr>
              <w:autoSpaceDE w:val="0"/>
              <w:autoSpaceDN w:val="0"/>
              <w:adjustRightInd w:val="0"/>
              <w:snapToGrid w:val="0"/>
              <w:jc w:val="left"/>
              <w:rPr>
                <w:rFonts w:ascii="宋体" w:hAnsi="宋体"/>
                <w:color w:val="auto"/>
                <w:kern w:val="0"/>
                <w:szCs w:val="21"/>
                <w:highlight w:val="none"/>
              </w:rPr>
            </w:pPr>
          </w:p>
        </w:tc>
        <w:tc>
          <w:tcPr>
            <w:tcW w:w="896" w:type="dxa"/>
          </w:tcPr>
          <w:p w14:paraId="07804DA8">
            <w:pPr>
              <w:autoSpaceDE w:val="0"/>
              <w:autoSpaceDN w:val="0"/>
              <w:adjustRightInd w:val="0"/>
              <w:snapToGrid w:val="0"/>
              <w:jc w:val="left"/>
              <w:rPr>
                <w:rFonts w:ascii="宋体" w:hAnsi="宋体"/>
                <w:color w:val="auto"/>
                <w:kern w:val="0"/>
                <w:szCs w:val="21"/>
                <w:highlight w:val="none"/>
              </w:rPr>
            </w:pPr>
          </w:p>
        </w:tc>
      </w:tr>
      <w:tr w14:paraId="20D159A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4289DCC">
            <w:pPr>
              <w:autoSpaceDE w:val="0"/>
              <w:autoSpaceDN w:val="0"/>
              <w:adjustRightInd w:val="0"/>
              <w:snapToGrid w:val="0"/>
              <w:jc w:val="left"/>
              <w:rPr>
                <w:rFonts w:ascii="宋体" w:hAnsi="宋体"/>
                <w:color w:val="auto"/>
                <w:kern w:val="0"/>
                <w:szCs w:val="21"/>
                <w:highlight w:val="none"/>
              </w:rPr>
            </w:pPr>
          </w:p>
        </w:tc>
        <w:tc>
          <w:tcPr>
            <w:tcW w:w="734" w:type="dxa"/>
          </w:tcPr>
          <w:p w14:paraId="3277BE8C">
            <w:pPr>
              <w:autoSpaceDE w:val="0"/>
              <w:autoSpaceDN w:val="0"/>
              <w:adjustRightInd w:val="0"/>
              <w:snapToGrid w:val="0"/>
              <w:jc w:val="left"/>
              <w:rPr>
                <w:rFonts w:ascii="宋体" w:hAnsi="宋体"/>
                <w:color w:val="auto"/>
                <w:kern w:val="0"/>
                <w:szCs w:val="21"/>
                <w:highlight w:val="none"/>
              </w:rPr>
            </w:pPr>
          </w:p>
        </w:tc>
        <w:tc>
          <w:tcPr>
            <w:tcW w:w="776" w:type="dxa"/>
          </w:tcPr>
          <w:p w14:paraId="1DF1B2D6">
            <w:pPr>
              <w:autoSpaceDE w:val="0"/>
              <w:autoSpaceDN w:val="0"/>
              <w:adjustRightInd w:val="0"/>
              <w:snapToGrid w:val="0"/>
              <w:jc w:val="left"/>
              <w:rPr>
                <w:rFonts w:ascii="宋体" w:hAnsi="宋体"/>
                <w:color w:val="auto"/>
                <w:kern w:val="0"/>
                <w:szCs w:val="21"/>
                <w:highlight w:val="none"/>
              </w:rPr>
            </w:pPr>
          </w:p>
        </w:tc>
        <w:tc>
          <w:tcPr>
            <w:tcW w:w="1167" w:type="dxa"/>
          </w:tcPr>
          <w:p w14:paraId="411EDF35">
            <w:pPr>
              <w:autoSpaceDE w:val="0"/>
              <w:autoSpaceDN w:val="0"/>
              <w:adjustRightInd w:val="0"/>
              <w:snapToGrid w:val="0"/>
              <w:jc w:val="left"/>
              <w:rPr>
                <w:rFonts w:ascii="宋体" w:hAnsi="宋体"/>
                <w:color w:val="auto"/>
                <w:kern w:val="0"/>
                <w:szCs w:val="21"/>
                <w:highlight w:val="none"/>
              </w:rPr>
            </w:pPr>
          </w:p>
        </w:tc>
        <w:tc>
          <w:tcPr>
            <w:tcW w:w="776" w:type="dxa"/>
          </w:tcPr>
          <w:p w14:paraId="59E32590">
            <w:pPr>
              <w:autoSpaceDE w:val="0"/>
              <w:autoSpaceDN w:val="0"/>
              <w:adjustRightInd w:val="0"/>
              <w:snapToGrid w:val="0"/>
              <w:jc w:val="left"/>
              <w:rPr>
                <w:rFonts w:ascii="宋体" w:hAnsi="宋体"/>
                <w:color w:val="auto"/>
                <w:kern w:val="0"/>
                <w:szCs w:val="21"/>
                <w:highlight w:val="none"/>
              </w:rPr>
            </w:pPr>
          </w:p>
        </w:tc>
        <w:tc>
          <w:tcPr>
            <w:tcW w:w="778" w:type="dxa"/>
          </w:tcPr>
          <w:p w14:paraId="37ACA02A">
            <w:pPr>
              <w:autoSpaceDE w:val="0"/>
              <w:autoSpaceDN w:val="0"/>
              <w:adjustRightInd w:val="0"/>
              <w:snapToGrid w:val="0"/>
              <w:jc w:val="left"/>
              <w:rPr>
                <w:rFonts w:ascii="宋体" w:hAnsi="宋体"/>
                <w:color w:val="auto"/>
                <w:kern w:val="0"/>
                <w:szCs w:val="21"/>
                <w:highlight w:val="none"/>
              </w:rPr>
            </w:pPr>
          </w:p>
        </w:tc>
        <w:tc>
          <w:tcPr>
            <w:tcW w:w="776" w:type="dxa"/>
          </w:tcPr>
          <w:p w14:paraId="0BDC41A3">
            <w:pPr>
              <w:autoSpaceDE w:val="0"/>
              <w:autoSpaceDN w:val="0"/>
              <w:adjustRightInd w:val="0"/>
              <w:snapToGrid w:val="0"/>
              <w:jc w:val="left"/>
              <w:rPr>
                <w:rFonts w:ascii="宋体" w:hAnsi="宋体"/>
                <w:color w:val="auto"/>
                <w:kern w:val="0"/>
                <w:szCs w:val="21"/>
                <w:highlight w:val="none"/>
              </w:rPr>
            </w:pPr>
          </w:p>
        </w:tc>
        <w:tc>
          <w:tcPr>
            <w:tcW w:w="2723" w:type="dxa"/>
          </w:tcPr>
          <w:p w14:paraId="6B0DCEAA">
            <w:pPr>
              <w:autoSpaceDE w:val="0"/>
              <w:autoSpaceDN w:val="0"/>
              <w:adjustRightInd w:val="0"/>
              <w:snapToGrid w:val="0"/>
              <w:jc w:val="left"/>
              <w:rPr>
                <w:rFonts w:ascii="宋体" w:hAnsi="宋体"/>
                <w:color w:val="auto"/>
                <w:kern w:val="0"/>
                <w:szCs w:val="21"/>
                <w:highlight w:val="none"/>
              </w:rPr>
            </w:pPr>
          </w:p>
        </w:tc>
        <w:tc>
          <w:tcPr>
            <w:tcW w:w="896" w:type="dxa"/>
          </w:tcPr>
          <w:p w14:paraId="620CE420">
            <w:pPr>
              <w:autoSpaceDE w:val="0"/>
              <w:autoSpaceDN w:val="0"/>
              <w:adjustRightInd w:val="0"/>
              <w:snapToGrid w:val="0"/>
              <w:jc w:val="left"/>
              <w:rPr>
                <w:rFonts w:ascii="宋体" w:hAnsi="宋体"/>
                <w:color w:val="auto"/>
                <w:kern w:val="0"/>
                <w:szCs w:val="21"/>
                <w:highlight w:val="none"/>
              </w:rPr>
            </w:pPr>
          </w:p>
        </w:tc>
      </w:tr>
      <w:tr w14:paraId="173EDBD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6601F5A">
            <w:pPr>
              <w:autoSpaceDE w:val="0"/>
              <w:autoSpaceDN w:val="0"/>
              <w:adjustRightInd w:val="0"/>
              <w:snapToGrid w:val="0"/>
              <w:jc w:val="left"/>
              <w:rPr>
                <w:rFonts w:ascii="宋体" w:hAnsi="宋体"/>
                <w:color w:val="auto"/>
                <w:kern w:val="0"/>
                <w:szCs w:val="21"/>
                <w:highlight w:val="none"/>
              </w:rPr>
            </w:pPr>
          </w:p>
        </w:tc>
        <w:tc>
          <w:tcPr>
            <w:tcW w:w="734" w:type="dxa"/>
          </w:tcPr>
          <w:p w14:paraId="719E0B84">
            <w:pPr>
              <w:autoSpaceDE w:val="0"/>
              <w:autoSpaceDN w:val="0"/>
              <w:adjustRightInd w:val="0"/>
              <w:snapToGrid w:val="0"/>
              <w:jc w:val="left"/>
              <w:rPr>
                <w:rFonts w:ascii="宋体" w:hAnsi="宋体"/>
                <w:color w:val="auto"/>
                <w:kern w:val="0"/>
                <w:szCs w:val="21"/>
                <w:highlight w:val="none"/>
              </w:rPr>
            </w:pPr>
          </w:p>
        </w:tc>
        <w:tc>
          <w:tcPr>
            <w:tcW w:w="776" w:type="dxa"/>
          </w:tcPr>
          <w:p w14:paraId="455C27E9">
            <w:pPr>
              <w:autoSpaceDE w:val="0"/>
              <w:autoSpaceDN w:val="0"/>
              <w:adjustRightInd w:val="0"/>
              <w:snapToGrid w:val="0"/>
              <w:jc w:val="left"/>
              <w:rPr>
                <w:rFonts w:ascii="宋体" w:hAnsi="宋体"/>
                <w:color w:val="auto"/>
                <w:kern w:val="0"/>
                <w:szCs w:val="21"/>
                <w:highlight w:val="none"/>
              </w:rPr>
            </w:pPr>
          </w:p>
        </w:tc>
        <w:tc>
          <w:tcPr>
            <w:tcW w:w="1167" w:type="dxa"/>
          </w:tcPr>
          <w:p w14:paraId="080BA568">
            <w:pPr>
              <w:autoSpaceDE w:val="0"/>
              <w:autoSpaceDN w:val="0"/>
              <w:adjustRightInd w:val="0"/>
              <w:snapToGrid w:val="0"/>
              <w:jc w:val="left"/>
              <w:rPr>
                <w:rFonts w:ascii="宋体" w:hAnsi="宋体"/>
                <w:color w:val="auto"/>
                <w:kern w:val="0"/>
                <w:szCs w:val="21"/>
                <w:highlight w:val="none"/>
              </w:rPr>
            </w:pPr>
          </w:p>
        </w:tc>
        <w:tc>
          <w:tcPr>
            <w:tcW w:w="776" w:type="dxa"/>
          </w:tcPr>
          <w:p w14:paraId="02A9B6D5">
            <w:pPr>
              <w:autoSpaceDE w:val="0"/>
              <w:autoSpaceDN w:val="0"/>
              <w:adjustRightInd w:val="0"/>
              <w:snapToGrid w:val="0"/>
              <w:jc w:val="left"/>
              <w:rPr>
                <w:rFonts w:ascii="宋体" w:hAnsi="宋体"/>
                <w:color w:val="auto"/>
                <w:kern w:val="0"/>
                <w:szCs w:val="21"/>
                <w:highlight w:val="none"/>
              </w:rPr>
            </w:pPr>
          </w:p>
        </w:tc>
        <w:tc>
          <w:tcPr>
            <w:tcW w:w="778" w:type="dxa"/>
          </w:tcPr>
          <w:p w14:paraId="0FB6B7F9">
            <w:pPr>
              <w:autoSpaceDE w:val="0"/>
              <w:autoSpaceDN w:val="0"/>
              <w:adjustRightInd w:val="0"/>
              <w:snapToGrid w:val="0"/>
              <w:jc w:val="left"/>
              <w:rPr>
                <w:rFonts w:ascii="宋体" w:hAnsi="宋体"/>
                <w:color w:val="auto"/>
                <w:kern w:val="0"/>
                <w:szCs w:val="21"/>
                <w:highlight w:val="none"/>
              </w:rPr>
            </w:pPr>
          </w:p>
        </w:tc>
        <w:tc>
          <w:tcPr>
            <w:tcW w:w="776" w:type="dxa"/>
          </w:tcPr>
          <w:p w14:paraId="1CA978F6">
            <w:pPr>
              <w:autoSpaceDE w:val="0"/>
              <w:autoSpaceDN w:val="0"/>
              <w:adjustRightInd w:val="0"/>
              <w:snapToGrid w:val="0"/>
              <w:jc w:val="left"/>
              <w:rPr>
                <w:rFonts w:ascii="宋体" w:hAnsi="宋体"/>
                <w:color w:val="auto"/>
                <w:kern w:val="0"/>
                <w:szCs w:val="21"/>
                <w:highlight w:val="none"/>
              </w:rPr>
            </w:pPr>
          </w:p>
        </w:tc>
        <w:tc>
          <w:tcPr>
            <w:tcW w:w="2723" w:type="dxa"/>
          </w:tcPr>
          <w:p w14:paraId="14CA5E98">
            <w:pPr>
              <w:autoSpaceDE w:val="0"/>
              <w:autoSpaceDN w:val="0"/>
              <w:adjustRightInd w:val="0"/>
              <w:snapToGrid w:val="0"/>
              <w:jc w:val="left"/>
              <w:rPr>
                <w:rFonts w:ascii="宋体" w:hAnsi="宋体"/>
                <w:color w:val="auto"/>
                <w:kern w:val="0"/>
                <w:szCs w:val="21"/>
                <w:highlight w:val="none"/>
              </w:rPr>
            </w:pPr>
          </w:p>
        </w:tc>
        <w:tc>
          <w:tcPr>
            <w:tcW w:w="896" w:type="dxa"/>
          </w:tcPr>
          <w:p w14:paraId="3867BBDB">
            <w:pPr>
              <w:autoSpaceDE w:val="0"/>
              <w:autoSpaceDN w:val="0"/>
              <w:adjustRightInd w:val="0"/>
              <w:snapToGrid w:val="0"/>
              <w:jc w:val="left"/>
              <w:rPr>
                <w:rFonts w:ascii="宋体" w:hAnsi="宋体"/>
                <w:color w:val="auto"/>
                <w:kern w:val="0"/>
                <w:szCs w:val="21"/>
                <w:highlight w:val="none"/>
              </w:rPr>
            </w:pPr>
          </w:p>
        </w:tc>
      </w:tr>
      <w:tr w14:paraId="6CD3592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C68AE98">
            <w:pPr>
              <w:autoSpaceDE w:val="0"/>
              <w:autoSpaceDN w:val="0"/>
              <w:adjustRightInd w:val="0"/>
              <w:snapToGrid w:val="0"/>
              <w:jc w:val="left"/>
              <w:rPr>
                <w:rFonts w:ascii="宋体" w:hAnsi="宋体"/>
                <w:color w:val="auto"/>
                <w:kern w:val="0"/>
                <w:szCs w:val="21"/>
                <w:highlight w:val="none"/>
              </w:rPr>
            </w:pPr>
          </w:p>
        </w:tc>
        <w:tc>
          <w:tcPr>
            <w:tcW w:w="734" w:type="dxa"/>
          </w:tcPr>
          <w:p w14:paraId="314D9830">
            <w:pPr>
              <w:autoSpaceDE w:val="0"/>
              <w:autoSpaceDN w:val="0"/>
              <w:adjustRightInd w:val="0"/>
              <w:snapToGrid w:val="0"/>
              <w:jc w:val="left"/>
              <w:rPr>
                <w:rFonts w:ascii="宋体" w:hAnsi="宋体"/>
                <w:color w:val="auto"/>
                <w:kern w:val="0"/>
                <w:szCs w:val="21"/>
                <w:highlight w:val="none"/>
              </w:rPr>
            </w:pPr>
          </w:p>
        </w:tc>
        <w:tc>
          <w:tcPr>
            <w:tcW w:w="776" w:type="dxa"/>
          </w:tcPr>
          <w:p w14:paraId="5B7668D0">
            <w:pPr>
              <w:autoSpaceDE w:val="0"/>
              <w:autoSpaceDN w:val="0"/>
              <w:adjustRightInd w:val="0"/>
              <w:snapToGrid w:val="0"/>
              <w:jc w:val="left"/>
              <w:rPr>
                <w:rFonts w:ascii="宋体" w:hAnsi="宋体"/>
                <w:color w:val="auto"/>
                <w:kern w:val="0"/>
                <w:szCs w:val="21"/>
                <w:highlight w:val="none"/>
              </w:rPr>
            </w:pPr>
          </w:p>
        </w:tc>
        <w:tc>
          <w:tcPr>
            <w:tcW w:w="1167" w:type="dxa"/>
          </w:tcPr>
          <w:p w14:paraId="3239A96A">
            <w:pPr>
              <w:autoSpaceDE w:val="0"/>
              <w:autoSpaceDN w:val="0"/>
              <w:adjustRightInd w:val="0"/>
              <w:snapToGrid w:val="0"/>
              <w:jc w:val="left"/>
              <w:rPr>
                <w:rFonts w:ascii="宋体" w:hAnsi="宋体"/>
                <w:color w:val="auto"/>
                <w:kern w:val="0"/>
                <w:szCs w:val="21"/>
                <w:highlight w:val="none"/>
              </w:rPr>
            </w:pPr>
          </w:p>
        </w:tc>
        <w:tc>
          <w:tcPr>
            <w:tcW w:w="776" w:type="dxa"/>
          </w:tcPr>
          <w:p w14:paraId="15647789">
            <w:pPr>
              <w:autoSpaceDE w:val="0"/>
              <w:autoSpaceDN w:val="0"/>
              <w:adjustRightInd w:val="0"/>
              <w:snapToGrid w:val="0"/>
              <w:jc w:val="left"/>
              <w:rPr>
                <w:rFonts w:ascii="宋体" w:hAnsi="宋体"/>
                <w:color w:val="auto"/>
                <w:kern w:val="0"/>
                <w:szCs w:val="21"/>
                <w:highlight w:val="none"/>
              </w:rPr>
            </w:pPr>
          </w:p>
        </w:tc>
        <w:tc>
          <w:tcPr>
            <w:tcW w:w="778" w:type="dxa"/>
          </w:tcPr>
          <w:p w14:paraId="18F6E18A">
            <w:pPr>
              <w:autoSpaceDE w:val="0"/>
              <w:autoSpaceDN w:val="0"/>
              <w:adjustRightInd w:val="0"/>
              <w:snapToGrid w:val="0"/>
              <w:jc w:val="left"/>
              <w:rPr>
                <w:rFonts w:ascii="宋体" w:hAnsi="宋体"/>
                <w:color w:val="auto"/>
                <w:kern w:val="0"/>
                <w:szCs w:val="21"/>
                <w:highlight w:val="none"/>
              </w:rPr>
            </w:pPr>
          </w:p>
        </w:tc>
        <w:tc>
          <w:tcPr>
            <w:tcW w:w="776" w:type="dxa"/>
          </w:tcPr>
          <w:p w14:paraId="2ED82713">
            <w:pPr>
              <w:autoSpaceDE w:val="0"/>
              <w:autoSpaceDN w:val="0"/>
              <w:adjustRightInd w:val="0"/>
              <w:snapToGrid w:val="0"/>
              <w:jc w:val="left"/>
              <w:rPr>
                <w:rFonts w:ascii="宋体" w:hAnsi="宋体"/>
                <w:color w:val="auto"/>
                <w:kern w:val="0"/>
                <w:szCs w:val="21"/>
                <w:highlight w:val="none"/>
              </w:rPr>
            </w:pPr>
          </w:p>
        </w:tc>
        <w:tc>
          <w:tcPr>
            <w:tcW w:w="2723" w:type="dxa"/>
          </w:tcPr>
          <w:p w14:paraId="77CBA051">
            <w:pPr>
              <w:autoSpaceDE w:val="0"/>
              <w:autoSpaceDN w:val="0"/>
              <w:adjustRightInd w:val="0"/>
              <w:snapToGrid w:val="0"/>
              <w:jc w:val="left"/>
              <w:rPr>
                <w:rFonts w:ascii="宋体" w:hAnsi="宋体"/>
                <w:color w:val="auto"/>
                <w:kern w:val="0"/>
                <w:szCs w:val="21"/>
                <w:highlight w:val="none"/>
              </w:rPr>
            </w:pPr>
          </w:p>
        </w:tc>
        <w:tc>
          <w:tcPr>
            <w:tcW w:w="896" w:type="dxa"/>
          </w:tcPr>
          <w:p w14:paraId="07E60846">
            <w:pPr>
              <w:autoSpaceDE w:val="0"/>
              <w:autoSpaceDN w:val="0"/>
              <w:adjustRightInd w:val="0"/>
              <w:snapToGrid w:val="0"/>
              <w:jc w:val="left"/>
              <w:rPr>
                <w:rFonts w:ascii="宋体" w:hAnsi="宋体"/>
                <w:color w:val="auto"/>
                <w:kern w:val="0"/>
                <w:szCs w:val="21"/>
                <w:highlight w:val="none"/>
              </w:rPr>
            </w:pPr>
          </w:p>
        </w:tc>
      </w:tr>
      <w:tr w14:paraId="469FEFF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15814FA1">
            <w:pPr>
              <w:autoSpaceDE w:val="0"/>
              <w:autoSpaceDN w:val="0"/>
              <w:adjustRightInd w:val="0"/>
              <w:snapToGrid w:val="0"/>
              <w:jc w:val="left"/>
              <w:rPr>
                <w:rFonts w:ascii="宋体" w:hAnsi="宋体"/>
                <w:color w:val="auto"/>
                <w:kern w:val="0"/>
                <w:szCs w:val="21"/>
                <w:highlight w:val="none"/>
              </w:rPr>
            </w:pPr>
          </w:p>
        </w:tc>
        <w:tc>
          <w:tcPr>
            <w:tcW w:w="734" w:type="dxa"/>
          </w:tcPr>
          <w:p w14:paraId="0729CFFC">
            <w:pPr>
              <w:autoSpaceDE w:val="0"/>
              <w:autoSpaceDN w:val="0"/>
              <w:adjustRightInd w:val="0"/>
              <w:snapToGrid w:val="0"/>
              <w:jc w:val="left"/>
              <w:rPr>
                <w:rFonts w:ascii="宋体" w:hAnsi="宋体"/>
                <w:color w:val="auto"/>
                <w:kern w:val="0"/>
                <w:szCs w:val="21"/>
                <w:highlight w:val="none"/>
              </w:rPr>
            </w:pPr>
          </w:p>
        </w:tc>
        <w:tc>
          <w:tcPr>
            <w:tcW w:w="776" w:type="dxa"/>
          </w:tcPr>
          <w:p w14:paraId="44A97DAF">
            <w:pPr>
              <w:autoSpaceDE w:val="0"/>
              <w:autoSpaceDN w:val="0"/>
              <w:adjustRightInd w:val="0"/>
              <w:snapToGrid w:val="0"/>
              <w:jc w:val="left"/>
              <w:rPr>
                <w:rFonts w:ascii="宋体" w:hAnsi="宋体"/>
                <w:color w:val="auto"/>
                <w:kern w:val="0"/>
                <w:szCs w:val="21"/>
                <w:highlight w:val="none"/>
              </w:rPr>
            </w:pPr>
          </w:p>
        </w:tc>
        <w:tc>
          <w:tcPr>
            <w:tcW w:w="1167" w:type="dxa"/>
          </w:tcPr>
          <w:p w14:paraId="60791FE0">
            <w:pPr>
              <w:autoSpaceDE w:val="0"/>
              <w:autoSpaceDN w:val="0"/>
              <w:adjustRightInd w:val="0"/>
              <w:snapToGrid w:val="0"/>
              <w:jc w:val="left"/>
              <w:rPr>
                <w:rFonts w:ascii="宋体" w:hAnsi="宋体"/>
                <w:color w:val="auto"/>
                <w:kern w:val="0"/>
                <w:szCs w:val="21"/>
                <w:highlight w:val="none"/>
              </w:rPr>
            </w:pPr>
          </w:p>
        </w:tc>
        <w:tc>
          <w:tcPr>
            <w:tcW w:w="776" w:type="dxa"/>
          </w:tcPr>
          <w:p w14:paraId="6FD0C56A">
            <w:pPr>
              <w:autoSpaceDE w:val="0"/>
              <w:autoSpaceDN w:val="0"/>
              <w:adjustRightInd w:val="0"/>
              <w:snapToGrid w:val="0"/>
              <w:jc w:val="left"/>
              <w:rPr>
                <w:rFonts w:ascii="宋体" w:hAnsi="宋体"/>
                <w:color w:val="auto"/>
                <w:kern w:val="0"/>
                <w:szCs w:val="21"/>
                <w:highlight w:val="none"/>
              </w:rPr>
            </w:pPr>
          </w:p>
        </w:tc>
        <w:tc>
          <w:tcPr>
            <w:tcW w:w="778" w:type="dxa"/>
          </w:tcPr>
          <w:p w14:paraId="3EBD09D4">
            <w:pPr>
              <w:autoSpaceDE w:val="0"/>
              <w:autoSpaceDN w:val="0"/>
              <w:adjustRightInd w:val="0"/>
              <w:snapToGrid w:val="0"/>
              <w:jc w:val="left"/>
              <w:rPr>
                <w:rFonts w:ascii="宋体" w:hAnsi="宋体"/>
                <w:color w:val="auto"/>
                <w:kern w:val="0"/>
                <w:szCs w:val="21"/>
                <w:highlight w:val="none"/>
              </w:rPr>
            </w:pPr>
          </w:p>
        </w:tc>
        <w:tc>
          <w:tcPr>
            <w:tcW w:w="776" w:type="dxa"/>
          </w:tcPr>
          <w:p w14:paraId="7DF3C959">
            <w:pPr>
              <w:autoSpaceDE w:val="0"/>
              <w:autoSpaceDN w:val="0"/>
              <w:adjustRightInd w:val="0"/>
              <w:snapToGrid w:val="0"/>
              <w:jc w:val="left"/>
              <w:rPr>
                <w:rFonts w:ascii="宋体" w:hAnsi="宋体"/>
                <w:color w:val="auto"/>
                <w:kern w:val="0"/>
                <w:szCs w:val="21"/>
                <w:highlight w:val="none"/>
              </w:rPr>
            </w:pPr>
          </w:p>
        </w:tc>
        <w:tc>
          <w:tcPr>
            <w:tcW w:w="2723" w:type="dxa"/>
          </w:tcPr>
          <w:p w14:paraId="382AA985">
            <w:pPr>
              <w:autoSpaceDE w:val="0"/>
              <w:autoSpaceDN w:val="0"/>
              <w:adjustRightInd w:val="0"/>
              <w:snapToGrid w:val="0"/>
              <w:jc w:val="left"/>
              <w:rPr>
                <w:rFonts w:ascii="宋体" w:hAnsi="宋体"/>
                <w:color w:val="auto"/>
                <w:kern w:val="0"/>
                <w:szCs w:val="21"/>
                <w:highlight w:val="none"/>
              </w:rPr>
            </w:pPr>
          </w:p>
        </w:tc>
        <w:tc>
          <w:tcPr>
            <w:tcW w:w="896" w:type="dxa"/>
          </w:tcPr>
          <w:p w14:paraId="5A28EEEB">
            <w:pPr>
              <w:autoSpaceDE w:val="0"/>
              <w:autoSpaceDN w:val="0"/>
              <w:adjustRightInd w:val="0"/>
              <w:snapToGrid w:val="0"/>
              <w:jc w:val="left"/>
              <w:rPr>
                <w:rFonts w:ascii="宋体" w:hAnsi="宋体"/>
                <w:color w:val="auto"/>
                <w:kern w:val="0"/>
                <w:szCs w:val="21"/>
                <w:highlight w:val="none"/>
              </w:rPr>
            </w:pPr>
          </w:p>
        </w:tc>
      </w:tr>
      <w:tr w14:paraId="206A6BB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3A8BE06">
            <w:pPr>
              <w:autoSpaceDE w:val="0"/>
              <w:autoSpaceDN w:val="0"/>
              <w:adjustRightInd w:val="0"/>
              <w:snapToGrid w:val="0"/>
              <w:jc w:val="left"/>
              <w:rPr>
                <w:rFonts w:ascii="宋体" w:hAnsi="宋体"/>
                <w:color w:val="auto"/>
                <w:kern w:val="0"/>
                <w:szCs w:val="21"/>
                <w:highlight w:val="none"/>
              </w:rPr>
            </w:pPr>
          </w:p>
        </w:tc>
        <w:tc>
          <w:tcPr>
            <w:tcW w:w="734" w:type="dxa"/>
          </w:tcPr>
          <w:p w14:paraId="5F48C2F0">
            <w:pPr>
              <w:autoSpaceDE w:val="0"/>
              <w:autoSpaceDN w:val="0"/>
              <w:adjustRightInd w:val="0"/>
              <w:snapToGrid w:val="0"/>
              <w:jc w:val="left"/>
              <w:rPr>
                <w:rFonts w:ascii="宋体" w:hAnsi="宋体"/>
                <w:color w:val="auto"/>
                <w:kern w:val="0"/>
                <w:szCs w:val="21"/>
                <w:highlight w:val="none"/>
              </w:rPr>
            </w:pPr>
          </w:p>
        </w:tc>
        <w:tc>
          <w:tcPr>
            <w:tcW w:w="776" w:type="dxa"/>
          </w:tcPr>
          <w:p w14:paraId="07705353">
            <w:pPr>
              <w:autoSpaceDE w:val="0"/>
              <w:autoSpaceDN w:val="0"/>
              <w:adjustRightInd w:val="0"/>
              <w:snapToGrid w:val="0"/>
              <w:jc w:val="left"/>
              <w:rPr>
                <w:rFonts w:ascii="宋体" w:hAnsi="宋体"/>
                <w:color w:val="auto"/>
                <w:kern w:val="0"/>
                <w:szCs w:val="21"/>
                <w:highlight w:val="none"/>
              </w:rPr>
            </w:pPr>
          </w:p>
        </w:tc>
        <w:tc>
          <w:tcPr>
            <w:tcW w:w="1167" w:type="dxa"/>
          </w:tcPr>
          <w:p w14:paraId="589B3280">
            <w:pPr>
              <w:autoSpaceDE w:val="0"/>
              <w:autoSpaceDN w:val="0"/>
              <w:adjustRightInd w:val="0"/>
              <w:snapToGrid w:val="0"/>
              <w:jc w:val="left"/>
              <w:rPr>
                <w:rFonts w:ascii="宋体" w:hAnsi="宋体"/>
                <w:color w:val="auto"/>
                <w:kern w:val="0"/>
                <w:szCs w:val="21"/>
                <w:highlight w:val="none"/>
              </w:rPr>
            </w:pPr>
          </w:p>
        </w:tc>
        <w:tc>
          <w:tcPr>
            <w:tcW w:w="776" w:type="dxa"/>
          </w:tcPr>
          <w:p w14:paraId="04B297F2">
            <w:pPr>
              <w:autoSpaceDE w:val="0"/>
              <w:autoSpaceDN w:val="0"/>
              <w:adjustRightInd w:val="0"/>
              <w:snapToGrid w:val="0"/>
              <w:jc w:val="left"/>
              <w:rPr>
                <w:rFonts w:ascii="宋体" w:hAnsi="宋体"/>
                <w:color w:val="auto"/>
                <w:kern w:val="0"/>
                <w:szCs w:val="21"/>
                <w:highlight w:val="none"/>
              </w:rPr>
            </w:pPr>
          </w:p>
        </w:tc>
        <w:tc>
          <w:tcPr>
            <w:tcW w:w="778" w:type="dxa"/>
          </w:tcPr>
          <w:p w14:paraId="2E486738">
            <w:pPr>
              <w:autoSpaceDE w:val="0"/>
              <w:autoSpaceDN w:val="0"/>
              <w:adjustRightInd w:val="0"/>
              <w:snapToGrid w:val="0"/>
              <w:jc w:val="left"/>
              <w:rPr>
                <w:rFonts w:ascii="宋体" w:hAnsi="宋体"/>
                <w:color w:val="auto"/>
                <w:kern w:val="0"/>
                <w:szCs w:val="21"/>
                <w:highlight w:val="none"/>
              </w:rPr>
            </w:pPr>
          </w:p>
        </w:tc>
        <w:tc>
          <w:tcPr>
            <w:tcW w:w="776" w:type="dxa"/>
          </w:tcPr>
          <w:p w14:paraId="24262D82">
            <w:pPr>
              <w:autoSpaceDE w:val="0"/>
              <w:autoSpaceDN w:val="0"/>
              <w:adjustRightInd w:val="0"/>
              <w:snapToGrid w:val="0"/>
              <w:jc w:val="left"/>
              <w:rPr>
                <w:rFonts w:ascii="宋体" w:hAnsi="宋体"/>
                <w:color w:val="auto"/>
                <w:kern w:val="0"/>
                <w:szCs w:val="21"/>
                <w:highlight w:val="none"/>
              </w:rPr>
            </w:pPr>
          </w:p>
        </w:tc>
        <w:tc>
          <w:tcPr>
            <w:tcW w:w="2723" w:type="dxa"/>
          </w:tcPr>
          <w:p w14:paraId="25B4EFBC">
            <w:pPr>
              <w:autoSpaceDE w:val="0"/>
              <w:autoSpaceDN w:val="0"/>
              <w:adjustRightInd w:val="0"/>
              <w:snapToGrid w:val="0"/>
              <w:jc w:val="left"/>
              <w:rPr>
                <w:rFonts w:ascii="宋体" w:hAnsi="宋体"/>
                <w:color w:val="auto"/>
                <w:kern w:val="0"/>
                <w:szCs w:val="21"/>
                <w:highlight w:val="none"/>
              </w:rPr>
            </w:pPr>
          </w:p>
        </w:tc>
        <w:tc>
          <w:tcPr>
            <w:tcW w:w="896" w:type="dxa"/>
          </w:tcPr>
          <w:p w14:paraId="37597474">
            <w:pPr>
              <w:autoSpaceDE w:val="0"/>
              <w:autoSpaceDN w:val="0"/>
              <w:adjustRightInd w:val="0"/>
              <w:snapToGrid w:val="0"/>
              <w:jc w:val="left"/>
              <w:rPr>
                <w:rFonts w:ascii="宋体" w:hAnsi="宋体"/>
                <w:color w:val="auto"/>
                <w:kern w:val="0"/>
                <w:szCs w:val="21"/>
                <w:highlight w:val="none"/>
              </w:rPr>
            </w:pPr>
          </w:p>
        </w:tc>
      </w:tr>
      <w:tr w14:paraId="7B19EAE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566296D">
            <w:pPr>
              <w:autoSpaceDE w:val="0"/>
              <w:autoSpaceDN w:val="0"/>
              <w:adjustRightInd w:val="0"/>
              <w:snapToGrid w:val="0"/>
              <w:jc w:val="left"/>
              <w:rPr>
                <w:rFonts w:ascii="宋体" w:hAnsi="宋体"/>
                <w:color w:val="auto"/>
                <w:kern w:val="0"/>
                <w:szCs w:val="21"/>
                <w:highlight w:val="none"/>
              </w:rPr>
            </w:pPr>
          </w:p>
        </w:tc>
        <w:tc>
          <w:tcPr>
            <w:tcW w:w="734" w:type="dxa"/>
          </w:tcPr>
          <w:p w14:paraId="400976B3">
            <w:pPr>
              <w:autoSpaceDE w:val="0"/>
              <w:autoSpaceDN w:val="0"/>
              <w:adjustRightInd w:val="0"/>
              <w:snapToGrid w:val="0"/>
              <w:jc w:val="left"/>
              <w:rPr>
                <w:rFonts w:ascii="宋体" w:hAnsi="宋体"/>
                <w:color w:val="auto"/>
                <w:kern w:val="0"/>
                <w:szCs w:val="21"/>
                <w:highlight w:val="none"/>
              </w:rPr>
            </w:pPr>
          </w:p>
        </w:tc>
        <w:tc>
          <w:tcPr>
            <w:tcW w:w="776" w:type="dxa"/>
          </w:tcPr>
          <w:p w14:paraId="04353688">
            <w:pPr>
              <w:autoSpaceDE w:val="0"/>
              <w:autoSpaceDN w:val="0"/>
              <w:adjustRightInd w:val="0"/>
              <w:snapToGrid w:val="0"/>
              <w:jc w:val="left"/>
              <w:rPr>
                <w:rFonts w:ascii="宋体" w:hAnsi="宋体"/>
                <w:color w:val="auto"/>
                <w:kern w:val="0"/>
                <w:szCs w:val="21"/>
                <w:highlight w:val="none"/>
              </w:rPr>
            </w:pPr>
          </w:p>
        </w:tc>
        <w:tc>
          <w:tcPr>
            <w:tcW w:w="1167" w:type="dxa"/>
          </w:tcPr>
          <w:p w14:paraId="1F0513D0">
            <w:pPr>
              <w:autoSpaceDE w:val="0"/>
              <w:autoSpaceDN w:val="0"/>
              <w:adjustRightInd w:val="0"/>
              <w:snapToGrid w:val="0"/>
              <w:jc w:val="left"/>
              <w:rPr>
                <w:rFonts w:ascii="宋体" w:hAnsi="宋体"/>
                <w:color w:val="auto"/>
                <w:kern w:val="0"/>
                <w:szCs w:val="21"/>
                <w:highlight w:val="none"/>
              </w:rPr>
            </w:pPr>
          </w:p>
        </w:tc>
        <w:tc>
          <w:tcPr>
            <w:tcW w:w="776" w:type="dxa"/>
          </w:tcPr>
          <w:p w14:paraId="7B2F20FE">
            <w:pPr>
              <w:autoSpaceDE w:val="0"/>
              <w:autoSpaceDN w:val="0"/>
              <w:adjustRightInd w:val="0"/>
              <w:snapToGrid w:val="0"/>
              <w:jc w:val="left"/>
              <w:rPr>
                <w:rFonts w:ascii="宋体" w:hAnsi="宋体"/>
                <w:color w:val="auto"/>
                <w:kern w:val="0"/>
                <w:szCs w:val="21"/>
                <w:highlight w:val="none"/>
              </w:rPr>
            </w:pPr>
          </w:p>
        </w:tc>
        <w:tc>
          <w:tcPr>
            <w:tcW w:w="778" w:type="dxa"/>
          </w:tcPr>
          <w:p w14:paraId="48B54339">
            <w:pPr>
              <w:autoSpaceDE w:val="0"/>
              <w:autoSpaceDN w:val="0"/>
              <w:adjustRightInd w:val="0"/>
              <w:snapToGrid w:val="0"/>
              <w:jc w:val="left"/>
              <w:rPr>
                <w:rFonts w:ascii="宋体" w:hAnsi="宋体"/>
                <w:color w:val="auto"/>
                <w:kern w:val="0"/>
                <w:szCs w:val="21"/>
                <w:highlight w:val="none"/>
              </w:rPr>
            </w:pPr>
          </w:p>
        </w:tc>
        <w:tc>
          <w:tcPr>
            <w:tcW w:w="776" w:type="dxa"/>
          </w:tcPr>
          <w:p w14:paraId="779709E6">
            <w:pPr>
              <w:autoSpaceDE w:val="0"/>
              <w:autoSpaceDN w:val="0"/>
              <w:adjustRightInd w:val="0"/>
              <w:snapToGrid w:val="0"/>
              <w:jc w:val="left"/>
              <w:rPr>
                <w:rFonts w:ascii="宋体" w:hAnsi="宋体"/>
                <w:color w:val="auto"/>
                <w:kern w:val="0"/>
                <w:szCs w:val="21"/>
                <w:highlight w:val="none"/>
              </w:rPr>
            </w:pPr>
          </w:p>
        </w:tc>
        <w:tc>
          <w:tcPr>
            <w:tcW w:w="2723" w:type="dxa"/>
          </w:tcPr>
          <w:p w14:paraId="792A7AD3">
            <w:pPr>
              <w:autoSpaceDE w:val="0"/>
              <w:autoSpaceDN w:val="0"/>
              <w:adjustRightInd w:val="0"/>
              <w:snapToGrid w:val="0"/>
              <w:jc w:val="left"/>
              <w:rPr>
                <w:rFonts w:ascii="宋体" w:hAnsi="宋体"/>
                <w:color w:val="auto"/>
                <w:kern w:val="0"/>
                <w:szCs w:val="21"/>
                <w:highlight w:val="none"/>
              </w:rPr>
            </w:pPr>
          </w:p>
        </w:tc>
        <w:tc>
          <w:tcPr>
            <w:tcW w:w="896" w:type="dxa"/>
          </w:tcPr>
          <w:p w14:paraId="227D1F90">
            <w:pPr>
              <w:autoSpaceDE w:val="0"/>
              <w:autoSpaceDN w:val="0"/>
              <w:adjustRightInd w:val="0"/>
              <w:snapToGrid w:val="0"/>
              <w:jc w:val="left"/>
              <w:rPr>
                <w:rFonts w:ascii="宋体" w:hAnsi="宋体"/>
                <w:color w:val="auto"/>
                <w:kern w:val="0"/>
                <w:szCs w:val="21"/>
                <w:highlight w:val="none"/>
              </w:rPr>
            </w:pPr>
          </w:p>
        </w:tc>
      </w:tr>
      <w:tr w14:paraId="155083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2879C474">
            <w:pPr>
              <w:autoSpaceDE w:val="0"/>
              <w:autoSpaceDN w:val="0"/>
              <w:adjustRightInd w:val="0"/>
              <w:snapToGrid w:val="0"/>
              <w:jc w:val="left"/>
              <w:rPr>
                <w:rFonts w:ascii="宋体" w:hAnsi="宋体"/>
                <w:color w:val="auto"/>
                <w:kern w:val="0"/>
                <w:szCs w:val="21"/>
                <w:highlight w:val="none"/>
              </w:rPr>
            </w:pPr>
          </w:p>
        </w:tc>
        <w:tc>
          <w:tcPr>
            <w:tcW w:w="734" w:type="dxa"/>
          </w:tcPr>
          <w:p w14:paraId="2FE40C8D">
            <w:pPr>
              <w:autoSpaceDE w:val="0"/>
              <w:autoSpaceDN w:val="0"/>
              <w:adjustRightInd w:val="0"/>
              <w:snapToGrid w:val="0"/>
              <w:jc w:val="left"/>
              <w:rPr>
                <w:rFonts w:ascii="宋体" w:hAnsi="宋体"/>
                <w:color w:val="auto"/>
                <w:kern w:val="0"/>
                <w:szCs w:val="21"/>
                <w:highlight w:val="none"/>
              </w:rPr>
            </w:pPr>
          </w:p>
        </w:tc>
        <w:tc>
          <w:tcPr>
            <w:tcW w:w="776" w:type="dxa"/>
          </w:tcPr>
          <w:p w14:paraId="35D49F64">
            <w:pPr>
              <w:autoSpaceDE w:val="0"/>
              <w:autoSpaceDN w:val="0"/>
              <w:adjustRightInd w:val="0"/>
              <w:snapToGrid w:val="0"/>
              <w:jc w:val="left"/>
              <w:rPr>
                <w:rFonts w:ascii="宋体" w:hAnsi="宋体"/>
                <w:color w:val="auto"/>
                <w:kern w:val="0"/>
                <w:szCs w:val="21"/>
                <w:highlight w:val="none"/>
              </w:rPr>
            </w:pPr>
          </w:p>
        </w:tc>
        <w:tc>
          <w:tcPr>
            <w:tcW w:w="1167" w:type="dxa"/>
          </w:tcPr>
          <w:p w14:paraId="2EE67896">
            <w:pPr>
              <w:autoSpaceDE w:val="0"/>
              <w:autoSpaceDN w:val="0"/>
              <w:adjustRightInd w:val="0"/>
              <w:snapToGrid w:val="0"/>
              <w:jc w:val="left"/>
              <w:rPr>
                <w:rFonts w:ascii="宋体" w:hAnsi="宋体"/>
                <w:color w:val="auto"/>
                <w:kern w:val="0"/>
                <w:szCs w:val="21"/>
                <w:highlight w:val="none"/>
              </w:rPr>
            </w:pPr>
          </w:p>
        </w:tc>
        <w:tc>
          <w:tcPr>
            <w:tcW w:w="776" w:type="dxa"/>
          </w:tcPr>
          <w:p w14:paraId="501B48E7">
            <w:pPr>
              <w:autoSpaceDE w:val="0"/>
              <w:autoSpaceDN w:val="0"/>
              <w:adjustRightInd w:val="0"/>
              <w:snapToGrid w:val="0"/>
              <w:jc w:val="left"/>
              <w:rPr>
                <w:rFonts w:ascii="宋体" w:hAnsi="宋体"/>
                <w:color w:val="auto"/>
                <w:kern w:val="0"/>
                <w:szCs w:val="21"/>
                <w:highlight w:val="none"/>
              </w:rPr>
            </w:pPr>
          </w:p>
        </w:tc>
        <w:tc>
          <w:tcPr>
            <w:tcW w:w="778" w:type="dxa"/>
          </w:tcPr>
          <w:p w14:paraId="68D043B1">
            <w:pPr>
              <w:autoSpaceDE w:val="0"/>
              <w:autoSpaceDN w:val="0"/>
              <w:adjustRightInd w:val="0"/>
              <w:snapToGrid w:val="0"/>
              <w:jc w:val="left"/>
              <w:rPr>
                <w:rFonts w:ascii="宋体" w:hAnsi="宋体"/>
                <w:color w:val="auto"/>
                <w:kern w:val="0"/>
                <w:szCs w:val="21"/>
                <w:highlight w:val="none"/>
              </w:rPr>
            </w:pPr>
          </w:p>
        </w:tc>
        <w:tc>
          <w:tcPr>
            <w:tcW w:w="776" w:type="dxa"/>
          </w:tcPr>
          <w:p w14:paraId="1FD52648">
            <w:pPr>
              <w:autoSpaceDE w:val="0"/>
              <w:autoSpaceDN w:val="0"/>
              <w:adjustRightInd w:val="0"/>
              <w:snapToGrid w:val="0"/>
              <w:jc w:val="left"/>
              <w:rPr>
                <w:rFonts w:ascii="宋体" w:hAnsi="宋体"/>
                <w:color w:val="auto"/>
                <w:kern w:val="0"/>
                <w:szCs w:val="21"/>
                <w:highlight w:val="none"/>
              </w:rPr>
            </w:pPr>
          </w:p>
        </w:tc>
        <w:tc>
          <w:tcPr>
            <w:tcW w:w="2723" w:type="dxa"/>
          </w:tcPr>
          <w:p w14:paraId="37970952">
            <w:pPr>
              <w:autoSpaceDE w:val="0"/>
              <w:autoSpaceDN w:val="0"/>
              <w:adjustRightInd w:val="0"/>
              <w:snapToGrid w:val="0"/>
              <w:jc w:val="left"/>
              <w:rPr>
                <w:rFonts w:ascii="宋体" w:hAnsi="宋体"/>
                <w:color w:val="auto"/>
                <w:kern w:val="0"/>
                <w:szCs w:val="21"/>
                <w:highlight w:val="none"/>
              </w:rPr>
            </w:pPr>
          </w:p>
        </w:tc>
        <w:tc>
          <w:tcPr>
            <w:tcW w:w="896" w:type="dxa"/>
          </w:tcPr>
          <w:p w14:paraId="179723A2">
            <w:pPr>
              <w:autoSpaceDE w:val="0"/>
              <w:autoSpaceDN w:val="0"/>
              <w:adjustRightInd w:val="0"/>
              <w:snapToGrid w:val="0"/>
              <w:jc w:val="left"/>
              <w:rPr>
                <w:rFonts w:ascii="宋体" w:hAnsi="宋体"/>
                <w:color w:val="auto"/>
                <w:kern w:val="0"/>
                <w:szCs w:val="21"/>
                <w:highlight w:val="none"/>
              </w:rPr>
            </w:pPr>
          </w:p>
        </w:tc>
      </w:tr>
      <w:tr w14:paraId="1444704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656C9C02">
            <w:pPr>
              <w:autoSpaceDE w:val="0"/>
              <w:autoSpaceDN w:val="0"/>
              <w:adjustRightInd w:val="0"/>
              <w:snapToGrid w:val="0"/>
              <w:jc w:val="left"/>
              <w:rPr>
                <w:rFonts w:ascii="宋体" w:hAnsi="宋体"/>
                <w:color w:val="auto"/>
                <w:kern w:val="0"/>
                <w:szCs w:val="21"/>
                <w:highlight w:val="none"/>
              </w:rPr>
            </w:pPr>
          </w:p>
        </w:tc>
        <w:tc>
          <w:tcPr>
            <w:tcW w:w="734" w:type="dxa"/>
          </w:tcPr>
          <w:p w14:paraId="36E2AB69">
            <w:pPr>
              <w:autoSpaceDE w:val="0"/>
              <w:autoSpaceDN w:val="0"/>
              <w:adjustRightInd w:val="0"/>
              <w:snapToGrid w:val="0"/>
              <w:jc w:val="left"/>
              <w:rPr>
                <w:rFonts w:ascii="宋体" w:hAnsi="宋体"/>
                <w:color w:val="auto"/>
                <w:kern w:val="0"/>
                <w:szCs w:val="21"/>
                <w:highlight w:val="none"/>
              </w:rPr>
            </w:pPr>
          </w:p>
        </w:tc>
        <w:tc>
          <w:tcPr>
            <w:tcW w:w="776" w:type="dxa"/>
          </w:tcPr>
          <w:p w14:paraId="3F958D39">
            <w:pPr>
              <w:autoSpaceDE w:val="0"/>
              <w:autoSpaceDN w:val="0"/>
              <w:adjustRightInd w:val="0"/>
              <w:snapToGrid w:val="0"/>
              <w:jc w:val="left"/>
              <w:rPr>
                <w:rFonts w:ascii="宋体" w:hAnsi="宋体"/>
                <w:color w:val="auto"/>
                <w:kern w:val="0"/>
                <w:szCs w:val="21"/>
                <w:highlight w:val="none"/>
              </w:rPr>
            </w:pPr>
          </w:p>
        </w:tc>
        <w:tc>
          <w:tcPr>
            <w:tcW w:w="1167" w:type="dxa"/>
          </w:tcPr>
          <w:p w14:paraId="74DAEA63">
            <w:pPr>
              <w:autoSpaceDE w:val="0"/>
              <w:autoSpaceDN w:val="0"/>
              <w:adjustRightInd w:val="0"/>
              <w:snapToGrid w:val="0"/>
              <w:jc w:val="left"/>
              <w:rPr>
                <w:rFonts w:ascii="宋体" w:hAnsi="宋体"/>
                <w:color w:val="auto"/>
                <w:kern w:val="0"/>
                <w:szCs w:val="21"/>
                <w:highlight w:val="none"/>
              </w:rPr>
            </w:pPr>
          </w:p>
        </w:tc>
        <w:tc>
          <w:tcPr>
            <w:tcW w:w="776" w:type="dxa"/>
          </w:tcPr>
          <w:p w14:paraId="4E08067B">
            <w:pPr>
              <w:autoSpaceDE w:val="0"/>
              <w:autoSpaceDN w:val="0"/>
              <w:adjustRightInd w:val="0"/>
              <w:snapToGrid w:val="0"/>
              <w:jc w:val="left"/>
              <w:rPr>
                <w:rFonts w:ascii="宋体" w:hAnsi="宋体"/>
                <w:color w:val="auto"/>
                <w:kern w:val="0"/>
                <w:szCs w:val="21"/>
                <w:highlight w:val="none"/>
              </w:rPr>
            </w:pPr>
          </w:p>
        </w:tc>
        <w:tc>
          <w:tcPr>
            <w:tcW w:w="778" w:type="dxa"/>
          </w:tcPr>
          <w:p w14:paraId="367A3B85">
            <w:pPr>
              <w:autoSpaceDE w:val="0"/>
              <w:autoSpaceDN w:val="0"/>
              <w:adjustRightInd w:val="0"/>
              <w:snapToGrid w:val="0"/>
              <w:jc w:val="left"/>
              <w:rPr>
                <w:rFonts w:ascii="宋体" w:hAnsi="宋体"/>
                <w:color w:val="auto"/>
                <w:kern w:val="0"/>
                <w:szCs w:val="21"/>
                <w:highlight w:val="none"/>
              </w:rPr>
            </w:pPr>
          </w:p>
        </w:tc>
        <w:tc>
          <w:tcPr>
            <w:tcW w:w="776" w:type="dxa"/>
          </w:tcPr>
          <w:p w14:paraId="05861C36">
            <w:pPr>
              <w:autoSpaceDE w:val="0"/>
              <w:autoSpaceDN w:val="0"/>
              <w:adjustRightInd w:val="0"/>
              <w:snapToGrid w:val="0"/>
              <w:jc w:val="left"/>
              <w:rPr>
                <w:rFonts w:ascii="宋体" w:hAnsi="宋体"/>
                <w:color w:val="auto"/>
                <w:kern w:val="0"/>
                <w:szCs w:val="21"/>
                <w:highlight w:val="none"/>
              </w:rPr>
            </w:pPr>
          </w:p>
        </w:tc>
        <w:tc>
          <w:tcPr>
            <w:tcW w:w="2723" w:type="dxa"/>
          </w:tcPr>
          <w:p w14:paraId="713858E0">
            <w:pPr>
              <w:autoSpaceDE w:val="0"/>
              <w:autoSpaceDN w:val="0"/>
              <w:adjustRightInd w:val="0"/>
              <w:snapToGrid w:val="0"/>
              <w:jc w:val="left"/>
              <w:rPr>
                <w:rFonts w:ascii="宋体" w:hAnsi="宋体"/>
                <w:color w:val="auto"/>
                <w:kern w:val="0"/>
                <w:szCs w:val="21"/>
                <w:highlight w:val="none"/>
              </w:rPr>
            </w:pPr>
          </w:p>
        </w:tc>
        <w:tc>
          <w:tcPr>
            <w:tcW w:w="896" w:type="dxa"/>
          </w:tcPr>
          <w:p w14:paraId="4ACB4C1D">
            <w:pPr>
              <w:autoSpaceDE w:val="0"/>
              <w:autoSpaceDN w:val="0"/>
              <w:adjustRightInd w:val="0"/>
              <w:snapToGrid w:val="0"/>
              <w:jc w:val="left"/>
              <w:rPr>
                <w:rFonts w:ascii="宋体" w:hAnsi="宋体"/>
                <w:color w:val="auto"/>
                <w:kern w:val="0"/>
                <w:szCs w:val="21"/>
                <w:highlight w:val="none"/>
              </w:rPr>
            </w:pPr>
          </w:p>
        </w:tc>
      </w:tr>
      <w:tr w14:paraId="5DE6D4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5C445027">
            <w:pPr>
              <w:autoSpaceDE w:val="0"/>
              <w:autoSpaceDN w:val="0"/>
              <w:adjustRightInd w:val="0"/>
              <w:snapToGrid w:val="0"/>
              <w:jc w:val="left"/>
              <w:rPr>
                <w:rFonts w:ascii="宋体" w:hAnsi="宋体"/>
                <w:color w:val="auto"/>
                <w:kern w:val="0"/>
                <w:szCs w:val="21"/>
                <w:highlight w:val="none"/>
              </w:rPr>
            </w:pPr>
          </w:p>
        </w:tc>
        <w:tc>
          <w:tcPr>
            <w:tcW w:w="734" w:type="dxa"/>
          </w:tcPr>
          <w:p w14:paraId="1B00752E">
            <w:pPr>
              <w:autoSpaceDE w:val="0"/>
              <w:autoSpaceDN w:val="0"/>
              <w:adjustRightInd w:val="0"/>
              <w:snapToGrid w:val="0"/>
              <w:jc w:val="left"/>
              <w:rPr>
                <w:rFonts w:ascii="宋体" w:hAnsi="宋体"/>
                <w:color w:val="auto"/>
                <w:kern w:val="0"/>
                <w:szCs w:val="21"/>
                <w:highlight w:val="none"/>
              </w:rPr>
            </w:pPr>
          </w:p>
        </w:tc>
        <w:tc>
          <w:tcPr>
            <w:tcW w:w="776" w:type="dxa"/>
          </w:tcPr>
          <w:p w14:paraId="2B2B686C">
            <w:pPr>
              <w:autoSpaceDE w:val="0"/>
              <w:autoSpaceDN w:val="0"/>
              <w:adjustRightInd w:val="0"/>
              <w:snapToGrid w:val="0"/>
              <w:jc w:val="left"/>
              <w:rPr>
                <w:rFonts w:ascii="宋体" w:hAnsi="宋体"/>
                <w:color w:val="auto"/>
                <w:kern w:val="0"/>
                <w:szCs w:val="21"/>
                <w:highlight w:val="none"/>
              </w:rPr>
            </w:pPr>
          </w:p>
        </w:tc>
        <w:tc>
          <w:tcPr>
            <w:tcW w:w="1167" w:type="dxa"/>
          </w:tcPr>
          <w:p w14:paraId="278DB765">
            <w:pPr>
              <w:autoSpaceDE w:val="0"/>
              <w:autoSpaceDN w:val="0"/>
              <w:adjustRightInd w:val="0"/>
              <w:snapToGrid w:val="0"/>
              <w:jc w:val="left"/>
              <w:rPr>
                <w:rFonts w:ascii="宋体" w:hAnsi="宋体"/>
                <w:color w:val="auto"/>
                <w:kern w:val="0"/>
                <w:szCs w:val="21"/>
                <w:highlight w:val="none"/>
              </w:rPr>
            </w:pPr>
          </w:p>
        </w:tc>
        <w:tc>
          <w:tcPr>
            <w:tcW w:w="776" w:type="dxa"/>
          </w:tcPr>
          <w:p w14:paraId="03DF3559">
            <w:pPr>
              <w:autoSpaceDE w:val="0"/>
              <w:autoSpaceDN w:val="0"/>
              <w:adjustRightInd w:val="0"/>
              <w:snapToGrid w:val="0"/>
              <w:jc w:val="left"/>
              <w:rPr>
                <w:rFonts w:ascii="宋体" w:hAnsi="宋体"/>
                <w:color w:val="auto"/>
                <w:kern w:val="0"/>
                <w:szCs w:val="21"/>
                <w:highlight w:val="none"/>
              </w:rPr>
            </w:pPr>
          </w:p>
        </w:tc>
        <w:tc>
          <w:tcPr>
            <w:tcW w:w="778" w:type="dxa"/>
          </w:tcPr>
          <w:p w14:paraId="1440BB2C">
            <w:pPr>
              <w:autoSpaceDE w:val="0"/>
              <w:autoSpaceDN w:val="0"/>
              <w:adjustRightInd w:val="0"/>
              <w:snapToGrid w:val="0"/>
              <w:jc w:val="left"/>
              <w:rPr>
                <w:rFonts w:ascii="宋体" w:hAnsi="宋体"/>
                <w:color w:val="auto"/>
                <w:kern w:val="0"/>
                <w:szCs w:val="21"/>
                <w:highlight w:val="none"/>
              </w:rPr>
            </w:pPr>
          </w:p>
        </w:tc>
        <w:tc>
          <w:tcPr>
            <w:tcW w:w="776" w:type="dxa"/>
          </w:tcPr>
          <w:p w14:paraId="1DC6693F">
            <w:pPr>
              <w:autoSpaceDE w:val="0"/>
              <w:autoSpaceDN w:val="0"/>
              <w:adjustRightInd w:val="0"/>
              <w:snapToGrid w:val="0"/>
              <w:jc w:val="left"/>
              <w:rPr>
                <w:rFonts w:ascii="宋体" w:hAnsi="宋体"/>
                <w:color w:val="auto"/>
                <w:kern w:val="0"/>
                <w:szCs w:val="21"/>
                <w:highlight w:val="none"/>
              </w:rPr>
            </w:pPr>
          </w:p>
        </w:tc>
        <w:tc>
          <w:tcPr>
            <w:tcW w:w="2723" w:type="dxa"/>
          </w:tcPr>
          <w:p w14:paraId="26860D0F">
            <w:pPr>
              <w:autoSpaceDE w:val="0"/>
              <w:autoSpaceDN w:val="0"/>
              <w:adjustRightInd w:val="0"/>
              <w:snapToGrid w:val="0"/>
              <w:jc w:val="left"/>
              <w:rPr>
                <w:rFonts w:ascii="宋体" w:hAnsi="宋体"/>
                <w:color w:val="auto"/>
                <w:kern w:val="0"/>
                <w:szCs w:val="21"/>
                <w:highlight w:val="none"/>
              </w:rPr>
            </w:pPr>
          </w:p>
        </w:tc>
        <w:tc>
          <w:tcPr>
            <w:tcW w:w="896" w:type="dxa"/>
          </w:tcPr>
          <w:p w14:paraId="6DA7E17A">
            <w:pPr>
              <w:autoSpaceDE w:val="0"/>
              <w:autoSpaceDN w:val="0"/>
              <w:adjustRightInd w:val="0"/>
              <w:snapToGrid w:val="0"/>
              <w:jc w:val="left"/>
              <w:rPr>
                <w:rFonts w:ascii="宋体" w:hAnsi="宋体"/>
                <w:color w:val="auto"/>
                <w:kern w:val="0"/>
                <w:szCs w:val="21"/>
                <w:highlight w:val="none"/>
              </w:rPr>
            </w:pPr>
          </w:p>
        </w:tc>
      </w:tr>
      <w:tr w14:paraId="74773F9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09CB23D2">
            <w:pPr>
              <w:autoSpaceDE w:val="0"/>
              <w:autoSpaceDN w:val="0"/>
              <w:adjustRightInd w:val="0"/>
              <w:snapToGrid w:val="0"/>
              <w:jc w:val="left"/>
              <w:rPr>
                <w:rFonts w:ascii="宋体" w:hAnsi="宋体"/>
                <w:color w:val="auto"/>
                <w:kern w:val="0"/>
                <w:szCs w:val="21"/>
                <w:highlight w:val="none"/>
              </w:rPr>
            </w:pPr>
          </w:p>
        </w:tc>
        <w:tc>
          <w:tcPr>
            <w:tcW w:w="734" w:type="dxa"/>
          </w:tcPr>
          <w:p w14:paraId="5DE0CBE2">
            <w:pPr>
              <w:autoSpaceDE w:val="0"/>
              <w:autoSpaceDN w:val="0"/>
              <w:adjustRightInd w:val="0"/>
              <w:snapToGrid w:val="0"/>
              <w:jc w:val="left"/>
              <w:rPr>
                <w:rFonts w:ascii="宋体" w:hAnsi="宋体"/>
                <w:color w:val="auto"/>
                <w:kern w:val="0"/>
                <w:szCs w:val="21"/>
                <w:highlight w:val="none"/>
              </w:rPr>
            </w:pPr>
          </w:p>
        </w:tc>
        <w:tc>
          <w:tcPr>
            <w:tcW w:w="776" w:type="dxa"/>
          </w:tcPr>
          <w:p w14:paraId="63D50BF7">
            <w:pPr>
              <w:autoSpaceDE w:val="0"/>
              <w:autoSpaceDN w:val="0"/>
              <w:adjustRightInd w:val="0"/>
              <w:snapToGrid w:val="0"/>
              <w:jc w:val="left"/>
              <w:rPr>
                <w:rFonts w:ascii="宋体" w:hAnsi="宋体"/>
                <w:color w:val="auto"/>
                <w:kern w:val="0"/>
                <w:szCs w:val="21"/>
                <w:highlight w:val="none"/>
              </w:rPr>
            </w:pPr>
          </w:p>
        </w:tc>
        <w:tc>
          <w:tcPr>
            <w:tcW w:w="1167" w:type="dxa"/>
          </w:tcPr>
          <w:p w14:paraId="58696A8C">
            <w:pPr>
              <w:autoSpaceDE w:val="0"/>
              <w:autoSpaceDN w:val="0"/>
              <w:adjustRightInd w:val="0"/>
              <w:snapToGrid w:val="0"/>
              <w:jc w:val="left"/>
              <w:rPr>
                <w:rFonts w:ascii="宋体" w:hAnsi="宋体"/>
                <w:color w:val="auto"/>
                <w:kern w:val="0"/>
                <w:szCs w:val="21"/>
                <w:highlight w:val="none"/>
              </w:rPr>
            </w:pPr>
          </w:p>
        </w:tc>
        <w:tc>
          <w:tcPr>
            <w:tcW w:w="776" w:type="dxa"/>
          </w:tcPr>
          <w:p w14:paraId="28672273">
            <w:pPr>
              <w:autoSpaceDE w:val="0"/>
              <w:autoSpaceDN w:val="0"/>
              <w:adjustRightInd w:val="0"/>
              <w:snapToGrid w:val="0"/>
              <w:jc w:val="left"/>
              <w:rPr>
                <w:rFonts w:ascii="宋体" w:hAnsi="宋体"/>
                <w:color w:val="auto"/>
                <w:kern w:val="0"/>
                <w:szCs w:val="21"/>
                <w:highlight w:val="none"/>
              </w:rPr>
            </w:pPr>
          </w:p>
        </w:tc>
        <w:tc>
          <w:tcPr>
            <w:tcW w:w="778" w:type="dxa"/>
          </w:tcPr>
          <w:p w14:paraId="24A1655A">
            <w:pPr>
              <w:autoSpaceDE w:val="0"/>
              <w:autoSpaceDN w:val="0"/>
              <w:adjustRightInd w:val="0"/>
              <w:snapToGrid w:val="0"/>
              <w:jc w:val="left"/>
              <w:rPr>
                <w:rFonts w:ascii="宋体" w:hAnsi="宋体"/>
                <w:color w:val="auto"/>
                <w:kern w:val="0"/>
                <w:szCs w:val="21"/>
                <w:highlight w:val="none"/>
              </w:rPr>
            </w:pPr>
          </w:p>
        </w:tc>
        <w:tc>
          <w:tcPr>
            <w:tcW w:w="776" w:type="dxa"/>
          </w:tcPr>
          <w:p w14:paraId="0762C192">
            <w:pPr>
              <w:autoSpaceDE w:val="0"/>
              <w:autoSpaceDN w:val="0"/>
              <w:adjustRightInd w:val="0"/>
              <w:snapToGrid w:val="0"/>
              <w:jc w:val="left"/>
              <w:rPr>
                <w:rFonts w:ascii="宋体" w:hAnsi="宋体"/>
                <w:color w:val="auto"/>
                <w:kern w:val="0"/>
                <w:szCs w:val="21"/>
                <w:highlight w:val="none"/>
              </w:rPr>
            </w:pPr>
          </w:p>
        </w:tc>
        <w:tc>
          <w:tcPr>
            <w:tcW w:w="2723" w:type="dxa"/>
          </w:tcPr>
          <w:p w14:paraId="7F0C700A">
            <w:pPr>
              <w:autoSpaceDE w:val="0"/>
              <w:autoSpaceDN w:val="0"/>
              <w:adjustRightInd w:val="0"/>
              <w:snapToGrid w:val="0"/>
              <w:jc w:val="left"/>
              <w:rPr>
                <w:rFonts w:ascii="宋体" w:hAnsi="宋体"/>
                <w:color w:val="auto"/>
                <w:kern w:val="0"/>
                <w:szCs w:val="21"/>
                <w:highlight w:val="none"/>
              </w:rPr>
            </w:pPr>
          </w:p>
        </w:tc>
        <w:tc>
          <w:tcPr>
            <w:tcW w:w="896" w:type="dxa"/>
          </w:tcPr>
          <w:p w14:paraId="4FF2A693">
            <w:pPr>
              <w:autoSpaceDE w:val="0"/>
              <w:autoSpaceDN w:val="0"/>
              <w:adjustRightInd w:val="0"/>
              <w:snapToGrid w:val="0"/>
              <w:jc w:val="left"/>
              <w:rPr>
                <w:rFonts w:ascii="宋体" w:hAnsi="宋体"/>
                <w:color w:val="auto"/>
                <w:kern w:val="0"/>
                <w:szCs w:val="21"/>
                <w:highlight w:val="none"/>
              </w:rPr>
            </w:pPr>
          </w:p>
        </w:tc>
      </w:tr>
      <w:tr w14:paraId="73424F2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79090C35">
            <w:pPr>
              <w:autoSpaceDE w:val="0"/>
              <w:autoSpaceDN w:val="0"/>
              <w:adjustRightInd w:val="0"/>
              <w:snapToGrid w:val="0"/>
              <w:jc w:val="left"/>
              <w:rPr>
                <w:rFonts w:ascii="宋体" w:hAnsi="宋体"/>
                <w:color w:val="auto"/>
                <w:kern w:val="0"/>
                <w:szCs w:val="21"/>
                <w:highlight w:val="none"/>
              </w:rPr>
            </w:pPr>
          </w:p>
        </w:tc>
        <w:tc>
          <w:tcPr>
            <w:tcW w:w="734" w:type="dxa"/>
          </w:tcPr>
          <w:p w14:paraId="57A1DED6">
            <w:pPr>
              <w:autoSpaceDE w:val="0"/>
              <w:autoSpaceDN w:val="0"/>
              <w:adjustRightInd w:val="0"/>
              <w:snapToGrid w:val="0"/>
              <w:jc w:val="left"/>
              <w:rPr>
                <w:rFonts w:ascii="宋体" w:hAnsi="宋体"/>
                <w:color w:val="auto"/>
                <w:kern w:val="0"/>
                <w:szCs w:val="21"/>
                <w:highlight w:val="none"/>
              </w:rPr>
            </w:pPr>
          </w:p>
        </w:tc>
        <w:tc>
          <w:tcPr>
            <w:tcW w:w="776" w:type="dxa"/>
          </w:tcPr>
          <w:p w14:paraId="4DAEA559">
            <w:pPr>
              <w:autoSpaceDE w:val="0"/>
              <w:autoSpaceDN w:val="0"/>
              <w:adjustRightInd w:val="0"/>
              <w:snapToGrid w:val="0"/>
              <w:jc w:val="left"/>
              <w:rPr>
                <w:rFonts w:ascii="宋体" w:hAnsi="宋体"/>
                <w:color w:val="auto"/>
                <w:kern w:val="0"/>
                <w:szCs w:val="21"/>
                <w:highlight w:val="none"/>
              </w:rPr>
            </w:pPr>
          </w:p>
        </w:tc>
        <w:tc>
          <w:tcPr>
            <w:tcW w:w="1167" w:type="dxa"/>
          </w:tcPr>
          <w:p w14:paraId="6F81AD8C">
            <w:pPr>
              <w:autoSpaceDE w:val="0"/>
              <w:autoSpaceDN w:val="0"/>
              <w:adjustRightInd w:val="0"/>
              <w:snapToGrid w:val="0"/>
              <w:jc w:val="left"/>
              <w:rPr>
                <w:rFonts w:ascii="宋体" w:hAnsi="宋体"/>
                <w:color w:val="auto"/>
                <w:kern w:val="0"/>
                <w:szCs w:val="21"/>
                <w:highlight w:val="none"/>
              </w:rPr>
            </w:pPr>
          </w:p>
        </w:tc>
        <w:tc>
          <w:tcPr>
            <w:tcW w:w="776" w:type="dxa"/>
          </w:tcPr>
          <w:p w14:paraId="74AC8A2F">
            <w:pPr>
              <w:autoSpaceDE w:val="0"/>
              <w:autoSpaceDN w:val="0"/>
              <w:adjustRightInd w:val="0"/>
              <w:snapToGrid w:val="0"/>
              <w:jc w:val="left"/>
              <w:rPr>
                <w:rFonts w:ascii="宋体" w:hAnsi="宋体"/>
                <w:color w:val="auto"/>
                <w:kern w:val="0"/>
                <w:szCs w:val="21"/>
                <w:highlight w:val="none"/>
              </w:rPr>
            </w:pPr>
          </w:p>
        </w:tc>
        <w:tc>
          <w:tcPr>
            <w:tcW w:w="778" w:type="dxa"/>
          </w:tcPr>
          <w:p w14:paraId="0CCB3485">
            <w:pPr>
              <w:autoSpaceDE w:val="0"/>
              <w:autoSpaceDN w:val="0"/>
              <w:adjustRightInd w:val="0"/>
              <w:snapToGrid w:val="0"/>
              <w:jc w:val="left"/>
              <w:rPr>
                <w:rFonts w:ascii="宋体" w:hAnsi="宋体"/>
                <w:color w:val="auto"/>
                <w:kern w:val="0"/>
                <w:szCs w:val="21"/>
                <w:highlight w:val="none"/>
              </w:rPr>
            </w:pPr>
          </w:p>
        </w:tc>
        <w:tc>
          <w:tcPr>
            <w:tcW w:w="776" w:type="dxa"/>
          </w:tcPr>
          <w:p w14:paraId="5D0F80CB">
            <w:pPr>
              <w:autoSpaceDE w:val="0"/>
              <w:autoSpaceDN w:val="0"/>
              <w:adjustRightInd w:val="0"/>
              <w:snapToGrid w:val="0"/>
              <w:jc w:val="left"/>
              <w:rPr>
                <w:rFonts w:ascii="宋体" w:hAnsi="宋体"/>
                <w:color w:val="auto"/>
                <w:kern w:val="0"/>
                <w:szCs w:val="21"/>
                <w:highlight w:val="none"/>
              </w:rPr>
            </w:pPr>
          </w:p>
        </w:tc>
        <w:tc>
          <w:tcPr>
            <w:tcW w:w="2723" w:type="dxa"/>
          </w:tcPr>
          <w:p w14:paraId="7B150320">
            <w:pPr>
              <w:autoSpaceDE w:val="0"/>
              <w:autoSpaceDN w:val="0"/>
              <w:adjustRightInd w:val="0"/>
              <w:snapToGrid w:val="0"/>
              <w:jc w:val="left"/>
              <w:rPr>
                <w:rFonts w:ascii="宋体" w:hAnsi="宋体"/>
                <w:color w:val="auto"/>
                <w:kern w:val="0"/>
                <w:szCs w:val="21"/>
                <w:highlight w:val="none"/>
              </w:rPr>
            </w:pPr>
          </w:p>
        </w:tc>
        <w:tc>
          <w:tcPr>
            <w:tcW w:w="896" w:type="dxa"/>
          </w:tcPr>
          <w:p w14:paraId="35DA04EA">
            <w:pPr>
              <w:autoSpaceDE w:val="0"/>
              <w:autoSpaceDN w:val="0"/>
              <w:adjustRightInd w:val="0"/>
              <w:snapToGrid w:val="0"/>
              <w:jc w:val="left"/>
              <w:rPr>
                <w:rFonts w:ascii="宋体" w:hAnsi="宋体"/>
                <w:color w:val="auto"/>
                <w:kern w:val="0"/>
                <w:szCs w:val="21"/>
                <w:highlight w:val="none"/>
              </w:rPr>
            </w:pPr>
          </w:p>
        </w:tc>
      </w:tr>
      <w:tr w14:paraId="2B8E619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119D355F">
            <w:pPr>
              <w:autoSpaceDE w:val="0"/>
              <w:autoSpaceDN w:val="0"/>
              <w:adjustRightInd w:val="0"/>
              <w:snapToGrid w:val="0"/>
              <w:jc w:val="left"/>
              <w:rPr>
                <w:rFonts w:ascii="宋体" w:hAnsi="宋体"/>
                <w:color w:val="auto"/>
                <w:kern w:val="0"/>
                <w:szCs w:val="21"/>
                <w:highlight w:val="none"/>
              </w:rPr>
            </w:pPr>
          </w:p>
        </w:tc>
        <w:tc>
          <w:tcPr>
            <w:tcW w:w="734" w:type="dxa"/>
          </w:tcPr>
          <w:p w14:paraId="5A247735">
            <w:pPr>
              <w:autoSpaceDE w:val="0"/>
              <w:autoSpaceDN w:val="0"/>
              <w:adjustRightInd w:val="0"/>
              <w:snapToGrid w:val="0"/>
              <w:jc w:val="left"/>
              <w:rPr>
                <w:rFonts w:ascii="宋体" w:hAnsi="宋体"/>
                <w:color w:val="auto"/>
                <w:kern w:val="0"/>
                <w:szCs w:val="21"/>
                <w:highlight w:val="none"/>
              </w:rPr>
            </w:pPr>
          </w:p>
        </w:tc>
        <w:tc>
          <w:tcPr>
            <w:tcW w:w="776" w:type="dxa"/>
          </w:tcPr>
          <w:p w14:paraId="1E0C52EF">
            <w:pPr>
              <w:autoSpaceDE w:val="0"/>
              <w:autoSpaceDN w:val="0"/>
              <w:adjustRightInd w:val="0"/>
              <w:snapToGrid w:val="0"/>
              <w:jc w:val="left"/>
              <w:rPr>
                <w:rFonts w:ascii="宋体" w:hAnsi="宋体"/>
                <w:color w:val="auto"/>
                <w:kern w:val="0"/>
                <w:szCs w:val="21"/>
                <w:highlight w:val="none"/>
              </w:rPr>
            </w:pPr>
          </w:p>
        </w:tc>
        <w:tc>
          <w:tcPr>
            <w:tcW w:w="1167" w:type="dxa"/>
          </w:tcPr>
          <w:p w14:paraId="6DC71E0D">
            <w:pPr>
              <w:autoSpaceDE w:val="0"/>
              <w:autoSpaceDN w:val="0"/>
              <w:adjustRightInd w:val="0"/>
              <w:snapToGrid w:val="0"/>
              <w:jc w:val="left"/>
              <w:rPr>
                <w:rFonts w:ascii="宋体" w:hAnsi="宋体"/>
                <w:color w:val="auto"/>
                <w:kern w:val="0"/>
                <w:szCs w:val="21"/>
                <w:highlight w:val="none"/>
              </w:rPr>
            </w:pPr>
          </w:p>
        </w:tc>
        <w:tc>
          <w:tcPr>
            <w:tcW w:w="776" w:type="dxa"/>
          </w:tcPr>
          <w:p w14:paraId="075EB320">
            <w:pPr>
              <w:autoSpaceDE w:val="0"/>
              <w:autoSpaceDN w:val="0"/>
              <w:adjustRightInd w:val="0"/>
              <w:snapToGrid w:val="0"/>
              <w:jc w:val="left"/>
              <w:rPr>
                <w:rFonts w:ascii="宋体" w:hAnsi="宋体"/>
                <w:color w:val="auto"/>
                <w:kern w:val="0"/>
                <w:szCs w:val="21"/>
                <w:highlight w:val="none"/>
              </w:rPr>
            </w:pPr>
          </w:p>
        </w:tc>
        <w:tc>
          <w:tcPr>
            <w:tcW w:w="778" w:type="dxa"/>
          </w:tcPr>
          <w:p w14:paraId="7A7CCA87">
            <w:pPr>
              <w:autoSpaceDE w:val="0"/>
              <w:autoSpaceDN w:val="0"/>
              <w:adjustRightInd w:val="0"/>
              <w:snapToGrid w:val="0"/>
              <w:jc w:val="left"/>
              <w:rPr>
                <w:rFonts w:ascii="宋体" w:hAnsi="宋体"/>
                <w:color w:val="auto"/>
                <w:kern w:val="0"/>
                <w:szCs w:val="21"/>
                <w:highlight w:val="none"/>
              </w:rPr>
            </w:pPr>
          </w:p>
        </w:tc>
        <w:tc>
          <w:tcPr>
            <w:tcW w:w="776" w:type="dxa"/>
          </w:tcPr>
          <w:p w14:paraId="782777C6">
            <w:pPr>
              <w:autoSpaceDE w:val="0"/>
              <w:autoSpaceDN w:val="0"/>
              <w:adjustRightInd w:val="0"/>
              <w:snapToGrid w:val="0"/>
              <w:jc w:val="left"/>
              <w:rPr>
                <w:rFonts w:ascii="宋体" w:hAnsi="宋体"/>
                <w:color w:val="auto"/>
                <w:kern w:val="0"/>
                <w:szCs w:val="21"/>
                <w:highlight w:val="none"/>
              </w:rPr>
            </w:pPr>
          </w:p>
        </w:tc>
        <w:tc>
          <w:tcPr>
            <w:tcW w:w="2723" w:type="dxa"/>
          </w:tcPr>
          <w:p w14:paraId="0D7F0C0C">
            <w:pPr>
              <w:autoSpaceDE w:val="0"/>
              <w:autoSpaceDN w:val="0"/>
              <w:adjustRightInd w:val="0"/>
              <w:snapToGrid w:val="0"/>
              <w:jc w:val="left"/>
              <w:rPr>
                <w:rFonts w:ascii="宋体" w:hAnsi="宋体"/>
                <w:color w:val="auto"/>
                <w:kern w:val="0"/>
                <w:szCs w:val="21"/>
                <w:highlight w:val="none"/>
              </w:rPr>
            </w:pPr>
          </w:p>
        </w:tc>
        <w:tc>
          <w:tcPr>
            <w:tcW w:w="896" w:type="dxa"/>
          </w:tcPr>
          <w:p w14:paraId="020F539A">
            <w:pPr>
              <w:autoSpaceDE w:val="0"/>
              <w:autoSpaceDN w:val="0"/>
              <w:adjustRightInd w:val="0"/>
              <w:snapToGrid w:val="0"/>
              <w:jc w:val="left"/>
              <w:rPr>
                <w:rFonts w:ascii="宋体" w:hAnsi="宋体"/>
                <w:color w:val="auto"/>
                <w:kern w:val="0"/>
                <w:szCs w:val="21"/>
                <w:highlight w:val="none"/>
              </w:rPr>
            </w:pPr>
          </w:p>
        </w:tc>
      </w:tr>
      <w:tr w14:paraId="1DC9829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508" w:hRule="exact"/>
        </w:trPr>
        <w:tc>
          <w:tcPr>
            <w:tcW w:w="856" w:type="dxa"/>
          </w:tcPr>
          <w:p w14:paraId="13C785F4">
            <w:pPr>
              <w:autoSpaceDE w:val="0"/>
              <w:autoSpaceDN w:val="0"/>
              <w:adjustRightInd w:val="0"/>
              <w:snapToGrid w:val="0"/>
              <w:jc w:val="left"/>
              <w:rPr>
                <w:rFonts w:ascii="宋体" w:hAnsi="宋体"/>
                <w:color w:val="auto"/>
                <w:kern w:val="0"/>
                <w:szCs w:val="21"/>
                <w:highlight w:val="none"/>
              </w:rPr>
            </w:pPr>
          </w:p>
        </w:tc>
        <w:tc>
          <w:tcPr>
            <w:tcW w:w="734" w:type="dxa"/>
          </w:tcPr>
          <w:p w14:paraId="6AB0C3FE">
            <w:pPr>
              <w:autoSpaceDE w:val="0"/>
              <w:autoSpaceDN w:val="0"/>
              <w:adjustRightInd w:val="0"/>
              <w:snapToGrid w:val="0"/>
              <w:jc w:val="left"/>
              <w:rPr>
                <w:rFonts w:ascii="宋体" w:hAnsi="宋体"/>
                <w:color w:val="auto"/>
                <w:kern w:val="0"/>
                <w:szCs w:val="21"/>
                <w:highlight w:val="none"/>
              </w:rPr>
            </w:pPr>
          </w:p>
        </w:tc>
        <w:tc>
          <w:tcPr>
            <w:tcW w:w="776" w:type="dxa"/>
          </w:tcPr>
          <w:p w14:paraId="482346F3">
            <w:pPr>
              <w:autoSpaceDE w:val="0"/>
              <w:autoSpaceDN w:val="0"/>
              <w:adjustRightInd w:val="0"/>
              <w:snapToGrid w:val="0"/>
              <w:jc w:val="left"/>
              <w:rPr>
                <w:rFonts w:ascii="宋体" w:hAnsi="宋体"/>
                <w:color w:val="auto"/>
                <w:kern w:val="0"/>
                <w:szCs w:val="21"/>
                <w:highlight w:val="none"/>
              </w:rPr>
            </w:pPr>
          </w:p>
        </w:tc>
        <w:tc>
          <w:tcPr>
            <w:tcW w:w="1167" w:type="dxa"/>
          </w:tcPr>
          <w:p w14:paraId="2C40135F">
            <w:pPr>
              <w:autoSpaceDE w:val="0"/>
              <w:autoSpaceDN w:val="0"/>
              <w:adjustRightInd w:val="0"/>
              <w:snapToGrid w:val="0"/>
              <w:jc w:val="left"/>
              <w:rPr>
                <w:rFonts w:ascii="宋体" w:hAnsi="宋体"/>
                <w:color w:val="auto"/>
                <w:kern w:val="0"/>
                <w:szCs w:val="21"/>
                <w:highlight w:val="none"/>
              </w:rPr>
            </w:pPr>
          </w:p>
        </w:tc>
        <w:tc>
          <w:tcPr>
            <w:tcW w:w="776" w:type="dxa"/>
          </w:tcPr>
          <w:p w14:paraId="609911EC">
            <w:pPr>
              <w:autoSpaceDE w:val="0"/>
              <w:autoSpaceDN w:val="0"/>
              <w:adjustRightInd w:val="0"/>
              <w:snapToGrid w:val="0"/>
              <w:jc w:val="left"/>
              <w:rPr>
                <w:rFonts w:ascii="宋体" w:hAnsi="宋体"/>
                <w:color w:val="auto"/>
                <w:kern w:val="0"/>
                <w:szCs w:val="21"/>
                <w:highlight w:val="none"/>
              </w:rPr>
            </w:pPr>
          </w:p>
        </w:tc>
        <w:tc>
          <w:tcPr>
            <w:tcW w:w="778" w:type="dxa"/>
          </w:tcPr>
          <w:p w14:paraId="20707F2D">
            <w:pPr>
              <w:autoSpaceDE w:val="0"/>
              <w:autoSpaceDN w:val="0"/>
              <w:adjustRightInd w:val="0"/>
              <w:snapToGrid w:val="0"/>
              <w:jc w:val="left"/>
              <w:rPr>
                <w:rFonts w:ascii="宋体" w:hAnsi="宋体"/>
                <w:color w:val="auto"/>
                <w:kern w:val="0"/>
                <w:szCs w:val="21"/>
                <w:highlight w:val="none"/>
              </w:rPr>
            </w:pPr>
          </w:p>
        </w:tc>
        <w:tc>
          <w:tcPr>
            <w:tcW w:w="776" w:type="dxa"/>
          </w:tcPr>
          <w:p w14:paraId="3CD58CB2">
            <w:pPr>
              <w:autoSpaceDE w:val="0"/>
              <w:autoSpaceDN w:val="0"/>
              <w:adjustRightInd w:val="0"/>
              <w:snapToGrid w:val="0"/>
              <w:jc w:val="left"/>
              <w:rPr>
                <w:rFonts w:ascii="宋体" w:hAnsi="宋体"/>
                <w:color w:val="auto"/>
                <w:kern w:val="0"/>
                <w:szCs w:val="21"/>
                <w:highlight w:val="none"/>
              </w:rPr>
            </w:pPr>
          </w:p>
        </w:tc>
        <w:tc>
          <w:tcPr>
            <w:tcW w:w="2723" w:type="dxa"/>
          </w:tcPr>
          <w:p w14:paraId="520259F4">
            <w:pPr>
              <w:autoSpaceDE w:val="0"/>
              <w:autoSpaceDN w:val="0"/>
              <w:adjustRightInd w:val="0"/>
              <w:snapToGrid w:val="0"/>
              <w:jc w:val="left"/>
              <w:rPr>
                <w:rFonts w:ascii="宋体" w:hAnsi="宋体"/>
                <w:color w:val="auto"/>
                <w:kern w:val="0"/>
                <w:szCs w:val="21"/>
                <w:highlight w:val="none"/>
              </w:rPr>
            </w:pPr>
          </w:p>
        </w:tc>
        <w:tc>
          <w:tcPr>
            <w:tcW w:w="896" w:type="dxa"/>
          </w:tcPr>
          <w:p w14:paraId="000DAC61">
            <w:pPr>
              <w:autoSpaceDE w:val="0"/>
              <w:autoSpaceDN w:val="0"/>
              <w:adjustRightInd w:val="0"/>
              <w:snapToGrid w:val="0"/>
              <w:jc w:val="left"/>
              <w:rPr>
                <w:rFonts w:ascii="宋体" w:hAnsi="宋体"/>
                <w:color w:val="auto"/>
                <w:kern w:val="0"/>
                <w:szCs w:val="21"/>
                <w:highlight w:val="none"/>
              </w:rPr>
            </w:pPr>
          </w:p>
        </w:tc>
      </w:tr>
    </w:tbl>
    <w:p w14:paraId="162B8734">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备注：本表仅填总承包项目经理、设计负责人、施工负责人、施工技术负责人相关信息</w:t>
      </w:r>
    </w:p>
    <w:p w14:paraId="643A85EC">
      <w:pPr>
        <w:spacing w:line="360" w:lineRule="auto"/>
        <w:ind w:firstLine="640" w:firstLineChars="200"/>
        <w:jc w:val="center"/>
        <w:rPr>
          <w:rFonts w:ascii="宋体" w:hAnsi="宋体"/>
          <w:color w:val="auto"/>
          <w:sz w:val="32"/>
          <w:szCs w:val="32"/>
          <w:highlight w:val="none"/>
        </w:rPr>
      </w:pPr>
      <w:r>
        <w:rPr>
          <w:rFonts w:ascii="宋体" w:hAnsi="宋体"/>
          <w:color w:val="auto"/>
          <w:sz w:val="32"/>
          <w:szCs w:val="32"/>
          <w:highlight w:val="none"/>
        </w:rPr>
        <w:br w:type="page"/>
      </w:r>
      <w:r>
        <w:rPr>
          <w:rFonts w:hint="eastAsia" w:ascii="宋体" w:hAnsi="宋体"/>
          <w:color w:val="auto"/>
          <w:sz w:val="32"/>
          <w:szCs w:val="32"/>
          <w:highlight w:val="none"/>
        </w:rPr>
        <w:t>主要人员简历表</w:t>
      </w:r>
      <w:bookmarkEnd w:id="2113"/>
      <w:bookmarkEnd w:id="2114"/>
    </w:p>
    <w:tbl>
      <w:tblPr>
        <w:tblStyle w:val="45"/>
        <w:tblW w:w="9565" w:type="dxa"/>
        <w:tblInd w:w="0" w:type="dxa"/>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306"/>
        <w:gridCol w:w="397"/>
        <w:gridCol w:w="793"/>
        <w:gridCol w:w="1020"/>
        <w:gridCol w:w="1175"/>
        <w:gridCol w:w="780"/>
        <w:gridCol w:w="1388"/>
        <w:gridCol w:w="178"/>
        <w:gridCol w:w="2528"/>
      </w:tblGrid>
      <w:tr w14:paraId="2E5C316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641C0E14">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姓名</w:t>
            </w:r>
          </w:p>
        </w:tc>
        <w:tc>
          <w:tcPr>
            <w:tcW w:w="1190" w:type="dxa"/>
            <w:gridSpan w:val="2"/>
            <w:vAlign w:val="center"/>
          </w:tcPr>
          <w:p w14:paraId="6C972AEA">
            <w:pPr>
              <w:autoSpaceDE w:val="0"/>
              <w:autoSpaceDN w:val="0"/>
              <w:adjustRightInd w:val="0"/>
              <w:snapToGrid w:val="0"/>
              <w:jc w:val="center"/>
              <w:rPr>
                <w:rFonts w:ascii="宋体" w:hAnsi="宋体"/>
                <w:color w:val="auto"/>
                <w:kern w:val="0"/>
                <w:szCs w:val="21"/>
                <w:highlight w:val="none"/>
              </w:rPr>
            </w:pPr>
          </w:p>
        </w:tc>
        <w:tc>
          <w:tcPr>
            <w:tcW w:w="1020" w:type="dxa"/>
            <w:vAlign w:val="center"/>
          </w:tcPr>
          <w:p w14:paraId="040D155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年龄</w:t>
            </w:r>
          </w:p>
        </w:tc>
        <w:tc>
          <w:tcPr>
            <w:tcW w:w="1175" w:type="dxa"/>
            <w:vAlign w:val="center"/>
          </w:tcPr>
          <w:p w14:paraId="70C29056">
            <w:pPr>
              <w:autoSpaceDE w:val="0"/>
              <w:autoSpaceDN w:val="0"/>
              <w:adjustRightInd w:val="0"/>
              <w:snapToGrid w:val="0"/>
              <w:jc w:val="center"/>
              <w:rPr>
                <w:rFonts w:ascii="宋体" w:hAnsi="宋体"/>
                <w:color w:val="auto"/>
                <w:kern w:val="0"/>
                <w:szCs w:val="21"/>
                <w:highlight w:val="none"/>
              </w:rPr>
            </w:pPr>
          </w:p>
        </w:tc>
        <w:tc>
          <w:tcPr>
            <w:tcW w:w="2346" w:type="dxa"/>
            <w:gridSpan w:val="3"/>
            <w:vAlign w:val="center"/>
          </w:tcPr>
          <w:p w14:paraId="1B52F82B">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学历</w:t>
            </w:r>
          </w:p>
        </w:tc>
        <w:tc>
          <w:tcPr>
            <w:tcW w:w="2528" w:type="dxa"/>
            <w:vAlign w:val="center"/>
          </w:tcPr>
          <w:p w14:paraId="66E9B510">
            <w:pPr>
              <w:autoSpaceDE w:val="0"/>
              <w:autoSpaceDN w:val="0"/>
              <w:adjustRightInd w:val="0"/>
              <w:snapToGrid w:val="0"/>
              <w:jc w:val="center"/>
              <w:rPr>
                <w:rFonts w:ascii="宋体" w:hAnsi="宋体"/>
                <w:color w:val="auto"/>
                <w:kern w:val="0"/>
                <w:szCs w:val="21"/>
                <w:highlight w:val="none"/>
              </w:rPr>
            </w:pPr>
          </w:p>
        </w:tc>
      </w:tr>
      <w:tr w14:paraId="29311C2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0A40D810">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职称</w:t>
            </w:r>
          </w:p>
        </w:tc>
        <w:tc>
          <w:tcPr>
            <w:tcW w:w="1190" w:type="dxa"/>
            <w:gridSpan w:val="2"/>
            <w:vAlign w:val="center"/>
          </w:tcPr>
          <w:p w14:paraId="31F16A9D">
            <w:pPr>
              <w:autoSpaceDE w:val="0"/>
              <w:autoSpaceDN w:val="0"/>
              <w:adjustRightInd w:val="0"/>
              <w:snapToGrid w:val="0"/>
              <w:jc w:val="center"/>
              <w:rPr>
                <w:rFonts w:ascii="宋体" w:hAnsi="宋体"/>
                <w:color w:val="auto"/>
                <w:kern w:val="0"/>
                <w:szCs w:val="21"/>
                <w:highlight w:val="none"/>
              </w:rPr>
            </w:pPr>
          </w:p>
        </w:tc>
        <w:tc>
          <w:tcPr>
            <w:tcW w:w="1020" w:type="dxa"/>
            <w:vAlign w:val="center"/>
          </w:tcPr>
          <w:p w14:paraId="101E7296">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职务</w:t>
            </w:r>
          </w:p>
        </w:tc>
        <w:tc>
          <w:tcPr>
            <w:tcW w:w="1175" w:type="dxa"/>
            <w:vAlign w:val="center"/>
          </w:tcPr>
          <w:p w14:paraId="03357F35">
            <w:pPr>
              <w:autoSpaceDE w:val="0"/>
              <w:autoSpaceDN w:val="0"/>
              <w:adjustRightInd w:val="0"/>
              <w:snapToGrid w:val="0"/>
              <w:jc w:val="center"/>
              <w:rPr>
                <w:rFonts w:ascii="宋体" w:hAnsi="宋体"/>
                <w:color w:val="auto"/>
                <w:kern w:val="0"/>
                <w:szCs w:val="21"/>
                <w:highlight w:val="none"/>
              </w:rPr>
            </w:pPr>
          </w:p>
        </w:tc>
        <w:tc>
          <w:tcPr>
            <w:tcW w:w="2346" w:type="dxa"/>
            <w:gridSpan w:val="3"/>
            <w:vAlign w:val="center"/>
          </w:tcPr>
          <w:p w14:paraId="21364C2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拟在本合同任职</w:t>
            </w:r>
          </w:p>
        </w:tc>
        <w:tc>
          <w:tcPr>
            <w:tcW w:w="2528" w:type="dxa"/>
            <w:vAlign w:val="center"/>
          </w:tcPr>
          <w:p w14:paraId="436C4482">
            <w:pPr>
              <w:autoSpaceDE w:val="0"/>
              <w:autoSpaceDN w:val="0"/>
              <w:adjustRightInd w:val="0"/>
              <w:snapToGrid w:val="0"/>
              <w:jc w:val="center"/>
              <w:rPr>
                <w:rFonts w:ascii="宋体" w:hAnsi="宋体"/>
                <w:color w:val="auto"/>
                <w:kern w:val="0"/>
                <w:szCs w:val="21"/>
                <w:highlight w:val="none"/>
              </w:rPr>
            </w:pPr>
          </w:p>
        </w:tc>
      </w:tr>
      <w:tr w14:paraId="6E04D16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306" w:type="dxa"/>
            <w:vAlign w:val="center"/>
          </w:tcPr>
          <w:p w14:paraId="4F9AFF2E">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毕业学校</w:t>
            </w:r>
          </w:p>
        </w:tc>
        <w:tc>
          <w:tcPr>
            <w:tcW w:w="8259" w:type="dxa"/>
            <w:gridSpan w:val="8"/>
            <w:vAlign w:val="center"/>
          </w:tcPr>
          <w:p w14:paraId="62997675">
            <w:pPr>
              <w:tabs>
                <w:tab w:val="left" w:pos="2820"/>
                <w:tab w:val="left" w:pos="408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年</w:t>
            </w:r>
            <w:r>
              <w:rPr>
                <w:rFonts w:ascii="宋体" w:hAnsi="宋体"/>
                <w:color w:val="auto"/>
                <w:spacing w:val="-1"/>
                <w:kern w:val="0"/>
                <w:szCs w:val="21"/>
                <w:highlight w:val="none"/>
              </w:rPr>
              <w:t>毕</w:t>
            </w:r>
            <w:r>
              <w:rPr>
                <w:rFonts w:ascii="宋体" w:hAnsi="宋体"/>
                <w:color w:val="auto"/>
                <w:kern w:val="0"/>
                <w:szCs w:val="21"/>
                <w:highlight w:val="none"/>
              </w:rPr>
              <w:t>业于</w:t>
            </w:r>
            <w:r>
              <w:rPr>
                <w:rFonts w:ascii="宋体" w:hAnsi="宋体"/>
                <w:color w:val="auto"/>
                <w:kern w:val="0"/>
                <w:szCs w:val="21"/>
                <w:highlight w:val="none"/>
              </w:rPr>
              <w:tab/>
            </w:r>
            <w:r>
              <w:rPr>
                <w:rFonts w:ascii="宋体" w:hAnsi="宋体"/>
                <w:color w:val="auto"/>
                <w:kern w:val="0"/>
                <w:szCs w:val="21"/>
                <w:highlight w:val="none"/>
              </w:rPr>
              <w:t>学校</w:t>
            </w:r>
            <w:r>
              <w:rPr>
                <w:rFonts w:ascii="宋体" w:hAnsi="宋体"/>
                <w:color w:val="auto"/>
                <w:kern w:val="0"/>
                <w:szCs w:val="21"/>
                <w:highlight w:val="none"/>
              </w:rPr>
              <w:tab/>
            </w:r>
            <w:r>
              <w:rPr>
                <w:rFonts w:ascii="宋体" w:hAnsi="宋体"/>
                <w:color w:val="auto"/>
                <w:kern w:val="0"/>
                <w:szCs w:val="21"/>
                <w:highlight w:val="none"/>
              </w:rPr>
              <w:t>专业</w:t>
            </w:r>
          </w:p>
        </w:tc>
      </w:tr>
      <w:tr w14:paraId="26E0B9E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9565" w:type="dxa"/>
            <w:gridSpan w:val="9"/>
            <w:vAlign w:val="center"/>
          </w:tcPr>
          <w:p w14:paraId="588B3A51">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主要工作经历</w:t>
            </w:r>
          </w:p>
        </w:tc>
      </w:tr>
      <w:tr w14:paraId="2457E8C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34F6C71">
            <w:pPr>
              <w:tabs>
                <w:tab w:val="left" w:pos="520"/>
              </w:tabs>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时间</w:t>
            </w:r>
          </w:p>
        </w:tc>
        <w:tc>
          <w:tcPr>
            <w:tcW w:w="3768" w:type="dxa"/>
            <w:gridSpan w:val="4"/>
            <w:vAlign w:val="center"/>
          </w:tcPr>
          <w:p w14:paraId="4179C51A">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参加过的类似项目</w:t>
            </w:r>
          </w:p>
        </w:tc>
        <w:tc>
          <w:tcPr>
            <w:tcW w:w="1388" w:type="dxa"/>
            <w:vAlign w:val="center"/>
          </w:tcPr>
          <w:p w14:paraId="2E5D6EA8">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担任职务</w:t>
            </w:r>
          </w:p>
        </w:tc>
        <w:tc>
          <w:tcPr>
            <w:tcW w:w="2706" w:type="dxa"/>
            <w:gridSpan w:val="2"/>
            <w:vAlign w:val="center"/>
          </w:tcPr>
          <w:p w14:paraId="4A5101D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发包人及联系电话</w:t>
            </w:r>
          </w:p>
        </w:tc>
      </w:tr>
      <w:tr w14:paraId="4CBF43B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36E39D83">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7A064B58">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5ECC7A5B">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2F7ECB0B">
            <w:pPr>
              <w:autoSpaceDE w:val="0"/>
              <w:autoSpaceDN w:val="0"/>
              <w:adjustRightInd w:val="0"/>
              <w:snapToGrid w:val="0"/>
              <w:jc w:val="center"/>
              <w:rPr>
                <w:rFonts w:ascii="宋体" w:hAnsi="宋体"/>
                <w:color w:val="auto"/>
                <w:kern w:val="0"/>
                <w:szCs w:val="21"/>
                <w:highlight w:val="none"/>
              </w:rPr>
            </w:pPr>
          </w:p>
        </w:tc>
      </w:tr>
      <w:tr w14:paraId="3E79BFE0">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140367F">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0B868458">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43B4DC51">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1BB8BE89">
            <w:pPr>
              <w:autoSpaceDE w:val="0"/>
              <w:autoSpaceDN w:val="0"/>
              <w:adjustRightInd w:val="0"/>
              <w:snapToGrid w:val="0"/>
              <w:jc w:val="center"/>
              <w:rPr>
                <w:rFonts w:ascii="宋体" w:hAnsi="宋体"/>
                <w:color w:val="auto"/>
                <w:kern w:val="0"/>
                <w:szCs w:val="21"/>
                <w:highlight w:val="none"/>
              </w:rPr>
            </w:pPr>
          </w:p>
        </w:tc>
      </w:tr>
      <w:tr w14:paraId="4D693D1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6A619D5">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645CB325">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3735ED9A">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7ACACF54">
            <w:pPr>
              <w:autoSpaceDE w:val="0"/>
              <w:autoSpaceDN w:val="0"/>
              <w:adjustRightInd w:val="0"/>
              <w:snapToGrid w:val="0"/>
              <w:jc w:val="center"/>
              <w:rPr>
                <w:rFonts w:ascii="宋体" w:hAnsi="宋体"/>
                <w:color w:val="auto"/>
                <w:kern w:val="0"/>
                <w:szCs w:val="21"/>
                <w:highlight w:val="none"/>
              </w:rPr>
            </w:pPr>
          </w:p>
        </w:tc>
      </w:tr>
      <w:tr w14:paraId="3023DE0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390B57F">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712FE016">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5A7BAB8F">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41554520">
            <w:pPr>
              <w:autoSpaceDE w:val="0"/>
              <w:autoSpaceDN w:val="0"/>
              <w:adjustRightInd w:val="0"/>
              <w:snapToGrid w:val="0"/>
              <w:jc w:val="center"/>
              <w:rPr>
                <w:rFonts w:ascii="宋体" w:hAnsi="宋体"/>
                <w:color w:val="auto"/>
                <w:kern w:val="0"/>
                <w:szCs w:val="21"/>
                <w:highlight w:val="none"/>
              </w:rPr>
            </w:pPr>
          </w:p>
        </w:tc>
      </w:tr>
      <w:tr w14:paraId="6CBD5821">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01A9769">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6FD12500">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535131C6">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23EC6073">
            <w:pPr>
              <w:autoSpaceDE w:val="0"/>
              <w:autoSpaceDN w:val="0"/>
              <w:adjustRightInd w:val="0"/>
              <w:snapToGrid w:val="0"/>
              <w:jc w:val="center"/>
              <w:rPr>
                <w:rFonts w:ascii="宋体" w:hAnsi="宋体"/>
                <w:color w:val="auto"/>
                <w:kern w:val="0"/>
                <w:szCs w:val="21"/>
                <w:highlight w:val="none"/>
              </w:rPr>
            </w:pPr>
          </w:p>
        </w:tc>
      </w:tr>
      <w:tr w14:paraId="030FAF7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9565784">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2D2E01FE">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582F5237">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7FFC6766">
            <w:pPr>
              <w:autoSpaceDE w:val="0"/>
              <w:autoSpaceDN w:val="0"/>
              <w:adjustRightInd w:val="0"/>
              <w:snapToGrid w:val="0"/>
              <w:jc w:val="center"/>
              <w:rPr>
                <w:rFonts w:ascii="宋体" w:hAnsi="宋体"/>
                <w:color w:val="auto"/>
                <w:kern w:val="0"/>
                <w:szCs w:val="21"/>
                <w:highlight w:val="none"/>
              </w:rPr>
            </w:pPr>
          </w:p>
        </w:tc>
      </w:tr>
      <w:tr w14:paraId="59CEA0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6FE457F1">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179518BC">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2E520D5C">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4E97897D">
            <w:pPr>
              <w:autoSpaceDE w:val="0"/>
              <w:autoSpaceDN w:val="0"/>
              <w:adjustRightInd w:val="0"/>
              <w:snapToGrid w:val="0"/>
              <w:jc w:val="center"/>
              <w:rPr>
                <w:rFonts w:ascii="宋体" w:hAnsi="宋体"/>
                <w:color w:val="auto"/>
                <w:kern w:val="0"/>
                <w:szCs w:val="21"/>
                <w:highlight w:val="none"/>
              </w:rPr>
            </w:pPr>
          </w:p>
        </w:tc>
      </w:tr>
      <w:tr w14:paraId="5FF9143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1F3621B">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04AA9448">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73F480E2">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2E409B24">
            <w:pPr>
              <w:autoSpaceDE w:val="0"/>
              <w:autoSpaceDN w:val="0"/>
              <w:adjustRightInd w:val="0"/>
              <w:snapToGrid w:val="0"/>
              <w:jc w:val="center"/>
              <w:rPr>
                <w:rFonts w:ascii="宋体" w:hAnsi="宋体"/>
                <w:color w:val="auto"/>
                <w:kern w:val="0"/>
                <w:szCs w:val="21"/>
                <w:highlight w:val="none"/>
              </w:rPr>
            </w:pPr>
          </w:p>
        </w:tc>
      </w:tr>
      <w:tr w14:paraId="0523FD3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09196E12">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27994639">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21BDC96D">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73F35C67">
            <w:pPr>
              <w:autoSpaceDE w:val="0"/>
              <w:autoSpaceDN w:val="0"/>
              <w:adjustRightInd w:val="0"/>
              <w:snapToGrid w:val="0"/>
              <w:jc w:val="center"/>
              <w:rPr>
                <w:rFonts w:ascii="宋体" w:hAnsi="宋体"/>
                <w:color w:val="auto"/>
                <w:kern w:val="0"/>
                <w:szCs w:val="21"/>
                <w:highlight w:val="none"/>
              </w:rPr>
            </w:pPr>
          </w:p>
        </w:tc>
      </w:tr>
      <w:tr w14:paraId="579E053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FBF5029">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6094DCFF">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5704B018">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484D04C6">
            <w:pPr>
              <w:autoSpaceDE w:val="0"/>
              <w:autoSpaceDN w:val="0"/>
              <w:adjustRightInd w:val="0"/>
              <w:snapToGrid w:val="0"/>
              <w:jc w:val="center"/>
              <w:rPr>
                <w:rFonts w:ascii="宋体" w:hAnsi="宋体"/>
                <w:color w:val="auto"/>
                <w:kern w:val="0"/>
                <w:szCs w:val="21"/>
                <w:highlight w:val="none"/>
              </w:rPr>
            </w:pPr>
          </w:p>
        </w:tc>
      </w:tr>
      <w:tr w14:paraId="25040AF3">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4F50715C">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46C4AF4D">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1FF5D0EE">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162940D8">
            <w:pPr>
              <w:autoSpaceDE w:val="0"/>
              <w:autoSpaceDN w:val="0"/>
              <w:adjustRightInd w:val="0"/>
              <w:snapToGrid w:val="0"/>
              <w:jc w:val="center"/>
              <w:rPr>
                <w:rFonts w:ascii="宋体" w:hAnsi="宋体"/>
                <w:color w:val="auto"/>
                <w:kern w:val="0"/>
                <w:szCs w:val="21"/>
                <w:highlight w:val="none"/>
              </w:rPr>
            </w:pPr>
          </w:p>
        </w:tc>
      </w:tr>
      <w:tr w14:paraId="55510224">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5DB0DC7E">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28B00C56">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784FAC38">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088E3FF1">
            <w:pPr>
              <w:autoSpaceDE w:val="0"/>
              <w:autoSpaceDN w:val="0"/>
              <w:adjustRightInd w:val="0"/>
              <w:snapToGrid w:val="0"/>
              <w:jc w:val="center"/>
              <w:rPr>
                <w:rFonts w:ascii="宋体" w:hAnsi="宋体"/>
                <w:color w:val="auto"/>
                <w:kern w:val="0"/>
                <w:szCs w:val="21"/>
                <w:highlight w:val="none"/>
              </w:rPr>
            </w:pPr>
          </w:p>
        </w:tc>
      </w:tr>
      <w:tr w14:paraId="63FADF1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12" w:hRule="exact"/>
        </w:trPr>
        <w:tc>
          <w:tcPr>
            <w:tcW w:w="1703" w:type="dxa"/>
            <w:gridSpan w:val="2"/>
            <w:vAlign w:val="center"/>
          </w:tcPr>
          <w:p w14:paraId="210EC70F">
            <w:pPr>
              <w:autoSpaceDE w:val="0"/>
              <w:autoSpaceDN w:val="0"/>
              <w:adjustRightInd w:val="0"/>
              <w:snapToGrid w:val="0"/>
              <w:jc w:val="center"/>
              <w:rPr>
                <w:rFonts w:ascii="宋体" w:hAnsi="宋体"/>
                <w:color w:val="auto"/>
                <w:kern w:val="0"/>
                <w:szCs w:val="21"/>
                <w:highlight w:val="none"/>
              </w:rPr>
            </w:pPr>
          </w:p>
        </w:tc>
        <w:tc>
          <w:tcPr>
            <w:tcW w:w="3768" w:type="dxa"/>
            <w:gridSpan w:val="4"/>
            <w:vAlign w:val="center"/>
          </w:tcPr>
          <w:p w14:paraId="46169586">
            <w:pPr>
              <w:autoSpaceDE w:val="0"/>
              <w:autoSpaceDN w:val="0"/>
              <w:adjustRightInd w:val="0"/>
              <w:snapToGrid w:val="0"/>
              <w:jc w:val="center"/>
              <w:rPr>
                <w:rFonts w:ascii="宋体" w:hAnsi="宋体"/>
                <w:color w:val="auto"/>
                <w:kern w:val="0"/>
                <w:szCs w:val="21"/>
                <w:highlight w:val="none"/>
              </w:rPr>
            </w:pPr>
          </w:p>
        </w:tc>
        <w:tc>
          <w:tcPr>
            <w:tcW w:w="1388" w:type="dxa"/>
            <w:vAlign w:val="center"/>
          </w:tcPr>
          <w:p w14:paraId="358C2F37">
            <w:pPr>
              <w:autoSpaceDE w:val="0"/>
              <w:autoSpaceDN w:val="0"/>
              <w:adjustRightInd w:val="0"/>
              <w:snapToGrid w:val="0"/>
              <w:jc w:val="center"/>
              <w:rPr>
                <w:rFonts w:ascii="宋体" w:hAnsi="宋体"/>
                <w:color w:val="auto"/>
                <w:kern w:val="0"/>
                <w:szCs w:val="21"/>
                <w:highlight w:val="none"/>
              </w:rPr>
            </w:pPr>
          </w:p>
        </w:tc>
        <w:tc>
          <w:tcPr>
            <w:tcW w:w="2706" w:type="dxa"/>
            <w:gridSpan w:val="2"/>
            <w:vAlign w:val="center"/>
          </w:tcPr>
          <w:p w14:paraId="174FC63E">
            <w:pPr>
              <w:autoSpaceDE w:val="0"/>
              <w:autoSpaceDN w:val="0"/>
              <w:adjustRightInd w:val="0"/>
              <w:snapToGrid w:val="0"/>
              <w:jc w:val="center"/>
              <w:rPr>
                <w:rFonts w:ascii="宋体" w:hAnsi="宋体"/>
                <w:color w:val="auto"/>
                <w:kern w:val="0"/>
                <w:szCs w:val="21"/>
                <w:highlight w:val="none"/>
              </w:rPr>
            </w:pPr>
          </w:p>
        </w:tc>
      </w:tr>
    </w:tbl>
    <w:p w14:paraId="624A46BB">
      <w:pPr>
        <w:spacing w:line="360" w:lineRule="auto"/>
        <w:rPr>
          <w:rFonts w:ascii="宋体" w:hAnsi="宋体"/>
          <w:color w:val="auto"/>
          <w:highlight w:val="none"/>
        </w:rPr>
      </w:pPr>
      <w:bookmarkStart w:id="2119" w:name="_Toc224103515"/>
    </w:p>
    <w:p w14:paraId="640A46C0">
      <w:pPr>
        <w:pStyle w:val="5"/>
        <w:spacing w:before="0" w:line="240" w:lineRule="auto"/>
        <w:jc w:val="center"/>
        <w:rPr>
          <w:rFonts w:ascii="宋体" w:hAnsi="宋体"/>
          <w:b w:val="0"/>
          <w:color w:val="auto"/>
          <w:highlight w:val="none"/>
        </w:rPr>
      </w:pPr>
      <w:bookmarkStart w:id="2120" w:name="_Toc58860360"/>
      <w:bookmarkStart w:id="2121" w:name="_Toc287607888"/>
      <w:bookmarkStart w:id="2122" w:name="_Toc277082660"/>
      <w:bookmarkStart w:id="2123" w:name="_Toc509218864"/>
      <w:bookmarkStart w:id="2124" w:name="_Toc287620834"/>
      <w:bookmarkStart w:id="2125" w:name="_Toc534185841"/>
      <w:bookmarkStart w:id="2126" w:name="_Toc430530550"/>
      <w:r>
        <w:rPr>
          <w:rFonts w:hint="eastAsia" w:ascii="宋体" w:hAnsi="宋体"/>
          <w:b w:val="0"/>
          <w:color w:val="auto"/>
          <w:highlight w:val="none"/>
        </w:rPr>
        <w:t>（五）近年财务状况表</w:t>
      </w:r>
      <w:bookmarkEnd w:id="2119"/>
      <w:bookmarkEnd w:id="2120"/>
      <w:bookmarkEnd w:id="2121"/>
      <w:bookmarkEnd w:id="2122"/>
      <w:bookmarkEnd w:id="2123"/>
      <w:bookmarkEnd w:id="2124"/>
      <w:bookmarkEnd w:id="2125"/>
      <w:bookmarkEnd w:id="2126"/>
    </w:p>
    <w:p w14:paraId="12F34246">
      <w:pPr>
        <w:adjustRightInd w:val="0"/>
        <w:snapToGrid w:val="0"/>
        <w:spacing w:line="360" w:lineRule="auto"/>
        <w:rPr>
          <w:rFonts w:ascii="宋体" w:hAnsi="宋体"/>
          <w:b/>
          <w:color w:val="auto"/>
          <w:sz w:val="32"/>
          <w:szCs w:val="28"/>
          <w:highlight w:val="none"/>
        </w:rPr>
      </w:pPr>
    </w:p>
    <w:p w14:paraId="004508B4">
      <w:pPr>
        <w:adjustRightInd w:val="0"/>
        <w:snapToGrid w:val="0"/>
        <w:spacing w:line="360" w:lineRule="auto"/>
        <w:rPr>
          <w:rFonts w:ascii="宋体" w:hAnsi="宋体"/>
          <w:b/>
          <w:color w:val="auto"/>
          <w:sz w:val="32"/>
          <w:szCs w:val="28"/>
          <w:highlight w:val="none"/>
        </w:rPr>
      </w:pPr>
    </w:p>
    <w:p w14:paraId="40963607">
      <w:pPr>
        <w:adjustRightInd w:val="0"/>
        <w:snapToGrid w:val="0"/>
        <w:spacing w:line="360" w:lineRule="auto"/>
        <w:rPr>
          <w:rFonts w:ascii="宋体" w:hAnsi="宋体"/>
          <w:b/>
          <w:color w:val="auto"/>
          <w:sz w:val="32"/>
          <w:szCs w:val="28"/>
          <w:highlight w:val="none"/>
        </w:rPr>
      </w:pPr>
    </w:p>
    <w:p w14:paraId="7A90CECB">
      <w:pPr>
        <w:adjustRightInd w:val="0"/>
        <w:snapToGrid w:val="0"/>
        <w:spacing w:line="360" w:lineRule="auto"/>
        <w:rPr>
          <w:rFonts w:ascii="宋体" w:hAnsi="宋体"/>
          <w:b/>
          <w:color w:val="auto"/>
          <w:sz w:val="32"/>
          <w:szCs w:val="28"/>
          <w:highlight w:val="none"/>
        </w:rPr>
      </w:pPr>
    </w:p>
    <w:p w14:paraId="2ADD20E6">
      <w:pPr>
        <w:adjustRightInd w:val="0"/>
        <w:snapToGrid w:val="0"/>
        <w:spacing w:line="360" w:lineRule="auto"/>
        <w:rPr>
          <w:rFonts w:ascii="宋体" w:hAnsi="宋体"/>
          <w:b/>
          <w:color w:val="auto"/>
          <w:sz w:val="32"/>
          <w:szCs w:val="28"/>
          <w:highlight w:val="none"/>
        </w:rPr>
      </w:pPr>
    </w:p>
    <w:p w14:paraId="2B4D75A4">
      <w:pPr>
        <w:adjustRightInd w:val="0"/>
        <w:snapToGrid w:val="0"/>
        <w:spacing w:line="360" w:lineRule="auto"/>
        <w:rPr>
          <w:rFonts w:ascii="宋体" w:hAnsi="宋体"/>
          <w:b/>
          <w:color w:val="auto"/>
          <w:sz w:val="32"/>
          <w:szCs w:val="28"/>
          <w:highlight w:val="none"/>
        </w:rPr>
      </w:pPr>
    </w:p>
    <w:p w14:paraId="44D7C120">
      <w:pPr>
        <w:adjustRightInd w:val="0"/>
        <w:snapToGrid w:val="0"/>
        <w:spacing w:line="360" w:lineRule="auto"/>
        <w:rPr>
          <w:rFonts w:ascii="宋体" w:hAnsi="宋体"/>
          <w:b/>
          <w:color w:val="auto"/>
          <w:sz w:val="32"/>
          <w:szCs w:val="28"/>
          <w:highlight w:val="none"/>
        </w:rPr>
      </w:pPr>
    </w:p>
    <w:p w14:paraId="7C9DDD2E">
      <w:pPr>
        <w:adjustRightInd w:val="0"/>
        <w:snapToGrid w:val="0"/>
        <w:spacing w:line="360" w:lineRule="auto"/>
        <w:rPr>
          <w:rFonts w:ascii="宋体" w:hAnsi="宋体"/>
          <w:b/>
          <w:color w:val="auto"/>
          <w:sz w:val="32"/>
          <w:szCs w:val="28"/>
          <w:highlight w:val="none"/>
        </w:rPr>
      </w:pPr>
    </w:p>
    <w:p w14:paraId="6BB95217">
      <w:pPr>
        <w:adjustRightInd w:val="0"/>
        <w:snapToGrid w:val="0"/>
        <w:spacing w:line="360" w:lineRule="auto"/>
        <w:rPr>
          <w:rFonts w:ascii="宋体" w:hAnsi="宋体"/>
          <w:b/>
          <w:color w:val="auto"/>
          <w:sz w:val="32"/>
          <w:szCs w:val="28"/>
          <w:highlight w:val="none"/>
        </w:rPr>
      </w:pPr>
    </w:p>
    <w:p w14:paraId="65E5D24E">
      <w:pPr>
        <w:adjustRightInd w:val="0"/>
        <w:snapToGrid w:val="0"/>
        <w:spacing w:line="360" w:lineRule="auto"/>
        <w:rPr>
          <w:rFonts w:ascii="宋体" w:hAnsi="宋体"/>
          <w:b/>
          <w:color w:val="auto"/>
          <w:sz w:val="32"/>
          <w:szCs w:val="28"/>
          <w:highlight w:val="none"/>
        </w:rPr>
      </w:pPr>
    </w:p>
    <w:p w14:paraId="5B308C9A">
      <w:pPr>
        <w:adjustRightInd w:val="0"/>
        <w:snapToGrid w:val="0"/>
        <w:spacing w:line="360" w:lineRule="auto"/>
        <w:rPr>
          <w:rFonts w:ascii="宋体" w:hAnsi="宋体"/>
          <w:b/>
          <w:color w:val="auto"/>
          <w:sz w:val="32"/>
          <w:szCs w:val="28"/>
          <w:highlight w:val="none"/>
        </w:rPr>
      </w:pPr>
    </w:p>
    <w:p w14:paraId="2D39EA3C">
      <w:pPr>
        <w:adjustRightInd w:val="0"/>
        <w:snapToGrid w:val="0"/>
        <w:spacing w:line="360" w:lineRule="auto"/>
        <w:rPr>
          <w:rFonts w:ascii="宋体" w:hAnsi="宋体"/>
          <w:b/>
          <w:color w:val="auto"/>
          <w:sz w:val="32"/>
          <w:szCs w:val="28"/>
          <w:highlight w:val="none"/>
        </w:rPr>
      </w:pPr>
    </w:p>
    <w:p w14:paraId="5A2FB372">
      <w:pPr>
        <w:adjustRightInd w:val="0"/>
        <w:snapToGrid w:val="0"/>
        <w:spacing w:line="360" w:lineRule="auto"/>
        <w:rPr>
          <w:rFonts w:ascii="宋体" w:hAnsi="宋体"/>
          <w:b/>
          <w:color w:val="auto"/>
          <w:sz w:val="32"/>
          <w:szCs w:val="28"/>
          <w:highlight w:val="none"/>
        </w:rPr>
      </w:pPr>
    </w:p>
    <w:p w14:paraId="788A7796">
      <w:pPr>
        <w:adjustRightInd w:val="0"/>
        <w:snapToGrid w:val="0"/>
        <w:spacing w:line="360" w:lineRule="auto"/>
        <w:rPr>
          <w:rFonts w:ascii="宋体" w:hAnsi="宋体"/>
          <w:b/>
          <w:color w:val="auto"/>
          <w:sz w:val="32"/>
          <w:szCs w:val="28"/>
          <w:highlight w:val="none"/>
        </w:rPr>
      </w:pPr>
    </w:p>
    <w:p w14:paraId="55028484">
      <w:pPr>
        <w:adjustRightInd w:val="0"/>
        <w:snapToGrid w:val="0"/>
        <w:spacing w:line="360" w:lineRule="auto"/>
        <w:rPr>
          <w:rFonts w:ascii="宋体" w:hAnsi="宋体"/>
          <w:b/>
          <w:color w:val="auto"/>
          <w:sz w:val="32"/>
          <w:szCs w:val="28"/>
          <w:highlight w:val="none"/>
        </w:rPr>
      </w:pPr>
    </w:p>
    <w:p w14:paraId="07CA937F">
      <w:pPr>
        <w:adjustRightInd w:val="0"/>
        <w:snapToGrid w:val="0"/>
        <w:spacing w:line="360" w:lineRule="auto"/>
        <w:rPr>
          <w:rFonts w:ascii="宋体" w:hAnsi="宋体"/>
          <w:b/>
          <w:color w:val="auto"/>
          <w:sz w:val="32"/>
          <w:szCs w:val="28"/>
          <w:highlight w:val="none"/>
        </w:rPr>
      </w:pPr>
    </w:p>
    <w:p w14:paraId="7B5C19C3">
      <w:pPr>
        <w:adjustRightInd w:val="0"/>
        <w:snapToGrid w:val="0"/>
        <w:spacing w:line="360" w:lineRule="auto"/>
        <w:rPr>
          <w:rFonts w:ascii="宋体" w:hAnsi="宋体"/>
          <w:b/>
          <w:color w:val="auto"/>
          <w:sz w:val="32"/>
          <w:szCs w:val="28"/>
          <w:highlight w:val="none"/>
        </w:rPr>
      </w:pPr>
    </w:p>
    <w:p w14:paraId="1EC0BA3E">
      <w:pPr>
        <w:adjustRightInd w:val="0"/>
        <w:snapToGrid w:val="0"/>
        <w:spacing w:line="360" w:lineRule="auto"/>
        <w:rPr>
          <w:rFonts w:ascii="宋体" w:hAnsi="宋体"/>
          <w:b/>
          <w:color w:val="auto"/>
          <w:sz w:val="32"/>
          <w:szCs w:val="28"/>
          <w:highlight w:val="none"/>
        </w:rPr>
      </w:pPr>
    </w:p>
    <w:p w14:paraId="6D2FDF00">
      <w:pPr>
        <w:adjustRightInd w:val="0"/>
        <w:snapToGrid w:val="0"/>
        <w:spacing w:line="360" w:lineRule="auto"/>
        <w:rPr>
          <w:rFonts w:ascii="宋体" w:hAnsi="宋体"/>
          <w:b/>
          <w:color w:val="auto"/>
          <w:sz w:val="30"/>
          <w:szCs w:val="30"/>
          <w:highlight w:val="none"/>
        </w:rPr>
      </w:pPr>
    </w:p>
    <w:p w14:paraId="50D61ED2">
      <w:pPr>
        <w:adjustRightInd w:val="0"/>
        <w:snapToGrid w:val="0"/>
        <w:spacing w:line="360" w:lineRule="auto"/>
        <w:rPr>
          <w:rFonts w:ascii="宋体" w:hAnsi="宋体"/>
          <w:color w:val="auto"/>
          <w:highlight w:val="none"/>
        </w:rPr>
      </w:pPr>
    </w:p>
    <w:p w14:paraId="2AD935BA">
      <w:pPr>
        <w:pStyle w:val="5"/>
        <w:spacing w:before="0" w:line="240" w:lineRule="auto"/>
        <w:jc w:val="center"/>
        <w:rPr>
          <w:rFonts w:ascii="宋体" w:hAnsi="宋体"/>
          <w:b w:val="0"/>
          <w:color w:val="auto"/>
          <w:highlight w:val="none"/>
        </w:rPr>
      </w:pPr>
      <w:bookmarkStart w:id="2127" w:name="_Toc224103516"/>
      <w:bookmarkStart w:id="2128" w:name="_Toc277082661"/>
      <w:bookmarkStart w:id="2129" w:name="_Toc287607889"/>
      <w:bookmarkStart w:id="2130" w:name="_Toc430530551"/>
      <w:bookmarkStart w:id="2131" w:name="_Toc287620835"/>
      <w:r>
        <w:rPr>
          <w:rFonts w:ascii="宋体" w:hAnsi="宋体"/>
          <w:color w:val="auto"/>
          <w:highlight w:val="none"/>
        </w:rPr>
        <w:br w:type="page"/>
      </w:r>
      <w:bookmarkStart w:id="2132" w:name="_Toc509218865"/>
      <w:bookmarkStart w:id="2133" w:name="_Toc534185842"/>
      <w:bookmarkStart w:id="2134" w:name="_Toc58860361"/>
      <w:r>
        <w:rPr>
          <w:rFonts w:ascii="宋体" w:hAnsi="宋体"/>
          <w:b w:val="0"/>
          <w:color w:val="auto"/>
          <w:highlight w:val="none"/>
        </w:rPr>
        <w:t>（六）类似项目情况表</w:t>
      </w:r>
      <w:bookmarkEnd w:id="2127"/>
      <w:bookmarkEnd w:id="2128"/>
      <w:bookmarkEnd w:id="2129"/>
      <w:bookmarkEnd w:id="2130"/>
      <w:bookmarkEnd w:id="2131"/>
      <w:bookmarkEnd w:id="2132"/>
      <w:bookmarkEnd w:id="2133"/>
      <w:bookmarkEnd w:id="2134"/>
    </w:p>
    <w:tbl>
      <w:tblPr>
        <w:tblStyle w:val="45"/>
        <w:tblW w:w="9483" w:type="dxa"/>
        <w:jc w:val="center"/>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Layout w:type="fixed"/>
        <w:tblCellMar>
          <w:top w:w="0" w:type="dxa"/>
          <w:left w:w="0" w:type="dxa"/>
          <w:bottom w:w="0" w:type="dxa"/>
          <w:right w:w="0" w:type="dxa"/>
        </w:tblCellMar>
      </w:tblPr>
      <w:tblGrid>
        <w:gridCol w:w="1456"/>
        <w:gridCol w:w="8027"/>
      </w:tblGrid>
      <w:tr w14:paraId="6669DC8E">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43" w:hRule="exact"/>
          <w:jc w:val="center"/>
        </w:trPr>
        <w:tc>
          <w:tcPr>
            <w:tcW w:w="1456" w:type="dxa"/>
            <w:vAlign w:val="center"/>
          </w:tcPr>
          <w:p w14:paraId="44F9E6C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项目名称</w:t>
            </w:r>
          </w:p>
        </w:tc>
        <w:tc>
          <w:tcPr>
            <w:tcW w:w="8027" w:type="dxa"/>
            <w:vAlign w:val="center"/>
          </w:tcPr>
          <w:p w14:paraId="4A3C692B">
            <w:pPr>
              <w:autoSpaceDE w:val="0"/>
              <w:autoSpaceDN w:val="0"/>
              <w:adjustRightInd w:val="0"/>
              <w:snapToGrid w:val="0"/>
              <w:jc w:val="center"/>
              <w:rPr>
                <w:rFonts w:ascii="宋体" w:hAnsi="宋体"/>
                <w:color w:val="auto"/>
                <w:kern w:val="0"/>
                <w:szCs w:val="21"/>
                <w:highlight w:val="none"/>
              </w:rPr>
            </w:pPr>
          </w:p>
        </w:tc>
      </w:tr>
      <w:tr w14:paraId="07C971AD">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4B676E0E">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项目所在地</w:t>
            </w:r>
          </w:p>
        </w:tc>
        <w:tc>
          <w:tcPr>
            <w:tcW w:w="8027" w:type="dxa"/>
            <w:vAlign w:val="center"/>
          </w:tcPr>
          <w:p w14:paraId="40B7AF99">
            <w:pPr>
              <w:autoSpaceDE w:val="0"/>
              <w:autoSpaceDN w:val="0"/>
              <w:adjustRightInd w:val="0"/>
              <w:snapToGrid w:val="0"/>
              <w:jc w:val="center"/>
              <w:rPr>
                <w:rFonts w:ascii="宋体" w:hAnsi="宋体"/>
                <w:color w:val="auto"/>
                <w:kern w:val="0"/>
                <w:szCs w:val="21"/>
                <w:highlight w:val="none"/>
              </w:rPr>
            </w:pPr>
          </w:p>
        </w:tc>
      </w:tr>
      <w:tr w14:paraId="1D3123C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6" w:hRule="exact"/>
          <w:jc w:val="center"/>
        </w:trPr>
        <w:tc>
          <w:tcPr>
            <w:tcW w:w="1456" w:type="dxa"/>
            <w:vAlign w:val="center"/>
          </w:tcPr>
          <w:p w14:paraId="56DA2D58">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发包人名称</w:t>
            </w:r>
          </w:p>
        </w:tc>
        <w:tc>
          <w:tcPr>
            <w:tcW w:w="8027" w:type="dxa"/>
            <w:vAlign w:val="center"/>
          </w:tcPr>
          <w:p w14:paraId="53C66F5F">
            <w:pPr>
              <w:autoSpaceDE w:val="0"/>
              <w:autoSpaceDN w:val="0"/>
              <w:adjustRightInd w:val="0"/>
              <w:snapToGrid w:val="0"/>
              <w:jc w:val="center"/>
              <w:rPr>
                <w:rFonts w:ascii="宋体" w:hAnsi="宋体"/>
                <w:color w:val="auto"/>
                <w:kern w:val="0"/>
                <w:szCs w:val="21"/>
                <w:highlight w:val="none"/>
              </w:rPr>
            </w:pPr>
          </w:p>
        </w:tc>
      </w:tr>
      <w:tr w14:paraId="7B85651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65CC8E46">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发包人地址</w:t>
            </w:r>
          </w:p>
        </w:tc>
        <w:tc>
          <w:tcPr>
            <w:tcW w:w="8027" w:type="dxa"/>
            <w:vAlign w:val="center"/>
          </w:tcPr>
          <w:p w14:paraId="48155134">
            <w:pPr>
              <w:autoSpaceDE w:val="0"/>
              <w:autoSpaceDN w:val="0"/>
              <w:adjustRightInd w:val="0"/>
              <w:snapToGrid w:val="0"/>
              <w:jc w:val="center"/>
              <w:rPr>
                <w:rFonts w:ascii="宋体" w:hAnsi="宋体"/>
                <w:color w:val="auto"/>
                <w:kern w:val="0"/>
                <w:szCs w:val="21"/>
                <w:highlight w:val="none"/>
              </w:rPr>
            </w:pPr>
          </w:p>
        </w:tc>
      </w:tr>
      <w:tr w14:paraId="77D623E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24FF7F63">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发包人电话</w:t>
            </w:r>
          </w:p>
        </w:tc>
        <w:tc>
          <w:tcPr>
            <w:tcW w:w="8027" w:type="dxa"/>
            <w:vAlign w:val="center"/>
          </w:tcPr>
          <w:p w14:paraId="60FBDDE2">
            <w:pPr>
              <w:autoSpaceDE w:val="0"/>
              <w:autoSpaceDN w:val="0"/>
              <w:adjustRightInd w:val="0"/>
              <w:snapToGrid w:val="0"/>
              <w:jc w:val="center"/>
              <w:rPr>
                <w:rFonts w:ascii="宋体" w:hAnsi="宋体"/>
                <w:color w:val="auto"/>
                <w:kern w:val="0"/>
                <w:szCs w:val="21"/>
                <w:highlight w:val="none"/>
              </w:rPr>
            </w:pPr>
          </w:p>
        </w:tc>
      </w:tr>
      <w:tr w14:paraId="13D733B8">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1" w:hRule="exact"/>
          <w:jc w:val="center"/>
        </w:trPr>
        <w:tc>
          <w:tcPr>
            <w:tcW w:w="1456" w:type="dxa"/>
            <w:vAlign w:val="center"/>
          </w:tcPr>
          <w:p w14:paraId="4A71011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合同价格</w:t>
            </w:r>
          </w:p>
        </w:tc>
        <w:tc>
          <w:tcPr>
            <w:tcW w:w="8027" w:type="dxa"/>
            <w:vAlign w:val="center"/>
          </w:tcPr>
          <w:p w14:paraId="7000EC06">
            <w:pPr>
              <w:autoSpaceDE w:val="0"/>
              <w:autoSpaceDN w:val="0"/>
              <w:adjustRightInd w:val="0"/>
              <w:snapToGrid w:val="0"/>
              <w:jc w:val="center"/>
              <w:rPr>
                <w:rFonts w:ascii="宋体" w:hAnsi="宋体"/>
                <w:color w:val="auto"/>
                <w:kern w:val="0"/>
                <w:szCs w:val="21"/>
                <w:highlight w:val="none"/>
              </w:rPr>
            </w:pPr>
          </w:p>
        </w:tc>
      </w:tr>
      <w:tr w14:paraId="5847D3EB">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5" w:hRule="exact"/>
          <w:jc w:val="center"/>
        </w:trPr>
        <w:tc>
          <w:tcPr>
            <w:tcW w:w="1456" w:type="dxa"/>
            <w:vAlign w:val="center"/>
          </w:tcPr>
          <w:p w14:paraId="2B12B7C7">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开工日期</w:t>
            </w:r>
          </w:p>
        </w:tc>
        <w:tc>
          <w:tcPr>
            <w:tcW w:w="8027" w:type="dxa"/>
            <w:vAlign w:val="center"/>
          </w:tcPr>
          <w:p w14:paraId="400E2F45">
            <w:pPr>
              <w:autoSpaceDE w:val="0"/>
              <w:autoSpaceDN w:val="0"/>
              <w:adjustRightInd w:val="0"/>
              <w:snapToGrid w:val="0"/>
              <w:jc w:val="center"/>
              <w:rPr>
                <w:rFonts w:ascii="宋体" w:hAnsi="宋体"/>
                <w:color w:val="auto"/>
                <w:kern w:val="0"/>
                <w:szCs w:val="21"/>
                <w:highlight w:val="none"/>
              </w:rPr>
            </w:pPr>
          </w:p>
        </w:tc>
      </w:tr>
      <w:tr w14:paraId="6123CDFF">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9" w:hRule="exact"/>
          <w:jc w:val="center"/>
        </w:trPr>
        <w:tc>
          <w:tcPr>
            <w:tcW w:w="1456" w:type="dxa"/>
            <w:vAlign w:val="center"/>
          </w:tcPr>
          <w:p w14:paraId="4917114F">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竣工日期</w:t>
            </w:r>
          </w:p>
        </w:tc>
        <w:tc>
          <w:tcPr>
            <w:tcW w:w="8027" w:type="dxa"/>
            <w:vAlign w:val="center"/>
          </w:tcPr>
          <w:p w14:paraId="1D38AB52">
            <w:pPr>
              <w:autoSpaceDE w:val="0"/>
              <w:autoSpaceDN w:val="0"/>
              <w:adjustRightInd w:val="0"/>
              <w:snapToGrid w:val="0"/>
              <w:jc w:val="center"/>
              <w:rPr>
                <w:rFonts w:ascii="宋体" w:hAnsi="宋体"/>
                <w:color w:val="auto"/>
                <w:kern w:val="0"/>
                <w:szCs w:val="21"/>
                <w:highlight w:val="none"/>
              </w:rPr>
            </w:pPr>
          </w:p>
        </w:tc>
      </w:tr>
      <w:tr w14:paraId="6C5C30F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8" w:hRule="exact"/>
          <w:jc w:val="center"/>
        </w:trPr>
        <w:tc>
          <w:tcPr>
            <w:tcW w:w="1456" w:type="dxa"/>
            <w:vAlign w:val="center"/>
          </w:tcPr>
          <w:p w14:paraId="6C05730C">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承担的工作</w:t>
            </w:r>
          </w:p>
        </w:tc>
        <w:tc>
          <w:tcPr>
            <w:tcW w:w="8027" w:type="dxa"/>
            <w:vAlign w:val="center"/>
          </w:tcPr>
          <w:p w14:paraId="55074946">
            <w:pPr>
              <w:autoSpaceDE w:val="0"/>
              <w:autoSpaceDN w:val="0"/>
              <w:adjustRightInd w:val="0"/>
              <w:snapToGrid w:val="0"/>
              <w:jc w:val="center"/>
              <w:rPr>
                <w:rFonts w:ascii="宋体" w:hAnsi="宋体"/>
                <w:color w:val="auto"/>
                <w:kern w:val="0"/>
                <w:szCs w:val="21"/>
                <w:highlight w:val="none"/>
              </w:rPr>
            </w:pPr>
          </w:p>
        </w:tc>
      </w:tr>
      <w:tr w14:paraId="5323FBE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67" w:hRule="exact"/>
          <w:jc w:val="center"/>
        </w:trPr>
        <w:tc>
          <w:tcPr>
            <w:tcW w:w="1456" w:type="dxa"/>
            <w:vAlign w:val="center"/>
          </w:tcPr>
          <w:p w14:paraId="1077CFC8">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工程质量</w:t>
            </w:r>
          </w:p>
        </w:tc>
        <w:tc>
          <w:tcPr>
            <w:tcW w:w="8027" w:type="dxa"/>
            <w:vAlign w:val="center"/>
          </w:tcPr>
          <w:p w14:paraId="5C071A62">
            <w:pPr>
              <w:autoSpaceDE w:val="0"/>
              <w:autoSpaceDN w:val="0"/>
              <w:adjustRightInd w:val="0"/>
              <w:snapToGrid w:val="0"/>
              <w:jc w:val="center"/>
              <w:rPr>
                <w:rFonts w:ascii="宋体" w:hAnsi="宋体"/>
                <w:color w:val="auto"/>
                <w:kern w:val="0"/>
                <w:szCs w:val="21"/>
                <w:highlight w:val="none"/>
              </w:rPr>
            </w:pPr>
          </w:p>
        </w:tc>
      </w:tr>
      <w:tr w14:paraId="6FDCAD55">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59" w:hRule="exact"/>
          <w:jc w:val="center"/>
        </w:trPr>
        <w:tc>
          <w:tcPr>
            <w:tcW w:w="1456" w:type="dxa"/>
            <w:vAlign w:val="center"/>
          </w:tcPr>
          <w:p w14:paraId="2C41E990">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项目经理</w:t>
            </w:r>
            <w:r>
              <w:rPr>
                <w:rFonts w:hint="eastAsia" w:ascii="宋体" w:hAnsi="宋体"/>
                <w:color w:val="auto"/>
                <w:kern w:val="0"/>
                <w:szCs w:val="21"/>
                <w:highlight w:val="none"/>
              </w:rPr>
              <w:t>或项目负责人</w:t>
            </w:r>
          </w:p>
        </w:tc>
        <w:tc>
          <w:tcPr>
            <w:tcW w:w="8027" w:type="dxa"/>
            <w:vAlign w:val="center"/>
          </w:tcPr>
          <w:p w14:paraId="7123830F">
            <w:pPr>
              <w:autoSpaceDE w:val="0"/>
              <w:autoSpaceDN w:val="0"/>
              <w:adjustRightInd w:val="0"/>
              <w:snapToGrid w:val="0"/>
              <w:jc w:val="center"/>
              <w:rPr>
                <w:rFonts w:ascii="宋体" w:hAnsi="宋体"/>
                <w:color w:val="auto"/>
                <w:kern w:val="0"/>
                <w:szCs w:val="21"/>
                <w:highlight w:val="none"/>
              </w:rPr>
            </w:pPr>
          </w:p>
        </w:tc>
      </w:tr>
      <w:tr w14:paraId="6B5E7A5C">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0AF0C945">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技术负责人（</w:t>
            </w:r>
            <w:r>
              <w:rPr>
                <w:rFonts w:hint="eastAsia" w:ascii="宋体" w:hAnsi="宋体"/>
                <w:color w:val="auto"/>
                <w:kern w:val="0"/>
                <w:szCs w:val="21"/>
                <w:highlight w:val="none"/>
              </w:rPr>
              <w:t>如有</w:t>
            </w:r>
            <w:r>
              <w:rPr>
                <w:rFonts w:ascii="宋体" w:hAnsi="宋体"/>
                <w:color w:val="auto"/>
                <w:kern w:val="0"/>
                <w:szCs w:val="21"/>
                <w:highlight w:val="none"/>
              </w:rPr>
              <w:t>）</w:t>
            </w:r>
          </w:p>
        </w:tc>
        <w:tc>
          <w:tcPr>
            <w:tcW w:w="8027" w:type="dxa"/>
            <w:vAlign w:val="center"/>
          </w:tcPr>
          <w:p w14:paraId="5FD8D436">
            <w:pPr>
              <w:autoSpaceDE w:val="0"/>
              <w:autoSpaceDN w:val="0"/>
              <w:adjustRightInd w:val="0"/>
              <w:snapToGrid w:val="0"/>
              <w:jc w:val="center"/>
              <w:rPr>
                <w:rFonts w:ascii="宋体" w:hAnsi="宋体"/>
                <w:color w:val="auto"/>
                <w:kern w:val="0"/>
                <w:szCs w:val="21"/>
                <w:highlight w:val="none"/>
              </w:rPr>
            </w:pPr>
          </w:p>
        </w:tc>
      </w:tr>
      <w:tr w14:paraId="0B255577">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2CC10590">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设计负责人（如有）</w:t>
            </w:r>
          </w:p>
        </w:tc>
        <w:tc>
          <w:tcPr>
            <w:tcW w:w="8027" w:type="dxa"/>
            <w:vAlign w:val="center"/>
          </w:tcPr>
          <w:p w14:paraId="23C97967">
            <w:pPr>
              <w:autoSpaceDE w:val="0"/>
              <w:autoSpaceDN w:val="0"/>
              <w:adjustRightInd w:val="0"/>
              <w:snapToGrid w:val="0"/>
              <w:jc w:val="center"/>
              <w:rPr>
                <w:rFonts w:ascii="宋体" w:hAnsi="宋体"/>
                <w:color w:val="auto"/>
                <w:kern w:val="0"/>
                <w:szCs w:val="21"/>
                <w:highlight w:val="none"/>
              </w:rPr>
            </w:pPr>
          </w:p>
        </w:tc>
      </w:tr>
      <w:tr w14:paraId="705D4C82">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670" w:hRule="exact"/>
          <w:jc w:val="center"/>
        </w:trPr>
        <w:tc>
          <w:tcPr>
            <w:tcW w:w="1456" w:type="dxa"/>
            <w:vAlign w:val="center"/>
          </w:tcPr>
          <w:p w14:paraId="2A03BEC8">
            <w:pPr>
              <w:autoSpaceDE w:val="0"/>
              <w:autoSpaceDN w:val="0"/>
              <w:adjustRightInd w:val="0"/>
              <w:snapToGrid w:val="0"/>
              <w:jc w:val="center"/>
              <w:rPr>
                <w:rFonts w:ascii="宋体" w:hAnsi="宋体"/>
                <w:color w:val="auto"/>
                <w:kern w:val="0"/>
                <w:szCs w:val="21"/>
                <w:highlight w:val="none"/>
              </w:rPr>
            </w:pPr>
            <w:r>
              <w:rPr>
                <w:rFonts w:hint="eastAsia" w:ascii="宋体" w:hAnsi="宋体"/>
                <w:color w:val="auto"/>
                <w:kern w:val="0"/>
                <w:szCs w:val="21"/>
                <w:highlight w:val="none"/>
              </w:rPr>
              <w:t>施工负责人（如有）</w:t>
            </w:r>
          </w:p>
        </w:tc>
        <w:tc>
          <w:tcPr>
            <w:tcW w:w="8027" w:type="dxa"/>
            <w:vAlign w:val="center"/>
          </w:tcPr>
          <w:p w14:paraId="58B03A03">
            <w:pPr>
              <w:autoSpaceDE w:val="0"/>
              <w:autoSpaceDN w:val="0"/>
              <w:adjustRightInd w:val="0"/>
              <w:snapToGrid w:val="0"/>
              <w:jc w:val="center"/>
              <w:rPr>
                <w:rFonts w:ascii="宋体" w:hAnsi="宋体"/>
                <w:color w:val="auto"/>
                <w:kern w:val="0"/>
                <w:szCs w:val="21"/>
                <w:highlight w:val="none"/>
              </w:rPr>
            </w:pPr>
          </w:p>
        </w:tc>
      </w:tr>
      <w:tr w14:paraId="4C5C602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760" w:hRule="exact"/>
          <w:jc w:val="center"/>
        </w:trPr>
        <w:tc>
          <w:tcPr>
            <w:tcW w:w="1456" w:type="dxa"/>
            <w:vAlign w:val="center"/>
          </w:tcPr>
          <w:p w14:paraId="20D7BAF2">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总监理工程师及电话</w:t>
            </w:r>
          </w:p>
        </w:tc>
        <w:tc>
          <w:tcPr>
            <w:tcW w:w="8027" w:type="dxa"/>
            <w:vAlign w:val="center"/>
          </w:tcPr>
          <w:p w14:paraId="0633C1B2">
            <w:pPr>
              <w:autoSpaceDE w:val="0"/>
              <w:autoSpaceDN w:val="0"/>
              <w:adjustRightInd w:val="0"/>
              <w:snapToGrid w:val="0"/>
              <w:jc w:val="center"/>
              <w:rPr>
                <w:rFonts w:ascii="宋体" w:hAnsi="宋体"/>
                <w:color w:val="auto"/>
                <w:kern w:val="0"/>
                <w:szCs w:val="21"/>
                <w:highlight w:val="none"/>
              </w:rPr>
            </w:pPr>
          </w:p>
        </w:tc>
      </w:tr>
      <w:tr w14:paraId="31CE3019">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982" w:hRule="exact"/>
          <w:jc w:val="center"/>
        </w:trPr>
        <w:tc>
          <w:tcPr>
            <w:tcW w:w="1456" w:type="dxa"/>
            <w:vAlign w:val="center"/>
          </w:tcPr>
          <w:p w14:paraId="66080D8A">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项目描述</w:t>
            </w:r>
          </w:p>
        </w:tc>
        <w:tc>
          <w:tcPr>
            <w:tcW w:w="8027" w:type="dxa"/>
            <w:vAlign w:val="center"/>
          </w:tcPr>
          <w:p w14:paraId="29F4804D">
            <w:pPr>
              <w:autoSpaceDE w:val="0"/>
              <w:autoSpaceDN w:val="0"/>
              <w:adjustRightInd w:val="0"/>
              <w:snapToGrid w:val="0"/>
              <w:jc w:val="center"/>
              <w:rPr>
                <w:rFonts w:ascii="宋体" w:hAnsi="宋体"/>
                <w:color w:val="auto"/>
                <w:kern w:val="0"/>
                <w:szCs w:val="21"/>
                <w:highlight w:val="none"/>
              </w:rPr>
            </w:pPr>
          </w:p>
        </w:tc>
      </w:tr>
      <w:tr w14:paraId="3EFFD49A">
        <w:tblPrEx>
          <w:tblBorders>
            <w:top w:val="single" w:color="000000" w:sz="8" w:space="0"/>
            <w:left w:val="single" w:color="000000" w:sz="8" w:space="0"/>
            <w:bottom w:val="single" w:color="000000" w:sz="8" w:space="0"/>
            <w:right w:val="single" w:color="000000" w:sz="8" w:space="0"/>
            <w:insideH w:val="single" w:color="000000" w:sz="4" w:space="0"/>
            <w:insideV w:val="single" w:color="000000" w:sz="4" w:space="0"/>
          </w:tblBorders>
          <w:tblCellMar>
            <w:top w:w="0" w:type="dxa"/>
            <w:left w:w="0" w:type="dxa"/>
            <w:bottom w:w="0" w:type="dxa"/>
            <w:right w:w="0" w:type="dxa"/>
          </w:tblCellMar>
        </w:tblPrEx>
        <w:trPr>
          <w:trHeight w:val="1048" w:hRule="exact"/>
          <w:jc w:val="center"/>
        </w:trPr>
        <w:tc>
          <w:tcPr>
            <w:tcW w:w="1456" w:type="dxa"/>
            <w:vAlign w:val="center"/>
          </w:tcPr>
          <w:p w14:paraId="085CA1E4">
            <w:pPr>
              <w:autoSpaceDE w:val="0"/>
              <w:autoSpaceDN w:val="0"/>
              <w:adjustRightInd w:val="0"/>
              <w:snapToGrid w:val="0"/>
              <w:jc w:val="center"/>
              <w:rPr>
                <w:rFonts w:ascii="宋体" w:hAnsi="宋体"/>
                <w:color w:val="auto"/>
                <w:kern w:val="0"/>
                <w:szCs w:val="21"/>
                <w:highlight w:val="none"/>
              </w:rPr>
            </w:pPr>
            <w:r>
              <w:rPr>
                <w:rFonts w:ascii="宋体" w:hAnsi="宋体"/>
                <w:color w:val="auto"/>
                <w:kern w:val="0"/>
                <w:szCs w:val="21"/>
                <w:highlight w:val="none"/>
              </w:rPr>
              <w:t>备注</w:t>
            </w:r>
          </w:p>
        </w:tc>
        <w:tc>
          <w:tcPr>
            <w:tcW w:w="8027" w:type="dxa"/>
            <w:vAlign w:val="center"/>
          </w:tcPr>
          <w:p w14:paraId="3068CCFE">
            <w:pPr>
              <w:autoSpaceDE w:val="0"/>
              <w:autoSpaceDN w:val="0"/>
              <w:adjustRightInd w:val="0"/>
              <w:snapToGrid w:val="0"/>
              <w:jc w:val="center"/>
              <w:rPr>
                <w:rFonts w:ascii="宋体" w:hAnsi="宋体"/>
                <w:color w:val="auto"/>
                <w:kern w:val="0"/>
                <w:szCs w:val="21"/>
                <w:highlight w:val="none"/>
              </w:rPr>
            </w:pPr>
          </w:p>
        </w:tc>
      </w:tr>
    </w:tbl>
    <w:p w14:paraId="227AF91E">
      <w:pPr>
        <w:pStyle w:val="5"/>
        <w:spacing w:before="0" w:line="360" w:lineRule="auto"/>
        <w:jc w:val="center"/>
        <w:rPr>
          <w:rFonts w:ascii="宋体" w:hAnsi="宋体"/>
          <w:b w:val="0"/>
          <w:color w:val="auto"/>
          <w:highlight w:val="none"/>
        </w:rPr>
      </w:pPr>
      <w:bookmarkStart w:id="2135" w:name="_Toc287620839"/>
      <w:bookmarkStart w:id="2136" w:name="_Toc534185843"/>
      <w:bookmarkStart w:id="2137" w:name="_Toc224103520"/>
      <w:bookmarkStart w:id="2138" w:name="_Toc509218866"/>
      <w:bookmarkStart w:id="2139" w:name="_Toc430530552"/>
      <w:bookmarkStart w:id="2140" w:name="_Toc287607893"/>
      <w:bookmarkStart w:id="2141" w:name="_Toc277082663"/>
      <w:bookmarkStart w:id="2142" w:name="_Toc58860362"/>
      <w:r>
        <w:rPr>
          <w:rFonts w:ascii="宋体" w:hAnsi="宋体"/>
          <w:b w:val="0"/>
          <w:color w:val="auto"/>
          <w:highlight w:val="none"/>
        </w:rPr>
        <w:t>（七）</w:t>
      </w:r>
      <w:bookmarkEnd w:id="2135"/>
      <w:bookmarkEnd w:id="2136"/>
      <w:bookmarkEnd w:id="2137"/>
      <w:bookmarkEnd w:id="2138"/>
      <w:bookmarkEnd w:id="2139"/>
      <w:bookmarkEnd w:id="2140"/>
      <w:bookmarkEnd w:id="2141"/>
      <w:r>
        <w:rPr>
          <w:rFonts w:hint="eastAsia" w:ascii="宋体" w:hAnsi="宋体"/>
          <w:b w:val="0"/>
          <w:color w:val="auto"/>
          <w:highlight w:val="none"/>
        </w:rPr>
        <w:t>承诺</w:t>
      </w:r>
      <w:bookmarkEnd w:id="2142"/>
    </w:p>
    <w:p w14:paraId="3543F106">
      <w:pPr>
        <w:rPr>
          <w:color w:val="auto"/>
          <w:highlight w:val="none"/>
        </w:rPr>
      </w:pPr>
    </w:p>
    <w:p w14:paraId="2A7ABA76">
      <w:pPr>
        <w:spacing w:line="360" w:lineRule="auto"/>
        <w:ind w:firstLine="480" w:firstLineChars="200"/>
        <w:jc w:val="center"/>
        <w:rPr>
          <w:rFonts w:ascii="宋体" w:hAnsi="宋体"/>
          <w:color w:val="auto"/>
          <w:sz w:val="24"/>
          <w:highlight w:val="none"/>
        </w:rPr>
      </w:pPr>
      <w:r>
        <w:rPr>
          <w:rFonts w:hint="eastAsia" w:ascii="宋体" w:hAnsi="宋体"/>
          <w:color w:val="auto"/>
          <w:sz w:val="24"/>
          <w:highlight w:val="none"/>
        </w:rPr>
        <w:t>承诺书</w:t>
      </w:r>
    </w:p>
    <w:p w14:paraId="0BDB8621">
      <w:pPr>
        <w:spacing w:line="360" w:lineRule="auto"/>
        <w:rPr>
          <w:rFonts w:ascii="宋体" w:hAnsi="宋体"/>
          <w:color w:val="auto"/>
          <w:szCs w:val="21"/>
          <w:highlight w:val="none"/>
        </w:rPr>
      </w:pPr>
    </w:p>
    <w:p w14:paraId="774921FA">
      <w:pPr>
        <w:spacing w:line="360" w:lineRule="auto"/>
        <w:rPr>
          <w:rFonts w:ascii="宋体" w:hAnsi="宋体"/>
          <w:color w:val="auto"/>
          <w:szCs w:val="21"/>
          <w:highlight w:val="none"/>
        </w:rPr>
      </w:pPr>
      <w:r>
        <w:rPr>
          <w:rFonts w:ascii="宋体" w:hAnsi="宋体"/>
          <w:color w:val="auto"/>
          <w:szCs w:val="21"/>
          <w:highlight w:val="none"/>
          <w:u w:val="single"/>
        </w:rPr>
        <w:tab/>
      </w:r>
      <w:r>
        <w:rPr>
          <w:rFonts w:ascii="宋体" w:hAnsi="宋体"/>
          <w:color w:val="auto"/>
          <w:szCs w:val="21"/>
          <w:highlight w:val="none"/>
          <w:u w:val="single"/>
        </w:rPr>
        <w:t xml:space="preserve">        </w:t>
      </w:r>
      <w:r>
        <w:rPr>
          <w:rFonts w:ascii="宋体" w:hAnsi="宋体"/>
          <w:color w:val="auto"/>
          <w:szCs w:val="21"/>
          <w:highlight w:val="none"/>
        </w:rPr>
        <w:t>（招标人名称）：</w:t>
      </w:r>
    </w:p>
    <w:p w14:paraId="00281267">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我公司</w:t>
      </w:r>
      <w:r>
        <w:rPr>
          <w:rFonts w:hint="eastAsia" w:ascii="宋体" w:hAnsi="宋体"/>
          <w:color w:val="auto"/>
          <w:szCs w:val="21"/>
          <w:highlight w:val="none"/>
          <w:u w:val="single"/>
        </w:rPr>
        <w:t>（投标人名称）</w:t>
      </w:r>
      <w:r>
        <w:rPr>
          <w:rFonts w:hint="eastAsia" w:ascii="宋体" w:hAnsi="宋体"/>
          <w:color w:val="auto"/>
          <w:szCs w:val="21"/>
          <w:highlight w:val="none"/>
        </w:rPr>
        <w:t>参加了贵单位</w:t>
      </w:r>
      <w:r>
        <w:rPr>
          <w:rFonts w:hint="eastAsia" w:ascii="宋体" w:hAnsi="宋体"/>
          <w:color w:val="auto"/>
          <w:szCs w:val="21"/>
          <w:highlight w:val="none"/>
          <w:u w:val="single"/>
        </w:rPr>
        <w:t>（招标项目名称）</w:t>
      </w:r>
      <w:r>
        <w:rPr>
          <w:rFonts w:hint="eastAsia" w:ascii="宋体" w:hAnsi="宋体"/>
          <w:color w:val="auto"/>
          <w:szCs w:val="21"/>
          <w:highlight w:val="none"/>
        </w:rPr>
        <w:t>的投标，自愿作出以下承诺：</w:t>
      </w:r>
    </w:p>
    <w:p w14:paraId="1CBF27D9">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1、我公司</w:t>
      </w:r>
      <w:r>
        <w:rPr>
          <w:rFonts w:ascii="宋体" w:hAnsi="宋体"/>
          <w:color w:val="auto"/>
          <w:szCs w:val="21"/>
          <w:highlight w:val="none"/>
        </w:rPr>
        <w:t>投标截止日投标资格情况</w:t>
      </w:r>
      <w:r>
        <w:rPr>
          <w:rFonts w:hint="eastAsia" w:ascii="宋体" w:hAnsi="宋体"/>
          <w:color w:val="auto"/>
          <w:szCs w:val="21"/>
          <w:highlight w:val="none"/>
        </w:rPr>
        <w:t>不存在下列情形之一：</w:t>
      </w:r>
    </w:p>
    <w:p w14:paraId="648A4BE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（1）被人民法院在“信用中国”网站（www.creditchina.gov.cn）列入失信被执行人名单且在被执行期内；</w:t>
      </w:r>
    </w:p>
    <w:p w14:paraId="2209A203">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（2）被列入《重庆市工程建设领域招标投标信用管理暂行办法》规定的重点关注名单且记分达到12分且在记分有效期内；</w:t>
      </w:r>
    </w:p>
    <w:p w14:paraId="406715A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（3）被列入《重庆市工程建设领域招标投标信用管理暂行办法》规定的黑名单且在有效期内；</w:t>
      </w:r>
    </w:p>
    <w:p w14:paraId="459F5E1B">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（4）被国家、重庆市（含市或任意区县）有关行政部门处以暂停投标资格行政处罚，且在处罚期限内；</w:t>
      </w:r>
    </w:p>
    <w:p w14:paraId="47DA87EE">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（5）被重庆市住房和城乡建设主管部门暂停在渝承揽新业务且在暂停期内。</w:t>
      </w:r>
    </w:p>
    <w:p w14:paraId="7F92A2F5">
      <w:pPr>
        <w:spacing w:line="360" w:lineRule="auto"/>
        <w:ind w:firstLine="420" w:firstLineChars="200"/>
        <w:rPr>
          <w:rFonts w:ascii="宋体" w:hAnsi="宋体"/>
          <w:bCs/>
          <w:color w:val="auto"/>
          <w:szCs w:val="21"/>
          <w:highlight w:val="none"/>
        </w:rPr>
      </w:pPr>
      <w:r>
        <w:rPr>
          <w:rFonts w:hint="eastAsia" w:ascii="宋体" w:hAnsi="宋体"/>
          <w:color w:val="auto"/>
          <w:szCs w:val="21"/>
          <w:highlight w:val="none"/>
        </w:rPr>
        <w:t>2、</w:t>
      </w:r>
      <w:r>
        <w:rPr>
          <w:rFonts w:hint="eastAsia" w:ascii="宋体" w:hAnsi="宋体"/>
          <w:bCs/>
          <w:color w:val="auto"/>
          <w:szCs w:val="21"/>
          <w:highlight w:val="none"/>
        </w:rPr>
        <w:t>总承包</w:t>
      </w:r>
      <w:r>
        <w:rPr>
          <w:rFonts w:ascii="宋体" w:hAnsi="宋体"/>
          <w:bCs/>
          <w:color w:val="auto"/>
          <w:szCs w:val="21"/>
          <w:highlight w:val="none"/>
        </w:rPr>
        <w:t>项目经理</w:t>
      </w:r>
      <w:r>
        <w:rPr>
          <w:rFonts w:hint="eastAsia" w:ascii="宋体" w:hAnsi="宋体"/>
          <w:bCs/>
          <w:color w:val="auto"/>
          <w:szCs w:val="21"/>
          <w:highlight w:val="none"/>
        </w:rPr>
        <w:t>、设计负责人、施工负责人</w:t>
      </w:r>
    </w:p>
    <w:p w14:paraId="24B4E847">
      <w:pPr>
        <w:spacing w:line="360" w:lineRule="auto"/>
        <w:ind w:firstLine="420" w:firstLineChars="200"/>
        <w:rPr>
          <w:rFonts w:ascii="宋体" w:hAnsi="宋体"/>
          <w:color w:val="auto"/>
          <w:szCs w:val="21"/>
          <w:highlight w:val="none"/>
        </w:rPr>
      </w:pPr>
      <w:r>
        <w:rPr>
          <w:rFonts w:hint="eastAsia" w:ascii="宋体" w:hAnsi="宋体"/>
          <w:bCs/>
          <w:color w:val="auto"/>
          <w:szCs w:val="21"/>
          <w:highlight w:val="none"/>
        </w:rPr>
        <w:t>（1）</w:t>
      </w:r>
      <w:r>
        <w:rPr>
          <w:rFonts w:hint="eastAsia" w:ascii="宋体" w:hAnsi="宋体"/>
          <w:color w:val="auto"/>
          <w:szCs w:val="21"/>
          <w:highlight w:val="none"/>
        </w:rPr>
        <w:t>拟派总承包项目经理中标后按照合同约定到岗履职，到岗后不</w:t>
      </w:r>
      <w:r>
        <w:rPr>
          <w:color w:val="auto"/>
          <w:highlight w:val="none"/>
        </w:rPr>
        <w:t>在两个或者两个以上工程项目担任工程总承包项目经理、施工项目负责人</w:t>
      </w:r>
      <w:r>
        <w:rPr>
          <w:rFonts w:hint="eastAsia" w:ascii="宋体" w:hAnsi="宋体"/>
          <w:color w:val="auto"/>
          <w:szCs w:val="21"/>
          <w:highlight w:val="none"/>
        </w:rPr>
        <w:t>，签订合同时拟派的总承包项目经理与投标文件中的总承包项目经理一致，并满足办理相关手续的要求。不能按承诺到岗履约的，按合同相关条款接受处罚并上报行政主管部门，给招标人造成损失的，我司依法承担违约赔偿责任；</w:t>
      </w:r>
    </w:p>
    <w:p w14:paraId="5556DE92">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承诺拟派总承包项目经理未被重庆市住房和城乡建设主管部门暂停在渝承揽新业务，若被暂停且参加投标的投标将被否决；已取得中标候选人资格或中标资格的，招标人有权取消其中标候选人资格或中标资格；给招标人造成损失的，我司依法承担违约赔偿责任。</w:t>
      </w:r>
    </w:p>
    <w:p w14:paraId="3EEEFEF1">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2）拟派设计负责人中标后到岗任职，签订合同时拟派的设计负责人与投标文件中的设计负责人一致，并满足办理相关手续的要求。不能按承诺到岗履约的，按合同相关条款接受处罚并上报行政主管部门，给招标人造成损失的，我司依法承担违约赔偿责任；</w:t>
      </w:r>
    </w:p>
    <w:p w14:paraId="095FE225">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拟派设计负责人未被重庆市住房和城乡建设主管部门暂停在渝承揽新业务，若被暂停且参加投标的投标将被否决；已取得中标候选人资格或中标资格的，招标人有权取消其中标候选人资格或中标资格；给招标人造成损失的，我司依法承担违约赔偿责任。</w:t>
      </w:r>
    </w:p>
    <w:p w14:paraId="15F68AF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拟派施工负责人中标后只能在本项目任职，签订合同时拟派的施工负责人与投标文件中的施工负责人一致，并满足办理相关手续的要求。不能按承诺到岗履约的，按合同相关条款接受处罚并上报行政主管部门，给招标人造成损失的，我司依法承担违约赔偿责任；</w:t>
      </w:r>
    </w:p>
    <w:p w14:paraId="65A48AFF">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拟派施工负责人未被重庆市住房和城乡建设主管部门暂停在渝承揽新业务，若被暂停且参加投标的投标将被否决；已取得中标候选人资格或中标资格的，招标人有权取消其中标候选人资格或中标资格；给招标人造成损失的，我司依法承担违约赔偿责任。</w:t>
      </w:r>
    </w:p>
    <w:p w14:paraId="72E59128">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3、</w:t>
      </w:r>
      <w:r>
        <w:rPr>
          <w:rFonts w:ascii="宋体" w:hAnsi="宋体"/>
          <w:color w:val="auto"/>
          <w:szCs w:val="21"/>
          <w:highlight w:val="none"/>
        </w:rPr>
        <w:t>主要管理人员</w:t>
      </w:r>
    </w:p>
    <w:p w14:paraId="2D46861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我司中标后在签订合同之前，按照实际工作需要和建设行政主管部门的要求组建项目部，配置项目管理班子，出具任命文件。任命文件应当明确项目部的职责、岗位设置、人员配备，并书面通知招标人。主要管理人员持有建设行政主管部门要求的岗位证书或注册证书或职称证书，并提供我司为其缴纳的养老保险证明材料。中标后不能满足该要求的，取消我司中标资格，给招标人造成损失的，我司依法承担违约赔偿责任。</w:t>
      </w:r>
    </w:p>
    <w:p w14:paraId="1B94581D">
      <w:pPr>
        <w:spacing w:line="360" w:lineRule="auto"/>
        <w:ind w:firstLine="420" w:firstLineChars="200"/>
        <w:rPr>
          <w:rFonts w:ascii="宋体" w:hAnsi="宋体"/>
          <w:color w:val="auto"/>
          <w:szCs w:val="21"/>
          <w:highlight w:val="none"/>
        </w:rPr>
      </w:pPr>
      <w:r>
        <w:rPr>
          <w:rFonts w:hint="eastAsia" w:ascii="宋体" w:hAnsi="宋体"/>
          <w:color w:val="auto"/>
          <w:szCs w:val="21"/>
          <w:highlight w:val="none"/>
        </w:rPr>
        <w:t>4、我司在本资格审查部分中的相关证明材料真实有效，不存在弄虚作假情形。招标人在合同签订前均有权对我司提供的资料（如业绩截图信息等相关证明材料）进行核实，若发现弄虚作假，取消中标资格，并按相关法律法规报招标投标监督部门处理，投标保证金不予退还，我司自愿承担因此造成的相关责任并赔偿相应损失。</w:t>
      </w:r>
    </w:p>
    <w:p w14:paraId="70B46E40">
      <w:pPr>
        <w:spacing w:line="360" w:lineRule="auto"/>
        <w:ind w:firstLine="420" w:firstLineChars="200"/>
        <w:rPr>
          <w:rFonts w:ascii="宋体" w:hAnsi="宋体" w:cs="宋体"/>
          <w:color w:val="auto"/>
          <w:kern w:val="0"/>
          <w:highlight w:val="none"/>
        </w:rPr>
      </w:pPr>
      <w:r>
        <w:rPr>
          <w:rFonts w:ascii="宋体" w:hAnsi="宋体"/>
          <w:color w:val="auto"/>
          <w:szCs w:val="21"/>
          <w:highlight w:val="none"/>
        </w:rPr>
        <w:t>5</w:t>
      </w:r>
      <w:r>
        <w:rPr>
          <w:rFonts w:hint="eastAsia" w:ascii="宋体" w:hAnsi="宋体"/>
          <w:color w:val="auto"/>
          <w:szCs w:val="21"/>
          <w:highlight w:val="none"/>
        </w:rPr>
        <w:t>、投标文件</w:t>
      </w:r>
      <w:r>
        <w:rPr>
          <w:rFonts w:hint="eastAsia" w:ascii="宋体" w:hAnsi="宋体" w:cs="宋体"/>
          <w:color w:val="auto"/>
          <w:kern w:val="0"/>
          <w:highlight w:val="none"/>
        </w:rPr>
        <w:t>符合招标文件第四章“合同条款及格式”规定，投标文件中没有招标人不能接受的条件。</w:t>
      </w:r>
    </w:p>
    <w:p w14:paraId="7728B4C7">
      <w:pPr>
        <w:spacing w:line="360" w:lineRule="auto"/>
        <w:ind w:firstLine="420" w:firstLineChars="200"/>
        <w:rPr>
          <w:color w:val="auto"/>
          <w:highlight w:val="none"/>
        </w:rPr>
      </w:pPr>
      <w:r>
        <w:rPr>
          <w:color w:val="auto"/>
          <w:highlight w:val="none"/>
        </w:rPr>
        <w:t>6</w:t>
      </w:r>
      <w:r>
        <w:rPr>
          <w:rFonts w:hint="eastAsia"/>
          <w:color w:val="auto"/>
          <w:highlight w:val="none"/>
        </w:rPr>
        <w:t>、</w:t>
      </w:r>
      <w:r>
        <w:rPr>
          <w:rFonts w:hint="eastAsia" w:ascii="宋体" w:hAnsi="宋体" w:cs="宋体"/>
          <w:color w:val="auto"/>
          <w:kern w:val="0"/>
          <w:highlight w:val="none"/>
        </w:rPr>
        <w:t>技术标准和要求符合招标文件第六章“发包人要求”规定。</w:t>
      </w:r>
    </w:p>
    <w:p w14:paraId="385095F6">
      <w:pPr>
        <w:spacing w:line="360" w:lineRule="auto"/>
        <w:ind w:firstLine="420" w:firstLineChars="200"/>
        <w:rPr>
          <w:rFonts w:ascii="宋体" w:hAnsi="宋体"/>
          <w:color w:val="auto"/>
          <w:szCs w:val="21"/>
          <w:highlight w:val="none"/>
        </w:rPr>
      </w:pPr>
    </w:p>
    <w:p w14:paraId="62B41A64">
      <w:pPr>
        <w:spacing w:line="360" w:lineRule="auto"/>
        <w:ind w:firstLine="4620" w:firstLineChars="2200"/>
        <w:rPr>
          <w:rFonts w:ascii="宋体" w:hAnsi="宋体"/>
          <w:color w:val="auto"/>
          <w:kern w:val="0"/>
          <w:szCs w:val="21"/>
          <w:highlight w:val="none"/>
        </w:rPr>
      </w:pPr>
      <w:r>
        <w:rPr>
          <w:rFonts w:hint="eastAsia" w:ascii="宋体" w:hAnsi="宋体"/>
          <w:color w:val="auto"/>
          <w:szCs w:val="21"/>
          <w:highlight w:val="none"/>
        </w:rPr>
        <w:t>投标人：</w:t>
      </w:r>
      <w:r>
        <w:rPr>
          <w:rFonts w:ascii="宋体" w:hAnsi="宋体"/>
          <w:color w:val="auto"/>
          <w:szCs w:val="21"/>
          <w:highlight w:val="none"/>
          <w:u w:val="single"/>
        </w:rPr>
        <w:t xml:space="preserve">                     </w:t>
      </w:r>
      <w:r>
        <w:rPr>
          <w:rFonts w:ascii="宋体" w:hAnsi="宋体"/>
          <w:color w:val="auto"/>
          <w:kern w:val="0"/>
          <w:szCs w:val="21"/>
          <w:highlight w:val="none"/>
        </w:rPr>
        <w:t>（</w:t>
      </w:r>
      <w:r>
        <w:rPr>
          <w:rFonts w:ascii="宋体" w:hAnsi="宋体"/>
          <w:color w:val="auto"/>
          <w:spacing w:val="-1"/>
          <w:kern w:val="0"/>
          <w:szCs w:val="21"/>
          <w:highlight w:val="none"/>
        </w:rPr>
        <w:t>盖单位法人章</w:t>
      </w:r>
      <w:r>
        <w:rPr>
          <w:rFonts w:ascii="宋体" w:hAnsi="宋体"/>
          <w:color w:val="auto"/>
          <w:kern w:val="0"/>
          <w:szCs w:val="21"/>
          <w:highlight w:val="none"/>
        </w:rPr>
        <w:t>）</w:t>
      </w:r>
    </w:p>
    <w:p w14:paraId="2985607E">
      <w:pPr>
        <w:spacing w:line="360" w:lineRule="auto"/>
        <w:ind w:firstLine="4620" w:firstLineChars="2200"/>
        <w:rPr>
          <w:rFonts w:ascii="宋体" w:hAnsi="宋体"/>
          <w:color w:val="auto"/>
          <w:kern w:val="0"/>
          <w:szCs w:val="21"/>
          <w:highlight w:val="none"/>
        </w:rPr>
      </w:pPr>
      <w:r>
        <w:rPr>
          <w:rFonts w:hint="eastAsia" w:ascii="宋体" w:hAnsi="宋体"/>
          <w:color w:val="auto"/>
          <w:kern w:val="0"/>
          <w:szCs w:val="21"/>
          <w:highlight w:val="none"/>
        </w:rPr>
        <w:t>法定代表人：</w:t>
      </w:r>
      <w:r>
        <w:rPr>
          <w:rFonts w:hint="eastAsia" w:ascii="宋体" w:hAnsi="宋体"/>
          <w:color w:val="auto"/>
          <w:kern w:val="0"/>
          <w:szCs w:val="21"/>
          <w:highlight w:val="none"/>
          <w:u w:val="single"/>
        </w:rPr>
        <w:t xml:space="preserve"> </w:t>
      </w:r>
      <w:r>
        <w:rPr>
          <w:rFonts w:ascii="宋体" w:hAnsi="宋体"/>
          <w:color w:val="auto"/>
          <w:kern w:val="0"/>
          <w:szCs w:val="21"/>
          <w:highlight w:val="none"/>
          <w:u w:val="single"/>
        </w:rPr>
        <w:t xml:space="preserve">                 </w:t>
      </w:r>
      <w:r>
        <w:rPr>
          <w:rFonts w:hint="eastAsia" w:ascii="宋体" w:hAnsi="宋体"/>
          <w:color w:val="auto"/>
          <w:kern w:val="0"/>
          <w:szCs w:val="21"/>
          <w:highlight w:val="none"/>
        </w:rPr>
        <w:t>（签字或盖章）</w:t>
      </w:r>
    </w:p>
    <w:p w14:paraId="3D85B6D1">
      <w:pPr>
        <w:spacing w:line="360" w:lineRule="auto"/>
        <w:ind w:firstLine="6510" w:firstLineChars="3100"/>
        <w:rPr>
          <w:color w:val="auto"/>
          <w:highlight w:val="none"/>
        </w:rPr>
      </w:pPr>
      <w:r>
        <w:rPr>
          <w:rFonts w:hint="eastAsia" w:ascii="宋体" w:hAnsi="宋体"/>
          <w:color w:val="auto"/>
          <w:kern w:val="0"/>
          <w:szCs w:val="21"/>
          <w:highlight w:val="none"/>
          <w:u w:val="single"/>
        </w:rPr>
        <w:t xml:space="preserve">    </w:t>
      </w:r>
      <w:r>
        <w:rPr>
          <w:rFonts w:ascii="宋体" w:hAnsi="宋体"/>
          <w:color w:val="auto"/>
          <w:kern w:val="0"/>
          <w:szCs w:val="21"/>
          <w:highlight w:val="none"/>
        </w:rPr>
        <w:t>年</w:t>
      </w:r>
      <w:r>
        <w:rPr>
          <w:rFonts w:hint="eastAsia" w:ascii="宋体" w:hAnsi="宋体"/>
          <w:color w:val="auto"/>
          <w:kern w:val="0"/>
          <w:szCs w:val="21"/>
          <w:highlight w:val="none"/>
          <w:u w:val="single"/>
        </w:rPr>
        <w:t xml:space="preserve">    </w:t>
      </w:r>
      <w:r>
        <w:rPr>
          <w:rFonts w:ascii="宋体" w:hAnsi="宋体"/>
          <w:color w:val="auto"/>
          <w:kern w:val="0"/>
          <w:szCs w:val="21"/>
          <w:highlight w:val="none"/>
        </w:rPr>
        <w:t>月</w:t>
      </w:r>
      <w:r>
        <w:rPr>
          <w:rFonts w:hint="eastAsia" w:ascii="宋体" w:hAnsi="宋体"/>
          <w:color w:val="auto"/>
          <w:kern w:val="0"/>
          <w:szCs w:val="21"/>
          <w:highlight w:val="none"/>
          <w:u w:val="single"/>
        </w:rPr>
        <w:t xml:space="preserve">    </w:t>
      </w:r>
      <w:r>
        <w:rPr>
          <w:rFonts w:ascii="宋体" w:hAnsi="宋体"/>
          <w:color w:val="auto"/>
          <w:kern w:val="0"/>
          <w:szCs w:val="21"/>
          <w:highlight w:val="none"/>
        </w:rPr>
        <w:t>日</w:t>
      </w:r>
    </w:p>
    <w:p w14:paraId="6797A05C">
      <w:pPr>
        <w:rPr>
          <w:color w:val="auto"/>
          <w:highlight w:val="none"/>
        </w:rPr>
      </w:pPr>
    </w:p>
    <w:p w14:paraId="1D829C89">
      <w:pPr>
        <w:rPr>
          <w:color w:val="auto"/>
          <w:highlight w:val="none"/>
        </w:rPr>
      </w:pPr>
    </w:p>
    <w:p w14:paraId="5BD8745C">
      <w:pPr>
        <w:rPr>
          <w:color w:val="auto"/>
          <w:highlight w:val="none"/>
        </w:rPr>
      </w:pPr>
    </w:p>
    <w:p w14:paraId="188BEA1F">
      <w:pPr>
        <w:rPr>
          <w:color w:val="auto"/>
          <w:highlight w:val="none"/>
        </w:rPr>
      </w:pPr>
    </w:p>
    <w:p w14:paraId="166EEFE4">
      <w:pPr>
        <w:rPr>
          <w:color w:val="auto"/>
          <w:highlight w:val="none"/>
        </w:rPr>
      </w:pPr>
    </w:p>
    <w:p w14:paraId="2692BDFF">
      <w:pPr>
        <w:rPr>
          <w:color w:val="auto"/>
          <w:highlight w:val="none"/>
        </w:rPr>
      </w:pPr>
    </w:p>
    <w:p w14:paraId="08575C17">
      <w:pPr>
        <w:rPr>
          <w:color w:val="auto"/>
          <w:highlight w:val="none"/>
        </w:rPr>
      </w:pPr>
    </w:p>
    <w:p w14:paraId="14747AF6">
      <w:pPr>
        <w:rPr>
          <w:color w:val="auto"/>
          <w:highlight w:val="none"/>
        </w:rPr>
      </w:pPr>
    </w:p>
    <w:p w14:paraId="5FE43B33">
      <w:pPr>
        <w:rPr>
          <w:color w:val="auto"/>
          <w:highlight w:val="none"/>
        </w:rPr>
      </w:pPr>
    </w:p>
    <w:p w14:paraId="189AE31C">
      <w:pPr>
        <w:rPr>
          <w:color w:val="auto"/>
          <w:highlight w:val="none"/>
        </w:rPr>
      </w:pPr>
    </w:p>
    <w:p w14:paraId="77D866EF">
      <w:pPr>
        <w:rPr>
          <w:color w:val="auto"/>
          <w:highlight w:val="none"/>
        </w:rPr>
      </w:pPr>
    </w:p>
    <w:p w14:paraId="068FCA7A">
      <w:pPr>
        <w:rPr>
          <w:color w:val="auto"/>
          <w:highlight w:val="none"/>
        </w:rPr>
      </w:pPr>
    </w:p>
    <w:p w14:paraId="395F7E11">
      <w:pPr>
        <w:rPr>
          <w:color w:val="auto"/>
          <w:highlight w:val="none"/>
        </w:rPr>
      </w:pPr>
    </w:p>
    <w:p w14:paraId="5B70F4DD">
      <w:pPr>
        <w:rPr>
          <w:color w:val="auto"/>
          <w:highlight w:val="none"/>
        </w:rPr>
      </w:pPr>
    </w:p>
    <w:p w14:paraId="4DF4B7CA">
      <w:pPr>
        <w:rPr>
          <w:color w:val="auto"/>
          <w:highlight w:val="none"/>
        </w:rPr>
      </w:pPr>
    </w:p>
    <w:p w14:paraId="78562162">
      <w:pPr>
        <w:pStyle w:val="5"/>
        <w:spacing w:before="0" w:line="360" w:lineRule="auto"/>
        <w:jc w:val="center"/>
        <w:rPr>
          <w:rFonts w:ascii="宋体" w:hAnsi="宋体"/>
          <w:color w:val="auto"/>
          <w:highlight w:val="none"/>
        </w:rPr>
      </w:pPr>
      <w:bookmarkStart w:id="2143" w:name="_Toc58860363"/>
      <w:r>
        <w:rPr>
          <w:rFonts w:hint="eastAsia" w:ascii="宋体" w:hAnsi="宋体"/>
          <w:b w:val="0"/>
          <w:color w:val="auto"/>
          <w:highlight w:val="none"/>
        </w:rPr>
        <w:t>（八）其他资料</w:t>
      </w:r>
      <w:bookmarkEnd w:id="2143"/>
    </w:p>
    <w:bookmarkEnd w:id="687"/>
    <w:bookmarkEnd w:id="688"/>
    <w:bookmarkEnd w:id="689"/>
    <w:p w14:paraId="1FCF2D71">
      <w:pPr>
        <w:spacing w:line="360" w:lineRule="auto"/>
        <w:ind w:firstLine="360" w:firstLineChars="200"/>
        <w:rPr>
          <w:rFonts w:hint="eastAsia" w:ascii="宋体" w:hAnsi="宋体"/>
          <w:color w:val="auto"/>
          <w:sz w:val="18"/>
          <w:szCs w:val="18"/>
          <w:highlight w:val="none"/>
        </w:rPr>
      </w:pPr>
      <w:r>
        <w:rPr>
          <w:rFonts w:hint="eastAsia" w:ascii="宋体" w:hAnsi="宋体"/>
          <w:color w:val="auto"/>
          <w:sz w:val="18"/>
          <w:szCs w:val="18"/>
          <w:highlight w:val="none"/>
        </w:rPr>
        <w:t>1. 投标保证金</w:t>
      </w:r>
    </w:p>
    <w:p w14:paraId="20524A90">
      <w:pPr>
        <w:spacing w:line="360" w:lineRule="auto"/>
        <w:ind w:firstLine="360" w:firstLineChars="200"/>
        <w:rPr>
          <w:rFonts w:ascii="宋体" w:hAnsi="宋体"/>
          <w:i/>
          <w:iCs/>
          <w:color w:val="auto"/>
          <w:sz w:val="18"/>
          <w:szCs w:val="18"/>
          <w:highlight w:val="none"/>
        </w:rPr>
      </w:pPr>
      <w:r>
        <w:rPr>
          <w:rFonts w:ascii="宋体" w:hAnsi="宋体"/>
          <w:i/>
          <w:iCs/>
          <w:color w:val="auto"/>
          <w:sz w:val="18"/>
          <w:szCs w:val="18"/>
          <w:highlight w:val="none"/>
        </w:rPr>
        <w:t>[提示：以转账支票或电汇形式交纳投标保证金的提供以下资料]</w:t>
      </w:r>
    </w:p>
    <w:p w14:paraId="4DFE3879">
      <w:pPr>
        <w:spacing w:line="360" w:lineRule="auto"/>
        <w:ind w:firstLine="360" w:firstLineChars="200"/>
        <w:rPr>
          <w:rFonts w:hint="eastAsia" w:ascii="宋体" w:hAnsi="宋体"/>
          <w:color w:val="auto"/>
          <w:sz w:val="18"/>
          <w:szCs w:val="18"/>
          <w:highlight w:val="none"/>
        </w:rPr>
      </w:pPr>
      <w:r>
        <w:rPr>
          <w:rFonts w:hint="eastAsia" w:ascii="宋体" w:hAnsi="宋体"/>
          <w:color w:val="auto"/>
          <w:sz w:val="18"/>
          <w:szCs w:val="18"/>
          <w:highlight w:val="none"/>
          <w:lang w:eastAsia="zh-CN"/>
        </w:rPr>
        <w:t>（</w:t>
      </w:r>
      <w:r>
        <w:rPr>
          <w:rFonts w:hint="eastAsia" w:ascii="宋体" w:hAnsi="宋体"/>
          <w:color w:val="auto"/>
          <w:sz w:val="18"/>
          <w:szCs w:val="18"/>
          <w:highlight w:val="none"/>
          <w:lang w:val="en-US" w:eastAsia="zh-CN"/>
        </w:rPr>
        <w:t>1</w:t>
      </w:r>
      <w:r>
        <w:rPr>
          <w:rFonts w:hint="eastAsia" w:ascii="宋体" w:hAnsi="宋体"/>
          <w:color w:val="auto"/>
          <w:sz w:val="18"/>
          <w:szCs w:val="18"/>
          <w:highlight w:val="none"/>
          <w:lang w:eastAsia="zh-CN"/>
        </w:rPr>
        <w:t>）</w:t>
      </w:r>
      <w:r>
        <w:rPr>
          <w:rFonts w:hint="eastAsia" w:ascii="宋体" w:hAnsi="宋体"/>
          <w:color w:val="auto"/>
          <w:sz w:val="18"/>
          <w:szCs w:val="18"/>
          <w:highlight w:val="none"/>
        </w:rPr>
        <w:t>企业基本账户开户证明文件；</w:t>
      </w:r>
    </w:p>
    <w:p w14:paraId="3F5BCFC3">
      <w:pPr>
        <w:spacing w:line="360" w:lineRule="auto"/>
        <w:ind w:firstLine="360" w:firstLineChars="200"/>
        <w:rPr>
          <w:rFonts w:ascii="宋体" w:hAnsi="宋体"/>
          <w:i/>
          <w:iCs/>
          <w:color w:val="auto"/>
          <w:sz w:val="18"/>
          <w:szCs w:val="18"/>
          <w:highlight w:val="none"/>
        </w:rPr>
      </w:pPr>
      <w:r>
        <w:rPr>
          <w:rFonts w:ascii="宋体" w:hAnsi="宋体"/>
          <w:i/>
          <w:iCs/>
          <w:color w:val="auto"/>
          <w:sz w:val="18"/>
          <w:szCs w:val="18"/>
          <w:highlight w:val="none"/>
        </w:rPr>
        <w:t>[提示：以</w:t>
      </w:r>
      <w:r>
        <w:rPr>
          <w:rFonts w:hint="eastAsia" w:ascii="宋体" w:hAnsi="宋体"/>
          <w:i/>
          <w:iCs/>
          <w:color w:val="auto"/>
          <w:sz w:val="18"/>
          <w:szCs w:val="18"/>
          <w:highlight w:val="none"/>
          <w:lang w:val="en-US" w:eastAsia="zh-CN"/>
        </w:rPr>
        <w:t>纸质投标保函</w:t>
      </w:r>
      <w:r>
        <w:rPr>
          <w:rFonts w:ascii="宋体" w:hAnsi="宋体"/>
          <w:i/>
          <w:iCs/>
          <w:color w:val="auto"/>
          <w:sz w:val="18"/>
          <w:szCs w:val="18"/>
          <w:highlight w:val="none"/>
        </w:rPr>
        <w:t>形式交纳投标保证金的提供以下资料]</w:t>
      </w:r>
    </w:p>
    <w:p w14:paraId="0AF47FF4">
      <w:pPr>
        <w:spacing w:line="360" w:lineRule="auto"/>
        <w:ind w:firstLine="360" w:firstLineChars="200"/>
        <w:rPr>
          <w:rFonts w:hint="eastAsia" w:ascii="宋体" w:hAnsi="宋体" w:eastAsia="宋体"/>
          <w:color w:val="auto"/>
          <w:kern w:val="2"/>
          <w:sz w:val="18"/>
          <w:szCs w:val="18"/>
          <w:highlight w:val="none"/>
          <w:lang w:val="en-US" w:eastAsia="zh-CN"/>
        </w:rPr>
      </w:pPr>
      <w:r>
        <w:rPr>
          <w:rFonts w:hint="eastAsia" w:ascii="宋体" w:hAnsi="宋体"/>
          <w:color w:val="auto"/>
          <w:kern w:val="2"/>
          <w:sz w:val="18"/>
          <w:szCs w:val="18"/>
          <w:highlight w:val="none"/>
          <w:lang w:val="en-US" w:eastAsia="zh-CN"/>
        </w:rPr>
        <w:t>（1）纸质</w:t>
      </w:r>
      <w:r>
        <w:rPr>
          <w:rFonts w:hint="eastAsia" w:ascii="宋体" w:hAnsi="宋体"/>
          <w:color w:val="auto"/>
          <w:kern w:val="2"/>
          <w:sz w:val="18"/>
          <w:szCs w:val="18"/>
          <w:highlight w:val="none"/>
        </w:rPr>
        <w:t>投标保函正本</w:t>
      </w:r>
      <w:r>
        <w:rPr>
          <w:rFonts w:hint="eastAsia" w:ascii="宋体" w:hAnsi="宋体"/>
          <w:color w:val="auto"/>
          <w:kern w:val="2"/>
          <w:sz w:val="18"/>
          <w:szCs w:val="18"/>
          <w:highlight w:val="none"/>
          <w:lang w:eastAsia="zh-CN"/>
        </w:rPr>
        <w:t>；</w:t>
      </w:r>
    </w:p>
    <w:p w14:paraId="4B00041B">
      <w:pPr>
        <w:spacing w:line="360" w:lineRule="auto"/>
        <w:ind w:firstLine="360" w:firstLineChars="200"/>
        <w:rPr>
          <w:rFonts w:hint="eastAsia" w:ascii="宋体" w:hAnsi="宋体"/>
          <w:color w:val="auto"/>
          <w:sz w:val="18"/>
          <w:szCs w:val="18"/>
          <w:highlight w:val="none"/>
        </w:rPr>
      </w:pPr>
      <w:r>
        <w:rPr>
          <w:rFonts w:hint="eastAsia" w:ascii="宋体" w:hAnsi="宋体"/>
          <w:color w:val="auto"/>
          <w:kern w:val="2"/>
          <w:sz w:val="18"/>
          <w:szCs w:val="18"/>
          <w:highlight w:val="none"/>
          <w:lang w:val="en-US" w:eastAsia="zh-CN"/>
        </w:rPr>
        <w:t>（2）纸质</w:t>
      </w:r>
      <w:r>
        <w:rPr>
          <w:rFonts w:hint="eastAsia" w:ascii="宋体" w:hAnsi="宋体"/>
          <w:color w:val="auto"/>
          <w:kern w:val="2"/>
          <w:sz w:val="18"/>
          <w:szCs w:val="18"/>
          <w:highlight w:val="none"/>
        </w:rPr>
        <w:t>投标保函的</w:t>
      </w:r>
      <w:r>
        <w:rPr>
          <w:rFonts w:hint="eastAsia" w:ascii="宋体" w:hAnsi="宋体"/>
          <w:color w:val="auto"/>
          <w:kern w:val="2"/>
          <w:sz w:val="18"/>
          <w:szCs w:val="18"/>
          <w:highlight w:val="none"/>
          <w:lang w:eastAsia="zh-CN"/>
        </w:rPr>
        <w:t>核验</w:t>
      </w:r>
      <w:r>
        <w:rPr>
          <w:rFonts w:hint="eastAsia" w:ascii="宋体" w:hAnsi="宋体"/>
          <w:color w:val="auto"/>
          <w:kern w:val="2"/>
          <w:sz w:val="18"/>
          <w:szCs w:val="18"/>
          <w:highlight w:val="none"/>
        </w:rPr>
        <w:t>地点、方式和联系人</w:t>
      </w:r>
      <w:r>
        <w:rPr>
          <w:rFonts w:hint="eastAsia" w:ascii="宋体" w:hAnsi="宋体"/>
          <w:color w:val="auto"/>
          <w:kern w:val="2"/>
          <w:sz w:val="18"/>
          <w:szCs w:val="18"/>
          <w:highlight w:val="none"/>
          <w:lang w:eastAsia="zh-CN"/>
        </w:rPr>
        <w:t>；</w:t>
      </w:r>
    </w:p>
    <w:p w14:paraId="12E4D3D8">
      <w:pPr>
        <w:spacing w:line="360" w:lineRule="auto"/>
        <w:ind w:firstLine="360" w:firstLineChars="200"/>
        <w:rPr>
          <w:rFonts w:ascii="宋体" w:hAnsi="宋体"/>
          <w:color w:val="auto"/>
          <w:sz w:val="18"/>
          <w:szCs w:val="18"/>
          <w:highlight w:val="none"/>
        </w:rPr>
      </w:pPr>
      <w:r>
        <w:rPr>
          <w:rFonts w:hint="eastAsia" w:ascii="宋体" w:hAnsi="宋体"/>
          <w:color w:val="auto"/>
          <w:sz w:val="18"/>
          <w:szCs w:val="18"/>
          <w:highlight w:val="none"/>
        </w:rPr>
        <w:t xml:space="preserve">2. </w:t>
      </w:r>
    </w:p>
    <w:p w14:paraId="4B655B7B">
      <w:pPr>
        <w:spacing w:line="360" w:lineRule="auto"/>
        <w:ind w:firstLine="360" w:firstLineChars="200"/>
        <w:rPr>
          <w:rFonts w:ascii="宋体" w:hAnsi="宋体"/>
          <w:color w:val="auto"/>
          <w:sz w:val="18"/>
          <w:szCs w:val="18"/>
          <w:highlight w:val="none"/>
        </w:rPr>
      </w:pPr>
      <w:r>
        <w:rPr>
          <w:rFonts w:ascii="宋体" w:hAnsi="宋体"/>
          <w:color w:val="auto"/>
          <w:sz w:val="18"/>
          <w:szCs w:val="18"/>
          <w:highlight w:val="none"/>
        </w:rPr>
        <w:t>……</w:t>
      </w:r>
    </w:p>
    <w:p w14:paraId="0959463A">
      <w:pPr>
        <w:spacing w:line="480" w:lineRule="auto"/>
        <w:rPr>
          <w:rFonts w:ascii="宋体" w:hAnsi="宋体"/>
          <w:bCs/>
          <w:color w:val="auto"/>
          <w:szCs w:val="21"/>
          <w:highlight w:val="none"/>
        </w:rPr>
      </w:pPr>
    </w:p>
    <w:sectPr>
      <w:pgSz w:w="11906" w:h="16838"/>
      <w:pgMar w:top="1304" w:right="1134" w:bottom="130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ˎ̥">
    <w:altName w:val="Times New Roman"/>
    <w:panose1 w:val="00000000000000000000"/>
    <w:charset w:val="00"/>
    <w:family w:val="auto"/>
    <w:pitch w:val="default"/>
    <w:sig w:usb0="00000000" w:usb1="00000000" w:usb2="00000000" w:usb3="00000000" w:csb0="00040001" w:csb1="00000000"/>
  </w:font>
  <w:font w:name="方正仿宋简体">
    <w:panose1 w:val="02010601030101010101"/>
    <w:charset w:val="86"/>
    <w:family w:val="auto"/>
    <w:pitch w:val="default"/>
    <w:sig w:usb0="00000001" w:usb1="080E0000" w:usb2="00000000" w:usb3="00000000" w:csb0="00040000" w:csb1="00000000"/>
  </w:font>
  <w:font w:name="方正书宋简体">
    <w:panose1 w:val="02010601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0" w:usb3="00000000" w:csb0="000001FF" w:csb1="00000000"/>
  </w:font>
  <w:font w:name="宋体 ，Arial">
    <w:altName w:val="宋体"/>
    <w:panose1 w:val="00000000000000000000"/>
    <w:charset w:val="86"/>
    <w:family w:val="roman"/>
    <w:pitch w:val="default"/>
    <w:sig w:usb0="00000000" w:usb1="00000000" w:usb2="00000010" w:usb3="00000000" w:csb0="00040000" w:csb1="00000000"/>
  </w:font>
  <w:font w:name="MingLiU_HKSCS">
    <w:altName w:val="PMingLiU-ExtB"/>
    <w:panose1 w:val="02020500000000000000"/>
    <w:charset w:val="88"/>
    <w:family w:val="roman"/>
    <w:pitch w:val="default"/>
    <w:sig w:usb0="00000000" w:usb1="00000000" w:usb2="00000016" w:usb3="00000000" w:csb0="00100001" w:csb1="00000000"/>
  </w:font>
  <w:font w:name="新宋体">
    <w:panose1 w:val="02010609030101010101"/>
    <w:charset w:val="86"/>
    <w:family w:val="modern"/>
    <w:pitch w:val="default"/>
    <w:sig w:usb0="00000203" w:usb1="288F0000" w:usb2="00000006" w:usb3="00000000" w:csb0="00040001"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273C3">
    <w:pPr>
      <w:pStyle w:val="29"/>
      <w:framePr w:wrap="around" w:vAnchor="text" w:hAnchor="margin" w:xAlign="center" w:y="1"/>
      <w:rPr>
        <w:rStyle w:val="50"/>
      </w:rPr>
    </w:pPr>
    <w:r>
      <w:fldChar w:fldCharType="begin"/>
    </w:r>
    <w:r>
      <w:rPr>
        <w:rStyle w:val="50"/>
      </w:rPr>
      <w:instrText xml:space="preserve">PAGE  </w:instrText>
    </w:r>
    <w:r>
      <w:fldChar w:fldCharType="end"/>
    </w:r>
  </w:p>
  <w:p w14:paraId="2D3E430A">
    <w:pPr>
      <w:pStyle w:val="2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48E1B">
    <w:pPr>
      <w:pStyle w:val="29"/>
      <w:jc w:val="center"/>
    </w:pPr>
    <w:r>
      <w:t xml:space="preserve">- </w:t>
    </w:r>
    <w:r>
      <w:fldChar w:fldCharType="begin"/>
    </w:r>
    <w:r>
      <w:instrText xml:space="preserve"> PAGE </w:instrText>
    </w:r>
    <w:r>
      <w:fldChar w:fldCharType="separate"/>
    </w:r>
    <w:r>
      <w:t>1</w:t>
    </w:r>
    <w:r>
      <w:fldChar w:fldCharType="end"/>
    </w:r>
    <w:r>
      <w:t xml:space="preserve"> -</w:t>
    </w:r>
  </w:p>
  <w:p w14:paraId="6CAD5AD1">
    <w:pPr>
      <w:pStyle w:val="2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063BB">
    <w:pPr>
      <w:pStyle w:val="2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852772C">
                          <w:pPr>
                            <w:pStyle w:val="29"/>
                            <w:rPr>
                              <w:rStyle w:val="50"/>
                            </w:rPr>
                          </w:pPr>
                          <w:r>
                            <w:fldChar w:fldCharType="begin"/>
                          </w:r>
                          <w:r>
                            <w:rPr>
                              <w:rStyle w:val="50"/>
                            </w:rPr>
                            <w:instrText xml:space="preserve">PAGE  </w:instrText>
                          </w:r>
                          <w:r>
                            <w:fldChar w:fldCharType="separate"/>
                          </w:r>
                          <w:r>
                            <w:rPr>
                              <w:rStyle w:val="50"/>
                            </w:rPr>
                            <w:t>- 2 -</w:t>
                          </w:r>
                          <w:r>
                            <w:fldChar w:fldCharType="end"/>
                          </w:r>
                        </w:p>
                        <w:p w14:paraId="7E7880E6"/>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epDMnLAQAAlw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4tFkksxm6TFYftMFHbuvaI&#10;zHpcgYZa3HhK9J1FhdO2zEaYje1kpPLgP+4jtpA7S6gj1FQM55W5TbuVFuK5n7Oe/qf1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hpgkvTAAAABQEAAA8AAAAAAAAAAQAgAAAAIgAAAGRycy9kb3du&#10;cmV2LnhtbFBLAQIUABQAAAAIAIdO4kC3qQzJywEAAJcDAAAOAAAAAAAAAAEAIAAAACIBAABkcnMv&#10;ZTJvRG9jLnhtbFBLBQYAAAAABgAGAFkBAABfBQAAAAA=&#10;">
              <v:fill on="f" focussize="0,0"/>
              <v:stroke on="f" weight="1.25pt"/>
              <v:imagedata o:title=""/>
              <o:lock v:ext="edit" aspectratio="f"/>
              <v:textbox inset="0mm,0mm,0mm,0mm" style="mso-fit-shape-to-text:t;">
                <w:txbxContent>
                  <w:p w14:paraId="6852772C">
                    <w:pPr>
                      <w:pStyle w:val="29"/>
                      <w:rPr>
                        <w:rStyle w:val="50"/>
                      </w:rPr>
                    </w:pPr>
                    <w:r>
                      <w:fldChar w:fldCharType="begin"/>
                    </w:r>
                    <w:r>
                      <w:rPr>
                        <w:rStyle w:val="50"/>
                      </w:rPr>
                      <w:instrText xml:space="preserve">PAGE  </w:instrText>
                    </w:r>
                    <w:r>
                      <w:fldChar w:fldCharType="separate"/>
                    </w:r>
                    <w:r>
                      <w:rPr>
                        <w:rStyle w:val="50"/>
                      </w:rPr>
                      <w:t>- 2 -</w:t>
                    </w:r>
                    <w:r>
                      <w:fldChar w:fldCharType="end"/>
                    </w:r>
                  </w:p>
                  <w:p w14:paraId="7E7880E6"/>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25658">
    <w:pPr>
      <w:pStyle w:val="2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5EF31">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- 4 -</w:t>
    </w:r>
    <w:r>
      <w:fldChar w:fldCharType="end"/>
    </w:r>
  </w:p>
  <w:p w14:paraId="0061D71B">
    <w:pPr>
      <w:pStyle w:val="2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77C63">
    <w:pPr>
      <w:pStyle w:val="29"/>
      <w:jc w:val="center"/>
    </w:pPr>
    <w:r>
      <w:t xml:space="preserve">- </w:t>
    </w:r>
    <w:r>
      <w:fldChar w:fldCharType="begin"/>
    </w:r>
    <w:r>
      <w:instrText xml:space="preserve"> PAGE </w:instrText>
    </w:r>
    <w:r>
      <w:fldChar w:fldCharType="separate"/>
    </w:r>
    <w:r>
      <w:t>268</w:t>
    </w:r>
    <w:r>
      <w:fldChar w:fldCharType="end"/>
    </w:r>
    <w: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F56F27">
    <w:pPr>
      <w:pStyle w:val="29"/>
      <w:framePr w:wrap="around" w:vAnchor="text" w:hAnchor="margin" w:xAlign="center" w:y="1"/>
      <w:rPr>
        <w:rStyle w:val="50"/>
      </w:rPr>
    </w:pPr>
    <w:r>
      <w:fldChar w:fldCharType="begin"/>
    </w:r>
    <w:r>
      <w:rPr>
        <w:rStyle w:val="50"/>
      </w:rPr>
      <w:instrText xml:space="preserve">PAGE  </w:instrText>
    </w:r>
    <w:r>
      <w:fldChar w:fldCharType="separate"/>
    </w:r>
    <w:r>
      <w:rPr>
        <w:rStyle w:val="50"/>
      </w:rPr>
      <w:t>264</w:t>
    </w:r>
    <w:r>
      <w:fldChar w:fldCharType="end"/>
    </w:r>
  </w:p>
  <w:p w14:paraId="2F28A5C9">
    <w:pPr>
      <w:pStyle w:val="2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1FDFF">
    <w:pPr>
      <w:pStyle w:val="3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474604"/>
    <w:multiLevelType w:val="multilevel"/>
    <w:tmpl w:val="17474604"/>
    <w:lvl w:ilvl="0" w:tentative="0">
      <w:start w:val="1"/>
      <w:numFmt w:val="decimal"/>
      <w:lvlText w:val="第%1条"/>
      <w:lvlJc w:val="left"/>
      <w:pPr>
        <w:ind w:left="0" w:firstLine="0"/>
      </w:pPr>
      <w:rPr>
        <w:rFonts w:hint="default" w:ascii="Times New Roman" w:hAnsi="Times New Roman" w:cs="Times New Roman"/>
      </w:rPr>
    </w:lvl>
    <w:lvl w:ilvl="1" w:tentative="0">
      <w:start w:val="1"/>
      <w:numFmt w:val="decimal"/>
      <w:lvlText w:val="%1.%2"/>
      <w:lvlJc w:val="left"/>
      <w:pPr>
        <w:ind w:left="1843" w:firstLine="0"/>
      </w:pPr>
      <w:rPr>
        <w:rFonts w:hint="default" w:ascii="Times New Roman" w:hAnsi="Times New Roman" w:cs="Times New Roman"/>
      </w:rPr>
    </w:lvl>
    <w:lvl w:ilvl="2" w:tentative="0">
      <w:start w:val="1"/>
      <w:numFmt w:val="decimal"/>
      <w:lvlText w:val="%1.%2.%3"/>
      <w:lvlJc w:val="left"/>
      <w:pPr>
        <w:ind w:left="2126" w:firstLine="0"/>
      </w:pPr>
      <w:rPr>
        <w:rFonts w:hint="default" w:ascii="Times New Roman" w:hAnsi="Times New Roman" w:cs="Times New Roman"/>
      </w:rPr>
    </w:lvl>
    <w:lvl w:ilvl="3" w:tentative="0">
      <w:start w:val="1"/>
      <w:numFmt w:val="decimal"/>
      <w:lvlText w:val="%1.%2.%3.%4"/>
      <w:lvlJc w:val="left"/>
      <w:pPr>
        <w:ind w:left="0" w:firstLine="0"/>
      </w:pPr>
      <w:rPr>
        <w:rFonts w:hint="default" w:ascii="Times New Roman" w:hAnsi="Times New Roman" w:cs="Times New Roman"/>
      </w:rPr>
    </w:lvl>
    <w:lvl w:ilvl="4" w:tentative="0">
      <w:start w:val="1"/>
      <w:numFmt w:val="decimal"/>
      <w:lvlText w:val="%1.%2.%3.%4.%5"/>
      <w:lvlJc w:val="left"/>
      <w:pPr>
        <w:ind w:left="0" w:firstLine="0"/>
      </w:pPr>
      <w:rPr>
        <w:rFonts w:hint="default" w:ascii="Times New Roman" w:hAnsi="Times New Roman" w:cs="Times New Roman"/>
      </w:rPr>
    </w:lvl>
    <w:lvl w:ilvl="5" w:tentative="0">
      <w:start w:val="1"/>
      <w:numFmt w:val="decimal"/>
      <w:lvlText w:val="%1.%2.%3.%4.%5.%6"/>
      <w:lvlJc w:val="left"/>
      <w:pPr>
        <w:ind w:left="0" w:firstLine="0"/>
      </w:pPr>
      <w:rPr>
        <w:rFonts w:hint="default" w:ascii="Times New Roman" w:hAnsi="Times New Roman" w:cs="Times New Roman"/>
      </w:rPr>
    </w:lvl>
    <w:lvl w:ilvl="6" w:tentative="0">
      <w:start w:val="1"/>
      <w:numFmt w:val="decimal"/>
      <w:lvlText w:val="%1.%2.%3.%4.%5.%6.%7"/>
      <w:lvlJc w:val="left"/>
      <w:pPr>
        <w:ind w:left="0" w:firstLine="0"/>
      </w:pPr>
      <w:rPr>
        <w:rFonts w:hint="default" w:ascii="Times New Roman" w:hAnsi="Times New Roman" w:cs="Times New Roman"/>
      </w:rPr>
    </w:lvl>
    <w:lvl w:ilvl="7" w:tentative="0">
      <w:start w:val="1"/>
      <w:numFmt w:val="decimal"/>
      <w:lvlText w:val="%1.%2.%3.%4.%5.%6.%7.%8"/>
      <w:lvlJc w:val="left"/>
      <w:pPr>
        <w:ind w:left="0" w:firstLine="0"/>
      </w:pPr>
      <w:rPr>
        <w:rFonts w:hint="default" w:ascii="Times New Roman" w:hAnsi="Times New Roman" w:cs="Times New Roman"/>
      </w:rPr>
    </w:lvl>
    <w:lvl w:ilvl="8" w:tentative="0">
      <w:start w:val="1"/>
      <w:numFmt w:val="decimal"/>
      <w:lvlText w:val="%1.%2.%3.%4.%5.%6.%7.%8.%9"/>
      <w:lvlJc w:val="left"/>
      <w:pPr>
        <w:ind w:left="0" w:firstLine="0"/>
      </w:pPr>
      <w:rPr>
        <w:rFonts w:hint="default" w:ascii="Times New Roman" w:hAnsi="Times New Roman"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mirrorMargins w:val="1"/>
  <w:bordersDoNotSurroundHeader w:val="1"/>
  <w:bordersDoNotSurroundFooter w:val="1"/>
  <w:hideSpellingErrors/>
  <w:documentProtection w:formatting="1"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B8"/>
    <w:rsid w:val="00001B1E"/>
    <w:rsid w:val="00001B4C"/>
    <w:rsid w:val="000027C8"/>
    <w:rsid w:val="00002D86"/>
    <w:rsid w:val="00003A3F"/>
    <w:rsid w:val="00005443"/>
    <w:rsid w:val="00005DD2"/>
    <w:rsid w:val="00005E79"/>
    <w:rsid w:val="000067A3"/>
    <w:rsid w:val="0000743B"/>
    <w:rsid w:val="000114D7"/>
    <w:rsid w:val="00013D3F"/>
    <w:rsid w:val="00014DF1"/>
    <w:rsid w:val="00015C9C"/>
    <w:rsid w:val="00015E12"/>
    <w:rsid w:val="0001647D"/>
    <w:rsid w:val="0001650A"/>
    <w:rsid w:val="0001665A"/>
    <w:rsid w:val="00017F2D"/>
    <w:rsid w:val="00020D53"/>
    <w:rsid w:val="00021228"/>
    <w:rsid w:val="000215EB"/>
    <w:rsid w:val="00022747"/>
    <w:rsid w:val="00022F4C"/>
    <w:rsid w:val="000239F5"/>
    <w:rsid w:val="00023AD6"/>
    <w:rsid w:val="00023B7F"/>
    <w:rsid w:val="00024492"/>
    <w:rsid w:val="00025160"/>
    <w:rsid w:val="00025644"/>
    <w:rsid w:val="0002592F"/>
    <w:rsid w:val="00025A05"/>
    <w:rsid w:val="00025DD0"/>
    <w:rsid w:val="000301A4"/>
    <w:rsid w:val="000316FE"/>
    <w:rsid w:val="00031F42"/>
    <w:rsid w:val="00032255"/>
    <w:rsid w:val="0003256A"/>
    <w:rsid w:val="00033076"/>
    <w:rsid w:val="00033847"/>
    <w:rsid w:val="000347EB"/>
    <w:rsid w:val="00034B81"/>
    <w:rsid w:val="00035320"/>
    <w:rsid w:val="0003558C"/>
    <w:rsid w:val="000355D8"/>
    <w:rsid w:val="00035E2F"/>
    <w:rsid w:val="000365B0"/>
    <w:rsid w:val="0003673D"/>
    <w:rsid w:val="00037549"/>
    <w:rsid w:val="00037672"/>
    <w:rsid w:val="00037A07"/>
    <w:rsid w:val="000415C5"/>
    <w:rsid w:val="000418B4"/>
    <w:rsid w:val="000426A8"/>
    <w:rsid w:val="000426EA"/>
    <w:rsid w:val="000434B1"/>
    <w:rsid w:val="000437CD"/>
    <w:rsid w:val="00044029"/>
    <w:rsid w:val="00046EAC"/>
    <w:rsid w:val="000477EA"/>
    <w:rsid w:val="00050329"/>
    <w:rsid w:val="00050A2B"/>
    <w:rsid w:val="00050F21"/>
    <w:rsid w:val="00050F49"/>
    <w:rsid w:val="00053B37"/>
    <w:rsid w:val="0005464B"/>
    <w:rsid w:val="00054784"/>
    <w:rsid w:val="00054C30"/>
    <w:rsid w:val="00054D78"/>
    <w:rsid w:val="00054F64"/>
    <w:rsid w:val="0005572F"/>
    <w:rsid w:val="00057103"/>
    <w:rsid w:val="000578DC"/>
    <w:rsid w:val="00057D13"/>
    <w:rsid w:val="00061927"/>
    <w:rsid w:val="00061B42"/>
    <w:rsid w:val="00062D58"/>
    <w:rsid w:val="00063C01"/>
    <w:rsid w:val="000640B5"/>
    <w:rsid w:val="000654D9"/>
    <w:rsid w:val="00065C93"/>
    <w:rsid w:val="00065F0A"/>
    <w:rsid w:val="000677BF"/>
    <w:rsid w:val="00067E50"/>
    <w:rsid w:val="000703E1"/>
    <w:rsid w:val="00070444"/>
    <w:rsid w:val="00070DB4"/>
    <w:rsid w:val="00070DF1"/>
    <w:rsid w:val="00072C40"/>
    <w:rsid w:val="0007377C"/>
    <w:rsid w:val="00073A9D"/>
    <w:rsid w:val="00074445"/>
    <w:rsid w:val="00074926"/>
    <w:rsid w:val="000753AE"/>
    <w:rsid w:val="000753B8"/>
    <w:rsid w:val="00075D9B"/>
    <w:rsid w:val="0007662F"/>
    <w:rsid w:val="00077788"/>
    <w:rsid w:val="000777DB"/>
    <w:rsid w:val="00077CEC"/>
    <w:rsid w:val="00081E58"/>
    <w:rsid w:val="00084056"/>
    <w:rsid w:val="00084085"/>
    <w:rsid w:val="000843AE"/>
    <w:rsid w:val="00084AD3"/>
    <w:rsid w:val="00084CA4"/>
    <w:rsid w:val="00085720"/>
    <w:rsid w:val="00085DDD"/>
    <w:rsid w:val="000869F5"/>
    <w:rsid w:val="00086F23"/>
    <w:rsid w:val="00090828"/>
    <w:rsid w:val="00090A07"/>
    <w:rsid w:val="00090FA6"/>
    <w:rsid w:val="00090FD7"/>
    <w:rsid w:val="00091BBD"/>
    <w:rsid w:val="000925AC"/>
    <w:rsid w:val="000927A3"/>
    <w:rsid w:val="00092F8F"/>
    <w:rsid w:val="00093265"/>
    <w:rsid w:val="0009358F"/>
    <w:rsid w:val="00094007"/>
    <w:rsid w:val="00095189"/>
    <w:rsid w:val="0009559A"/>
    <w:rsid w:val="00095DEF"/>
    <w:rsid w:val="000967E2"/>
    <w:rsid w:val="00096C42"/>
    <w:rsid w:val="00097C86"/>
    <w:rsid w:val="000A0398"/>
    <w:rsid w:val="000A055B"/>
    <w:rsid w:val="000A0D3C"/>
    <w:rsid w:val="000A2AF4"/>
    <w:rsid w:val="000A2CA5"/>
    <w:rsid w:val="000A41FD"/>
    <w:rsid w:val="000A4A55"/>
    <w:rsid w:val="000A569B"/>
    <w:rsid w:val="000A5FD2"/>
    <w:rsid w:val="000A7403"/>
    <w:rsid w:val="000A74B4"/>
    <w:rsid w:val="000B0A2E"/>
    <w:rsid w:val="000B0F51"/>
    <w:rsid w:val="000B1596"/>
    <w:rsid w:val="000B1B81"/>
    <w:rsid w:val="000B1DE8"/>
    <w:rsid w:val="000B283B"/>
    <w:rsid w:val="000B3303"/>
    <w:rsid w:val="000B3431"/>
    <w:rsid w:val="000B489F"/>
    <w:rsid w:val="000B4C5B"/>
    <w:rsid w:val="000B5039"/>
    <w:rsid w:val="000B55BE"/>
    <w:rsid w:val="000B5C3A"/>
    <w:rsid w:val="000B5E88"/>
    <w:rsid w:val="000B6027"/>
    <w:rsid w:val="000B6648"/>
    <w:rsid w:val="000B786B"/>
    <w:rsid w:val="000B7F67"/>
    <w:rsid w:val="000C079C"/>
    <w:rsid w:val="000C0EE5"/>
    <w:rsid w:val="000C13A1"/>
    <w:rsid w:val="000C1429"/>
    <w:rsid w:val="000C30AC"/>
    <w:rsid w:val="000C43EA"/>
    <w:rsid w:val="000C463E"/>
    <w:rsid w:val="000C4E06"/>
    <w:rsid w:val="000C5056"/>
    <w:rsid w:val="000C52AB"/>
    <w:rsid w:val="000C5AA2"/>
    <w:rsid w:val="000C5C93"/>
    <w:rsid w:val="000C5D12"/>
    <w:rsid w:val="000C6F15"/>
    <w:rsid w:val="000D1F8D"/>
    <w:rsid w:val="000D21F1"/>
    <w:rsid w:val="000D252E"/>
    <w:rsid w:val="000D2ED1"/>
    <w:rsid w:val="000D3548"/>
    <w:rsid w:val="000D3551"/>
    <w:rsid w:val="000D35B5"/>
    <w:rsid w:val="000D364E"/>
    <w:rsid w:val="000D42D0"/>
    <w:rsid w:val="000D5211"/>
    <w:rsid w:val="000D55BA"/>
    <w:rsid w:val="000D5B51"/>
    <w:rsid w:val="000D65FC"/>
    <w:rsid w:val="000D6B45"/>
    <w:rsid w:val="000D6FB3"/>
    <w:rsid w:val="000D7254"/>
    <w:rsid w:val="000D753D"/>
    <w:rsid w:val="000D76E1"/>
    <w:rsid w:val="000D7823"/>
    <w:rsid w:val="000E0D0C"/>
    <w:rsid w:val="000E0DB3"/>
    <w:rsid w:val="000E10A5"/>
    <w:rsid w:val="000E10B6"/>
    <w:rsid w:val="000E1A63"/>
    <w:rsid w:val="000E2F1C"/>
    <w:rsid w:val="000E33CF"/>
    <w:rsid w:val="000E3440"/>
    <w:rsid w:val="000E4C3D"/>
    <w:rsid w:val="000E6849"/>
    <w:rsid w:val="000E6F38"/>
    <w:rsid w:val="000E72B9"/>
    <w:rsid w:val="000F05AB"/>
    <w:rsid w:val="000F091D"/>
    <w:rsid w:val="000F1B68"/>
    <w:rsid w:val="000F2179"/>
    <w:rsid w:val="000F278B"/>
    <w:rsid w:val="000F2955"/>
    <w:rsid w:val="000F40C0"/>
    <w:rsid w:val="000F45C8"/>
    <w:rsid w:val="000F4BBE"/>
    <w:rsid w:val="000F50C6"/>
    <w:rsid w:val="000F51EA"/>
    <w:rsid w:val="000F5AD4"/>
    <w:rsid w:val="000F5B67"/>
    <w:rsid w:val="000F7CF5"/>
    <w:rsid w:val="00100471"/>
    <w:rsid w:val="001019D6"/>
    <w:rsid w:val="00101E5F"/>
    <w:rsid w:val="001025D9"/>
    <w:rsid w:val="00102EBB"/>
    <w:rsid w:val="001030B8"/>
    <w:rsid w:val="00105724"/>
    <w:rsid w:val="00105F22"/>
    <w:rsid w:val="001062D4"/>
    <w:rsid w:val="001066B1"/>
    <w:rsid w:val="00107F3E"/>
    <w:rsid w:val="001108D6"/>
    <w:rsid w:val="001109ED"/>
    <w:rsid w:val="00110A7F"/>
    <w:rsid w:val="00110F52"/>
    <w:rsid w:val="00111268"/>
    <w:rsid w:val="0011129F"/>
    <w:rsid w:val="00111C02"/>
    <w:rsid w:val="00111FF3"/>
    <w:rsid w:val="001128C3"/>
    <w:rsid w:val="00112A83"/>
    <w:rsid w:val="00113E49"/>
    <w:rsid w:val="00113E95"/>
    <w:rsid w:val="00114751"/>
    <w:rsid w:val="00114A01"/>
    <w:rsid w:val="00114CF3"/>
    <w:rsid w:val="00115CA3"/>
    <w:rsid w:val="00116F55"/>
    <w:rsid w:val="00116F93"/>
    <w:rsid w:val="00117445"/>
    <w:rsid w:val="00117B2C"/>
    <w:rsid w:val="0012046B"/>
    <w:rsid w:val="001209B5"/>
    <w:rsid w:val="00120E02"/>
    <w:rsid w:val="001214C7"/>
    <w:rsid w:val="00121F6B"/>
    <w:rsid w:val="00122362"/>
    <w:rsid w:val="0012259E"/>
    <w:rsid w:val="00122C0D"/>
    <w:rsid w:val="00122D4D"/>
    <w:rsid w:val="0012481C"/>
    <w:rsid w:val="001303A1"/>
    <w:rsid w:val="00131D1B"/>
    <w:rsid w:val="00132B99"/>
    <w:rsid w:val="00132BF1"/>
    <w:rsid w:val="001330BB"/>
    <w:rsid w:val="00134327"/>
    <w:rsid w:val="001347A9"/>
    <w:rsid w:val="00135872"/>
    <w:rsid w:val="00136D1E"/>
    <w:rsid w:val="0013772B"/>
    <w:rsid w:val="001377F8"/>
    <w:rsid w:val="00137F99"/>
    <w:rsid w:val="00141270"/>
    <w:rsid w:val="001440F2"/>
    <w:rsid w:val="00145318"/>
    <w:rsid w:val="001455A1"/>
    <w:rsid w:val="00145AE6"/>
    <w:rsid w:val="00145F46"/>
    <w:rsid w:val="001460D9"/>
    <w:rsid w:val="00146265"/>
    <w:rsid w:val="001466BF"/>
    <w:rsid w:val="00146976"/>
    <w:rsid w:val="00146C44"/>
    <w:rsid w:val="00146E47"/>
    <w:rsid w:val="001477E7"/>
    <w:rsid w:val="00147FD9"/>
    <w:rsid w:val="00150025"/>
    <w:rsid w:val="001506FD"/>
    <w:rsid w:val="00150964"/>
    <w:rsid w:val="00150A27"/>
    <w:rsid w:val="00150F2A"/>
    <w:rsid w:val="00151865"/>
    <w:rsid w:val="00151C9D"/>
    <w:rsid w:val="00152078"/>
    <w:rsid w:val="00154963"/>
    <w:rsid w:val="00154C44"/>
    <w:rsid w:val="0015596B"/>
    <w:rsid w:val="00155D1F"/>
    <w:rsid w:val="001561B1"/>
    <w:rsid w:val="001600A3"/>
    <w:rsid w:val="0016132F"/>
    <w:rsid w:val="0016174D"/>
    <w:rsid w:val="00161E36"/>
    <w:rsid w:val="00162B36"/>
    <w:rsid w:val="0016317C"/>
    <w:rsid w:val="00164DCB"/>
    <w:rsid w:val="00165642"/>
    <w:rsid w:val="00165B64"/>
    <w:rsid w:val="00165D82"/>
    <w:rsid w:val="00166C40"/>
    <w:rsid w:val="00166F24"/>
    <w:rsid w:val="00167BBE"/>
    <w:rsid w:val="00170108"/>
    <w:rsid w:val="001721A5"/>
    <w:rsid w:val="0017293A"/>
    <w:rsid w:val="00172A27"/>
    <w:rsid w:val="00172DEA"/>
    <w:rsid w:val="00172F37"/>
    <w:rsid w:val="00172F41"/>
    <w:rsid w:val="00173CBC"/>
    <w:rsid w:val="00174134"/>
    <w:rsid w:val="001745A8"/>
    <w:rsid w:val="00175461"/>
    <w:rsid w:val="00176A64"/>
    <w:rsid w:val="00176B11"/>
    <w:rsid w:val="00176C6C"/>
    <w:rsid w:val="00177E29"/>
    <w:rsid w:val="00177F8E"/>
    <w:rsid w:val="001806AD"/>
    <w:rsid w:val="00181796"/>
    <w:rsid w:val="001818BD"/>
    <w:rsid w:val="0018204B"/>
    <w:rsid w:val="00182F9F"/>
    <w:rsid w:val="00184528"/>
    <w:rsid w:val="00184AF6"/>
    <w:rsid w:val="001862DC"/>
    <w:rsid w:val="00186401"/>
    <w:rsid w:val="00186442"/>
    <w:rsid w:val="001866A1"/>
    <w:rsid w:val="00192735"/>
    <w:rsid w:val="00193696"/>
    <w:rsid w:val="00193896"/>
    <w:rsid w:val="0019411E"/>
    <w:rsid w:val="001947FB"/>
    <w:rsid w:val="00195720"/>
    <w:rsid w:val="001958B9"/>
    <w:rsid w:val="00196CDD"/>
    <w:rsid w:val="001975C9"/>
    <w:rsid w:val="00197C21"/>
    <w:rsid w:val="001A0221"/>
    <w:rsid w:val="001A065E"/>
    <w:rsid w:val="001A189F"/>
    <w:rsid w:val="001A2660"/>
    <w:rsid w:val="001A293D"/>
    <w:rsid w:val="001A2A77"/>
    <w:rsid w:val="001A3908"/>
    <w:rsid w:val="001A5133"/>
    <w:rsid w:val="001A77C4"/>
    <w:rsid w:val="001A7BE0"/>
    <w:rsid w:val="001B15C6"/>
    <w:rsid w:val="001B16ED"/>
    <w:rsid w:val="001B17D1"/>
    <w:rsid w:val="001B229E"/>
    <w:rsid w:val="001B2B2F"/>
    <w:rsid w:val="001B2DEF"/>
    <w:rsid w:val="001B412E"/>
    <w:rsid w:val="001B4136"/>
    <w:rsid w:val="001B48E0"/>
    <w:rsid w:val="001B4D7D"/>
    <w:rsid w:val="001B5125"/>
    <w:rsid w:val="001B5B97"/>
    <w:rsid w:val="001B6AA4"/>
    <w:rsid w:val="001C023F"/>
    <w:rsid w:val="001C02D5"/>
    <w:rsid w:val="001C0500"/>
    <w:rsid w:val="001C059B"/>
    <w:rsid w:val="001C0B84"/>
    <w:rsid w:val="001C1072"/>
    <w:rsid w:val="001C1E56"/>
    <w:rsid w:val="001C28B3"/>
    <w:rsid w:val="001C2CF6"/>
    <w:rsid w:val="001C4064"/>
    <w:rsid w:val="001C49F4"/>
    <w:rsid w:val="001C71D7"/>
    <w:rsid w:val="001D0BC6"/>
    <w:rsid w:val="001D0F66"/>
    <w:rsid w:val="001D125F"/>
    <w:rsid w:val="001D16DA"/>
    <w:rsid w:val="001D17FB"/>
    <w:rsid w:val="001D2271"/>
    <w:rsid w:val="001D251C"/>
    <w:rsid w:val="001D3B3D"/>
    <w:rsid w:val="001D42FF"/>
    <w:rsid w:val="001D4381"/>
    <w:rsid w:val="001D47CF"/>
    <w:rsid w:val="001D4A3E"/>
    <w:rsid w:val="001D4B38"/>
    <w:rsid w:val="001D6225"/>
    <w:rsid w:val="001D6439"/>
    <w:rsid w:val="001D655F"/>
    <w:rsid w:val="001D6D8C"/>
    <w:rsid w:val="001D6F4F"/>
    <w:rsid w:val="001D7108"/>
    <w:rsid w:val="001E054D"/>
    <w:rsid w:val="001E0FAD"/>
    <w:rsid w:val="001E1308"/>
    <w:rsid w:val="001E1520"/>
    <w:rsid w:val="001E19DD"/>
    <w:rsid w:val="001E19F9"/>
    <w:rsid w:val="001E2C16"/>
    <w:rsid w:val="001E2C7D"/>
    <w:rsid w:val="001E394D"/>
    <w:rsid w:val="001E3AAF"/>
    <w:rsid w:val="001E3D84"/>
    <w:rsid w:val="001E4F0E"/>
    <w:rsid w:val="001E594C"/>
    <w:rsid w:val="001E6BFA"/>
    <w:rsid w:val="001E78C1"/>
    <w:rsid w:val="001F07E9"/>
    <w:rsid w:val="001F0D0C"/>
    <w:rsid w:val="001F24B9"/>
    <w:rsid w:val="001F2E39"/>
    <w:rsid w:val="001F31AC"/>
    <w:rsid w:val="001F3815"/>
    <w:rsid w:val="001F3DB0"/>
    <w:rsid w:val="001F3E77"/>
    <w:rsid w:val="001F4501"/>
    <w:rsid w:val="001F57A7"/>
    <w:rsid w:val="001F5A67"/>
    <w:rsid w:val="00200822"/>
    <w:rsid w:val="00200EBF"/>
    <w:rsid w:val="00204651"/>
    <w:rsid w:val="00204D75"/>
    <w:rsid w:val="002050D7"/>
    <w:rsid w:val="002051B0"/>
    <w:rsid w:val="00205225"/>
    <w:rsid w:val="00205413"/>
    <w:rsid w:val="00205517"/>
    <w:rsid w:val="00205AEF"/>
    <w:rsid w:val="00205D72"/>
    <w:rsid w:val="0020686F"/>
    <w:rsid w:val="002076AA"/>
    <w:rsid w:val="0021027A"/>
    <w:rsid w:val="00212A14"/>
    <w:rsid w:val="00214D7A"/>
    <w:rsid w:val="00214D88"/>
    <w:rsid w:val="00215906"/>
    <w:rsid w:val="00215A2A"/>
    <w:rsid w:val="00215CBA"/>
    <w:rsid w:val="00215DA1"/>
    <w:rsid w:val="0021687E"/>
    <w:rsid w:val="002168E9"/>
    <w:rsid w:val="0021733C"/>
    <w:rsid w:val="002207FA"/>
    <w:rsid w:val="00221627"/>
    <w:rsid w:val="00221E51"/>
    <w:rsid w:val="00221F8E"/>
    <w:rsid w:val="00221FE1"/>
    <w:rsid w:val="002220C5"/>
    <w:rsid w:val="00222689"/>
    <w:rsid w:val="00222B37"/>
    <w:rsid w:val="00223852"/>
    <w:rsid w:val="002238A4"/>
    <w:rsid w:val="00223ADA"/>
    <w:rsid w:val="002245B9"/>
    <w:rsid w:val="00225099"/>
    <w:rsid w:val="002250CA"/>
    <w:rsid w:val="0022607A"/>
    <w:rsid w:val="00226152"/>
    <w:rsid w:val="002264D0"/>
    <w:rsid w:val="002270BE"/>
    <w:rsid w:val="002300C2"/>
    <w:rsid w:val="00231406"/>
    <w:rsid w:val="00232113"/>
    <w:rsid w:val="002329B7"/>
    <w:rsid w:val="00232AD2"/>
    <w:rsid w:val="002343A7"/>
    <w:rsid w:val="0023462F"/>
    <w:rsid w:val="00234BF0"/>
    <w:rsid w:val="00236493"/>
    <w:rsid w:val="002369E6"/>
    <w:rsid w:val="00237DCC"/>
    <w:rsid w:val="00237DD3"/>
    <w:rsid w:val="00237F17"/>
    <w:rsid w:val="0024052C"/>
    <w:rsid w:val="002410BB"/>
    <w:rsid w:val="0024122A"/>
    <w:rsid w:val="00241889"/>
    <w:rsid w:val="002425D7"/>
    <w:rsid w:val="00243253"/>
    <w:rsid w:val="002432CD"/>
    <w:rsid w:val="002476F0"/>
    <w:rsid w:val="00247DA6"/>
    <w:rsid w:val="00247DDB"/>
    <w:rsid w:val="00251F81"/>
    <w:rsid w:val="002522A3"/>
    <w:rsid w:val="0025253B"/>
    <w:rsid w:val="002526AC"/>
    <w:rsid w:val="00252997"/>
    <w:rsid w:val="00253DE9"/>
    <w:rsid w:val="00254512"/>
    <w:rsid w:val="00254725"/>
    <w:rsid w:val="002555DD"/>
    <w:rsid w:val="002555E1"/>
    <w:rsid w:val="00255C94"/>
    <w:rsid w:val="0025606A"/>
    <w:rsid w:val="00257031"/>
    <w:rsid w:val="00257CB4"/>
    <w:rsid w:val="002603C8"/>
    <w:rsid w:val="0026138C"/>
    <w:rsid w:val="00262012"/>
    <w:rsid w:val="0026466E"/>
    <w:rsid w:val="00264973"/>
    <w:rsid w:val="00264D7B"/>
    <w:rsid w:val="00264EBF"/>
    <w:rsid w:val="00265DD9"/>
    <w:rsid w:val="002667EA"/>
    <w:rsid w:val="002667EF"/>
    <w:rsid w:val="00266C56"/>
    <w:rsid w:val="00267A99"/>
    <w:rsid w:val="002702C1"/>
    <w:rsid w:val="00270795"/>
    <w:rsid w:val="0027264B"/>
    <w:rsid w:val="002736CE"/>
    <w:rsid w:val="002742E2"/>
    <w:rsid w:val="00274CFD"/>
    <w:rsid w:val="00274ED6"/>
    <w:rsid w:val="002752C6"/>
    <w:rsid w:val="002755EF"/>
    <w:rsid w:val="0027586B"/>
    <w:rsid w:val="00276BC6"/>
    <w:rsid w:val="00276C59"/>
    <w:rsid w:val="0027792D"/>
    <w:rsid w:val="00280406"/>
    <w:rsid w:val="00281357"/>
    <w:rsid w:val="00281EFB"/>
    <w:rsid w:val="002830A8"/>
    <w:rsid w:val="00283515"/>
    <w:rsid w:val="00283721"/>
    <w:rsid w:val="00283BAD"/>
    <w:rsid w:val="0028466A"/>
    <w:rsid w:val="002846E8"/>
    <w:rsid w:val="00284F98"/>
    <w:rsid w:val="0028561D"/>
    <w:rsid w:val="00285FF7"/>
    <w:rsid w:val="002860F1"/>
    <w:rsid w:val="00286CF3"/>
    <w:rsid w:val="00287428"/>
    <w:rsid w:val="002907E7"/>
    <w:rsid w:val="00291148"/>
    <w:rsid w:val="00292278"/>
    <w:rsid w:val="0029450F"/>
    <w:rsid w:val="00295263"/>
    <w:rsid w:val="00295B82"/>
    <w:rsid w:val="0029631A"/>
    <w:rsid w:val="00297BEE"/>
    <w:rsid w:val="002A05DC"/>
    <w:rsid w:val="002A08D2"/>
    <w:rsid w:val="002A0F20"/>
    <w:rsid w:val="002A164A"/>
    <w:rsid w:val="002A3274"/>
    <w:rsid w:val="002A32D9"/>
    <w:rsid w:val="002A59B9"/>
    <w:rsid w:val="002A639F"/>
    <w:rsid w:val="002A73A8"/>
    <w:rsid w:val="002B13CB"/>
    <w:rsid w:val="002B1854"/>
    <w:rsid w:val="002B1A51"/>
    <w:rsid w:val="002B2AE1"/>
    <w:rsid w:val="002B3159"/>
    <w:rsid w:val="002B3A8F"/>
    <w:rsid w:val="002B3E1F"/>
    <w:rsid w:val="002B4646"/>
    <w:rsid w:val="002B46AF"/>
    <w:rsid w:val="002B5324"/>
    <w:rsid w:val="002B5533"/>
    <w:rsid w:val="002B5C91"/>
    <w:rsid w:val="002B5F4B"/>
    <w:rsid w:val="002B6603"/>
    <w:rsid w:val="002B6F5F"/>
    <w:rsid w:val="002C0828"/>
    <w:rsid w:val="002C124B"/>
    <w:rsid w:val="002C1A0B"/>
    <w:rsid w:val="002C33AF"/>
    <w:rsid w:val="002C3B75"/>
    <w:rsid w:val="002C450A"/>
    <w:rsid w:val="002C47E9"/>
    <w:rsid w:val="002C4E26"/>
    <w:rsid w:val="002C4E6C"/>
    <w:rsid w:val="002C5092"/>
    <w:rsid w:val="002C54BF"/>
    <w:rsid w:val="002C5519"/>
    <w:rsid w:val="002C59CD"/>
    <w:rsid w:val="002C67E5"/>
    <w:rsid w:val="002C6F5D"/>
    <w:rsid w:val="002C7122"/>
    <w:rsid w:val="002D0639"/>
    <w:rsid w:val="002D08F4"/>
    <w:rsid w:val="002D097F"/>
    <w:rsid w:val="002D0D0C"/>
    <w:rsid w:val="002D1258"/>
    <w:rsid w:val="002D13E8"/>
    <w:rsid w:val="002D23B6"/>
    <w:rsid w:val="002D2807"/>
    <w:rsid w:val="002D2D97"/>
    <w:rsid w:val="002D3BDF"/>
    <w:rsid w:val="002D4093"/>
    <w:rsid w:val="002D426C"/>
    <w:rsid w:val="002D4721"/>
    <w:rsid w:val="002D472F"/>
    <w:rsid w:val="002D6CDA"/>
    <w:rsid w:val="002D6EFD"/>
    <w:rsid w:val="002E0D86"/>
    <w:rsid w:val="002E16AE"/>
    <w:rsid w:val="002E1795"/>
    <w:rsid w:val="002E1871"/>
    <w:rsid w:val="002E1A25"/>
    <w:rsid w:val="002E1C38"/>
    <w:rsid w:val="002E1DD9"/>
    <w:rsid w:val="002E3521"/>
    <w:rsid w:val="002E37F4"/>
    <w:rsid w:val="002E43A5"/>
    <w:rsid w:val="002E5665"/>
    <w:rsid w:val="002E660A"/>
    <w:rsid w:val="002E6E11"/>
    <w:rsid w:val="002E7318"/>
    <w:rsid w:val="002E75D0"/>
    <w:rsid w:val="002E7617"/>
    <w:rsid w:val="002E7C56"/>
    <w:rsid w:val="002E7D8E"/>
    <w:rsid w:val="002F06FF"/>
    <w:rsid w:val="002F210E"/>
    <w:rsid w:val="002F27B6"/>
    <w:rsid w:val="002F2B50"/>
    <w:rsid w:val="002F2C25"/>
    <w:rsid w:val="002F405F"/>
    <w:rsid w:val="002F491B"/>
    <w:rsid w:val="002F4953"/>
    <w:rsid w:val="002F4ACB"/>
    <w:rsid w:val="002F6F11"/>
    <w:rsid w:val="002F7430"/>
    <w:rsid w:val="002F777B"/>
    <w:rsid w:val="00300191"/>
    <w:rsid w:val="00300578"/>
    <w:rsid w:val="00300AAF"/>
    <w:rsid w:val="00300F8D"/>
    <w:rsid w:val="00301EDA"/>
    <w:rsid w:val="00304FC4"/>
    <w:rsid w:val="003056C3"/>
    <w:rsid w:val="003059F4"/>
    <w:rsid w:val="003066DD"/>
    <w:rsid w:val="0030689E"/>
    <w:rsid w:val="003068D7"/>
    <w:rsid w:val="003071B2"/>
    <w:rsid w:val="00307599"/>
    <w:rsid w:val="00310399"/>
    <w:rsid w:val="00310D8D"/>
    <w:rsid w:val="0031445A"/>
    <w:rsid w:val="003149F6"/>
    <w:rsid w:val="003158CF"/>
    <w:rsid w:val="00316368"/>
    <w:rsid w:val="003174B4"/>
    <w:rsid w:val="003175B8"/>
    <w:rsid w:val="0032047A"/>
    <w:rsid w:val="00320939"/>
    <w:rsid w:val="00320F9D"/>
    <w:rsid w:val="00321B76"/>
    <w:rsid w:val="00321BBE"/>
    <w:rsid w:val="0032224A"/>
    <w:rsid w:val="00323813"/>
    <w:rsid w:val="00325077"/>
    <w:rsid w:val="0032515F"/>
    <w:rsid w:val="003253BE"/>
    <w:rsid w:val="00325C89"/>
    <w:rsid w:val="0032679D"/>
    <w:rsid w:val="00326D1D"/>
    <w:rsid w:val="00326D79"/>
    <w:rsid w:val="00327D78"/>
    <w:rsid w:val="00327D80"/>
    <w:rsid w:val="00327E48"/>
    <w:rsid w:val="003302F7"/>
    <w:rsid w:val="00330D90"/>
    <w:rsid w:val="0033220C"/>
    <w:rsid w:val="00332321"/>
    <w:rsid w:val="00332437"/>
    <w:rsid w:val="00332A90"/>
    <w:rsid w:val="00332AB7"/>
    <w:rsid w:val="00332B68"/>
    <w:rsid w:val="00333E90"/>
    <w:rsid w:val="00334C69"/>
    <w:rsid w:val="00334E81"/>
    <w:rsid w:val="00335E6A"/>
    <w:rsid w:val="00337322"/>
    <w:rsid w:val="00340CDE"/>
    <w:rsid w:val="0034133E"/>
    <w:rsid w:val="003415A1"/>
    <w:rsid w:val="00342048"/>
    <w:rsid w:val="00342994"/>
    <w:rsid w:val="00342F54"/>
    <w:rsid w:val="0034365D"/>
    <w:rsid w:val="00343F87"/>
    <w:rsid w:val="00346101"/>
    <w:rsid w:val="00347C24"/>
    <w:rsid w:val="00347EB1"/>
    <w:rsid w:val="003508F6"/>
    <w:rsid w:val="00350C1C"/>
    <w:rsid w:val="0035113F"/>
    <w:rsid w:val="00351EEC"/>
    <w:rsid w:val="00351F0B"/>
    <w:rsid w:val="00351FF3"/>
    <w:rsid w:val="003529A8"/>
    <w:rsid w:val="00352B90"/>
    <w:rsid w:val="00353231"/>
    <w:rsid w:val="00353F39"/>
    <w:rsid w:val="003546F3"/>
    <w:rsid w:val="00354D6E"/>
    <w:rsid w:val="0035514C"/>
    <w:rsid w:val="00356084"/>
    <w:rsid w:val="0035688F"/>
    <w:rsid w:val="003568C0"/>
    <w:rsid w:val="00356E07"/>
    <w:rsid w:val="0036056A"/>
    <w:rsid w:val="003642D2"/>
    <w:rsid w:val="0036450C"/>
    <w:rsid w:val="00364574"/>
    <w:rsid w:val="0036546D"/>
    <w:rsid w:val="003664C3"/>
    <w:rsid w:val="003675A1"/>
    <w:rsid w:val="0036773D"/>
    <w:rsid w:val="00367FEB"/>
    <w:rsid w:val="003711C1"/>
    <w:rsid w:val="00371BC3"/>
    <w:rsid w:val="00371CBE"/>
    <w:rsid w:val="00371E9A"/>
    <w:rsid w:val="00372C24"/>
    <w:rsid w:val="00372C38"/>
    <w:rsid w:val="00372C9E"/>
    <w:rsid w:val="0037332F"/>
    <w:rsid w:val="00373AD4"/>
    <w:rsid w:val="0037428F"/>
    <w:rsid w:val="00374539"/>
    <w:rsid w:val="003747BD"/>
    <w:rsid w:val="00374DD5"/>
    <w:rsid w:val="0037504E"/>
    <w:rsid w:val="00375622"/>
    <w:rsid w:val="0037591D"/>
    <w:rsid w:val="0037720A"/>
    <w:rsid w:val="003774FC"/>
    <w:rsid w:val="00377D28"/>
    <w:rsid w:val="00377F5B"/>
    <w:rsid w:val="0038006D"/>
    <w:rsid w:val="00381EB9"/>
    <w:rsid w:val="0038206D"/>
    <w:rsid w:val="00383A53"/>
    <w:rsid w:val="00383A81"/>
    <w:rsid w:val="00383D6A"/>
    <w:rsid w:val="00384693"/>
    <w:rsid w:val="00385553"/>
    <w:rsid w:val="00385DC1"/>
    <w:rsid w:val="00385F02"/>
    <w:rsid w:val="0038641A"/>
    <w:rsid w:val="00386C13"/>
    <w:rsid w:val="00386DED"/>
    <w:rsid w:val="0038719C"/>
    <w:rsid w:val="00390E97"/>
    <w:rsid w:val="003924AE"/>
    <w:rsid w:val="00392E76"/>
    <w:rsid w:val="00393BF6"/>
    <w:rsid w:val="00393F1C"/>
    <w:rsid w:val="00393F6E"/>
    <w:rsid w:val="00394276"/>
    <w:rsid w:val="00394BA4"/>
    <w:rsid w:val="0039597A"/>
    <w:rsid w:val="0039697D"/>
    <w:rsid w:val="0039750E"/>
    <w:rsid w:val="00397618"/>
    <w:rsid w:val="00397731"/>
    <w:rsid w:val="00397EA7"/>
    <w:rsid w:val="003A1350"/>
    <w:rsid w:val="003A17CE"/>
    <w:rsid w:val="003A1920"/>
    <w:rsid w:val="003A1A61"/>
    <w:rsid w:val="003A2C3E"/>
    <w:rsid w:val="003A2D49"/>
    <w:rsid w:val="003A3487"/>
    <w:rsid w:val="003A3A6F"/>
    <w:rsid w:val="003A591A"/>
    <w:rsid w:val="003A5F2B"/>
    <w:rsid w:val="003A722D"/>
    <w:rsid w:val="003B01FB"/>
    <w:rsid w:val="003B0557"/>
    <w:rsid w:val="003B0E02"/>
    <w:rsid w:val="003B0FDA"/>
    <w:rsid w:val="003B1656"/>
    <w:rsid w:val="003B1FE7"/>
    <w:rsid w:val="003B231B"/>
    <w:rsid w:val="003B3157"/>
    <w:rsid w:val="003B3FC0"/>
    <w:rsid w:val="003B4786"/>
    <w:rsid w:val="003B56E2"/>
    <w:rsid w:val="003B602A"/>
    <w:rsid w:val="003B71D0"/>
    <w:rsid w:val="003B7450"/>
    <w:rsid w:val="003C0AEF"/>
    <w:rsid w:val="003C2C74"/>
    <w:rsid w:val="003C3055"/>
    <w:rsid w:val="003C4015"/>
    <w:rsid w:val="003C45E6"/>
    <w:rsid w:val="003C4969"/>
    <w:rsid w:val="003C568C"/>
    <w:rsid w:val="003C56E9"/>
    <w:rsid w:val="003C63A8"/>
    <w:rsid w:val="003C6725"/>
    <w:rsid w:val="003C6F78"/>
    <w:rsid w:val="003C7107"/>
    <w:rsid w:val="003D0D2D"/>
    <w:rsid w:val="003D14CC"/>
    <w:rsid w:val="003D16A1"/>
    <w:rsid w:val="003D16F1"/>
    <w:rsid w:val="003D1778"/>
    <w:rsid w:val="003D1B5E"/>
    <w:rsid w:val="003D1C9D"/>
    <w:rsid w:val="003D28A5"/>
    <w:rsid w:val="003D306D"/>
    <w:rsid w:val="003D30C9"/>
    <w:rsid w:val="003D472B"/>
    <w:rsid w:val="003D4F91"/>
    <w:rsid w:val="003D5092"/>
    <w:rsid w:val="003D6240"/>
    <w:rsid w:val="003D7D65"/>
    <w:rsid w:val="003E007A"/>
    <w:rsid w:val="003E0270"/>
    <w:rsid w:val="003E09C9"/>
    <w:rsid w:val="003E0CFA"/>
    <w:rsid w:val="003E0D77"/>
    <w:rsid w:val="003E0DA2"/>
    <w:rsid w:val="003E11B1"/>
    <w:rsid w:val="003E11D8"/>
    <w:rsid w:val="003E1873"/>
    <w:rsid w:val="003E25CD"/>
    <w:rsid w:val="003E25DA"/>
    <w:rsid w:val="003E2BDE"/>
    <w:rsid w:val="003E2DC6"/>
    <w:rsid w:val="003E2F13"/>
    <w:rsid w:val="003E3005"/>
    <w:rsid w:val="003E3092"/>
    <w:rsid w:val="003E386C"/>
    <w:rsid w:val="003E44BC"/>
    <w:rsid w:val="003E509B"/>
    <w:rsid w:val="003E60A8"/>
    <w:rsid w:val="003E6141"/>
    <w:rsid w:val="003E620D"/>
    <w:rsid w:val="003E6F86"/>
    <w:rsid w:val="003F0036"/>
    <w:rsid w:val="003F111F"/>
    <w:rsid w:val="003F1441"/>
    <w:rsid w:val="003F1A7F"/>
    <w:rsid w:val="003F330F"/>
    <w:rsid w:val="003F36C9"/>
    <w:rsid w:val="003F43BB"/>
    <w:rsid w:val="003F441E"/>
    <w:rsid w:val="003F4A7C"/>
    <w:rsid w:val="003F5144"/>
    <w:rsid w:val="003F584D"/>
    <w:rsid w:val="003F5DC0"/>
    <w:rsid w:val="003F73B2"/>
    <w:rsid w:val="0040067C"/>
    <w:rsid w:val="004012CF"/>
    <w:rsid w:val="0040177F"/>
    <w:rsid w:val="00401801"/>
    <w:rsid w:val="00402034"/>
    <w:rsid w:val="00402592"/>
    <w:rsid w:val="00402AC1"/>
    <w:rsid w:val="00402FB4"/>
    <w:rsid w:val="004032FE"/>
    <w:rsid w:val="00403576"/>
    <w:rsid w:val="00403A5F"/>
    <w:rsid w:val="00404A4F"/>
    <w:rsid w:val="00405414"/>
    <w:rsid w:val="004058F1"/>
    <w:rsid w:val="00405B47"/>
    <w:rsid w:val="00406172"/>
    <w:rsid w:val="004061C3"/>
    <w:rsid w:val="004068A2"/>
    <w:rsid w:val="0040716B"/>
    <w:rsid w:val="004071F1"/>
    <w:rsid w:val="00407301"/>
    <w:rsid w:val="00407985"/>
    <w:rsid w:val="00407FB6"/>
    <w:rsid w:val="00410BE9"/>
    <w:rsid w:val="004117D4"/>
    <w:rsid w:val="00411C6C"/>
    <w:rsid w:val="004133BA"/>
    <w:rsid w:val="00413638"/>
    <w:rsid w:val="00413B4D"/>
    <w:rsid w:val="00413ED4"/>
    <w:rsid w:val="00414B0A"/>
    <w:rsid w:val="00414B6F"/>
    <w:rsid w:val="00414DD6"/>
    <w:rsid w:val="004159EE"/>
    <w:rsid w:val="0041663C"/>
    <w:rsid w:val="00416E7D"/>
    <w:rsid w:val="00417D6B"/>
    <w:rsid w:val="00422EB1"/>
    <w:rsid w:val="00422F2E"/>
    <w:rsid w:val="004237E6"/>
    <w:rsid w:val="00424573"/>
    <w:rsid w:val="00425258"/>
    <w:rsid w:val="0042547A"/>
    <w:rsid w:val="0042551A"/>
    <w:rsid w:val="00425906"/>
    <w:rsid w:val="00425FAD"/>
    <w:rsid w:val="00426C16"/>
    <w:rsid w:val="00426CCD"/>
    <w:rsid w:val="00426F2C"/>
    <w:rsid w:val="00426F58"/>
    <w:rsid w:val="0042720C"/>
    <w:rsid w:val="004307C5"/>
    <w:rsid w:val="00430AD8"/>
    <w:rsid w:val="00430E04"/>
    <w:rsid w:val="004330CB"/>
    <w:rsid w:val="00433728"/>
    <w:rsid w:val="004338FB"/>
    <w:rsid w:val="00433CB6"/>
    <w:rsid w:val="00434569"/>
    <w:rsid w:val="00434775"/>
    <w:rsid w:val="00436264"/>
    <w:rsid w:val="0043688D"/>
    <w:rsid w:val="0044016F"/>
    <w:rsid w:val="004403BC"/>
    <w:rsid w:val="00440C8E"/>
    <w:rsid w:val="004411B0"/>
    <w:rsid w:val="0044183D"/>
    <w:rsid w:val="00441862"/>
    <w:rsid w:val="004422F3"/>
    <w:rsid w:val="004424D6"/>
    <w:rsid w:val="004426D5"/>
    <w:rsid w:val="00442B64"/>
    <w:rsid w:val="00443AA8"/>
    <w:rsid w:val="00444AFB"/>
    <w:rsid w:val="00444F38"/>
    <w:rsid w:val="00445131"/>
    <w:rsid w:val="00445781"/>
    <w:rsid w:val="00446057"/>
    <w:rsid w:val="00446F78"/>
    <w:rsid w:val="00447DDB"/>
    <w:rsid w:val="00450551"/>
    <w:rsid w:val="00450E73"/>
    <w:rsid w:val="00451333"/>
    <w:rsid w:val="00451AD8"/>
    <w:rsid w:val="00452BA8"/>
    <w:rsid w:val="00452C04"/>
    <w:rsid w:val="00452C3B"/>
    <w:rsid w:val="00453AEE"/>
    <w:rsid w:val="0045516B"/>
    <w:rsid w:val="00455783"/>
    <w:rsid w:val="00455C4E"/>
    <w:rsid w:val="00456C7D"/>
    <w:rsid w:val="0045701C"/>
    <w:rsid w:val="00457C26"/>
    <w:rsid w:val="004607DA"/>
    <w:rsid w:val="00460A63"/>
    <w:rsid w:val="00461886"/>
    <w:rsid w:val="004628A4"/>
    <w:rsid w:val="00462A0F"/>
    <w:rsid w:val="00464FEE"/>
    <w:rsid w:val="004657E9"/>
    <w:rsid w:val="00465B8F"/>
    <w:rsid w:val="00465BC5"/>
    <w:rsid w:val="00465D72"/>
    <w:rsid w:val="00467813"/>
    <w:rsid w:val="004704EB"/>
    <w:rsid w:val="0047068B"/>
    <w:rsid w:val="00470B02"/>
    <w:rsid w:val="00470D29"/>
    <w:rsid w:val="00471037"/>
    <w:rsid w:val="004738CC"/>
    <w:rsid w:val="00473922"/>
    <w:rsid w:val="004742F2"/>
    <w:rsid w:val="004749A9"/>
    <w:rsid w:val="00474B56"/>
    <w:rsid w:val="00474B70"/>
    <w:rsid w:val="004750DD"/>
    <w:rsid w:val="00475C7F"/>
    <w:rsid w:val="0047645E"/>
    <w:rsid w:val="00477CA6"/>
    <w:rsid w:val="00477F89"/>
    <w:rsid w:val="004806FB"/>
    <w:rsid w:val="004807F6"/>
    <w:rsid w:val="00480C5C"/>
    <w:rsid w:val="004815B3"/>
    <w:rsid w:val="004815E1"/>
    <w:rsid w:val="004824CC"/>
    <w:rsid w:val="00482F64"/>
    <w:rsid w:val="00482FF5"/>
    <w:rsid w:val="0048533A"/>
    <w:rsid w:val="004861E3"/>
    <w:rsid w:val="004864EC"/>
    <w:rsid w:val="00486E1F"/>
    <w:rsid w:val="00487255"/>
    <w:rsid w:val="004877A9"/>
    <w:rsid w:val="00490421"/>
    <w:rsid w:val="00490AD3"/>
    <w:rsid w:val="0049174C"/>
    <w:rsid w:val="00491E53"/>
    <w:rsid w:val="0049221E"/>
    <w:rsid w:val="0049286D"/>
    <w:rsid w:val="00492870"/>
    <w:rsid w:val="00492C5B"/>
    <w:rsid w:val="0049312E"/>
    <w:rsid w:val="004933BA"/>
    <w:rsid w:val="00493CD1"/>
    <w:rsid w:val="00494084"/>
    <w:rsid w:val="004944CE"/>
    <w:rsid w:val="00494BCE"/>
    <w:rsid w:val="0049512D"/>
    <w:rsid w:val="0049547D"/>
    <w:rsid w:val="004956F3"/>
    <w:rsid w:val="0049691A"/>
    <w:rsid w:val="00496A42"/>
    <w:rsid w:val="004975F7"/>
    <w:rsid w:val="00497B07"/>
    <w:rsid w:val="00497F32"/>
    <w:rsid w:val="00497F59"/>
    <w:rsid w:val="004A0046"/>
    <w:rsid w:val="004A14A9"/>
    <w:rsid w:val="004A195A"/>
    <w:rsid w:val="004A2078"/>
    <w:rsid w:val="004A2959"/>
    <w:rsid w:val="004A3BE1"/>
    <w:rsid w:val="004A45C0"/>
    <w:rsid w:val="004A4B79"/>
    <w:rsid w:val="004A5051"/>
    <w:rsid w:val="004A76BD"/>
    <w:rsid w:val="004A7948"/>
    <w:rsid w:val="004A7ADA"/>
    <w:rsid w:val="004B04F6"/>
    <w:rsid w:val="004B0657"/>
    <w:rsid w:val="004B134A"/>
    <w:rsid w:val="004B147C"/>
    <w:rsid w:val="004B1BC9"/>
    <w:rsid w:val="004B1FA7"/>
    <w:rsid w:val="004B256E"/>
    <w:rsid w:val="004B2D58"/>
    <w:rsid w:val="004B53F7"/>
    <w:rsid w:val="004B5F3B"/>
    <w:rsid w:val="004B709E"/>
    <w:rsid w:val="004C1884"/>
    <w:rsid w:val="004C2340"/>
    <w:rsid w:val="004C3A86"/>
    <w:rsid w:val="004C41B5"/>
    <w:rsid w:val="004C4606"/>
    <w:rsid w:val="004C52F8"/>
    <w:rsid w:val="004C552D"/>
    <w:rsid w:val="004C6663"/>
    <w:rsid w:val="004C70BF"/>
    <w:rsid w:val="004D011B"/>
    <w:rsid w:val="004D0F84"/>
    <w:rsid w:val="004D1CA0"/>
    <w:rsid w:val="004D207C"/>
    <w:rsid w:val="004D23CC"/>
    <w:rsid w:val="004D321D"/>
    <w:rsid w:val="004D3D5B"/>
    <w:rsid w:val="004D62A4"/>
    <w:rsid w:val="004D646A"/>
    <w:rsid w:val="004D6CB7"/>
    <w:rsid w:val="004D7170"/>
    <w:rsid w:val="004D786D"/>
    <w:rsid w:val="004E104C"/>
    <w:rsid w:val="004E20A4"/>
    <w:rsid w:val="004E25EB"/>
    <w:rsid w:val="004E2CC5"/>
    <w:rsid w:val="004E37B5"/>
    <w:rsid w:val="004E3C1F"/>
    <w:rsid w:val="004E42F1"/>
    <w:rsid w:val="004E5C08"/>
    <w:rsid w:val="004E61F6"/>
    <w:rsid w:val="004E6478"/>
    <w:rsid w:val="004E670B"/>
    <w:rsid w:val="004E755F"/>
    <w:rsid w:val="004E79D0"/>
    <w:rsid w:val="004E7DC0"/>
    <w:rsid w:val="004F18EA"/>
    <w:rsid w:val="004F1FAC"/>
    <w:rsid w:val="004F210D"/>
    <w:rsid w:val="004F22A2"/>
    <w:rsid w:val="004F2678"/>
    <w:rsid w:val="004F2DD9"/>
    <w:rsid w:val="004F4D07"/>
    <w:rsid w:val="004F6936"/>
    <w:rsid w:val="004F6BD5"/>
    <w:rsid w:val="004F74C3"/>
    <w:rsid w:val="004F7829"/>
    <w:rsid w:val="004F7B94"/>
    <w:rsid w:val="00500514"/>
    <w:rsid w:val="005005B7"/>
    <w:rsid w:val="00500628"/>
    <w:rsid w:val="005012CA"/>
    <w:rsid w:val="0050188D"/>
    <w:rsid w:val="0050246E"/>
    <w:rsid w:val="005024B2"/>
    <w:rsid w:val="00502BE6"/>
    <w:rsid w:val="00504207"/>
    <w:rsid w:val="005049DE"/>
    <w:rsid w:val="00504DDF"/>
    <w:rsid w:val="00505C40"/>
    <w:rsid w:val="00506BCC"/>
    <w:rsid w:val="00506D93"/>
    <w:rsid w:val="0050725D"/>
    <w:rsid w:val="00507D2E"/>
    <w:rsid w:val="00510C3C"/>
    <w:rsid w:val="00510F3D"/>
    <w:rsid w:val="0051174F"/>
    <w:rsid w:val="00511B7C"/>
    <w:rsid w:val="005121F6"/>
    <w:rsid w:val="005124E1"/>
    <w:rsid w:val="005126A3"/>
    <w:rsid w:val="00512791"/>
    <w:rsid w:val="00512A0B"/>
    <w:rsid w:val="00513FA7"/>
    <w:rsid w:val="00513FCB"/>
    <w:rsid w:val="005145EB"/>
    <w:rsid w:val="005149CC"/>
    <w:rsid w:val="00514D8B"/>
    <w:rsid w:val="00515513"/>
    <w:rsid w:val="00515A9C"/>
    <w:rsid w:val="00516A7C"/>
    <w:rsid w:val="00516B9F"/>
    <w:rsid w:val="00517675"/>
    <w:rsid w:val="0052022B"/>
    <w:rsid w:val="005202FC"/>
    <w:rsid w:val="0052138F"/>
    <w:rsid w:val="0052139B"/>
    <w:rsid w:val="00522BC7"/>
    <w:rsid w:val="00523E65"/>
    <w:rsid w:val="00523F75"/>
    <w:rsid w:val="00524397"/>
    <w:rsid w:val="00524716"/>
    <w:rsid w:val="005247F4"/>
    <w:rsid w:val="00524E6F"/>
    <w:rsid w:val="0052524B"/>
    <w:rsid w:val="00525557"/>
    <w:rsid w:val="00525833"/>
    <w:rsid w:val="00526131"/>
    <w:rsid w:val="00526E2B"/>
    <w:rsid w:val="00527756"/>
    <w:rsid w:val="0053229A"/>
    <w:rsid w:val="005325E0"/>
    <w:rsid w:val="0053293B"/>
    <w:rsid w:val="005333D5"/>
    <w:rsid w:val="00533653"/>
    <w:rsid w:val="00533882"/>
    <w:rsid w:val="00533A0E"/>
    <w:rsid w:val="005341E3"/>
    <w:rsid w:val="005348C6"/>
    <w:rsid w:val="00534E2A"/>
    <w:rsid w:val="00534F0D"/>
    <w:rsid w:val="005358BD"/>
    <w:rsid w:val="00536682"/>
    <w:rsid w:val="005374EA"/>
    <w:rsid w:val="00537BE1"/>
    <w:rsid w:val="005405A8"/>
    <w:rsid w:val="00540675"/>
    <w:rsid w:val="00540D77"/>
    <w:rsid w:val="005413F9"/>
    <w:rsid w:val="00541473"/>
    <w:rsid w:val="005417DF"/>
    <w:rsid w:val="00541A86"/>
    <w:rsid w:val="0054235C"/>
    <w:rsid w:val="0054329C"/>
    <w:rsid w:val="00543AC4"/>
    <w:rsid w:val="00545811"/>
    <w:rsid w:val="00545AAD"/>
    <w:rsid w:val="00545BF2"/>
    <w:rsid w:val="0054791B"/>
    <w:rsid w:val="0054798F"/>
    <w:rsid w:val="00550520"/>
    <w:rsid w:val="00550D07"/>
    <w:rsid w:val="00551A81"/>
    <w:rsid w:val="0055250D"/>
    <w:rsid w:val="00552BFC"/>
    <w:rsid w:val="00554298"/>
    <w:rsid w:val="0055676A"/>
    <w:rsid w:val="005567C4"/>
    <w:rsid w:val="00556CE0"/>
    <w:rsid w:val="00557892"/>
    <w:rsid w:val="00557913"/>
    <w:rsid w:val="00560AC2"/>
    <w:rsid w:val="00560BB3"/>
    <w:rsid w:val="00561FA5"/>
    <w:rsid w:val="00562274"/>
    <w:rsid w:val="005637D7"/>
    <w:rsid w:val="00563AEA"/>
    <w:rsid w:val="00564141"/>
    <w:rsid w:val="005644A8"/>
    <w:rsid w:val="00564947"/>
    <w:rsid w:val="00564E1B"/>
    <w:rsid w:val="00564F4F"/>
    <w:rsid w:val="0056698E"/>
    <w:rsid w:val="005676F1"/>
    <w:rsid w:val="00567723"/>
    <w:rsid w:val="00571233"/>
    <w:rsid w:val="0057130A"/>
    <w:rsid w:val="00571907"/>
    <w:rsid w:val="0057274D"/>
    <w:rsid w:val="00572924"/>
    <w:rsid w:val="005733B5"/>
    <w:rsid w:val="005738B8"/>
    <w:rsid w:val="00573BDF"/>
    <w:rsid w:val="00573CC6"/>
    <w:rsid w:val="00573E1E"/>
    <w:rsid w:val="005744A4"/>
    <w:rsid w:val="0057633C"/>
    <w:rsid w:val="005766A1"/>
    <w:rsid w:val="0057676F"/>
    <w:rsid w:val="005769A2"/>
    <w:rsid w:val="005815B7"/>
    <w:rsid w:val="00581682"/>
    <w:rsid w:val="00581B14"/>
    <w:rsid w:val="00582382"/>
    <w:rsid w:val="00582D77"/>
    <w:rsid w:val="00582DFB"/>
    <w:rsid w:val="00583203"/>
    <w:rsid w:val="0058364F"/>
    <w:rsid w:val="005842AD"/>
    <w:rsid w:val="005849EA"/>
    <w:rsid w:val="00585B55"/>
    <w:rsid w:val="00586CF4"/>
    <w:rsid w:val="0058762F"/>
    <w:rsid w:val="005877E5"/>
    <w:rsid w:val="005878E2"/>
    <w:rsid w:val="0058790A"/>
    <w:rsid w:val="00590842"/>
    <w:rsid w:val="00590CDB"/>
    <w:rsid w:val="00591928"/>
    <w:rsid w:val="00591D65"/>
    <w:rsid w:val="00592A43"/>
    <w:rsid w:val="00593DC3"/>
    <w:rsid w:val="0059433A"/>
    <w:rsid w:val="00594ECA"/>
    <w:rsid w:val="00595505"/>
    <w:rsid w:val="005964EC"/>
    <w:rsid w:val="00596A05"/>
    <w:rsid w:val="00596AB7"/>
    <w:rsid w:val="00596D1F"/>
    <w:rsid w:val="00596EBE"/>
    <w:rsid w:val="005977BD"/>
    <w:rsid w:val="005A1261"/>
    <w:rsid w:val="005A1469"/>
    <w:rsid w:val="005A1DB5"/>
    <w:rsid w:val="005A4C07"/>
    <w:rsid w:val="005A5DA5"/>
    <w:rsid w:val="005A5F3A"/>
    <w:rsid w:val="005A7422"/>
    <w:rsid w:val="005A76AD"/>
    <w:rsid w:val="005A79D6"/>
    <w:rsid w:val="005A7A28"/>
    <w:rsid w:val="005B0CAE"/>
    <w:rsid w:val="005B1893"/>
    <w:rsid w:val="005B1C4C"/>
    <w:rsid w:val="005B1ECD"/>
    <w:rsid w:val="005B2356"/>
    <w:rsid w:val="005B3807"/>
    <w:rsid w:val="005B43D5"/>
    <w:rsid w:val="005B4F87"/>
    <w:rsid w:val="005B542D"/>
    <w:rsid w:val="005B5D9A"/>
    <w:rsid w:val="005B677B"/>
    <w:rsid w:val="005C0004"/>
    <w:rsid w:val="005C1190"/>
    <w:rsid w:val="005C1A57"/>
    <w:rsid w:val="005C2098"/>
    <w:rsid w:val="005C2504"/>
    <w:rsid w:val="005C41C5"/>
    <w:rsid w:val="005C5B5C"/>
    <w:rsid w:val="005C62C3"/>
    <w:rsid w:val="005D1A4D"/>
    <w:rsid w:val="005D213D"/>
    <w:rsid w:val="005D22BA"/>
    <w:rsid w:val="005D2E9B"/>
    <w:rsid w:val="005D35F9"/>
    <w:rsid w:val="005D3719"/>
    <w:rsid w:val="005D4D8B"/>
    <w:rsid w:val="005D5BBA"/>
    <w:rsid w:val="005D629A"/>
    <w:rsid w:val="005D7183"/>
    <w:rsid w:val="005E0730"/>
    <w:rsid w:val="005E0759"/>
    <w:rsid w:val="005E0A8E"/>
    <w:rsid w:val="005E124F"/>
    <w:rsid w:val="005E16C5"/>
    <w:rsid w:val="005E1D48"/>
    <w:rsid w:val="005E1FF0"/>
    <w:rsid w:val="005E26FB"/>
    <w:rsid w:val="005E2B27"/>
    <w:rsid w:val="005E2C68"/>
    <w:rsid w:val="005E2F31"/>
    <w:rsid w:val="005E4400"/>
    <w:rsid w:val="005E5BDB"/>
    <w:rsid w:val="005E681E"/>
    <w:rsid w:val="005E776F"/>
    <w:rsid w:val="005F023F"/>
    <w:rsid w:val="005F0303"/>
    <w:rsid w:val="005F0635"/>
    <w:rsid w:val="005F0A40"/>
    <w:rsid w:val="005F0A77"/>
    <w:rsid w:val="005F0C3A"/>
    <w:rsid w:val="005F133C"/>
    <w:rsid w:val="005F1E3B"/>
    <w:rsid w:val="005F2C7A"/>
    <w:rsid w:val="005F30C1"/>
    <w:rsid w:val="005F3260"/>
    <w:rsid w:val="005F3EAD"/>
    <w:rsid w:val="005F4B8E"/>
    <w:rsid w:val="005F50F4"/>
    <w:rsid w:val="006002F0"/>
    <w:rsid w:val="0060077C"/>
    <w:rsid w:val="00600CD2"/>
    <w:rsid w:val="00601949"/>
    <w:rsid w:val="00601A2F"/>
    <w:rsid w:val="00602468"/>
    <w:rsid w:val="006028D2"/>
    <w:rsid w:val="00605D03"/>
    <w:rsid w:val="00605DDB"/>
    <w:rsid w:val="006061FB"/>
    <w:rsid w:val="00606EC0"/>
    <w:rsid w:val="00607AE9"/>
    <w:rsid w:val="00607B18"/>
    <w:rsid w:val="00610ED1"/>
    <w:rsid w:val="006112E4"/>
    <w:rsid w:val="006132AB"/>
    <w:rsid w:val="00613EE3"/>
    <w:rsid w:val="00613FE1"/>
    <w:rsid w:val="006140DF"/>
    <w:rsid w:val="00614799"/>
    <w:rsid w:val="00615ADB"/>
    <w:rsid w:val="00615DDA"/>
    <w:rsid w:val="00616156"/>
    <w:rsid w:val="00616DC1"/>
    <w:rsid w:val="00621192"/>
    <w:rsid w:val="0062287B"/>
    <w:rsid w:val="00623C2F"/>
    <w:rsid w:val="006242A7"/>
    <w:rsid w:val="0062464B"/>
    <w:rsid w:val="00624C04"/>
    <w:rsid w:val="00625243"/>
    <w:rsid w:val="00626A94"/>
    <w:rsid w:val="0062773D"/>
    <w:rsid w:val="0062794E"/>
    <w:rsid w:val="00627EF5"/>
    <w:rsid w:val="006303C8"/>
    <w:rsid w:val="0063103B"/>
    <w:rsid w:val="0063110A"/>
    <w:rsid w:val="006317AC"/>
    <w:rsid w:val="0063297F"/>
    <w:rsid w:val="006347A5"/>
    <w:rsid w:val="0063688A"/>
    <w:rsid w:val="00636E4F"/>
    <w:rsid w:val="00637C91"/>
    <w:rsid w:val="00640A23"/>
    <w:rsid w:val="006414E8"/>
    <w:rsid w:val="0064225F"/>
    <w:rsid w:val="00642829"/>
    <w:rsid w:val="00643351"/>
    <w:rsid w:val="0064392A"/>
    <w:rsid w:val="00643B9A"/>
    <w:rsid w:val="006443D9"/>
    <w:rsid w:val="00645167"/>
    <w:rsid w:val="0064565A"/>
    <w:rsid w:val="0064598C"/>
    <w:rsid w:val="00645DD1"/>
    <w:rsid w:val="006467D5"/>
    <w:rsid w:val="00646A04"/>
    <w:rsid w:val="00646E99"/>
    <w:rsid w:val="0064702D"/>
    <w:rsid w:val="006474D1"/>
    <w:rsid w:val="0065141B"/>
    <w:rsid w:val="00651C3D"/>
    <w:rsid w:val="00651CC5"/>
    <w:rsid w:val="00651DFD"/>
    <w:rsid w:val="00652286"/>
    <w:rsid w:val="006527CC"/>
    <w:rsid w:val="00653B6F"/>
    <w:rsid w:val="006549EA"/>
    <w:rsid w:val="00654A14"/>
    <w:rsid w:val="00654A45"/>
    <w:rsid w:val="00654D9A"/>
    <w:rsid w:val="0065537B"/>
    <w:rsid w:val="006555FB"/>
    <w:rsid w:val="0065672C"/>
    <w:rsid w:val="00657BC1"/>
    <w:rsid w:val="0066042B"/>
    <w:rsid w:val="00661205"/>
    <w:rsid w:val="00661519"/>
    <w:rsid w:val="0066358C"/>
    <w:rsid w:val="006650EA"/>
    <w:rsid w:val="00666821"/>
    <w:rsid w:val="00670441"/>
    <w:rsid w:val="006718E5"/>
    <w:rsid w:val="00671A10"/>
    <w:rsid w:val="00672CE5"/>
    <w:rsid w:val="00674103"/>
    <w:rsid w:val="00674F36"/>
    <w:rsid w:val="00674FDB"/>
    <w:rsid w:val="006753A4"/>
    <w:rsid w:val="00675DD9"/>
    <w:rsid w:val="006760D5"/>
    <w:rsid w:val="0067643C"/>
    <w:rsid w:val="00676C1D"/>
    <w:rsid w:val="00677D27"/>
    <w:rsid w:val="006801DE"/>
    <w:rsid w:val="0068077A"/>
    <w:rsid w:val="006809F0"/>
    <w:rsid w:val="006811ED"/>
    <w:rsid w:val="006815C2"/>
    <w:rsid w:val="006827F7"/>
    <w:rsid w:val="00682E75"/>
    <w:rsid w:val="006839A4"/>
    <w:rsid w:val="00683D0B"/>
    <w:rsid w:val="00683F5A"/>
    <w:rsid w:val="00685501"/>
    <w:rsid w:val="0068641B"/>
    <w:rsid w:val="006869A7"/>
    <w:rsid w:val="006869E5"/>
    <w:rsid w:val="00687107"/>
    <w:rsid w:val="0068752F"/>
    <w:rsid w:val="00691169"/>
    <w:rsid w:val="00691E55"/>
    <w:rsid w:val="006926BE"/>
    <w:rsid w:val="006938BA"/>
    <w:rsid w:val="0069402D"/>
    <w:rsid w:val="006940C2"/>
    <w:rsid w:val="00694876"/>
    <w:rsid w:val="00694A8B"/>
    <w:rsid w:val="00694E3C"/>
    <w:rsid w:val="00695AB4"/>
    <w:rsid w:val="00696FBE"/>
    <w:rsid w:val="006A00F4"/>
    <w:rsid w:val="006A06AA"/>
    <w:rsid w:val="006A096B"/>
    <w:rsid w:val="006A0E29"/>
    <w:rsid w:val="006A17EA"/>
    <w:rsid w:val="006A19B6"/>
    <w:rsid w:val="006A1A5D"/>
    <w:rsid w:val="006A2A92"/>
    <w:rsid w:val="006A3519"/>
    <w:rsid w:val="006A3DB7"/>
    <w:rsid w:val="006A47CB"/>
    <w:rsid w:val="006A635E"/>
    <w:rsid w:val="006A731A"/>
    <w:rsid w:val="006A7A44"/>
    <w:rsid w:val="006B01AE"/>
    <w:rsid w:val="006B0C7E"/>
    <w:rsid w:val="006B107F"/>
    <w:rsid w:val="006B1261"/>
    <w:rsid w:val="006B16A6"/>
    <w:rsid w:val="006B1EE4"/>
    <w:rsid w:val="006B228B"/>
    <w:rsid w:val="006B33D4"/>
    <w:rsid w:val="006B348A"/>
    <w:rsid w:val="006B3D38"/>
    <w:rsid w:val="006B4003"/>
    <w:rsid w:val="006B4F96"/>
    <w:rsid w:val="006B5BD6"/>
    <w:rsid w:val="006B5EB2"/>
    <w:rsid w:val="006B5F5D"/>
    <w:rsid w:val="006B6FB8"/>
    <w:rsid w:val="006C0208"/>
    <w:rsid w:val="006C0D18"/>
    <w:rsid w:val="006C19F2"/>
    <w:rsid w:val="006C2D29"/>
    <w:rsid w:val="006C358C"/>
    <w:rsid w:val="006C5F15"/>
    <w:rsid w:val="006C6A2A"/>
    <w:rsid w:val="006C7369"/>
    <w:rsid w:val="006C7791"/>
    <w:rsid w:val="006D09F4"/>
    <w:rsid w:val="006D0F43"/>
    <w:rsid w:val="006D13B7"/>
    <w:rsid w:val="006D1589"/>
    <w:rsid w:val="006D1920"/>
    <w:rsid w:val="006D1E11"/>
    <w:rsid w:val="006D397D"/>
    <w:rsid w:val="006D3D05"/>
    <w:rsid w:val="006D4276"/>
    <w:rsid w:val="006D56C0"/>
    <w:rsid w:val="006D5950"/>
    <w:rsid w:val="006D5B0B"/>
    <w:rsid w:val="006D63F3"/>
    <w:rsid w:val="006D65DB"/>
    <w:rsid w:val="006D660E"/>
    <w:rsid w:val="006D6652"/>
    <w:rsid w:val="006D69E1"/>
    <w:rsid w:val="006D6EA6"/>
    <w:rsid w:val="006E3AB9"/>
    <w:rsid w:val="006E4199"/>
    <w:rsid w:val="006E437C"/>
    <w:rsid w:val="006E471D"/>
    <w:rsid w:val="006E4760"/>
    <w:rsid w:val="006E4B23"/>
    <w:rsid w:val="006E50AF"/>
    <w:rsid w:val="006E5E47"/>
    <w:rsid w:val="006E6CD5"/>
    <w:rsid w:val="006E75F8"/>
    <w:rsid w:val="006E7915"/>
    <w:rsid w:val="006F21DF"/>
    <w:rsid w:val="006F22B4"/>
    <w:rsid w:val="006F2681"/>
    <w:rsid w:val="006F37F6"/>
    <w:rsid w:val="006F453E"/>
    <w:rsid w:val="006F5227"/>
    <w:rsid w:val="006F5759"/>
    <w:rsid w:val="006F5A07"/>
    <w:rsid w:val="006F5B3E"/>
    <w:rsid w:val="006F6BA4"/>
    <w:rsid w:val="006F7FC3"/>
    <w:rsid w:val="00700D25"/>
    <w:rsid w:val="0070125B"/>
    <w:rsid w:val="0070154F"/>
    <w:rsid w:val="00701BA5"/>
    <w:rsid w:val="007027FA"/>
    <w:rsid w:val="00704820"/>
    <w:rsid w:val="00705B58"/>
    <w:rsid w:val="00705FD1"/>
    <w:rsid w:val="0070762D"/>
    <w:rsid w:val="0071018D"/>
    <w:rsid w:val="007115CF"/>
    <w:rsid w:val="00711643"/>
    <w:rsid w:val="00713432"/>
    <w:rsid w:val="00713B15"/>
    <w:rsid w:val="00713B1F"/>
    <w:rsid w:val="007141D0"/>
    <w:rsid w:val="0071475A"/>
    <w:rsid w:val="00714A05"/>
    <w:rsid w:val="00715E70"/>
    <w:rsid w:val="0071695D"/>
    <w:rsid w:val="00716CC1"/>
    <w:rsid w:val="00717A56"/>
    <w:rsid w:val="00720F38"/>
    <w:rsid w:val="00721ECB"/>
    <w:rsid w:val="007229DE"/>
    <w:rsid w:val="00722B44"/>
    <w:rsid w:val="00722C6D"/>
    <w:rsid w:val="00722D39"/>
    <w:rsid w:val="00723F74"/>
    <w:rsid w:val="00724BD6"/>
    <w:rsid w:val="00724D6A"/>
    <w:rsid w:val="007251B2"/>
    <w:rsid w:val="007273C5"/>
    <w:rsid w:val="00727695"/>
    <w:rsid w:val="00727D4F"/>
    <w:rsid w:val="00730C6C"/>
    <w:rsid w:val="00730D5C"/>
    <w:rsid w:val="007323BE"/>
    <w:rsid w:val="0073255F"/>
    <w:rsid w:val="00733168"/>
    <w:rsid w:val="007335DB"/>
    <w:rsid w:val="0073384E"/>
    <w:rsid w:val="0073499B"/>
    <w:rsid w:val="007365F0"/>
    <w:rsid w:val="00736977"/>
    <w:rsid w:val="00737307"/>
    <w:rsid w:val="00737C7A"/>
    <w:rsid w:val="0074049E"/>
    <w:rsid w:val="00741AF0"/>
    <w:rsid w:val="0074257A"/>
    <w:rsid w:val="00742860"/>
    <w:rsid w:val="0074408D"/>
    <w:rsid w:val="007447A5"/>
    <w:rsid w:val="007455C8"/>
    <w:rsid w:val="00745C76"/>
    <w:rsid w:val="00745DEE"/>
    <w:rsid w:val="0074667D"/>
    <w:rsid w:val="0074697F"/>
    <w:rsid w:val="00747DC1"/>
    <w:rsid w:val="00747E7D"/>
    <w:rsid w:val="007507CF"/>
    <w:rsid w:val="0075081E"/>
    <w:rsid w:val="00751DDE"/>
    <w:rsid w:val="007523B9"/>
    <w:rsid w:val="00752749"/>
    <w:rsid w:val="00753B60"/>
    <w:rsid w:val="007542C5"/>
    <w:rsid w:val="0075437C"/>
    <w:rsid w:val="00754686"/>
    <w:rsid w:val="007546CD"/>
    <w:rsid w:val="00754F5E"/>
    <w:rsid w:val="00755721"/>
    <w:rsid w:val="007558C7"/>
    <w:rsid w:val="00755D5E"/>
    <w:rsid w:val="0075646E"/>
    <w:rsid w:val="00756C7E"/>
    <w:rsid w:val="007604FB"/>
    <w:rsid w:val="007615EF"/>
    <w:rsid w:val="00761B67"/>
    <w:rsid w:val="0076247C"/>
    <w:rsid w:val="00763440"/>
    <w:rsid w:val="0076352C"/>
    <w:rsid w:val="00763A24"/>
    <w:rsid w:val="00763A72"/>
    <w:rsid w:val="00764005"/>
    <w:rsid w:val="00764085"/>
    <w:rsid w:val="0076426C"/>
    <w:rsid w:val="00765961"/>
    <w:rsid w:val="00767B35"/>
    <w:rsid w:val="00767DCD"/>
    <w:rsid w:val="007709C0"/>
    <w:rsid w:val="00770D17"/>
    <w:rsid w:val="00771293"/>
    <w:rsid w:val="00771628"/>
    <w:rsid w:val="00771A5F"/>
    <w:rsid w:val="00771BA2"/>
    <w:rsid w:val="00771DA3"/>
    <w:rsid w:val="00771EA2"/>
    <w:rsid w:val="00772D14"/>
    <w:rsid w:val="0077354E"/>
    <w:rsid w:val="00773F60"/>
    <w:rsid w:val="007741CD"/>
    <w:rsid w:val="0077524C"/>
    <w:rsid w:val="00775AA6"/>
    <w:rsid w:val="00776715"/>
    <w:rsid w:val="007769F4"/>
    <w:rsid w:val="00777401"/>
    <w:rsid w:val="0077768C"/>
    <w:rsid w:val="0078014D"/>
    <w:rsid w:val="00780869"/>
    <w:rsid w:val="00780CCE"/>
    <w:rsid w:val="00781B0F"/>
    <w:rsid w:val="00781EF3"/>
    <w:rsid w:val="00781F85"/>
    <w:rsid w:val="007838FC"/>
    <w:rsid w:val="00784124"/>
    <w:rsid w:val="00784656"/>
    <w:rsid w:val="00785BF3"/>
    <w:rsid w:val="0078684A"/>
    <w:rsid w:val="00786F64"/>
    <w:rsid w:val="00787354"/>
    <w:rsid w:val="007900FE"/>
    <w:rsid w:val="00792302"/>
    <w:rsid w:val="007927E7"/>
    <w:rsid w:val="0079367B"/>
    <w:rsid w:val="00793EF6"/>
    <w:rsid w:val="00794924"/>
    <w:rsid w:val="00794CA6"/>
    <w:rsid w:val="00794D8F"/>
    <w:rsid w:val="00795DD9"/>
    <w:rsid w:val="007971B7"/>
    <w:rsid w:val="007976FB"/>
    <w:rsid w:val="007A0946"/>
    <w:rsid w:val="007A127B"/>
    <w:rsid w:val="007A1A01"/>
    <w:rsid w:val="007A1D72"/>
    <w:rsid w:val="007A26FC"/>
    <w:rsid w:val="007A27C0"/>
    <w:rsid w:val="007A3790"/>
    <w:rsid w:val="007A4182"/>
    <w:rsid w:val="007A5158"/>
    <w:rsid w:val="007A5774"/>
    <w:rsid w:val="007A6735"/>
    <w:rsid w:val="007A68F1"/>
    <w:rsid w:val="007A7185"/>
    <w:rsid w:val="007A7788"/>
    <w:rsid w:val="007A7C4D"/>
    <w:rsid w:val="007B0214"/>
    <w:rsid w:val="007B130C"/>
    <w:rsid w:val="007B1B5B"/>
    <w:rsid w:val="007B1BAB"/>
    <w:rsid w:val="007B1CD2"/>
    <w:rsid w:val="007B2F45"/>
    <w:rsid w:val="007B361F"/>
    <w:rsid w:val="007B3FC6"/>
    <w:rsid w:val="007B4EDE"/>
    <w:rsid w:val="007B5D50"/>
    <w:rsid w:val="007B70C3"/>
    <w:rsid w:val="007B730E"/>
    <w:rsid w:val="007B75D5"/>
    <w:rsid w:val="007B773F"/>
    <w:rsid w:val="007B7D6F"/>
    <w:rsid w:val="007C0459"/>
    <w:rsid w:val="007C04BC"/>
    <w:rsid w:val="007C0BD6"/>
    <w:rsid w:val="007C1DC3"/>
    <w:rsid w:val="007C285A"/>
    <w:rsid w:val="007C2D6C"/>
    <w:rsid w:val="007C3562"/>
    <w:rsid w:val="007C359F"/>
    <w:rsid w:val="007C390B"/>
    <w:rsid w:val="007C3F2A"/>
    <w:rsid w:val="007C3F4B"/>
    <w:rsid w:val="007C4164"/>
    <w:rsid w:val="007C4426"/>
    <w:rsid w:val="007C52EA"/>
    <w:rsid w:val="007C5656"/>
    <w:rsid w:val="007C6F61"/>
    <w:rsid w:val="007C798B"/>
    <w:rsid w:val="007D05E5"/>
    <w:rsid w:val="007D1003"/>
    <w:rsid w:val="007D1168"/>
    <w:rsid w:val="007D11FC"/>
    <w:rsid w:val="007D1CD7"/>
    <w:rsid w:val="007D20DA"/>
    <w:rsid w:val="007D2FD3"/>
    <w:rsid w:val="007D3E26"/>
    <w:rsid w:val="007D4C7D"/>
    <w:rsid w:val="007D642C"/>
    <w:rsid w:val="007D7C6D"/>
    <w:rsid w:val="007D7D67"/>
    <w:rsid w:val="007E05AE"/>
    <w:rsid w:val="007E0641"/>
    <w:rsid w:val="007E06CE"/>
    <w:rsid w:val="007E07F2"/>
    <w:rsid w:val="007E167D"/>
    <w:rsid w:val="007E1889"/>
    <w:rsid w:val="007E1E2C"/>
    <w:rsid w:val="007E24ED"/>
    <w:rsid w:val="007E39CD"/>
    <w:rsid w:val="007E4F78"/>
    <w:rsid w:val="007E5061"/>
    <w:rsid w:val="007E543C"/>
    <w:rsid w:val="007E554C"/>
    <w:rsid w:val="007E5C7A"/>
    <w:rsid w:val="007E5E39"/>
    <w:rsid w:val="007E5E79"/>
    <w:rsid w:val="007E5F69"/>
    <w:rsid w:val="007E6EA8"/>
    <w:rsid w:val="007F0040"/>
    <w:rsid w:val="007F03F4"/>
    <w:rsid w:val="007F0C1B"/>
    <w:rsid w:val="007F2B15"/>
    <w:rsid w:val="007F2E3D"/>
    <w:rsid w:val="007F40B6"/>
    <w:rsid w:val="007F452E"/>
    <w:rsid w:val="007F4693"/>
    <w:rsid w:val="007F4D6C"/>
    <w:rsid w:val="007F4DE0"/>
    <w:rsid w:val="007F5766"/>
    <w:rsid w:val="007F6734"/>
    <w:rsid w:val="007F67A4"/>
    <w:rsid w:val="007F7A1B"/>
    <w:rsid w:val="007F7F4F"/>
    <w:rsid w:val="008002AC"/>
    <w:rsid w:val="00800880"/>
    <w:rsid w:val="0080270E"/>
    <w:rsid w:val="00802911"/>
    <w:rsid w:val="00802A8E"/>
    <w:rsid w:val="00804EE8"/>
    <w:rsid w:val="008051E8"/>
    <w:rsid w:val="00805A06"/>
    <w:rsid w:val="00805FEB"/>
    <w:rsid w:val="00806091"/>
    <w:rsid w:val="008063C5"/>
    <w:rsid w:val="00806654"/>
    <w:rsid w:val="008066D8"/>
    <w:rsid w:val="00806F52"/>
    <w:rsid w:val="008073AD"/>
    <w:rsid w:val="00807A31"/>
    <w:rsid w:val="00807F1F"/>
    <w:rsid w:val="008107F9"/>
    <w:rsid w:val="0081099F"/>
    <w:rsid w:val="008115E4"/>
    <w:rsid w:val="00811803"/>
    <w:rsid w:val="008118B2"/>
    <w:rsid w:val="00812040"/>
    <w:rsid w:val="008124E6"/>
    <w:rsid w:val="00812E21"/>
    <w:rsid w:val="00813374"/>
    <w:rsid w:val="008136A3"/>
    <w:rsid w:val="008140D1"/>
    <w:rsid w:val="008141DD"/>
    <w:rsid w:val="00814A2E"/>
    <w:rsid w:val="00814AD7"/>
    <w:rsid w:val="00814B26"/>
    <w:rsid w:val="00815897"/>
    <w:rsid w:val="00815F0A"/>
    <w:rsid w:val="00816752"/>
    <w:rsid w:val="00817191"/>
    <w:rsid w:val="00817D58"/>
    <w:rsid w:val="00817F1E"/>
    <w:rsid w:val="008201A2"/>
    <w:rsid w:val="0082072D"/>
    <w:rsid w:val="00820F5A"/>
    <w:rsid w:val="008217AF"/>
    <w:rsid w:val="00822D67"/>
    <w:rsid w:val="00824092"/>
    <w:rsid w:val="008249A8"/>
    <w:rsid w:val="00824CA2"/>
    <w:rsid w:val="008254D6"/>
    <w:rsid w:val="00826C9F"/>
    <w:rsid w:val="008275BB"/>
    <w:rsid w:val="00827796"/>
    <w:rsid w:val="00827CA0"/>
    <w:rsid w:val="008300CA"/>
    <w:rsid w:val="00830143"/>
    <w:rsid w:val="00830720"/>
    <w:rsid w:val="008311E8"/>
    <w:rsid w:val="008314F9"/>
    <w:rsid w:val="0083198D"/>
    <w:rsid w:val="00833CAA"/>
    <w:rsid w:val="0083432A"/>
    <w:rsid w:val="00835326"/>
    <w:rsid w:val="008353C5"/>
    <w:rsid w:val="008367B9"/>
    <w:rsid w:val="00836AC6"/>
    <w:rsid w:val="00836E15"/>
    <w:rsid w:val="008377D8"/>
    <w:rsid w:val="00837882"/>
    <w:rsid w:val="00837F73"/>
    <w:rsid w:val="00842F85"/>
    <w:rsid w:val="008431C6"/>
    <w:rsid w:val="0084440B"/>
    <w:rsid w:val="0084589D"/>
    <w:rsid w:val="00845BB4"/>
    <w:rsid w:val="008462EA"/>
    <w:rsid w:val="00846FD1"/>
    <w:rsid w:val="00847C0F"/>
    <w:rsid w:val="00847F2D"/>
    <w:rsid w:val="008508B0"/>
    <w:rsid w:val="00850CDE"/>
    <w:rsid w:val="00851DA3"/>
    <w:rsid w:val="00851EC3"/>
    <w:rsid w:val="00851EFD"/>
    <w:rsid w:val="00852749"/>
    <w:rsid w:val="00852E7A"/>
    <w:rsid w:val="00854127"/>
    <w:rsid w:val="008541BD"/>
    <w:rsid w:val="008545CF"/>
    <w:rsid w:val="00854CE0"/>
    <w:rsid w:val="00855467"/>
    <w:rsid w:val="008558F4"/>
    <w:rsid w:val="00855C82"/>
    <w:rsid w:val="00856526"/>
    <w:rsid w:val="008569D1"/>
    <w:rsid w:val="00857C40"/>
    <w:rsid w:val="00857D66"/>
    <w:rsid w:val="008604B3"/>
    <w:rsid w:val="0086065E"/>
    <w:rsid w:val="00860C1D"/>
    <w:rsid w:val="00860D44"/>
    <w:rsid w:val="00861777"/>
    <w:rsid w:val="008618BC"/>
    <w:rsid w:val="008625CF"/>
    <w:rsid w:val="008631A9"/>
    <w:rsid w:val="00863B1E"/>
    <w:rsid w:val="00864304"/>
    <w:rsid w:val="008644AA"/>
    <w:rsid w:val="00865EA5"/>
    <w:rsid w:val="00870412"/>
    <w:rsid w:val="00871286"/>
    <w:rsid w:val="0087150C"/>
    <w:rsid w:val="008715D7"/>
    <w:rsid w:val="0087317F"/>
    <w:rsid w:val="00873488"/>
    <w:rsid w:val="00873586"/>
    <w:rsid w:val="00873B3D"/>
    <w:rsid w:val="008746CF"/>
    <w:rsid w:val="008747AD"/>
    <w:rsid w:val="00874861"/>
    <w:rsid w:val="00874E4B"/>
    <w:rsid w:val="00876C60"/>
    <w:rsid w:val="008771F7"/>
    <w:rsid w:val="00877736"/>
    <w:rsid w:val="00880506"/>
    <w:rsid w:val="0088114A"/>
    <w:rsid w:val="00881535"/>
    <w:rsid w:val="00881758"/>
    <w:rsid w:val="0088237B"/>
    <w:rsid w:val="00882863"/>
    <w:rsid w:val="00882DFA"/>
    <w:rsid w:val="0088455D"/>
    <w:rsid w:val="00885399"/>
    <w:rsid w:val="008854F6"/>
    <w:rsid w:val="0088551C"/>
    <w:rsid w:val="0088566E"/>
    <w:rsid w:val="00887615"/>
    <w:rsid w:val="00890576"/>
    <w:rsid w:val="00890A11"/>
    <w:rsid w:val="0089140B"/>
    <w:rsid w:val="008919D8"/>
    <w:rsid w:val="00891C32"/>
    <w:rsid w:val="00891D81"/>
    <w:rsid w:val="0089299B"/>
    <w:rsid w:val="00892F7A"/>
    <w:rsid w:val="0089332E"/>
    <w:rsid w:val="00893463"/>
    <w:rsid w:val="00893902"/>
    <w:rsid w:val="0089431F"/>
    <w:rsid w:val="00894DCB"/>
    <w:rsid w:val="00894FBE"/>
    <w:rsid w:val="00895B32"/>
    <w:rsid w:val="00896169"/>
    <w:rsid w:val="00896671"/>
    <w:rsid w:val="00897794"/>
    <w:rsid w:val="008A00B6"/>
    <w:rsid w:val="008A01F2"/>
    <w:rsid w:val="008A040A"/>
    <w:rsid w:val="008A08FF"/>
    <w:rsid w:val="008A0B95"/>
    <w:rsid w:val="008A1712"/>
    <w:rsid w:val="008A1CF2"/>
    <w:rsid w:val="008A2622"/>
    <w:rsid w:val="008A2CAD"/>
    <w:rsid w:val="008A3788"/>
    <w:rsid w:val="008A4912"/>
    <w:rsid w:val="008A5076"/>
    <w:rsid w:val="008A5662"/>
    <w:rsid w:val="008A599D"/>
    <w:rsid w:val="008A5FF2"/>
    <w:rsid w:val="008A6976"/>
    <w:rsid w:val="008A6CBE"/>
    <w:rsid w:val="008A7EE8"/>
    <w:rsid w:val="008B0DE7"/>
    <w:rsid w:val="008B1743"/>
    <w:rsid w:val="008B1D38"/>
    <w:rsid w:val="008B280C"/>
    <w:rsid w:val="008B304A"/>
    <w:rsid w:val="008B325C"/>
    <w:rsid w:val="008B32A3"/>
    <w:rsid w:val="008B3FF9"/>
    <w:rsid w:val="008B4271"/>
    <w:rsid w:val="008B4641"/>
    <w:rsid w:val="008B4866"/>
    <w:rsid w:val="008B5137"/>
    <w:rsid w:val="008B5D25"/>
    <w:rsid w:val="008B6294"/>
    <w:rsid w:val="008B6D7A"/>
    <w:rsid w:val="008C0197"/>
    <w:rsid w:val="008C07D0"/>
    <w:rsid w:val="008C0B7B"/>
    <w:rsid w:val="008C0BCA"/>
    <w:rsid w:val="008C1FAE"/>
    <w:rsid w:val="008C203D"/>
    <w:rsid w:val="008C2336"/>
    <w:rsid w:val="008C29B2"/>
    <w:rsid w:val="008C34A9"/>
    <w:rsid w:val="008C34F3"/>
    <w:rsid w:val="008C466B"/>
    <w:rsid w:val="008C5F6D"/>
    <w:rsid w:val="008C69AD"/>
    <w:rsid w:val="008C69BC"/>
    <w:rsid w:val="008C741E"/>
    <w:rsid w:val="008C7486"/>
    <w:rsid w:val="008D08A4"/>
    <w:rsid w:val="008D0F5E"/>
    <w:rsid w:val="008D45B3"/>
    <w:rsid w:val="008D556A"/>
    <w:rsid w:val="008D5696"/>
    <w:rsid w:val="008D619E"/>
    <w:rsid w:val="008D6BAE"/>
    <w:rsid w:val="008E0D8F"/>
    <w:rsid w:val="008E128C"/>
    <w:rsid w:val="008E1C9B"/>
    <w:rsid w:val="008E1FB7"/>
    <w:rsid w:val="008E3B40"/>
    <w:rsid w:val="008E55CE"/>
    <w:rsid w:val="008E5CC0"/>
    <w:rsid w:val="008E601C"/>
    <w:rsid w:val="008E626D"/>
    <w:rsid w:val="008E7329"/>
    <w:rsid w:val="008E7CA7"/>
    <w:rsid w:val="008F0ABD"/>
    <w:rsid w:val="008F156B"/>
    <w:rsid w:val="008F191F"/>
    <w:rsid w:val="008F2F0A"/>
    <w:rsid w:val="008F30EB"/>
    <w:rsid w:val="008F3344"/>
    <w:rsid w:val="008F4853"/>
    <w:rsid w:val="008F55C0"/>
    <w:rsid w:val="008F5751"/>
    <w:rsid w:val="008F5B0A"/>
    <w:rsid w:val="008F5EA9"/>
    <w:rsid w:val="008F646D"/>
    <w:rsid w:val="008F7C2F"/>
    <w:rsid w:val="00900130"/>
    <w:rsid w:val="00900C0A"/>
    <w:rsid w:val="00901034"/>
    <w:rsid w:val="00901CCB"/>
    <w:rsid w:val="009024D7"/>
    <w:rsid w:val="0090254C"/>
    <w:rsid w:val="00902D20"/>
    <w:rsid w:val="0090353E"/>
    <w:rsid w:val="0090392D"/>
    <w:rsid w:val="00904BBE"/>
    <w:rsid w:val="00904D25"/>
    <w:rsid w:val="00904E04"/>
    <w:rsid w:val="009055B5"/>
    <w:rsid w:val="00906450"/>
    <w:rsid w:val="0090683B"/>
    <w:rsid w:val="009076C9"/>
    <w:rsid w:val="00907B80"/>
    <w:rsid w:val="00910CA5"/>
    <w:rsid w:val="00911600"/>
    <w:rsid w:val="009121EE"/>
    <w:rsid w:val="00912854"/>
    <w:rsid w:val="0091461A"/>
    <w:rsid w:val="00915CE8"/>
    <w:rsid w:val="00916EA1"/>
    <w:rsid w:val="00916F91"/>
    <w:rsid w:val="00917CA5"/>
    <w:rsid w:val="00920A83"/>
    <w:rsid w:val="00922085"/>
    <w:rsid w:val="0092319C"/>
    <w:rsid w:val="00923573"/>
    <w:rsid w:val="00923DBC"/>
    <w:rsid w:val="0092432A"/>
    <w:rsid w:val="0092473A"/>
    <w:rsid w:val="00924D5F"/>
    <w:rsid w:val="00925380"/>
    <w:rsid w:val="00925B41"/>
    <w:rsid w:val="00925F6E"/>
    <w:rsid w:val="00926535"/>
    <w:rsid w:val="00926E63"/>
    <w:rsid w:val="00926FCA"/>
    <w:rsid w:val="00927160"/>
    <w:rsid w:val="00927A54"/>
    <w:rsid w:val="00930568"/>
    <w:rsid w:val="009310F2"/>
    <w:rsid w:val="00931BB4"/>
    <w:rsid w:val="00932284"/>
    <w:rsid w:val="00933AF5"/>
    <w:rsid w:val="00933E5C"/>
    <w:rsid w:val="009340F4"/>
    <w:rsid w:val="00934291"/>
    <w:rsid w:val="00935AF5"/>
    <w:rsid w:val="00935EDE"/>
    <w:rsid w:val="00935F64"/>
    <w:rsid w:val="00940C05"/>
    <w:rsid w:val="00943C7C"/>
    <w:rsid w:val="00944860"/>
    <w:rsid w:val="00944CB1"/>
    <w:rsid w:val="00944D93"/>
    <w:rsid w:val="00945B2A"/>
    <w:rsid w:val="00945B4F"/>
    <w:rsid w:val="00947CCD"/>
    <w:rsid w:val="00951737"/>
    <w:rsid w:val="009518B9"/>
    <w:rsid w:val="00952047"/>
    <w:rsid w:val="0095238C"/>
    <w:rsid w:val="00953021"/>
    <w:rsid w:val="009539D5"/>
    <w:rsid w:val="00954802"/>
    <w:rsid w:val="00954D23"/>
    <w:rsid w:val="00955131"/>
    <w:rsid w:val="0095513A"/>
    <w:rsid w:val="00956987"/>
    <w:rsid w:val="00956C0F"/>
    <w:rsid w:val="00957CE3"/>
    <w:rsid w:val="00961031"/>
    <w:rsid w:val="009615C0"/>
    <w:rsid w:val="00961F6F"/>
    <w:rsid w:val="00963200"/>
    <w:rsid w:val="009634A8"/>
    <w:rsid w:val="00963865"/>
    <w:rsid w:val="00963AF7"/>
    <w:rsid w:val="00964061"/>
    <w:rsid w:val="00964747"/>
    <w:rsid w:val="009647DE"/>
    <w:rsid w:val="00965BE5"/>
    <w:rsid w:val="00965D6D"/>
    <w:rsid w:val="00966B62"/>
    <w:rsid w:val="0096715D"/>
    <w:rsid w:val="0096721E"/>
    <w:rsid w:val="00967499"/>
    <w:rsid w:val="009678CB"/>
    <w:rsid w:val="00967A83"/>
    <w:rsid w:val="00967E9A"/>
    <w:rsid w:val="009700F7"/>
    <w:rsid w:val="00970CAA"/>
    <w:rsid w:val="00970D15"/>
    <w:rsid w:val="009717E4"/>
    <w:rsid w:val="00971861"/>
    <w:rsid w:val="00972C4F"/>
    <w:rsid w:val="00972FF8"/>
    <w:rsid w:val="00973B22"/>
    <w:rsid w:val="00974B5C"/>
    <w:rsid w:val="00974BA8"/>
    <w:rsid w:val="00975438"/>
    <w:rsid w:val="00975AAB"/>
    <w:rsid w:val="009763A2"/>
    <w:rsid w:val="0097652A"/>
    <w:rsid w:val="009768B0"/>
    <w:rsid w:val="00980C1A"/>
    <w:rsid w:val="0098119B"/>
    <w:rsid w:val="00981E54"/>
    <w:rsid w:val="009823A0"/>
    <w:rsid w:val="009823A4"/>
    <w:rsid w:val="0098352A"/>
    <w:rsid w:val="00983D97"/>
    <w:rsid w:val="00984EE9"/>
    <w:rsid w:val="0098535F"/>
    <w:rsid w:val="00985785"/>
    <w:rsid w:val="00985CD7"/>
    <w:rsid w:val="00986239"/>
    <w:rsid w:val="0098653C"/>
    <w:rsid w:val="009865D9"/>
    <w:rsid w:val="00986D20"/>
    <w:rsid w:val="00986D76"/>
    <w:rsid w:val="00987989"/>
    <w:rsid w:val="0099002E"/>
    <w:rsid w:val="00992ADB"/>
    <w:rsid w:val="009937FC"/>
    <w:rsid w:val="00995784"/>
    <w:rsid w:val="0099630D"/>
    <w:rsid w:val="0099634D"/>
    <w:rsid w:val="009966CE"/>
    <w:rsid w:val="00997714"/>
    <w:rsid w:val="009A0F2E"/>
    <w:rsid w:val="009A23D1"/>
    <w:rsid w:val="009A2623"/>
    <w:rsid w:val="009A26B4"/>
    <w:rsid w:val="009A2CA5"/>
    <w:rsid w:val="009A36B8"/>
    <w:rsid w:val="009A36C9"/>
    <w:rsid w:val="009A3F4F"/>
    <w:rsid w:val="009A41E9"/>
    <w:rsid w:val="009A5014"/>
    <w:rsid w:val="009A58D9"/>
    <w:rsid w:val="009A6C48"/>
    <w:rsid w:val="009A6F18"/>
    <w:rsid w:val="009B0A76"/>
    <w:rsid w:val="009B0EBD"/>
    <w:rsid w:val="009B24A4"/>
    <w:rsid w:val="009B2621"/>
    <w:rsid w:val="009B34E3"/>
    <w:rsid w:val="009B38A3"/>
    <w:rsid w:val="009B50F1"/>
    <w:rsid w:val="009B6D2B"/>
    <w:rsid w:val="009C0007"/>
    <w:rsid w:val="009C0924"/>
    <w:rsid w:val="009C270D"/>
    <w:rsid w:val="009C2A4C"/>
    <w:rsid w:val="009C2CB0"/>
    <w:rsid w:val="009C3B75"/>
    <w:rsid w:val="009C3E28"/>
    <w:rsid w:val="009C4064"/>
    <w:rsid w:val="009C434F"/>
    <w:rsid w:val="009C43F3"/>
    <w:rsid w:val="009C460B"/>
    <w:rsid w:val="009C4AC7"/>
    <w:rsid w:val="009C4B14"/>
    <w:rsid w:val="009C4CE2"/>
    <w:rsid w:val="009C4FC4"/>
    <w:rsid w:val="009C63EB"/>
    <w:rsid w:val="009C65CF"/>
    <w:rsid w:val="009C7251"/>
    <w:rsid w:val="009C7D4B"/>
    <w:rsid w:val="009D037F"/>
    <w:rsid w:val="009D076A"/>
    <w:rsid w:val="009D194F"/>
    <w:rsid w:val="009D1F58"/>
    <w:rsid w:val="009D24BE"/>
    <w:rsid w:val="009D2930"/>
    <w:rsid w:val="009D2AE5"/>
    <w:rsid w:val="009D2CF3"/>
    <w:rsid w:val="009D37F9"/>
    <w:rsid w:val="009D3921"/>
    <w:rsid w:val="009D3CBC"/>
    <w:rsid w:val="009D47EF"/>
    <w:rsid w:val="009D4AD8"/>
    <w:rsid w:val="009D4B56"/>
    <w:rsid w:val="009D4C64"/>
    <w:rsid w:val="009D6C33"/>
    <w:rsid w:val="009D7273"/>
    <w:rsid w:val="009D773E"/>
    <w:rsid w:val="009D7C39"/>
    <w:rsid w:val="009E0981"/>
    <w:rsid w:val="009E114C"/>
    <w:rsid w:val="009E230A"/>
    <w:rsid w:val="009E3C16"/>
    <w:rsid w:val="009E4DD0"/>
    <w:rsid w:val="009E7B97"/>
    <w:rsid w:val="009F00F6"/>
    <w:rsid w:val="009F09F3"/>
    <w:rsid w:val="009F0E84"/>
    <w:rsid w:val="009F130C"/>
    <w:rsid w:val="009F2D54"/>
    <w:rsid w:val="009F2F92"/>
    <w:rsid w:val="009F3395"/>
    <w:rsid w:val="009F36DF"/>
    <w:rsid w:val="009F4163"/>
    <w:rsid w:val="009F50DD"/>
    <w:rsid w:val="009F6DDF"/>
    <w:rsid w:val="009F70B8"/>
    <w:rsid w:val="00A009B3"/>
    <w:rsid w:val="00A00ABA"/>
    <w:rsid w:val="00A00C92"/>
    <w:rsid w:val="00A02691"/>
    <w:rsid w:val="00A02788"/>
    <w:rsid w:val="00A03272"/>
    <w:rsid w:val="00A06AAB"/>
    <w:rsid w:val="00A078F5"/>
    <w:rsid w:val="00A07E1C"/>
    <w:rsid w:val="00A111C3"/>
    <w:rsid w:val="00A11238"/>
    <w:rsid w:val="00A11FCC"/>
    <w:rsid w:val="00A12825"/>
    <w:rsid w:val="00A12B21"/>
    <w:rsid w:val="00A12E36"/>
    <w:rsid w:val="00A13146"/>
    <w:rsid w:val="00A1481C"/>
    <w:rsid w:val="00A14FA1"/>
    <w:rsid w:val="00A157A3"/>
    <w:rsid w:val="00A16207"/>
    <w:rsid w:val="00A163EA"/>
    <w:rsid w:val="00A1667D"/>
    <w:rsid w:val="00A16F5C"/>
    <w:rsid w:val="00A174BA"/>
    <w:rsid w:val="00A174EE"/>
    <w:rsid w:val="00A17AD1"/>
    <w:rsid w:val="00A17E5E"/>
    <w:rsid w:val="00A200BF"/>
    <w:rsid w:val="00A202E6"/>
    <w:rsid w:val="00A2039D"/>
    <w:rsid w:val="00A2144C"/>
    <w:rsid w:val="00A2227D"/>
    <w:rsid w:val="00A2279E"/>
    <w:rsid w:val="00A23769"/>
    <w:rsid w:val="00A24EAE"/>
    <w:rsid w:val="00A25699"/>
    <w:rsid w:val="00A25723"/>
    <w:rsid w:val="00A25A39"/>
    <w:rsid w:val="00A27BCB"/>
    <w:rsid w:val="00A304D0"/>
    <w:rsid w:val="00A30ED2"/>
    <w:rsid w:val="00A31E9A"/>
    <w:rsid w:val="00A333A6"/>
    <w:rsid w:val="00A33719"/>
    <w:rsid w:val="00A345A7"/>
    <w:rsid w:val="00A35B59"/>
    <w:rsid w:val="00A368B3"/>
    <w:rsid w:val="00A371EB"/>
    <w:rsid w:val="00A37CEF"/>
    <w:rsid w:val="00A37D42"/>
    <w:rsid w:val="00A40544"/>
    <w:rsid w:val="00A41E6F"/>
    <w:rsid w:val="00A425C1"/>
    <w:rsid w:val="00A42F41"/>
    <w:rsid w:val="00A431C0"/>
    <w:rsid w:val="00A43902"/>
    <w:rsid w:val="00A44124"/>
    <w:rsid w:val="00A4426D"/>
    <w:rsid w:val="00A44B7E"/>
    <w:rsid w:val="00A44FDF"/>
    <w:rsid w:val="00A450A8"/>
    <w:rsid w:val="00A452CF"/>
    <w:rsid w:val="00A460BC"/>
    <w:rsid w:val="00A51227"/>
    <w:rsid w:val="00A517BD"/>
    <w:rsid w:val="00A51F4F"/>
    <w:rsid w:val="00A52410"/>
    <w:rsid w:val="00A5330A"/>
    <w:rsid w:val="00A533C0"/>
    <w:rsid w:val="00A53BE0"/>
    <w:rsid w:val="00A55075"/>
    <w:rsid w:val="00A55120"/>
    <w:rsid w:val="00A55398"/>
    <w:rsid w:val="00A553A4"/>
    <w:rsid w:val="00A56520"/>
    <w:rsid w:val="00A60896"/>
    <w:rsid w:val="00A6117A"/>
    <w:rsid w:val="00A6177D"/>
    <w:rsid w:val="00A61C04"/>
    <w:rsid w:val="00A6310C"/>
    <w:rsid w:val="00A63A13"/>
    <w:rsid w:val="00A643F8"/>
    <w:rsid w:val="00A64462"/>
    <w:rsid w:val="00A65DD1"/>
    <w:rsid w:val="00A663EC"/>
    <w:rsid w:val="00A6760C"/>
    <w:rsid w:val="00A70557"/>
    <w:rsid w:val="00A707BE"/>
    <w:rsid w:val="00A70C31"/>
    <w:rsid w:val="00A712CE"/>
    <w:rsid w:val="00A71DB5"/>
    <w:rsid w:val="00A7243D"/>
    <w:rsid w:val="00A729A6"/>
    <w:rsid w:val="00A7346F"/>
    <w:rsid w:val="00A74C39"/>
    <w:rsid w:val="00A75C0F"/>
    <w:rsid w:val="00A760F3"/>
    <w:rsid w:val="00A776C2"/>
    <w:rsid w:val="00A776D1"/>
    <w:rsid w:val="00A77E09"/>
    <w:rsid w:val="00A816AF"/>
    <w:rsid w:val="00A81720"/>
    <w:rsid w:val="00A818E4"/>
    <w:rsid w:val="00A81FDD"/>
    <w:rsid w:val="00A82B19"/>
    <w:rsid w:val="00A83C04"/>
    <w:rsid w:val="00A83ED1"/>
    <w:rsid w:val="00A84DE6"/>
    <w:rsid w:val="00A85345"/>
    <w:rsid w:val="00A87111"/>
    <w:rsid w:val="00A9066E"/>
    <w:rsid w:val="00A90D15"/>
    <w:rsid w:val="00A90F3D"/>
    <w:rsid w:val="00A92878"/>
    <w:rsid w:val="00A929A2"/>
    <w:rsid w:val="00A92FE9"/>
    <w:rsid w:val="00A93DF7"/>
    <w:rsid w:val="00A94383"/>
    <w:rsid w:val="00A9448C"/>
    <w:rsid w:val="00A94545"/>
    <w:rsid w:val="00A95A20"/>
    <w:rsid w:val="00A96F32"/>
    <w:rsid w:val="00A9721B"/>
    <w:rsid w:val="00A97B23"/>
    <w:rsid w:val="00AA0635"/>
    <w:rsid w:val="00AA1412"/>
    <w:rsid w:val="00AA162D"/>
    <w:rsid w:val="00AA21C4"/>
    <w:rsid w:val="00AA2A40"/>
    <w:rsid w:val="00AA3173"/>
    <w:rsid w:val="00AA36ED"/>
    <w:rsid w:val="00AA37B5"/>
    <w:rsid w:val="00AA4899"/>
    <w:rsid w:val="00AA48B5"/>
    <w:rsid w:val="00AA5262"/>
    <w:rsid w:val="00AA5AB7"/>
    <w:rsid w:val="00AA5BE3"/>
    <w:rsid w:val="00AA77EF"/>
    <w:rsid w:val="00AB019A"/>
    <w:rsid w:val="00AB22B2"/>
    <w:rsid w:val="00AB2877"/>
    <w:rsid w:val="00AB2EC6"/>
    <w:rsid w:val="00AB2F06"/>
    <w:rsid w:val="00AB315D"/>
    <w:rsid w:val="00AB3E95"/>
    <w:rsid w:val="00AB4502"/>
    <w:rsid w:val="00AB689D"/>
    <w:rsid w:val="00AB7491"/>
    <w:rsid w:val="00AB7519"/>
    <w:rsid w:val="00AB79CA"/>
    <w:rsid w:val="00AB7A7D"/>
    <w:rsid w:val="00AC0487"/>
    <w:rsid w:val="00AC1E7A"/>
    <w:rsid w:val="00AC2E6C"/>
    <w:rsid w:val="00AC4151"/>
    <w:rsid w:val="00AC5372"/>
    <w:rsid w:val="00AC59C2"/>
    <w:rsid w:val="00AC656E"/>
    <w:rsid w:val="00AC6680"/>
    <w:rsid w:val="00AC6B32"/>
    <w:rsid w:val="00AC6CEC"/>
    <w:rsid w:val="00AC6EAD"/>
    <w:rsid w:val="00AC7C73"/>
    <w:rsid w:val="00AD26BD"/>
    <w:rsid w:val="00AD3A05"/>
    <w:rsid w:val="00AD3AEF"/>
    <w:rsid w:val="00AD3E0E"/>
    <w:rsid w:val="00AD3E99"/>
    <w:rsid w:val="00AD440A"/>
    <w:rsid w:val="00AD50F5"/>
    <w:rsid w:val="00AD554D"/>
    <w:rsid w:val="00AD59DD"/>
    <w:rsid w:val="00AD60F3"/>
    <w:rsid w:val="00AD62B6"/>
    <w:rsid w:val="00AD6676"/>
    <w:rsid w:val="00AD67B3"/>
    <w:rsid w:val="00AD68C8"/>
    <w:rsid w:val="00AD6C4D"/>
    <w:rsid w:val="00AD79BB"/>
    <w:rsid w:val="00AE0021"/>
    <w:rsid w:val="00AE0E2E"/>
    <w:rsid w:val="00AE1841"/>
    <w:rsid w:val="00AE2231"/>
    <w:rsid w:val="00AE2348"/>
    <w:rsid w:val="00AE24DA"/>
    <w:rsid w:val="00AE25A2"/>
    <w:rsid w:val="00AE25BC"/>
    <w:rsid w:val="00AE283B"/>
    <w:rsid w:val="00AE39D0"/>
    <w:rsid w:val="00AE4C8C"/>
    <w:rsid w:val="00AE4E4F"/>
    <w:rsid w:val="00AE5231"/>
    <w:rsid w:val="00AE588D"/>
    <w:rsid w:val="00AE5D50"/>
    <w:rsid w:val="00AE624F"/>
    <w:rsid w:val="00AE63E4"/>
    <w:rsid w:val="00AE7A44"/>
    <w:rsid w:val="00AE7B48"/>
    <w:rsid w:val="00AF007F"/>
    <w:rsid w:val="00AF1536"/>
    <w:rsid w:val="00AF1A4C"/>
    <w:rsid w:val="00AF2B90"/>
    <w:rsid w:val="00AF4BC0"/>
    <w:rsid w:val="00AF4CF2"/>
    <w:rsid w:val="00AF4F99"/>
    <w:rsid w:val="00AF501B"/>
    <w:rsid w:val="00AF51FA"/>
    <w:rsid w:val="00AF56ED"/>
    <w:rsid w:val="00AF62F4"/>
    <w:rsid w:val="00AF6473"/>
    <w:rsid w:val="00AF75D5"/>
    <w:rsid w:val="00AF7CBB"/>
    <w:rsid w:val="00AF7F4D"/>
    <w:rsid w:val="00B00065"/>
    <w:rsid w:val="00B01DF9"/>
    <w:rsid w:val="00B01EDB"/>
    <w:rsid w:val="00B028FA"/>
    <w:rsid w:val="00B03C25"/>
    <w:rsid w:val="00B04490"/>
    <w:rsid w:val="00B0491A"/>
    <w:rsid w:val="00B05ECB"/>
    <w:rsid w:val="00B067AF"/>
    <w:rsid w:val="00B10129"/>
    <w:rsid w:val="00B1026B"/>
    <w:rsid w:val="00B1062B"/>
    <w:rsid w:val="00B10F2A"/>
    <w:rsid w:val="00B11B90"/>
    <w:rsid w:val="00B11D89"/>
    <w:rsid w:val="00B121C0"/>
    <w:rsid w:val="00B12FBB"/>
    <w:rsid w:val="00B14699"/>
    <w:rsid w:val="00B14D9F"/>
    <w:rsid w:val="00B14DB1"/>
    <w:rsid w:val="00B156B7"/>
    <w:rsid w:val="00B1585A"/>
    <w:rsid w:val="00B15F1B"/>
    <w:rsid w:val="00B16181"/>
    <w:rsid w:val="00B16D73"/>
    <w:rsid w:val="00B17BE7"/>
    <w:rsid w:val="00B204F6"/>
    <w:rsid w:val="00B21F71"/>
    <w:rsid w:val="00B22797"/>
    <w:rsid w:val="00B22D45"/>
    <w:rsid w:val="00B234EC"/>
    <w:rsid w:val="00B238C9"/>
    <w:rsid w:val="00B248C2"/>
    <w:rsid w:val="00B27178"/>
    <w:rsid w:val="00B2717C"/>
    <w:rsid w:val="00B27414"/>
    <w:rsid w:val="00B275B5"/>
    <w:rsid w:val="00B30445"/>
    <w:rsid w:val="00B3092D"/>
    <w:rsid w:val="00B30A4B"/>
    <w:rsid w:val="00B30B15"/>
    <w:rsid w:val="00B31853"/>
    <w:rsid w:val="00B3191E"/>
    <w:rsid w:val="00B31E1E"/>
    <w:rsid w:val="00B32204"/>
    <w:rsid w:val="00B333E1"/>
    <w:rsid w:val="00B33583"/>
    <w:rsid w:val="00B33DB2"/>
    <w:rsid w:val="00B33F8E"/>
    <w:rsid w:val="00B3407F"/>
    <w:rsid w:val="00B345D2"/>
    <w:rsid w:val="00B35148"/>
    <w:rsid w:val="00B3569F"/>
    <w:rsid w:val="00B364AD"/>
    <w:rsid w:val="00B36740"/>
    <w:rsid w:val="00B3716B"/>
    <w:rsid w:val="00B37DE4"/>
    <w:rsid w:val="00B40FE7"/>
    <w:rsid w:val="00B41E4B"/>
    <w:rsid w:val="00B430A5"/>
    <w:rsid w:val="00B4365F"/>
    <w:rsid w:val="00B43B2F"/>
    <w:rsid w:val="00B44A73"/>
    <w:rsid w:val="00B44C10"/>
    <w:rsid w:val="00B454E1"/>
    <w:rsid w:val="00B46EFE"/>
    <w:rsid w:val="00B473B8"/>
    <w:rsid w:val="00B47636"/>
    <w:rsid w:val="00B5082C"/>
    <w:rsid w:val="00B5187F"/>
    <w:rsid w:val="00B52206"/>
    <w:rsid w:val="00B53D03"/>
    <w:rsid w:val="00B54855"/>
    <w:rsid w:val="00B55359"/>
    <w:rsid w:val="00B557E1"/>
    <w:rsid w:val="00B558D1"/>
    <w:rsid w:val="00B56207"/>
    <w:rsid w:val="00B56D7A"/>
    <w:rsid w:val="00B57711"/>
    <w:rsid w:val="00B61369"/>
    <w:rsid w:val="00B61778"/>
    <w:rsid w:val="00B64716"/>
    <w:rsid w:val="00B649ED"/>
    <w:rsid w:val="00B64E56"/>
    <w:rsid w:val="00B64FA6"/>
    <w:rsid w:val="00B65533"/>
    <w:rsid w:val="00B66C2B"/>
    <w:rsid w:val="00B70A6C"/>
    <w:rsid w:val="00B70A74"/>
    <w:rsid w:val="00B712BB"/>
    <w:rsid w:val="00B7175B"/>
    <w:rsid w:val="00B718C5"/>
    <w:rsid w:val="00B72CBC"/>
    <w:rsid w:val="00B72CDE"/>
    <w:rsid w:val="00B730D5"/>
    <w:rsid w:val="00B73D09"/>
    <w:rsid w:val="00B7416C"/>
    <w:rsid w:val="00B74604"/>
    <w:rsid w:val="00B74862"/>
    <w:rsid w:val="00B75904"/>
    <w:rsid w:val="00B760E3"/>
    <w:rsid w:val="00B80280"/>
    <w:rsid w:val="00B80B44"/>
    <w:rsid w:val="00B80D4C"/>
    <w:rsid w:val="00B81F41"/>
    <w:rsid w:val="00B82263"/>
    <w:rsid w:val="00B829A2"/>
    <w:rsid w:val="00B82BD0"/>
    <w:rsid w:val="00B82C93"/>
    <w:rsid w:val="00B82F8E"/>
    <w:rsid w:val="00B83441"/>
    <w:rsid w:val="00B84396"/>
    <w:rsid w:val="00B845A2"/>
    <w:rsid w:val="00B84611"/>
    <w:rsid w:val="00B84E0E"/>
    <w:rsid w:val="00B84FB9"/>
    <w:rsid w:val="00B85493"/>
    <w:rsid w:val="00B85D6B"/>
    <w:rsid w:val="00B8726C"/>
    <w:rsid w:val="00B87793"/>
    <w:rsid w:val="00B879AD"/>
    <w:rsid w:val="00B915B7"/>
    <w:rsid w:val="00B91B44"/>
    <w:rsid w:val="00B91C34"/>
    <w:rsid w:val="00B9224A"/>
    <w:rsid w:val="00B9228D"/>
    <w:rsid w:val="00B9249D"/>
    <w:rsid w:val="00B924C1"/>
    <w:rsid w:val="00B928A6"/>
    <w:rsid w:val="00B92B28"/>
    <w:rsid w:val="00B9378D"/>
    <w:rsid w:val="00B9428F"/>
    <w:rsid w:val="00B94C5B"/>
    <w:rsid w:val="00B94C69"/>
    <w:rsid w:val="00B966D0"/>
    <w:rsid w:val="00B969DD"/>
    <w:rsid w:val="00B97E0C"/>
    <w:rsid w:val="00BA03D4"/>
    <w:rsid w:val="00BA0B77"/>
    <w:rsid w:val="00BA0EF1"/>
    <w:rsid w:val="00BA26B6"/>
    <w:rsid w:val="00BA29C7"/>
    <w:rsid w:val="00BA2CE6"/>
    <w:rsid w:val="00BA3BF9"/>
    <w:rsid w:val="00BA3F9C"/>
    <w:rsid w:val="00BA4D58"/>
    <w:rsid w:val="00BA5C2F"/>
    <w:rsid w:val="00BA6488"/>
    <w:rsid w:val="00BA6830"/>
    <w:rsid w:val="00BA6CA3"/>
    <w:rsid w:val="00BA74AB"/>
    <w:rsid w:val="00BA789B"/>
    <w:rsid w:val="00BA7F0D"/>
    <w:rsid w:val="00BB0786"/>
    <w:rsid w:val="00BB101A"/>
    <w:rsid w:val="00BB2296"/>
    <w:rsid w:val="00BB2D98"/>
    <w:rsid w:val="00BB3443"/>
    <w:rsid w:val="00BB4383"/>
    <w:rsid w:val="00BB43C3"/>
    <w:rsid w:val="00BB49C3"/>
    <w:rsid w:val="00BB53C1"/>
    <w:rsid w:val="00BB639A"/>
    <w:rsid w:val="00BB6CDC"/>
    <w:rsid w:val="00BB713F"/>
    <w:rsid w:val="00BC03DE"/>
    <w:rsid w:val="00BC2790"/>
    <w:rsid w:val="00BC2AE0"/>
    <w:rsid w:val="00BC3892"/>
    <w:rsid w:val="00BC4BD9"/>
    <w:rsid w:val="00BC4E9C"/>
    <w:rsid w:val="00BC5356"/>
    <w:rsid w:val="00BC58C9"/>
    <w:rsid w:val="00BC5BCB"/>
    <w:rsid w:val="00BC5F7D"/>
    <w:rsid w:val="00BC746F"/>
    <w:rsid w:val="00BD0221"/>
    <w:rsid w:val="00BD0B37"/>
    <w:rsid w:val="00BD0E48"/>
    <w:rsid w:val="00BD1CD8"/>
    <w:rsid w:val="00BD2F8E"/>
    <w:rsid w:val="00BD30D5"/>
    <w:rsid w:val="00BD3281"/>
    <w:rsid w:val="00BD535D"/>
    <w:rsid w:val="00BD538C"/>
    <w:rsid w:val="00BD59D4"/>
    <w:rsid w:val="00BD5B33"/>
    <w:rsid w:val="00BD6083"/>
    <w:rsid w:val="00BD608A"/>
    <w:rsid w:val="00BD60D9"/>
    <w:rsid w:val="00BD683C"/>
    <w:rsid w:val="00BD79ED"/>
    <w:rsid w:val="00BE04D0"/>
    <w:rsid w:val="00BE0DE5"/>
    <w:rsid w:val="00BE0F85"/>
    <w:rsid w:val="00BE16CE"/>
    <w:rsid w:val="00BE1D2C"/>
    <w:rsid w:val="00BE1F84"/>
    <w:rsid w:val="00BE270B"/>
    <w:rsid w:val="00BE5B39"/>
    <w:rsid w:val="00BE6456"/>
    <w:rsid w:val="00BE6784"/>
    <w:rsid w:val="00BE7CF6"/>
    <w:rsid w:val="00BF10A8"/>
    <w:rsid w:val="00BF14A0"/>
    <w:rsid w:val="00BF26D7"/>
    <w:rsid w:val="00BF3228"/>
    <w:rsid w:val="00BF3260"/>
    <w:rsid w:val="00BF3B1C"/>
    <w:rsid w:val="00BF4BDF"/>
    <w:rsid w:val="00C00816"/>
    <w:rsid w:val="00C014BE"/>
    <w:rsid w:val="00C01702"/>
    <w:rsid w:val="00C0190A"/>
    <w:rsid w:val="00C01ABD"/>
    <w:rsid w:val="00C021A4"/>
    <w:rsid w:val="00C0335F"/>
    <w:rsid w:val="00C03999"/>
    <w:rsid w:val="00C04E1F"/>
    <w:rsid w:val="00C05505"/>
    <w:rsid w:val="00C05E35"/>
    <w:rsid w:val="00C06A89"/>
    <w:rsid w:val="00C06CFB"/>
    <w:rsid w:val="00C112EE"/>
    <w:rsid w:val="00C11313"/>
    <w:rsid w:val="00C11FA6"/>
    <w:rsid w:val="00C121EC"/>
    <w:rsid w:val="00C126AC"/>
    <w:rsid w:val="00C129A2"/>
    <w:rsid w:val="00C12D8D"/>
    <w:rsid w:val="00C14070"/>
    <w:rsid w:val="00C147DD"/>
    <w:rsid w:val="00C149B9"/>
    <w:rsid w:val="00C1548D"/>
    <w:rsid w:val="00C15D3E"/>
    <w:rsid w:val="00C1621B"/>
    <w:rsid w:val="00C166FB"/>
    <w:rsid w:val="00C167EF"/>
    <w:rsid w:val="00C16869"/>
    <w:rsid w:val="00C16F23"/>
    <w:rsid w:val="00C17337"/>
    <w:rsid w:val="00C20444"/>
    <w:rsid w:val="00C20A4E"/>
    <w:rsid w:val="00C20EBB"/>
    <w:rsid w:val="00C21065"/>
    <w:rsid w:val="00C21185"/>
    <w:rsid w:val="00C2206E"/>
    <w:rsid w:val="00C22477"/>
    <w:rsid w:val="00C22C1A"/>
    <w:rsid w:val="00C22C27"/>
    <w:rsid w:val="00C234D3"/>
    <w:rsid w:val="00C23C53"/>
    <w:rsid w:val="00C23DD5"/>
    <w:rsid w:val="00C24157"/>
    <w:rsid w:val="00C241C7"/>
    <w:rsid w:val="00C2526D"/>
    <w:rsid w:val="00C25332"/>
    <w:rsid w:val="00C2543D"/>
    <w:rsid w:val="00C26316"/>
    <w:rsid w:val="00C26F54"/>
    <w:rsid w:val="00C26FD3"/>
    <w:rsid w:val="00C27C4F"/>
    <w:rsid w:val="00C30E68"/>
    <w:rsid w:val="00C31B96"/>
    <w:rsid w:val="00C32BB7"/>
    <w:rsid w:val="00C33E4C"/>
    <w:rsid w:val="00C3487F"/>
    <w:rsid w:val="00C34FAA"/>
    <w:rsid w:val="00C35655"/>
    <w:rsid w:val="00C357DB"/>
    <w:rsid w:val="00C37A26"/>
    <w:rsid w:val="00C41C76"/>
    <w:rsid w:val="00C41D75"/>
    <w:rsid w:val="00C4221D"/>
    <w:rsid w:val="00C426EF"/>
    <w:rsid w:val="00C427EA"/>
    <w:rsid w:val="00C4297A"/>
    <w:rsid w:val="00C432D2"/>
    <w:rsid w:val="00C43980"/>
    <w:rsid w:val="00C43A62"/>
    <w:rsid w:val="00C44A54"/>
    <w:rsid w:val="00C44B2A"/>
    <w:rsid w:val="00C44EDC"/>
    <w:rsid w:val="00C4526C"/>
    <w:rsid w:val="00C46FB0"/>
    <w:rsid w:val="00C47DE7"/>
    <w:rsid w:val="00C50166"/>
    <w:rsid w:val="00C5095B"/>
    <w:rsid w:val="00C50AF2"/>
    <w:rsid w:val="00C51006"/>
    <w:rsid w:val="00C512B2"/>
    <w:rsid w:val="00C520E6"/>
    <w:rsid w:val="00C521ED"/>
    <w:rsid w:val="00C522F3"/>
    <w:rsid w:val="00C536ED"/>
    <w:rsid w:val="00C539DD"/>
    <w:rsid w:val="00C541F9"/>
    <w:rsid w:val="00C543EE"/>
    <w:rsid w:val="00C543F3"/>
    <w:rsid w:val="00C55D19"/>
    <w:rsid w:val="00C56429"/>
    <w:rsid w:val="00C5693C"/>
    <w:rsid w:val="00C5783C"/>
    <w:rsid w:val="00C602AF"/>
    <w:rsid w:val="00C62C37"/>
    <w:rsid w:val="00C6369D"/>
    <w:rsid w:val="00C647A6"/>
    <w:rsid w:val="00C64C37"/>
    <w:rsid w:val="00C655BE"/>
    <w:rsid w:val="00C65D0E"/>
    <w:rsid w:val="00C66156"/>
    <w:rsid w:val="00C666CD"/>
    <w:rsid w:val="00C667B2"/>
    <w:rsid w:val="00C67684"/>
    <w:rsid w:val="00C679A1"/>
    <w:rsid w:val="00C67F18"/>
    <w:rsid w:val="00C7080B"/>
    <w:rsid w:val="00C70F8D"/>
    <w:rsid w:val="00C72031"/>
    <w:rsid w:val="00C725A3"/>
    <w:rsid w:val="00C7270D"/>
    <w:rsid w:val="00C72C20"/>
    <w:rsid w:val="00C72D90"/>
    <w:rsid w:val="00C730F9"/>
    <w:rsid w:val="00C74557"/>
    <w:rsid w:val="00C74C53"/>
    <w:rsid w:val="00C75B0A"/>
    <w:rsid w:val="00C75C0E"/>
    <w:rsid w:val="00C76834"/>
    <w:rsid w:val="00C8000E"/>
    <w:rsid w:val="00C8093C"/>
    <w:rsid w:val="00C80A8B"/>
    <w:rsid w:val="00C81141"/>
    <w:rsid w:val="00C8118D"/>
    <w:rsid w:val="00C82108"/>
    <w:rsid w:val="00C823D3"/>
    <w:rsid w:val="00C8314F"/>
    <w:rsid w:val="00C8376F"/>
    <w:rsid w:val="00C83C87"/>
    <w:rsid w:val="00C8449B"/>
    <w:rsid w:val="00C8642F"/>
    <w:rsid w:val="00C86596"/>
    <w:rsid w:val="00C876E4"/>
    <w:rsid w:val="00C87CDF"/>
    <w:rsid w:val="00C90962"/>
    <w:rsid w:val="00C90B07"/>
    <w:rsid w:val="00C9124D"/>
    <w:rsid w:val="00C92A40"/>
    <w:rsid w:val="00C92A53"/>
    <w:rsid w:val="00C92B48"/>
    <w:rsid w:val="00C95BD2"/>
    <w:rsid w:val="00C960EB"/>
    <w:rsid w:val="00C964D5"/>
    <w:rsid w:val="00C96962"/>
    <w:rsid w:val="00CA0A9D"/>
    <w:rsid w:val="00CA213B"/>
    <w:rsid w:val="00CA2A28"/>
    <w:rsid w:val="00CA2D27"/>
    <w:rsid w:val="00CA42C9"/>
    <w:rsid w:val="00CA4458"/>
    <w:rsid w:val="00CA45DC"/>
    <w:rsid w:val="00CA4800"/>
    <w:rsid w:val="00CA51B9"/>
    <w:rsid w:val="00CA5B37"/>
    <w:rsid w:val="00CA5B85"/>
    <w:rsid w:val="00CA7B3F"/>
    <w:rsid w:val="00CB0BC4"/>
    <w:rsid w:val="00CB263B"/>
    <w:rsid w:val="00CB2EAC"/>
    <w:rsid w:val="00CB3118"/>
    <w:rsid w:val="00CB3617"/>
    <w:rsid w:val="00CB3A12"/>
    <w:rsid w:val="00CB44DA"/>
    <w:rsid w:val="00CB495D"/>
    <w:rsid w:val="00CB5035"/>
    <w:rsid w:val="00CB512B"/>
    <w:rsid w:val="00CB52B2"/>
    <w:rsid w:val="00CB5359"/>
    <w:rsid w:val="00CB55F0"/>
    <w:rsid w:val="00CB68D8"/>
    <w:rsid w:val="00CB7DD3"/>
    <w:rsid w:val="00CC0967"/>
    <w:rsid w:val="00CC0ACB"/>
    <w:rsid w:val="00CC0CDD"/>
    <w:rsid w:val="00CC1FF4"/>
    <w:rsid w:val="00CC2777"/>
    <w:rsid w:val="00CC30B6"/>
    <w:rsid w:val="00CC38AE"/>
    <w:rsid w:val="00CC3AE0"/>
    <w:rsid w:val="00CC4280"/>
    <w:rsid w:val="00CC4800"/>
    <w:rsid w:val="00CC552B"/>
    <w:rsid w:val="00CC642C"/>
    <w:rsid w:val="00CC65DB"/>
    <w:rsid w:val="00CC6AD5"/>
    <w:rsid w:val="00CC71B4"/>
    <w:rsid w:val="00CD00A5"/>
    <w:rsid w:val="00CD00EF"/>
    <w:rsid w:val="00CD1331"/>
    <w:rsid w:val="00CD16A3"/>
    <w:rsid w:val="00CD2D67"/>
    <w:rsid w:val="00CD31D8"/>
    <w:rsid w:val="00CD3DBB"/>
    <w:rsid w:val="00CD455C"/>
    <w:rsid w:val="00CD4E3E"/>
    <w:rsid w:val="00CD5373"/>
    <w:rsid w:val="00CD5BC0"/>
    <w:rsid w:val="00CD5C53"/>
    <w:rsid w:val="00CD6005"/>
    <w:rsid w:val="00CD603B"/>
    <w:rsid w:val="00CD6131"/>
    <w:rsid w:val="00CD65CC"/>
    <w:rsid w:val="00CD686F"/>
    <w:rsid w:val="00CD6B27"/>
    <w:rsid w:val="00CD6B44"/>
    <w:rsid w:val="00CD6C7A"/>
    <w:rsid w:val="00CD728A"/>
    <w:rsid w:val="00CD75FB"/>
    <w:rsid w:val="00CE02DE"/>
    <w:rsid w:val="00CE1295"/>
    <w:rsid w:val="00CE13B6"/>
    <w:rsid w:val="00CE1A55"/>
    <w:rsid w:val="00CE33C6"/>
    <w:rsid w:val="00CE3862"/>
    <w:rsid w:val="00CE393F"/>
    <w:rsid w:val="00CE41E1"/>
    <w:rsid w:val="00CE5294"/>
    <w:rsid w:val="00CE6071"/>
    <w:rsid w:val="00CE7646"/>
    <w:rsid w:val="00CE7D13"/>
    <w:rsid w:val="00CF1760"/>
    <w:rsid w:val="00CF2621"/>
    <w:rsid w:val="00CF2EA3"/>
    <w:rsid w:val="00CF2ED6"/>
    <w:rsid w:val="00CF3926"/>
    <w:rsid w:val="00CF39C2"/>
    <w:rsid w:val="00CF5476"/>
    <w:rsid w:val="00CF5A08"/>
    <w:rsid w:val="00CF6C04"/>
    <w:rsid w:val="00CF7883"/>
    <w:rsid w:val="00CF7F9F"/>
    <w:rsid w:val="00D0085C"/>
    <w:rsid w:val="00D0139A"/>
    <w:rsid w:val="00D02201"/>
    <w:rsid w:val="00D02643"/>
    <w:rsid w:val="00D0393F"/>
    <w:rsid w:val="00D04334"/>
    <w:rsid w:val="00D04BF1"/>
    <w:rsid w:val="00D05B8C"/>
    <w:rsid w:val="00D06C7E"/>
    <w:rsid w:val="00D071F2"/>
    <w:rsid w:val="00D073F9"/>
    <w:rsid w:val="00D10337"/>
    <w:rsid w:val="00D10EC5"/>
    <w:rsid w:val="00D11784"/>
    <w:rsid w:val="00D1221F"/>
    <w:rsid w:val="00D126B1"/>
    <w:rsid w:val="00D1391B"/>
    <w:rsid w:val="00D14D96"/>
    <w:rsid w:val="00D160D4"/>
    <w:rsid w:val="00D1657E"/>
    <w:rsid w:val="00D173F2"/>
    <w:rsid w:val="00D2013B"/>
    <w:rsid w:val="00D207F5"/>
    <w:rsid w:val="00D20DE3"/>
    <w:rsid w:val="00D21072"/>
    <w:rsid w:val="00D21526"/>
    <w:rsid w:val="00D2187E"/>
    <w:rsid w:val="00D21F51"/>
    <w:rsid w:val="00D226A5"/>
    <w:rsid w:val="00D22BCC"/>
    <w:rsid w:val="00D25868"/>
    <w:rsid w:val="00D25AD0"/>
    <w:rsid w:val="00D25B75"/>
    <w:rsid w:val="00D25EBB"/>
    <w:rsid w:val="00D26B05"/>
    <w:rsid w:val="00D26BE3"/>
    <w:rsid w:val="00D26FC1"/>
    <w:rsid w:val="00D27A2D"/>
    <w:rsid w:val="00D31853"/>
    <w:rsid w:val="00D31956"/>
    <w:rsid w:val="00D31E4F"/>
    <w:rsid w:val="00D32B06"/>
    <w:rsid w:val="00D32D41"/>
    <w:rsid w:val="00D335DA"/>
    <w:rsid w:val="00D33996"/>
    <w:rsid w:val="00D34711"/>
    <w:rsid w:val="00D34779"/>
    <w:rsid w:val="00D34EBA"/>
    <w:rsid w:val="00D35050"/>
    <w:rsid w:val="00D352DB"/>
    <w:rsid w:val="00D3534A"/>
    <w:rsid w:val="00D35B32"/>
    <w:rsid w:val="00D36556"/>
    <w:rsid w:val="00D36C82"/>
    <w:rsid w:val="00D372E1"/>
    <w:rsid w:val="00D40100"/>
    <w:rsid w:val="00D40C39"/>
    <w:rsid w:val="00D41F92"/>
    <w:rsid w:val="00D429F0"/>
    <w:rsid w:val="00D42C8C"/>
    <w:rsid w:val="00D45057"/>
    <w:rsid w:val="00D45CAF"/>
    <w:rsid w:val="00D45EFC"/>
    <w:rsid w:val="00D4654F"/>
    <w:rsid w:val="00D467EF"/>
    <w:rsid w:val="00D51B97"/>
    <w:rsid w:val="00D523B3"/>
    <w:rsid w:val="00D52DA8"/>
    <w:rsid w:val="00D54140"/>
    <w:rsid w:val="00D54784"/>
    <w:rsid w:val="00D54942"/>
    <w:rsid w:val="00D54F7E"/>
    <w:rsid w:val="00D56336"/>
    <w:rsid w:val="00D56FAE"/>
    <w:rsid w:val="00D5718E"/>
    <w:rsid w:val="00D5771F"/>
    <w:rsid w:val="00D57799"/>
    <w:rsid w:val="00D577B2"/>
    <w:rsid w:val="00D608E7"/>
    <w:rsid w:val="00D60E38"/>
    <w:rsid w:val="00D60F10"/>
    <w:rsid w:val="00D61715"/>
    <w:rsid w:val="00D62070"/>
    <w:rsid w:val="00D62BF4"/>
    <w:rsid w:val="00D634FD"/>
    <w:rsid w:val="00D64314"/>
    <w:rsid w:val="00D64567"/>
    <w:rsid w:val="00D646D8"/>
    <w:rsid w:val="00D659FA"/>
    <w:rsid w:val="00D65D3B"/>
    <w:rsid w:val="00D665F6"/>
    <w:rsid w:val="00D67EBE"/>
    <w:rsid w:val="00D7039D"/>
    <w:rsid w:val="00D704B0"/>
    <w:rsid w:val="00D7100F"/>
    <w:rsid w:val="00D7161A"/>
    <w:rsid w:val="00D72336"/>
    <w:rsid w:val="00D72BD3"/>
    <w:rsid w:val="00D72EF0"/>
    <w:rsid w:val="00D73215"/>
    <w:rsid w:val="00D744BC"/>
    <w:rsid w:val="00D75C55"/>
    <w:rsid w:val="00D75C78"/>
    <w:rsid w:val="00D76B29"/>
    <w:rsid w:val="00D76D98"/>
    <w:rsid w:val="00D77AFA"/>
    <w:rsid w:val="00D77FB1"/>
    <w:rsid w:val="00D8046D"/>
    <w:rsid w:val="00D80A35"/>
    <w:rsid w:val="00D81ADE"/>
    <w:rsid w:val="00D81D7C"/>
    <w:rsid w:val="00D83CCD"/>
    <w:rsid w:val="00D83D28"/>
    <w:rsid w:val="00D83E8F"/>
    <w:rsid w:val="00D83FF1"/>
    <w:rsid w:val="00D87136"/>
    <w:rsid w:val="00D87E51"/>
    <w:rsid w:val="00D907F5"/>
    <w:rsid w:val="00D908DE"/>
    <w:rsid w:val="00D917FD"/>
    <w:rsid w:val="00D9264F"/>
    <w:rsid w:val="00D92F8A"/>
    <w:rsid w:val="00D93379"/>
    <w:rsid w:val="00D938B6"/>
    <w:rsid w:val="00D969D1"/>
    <w:rsid w:val="00DA0302"/>
    <w:rsid w:val="00DA0369"/>
    <w:rsid w:val="00DA0496"/>
    <w:rsid w:val="00DA07DE"/>
    <w:rsid w:val="00DA0BED"/>
    <w:rsid w:val="00DA1E08"/>
    <w:rsid w:val="00DA2047"/>
    <w:rsid w:val="00DA26AA"/>
    <w:rsid w:val="00DA326C"/>
    <w:rsid w:val="00DA36FD"/>
    <w:rsid w:val="00DA3EC7"/>
    <w:rsid w:val="00DA5430"/>
    <w:rsid w:val="00DA5854"/>
    <w:rsid w:val="00DA62D6"/>
    <w:rsid w:val="00DA64AB"/>
    <w:rsid w:val="00DA675A"/>
    <w:rsid w:val="00DA6C90"/>
    <w:rsid w:val="00DA73A2"/>
    <w:rsid w:val="00DB0865"/>
    <w:rsid w:val="00DB0C60"/>
    <w:rsid w:val="00DB119D"/>
    <w:rsid w:val="00DB1B65"/>
    <w:rsid w:val="00DB2B9B"/>
    <w:rsid w:val="00DB2C93"/>
    <w:rsid w:val="00DB2DF4"/>
    <w:rsid w:val="00DB41D8"/>
    <w:rsid w:val="00DB4D7C"/>
    <w:rsid w:val="00DB5213"/>
    <w:rsid w:val="00DB5749"/>
    <w:rsid w:val="00DB5BB9"/>
    <w:rsid w:val="00DB6038"/>
    <w:rsid w:val="00DB60AF"/>
    <w:rsid w:val="00DB64AD"/>
    <w:rsid w:val="00DB6C95"/>
    <w:rsid w:val="00DB6C9F"/>
    <w:rsid w:val="00DB7AD6"/>
    <w:rsid w:val="00DB7B8B"/>
    <w:rsid w:val="00DC026E"/>
    <w:rsid w:val="00DC0848"/>
    <w:rsid w:val="00DC157B"/>
    <w:rsid w:val="00DC287C"/>
    <w:rsid w:val="00DC2B68"/>
    <w:rsid w:val="00DC2EB4"/>
    <w:rsid w:val="00DC34D4"/>
    <w:rsid w:val="00DC3674"/>
    <w:rsid w:val="00DC3892"/>
    <w:rsid w:val="00DC3A7D"/>
    <w:rsid w:val="00DC5581"/>
    <w:rsid w:val="00DC674C"/>
    <w:rsid w:val="00DC7452"/>
    <w:rsid w:val="00DD05FF"/>
    <w:rsid w:val="00DD06EF"/>
    <w:rsid w:val="00DD0B9D"/>
    <w:rsid w:val="00DD0D00"/>
    <w:rsid w:val="00DD0DCA"/>
    <w:rsid w:val="00DD1608"/>
    <w:rsid w:val="00DD2CAD"/>
    <w:rsid w:val="00DD2CE7"/>
    <w:rsid w:val="00DD3370"/>
    <w:rsid w:val="00DD4286"/>
    <w:rsid w:val="00DD4383"/>
    <w:rsid w:val="00DD43B9"/>
    <w:rsid w:val="00DD4A52"/>
    <w:rsid w:val="00DD4F6F"/>
    <w:rsid w:val="00DD77CE"/>
    <w:rsid w:val="00DE1399"/>
    <w:rsid w:val="00DE1CDF"/>
    <w:rsid w:val="00DE2F78"/>
    <w:rsid w:val="00DE2FA9"/>
    <w:rsid w:val="00DE35EE"/>
    <w:rsid w:val="00DE39C4"/>
    <w:rsid w:val="00DE3C25"/>
    <w:rsid w:val="00DE3CF2"/>
    <w:rsid w:val="00DE44F7"/>
    <w:rsid w:val="00DE462E"/>
    <w:rsid w:val="00DE5652"/>
    <w:rsid w:val="00DE6401"/>
    <w:rsid w:val="00DE66F2"/>
    <w:rsid w:val="00DE73BD"/>
    <w:rsid w:val="00DF0D48"/>
    <w:rsid w:val="00DF1FD2"/>
    <w:rsid w:val="00DF2C55"/>
    <w:rsid w:val="00DF3590"/>
    <w:rsid w:val="00DF3D68"/>
    <w:rsid w:val="00DF4C1E"/>
    <w:rsid w:val="00DF4FB2"/>
    <w:rsid w:val="00DF5151"/>
    <w:rsid w:val="00DF5373"/>
    <w:rsid w:val="00DF64FF"/>
    <w:rsid w:val="00DF7B70"/>
    <w:rsid w:val="00E00BA4"/>
    <w:rsid w:val="00E01129"/>
    <w:rsid w:val="00E01201"/>
    <w:rsid w:val="00E01C52"/>
    <w:rsid w:val="00E024A7"/>
    <w:rsid w:val="00E025EB"/>
    <w:rsid w:val="00E0316A"/>
    <w:rsid w:val="00E06D35"/>
    <w:rsid w:val="00E07F5E"/>
    <w:rsid w:val="00E1018C"/>
    <w:rsid w:val="00E118CC"/>
    <w:rsid w:val="00E132AD"/>
    <w:rsid w:val="00E13809"/>
    <w:rsid w:val="00E13F9D"/>
    <w:rsid w:val="00E1431C"/>
    <w:rsid w:val="00E144F7"/>
    <w:rsid w:val="00E14925"/>
    <w:rsid w:val="00E1511D"/>
    <w:rsid w:val="00E1537B"/>
    <w:rsid w:val="00E171E9"/>
    <w:rsid w:val="00E171F6"/>
    <w:rsid w:val="00E20BCE"/>
    <w:rsid w:val="00E20F38"/>
    <w:rsid w:val="00E2104A"/>
    <w:rsid w:val="00E22CE6"/>
    <w:rsid w:val="00E233DE"/>
    <w:rsid w:val="00E236F0"/>
    <w:rsid w:val="00E23922"/>
    <w:rsid w:val="00E2443B"/>
    <w:rsid w:val="00E2487A"/>
    <w:rsid w:val="00E25255"/>
    <w:rsid w:val="00E252B2"/>
    <w:rsid w:val="00E25481"/>
    <w:rsid w:val="00E25483"/>
    <w:rsid w:val="00E256F5"/>
    <w:rsid w:val="00E259B8"/>
    <w:rsid w:val="00E261EE"/>
    <w:rsid w:val="00E27141"/>
    <w:rsid w:val="00E27F67"/>
    <w:rsid w:val="00E316DD"/>
    <w:rsid w:val="00E32883"/>
    <w:rsid w:val="00E3316D"/>
    <w:rsid w:val="00E33CAD"/>
    <w:rsid w:val="00E35A22"/>
    <w:rsid w:val="00E36A5F"/>
    <w:rsid w:val="00E36FC1"/>
    <w:rsid w:val="00E404D3"/>
    <w:rsid w:val="00E410BA"/>
    <w:rsid w:val="00E41762"/>
    <w:rsid w:val="00E41A8B"/>
    <w:rsid w:val="00E42601"/>
    <w:rsid w:val="00E4467B"/>
    <w:rsid w:val="00E45359"/>
    <w:rsid w:val="00E45626"/>
    <w:rsid w:val="00E45EEA"/>
    <w:rsid w:val="00E4631A"/>
    <w:rsid w:val="00E46C04"/>
    <w:rsid w:val="00E4769F"/>
    <w:rsid w:val="00E47A93"/>
    <w:rsid w:val="00E50C5D"/>
    <w:rsid w:val="00E50EBA"/>
    <w:rsid w:val="00E51114"/>
    <w:rsid w:val="00E512ED"/>
    <w:rsid w:val="00E51595"/>
    <w:rsid w:val="00E534C8"/>
    <w:rsid w:val="00E53C14"/>
    <w:rsid w:val="00E541A0"/>
    <w:rsid w:val="00E56602"/>
    <w:rsid w:val="00E56D48"/>
    <w:rsid w:val="00E571DA"/>
    <w:rsid w:val="00E5799C"/>
    <w:rsid w:val="00E60F41"/>
    <w:rsid w:val="00E61F35"/>
    <w:rsid w:val="00E61FB6"/>
    <w:rsid w:val="00E62B88"/>
    <w:rsid w:val="00E63861"/>
    <w:rsid w:val="00E63881"/>
    <w:rsid w:val="00E6464E"/>
    <w:rsid w:val="00E6512C"/>
    <w:rsid w:val="00E663B5"/>
    <w:rsid w:val="00E66EE1"/>
    <w:rsid w:val="00E675A2"/>
    <w:rsid w:val="00E67E41"/>
    <w:rsid w:val="00E70007"/>
    <w:rsid w:val="00E70552"/>
    <w:rsid w:val="00E70838"/>
    <w:rsid w:val="00E7161A"/>
    <w:rsid w:val="00E71681"/>
    <w:rsid w:val="00E72586"/>
    <w:rsid w:val="00E73FD9"/>
    <w:rsid w:val="00E7402E"/>
    <w:rsid w:val="00E801B6"/>
    <w:rsid w:val="00E80CF8"/>
    <w:rsid w:val="00E816C9"/>
    <w:rsid w:val="00E817DA"/>
    <w:rsid w:val="00E81D4B"/>
    <w:rsid w:val="00E83271"/>
    <w:rsid w:val="00E83AEE"/>
    <w:rsid w:val="00E84406"/>
    <w:rsid w:val="00E849E3"/>
    <w:rsid w:val="00E84B0C"/>
    <w:rsid w:val="00E85F8D"/>
    <w:rsid w:val="00E86053"/>
    <w:rsid w:val="00E86566"/>
    <w:rsid w:val="00E867CC"/>
    <w:rsid w:val="00E86987"/>
    <w:rsid w:val="00E86E65"/>
    <w:rsid w:val="00E86EBD"/>
    <w:rsid w:val="00E87129"/>
    <w:rsid w:val="00E87130"/>
    <w:rsid w:val="00E87F5B"/>
    <w:rsid w:val="00E91EBC"/>
    <w:rsid w:val="00E9237C"/>
    <w:rsid w:val="00E92D94"/>
    <w:rsid w:val="00E9398B"/>
    <w:rsid w:val="00E93AA4"/>
    <w:rsid w:val="00E941B8"/>
    <w:rsid w:val="00E942B7"/>
    <w:rsid w:val="00E94F81"/>
    <w:rsid w:val="00E952F3"/>
    <w:rsid w:val="00E95A72"/>
    <w:rsid w:val="00E95A93"/>
    <w:rsid w:val="00E95E05"/>
    <w:rsid w:val="00E965B8"/>
    <w:rsid w:val="00E96746"/>
    <w:rsid w:val="00E975FC"/>
    <w:rsid w:val="00EA02C5"/>
    <w:rsid w:val="00EA06C2"/>
    <w:rsid w:val="00EA0800"/>
    <w:rsid w:val="00EA0B57"/>
    <w:rsid w:val="00EA1072"/>
    <w:rsid w:val="00EA1D64"/>
    <w:rsid w:val="00EA2AE8"/>
    <w:rsid w:val="00EA342F"/>
    <w:rsid w:val="00EA415F"/>
    <w:rsid w:val="00EA46E3"/>
    <w:rsid w:val="00EA4999"/>
    <w:rsid w:val="00EA513C"/>
    <w:rsid w:val="00EA576B"/>
    <w:rsid w:val="00EA5D05"/>
    <w:rsid w:val="00EA69E4"/>
    <w:rsid w:val="00EA7670"/>
    <w:rsid w:val="00EB083C"/>
    <w:rsid w:val="00EB20D2"/>
    <w:rsid w:val="00EB2242"/>
    <w:rsid w:val="00EB2305"/>
    <w:rsid w:val="00EB2C96"/>
    <w:rsid w:val="00EB3DE4"/>
    <w:rsid w:val="00EB4580"/>
    <w:rsid w:val="00EB4650"/>
    <w:rsid w:val="00EB4DDB"/>
    <w:rsid w:val="00EB6C2E"/>
    <w:rsid w:val="00EB79C7"/>
    <w:rsid w:val="00EB7E92"/>
    <w:rsid w:val="00EC09D7"/>
    <w:rsid w:val="00EC0A46"/>
    <w:rsid w:val="00EC220B"/>
    <w:rsid w:val="00EC27C1"/>
    <w:rsid w:val="00EC287D"/>
    <w:rsid w:val="00EC36C5"/>
    <w:rsid w:val="00EC3BF9"/>
    <w:rsid w:val="00EC4755"/>
    <w:rsid w:val="00EC4BC3"/>
    <w:rsid w:val="00EC5D20"/>
    <w:rsid w:val="00EC5DFE"/>
    <w:rsid w:val="00EC63A1"/>
    <w:rsid w:val="00EC66C4"/>
    <w:rsid w:val="00EC72AE"/>
    <w:rsid w:val="00EC7BA5"/>
    <w:rsid w:val="00EC7EB4"/>
    <w:rsid w:val="00ED0C88"/>
    <w:rsid w:val="00ED11CC"/>
    <w:rsid w:val="00ED1EB8"/>
    <w:rsid w:val="00ED2D76"/>
    <w:rsid w:val="00ED3919"/>
    <w:rsid w:val="00ED438A"/>
    <w:rsid w:val="00ED43AC"/>
    <w:rsid w:val="00ED54F5"/>
    <w:rsid w:val="00ED5DD4"/>
    <w:rsid w:val="00ED7A70"/>
    <w:rsid w:val="00EE0A05"/>
    <w:rsid w:val="00EE0E28"/>
    <w:rsid w:val="00EE211C"/>
    <w:rsid w:val="00EE4D20"/>
    <w:rsid w:val="00EE5BEF"/>
    <w:rsid w:val="00EE646B"/>
    <w:rsid w:val="00EE6962"/>
    <w:rsid w:val="00EE6D18"/>
    <w:rsid w:val="00EE78F6"/>
    <w:rsid w:val="00EF0C74"/>
    <w:rsid w:val="00EF0D9F"/>
    <w:rsid w:val="00EF1ECC"/>
    <w:rsid w:val="00EF2B3F"/>
    <w:rsid w:val="00EF3E73"/>
    <w:rsid w:val="00EF4A3D"/>
    <w:rsid w:val="00EF5303"/>
    <w:rsid w:val="00EF5801"/>
    <w:rsid w:val="00EF63A9"/>
    <w:rsid w:val="00EF6DB2"/>
    <w:rsid w:val="00EF6F37"/>
    <w:rsid w:val="00F003BF"/>
    <w:rsid w:val="00F02DBA"/>
    <w:rsid w:val="00F0315C"/>
    <w:rsid w:val="00F0389C"/>
    <w:rsid w:val="00F03B42"/>
    <w:rsid w:val="00F040E4"/>
    <w:rsid w:val="00F04313"/>
    <w:rsid w:val="00F048DA"/>
    <w:rsid w:val="00F06009"/>
    <w:rsid w:val="00F06086"/>
    <w:rsid w:val="00F0726F"/>
    <w:rsid w:val="00F07B12"/>
    <w:rsid w:val="00F07D69"/>
    <w:rsid w:val="00F1034D"/>
    <w:rsid w:val="00F10540"/>
    <w:rsid w:val="00F106D8"/>
    <w:rsid w:val="00F1079F"/>
    <w:rsid w:val="00F117ED"/>
    <w:rsid w:val="00F11876"/>
    <w:rsid w:val="00F1193D"/>
    <w:rsid w:val="00F12A31"/>
    <w:rsid w:val="00F132B1"/>
    <w:rsid w:val="00F148C3"/>
    <w:rsid w:val="00F15A83"/>
    <w:rsid w:val="00F15DEB"/>
    <w:rsid w:val="00F213B8"/>
    <w:rsid w:val="00F21D22"/>
    <w:rsid w:val="00F223DB"/>
    <w:rsid w:val="00F229E1"/>
    <w:rsid w:val="00F23AB2"/>
    <w:rsid w:val="00F24BC9"/>
    <w:rsid w:val="00F25592"/>
    <w:rsid w:val="00F25A5C"/>
    <w:rsid w:val="00F27375"/>
    <w:rsid w:val="00F27CDB"/>
    <w:rsid w:val="00F300EC"/>
    <w:rsid w:val="00F30B77"/>
    <w:rsid w:val="00F31036"/>
    <w:rsid w:val="00F311E3"/>
    <w:rsid w:val="00F33F9D"/>
    <w:rsid w:val="00F34B11"/>
    <w:rsid w:val="00F35399"/>
    <w:rsid w:val="00F37298"/>
    <w:rsid w:val="00F373EB"/>
    <w:rsid w:val="00F37BD3"/>
    <w:rsid w:val="00F4040B"/>
    <w:rsid w:val="00F420A1"/>
    <w:rsid w:val="00F4354F"/>
    <w:rsid w:val="00F43732"/>
    <w:rsid w:val="00F43E2A"/>
    <w:rsid w:val="00F45152"/>
    <w:rsid w:val="00F45668"/>
    <w:rsid w:val="00F459E1"/>
    <w:rsid w:val="00F45BAE"/>
    <w:rsid w:val="00F460E0"/>
    <w:rsid w:val="00F466D3"/>
    <w:rsid w:val="00F47254"/>
    <w:rsid w:val="00F47378"/>
    <w:rsid w:val="00F50CDA"/>
    <w:rsid w:val="00F50D4E"/>
    <w:rsid w:val="00F50E87"/>
    <w:rsid w:val="00F5192F"/>
    <w:rsid w:val="00F52610"/>
    <w:rsid w:val="00F52876"/>
    <w:rsid w:val="00F52B6A"/>
    <w:rsid w:val="00F52CA0"/>
    <w:rsid w:val="00F52FA7"/>
    <w:rsid w:val="00F5316C"/>
    <w:rsid w:val="00F53389"/>
    <w:rsid w:val="00F542C1"/>
    <w:rsid w:val="00F54518"/>
    <w:rsid w:val="00F5457A"/>
    <w:rsid w:val="00F547D0"/>
    <w:rsid w:val="00F547D4"/>
    <w:rsid w:val="00F557D6"/>
    <w:rsid w:val="00F558AF"/>
    <w:rsid w:val="00F558F7"/>
    <w:rsid w:val="00F559D8"/>
    <w:rsid w:val="00F55A60"/>
    <w:rsid w:val="00F56354"/>
    <w:rsid w:val="00F57267"/>
    <w:rsid w:val="00F61966"/>
    <w:rsid w:val="00F621E0"/>
    <w:rsid w:val="00F623EA"/>
    <w:rsid w:val="00F628A5"/>
    <w:rsid w:val="00F62992"/>
    <w:rsid w:val="00F63194"/>
    <w:rsid w:val="00F636F2"/>
    <w:rsid w:val="00F6395E"/>
    <w:rsid w:val="00F640AA"/>
    <w:rsid w:val="00F64BD2"/>
    <w:rsid w:val="00F64DCE"/>
    <w:rsid w:val="00F64DF4"/>
    <w:rsid w:val="00F6516C"/>
    <w:rsid w:val="00F654ED"/>
    <w:rsid w:val="00F65F9E"/>
    <w:rsid w:val="00F66653"/>
    <w:rsid w:val="00F66C59"/>
    <w:rsid w:val="00F6725A"/>
    <w:rsid w:val="00F67A29"/>
    <w:rsid w:val="00F67DA6"/>
    <w:rsid w:val="00F702EB"/>
    <w:rsid w:val="00F70380"/>
    <w:rsid w:val="00F70674"/>
    <w:rsid w:val="00F708ED"/>
    <w:rsid w:val="00F710D6"/>
    <w:rsid w:val="00F717E1"/>
    <w:rsid w:val="00F71D7D"/>
    <w:rsid w:val="00F727AC"/>
    <w:rsid w:val="00F72BDF"/>
    <w:rsid w:val="00F72FA8"/>
    <w:rsid w:val="00F735A7"/>
    <w:rsid w:val="00F74441"/>
    <w:rsid w:val="00F745D9"/>
    <w:rsid w:val="00F76965"/>
    <w:rsid w:val="00F76BB3"/>
    <w:rsid w:val="00F76D4E"/>
    <w:rsid w:val="00F772DA"/>
    <w:rsid w:val="00F7781E"/>
    <w:rsid w:val="00F816EE"/>
    <w:rsid w:val="00F81708"/>
    <w:rsid w:val="00F81F1D"/>
    <w:rsid w:val="00F82D68"/>
    <w:rsid w:val="00F8304F"/>
    <w:rsid w:val="00F847B5"/>
    <w:rsid w:val="00F85DFD"/>
    <w:rsid w:val="00F868BC"/>
    <w:rsid w:val="00F875DE"/>
    <w:rsid w:val="00F879B1"/>
    <w:rsid w:val="00F90D95"/>
    <w:rsid w:val="00F90F9D"/>
    <w:rsid w:val="00F91054"/>
    <w:rsid w:val="00F92653"/>
    <w:rsid w:val="00F92C69"/>
    <w:rsid w:val="00F9332E"/>
    <w:rsid w:val="00F94962"/>
    <w:rsid w:val="00F9521E"/>
    <w:rsid w:val="00F95E15"/>
    <w:rsid w:val="00F961DD"/>
    <w:rsid w:val="00F96E5E"/>
    <w:rsid w:val="00F97015"/>
    <w:rsid w:val="00F9746E"/>
    <w:rsid w:val="00F974A9"/>
    <w:rsid w:val="00FA03B6"/>
    <w:rsid w:val="00FA1144"/>
    <w:rsid w:val="00FA226B"/>
    <w:rsid w:val="00FA2DC5"/>
    <w:rsid w:val="00FA3486"/>
    <w:rsid w:val="00FA36DB"/>
    <w:rsid w:val="00FA4D82"/>
    <w:rsid w:val="00FA528E"/>
    <w:rsid w:val="00FA52E7"/>
    <w:rsid w:val="00FA5DD2"/>
    <w:rsid w:val="00FA63FC"/>
    <w:rsid w:val="00FA70D4"/>
    <w:rsid w:val="00FA75E0"/>
    <w:rsid w:val="00FB092A"/>
    <w:rsid w:val="00FB0B5E"/>
    <w:rsid w:val="00FB0BC2"/>
    <w:rsid w:val="00FB2F90"/>
    <w:rsid w:val="00FB308E"/>
    <w:rsid w:val="00FB32D4"/>
    <w:rsid w:val="00FB3461"/>
    <w:rsid w:val="00FB54B4"/>
    <w:rsid w:val="00FB5CA3"/>
    <w:rsid w:val="00FB65CE"/>
    <w:rsid w:val="00FB7BFB"/>
    <w:rsid w:val="00FC006A"/>
    <w:rsid w:val="00FC12B5"/>
    <w:rsid w:val="00FC1882"/>
    <w:rsid w:val="00FC1AD6"/>
    <w:rsid w:val="00FC1C2D"/>
    <w:rsid w:val="00FC264D"/>
    <w:rsid w:val="00FC2803"/>
    <w:rsid w:val="00FC2B2D"/>
    <w:rsid w:val="00FC2CDB"/>
    <w:rsid w:val="00FC3263"/>
    <w:rsid w:val="00FC3A48"/>
    <w:rsid w:val="00FC49C1"/>
    <w:rsid w:val="00FC5058"/>
    <w:rsid w:val="00FC525D"/>
    <w:rsid w:val="00FC54B8"/>
    <w:rsid w:val="00FC735E"/>
    <w:rsid w:val="00FC78E8"/>
    <w:rsid w:val="00FC7F42"/>
    <w:rsid w:val="00FD0883"/>
    <w:rsid w:val="00FD0CEF"/>
    <w:rsid w:val="00FD1263"/>
    <w:rsid w:val="00FD1EA4"/>
    <w:rsid w:val="00FD273B"/>
    <w:rsid w:val="00FD2B18"/>
    <w:rsid w:val="00FD34B2"/>
    <w:rsid w:val="00FD350C"/>
    <w:rsid w:val="00FD3DBB"/>
    <w:rsid w:val="00FD4A4B"/>
    <w:rsid w:val="00FD4B1F"/>
    <w:rsid w:val="00FD4ED0"/>
    <w:rsid w:val="00FD5D94"/>
    <w:rsid w:val="00FD65DE"/>
    <w:rsid w:val="00FD6DF2"/>
    <w:rsid w:val="00FD75B3"/>
    <w:rsid w:val="00FE0D70"/>
    <w:rsid w:val="00FE1039"/>
    <w:rsid w:val="00FE1A06"/>
    <w:rsid w:val="00FE27F4"/>
    <w:rsid w:val="00FE2E8D"/>
    <w:rsid w:val="00FE3738"/>
    <w:rsid w:val="00FE3ACE"/>
    <w:rsid w:val="00FE3DF9"/>
    <w:rsid w:val="00FE4F1F"/>
    <w:rsid w:val="00FE513E"/>
    <w:rsid w:val="00FE531F"/>
    <w:rsid w:val="00FE5E36"/>
    <w:rsid w:val="00FE5F67"/>
    <w:rsid w:val="00FE65F9"/>
    <w:rsid w:val="00FE7764"/>
    <w:rsid w:val="00FF0F14"/>
    <w:rsid w:val="00FF249C"/>
    <w:rsid w:val="00FF2551"/>
    <w:rsid w:val="00FF2EA1"/>
    <w:rsid w:val="00FF35F6"/>
    <w:rsid w:val="00FF467A"/>
    <w:rsid w:val="00FF4933"/>
    <w:rsid w:val="00FF4CE1"/>
    <w:rsid w:val="00FF5285"/>
    <w:rsid w:val="00FF5967"/>
    <w:rsid w:val="00FF5C39"/>
    <w:rsid w:val="00FF5D67"/>
    <w:rsid w:val="00FF6321"/>
    <w:rsid w:val="00FF7622"/>
    <w:rsid w:val="00FF771B"/>
    <w:rsid w:val="0281577A"/>
    <w:rsid w:val="02FB6E41"/>
    <w:rsid w:val="03451AAA"/>
    <w:rsid w:val="04000C75"/>
    <w:rsid w:val="040C4638"/>
    <w:rsid w:val="040D61CA"/>
    <w:rsid w:val="0663771D"/>
    <w:rsid w:val="067F1DA1"/>
    <w:rsid w:val="0716088F"/>
    <w:rsid w:val="077305E3"/>
    <w:rsid w:val="07CD0531"/>
    <w:rsid w:val="0B242CDB"/>
    <w:rsid w:val="107523C9"/>
    <w:rsid w:val="10A6029D"/>
    <w:rsid w:val="10D4508F"/>
    <w:rsid w:val="1106208D"/>
    <w:rsid w:val="13A52D99"/>
    <w:rsid w:val="14B44E8D"/>
    <w:rsid w:val="154B4BA0"/>
    <w:rsid w:val="161E6569"/>
    <w:rsid w:val="16E94B76"/>
    <w:rsid w:val="17C61147"/>
    <w:rsid w:val="184D5BFC"/>
    <w:rsid w:val="187C5BCF"/>
    <w:rsid w:val="19AB4B34"/>
    <w:rsid w:val="1A6640D3"/>
    <w:rsid w:val="1BFB16C7"/>
    <w:rsid w:val="1C0248AA"/>
    <w:rsid w:val="1CA412AE"/>
    <w:rsid w:val="20C80F67"/>
    <w:rsid w:val="21D05464"/>
    <w:rsid w:val="22756777"/>
    <w:rsid w:val="2327375C"/>
    <w:rsid w:val="237B5AC0"/>
    <w:rsid w:val="249C7F51"/>
    <w:rsid w:val="263D73A6"/>
    <w:rsid w:val="27A24E6D"/>
    <w:rsid w:val="289D6AE5"/>
    <w:rsid w:val="28E87A9F"/>
    <w:rsid w:val="2A7E4E8A"/>
    <w:rsid w:val="2D9F0E49"/>
    <w:rsid w:val="2F37683A"/>
    <w:rsid w:val="2F42484C"/>
    <w:rsid w:val="2FE2247E"/>
    <w:rsid w:val="30794A4F"/>
    <w:rsid w:val="30F42028"/>
    <w:rsid w:val="31B85919"/>
    <w:rsid w:val="31F660DF"/>
    <w:rsid w:val="3384694F"/>
    <w:rsid w:val="33EB3CEE"/>
    <w:rsid w:val="3AB25FA8"/>
    <w:rsid w:val="3ABF338F"/>
    <w:rsid w:val="3B5D48D7"/>
    <w:rsid w:val="3C225E1A"/>
    <w:rsid w:val="3F0A3C54"/>
    <w:rsid w:val="414E2577"/>
    <w:rsid w:val="41895B29"/>
    <w:rsid w:val="424B4100"/>
    <w:rsid w:val="42A356F8"/>
    <w:rsid w:val="43EC5313"/>
    <w:rsid w:val="44535FBC"/>
    <w:rsid w:val="46525E57"/>
    <w:rsid w:val="47086E0B"/>
    <w:rsid w:val="480C5B3E"/>
    <w:rsid w:val="50D83995"/>
    <w:rsid w:val="516F69C5"/>
    <w:rsid w:val="51CF3E87"/>
    <w:rsid w:val="52F007CA"/>
    <w:rsid w:val="53215681"/>
    <w:rsid w:val="55747923"/>
    <w:rsid w:val="55760C1C"/>
    <w:rsid w:val="58324C34"/>
    <w:rsid w:val="587D13BE"/>
    <w:rsid w:val="5AF65560"/>
    <w:rsid w:val="5BA936C1"/>
    <w:rsid w:val="5BF80B62"/>
    <w:rsid w:val="5C503013"/>
    <w:rsid w:val="5C6F55CE"/>
    <w:rsid w:val="5D00390A"/>
    <w:rsid w:val="5E6B1629"/>
    <w:rsid w:val="5FF655F4"/>
    <w:rsid w:val="63550F47"/>
    <w:rsid w:val="64875805"/>
    <w:rsid w:val="66A36E07"/>
    <w:rsid w:val="684628FB"/>
    <w:rsid w:val="69926D22"/>
    <w:rsid w:val="6D343EA3"/>
    <w:rsid w:val="6D5029AC"/>
    <w:rsid w:val="6DD174CE"/>
    <w:rsid w:val="6EFC09F4"/>
    <w:rsid w:val="6FA678F9"/>
    <w:rsid w:val="740E3374"/>
    <w:rsid w:val="74747B58"/>
    <w:rsid w:val="752C0818"/>
    <w:rsid w:val="762A1882"/>
    <w:rsid w:val="79C77174"/>
    <w:rsid w:val="7E655830"/>
    <w:rsid w:val="7EDD7B47"/>
    <w:rsid w:val="7FEC0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58"/>
    <w:qFormat/>
    <w:uiPriority w:val="0"/>
    <w:pPr>
      <w:keepNext/>
      <w:keepLines/>
      <w:spacing w:before="260" w:after="260" w:line="416" w:lineRule="auto"/>
      <w:outlineLvl w:val="1"/>
    </w:pPr>
    <w:rPr>
      <w:rFonts w:ascii="Cambria" w:hAnsi="Cambria"/>
      <w:b/>
      <w:bCs/>
      <w:sz w:val="32"/>
      <w:szCs w:val="32"/>
    </w:rPr>
  </w:style>
  <w:style w:type="paragraph" w:styleId="5">
    <w:name w:val="heading 3"/>
    <w:basedOn w:val="1"/>
    <w:next w:val="1"/>
    <w:link w:val="59"/>
    <w:qFormat/>
    <w:uiPriority w:val="0"/>
    <w:pPr>
      <w:keepNext/>
      <w:keepLines/>
      <w:spacing w:before="260" w:after="260" w:line="416" w:lineRule="auto"/>
      <w:outlineLvl w:val="2"/>
    </w:pPr>
    <w:rPr>
      <w:b/>
      <w:bCs/>
      <w:sz w:val="32"/>
      <w:szCs w:val="32"/>
    </w:rPr>
  </w:style>
  <w:style w:type="paragraph" w:styleId="6">
    <w:name w:val="heading 4"/>
    <w:basedOn w:val="1"/>
    <w:next w:val="1"/>
    <w:link w:val="60"/>
    <w:qFormat/>
    <w:uiPriority w:val="0"/>
    <w:pPr>
      <w:widowControl/>
      <w:spacing w:before="100" w:beforeAutospacing="1" w:after="100" w:afterAutospacing="1"/>
      <w:jc w:val="left"/>
      <w:outlineLvl w:val="3"/>
    </w:pPr>
    <w:rPr>
      <w:rFonts w:ascii="宋体" w:hAnsi="宋体" w:cs="宋体"/>
      <w:b/>
      <w:bCs/>
      <w:kern w:val="0"/>
      <w:sz w:val="24"/>
    </w:rPr>
  </w:style>
  <w:style w:type="paragraph" w:styleId="7">
    <w:name w:val="heading 5"/>
    <w:basedOn w:val="1"/>
    <w:next w:val="1"/>
    <w:link w:val="61"/>
    <w:qFormat/>
    <w:uiPriority w:val="0"/>
    <w:pPr>
      <w:widowControl/>
      <w:spacing w:before="100" w:beforeAutospacing="1" w:after="100" w:afterAutospacing="1"/>
      <w:jc w:val="left"/>
      <w:outlineLvl w:val="4"/>
    </w:pPr>
    <w:rPr>
      <w:rFonts w:ascii="宋体" w:hAnsi="宋体" w:cs="宋体"/>
      <w:b/>
      <w:bCs/>
      <w:kern w:val="0"/>
      <w:sz w:val="20"/>
      <w:szCs w:val="20"/>
    </w:rPr>
  </w:style>
  <w:style w:type="paragraph" w:styleId="8">
    <w:name w:val="heading 6"/>
    <w:basedOn w:val="9"/>
    <w:next w:val="1"/>
    <w:link w:val="62"/>
    <w:qFormat/>
    <w:uiPriority w:val="0"/>
    <w:pPr>
      <w:keepNext/>
      <w:keepLines/>
      <w:ind w:firstLine="200" w:firstLineChars="200"/>
      <w:outlineLvl w:val="5"/>
    </w:pPr>
    <w:rPr>
      <w:rFonts w:hAnsi="Arial"/>
    </w:rPr>
  </w:style>
  <w:style w:type="paragraph" w:styleId="10">
    <w:name w:val="heading 7"/>
    <w:basedOn w:val="1"/>
    <w:next w:val="1"/>
    <w:link w:val="63"/>
    <w:qFormat/>
    <w:uiPriority w:val="0"/>
    <w:pPr>
      <w:keepNext/>
      <w:keepLines/>
      <w:adjustRightInd w:val="0"/>
      <w:spacing w:line="480" w:lineRule="atLeast"/>
      <w:ind w:left="1425" w:leftChars="175" w:hanging="900" w:hangingChars="300"/>
      <w:textAlignment w:val="baseline"/>
      <w:outlineLvl w:val="6"/>
    </w:pPr>
    <w:rPr>
      <w:rFonts w:eastAsia="仿宋_GB2312"/>
      <w:kern w:val="0"/>
      <w:sz w:val="30"/>
      <w:szCs w:val="20"/>
    </w:rPr>
  </w:style>
  <w:style w:type="paragraph" w:styleId="11">
    <w:name w:val="heading 8"/>
    <w:basedOn w:val="1"/>
    <w:next w:val="1"/>
    <w:link w:val="64"/>
    <w:qFormat/>
    <w:uiPriority w:val="0"/>
    <w:pPr>
      <w:adjustRightInd w:val="0"/>
      <w:spacing w:line="480" w:lineRule="atLeast"/>
      <w:ind w:left="2232" w:leftChars="450" w:hanging="882" w:hangingChars="294"/>
      <w:textAlignment w:val="baseline"/>
      <w:outlineLvl w:val="7"/>
    </w:pPr>
    <w:rPr>
      <w:rFonts w:hAnsi="Arial" w:eastAsia="仿宋_GB2312"/>
      <w:kern w:val="0"/>
      <w:sz w:val="30"/>
      <w:szCs w:val="20"/>
    </w:rPr>
  </w:style>
  <w:style w:type="paragraph" w:styleId="12">
    <w:name w:val="heading 9"/>
    <w:basedOn w:val="1"/>
    <w:next w:val="1"/>
    <w:link w:val="65"/>
    <w:qFormat/>
    <w:uiPriority w:val="0"/>
    <w:pPr>
      <w:keepNext/>
      <w:keepLines/>
      <w:adjustRightInd w:val="0"/>
      <w:spacing w:line="480" w:lineRule="atLeast"/>
      <w:ind w:left="2979" w:leftChars="715" w:hanging="834" w:hangingChars="278"/>
      <w:textAlignment w:val="baseline"/>
      <w:outlineLvl w:val="8"/>
    </w:pPr>
    <w:rPr>
      <w:rFonts w:eastAsia="仿宋_GB2312"/>
      <w:kern w:val="0"/>
      <w:sz w:val="30"/>
      <w:szCs w:val="20"/>
    </w:rPr>
  </w:style>
  <w:style w:type="character" w:default="1" w:styleId="47">
    <w:name w:val="Default Paragraph Font"/>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56"/>
    <w:qFormat/>
    <w:uiPriority w:val="0"/>
    <w:pPr>
      <w:spacing w:after="120"/>
    </w:pPr>
  </w:style>
  <w:style w:type="paragraph" w:styleId="9">
    <w:name w:val="Normal Indent"/>
    <w:basedOn w:val="1"/>
    <w:qFormat/>
    <w:uiPriority w:val="0"/>
    <w:pPr>
      <w:adjustRightInd w:val="0"/>
      <w:spacing w:line="480" w:lineRule="atLeast"/>
      <w:ind w:firstLine="600"/>
      <w:textAlignment w:val="baseline"/>
    </w:pPr>
    <w:rPr>
      <w:rFonts w:eastAsia="仿宋_GB2312"/>
      <w:kern w:val="0"/>
      <w:sz w:val="30"/>
      <w:szCs w:val="20"/>
    </w:rPr>
  </w:style>
  <w:style w:type="paragraph" w:styleId="13">
    <w:name w:val="toc 7"/>
    <w:basedOn w:val="1"/>
    <w:next w:val="1"/>
    <w:qFormat/>
    <w:uiPriority w:val="39"/>
    <w:pPr>
      <w:ind w:left="1260"/>
      <w:jc w:val="left"/>
    </w:pPr>
    <w:rPr>
      <w:sz w:val="18"/>
      <w:szCs w:val="18"/>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66"/>
    <w:qFormat/>
    <w:uiPriority w:val="0"/>
    <w:pPr>
      <w:shd w:val="clear" w:color="auto" w:fill="000080"/>
    </w:pPr>
  </w:style>
  <w:style w:type="paragraph" w:styleId="16">
    <w:name w:val="annotation text"/>
    <w:basedOn w:val="1"/>
    <w:link w:val="67"/>
    <w:qFormat/>
    <w:uiPriority w:val="0"/>
    <w:pPr>
      <w:jc w:val="left"/>
    </w:pPr>
  </w:style>
  <w:style w:type="paragraph" w:styleId="17">
    <w:name w:val="Body Text 3"/>
    <w:basedOn w:val="1"/>
    <w:link w:val="68"/>
    <w:qFormat/>
    <w:uiPriority w:val="0"/>
    <w:pPr>
      <w:spacing w:after="120"/>
    </w:pPr>
    <w:rPr>
      <w:sz w:val="16"/>
      <w:szCs w:val="16"/>
    </w:rPr>
  </w:style>
  <w:style w:type="paragraph" w:styleId="18">
    <w:name w:val="Body Text Indent"/>
    <w:basedOn w:val="1"/>
    <w:link w:val="69"/>
    <w:qFormat/>
    <w:uiPriority w:val="0"/>
    <w:pPr>
      <w:ind w:firstLine="407" w:firstLineChars="200"/>
    </w:pPr>
  </w:style>
  <w:style w:type="paragraph" w:styleId="19">
    <w:name w:val="Block Text"/>
    <w:basedOn w:val="1"/>
    <w:qFormat/>
    <w:uiPriority w:val="0"/>
    <w:pPr>
      <w:autoSpaceDE w:val="0"/>
      <w:autoSpaceDN w:val="0"/>
      <w:adjustRightInd w:val="0"/>
      <w:spacing w:line="1270" w:lineRule="exact"/>
      <w:ind w:left="2160" w:right="-20" w:hanging="2160" w:hangingChars="300"/>
      <w:jc w:val="left"/>
    </w:pPr>
    <w:rPr>
      <w:rFonts w:eastAsia="仿宋_GB2312"/>
      <w:sz w:val="72"/>
    </w:rPr>
  </w:style>
  <w:style w:type="paragraph" w:styleId="20">
    <w:name w:val="index 4"/>
    <w:basedOn w:val="1"/>
    <w:next w:val="1"/>
    <w:qFormat/>
    <w:uiPriority w:val="0"/>
    <w:pPr>
      <w:ind w:left="600" w:leftChars="600"/>
    </w:pPr>
  </w:style>
  <w:style w:type="paragraph" w:styleId="21">
    <w:name w:val="toc 5"/>
    <w:basedOn w:val="1"/>
    <w:next w:val="1"/>
    <w:qFormat/>
    <w:uiPriority w:val="39"/>
    <w:pPr>
      <w:ind w:left="840"/>
      <w:jc w:val="left"/>
    </w:pPr>
    <w:rPr>
      <w:sz w:val="18"/>
      <w:szCs w:val="18"/>
    </w:rPr>
  </w:style>
  <w:style w:type="paragraph" w:styleId="22">
    <w:name w:val="toc 3"/>
    <w:basedOn w:val="5"/>
    <w:next w:val="1"/>
    <w:qFormat/>
    <w:uiPriority w:val="39"/>
    <w:pPr>
      <w:keepNext w:val="0"/>
      <w:keepLines w:val="0"/>
      <w:spacing w:before="0" w:after="0" w:line="240" w:lineRule="auto"/>
      <w:ind w:left="420"/>
      <w:jc w:val="left"/>
      <w:outlineLvl w:val="9"/>
    </w:pPr>
    <w:rPr>
      <w:b w:val="0"/>
      <w:bCs w:val="0"/>
      <w:i/>
      <w:iCs/>
      <w:sz w:val="20"/>
      <w:szCs w:val="20"/>
    </w:rPr>
  </w:style>
  <w:style w:type="paragraph" w:styleId="23">
    <w:name w:val="Plain Text"/>
    <w:basedOn w:val="1"/>
    <w:link w:val="70"/>
    <w:qFormat/>
    <w:uiPriority w:val="0"/>
    <w:rPr>
      <w:rFonts w:ascii="宋体" w:hAnsi="Courier New" w:cs="Courier New"/>
      <w:szCs w:val="21"/>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71"/>
    <w:qFormat/>
    <w:uiPriority w:val="0"/>
    <w:pPr>
      <w:ind w:left="100" w:leftChars="2500"/>
    </w:pPr>
  </w:style>
  <w:style w:type="paragraph" w:styleId="26">
    <w:name w:val="Body Text Indent 2"/>
    <w:basedOn w:val="1"/>
    <w:link w:val="72"/>
    <w:qFormat/>
    <w:uiPriority w:val="0"/>
    <w:pPr>
      <w:widowControl/>
      <w:spacing w:line="480" w:lineRule="auto"/>
      <w:ind w:firstLine="560"/>
      <w:jc w:val="left"/>
    </w:pPr>
    <w:rPr>
      <w:kern w:val="0"/>
      <w:sz w:val="28"/>
    </w:rPr>
  </w:style>
  <w:style w:type="paragraph" w:styleId="27">
    <w:name w:val="endnote text"/>
    <w:basedOn w:val="1"/>
    <w:link w:val="73"/>
    <w:qFormat/>
    <w:uiPriority w:val="0"/>
    <w:pPr>
      <w:widowControl/>
      <w:snapToGrid w:val="0"/>
      <w:jc w:val="left"/>
    </w:pPr>
    <w:rPr>
      <w:rFonts w:ascii="Arial" w:hAnsi="Arial" w:cs="Arial"/>
      <w:kern w:val="0"/>
      <w:sz w:val="20"/>
      <w:lang w:eastAsia="en-US"/>
    </w:rPr>
  </w:style>
  <w:style w:type="paragraph" w:styleId="28">
    <w:name w:val="Balloon Text"/>
    <w:basedOn w:val="1"/>
    <w:link w:val="74"/>
    <w:qFormat/>
    <w:uiPriority w:val="0"/>
    <w:rPr>
      <w:sz w:val="18"/>
      <w:szCs w:val="18"/>
    </w:rPr>
  </w:style>
  <w:style w:type="paragraph" w:styleId="29">
    <w:name w:val="footer"/>
    <w:basedOn w:val="1"/>
    <w:link w:val="75"/>
    <w:qFormat/>
    <w:uiPriority w:val="0"/>
    <w:pPr>
      <w:tabs>
        <w:tab w:val="center" w:pos="4153"/>
        <w:tab w:val="right" w:pos="8306"/>
      </w:tabs>
      <w:snapToGrid w:val="0"/>
      <w:jc w:val="left"/>
    </w:pPr>
    <w:rPr>
      <w:sz w:val="18"/>
      <w:szCs w:val="18"/>
    </w:rPr>
  </w:style>
  <w:style w:type="paragraph" w:styleId="30">
    <w:name w:val="header"/>
    <w:basedOn w:val="1"/>
    <w:link w:val="76"/>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3"/>
    <w:next w:val="1"/>
    <w:qFormat/>
    <w:uiPriority w:val="39"/>
    <w:pPr>
      <w:keepNext w:val="0"/>
      <w:keepLines w:val="0"/>
      <w:spacing w:before="120" w:after="120" w:line="240" w:lineRule="auto"/>
      <w:jc w:val="left"/>
      <w:outlineLvl w:val="9"/>
    </w:pPr>
    <w:rPr>
      <w:caps/>
      <w:kern w:val="2"/>
      <w:sz w:val="20"/>
      <w:szCs w:val="20"/>
    </w:rPr>
  </w:style>
  <w:style w:type="paragraph" w:styleId="32">
    <w:name w:val="toc 4"/>
    <w:basedOn w:val="6"/>
    <w:next w:val="1"/>
    <w:qFormat/>
    <w:uiPriority w:val="39"/>
    <w:pPr>
      <w:widowControl w:val="0"/>
      <w:spacing w:before="0" w:beforeAutospacing="0" w:after="0" w:afterAutospacing="0"/>
      <w:ind w:left="630"/>
      <w:outlineLvl w:val="9"/>
    </w:pPr>
    <w:rPr>
      <w:rFonts w:ascii="Times New Roman" w:hAnsi="Times New Roman" w:cs="Times New Roman"/>
      <w:b w:val="0"/>
      <w:bCs w:val="0"/>
      <w:kern w:val="2"/>
      <w:sz w:val="18"/>
      <w:szCs w:val="18"/>
    </w:rPr>
  </w:style>
  <w:style w:type="paragraph" w:styleId="33">
    <w:name w:val="Subtitle"/>
    <w:basedOn w:val="1"/>
    <w:link w:val="77"/>
    <w:qFormat/>
    <w:uiPriority w:val="0"/>
    <w:pPr>
      <w:widowControl/>
      <w:jc w:val="center"/>
    </w:pPr>
    <w:rPr>
      <w:kern w:val="0"/>
      <w:sz w:val="20"/>
      <w:u w:val="single"/>
      <w:lang w:eastAsia="en-US"/>
    </w:rPr>
  </w:style>
  <w:style w:type="paragraph" w:styleId="34">
    <w:name w:val="footnote text"/>
    <w:basedOn w:val="1"/>
    <w:link w:val="78"/>
    <w:qFormat/>
    <w:uiPriority w:val="0"/>
    <w:pPr>
      <w:widowControl/>
      <w:snapToGrid w:val="0"/>
      <w:jc w:val="left"/>
    </w:pPr>
    <w:rPr>
      <w:rFonts w:ascii="Arial" w:hAnsi="Arial" w:cs="Arial"/>
      <w:kern w:val="0"/>
      <w:sz w:val="18"/>
      <w:szCs w:val="18"/>
      <w:lang w:eastAsia="en-US"/>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79"/>
    <w:qFormat/>
    <w:uiPriority w:val="0"/>
    <w:pPr>
      <w:spacing w:line="360" w:lineRule="auto"/>
      <w:ind w:firstLine="280" w:firstLineChars="100"/>
    </w:pPr>
    <w:rPr>
      <w:rFonts w:ascii="宋体" w:hAnsi="宋体"/>
      <w:sz w:val="28"/>
      <w:szCs w:val="28"/>
    </w:rPr>
  </w:style>
  <w:style w:type="paragraph" w:styleId="37">
    <w:name w:val="toc 2"/>
    <w:basedOn w:val="4"/>
    <w:next w:val="1"/>
    <w:qFormat/>
    <w:uiPriority w:val="39"/>
    <w:pPr>
      <w:keepNext w:val="0"/>
      <w:keepLines w:val="0"/>
      <w:spacing w:before="0" w:after="0" w:line="240" w:lineRule="auto"/>
      <w:ind w:left="210"/>
      <w:jc w:val="left"/>
      <w:outlineLvl w:val="9"/>
    </w:pPr>
    <w:rPr>
      <w:rFonts w:ascii="Times New Roman" w:hAnsi="Times New Roman"/>
      <w:b w:val="0"/>
      <w:bCs w:val="0"/>
      <w:smallCaps/>
      <w:sz w:val="20"/>
      <w:szCs w:val="20"/>
    </w:rPr>
  </w:style>
  <w:style w:type="paragraph" w:styleId="38">
    <w:name w:val="toc 9"/>
    <w:basedOn w:val="1"/>
    <w:next w:val="1"/>
    <w:qFormat/>
    <w:uiPriority w:val="39"/>
    <w:pPr>
      <w:ind w:left="1680"/>
      <w:jc w:val="left"/>
    </w:pPr>
    <w:rPr>
      <w:sz w:val="18"/>
      <w:szCs w:val="18"/>
    </w:rPr>
  </w:style>
  <w:style w:type="paragraph" w:styleId="39">
    <w:name w:val="Body Text 2"/>
    <w:basedOn w:val="1"/>
    <w:link w:val="80"/>
    <w:qFormat/>
    <w:uiPriority w:val="0"/>
    <w:rPr>
      <w:i/>
      <w:iCs/>
      <w:sz w:val="26"/>
    </w:rPr>
  </w:style>
  <w:style w:type="paragraph" w:styleId="40">
    <w:name w:val="HTML Preformatted"/>
    <w:basedOn w:val="1"/>
    <w:link w:val="8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rPr>
  </w:style>
  <w:style w:type="paragraph" w:styleId="41">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Title"/>
    <w:basedOn w:val="1"/>
    <w:link w:val="82"/>
    <w:qFormat/>
    <w:uiPriority w:val="0"/>
    <w:pPr>
      <w:widowControl/>
      <w:jc w:val="center"/>
    </w:pPr>
    <w:rPr>
      <w:kern w:val="0"/>
      <w:sz w:val="20"/>
      <w:u w:val="single"/>
      <w:lang w:eastAsia="en-US"/>
    </w:rPr>
  </w:style>
  <w:style w:type="paragraph" w:styleId="44">
    <w:name w:val="annotation subject"/>
    <w:basedOn w:val="16"/>
    <w:next w:val="16"/>
    <w:link w:val="83"/>
    <w:qFormat/>
    <w:uiPriority w:val="0"/>
    <w:rPr>
      <w:b/>
      <w:bCs/>
    </w:rPr>
  </w:style>
  <w:style w:type="table" w:styleId="46">
    <w:name w:val="Table Grid"/>
    <w:basedOn w:val="45"/>
    <w:qFormat/>
    <w:uiPriority w:val="59"/>
    <w:rPr>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48">
    <w:name w:val="Strong"/>
    <w:qFormat/>
    <w:uiPriority w:val="22"/>
    <w:rPr>
      <w:b/>
      <w:bCs/>
    </w:rPr>
  </w:style>
  <w:style w:type="character" w:styleId="49">
    <w:name w:val="endnote reference"/>
    <w:qFormat/>
    <w:uiPriority w:val="0"/>
    <w:rPr>
      <w:vertAlign w:val="superscript"/>
    </w:rPr>
  </w:style>
  <w:style w:type="character" w:styleId="50">
    <w:name w:val="page number"/>
    <w:basedOn w:val="47"/>
    <w:qFormat/>
    <w:uiPriority w:val="0"/>
  </w:style>
  <w:style w:type="character" w:styleId="51">
    <w:name w:val="FollowedHyperlink"/>
    <w:qFormat/>
    <w:uiPriority w:val="0"/>
    <w:rPr>
      <w:color w:val="800080"/>
      <w:u w:val="single"/>
    </w:rPr>
  </w:style>
  <w:style w:type="character" w:styleId="52">
    <w:name w:val="Emphasis"/>
    <w:qFormat/>
    <w:uiPriority w:val="0"/>
    <w:rPr>
      <w:i/>
      <w:iCs/>
    </w:rPr>
  </w:style>
  <w:style w:type="character" w:styleId="53">
    <w:name w:val="Hyperlink"/>
    <w:qFormat/>
    <w:uiPriority w:val="99"/>
    <w:rPr>
      <w:color w:val="0000FF"/>
      <w:u w:val="single"/>
    </w:rPr>
  </w:style>
  <w:style w:type="character" w:styleId="54">
    <w:name w:val="annotation reference"/>
    <w:qFormat/>
    <w:uiPriority w:val="0"/>
    <w:rPr>
      <w:sz w:val="21"/>
      <w:szCs w:val="21"/>
    </w:rPr>
  </w:style>
  <w:style w:type="character" w:styleId="55">
    <w:name w:val="footnote reference"/>
    <w:qFormat/>
    <w:uiPriority w:val="0"/>
    <w:rPr>
      <w:vertAlign w:val="superscript"/>
    </w:rPr>
  </w:style>
  <w:style w:type="character" w:customStyle="1" w:styleId="56">
    <w:name w:val="正文文本 字符"/>
    <w:link w:val="2"/>
    <w:qFormat/>
    <w:uiPriority w:val="0"/>
    <w:rPr>
      <w:rFonts w:eastAsia="宋体"/>
      <w:kern w:val="2"/>
      <w:sz w:val="21"/>
      <w:szCs w:val="24"/>
      <w:lang w:val="en-US" w:eastAsia="zh-CN" w:bidi="ar-SA"/>
    </w:rPr>
  </w:style>
  <w:style w:type="character" w:customStyle="1" w:styleId="57">
    <w:name w:val="标题 1 字符"/>
    <w:link w:val="3"/>
    <w:qFormat/>
    <w:uiPriority w:val="0"/>
    <w:rPr>
      <w:rFonts w:eastAsia="宋体"/>
      <w:b/>
      <w:bCs/>
      <w:kern w:val="44"/>
      <w:sz w:val="44"/>
      <w:szCs w:val="44"/>
      <w:lang w:val="en-US" w:eastAsia="zh-CN" w:bidi="ar-SA"/>
    </w:rPr>
  </w:style>
  <w:style w:type="character" w:customStyle="1" w:styleId="58">
    <w:name w:val="标题 2 字符"/>
    <w:link w:val="4"/>
    <w:qFormat/>
    <w:uiPriority w:val="0"/>
    <w:rPr>
      <w:rFonts w:ascii="Cambria" w:hAnsi="Cambria" w:eastAsia="宋体"/>
      <w:b/>
      <w:bCs/>
      <w:kern w:val="2"/>
      <w:sz w:val="32"/>
      <w:szCs w:val="32"/>
      <w:lang w:val="en-US" w:eastAsia="zh-CN" w:bidi="ar-SA"/>
    </w:rPr>
  </w:style>
  <w:style w:type="character" w:customStyle="1" w:styleId="59">
    <w:name w:val="标题 3 字符"/>
    <w:link w:val="5"/>
    <w:qFormat/>
    <w:uiPriority w:val="0"/>
    <w:rPr>
      <w:rFonts w:eastAsia="宋体"/>
      <w:b/>
      <w:bCs/>
      <w:kern w:val="2"/>
      <w:sz w:val="32"/>
      <w:szCs w:val="32"/>
      <w:lang w:val="en-US" w:eastAsia="zh-CN" w:bidi="ar-SA"/>
    </w:rPr>
  </w:style>
  <w:style w:type="character" w:customStyle="1" w:styleId="60">
    <w:name w:val="标题 4 字符"/>
    <w:link w:val="6"/>
    <w:qFormat/>
    <w:uiPriority w:val="0"/>
    <w:rPr>
      <w:rFonts w:ascii="宋体" w:hAnsi="宋体" w:eastAsia="宋体" w:cs="宋体"/>
      <w:b/>
      <w:bCs/>
      <w:sz w:val="24"/>
      <w:szCs w:val="24"/>
      <w:lang w:val="en-US" w:eastAsia="zh-CN" w:bidi="ar-SA"/>
    </w:rPr>
  </w:style>
  <w:style w:type="character" w:customStyle="1" w:styleId="61">
    <w:name w:val="标题 5 字符"/>
    <w:link w:val="7"/>
    <w:qFormat/>
    <w:uiPriority w:val="0"/>
    <w:rPr>
      <w:rFonts w:ascii="宋体" w:hAnsi="宋体" w:eastAsia="宋体" w:cs="宋体"/>
      <w:b/>
      <w:bCs/>
      <w:lang w:val="en-US" w:eastAsia="zh-CN" w:bidi="ar-SA"/>
    </w:rPr>
  </w:style>
  <w:style w:type="character" w:customStyle="1" w:styleId="62">
    <w:name w:val="标题 6 字符"/>
    <w:link w:val="8"/>
    <w:qFormat/>
    <w:uiPriority w:val="0"/>
    <w:rPr>
      <w:rFonts w:hAnsi="Arial" w:eastAsia="仿宋_GB2312"/>
      <w:sz w:val="30"/>
      <w:lang w:val="en-US" w:eastAsia="zh-CN" w:bidi="ar-SA"/>
    </w:rPr>
  </w:style>
  <w:style w:type="character" w:customStyle="1" w:styleId="63">
    <w:name w:val="标题 7 字符"/>
    <w:link w:val="10"/>
    <w:qFormat/>
    <w:uiPriority w:val="0"/>
    <w:rPr>
      <w:rFonts w:eastAsia="仿宋_GB2312"/>
      <w:sz w:val="30"/>
      <w:lang w:val="en-US" w:eastAsia="zh-CN" w:bidi="ar-SA"/>
    </w:rPr>
  </w:style>
  <w:style w:type="character" w:customStyle="1" w:styleId="64">
    <w:name w:val="标题 8 字符"/>
    <w:link w:val="11"/>
    <w:qFormat/>
    <w:uiPriority w:val="0"/>
    <w:rPr>
      <w:rFonts w:hAnsi="Arial" w:eastAsia="仿宋_GB2312"/>
      <w:sz w:val="30"/>
      <w:lang w:val="en-US" w:eastAsia="zh-CN" w:bidi="ar-SA"/>
    </w:rPr>
  </w:style>
  <w:style w:type="character" w:customStyle="1" w:styleId="65">
    <w:name w:val="标题 9 字符"/>
    <w:link w:val="12"/>
    <w:qFormat/>
    <w:uiPriority w:val="0"/>
    <w:rPr>
      <w:rFonts w:eastAsia="仿宋_GB2312"/>
      <w:sz w:val="30"/>
      <w:lang w:val="en-US" w:eastAsia="zh-CN" w:bidi="ar-SA"/>
    </w:rPr>
  </w:style>
  <w:style w:type="character" w:customStyle="1" w:styleId="66">
    <w:name w:val="文档结构图 字符"/>
    <w:link w:val="15"/>
    <w:qFormat/>
    <w:uiPriority w:val="0"/>
    <w:rPr>
      <w:rFonts w:eastAsia="宋体"/>
      <w:kern w:val="2"/>
      <w:sz w:val="21"/>
      <w:szCs w:val="24"/>
      <w:lang w:val="en-US" w:eastAsia="zh-CN" w:bidi="ar-SA"/>
    </w:rPr>
  </w:style>
  <w:style w:type="character" w:customStyle="1" w:styleId="67">
    <w:name w:val="批注文字 字符"/>
    <w:link w:val="16"/>
    <w:qFormat/>
    <w:uiPriority w:val="99"/>
    <w:rPr>
      <w:rFonts w:eastAsia="宋体"/>
      <w:kern w:val="2"/>
      <w:sz w:val="21"/>
      <w:szCs w:val="24"/>
      <w:lang w:val="en-US" w:eastAsia="zh-CN" w:bidi="ar-SA"/>
    </w:rPr>
  </w:style>
  <w:style w:type="character" w:customStyle="1" w:styleId="68">
    <w:name w:val="正文文本 3 字符"/>
    <w:link w:val="17"/>
    <w:qFormat/>
    <w:uiPriority w:val="0"/>
    <w:rPr>
      <w:rFonts w:eastAsia="宋体"/>
      <w:kern w:val="2"/>
      <w:sz w:val="16"/>
      <w:szCs w:val="16"/>
      <w:lang w:val="en-US" w:eastAsia="zh-CN" w:bidi="ar-SA"/>
    </w:rPr>
  </w:style>
  <w:style w:type="character" w:customStyle="1" w:styleId="69">
    <w:name w:val="正文文本缩进 字符"/>
    <w:link w:val="18"/>
    <w:qFormat/>
    <w:uiPriority w:val="0"/>
    <w:rPr>
      <w:rFonts w:eastAsia="宋体"/>
      <w:kern w:val="2"/>
      <w:sz w:val="21"/>
      <w:szCs w:val="24"/>
      <w:lang w:val="en-US" w:eastAsia="zh-CN" w:bidi="ar-SA"/>
    </w:rPr>
  </w:style>
  <w:style w:type="character" w:customStyle="1" w:styleId="70">
    <w:name w:val="纯文本 字符"/>
    <w:link w:val="23"/>
    <w:qFormat/>
    <w:uiPriority w:val="0"/>
    <w:rPr>
      <w:rFonts w:ascii="宋体" w:hAnsi="Courier New" w:eastAsia="宋体" w:cs="Courier New"/>
      <w:kern w:val="2"/>
      <w:sz w:val="21"/>
      <w:szCs w:val="21"/>
      <w:lang w:val="en-US" w:eastAsia="zh-CN" w:bidi="ar-SA"/>
    </w:rPr>
  </w:style>
  <w:style w:type="character" w:customStyle="1" w:styleId="71">
    <w:name w:val="日期 字符"/>
    <w:link w:val="25"/>
    <w:qFormat/>
    <w:uiPriority w:val="0"/>
    <w:rPr>
      <w:rFonts w:eastAsia="宋体"/>
      <w:kern w:val="2"/>
      <w:sz w:val="21"/>
      <w:szCs w:val="24"/>
      <w:lang w:val="en-US" w:eastAsia="zh-CN" w:bidi="ar-SA"/>
    </w:rPr>
  </w:style>
  <w:style w:type="character" w:customStyle="1" w:styleId="72">
    <w:name w:val="正文文本缩进 2 字符"/>
    <w:link w:val="26"/>
    <w:qFormat/>
    <w:uiPriority w:val="0"/>
    <w:rPr>
      <w:rFonts w:eastAsia="宋体"/>
      <w:sz w:val="28"/>
      <w:szCs w:val="24"/>
      <w:lang w:val="en-US" w:eastAsia="zh-CN" w:bidi="ar-SA"/>
    </w:rPr>
  </w:style>
  <w:style w:type="character" w:customStyle="1" w:styleId="73">
    <w:name w:val="尾注文本 字符"/>
    <w:link w:val="27"/>
    <w:qFormat/>
    <w:uiPriority w:val="0"/>
    <w:rPr>
      <w:rFonts w:ascii="Arial" w:hAnsi="Arial" w:eastAsia="宋体" w:cs="Arial"/>
      <w:szCs w:val="24"/>
      <w:lang w:val="en-US" w:eastAsia="en-US" w:bidi="ar-SA"/>
    </w:rPr>
  </w:style>
  <w:style w:type="character" w:customStyle="1" w:styleId="74">
    <w:name w:val="批注框文本 字符"/>
    <w:link w:val="28"/>
    <w:qFormat/>
    <w:uiPriority w:val="0"/>
    <w:rPr>
      <w:rFonts w:eastAsia="宋体"/>
      <w:kern w:val="2"/>
      <w:sz w:val="18"/>
      <w:szCs w:val="18"/>
      <w:lang w:val="en-US" w:eastAsia="zh-CN" w:bidi="ar-SA"/>
    </w:rPr>
  </w:style>
  <w:style w:type="character" w:customStyle="1" w:styleId="75">
    <w:name w:val="页脚 字符"/>
    <w:link w:val="29"/>
    <w:qFormat/>
    <w:uiPriority w:val="0"/>
    <w:rPr>
      <w:rFonts w:eastAsia="宋体"/>
      <w:kern w:val="2"/>
      <w:sz w:val="18"/>
      <w:szCs w:val="18"/>
      <w:lang w:val="en-US" w:eastAsia="zh-CN" w:bidi="ar-SA"/>
    </w:rPr>
  </w:style>
  <w:style w:type="character" w:customStyle="1" w:styleId="76">
    <w:name w:val="页眉 字符"/>
    <w:link w:val="30"/>
    <w:qFormat/>
    <w:uiPriority w:val="0"/>
    <w:rPr>
      <w:rFonts w:eastAsia="宋体"/>
      <w:kern w:val="2"/>
      <w:sz w:val="18"/>
      <w:szCs w:val="18"/>
      <w:lang w:val="en-US" w:eastAsia="zh-CN" w:bidi="ar-SA"/>
    </w:rPr>
  </w:style>
  <w:style w:type="character" w:customStyle="1" w:styleId="77">
    <w:name w:val="副标题 字符"/>
    <w:link w:val="33"/>
    <w:qFormat/>
    <w:uiPriority w:val="0"/>
    <w:rPr>
      <w:rFonts w:eastAsia="宋体"/>
      <w:szCs w:val="24"/>
      <w:u w:val="single"/>
      <w:lang w:val="en-US" w:eastAsia="en-US" w:bidi="ar-SA"/>
    </w:rPr>
  </w:style>
  <w:style w:type="character" w:customStyle="1" w:styleId="78">
    <w:name w:val="脚注文本 字符"/>
    <w:link w:val="34"/>
    <w:qFormat/>
    <w:uiPriority w:val="0"/>
    <w:rPr>
      <w:rFonts w:ascii="Arial" w:hAnsi="Arial" w:eastAsia="宋体" w:cs="Arial"/>
      <w:sz w:val="18"/>
      <w:szCs w:val="18"/>
      <w:lang w:val="en-US" w:eastAsia="en-US" w:bidi="ar-SA"/>
    </w:rPr>
  </w:style>
  <w:style w:type="character" w:customStyle="1" w:styleId="79">
    <w:name w:val="正文文本缩进 3 字符"/>
    <w:link w:val="36"/>
    <w:qFormat/>
    <w:uiPriority w:val="0"/>
    <w:rPr>
      <w:rFonts w:ascii="宋体" w:hAnsi="宋体" w:eastAsia="宋体"/>
      <w:kern w:val="2"/>
      <w:sz w:val="28"/>
      <w:szCs w:val="28"/>
      <w:lang w:val="en-US" w:eastAsia="zh-CN" w:bidi="ar-SA"/>
    </w:rPr>
  </w:style>
  <w:style w:type="character" w:customStyle="1" w:styleId="80">
    <w:name w:val="正文文本 2 字符"/>
    <w:link w:val="39"/>
    <w:qFormat/>
    <w:uiPriority w:val="0"/>
    <w:rPr>
      <w:i/>
      <w:iCs/>
      <w:kern w:val="2"/>
      <w:sz w:val="26"/>
      <w:szCs w:val="24"/>
    </w:rPr>
  </w:style>
  <w:style w:type="character" w:customStyle="1" w:styleId="81">
    <w:name w:val="HTML 预设格式 字符"/>
    <w:link w:val="40"/>
    <w:qFormat/>
    <w:uiPriority w:val="0"/>
    <w:rPr>
      <w:rFonts w:ascii="宋体" w:hAnsi="宋体" w:eastAsia="宋体" w:cs="宋体"/>
      <w:color w:val="000000"/>
      <w:sz w:val="24"/>
      <w:szCs w:val="24"/>
      <w:lang w:val="en-US" w:eastAsia="zh-CN" w:bidi="ar-SA"/>
    </w:rPr>
  </w:style>
  <w:style w:type="character" w:customStyle="1" w:styleId="82">
    <w:name w:val="标题 字符"/>
    <w:link w:val="43"/>
    <w:qFormat/>
    <w:uiPriority w:val="0"/>
    <w:rPr>
      <w:rFonts w:eastAsia="宋体"/>
      <w:szCs w:val="24"/>
      <w:u w:val="single"/>
      <w:lang w:val="en-US" w:eastAsia="en-US" w:bidi="ar-SA"/>
    </w:rPr>
  </w:style>
  <w:style w:type="character" w:customStyle="1" w:styleId="83">
    <w:name w:val="批注主题 字符"/>
    <w:link w:val="44"/>
    <w:qFormat/>
    <w:uiPriority w:val="0"/>
    <w:rPr>
      <w:rFonts w:eastAsia="宋体"/>
      <w:b/>
      <w:bCs/>
      <w:kern w:val="2"/>
      <w:sz w:val="21"/>
      <w:szCs w:val="24"/>
      <w:lang w:val="en-US" w:eastAsia="zh-CN" w:bidi="ar-SA"/>
    </w:rPr>
  </w:style>
  <w:style w:type="character" w:customStyle="1" w:styleId="84">
    <w:name w:val="批注主题 Char1"/>
    <w:qFormat/>
    <w:uiPriority w:val="0"/>
    <w:rPr>
      <w:b/>
      <w:bCs/>
      <w:kern w:val="2"/>
      <w:sz w:val="21"/>
      <w:szCs w:val="22"/>
    </w:rPr>
  </w:style>
  <w:style w:type="character" w:customStyle="1" w:styleId="85">
    <w:name w:val="标题 7 Char"/>
    <w:qFormat/>
    <w:uiPriority w:val="0"/>
    <w:rPr>
      <w:rFonts w:ascii="Calibri" w:hAnsi="Calibri" w:eastAsia="宋体" w:cs="Times New Roman"/>
      <w:b/>
      <w:bCs/>
      <w:sz w:val="24"/>
      <w:szCs w:val="24"/>
    </w:rPr>
  </w:style>
  <w:style w:type="character" w:customStyle="1" w:styleId="86">
    <w:name w:val="style161"/>
    <w:qFormat/>
    <w:uiPriority w:val="0"/>
    <w:rPr>
      <w:b/>
      <w:bCs/>
      <w:color w:val="333333"/>
    </w:rPr>
  </w:style>
  <w:style w:type="character" w:customStyle="1" w:styleId="87">
    <w:name w:val="标题 Char"/>
    <w:qFormat/>
    <w:uiPriority w:val="0"/>
    <w:rPr>
      <w:rFonts w:ascii="Cambria" w:hAnsi="Cambria" w:eastAsia="宋体" w:cs="Times New Roman"/>
      <w:b/>
      <w:bCs/>
      <w:kern w:val="2"/>
      <w:sz w:val="32"/>
      <w:szCs w:val="32"/>
    </w:rPr>
  </w:style>
  <w:style w:type="character" w:customStyle="1" w:styleId="88">
    <w:name w:val="正文文本 2 Char1"/>
    <w:semiHidden/>
    <w:qFormat/>
    <w:uiPriority w:val="99"/>
    <w:rPr>
      <w:rFonts w:ascii="Calibri" w:hAnsi="Calibri" w:eastAsia="宋体" w:cs="Times New Roman"/>
      <w:szCs w:val="24"/>
    </w:rPr>
  </w:style>
  <w:style w:type="character" w:customStyle="1" w:styleId="89">
    <w:name w:val="docpro"/>
    <w:basedOn w:val="47"/>
    <w:qFormat/>
    <w:uiPriority w:val="0"/>
  </w:style>
  <w:style w:type="character" w:customStyle="1" w:styleId="90">
    <w:name w:val="标题 9 Char"/>
    <w:qFormat/>
    <w:uiPriority w:val="0"/>
    <w:rPr>
      <w:rFonts w:ascii="Arial" w:hAnsi="Arial" w:eastAsia="黑体" w:cs="Times New Roman"/>
      <w:szCs w:val="21"/>
    </w:rPr>
  </w:style>
  <w:style w:type="character" w:customStyle="1" w:styleId="91">
    <w:name w:val="标题 3 Char"/>
    <w:qFormat/>
    <w:uiPriority w:val="0"/>
    <w:rPr>
      <w:rFonts w:ascii="仿宋_GB2312" w:hAnsi="Calibri" w:eastAsia="仿宋_GB2312" w:cs="Times New Roman"/>
      <w:b/>
      <w:kern w:val="0"/>
      <w:sz w:val="24"/>
      <w:szCs w:val="28"/>
    </w:rPr>
  </w:style>
  <w:style w:type="character" w:customStyle="1" w:styleId="92">
    <w:name w:val="脚注文本 Char1"/>
    <w:qFormat/>
    <w:uiPriority w:val="0"/>
    <w:rPr>
      <w:rFonts w:ascii="Arial" w:hAnsi="Arial" w:cs="Arial"/>
      <w:sz w:val="18"/>
      <w:szCs w:val="18"/>
      <w:lang w:eastAsia="en-US"/>
    </w:rPr>
  </w:style>
  <w:style w:type="character" w:customStyle="1" w:styleId="93">
    <w:name w:val="纯文本 Char1"/>
    <w:qFormat/>
    <w:uiPriority w:val="0"/>
    <w:rPr>
      <w:rFonts w:ascii="宋体" w:hAnsi="Courier New" w:cs="Courier New"/>
      <w:kern w:val="2"/>
      <w:sz w:val="21"/>
      <w:szCs w:val="21"/>
    </w:rPr>
  </w:style>
  <w:style w:type="character" w:customStyle="1" w:styleId="94">
    <w:name w:val="正文文本 3 Char1"/>
    <w:qFormat/>
    <w:uiPriority w:val="0"/>
    <w:rPr>
      <w:kern w:val="2"/>
      <w:sz w:val="16"/>
      <w:szCs w:val="16"/>
    </w:rPr>
  </w:style>
  <w:style w:type="character" w:customStyle="1" w:styleId="95">
    <w:name w:val="副标题 Char"/>
    <w:qFormat/>
    <w:uiPriority w:val="0"/>
    <w:rPr>
      <w:rFonts w:ascii="Cambria" w:hAnsi="Cambria" w:eastAsia="宋体" w:cs="Times New Roman"/>
      <w:b/>
      <w:bCs/>
      <w:kern w:val="28"/>
      <w:sz w:val="32"/>
      <w:szCs w:val="32"/>
    </w:rPr>
  </w:style>
  <w:style w:type="character" w:customStyle="1" w:styleId="96">
    <w:name w:val="标题 Char2"/>
    <w:qFormat/>
    <w:uiPriority w:val="10"/>
    <w:rPr>
      <w:rFonts w:ascii="Cambria" w:hAnsi="Cambria" w:eastAsia="宋体" w:cs="Times New Roman"/>
      <w:b/>
      <w:bCs/>
      <w:sz w:val="32"/>
      <w:szCs w:val="32"/>
    </w:rPr>
  </w:style>
  <w:style w:type="character" w:customStyle="1" w:styleId="97">
    <w:name w:val="Char Char32"/>
    <w:qFormat/>
    <w:uiPriority w:val="0"/>
    <w:rPr>
      <w:rFonts w:ascii="仿宋_GB2312" w:eastAsia="仿宋_GB2312" w:cs="MingLiU"/>
      <w:b/>
      <w:spacing w:val="1"/>
      <w:w w:val="99"/>
      <w:sz w:val="28"/>
      <w:szCs w:val="32"/>
    </w:rPr>
  </w:style>
  <w:style w:type="character" w:customStyle="1" w:styleId="98">
    <w:name w:val="不明显参考1"/>
    <w:qFormat/>
    <w:uiPriority w:val="0"/>
    <w:rPr>
      <w:smallCaps/>
      <w:color w:val="C0504D"/>
      <w:u w:val="single"/>
    </w:rPr>
  </w:style>
  <w:style w:type="character" w:customStyle="1" w:styleId="99">
    <w:name w:val="color_red1"/>
    <w:qFormat/>
    <w:uiPriority w:val="0"/>
    <w:rPr>
      <w:color w:val="FA0004"/>
    </w:rPr>
  </w:style>
  <w:style w:type="character" w:customStyle="1" w:styleId="100">
    <w:name w:val="HTML 预设格式 Char2"/>
    <w:semiHidden/>
    <w:qFormat/>
    <w:uiPriority w:val="99"/>
    <w:rPr>
      <w:rFonts w:ascii="Courier New" w:hAnsi="Courier New" w:eastAsia="宋体" w:cs="Courier New"/>
      <w:sz w:val="20"/>
      <w:szCs w:val="20"/>
    </w:rPr>
  </w:style>
  <w:style w:type="character" w:customStyle="1" w:styleId="101">
    <w:name w:val="批注文字 Char"/>
    <w:qFormat/>
    <w:uiPriority w:val="0"/>
    <w:rPr>
      <w:rFonts w:ascii="Times New Roman" w:hAnsi="Times New Roman" w:eastAsia="宋体" w:cs="Times New Roman"/>
      <w:kern w:val="2"/>
      <w:sz w:val="21"/>
      <w:szCs w:val="24"/>
    </w:rPr>
  </w:style>
  <w:style w:type="character" w:customStyle="1" w:styleId="102">
    <w:name w:val="不明显强调1"/>
    <w:qFormat/>
    <w:uiPriority w:val="0"/>
    <w:rPr>
      <w:i/>
      <w:iCs/>
      <w:color w:val="808080"/>
    </w:rPr>
  </w:style>
  <w:style w:type="character" w:customStyle="1" w:styleId="103">
    <w:name w:val="批注框文本 Char3"/>
    <w:semiHidden/>
    <w:qFormat/>
    <w:uiPriority w:val="99"/>
    <w:rPr>
      <w:rFonts w:ascii="Calibri" w:hAnsi="Calibri" w:eastAsia="宋体" w:cs="Times New Roman"/>
      <w:sz w:val="18"/>
      <w:szCs w:val="18"/>
    </w:rPr>
  </w:style>
  <w:style w:type="character" w:customStyle="1" w:styleId="104">
    <w:name w:val="unnamed1"/>
    <w:basedOn w:val="47"/>
    <w:qFormat/>
    <w:uiPriority w:val="0"/>
  </w:style>
  <w:style w:type="character" w:customStyle="1" w:styleId="105">
    <w:name w:val="14t1"/>
    <w:qFormat/>
    <w:uiPriority w:val="0"/>
    <w:rPr>
      <w:rFonts w:hint="eastAsia" w:ascii="宋体" w:hAnsi="宋体" w:eastAsia="宋体"/>
      <w:sz w:val="11"/>
      <w:szCs w:val="11"/>
    </w:rPr>
  </w:style>
  <w:style w:type="character" w:customStyle="1" w:styleId="106">
    <w:name w:val="日期 Char1"/>
    <w:qFormat/>
    <w:uiPriority w:val="0"/>
    <w:rPr>
      <w:kern w:val="2"/>
      <w:sz w:val="21"/>
      <w:szCs w:val="22"/>
    </w:rPr>
  </w:style>
  <w:style w:type="character" w:customStyle="1" w:styleId="107">
    <w:name w:val="subhead1"/>
    <w:qFormat/>
    <w:uiPriority w:val="0"/>
    <w:rPr>
      <w:rFonts w:hint="default" w:ascii="Tahoma" w:hAnsi="Tahoma" w:cs="Tahoma"/>
      <w:color w:val="000000"/>
      <w:sz w:val="18"/>
      <w:szCs w:val="18"/>
      <w:u w:val="none"/>
      <w:shd w:val="clear" w:color="auto" w:fill="FFFFFF"/>
    </w:rPr>
  </w:style>
  <w:style w:type="character" w:customStyle="1" w:styleId="108">
    <w:name w:val="文档结构图 Char"/>
    <w:qFormat/>
    <w:uiPriority w:val="0"/>
    <w:rPr>
      <w:rFonts w:ascii="宋体"/>
      <w:kern w:val="2"/>
      <w:sz w:val="18"/>
      <w:szCs w:val="18"/>
    </w:rPr>
  </w:style>
  <w:style w:type="character" w:customStyle="1" w:styleId="109">
    <w:name w:val="不明显参考11"/>
    <w:qFormat/>
    <w:uiPriority w:val="0"/>
    <w:rPr>
      <w:smallCaps/>
      <w:color w:val="C0504D"/>
      <w:u w:val="single"/>
    </w:rPr>
  </w:style>
  <w:style w:type="character" w:customStyle="1" w:styleId="110">
    <w:name w:val="引用 字符"/>
    <w:link w:val="111"/>
    <w:qFormat/>
    <w:uiPriority w:val="0"/>
    <w:rPr>
      <w:i/>
      <w:iCs/>
      <w:color w:val="000000"/>
      <w:kern w:val="2"/>
      <w:sz w:val="21"/>
      <w:szCs w:val="22"/>
      <w:lang w:bidi="ar-SA"/>
    </w:rPr>
  </w:style>
  <w:style w:type="paragraph" w:customStyle="1" w:styleId="111">
    <w:name w:val="引用1"/>
    <w:basedOn w:val="1"/>
    <w:next w:val="1"/>
    <w:link w:val="110"/>
    <w:qFormat/>
    <w:uiPriority w:val="0"/>
    <w:rPr>
      <w:i/>
      <w:iCs/>
      <w:color w:val="000000"/>
      <w:szCs w:val="22"/>
    </w:rPr>
  </w:style>
  <w:style w:type="character" w:customStyle="1" w:styleId="112">
    <w:name w:val="标题 3 Char1"/>
    <w:qFormat/>
    <w:uiPriority w:val="0"/>
    <w:rPr>
      <w:rFonts w:ascii="Times New Roman" w:hAnsi="Times New Roman" w:eastAsia="宋体" w:cs="Times New Roman"/>
      <w:b/>
      <w:bCs/>
      <w:kern w:val="2"/>
      <w:sz w:val="32"/>
      <w:szCs w:val="32"/>
    </w:rPr>
  </w:style>
  <w:style w:type="character" w:customStyle="1" w:styleId="113">
    <w:name w:val="Char Char23"/>
    <w:qFormat/>
    <w:uiPriority w:val="0"/>
    <w:rPr>
      <w:rFonts w:ascii="Cambria" w:hAnsi="Cambria" w:eastAsia="宋体" w:cs="Times New Roman"/>
      <w:b/>
      <w:bCs/>
      <w:kern w:val="2"/>
      <w:sz w:val="32"/>
      <w:szCs w:val="32"/>
    </w:rPr>
  </w:style>
  <w:style w:type="character" w:customStyle="1" w:styleId="114">
    <w:name w:val="明显引用 Char2"/>
    <w:qFormat/>
    <w:uiPriority w:val="99"/>
    <w:rPr>
      <w:b/>
      <w:bCs/>
      <w:i/>
      <w:iCs/>
      <w:color w:val="4F81BD"/>
      <w:kern w:val="2"/>
      <w:sz w:val="21"/>
      <w:szCs w:val="24"/>
    </w:rPr>
  </w:style>
  <w:style w:type="character" w:customStyle="1" w:styleId="115">
    <w:name w:val="引用 Char"/>
    <w:link w:val="116"/>
    <w:qFormat/>
    <w:uiPriority w:val="0"/>
    <w:rPr>
      <w:rFonts w:ascii="Times New Roman" w:hAnsi="Times New Roman" w:eastAsia="宋体" w:cs="Times New Roman"/>
      <w:i/>
      <w:iCs/>
      <w:color w:val="000000"/>
      <w:kern w:val="2"/>
      <w:sz w:val="21"/>
      <w:szCs w:val="24"/>
    </w:rPr>
  </w:style>
  <w:style w:type="paragraph" w:customStyle="1" w:styleId="116">
    <w:name w:val="引用2"/>
    <w:basedOn w:val="1"/>
    <w:next w:val="1"/>
    <w:link w:val="115"/>
    <w:qFormat/>
    <w:uiPriority w:val="0"/>
    <w:rPr>
      <w:i/>
      <w:iCs/>
      <w:color w:val="000000"/>
    </w:rPr>
  </w:style>
  <w:style w:type="character" w:customStyle="1" w:styleId="117">
    <w:name w:val="副标题 Char1"/>
    <w:qFormat/>
    <w:uiPriority w:val="0"/>
    <w:rPr>
      <w:szCs w:val="24"/>
      <w:u w:val="single"/>
      <w:lang w:eastAsia="en-US"/>
    </w:rPr>
  </w:style>
  <w:style w:type="character" w:customStyle="1" w:styleId="118">
    <w:name w:val="标题5 Char Char"/>
    <w:link w:val="119"/>
    <w:qFormat/>
    <w:uiPriority w:val="0"/>
    <w:rPr>
      <w:rFonts w:ascii="Arial" w:hAnsi="Arial"/>
      <w:b/>
      <w:bCs/>
      <w:sz w:val="24"/>
      <w:szCs w:val="32"/>
      <w:lang w:bidi="ar-SA"/>
    </w:rPr>
  </w:style>
  <w:style w:type="paragraph" w:customStyle="1" w:styleId="119">
    <w:name w:val="标题5"/>
    <w:basedOn w:val="5"/>
    <w:link w:val="118"/>
    <w:qFormat/>
    <w:uiPriority w:val="0"/>
    <w:pPr>
      <w:spacing w:line="413" w:lineRule="auto"/>
    </w:pPr>
    <w:rPr>
      <w:rFonts w:ascii="Arial" w:hAnsi="Arial"/>
      <w:kern w:val="0"/>
      <w:sz w:val="24"/>
    </w:rPr>
  </w:style>
  <w:style w:type="character" w:customStyle="1" w:styleId="120">
    <w:name w:val="Char Char17"/>
    <w:qFormat/>
    <w:uiPriority w:val="0"/>
    <w:rPr>
      <w:kern w:val="2"/>
      <w:sz w:val="26"/>
      <w:szCs w:val="24"/>
    </w:rPr>
  </w:style>
  <w:style w:type="character" w:customStyle="1" w:styleId="121">
    <w:name w:val="页眉 Char1"/>
    <w:semiHidden/>
    <w:qFormat/>
    <w:uiPriority w:val="99"/>
    <w:rPr>
      <w:kern w:val="2"/>
      <w:sz w:val="18"/>
      <w:szCs w:val="18"/>
    </w:rPr>
  </w:style>
  <w:style w:type="character" w:customStyle="1" w:styleId="122">
    <w:name w:val="引用 Char3"/>
    <w:qFormat/>
    <w:uiPriority w:val="29"/>
    <w:rPr>
      <w:rFonts w:ascii="Calibri" w:hAnsi="Calibri" w:eastAsia="宋体" w:cs="Times New Roman"/>
      <w:i/>
      <w:iCs/>
      <w:color w:val="000000"/>
      <w:szCs w:val="24"/>
    </w:rPr>
  </w:style>
  <w:style w:type="character" w:customStyle="1" w:styleId="123">
    <w:name w:val="HTML 预设格式 Char"/>
    <w:qFormat/>
    <w:uiPriority w:val="0"/>
    <w:rPr>
      <w:rFonts w:ascii="宋体" w:hAnsi="宋体" w:eastAsia="宋体" w:cs="宋体"/>
      <w:color w:val="000000"/>
      <w:sz w:val="24"/>
      <w:szCs w:val="24"/>
    </w:rPr>
  </w:style>
  <w:style w:type="character" w:customStyle="1" w:styleId="124">
    <w:name w:val="文档结构图 Char3"/>
    <w:semiHidden/>
    <w:qFormat/>
    <w:uiPriority w:val="99"/>
    <w:rPr>
      <w:rFonts w:ascii="宋体" w:hAnsi="Calibri" w:eastAsia="宋体" w:cs="Times New Roman"/>
      <w:sz w:val="18"/>
      <w:szCs w:val="18"/>
    </w:rPr>
  </w:style>
  <w:style w:type="character" w:customStyle="1" w:styleId="125">
    <w:name w:val="ss16"/>
    <w:qFormat/>
    <w:uiPriority w:val="0"/>
    <w:rPr>
      <w:rFonts w:hint="eastAsia" w:ascii="宋体" w:hAnsi="宋体" w:eastAsia="宋体"/>
      <w:color w:val="000000"/>
      <w:sz w:val="9"/>
      <w:szCs w:val="9"/>
    </w:rPr>
  </w:style>
  <w:style w:type="character" w:customStyle="1" w:styleId="126">
    <w:name w:val="引用 Char2"/>
    <w:qFormat/>
    <w:uiPriority w:val="99"/>
    <w:rPr>
      <w:i/>
      <w:iCs/>
      <w:color w:val="000000"/>
      <w:kern w:val="2"/>
      <w:sz w:val="21"/>
      <w:szCs w:val="24"/>
    </w:rPr>
  </w:style>
  <w:style w:type="character" w:customStyle="1" w:styleId="127">
    <w:name w:val="纯文本 Char"/>
    <w:qFormat/>
    <w:uiPriority w:val="0"/>
    <w:rPr>
      <w:rFonts w:ascii="宋体" w:hAnsi="Courier New"/>
      <w:sz w:val="28"/>
      <w:szCs w:val="28"/>
    </w:rPr>
  </w:style>
  <w:style w:type="character" w:customStyle="1" w:styleId="128">
    <w:name w:val="正文文本 Char2"/>
    <w:qFormat/>
    <w:uiPriority w:val="99"/>
    <w:rPr>
      <w:kern w:val="2"/>
      <w:sz w:val="21"/>
      <w:szCs w:val="24"/>
    </w:rPr>
  </w:style>
  <w:style w:type="character" w:customStyle="1" w:styleId="129">
    <w:name w:val="文档结构图 Char1"/>
    <w:qFormat/>
    <w:uiPriority w:val="0"/>
    <w:rPr>
      <w:rFonts w:ascii="宋体"/>
      <w:kern w:val="2"/>
      <w:sz w:val="18"/>
      <w:szCs w:val="18"/>
    </w:rPr>
  </w:style>
  <w:style w:type="character" w:customStyle="1" w:styleId="130">
    <w:name w:val="ht1"/>
    <w:qFormat/>
    <w:uiPriority w:val="0"/>
    <w:rPr>
      <w:rFonts w:ascii="黑体" w:eastAsia="黑体"/>
      <w:b/>
      <w:bCs/>
    </w:rPr>
  </w:style>
  <w:style w:type="character" w:customStyle="1" w:styleId="131">
    <w:name w:val="页眉 Char"/>
    <w:qFormat/>
    <w:uiPriority w:val="0"/>
    <w:rPr>
      <w:sz w:val="18"/>
      <w:szCs w:val="18"/>
    </w:rPr>
  </w:style>
  <w:style w:type="character" w:customStyle="1" w:styleId="132">
    <w:name w:val="明显参考1"/>
    <w:qFormat/>
    <w:uiPriority w:val="0"/>
    <w:rPr>
      <w:b/>
      <w:bCs/>
      <w:smallCaps/>
      <w:color w:val="C0504D"/>
      <w:spacing w:val="5"/>
      <w:u w:val="single"/>
    </w:rPr>
  </w:style>
  <w:style w:type="character" w:customStyle="1" w:styleId="133">
    <w:name w:val="正文文本 Char1"/>
    <w:qFormat/>
    <w:uiPriority w:val="0"/>
    <w:rPr>
      <w:kern w:val="2"/>
      <w:sz w:val="21"/>
      <w:szCs w:val="22"/>
    </w:rPr>
  </w:style>
  <w:style w:type="character" w:customStyle="1" w:styleId="134">
    <w:name w:val="Section Char"/>
    <w:qFormat/>
    <w:uiPriority w:val="0"/>
    <w:rPr>
      <w:rFonts w:ascii="仿宋_GB2312" w:eastAsia="仿宋_GB2312" w:cs="MingLiU"/>
      <w:b/>
      <w:sz w:val="24"/>
      <w:szCs w:val="28"/>
      <w:lang w:val="en-US" w:eastAsia="zh-CN" w:bidi="ar-SA"/>
    </w:rPr>
  </w:style>
  <w:style w:type="character" w:customStyle="1" w:styleId="135">
    <w:name w:val="页脚 Char"/>
    <w:qFormat/>
    <w:uiPriority w:val="0"/>
    <w:rPr>
      <w:sz w:val="18"/>
      <w:szCs w:val="18"/>
    </w:rPr>
  </w:style>
  <w:style w:type="character" w:customStyle="1" w:styleId="136">
    <w:name w:val="Char Char35"/>
    <w:qFormat/>
    <w:uiPriority w:val="0"/>
    <w:rPr>
      <w:rFonts w:ascii="仿宋_GB2312" w:eastAsia="仿宋_GB2312" w:cs="MingLiU"/>
      <w:b/>
      <w:sz w:val="24"/>
      <w:szCs w:val="28"/>
    </w:rPr>
  </w:style>
  <w:style w:type="character" w:customStyle="1" w:styleId="137">
    <w:name w:val="标题4 Char Char"/>
    <w:link w:val="138"/>
    <w:qFormat/>
    <w:uiPriority w:val="0"/>
    <w:rPr>
      <w:rFonts w:ascii="Arial" w:hAnsi="Arial"/>
      <w:b/>
      <w:bCs/>
      <w:sz w:val="24"/>
      <w:szCs w:val="32"/>
      <w:lang w:bidi="ar-SA"/>
    </w:rPr>
  </w:style>
  <w:style w:type="paragraph" w:customStyle="1" w:styleId="138">
    <w:name w:val="标题4"/>
    <w:basedOn w:val="4"/>
    <w:next w:val="20"/>
    <w:link w:val="137"/>
    <w:qFormat/>
    <w:uiPriority w:val="0"/>
    <w:pPr>
      <w:spacing w:line="413" w:lineRule="auto"/>
    </w:pPr>
    <w:rPr>
      <w:rFonts w:ascii="Arial" w:hAnsi="Arial"/>
      <w:kern w:val="0"/>
      <w:sz w:val="24"/>
    </w:rPr>
  </w:style>
  <w:style w:type="character" w:customStyle="1" w:styleId="139">
    <w:name w:val="普通文字 Char Char1"/>
    <w:qFormat/>
    <w:uiPriority w:val="0"/>
    <w:rPr>
      <w:rFonts w:ascii="宋体" w:hAnsi="Courier New"/>
      <w:kern w:val="2"/>
      <w:sz w:val="28"/>
      <w:szCs w:val="28"/>
    </w:rPr>
  </w:style>
  <w:style w:type="character" w:customStyle="1" w:styleId="140">
    <w:name w:val="尾注文本 Char"/>
    <w:qFormat/>
    <w:uiPriority w:val="0"/>
    <w:rPr>
      <w:kern w:val="2"/>
      <w:sz w:val="21"/>
      <w:szCs w:val="24"/>
    </w:rPr>
  </w:style>
  <w:style w:type="character" w:customStyle="1" w:styleId="141">
    <w:name w:val="Char Char34"/>
    <w:qFormat/>
    <w:uiPriority w:val="0"/>
    <w:rPr>
      <w:rFonts w:ascii="仿宋_GB2312" w:eastAsia="仿宋_GB2312" w:cs="MingLiU"/>
      <w:b/>
      <w:spacing w:val="1"/>
      <w:w w:val="99"/>
      <w:sz w:val="28"/>
      <w:szCs w:val="32"/>
    </w:rPr>
  </w:style>
  <w:style w:type="character" w:customStyle="1" w:styleId="142">
    <w:name w:val="Char Char9"/>
    <w:qFormat/>
    <w:locked/>
    <w:uiPriority w:val="0"/>
    <w:rPr>
      <w:rFonts w:ascii="仿宋_GB2312" w:eastAsia="仿宋_GB2312" w:cs="MingLiU"/>
      <w:b/>
      <w:sz w:val="24"/>
      <w:szCs w:val="28"/>
      <w:lang w:val="en-US" w:eastAsia="zh-CN" w:bidi="ar-SA"/>
    </w:rPr>
  </w:style>
  <w:style w:type="character" w:customStyle="1" w:styleId="143">
    <w:name w:val="标题 1 Char"/>
    <w:qFormat/>
    <w:uiPriority w:val="0"/>
    <w:rPr>
      <w:rFonts w:ascii="Times New Roman" w:hAnsi="Times New Roman" w:eastAsia="宋体" w:cs="Times New Roman"/>
      <w:b/>
      <w:bCs/>
      <w:kern w:val="44"/>
      <w:sz w:val="44"/>
      <w:szCs w:val="44"/>
    </w:rPr>
  </w:style>
  <w:style w:type="character" w:customStyle="1" w:styleId="144">
    <w:name w:val="明显引用 Char"/>
    <w:qFormat/>
    <w:uiPriority w:val="0"/>
    <w:rPr>
      <w:rFonts w:ascii="Times New Roman" w:hAnsi="Times New Roman" w:eastAsia="宋体" w:cs="Times New Roman"/>
      <w:b/>
      <w:bCs/>
      <w:i/>
      <w:iCs/>
      <w:color w:val="4F81BD"/>
      <w:kern w:val="2"/>
      <w:sz w:val="21"/>
      <w:szCs w:val="24"/>
    </w:rPr>
  </w:style>
  <w:style w:type="character" w:customStyle="1" w:styleId="145">
    <w:name w:val="Char Char24"/>
    <w:qFormat/>
    <w:uiPriority w:val="0"/>
    <w:rPr>
      <w:b/>
      <w:bCs/>
      <w:kern w:val="44"/>
      <w:sz w:val="44"/>
      <w:szCs w:val="44"/>
    </w:rPr>
  </w:style>
  <w:style w:type="character" w:customStyle="1" w:styleId="146">
    <w:name w:val="书籍标题1"/>
    <w:qFormat/>
    <w:uiPriority w:val="0"/>
    <w:rPr>
      <w:b/>
      <w:bCs/>
      <w:smallCaps/>
      <w:spacing w:val="5"/>
    </w:rPr>
  </w:style>
  <w:style w:type="character" w:customStyle="1" w:styleId="147">
    <w:name w:val="批注文字 Char1"/>
    <w:qFormat/>
    <w:uiPriority w:val="99"/>
    <w:rPr>
      <w:rFonts w:ascii="Times New Roman" w:hAnsi="Times New Roman" w:eastAsia="宋体" w:cs="Times New Roman"/>
      <w:szCs w:val="24"/>
    </w:rPr>
  </w:style>
  <w:style w:type="character" w:customStyle="1" w:styleId="148">
    <w:name w:val="Char Char13"/>
    <w:qFormat/>
    <w:uiPriority w:val="0"/>
    <w:rPr>
      <w:kern w:val="2"/>
      <w:sz w:val="18"/>
      <w:szCs w:val="18"/>
    </w:rPr>
  </w:style>
  <w:style w:type="character" w:customStyle="1" w:styleId="149">
    <w:name w:val="正文文本缩进 3 Char"/>
    <w:qFormat/>
    <w:uiPriority w:val="0"/>
    <w:rPr>
      <w:kern w:val="2"/>
      <w:sz w:val="16"/>
      <w:szCs w:val="16"/>
    </w:rPr>
  </w:style>
  <w:style w:type="character" w:customStyle="1" w:styleId="150">
    <w:name w:val="引用 Char1"/>
    <w:link w:val="151"/>
    <w:qFormat/>
    <w:uiPriority w:val="29"/>
    <w:rPr>
      <w:i/>
      <w:iCs/>
      <w:color w:val="000000"/>
      <w:kern w:val="2"/>
      <w:sz w:val="21"/>
    </w:rPr>
  </w:style>
  <w:style w:type="paragraph" w:customStyle="1" w:styleId="151">
    <w:name w:val="引用11"/>
    <w:basedOn w:val="1"/>
    <w:next w:val="1"/>
    <w:link w:val="150"/>
    <w:qFormat/>
    <w:uiPriority w:val="29"/>
    <w:rPr>
      <w:i/>
      <w:iCs/>
      <w:color w:val="000000"/>
      <w:szCs w:val="20"/>
    </w:rPr>
  </w:style>
  <w:style w:type="character" w:customStyle="1" w:styleId="152">
    <w:name w:val="Char Char21"/>
    <w:qFormat/>
    <w:uiPriority w:val="0"/>
    <w:rPr>
      <w:rFonts w:ascii="宋体" w:hAnsi="宋体" w:cs="宋体"/>
      <w:b/>
      <w:bCs/>
      <w:sz w:val="24"/>
      <w:szCs w:val="24"/>
    </w:rPr>
  </w:style>
  <w:style w:type="character" w:customStyle="1" w:styleId="153">
    <w:name w:val="正文文本缩进 2 Char1"/>
    <w:qFormat/>
    <w:uiPriority w:val="0"/>
    <w:rPr>
      <w:sz w:val="28"/>
      <w:szCs w:val="24"/>
    </w:rPr>
  </w:style>
  <w:style w:type="character" w:customStyle="1" w:styleId="154">
    <w:name w:val="ITTHEADER2 Char"/>
    <w:qFormat/>
    <w:uiPriority w:val="0"/>
    <w:rPr>
      <w:rFonts w:ascii="仿宋_GB2312" w:eastAsia="仿宋_GB2312" w:cs="MingLiU"/>
      <w:b/>
      <w:spacing w:val="1"/>
      <w:w w:val="99"/>
      <w:sz w:val="28"/>
      <w:szCs w:val="32"/>
      <w:lang w:val="en-US" w:eastAsia="zh-CN" w:bidi="ar-SA"/>
    </w:rPr>
  </w:style>
  <w:style w:type="character" w:customStyle="1" w:styleId="155">
    <w:name w:val="Char Char36"/>
    <w:qFormat/>
    <w:uiPriority w:val="0"/>
    <w:rPr>
      <w:rFonts w:ascii="仿宋_GB2312" w:eastAsia="仿宋_GB2312" w:cs="MingLiU"/>
      <w:b/>
      <w:sz w:val="24"/>
      <w:szCs w:val="28"/>
    </w:rPr>
  </w:style>
  <w:style w:type="character" w:customStyle="1" w:styleId="156">
    <w:name w:val="0d1471"/>
    <w:qFormat/>
    <w:uiPriority w:val="0"/>
    <w:rPr>
      <w:color w:val="000000"/>
      <w:sz w:val="11"/>
      <w:szCs w:val="11"/>
      <w:u w:val="none"/>
    </w:rPr>
  </w:style>
  <w:style w:type="character" w:customStyle="1" w:styleId="157">
    <w:name w:val="标题 7 Char1"/>
    <w:qFormat/>
    <w:uiPriority w:val="0"/>
    <w:rPr>
      <w:rFonts w:ascii="Times New Roman" w:hAnsi="Times New Roman" w:eastAsia="仿宋_GB2312" w:cs="Times New Roman"/>
      <w:sz w:val="30"/>
      <w:szCs w:val="20"/>
    </w:rPr>
  </w:style>
  <w:style w:type="character" w:customStyle="1" w:styleId="158">
    <w:name w:val="手改 Char Char"/>
    <w:qFormat/>
    <w:uiPriority w:val="0"/>
    <w:rPr>
      <w:kern w:val="2"/>
      <w:sz w:val="21"/>
      <w:szCs w:val="24"/>
    </w:rPr>
  </w:style>
  <w:style w:type="character" w:customStyle="1" w:styleId="159">
    <w:name w:val="s3"/>
    <w:qFormat/>
    <w:uiPriority w:val="0"/>
  </w:style>
  <w:style w:type="character" w:customStyle="1" w:styleId="160">
    <w:name w:val="ITTHEADER1 Char"/>
    <w:qFormat/>
    <w:uiPriority w:val="0"/>
    <w:rPr>
      <w:rFonts w:eastAsia="黑体"/>
      <w:kern w:val="2"/>
      <w:sz w:val="44"/>
      <w:szCs w:val="44"/>
      <w:lang w:val="en-US" w:eastAsia="zh-CN" w:bidi="ar-SA"/>
    </w:rPr>
  </w:style>
  <w:style w:type="character" w:customStyle="1" w:styleId="161">
    <w:name w:val="脚注文本 Char2"/>
    <w:semiHidden/>
    <w:qFormat/>
    <w:uiPriority w:val="99"/>
    <w:rPr>
      <w:rFonts w:ascii="Calibri" w:hAnsi="Calibri" w:eastAsia="宋体" w:cs="Times New Roman"/>
      <w:sz w:val="18"/>
      <w:szCs w:val="18"/>
    </w:rPr>
  </w:style>
  <w:style w:type="character" w:customStyle="1" w:styleId="162">
    <w:name w:val="Char Char22"/>
    <w:qFormat/>
    <w:uiPriority w:val="0"/>
    <w:rPr>
      <w:b/>
      <w:bCs/>
      <w:kern w:val="2"/>
      <w:sz w:val="32"/>
      <w:szCs w:val="32"/>
    </w:rPr>
  </w:style>
  <w:style w:type="character" w:customStyle="1" w:styleId="163">
    <w:name w:val="标题 4 Char"/>
    <w:qFormat/>
    <w:uiPriority w:val="0"/>
    <w:rPr>
      <w:rFonts w:ascii="仿宋_GB2312" w:hAnsi="Calibri" w:eastAsia="仿宋_GB2312" w:cs="Times New Roman"/>
      <w:b/>
      <w:kern w:val="0"/>
      <w:sz w:val="24"/>
      <w:szCs w:val="28"/>
    </w:rPr>
  </w:style>
  <w:style w:type="character" w:customStyle="1" w:styleId="164">
    <w:name w:val="文档结构图 Char2"/>
    <w:qFormat/>
    <w:uiPriority w:val="99"/>
    <w:rPr>
      <w:kern w:val="2"/>
      <w:sz w:val="21"/>
      <w:szCs w:val="24"/>
      <w:shd w:val="clear" w:color="auto" w:fill="000080"/>
    </w:rPr>
  </w:style>
  <w:style w:type="character" w:customStyle="1" w:styleId="165">
    <w:name w:val="textcontents"/>
    <w:qFormat/>
    <w:uiPriority w:val="0"/>
    <w:rPr>
      <w:rFonts w:cs="Times New Roman"/>
    </w:rPr>
  </w:style>
  <w:style w:type="character" w:customStyle="1" w:styleId="166">
    <w:name w:val="Char Char12"/>
    <w:qFormat/>
    <w:uiPriority w:val="0"/>
    <w:rPr>
      <w:rFonts w:eastAsia="黑体"/>
      <w:kern w:val="2"/>
      <w:sz w:val="44"/>
      <w:szCs w:val="44"/>
      <w:lang w:val="en-US" w:eastAsia="zh-CN" w:bidi="ar-SA"/>
    </w:rPr>
  </w:style>
  <w:style w:type="character" w:customStyle="1" w:styleId="167">
    <w:name w:val="脚注文本 Char"/>
    <w:qFormat/>
    <w:uiPriority w:val="0"/>
    <w:rPr>
      <w:rFonts w:ascii="Arial" w:hAnsi="Arial" w:eastAsia="宋体" w:cs="Arial"/>
      <w:sz w:val="18"/>
      <w:szCs w:val="18"/>
      <w:lang w:eastAsia="en-US"/>
    </w:rPr>
  </w:style>
  <w:style w:type="character" w:customStyle="1" w:styleId="168">
    <w:name w:val="明显强调1"/>
    <w:qFormat/>
    <w:uiPriority w:val="0"/>
    <w:rPr>
      <w:b/>
      <w:bCs/>
      <w:i/>
      <w:iCs/>
      <w:color w:val="4F81BD"/>
    </w:rPr>
  </w:style>
  <w:style w:type="character" w:customStyle="1" w:styleId="169">
    <w:name w:val="书籍标题11"/>
    <w:qFormat/>
    <w:uiPriority w:val="0"/>
    <w:rPr>
      <w:b/>
      <w:bCs/>
      <w:smallCaps/>
      <w:spacing w:val="5"/>
    </w:rPr>
  </w:style>
  <w:style w:type="character" w:customStyle="1" w:styleId="170">
    <w:name w:val="标题 6 Char1"/>
    <w:qFormat/>
    <w:uiPriority w:val="0"/>
    <w:rPr>
      <w:rFonts w:ascii="Times New Roman" w:hAnsi="Arial" w:eastAsia="仿宋_GB2312" w:cs="Times New Roman"/>
      <w:sz w:val="30"/>
      <w:szCs w:val="20"/>
    </w:rPr>
  </w:style>
  <w:style w:type="character" w:customStyle="1" w:styleId="171">
    <w:name w:val="批注框文本 Char1"/>
    <w:qFormat/>
    <w:uiPriority w:val="0"/>
    <w:rPr>
      <w:kern w:val="2"/>
      <w:sz w:val="18"/>
      <w:szCs w:val="18"/>
    </w:rPr>
  </w:style>
  <w:style w:type="character" w:customStyle="1" w:styleId="172">
    <w:name w:val="style121"/>
    <w:qFormat/>
    <w:uiPriority w:val="0"/>
    <w:rPr>
      <w:rFonts w:hint="eastAsia" w:ascii="宋体" w:hAnsi="宋体" w:eastAsia="宋体"/>
      <w:sz w:val="18"/>
      <w:szCs w:val="18"/>
    </w:rPr>
  </w:style>
  <w:style w:type="character" w:customStyle="1" w:styleId="173">
    <w:name w:val="标题 9 Char1"/>
    <w:qFormat/>
    <w:uiPriority w:val="0"/>
    <w:rPr>
      <w:rFonts w:ascii="Times New Roman" w:hAnsi="Times New Roman" w:eastAsia="仿宋_GB2312" w:cs="Times New Roman"/>
      <w:sz w:val="30"/>
      <w:szCs w:val="20"/>
    </w:rPr>
  </w:style>
  <w:style w:type="character" w:customStyle="1" w:styleId="174">
    <w:name w:val="normaltext1"/>
    <w:qFormat/>
    <w:uiPriority w:val="0"/>
    <w:rPr>
      <w:rFonts w:hint="default" w:ascii="ˎ̥" w:hAnsi="ˎ̥"/>
      <w:sz w:val="9"/>
      <w:szCs w:val="9"/>
    </w:rPr>
  </w:style>
  <w:style w:type="character" w:customStyle="1" w:styleId="175">
    <w:name w:val="页脚 Char1"/>
    <w:semiHidden/>
    <w:qFormat/>
    <w:uiPriority w:val="99"/>
    <w:rPr>
      <w:kern w:val="2"/>
      <w:sz w:val="18"/>
      <w:szCs w:val="18"/>
    </w:rPr>
  </w:style>
  <w:style w:type="character" w:customStyle="1" w:styleId="176">
    <w:name w:val="正文文本缩进 2 Char"/>
    <w:qFormat/>
    <w:uiPriority w:val="0"/>
    <w:rPr>
      <w:kern w:val="2"/>
      <w:sz w:val="21"/>
      <w:szCs w:val="24"/>
    </w:rPr>
  </w:style>
  <w:style w:type="character" w:customStyle="1" w:styleId="177">
    <w:name w:val="ca-141"/>
    <w:qFormat/>
    <w:uiPriority w:val="0"/>
    <w:rPr>
      <w:rFonts w:hint="eastAsia" w:ascii="仿宋_GB2312" w:eastAsia="仿宋_GB2312"/>
      <w:sz w:val="21"/>
      <w:szCs w:val="21"/>
    </w:rPr>
  </w:style>
  <w:style w:type="character" w:customStyle="1" w:styleId="178">
    <w:name w:val="intel3"/>
    <w:basedOn w:val="47"/>
    <w:qFormat/>
    <w:uiPriority w:val="0"/>
  </w:style>
  <w:style w:type="character" w:customStyle="1" w:styleId="179">
    <w:name w:val="标题 Char1"/>
    <w:qFormat/>
    <w:uiPriority w:val="10"/>
    <w:rPr>
      <w:szCs w:val="24"/>
      <w:u w:val="single"/>
      <w:lang w:eastAsia="en-US"/>
    </w:rPr>
  </w:style>
  <w:style w:type="character" w:customStyle="1" w:styleId="180">
    <w:name w:val="style21"/>
    <w:qFormat/>
    <w:uiPriority w:val="0"/>
    <w:rPr>
      <w:b/>
      <w:bCs/>
      <w:sz w:val="28"/>
      <w:szCs w:val="28"/>
    </w:rPr>
  </w:style>
  <w:style w:type="character" w:customStyle="1" w:styleId="181">
    <w:name w:val="main_tdbg_7601"/>
    <w:qFormat/>
    <w:uiPriority w:val="0"/>
    <w:rPr>
      <w:sz w:val="14"/>
      <w:szCs w:val="14"/>
    </w:rPr>
  </w:style>
  <w:style w:type="character" w:customStyle="1" w:styleId="182">
    <w:name w:val="正文文本缩进 Char"/>
    <w:qFormat/>
    <w:uiPriority w:val="0"/>
    <w:rPr>
      <w:rFonts w:ascii="黑体" w:hAnsi="宋体" w:eastAsia="黑体"/>
      <w:color w:val="000000"/>
      <w:sz w:val="28"/>
      <w:szCs w:val="32"/>
    </w:rPr>
  </w:style>
  <w:style w:type="character" w:customStyle="1" w:styleId="183">
    <w:name w:val="批注文字 Char2"/>
    <w:qFormat/>
    <w:uiPriority w:val="0"/>
    <w:rPr>
      <w:rFonts w:ascii="Calibri" w:hAnsi="Calibri" w:eastAsia="宋体" w:cs="Times New Roman"/>
      <w:szCs w:val="24"/>
    </w:rPr>
  </w:style>
  <w:style w:type="character" w:customStyle="1" w:styleId="184">
    <w:name w:val="批注文字 Char Char"/>
    <w:qFormat/>
    <w:uiPriority w:val="0"/>
    <w:rPr>
      <w:rFonts w:ascii="宋体" w:hAnsi="Times New Roman" w:eastAsia="宋体" w:cs="Times New Roman"/>
      <w:sz w:val="28"/>
      <w:szCs w:val="20"/>
    </w:rPr>
  </w:style>
  <w:style w:type="character" w:customStyle="1" w:styleId="185">
    <w:name w:val="明显引用 Char3"/>
    <w:qFormat/>
    <w:uiPriority w:val="30"/>
    <w:rPr>
      <w:rFonts w:ascii="Calibri" w:hAnsi="Calibri" w:eastAsia="宋体" w:cs="Times New Roman"/>
      <w:b/>
      <w:bCs/>
      <w:i/>
      <w:iCs/>
      <w:color w:val="4F81BD"/>
      <w:szCs w:val="24"/>
    </w:rPr>
  </w:style>
  <w:style w:type="character" w:customStyle="1" w:styleId="186">
    <w:name w:val="HTML 预设格式 Char1"/>
    <w:qFormat/>
    <w:uiPriority w:val="0"/>
    <w:rPr>
      <w:rFonts w:ascii="宋体" w:hAnsi="宋体" w:cs="宋体"/>
      <w:color w:val="000000"/>
      <w:sz w:val="24"/>
      <w:szCs w:val="24"/>
    </w:rPr>
  </w:style>
  <w:style w:type="character" w:customStyle="1" w:styleId="187">
    <w:name w:val="批注主题 Char"/>
    <w:qFormat/>
    <w:uiPriority w:val="0"/>
    <w:rPr>
      <w:rFonts w:ascii="宋体" w:hAnsi="宋体" w:eastAsia="宋体"/>
      <w:kern w:val="2"/>
      <w:sz w:val="24"/>
      <w:szCs w:val="28"/>
      <w:lang w:val="en-US" w:eastAsia="zh-CN" w:bidi="ar-SA"/>
    </w:rPr>
  </w:style>
  <w:style w:type="character" w:customStyle="1" w:styleId="188">
    <w:name w:val="正文文本缩进 Char2"/>
    <w:semiHidden/>
    <w:qFormat/>
    <w:uiPriority w:val="99"/>
    <w:rPr>
      <w:rFonts w:ascii="Calibri" w:hAnsi="Calibri" w:eastAsia="宋体" w:cs="Times New Roman"/>
      <w:szCs w:val="24"/>
    </w:rPr>
  </w:style>
  <w:style w:type="character" w:customStyle="1" w:styleId="189">
    <w:name w:val="标题 2 Char"/>
    <w:qFormat/>
    <w:uiPriority w:val="0"/>
    <w:rPr>
      <w:rFonts w:ascii="仿宋_GB2312" w:hAnsi="Calibri" w:eastAsia="仿宋_GB2312" w:cs="Times New Roman"/>
      <w:b/>
      <w:spacing w:val="1"/>
      <w:w w:val="99"/>
      <w:kern w:val="0"/>
      <w:sz w:val="28"/>
      <w:szCs w:val="32"/>
    </w:rPr>
  </w:style>
  <w:style w:type="character" w:customStyle="1" w:styleId="190">
    <w:name w:val="title11"/>
    <w:qFormat/>
    <w:uiPriority w:val="0"/>
    <w:rPr>
      <w:b/>
      <w:bCs/>
      <w:color w:val="FFFFFF"/>
      <w:sz w:val="11"/>
      <w:szCs w:val="11"/>
    </w:rPr>
  </w:style>
  <w:style w:type="character" w:customStyle="1" w:styleId="191">
    <w:name w:val="l1"/>
    <w:basedOn w:val="47"/>
    <w:qFormat/>
    <w:uiPriority w:val="0"/>
  </w:style>
  <w:style w:type="character" w:customStyle="1" w:styleId="192">
    <w:name w:val="正文文本 Char3"/>
    <w:semiHidden/>
    <w:qFormat/>
    <w:uiPriority w:val="99"/>
    <w:rPr>
      <w:rFonts w:ascii="Calibri" w:hAnsi="Calibri" w:eastAsia="宋体" w:cs="Times New Roman"/>
      <w:szCs w:val="24"/>
    </w:rPr>
  </w:style>
  <w:style w:type="character" w:customStyle="1" w:styleId="193">
    <w:name w:val="标题 2 Char1"/>
    <w:qFormat/>
    <w:uiPriority w:val="0"/>
    <w:rPr>
      <w:rFonts w:ascii="Cambria" w:hAnsi="Cambria" w:eastAsia="宋体" w:cs="Times New Roman"/>
      <w:b/>
      <w:bCs/>
      <w:kern w:val="2"/>
      <w:sz w:val="32"/>
      <w:szCs w:val="32"/>
    </w:rPr>
  </w:style>
  <w:style w:type="character" w:customStyle="1" w:styleId="194">
    <w:name w:val="标题 6 Char"/>
    <w:qFormat/>
    <w:uiPriority w:val="0"/>
    <w:rPr>
      <w:rFonts w:ascii="Arial" w:hAnsi="Arial" w:eastAsia="黑体" w:cs="Times New Roman"/>
      <w:b/>
      <w:bCs/>
      <w:sz w:val="24"/>
      <w:szCs w:val="24"/>
    </w:rPr>
  </w:style>
  <w:style w:type="character" w:customStyle="1" w:styleId="195">
    <w:name w:val="Char Char11"/>
    <w:qFormat/>
    <w:locked/>
    <w:uiPriority w:val="0"/>
    <w:rPr>
      <w:rFonts w:eastAsia="黑体"/>
      <w:kern w:val="2"/>
      <w:sz w:val="44"/>
      <w:szCs w:val="44"/>
      <w:lang w:val="en-US" w:eastAsia="zh-CN" w:bidi="ar-SA"/>
    </w:rPr>
  </w:style>
  <w:style w:type="character" w:customStyle="1" w:styleId="196">
    <w:name w:val="标题 8 Char1"/>
    <w:qFormat/>
    <w:uiPriority w:val="0"/>
    <w:rPr>
      <w:rFonts w:ascii="Times New Roman" w:hAnsi="Arial" w:eastAsia="仿宋_GB2312" w:cs="Times New Roman"/>
      <w:sz w:val="30"/>
      <w:szCs w:val="20"/>
    </w:rPr>
  </w:style>
  <w:style w:type="character" w:customStyle="1" w:styleId="197">
    <w:name w:val="明显引用 字符"/>
    <w:link w:val="198"/>
    <w:qFormat/>
    <w:uiPriority w:val="0"/>
    <w:rPr>
      <w:b/>
      <w:bCs/>
      <w:i/>
      <w:iCs/>
      <w:color w:val="4F81BD"/>
      <w:kern w:val="2"/>
      <w:sz w:val="21"/>
      <w:szCs w:val="22"/>
      <w:lang w:bidi="ar-SA"/>
    </w:rPr>
  </w:style>
  <w:style w:type="paragraph" w:customStyle="1" w:styleId="198">
    <w:name w:val="明显引用1"/>
    <w:basedOn w:val="1"/>
    <w:next w:val="1"/>
    <w:link w:val="197"/>
    <w:qFormat/>
    <w:uiPriority w:val="0"/>
    <w:pPr>
      <w:pBdr>
        <w:bottom w:val="single" w:color="4F81BD" w:sz="4" w:space="4"/>
      </w:pBdr>
      <w:spacing w:before="200" w:after="280"/>
      <w:ind w:left="936" w:right="936"/>
    </w:pPr>
    <w:rPr>
      <w:b/>
      <w:bCs/>
      <w:i/>
      <w:iCs/>
      <w:color w:val="4F81BD"/>
      <w:szCs w:val="22"/>
    </w:rPr>
  </w:style>
  <w:style w:type="character" w:customStyle="1" w:styleId="199">
    <w:name w:val="普通文字 Char Char2"/>
    <w:qFormat/>
    <w:uiPriority w:val="0"/>
    <w:rPr>
      <w:rFonts w:ascii="宋体" w:hAnsi="Courier New"/>
      <w:kern w:val="2"/>
      <w:sz w:val="28"/>
      <w:szCs w:val="28"/>
    </w:rPr>
  </w:style>
  <w:style w:type="character" w:customStyle="1" w:styleId="200">
    <w:name w:val="明显强调2"/>
    <w:qFormat/>
    <w:uiPriority w:val="0"/>
    <w:rPr>
      <w:b/>
      <w:bCs/>
      <w:i/>
      <w:iCs/>
      <w:color w:val="4F81BD"/>
    </w:rPr>
  </w:style>
  <w:style w:type="character" w:customStyle="1" w:styleId="201">
    <w:name w:val="批注框文本 Char2"/>
    <w:qFormat/>
    <w:uiPriority w:val="99"/>
    <w:rPr>
      <w:kern w:val="2"/>
      <w:sz w:val="18"/>
      <w:szCs w:val="18"/>
    </w:rPr>
  </w:style>
  <w:style w:type="character" w:customStyle="1" w:styleId="202">
    <w:name w:val="未处理的提及1"/>
    <w:unhideWhenUsed/>
    <w:qFormat/>
    <w:uiPriority w:val="99"/>
    <w:rPr>
      <w:color w:val="808080"/>
      <w:shd w:val="clear" w:color="auto" w:fill="E6E6E6"/>
    </w:rPr>
  </w:style>
  <w:style w:type="character" w:customStyle="1" w:styleId="203">
    <w:name w:val="批注主题 Char2"/>
    <w:qFormat/>
    <w:uiPriority w:val="99"/>
    <w:rPr>
      <w:b/>
      <w:bCs/>
      <w:kern w:val="2"/>
      <w:sz w:val="21"/>
      <w:szCs w:val="24"/>
    </w:rPr>
  </w:style>
  <w:style w:type="character" w:customStyle="1" w:styleId="204">
    <w:name w:val="正文文本缩进 2 Char2"/>
    <w:semiHidden/>
    <w:qFormat/>
    <w:uiPriority w:val="99"/>
    <w:rPr>
      <w:rFonts w:ascii="Calibri" w:hAnsi="Calibri" w:eastAsia="宋体" w:cs="Times New Roman"/>
      <w:szCs w:val="24"/>
    </w:rPr>
  </w:style>
  <w:style w:type="character" w:customStyle="1" w:styleId="205">
    <w:name w:val="标题 5 Char"/>
    <w:qFormat/>
    <w:uiPriority w:val="0"/>
    <w:rPr>
      <w:rFonts w:ascii="Calibri" w:hAnsi="Calibri" w:eastAsia="宋体" w:cs="Times New Roman"/>
      <w:b/>
      <w:bCs/>
      <w:sz w:val="28"/>
      <w:szCs w:val="28"/>
    </w:rPr>
  </w:style>
  <w:style w:type="character" w:customStyle="1" w:styleId="206">
    <w:name w:val="标题 4 Char1"/>
    <w:qFormat/>
    <w:uiPriority w:val="0"/>
    <w:rPr>
      <w:rFonts w:ascii="宋体" w:hAnsi="宋体" w:eastAsia="宋体" w:cs="宋体"/>
      <w:b/>
      <w:bCs/>
      <w:sz w:val="24"/>
      <w:szCs w:val="24"/>
    </w:rPr>
  </w:style>
  <w:style w:type="character" w:customStyle="1" w:styleId="207">
    <w:name w:val="明显引用 Char1"/>
    <w:link w:val="208"/>
    <w:qFormat/>
    <w:uiPriority w:val="30"/>
    <w:rPr>
      <w:b/>
      <w:bCs/>
      <w:i/>
      <w:iCs/>
      <w:color w:val="4F81BD"/>
      <w:kern w:val="2"/>
      <w:sz w:val="21"/>
    </w:rPr>
  </w:style>
  <w:style w:type="paragraph" w:customStyle="1" w:styleId="208">
    <w:name w:val="明显引用111"/>
    <w:basedOn w:val="1"/>
    <w:next w:val="1"/>
    <w:link w:val="207"/>
    <w:qFormat/>
    <w:uiPriority w:val="0"/>
    <w:pPr>
      <w:pBdr>
        <w:bottom w:val="single" w:color="4F81BD" w:sz="4" w:space="4"/>
      </w:pBdr>
      <w:spacing w:before="200" w:after="280"/>
      <w:ind w:left="936" w:right="936"/>
    </w:pPr>
    <w:rPr>
      <w:b/>
      <w:bCs/>
      <w:i/>
      <w:iCs/>
      <w:color w:val="4F81BD"/>
      <w:szCs w:val="20"/>
    </w:rPr>
  </w:style>
  <w:style w:type="character" w:customStyle="1" w:styleId="209">
    <w:name w:val="正文文本 Char"/>
    <w:qFormat/>
    <w:uiPriority w:val="0"/>
    <w:rPr>
      <w:sz w:val="26"/>
      <w:szCs w:val="24"/>
    </w:rPr>
  </w:style>
  <w:style w:type="character" w:customStyle="1" w:styleId="210">
    <w:name w:val="正文文本缩进 3 Char1"/>
    <w:qFormat/>
    <w:uiPriority w:val="0"/>
    <w:rPr>
      <w:rFonts w:ascii="宋体" w:hAnsi="宋体"/>
      <w:kern w:val="2"/>
      <w:sz w:val="28"/>
      <w:szCs w:val="28"/>
    </w:rPr>
  </w:style>
  <w:style w:type="character" w:customStyle="1" w:styleId="211">
    <w:name w:val="font161"/>
    <w:qFormat/>
    <w:uiPriority w:val="0"/>
    <w:rPr>
      <w:b/>
      <w:bCs/>
      <w:sz w:val="32"/>
      <w:szCs w:val="32"/>
    </w:rPr>
  </w:style>
  <w:style w:type="character" w:customStyle="1" w:styleId="212">
    <w:name w:val="纯文本 Char2"/>
    <w:semiHidden/>
    <w:qFormat/>
    <w:uiPriority w:val="99"/>
    <w:rPr>
      <w:rFonts w:ascii="宋体" w:hAnsi="Courier New" w:eastAsia="宋体" w:cs="Courier New"/>
      <w:szCs w:val="21"/>
    </w:rPr>
  </w:style>
  <w:style w:type="character" w:customStyle="1" w:styleId="213">
    <w:name w:val="日期 Char"/>
    <w:qFormat/>
    <w:uiPriority w:val="0"/>
    <w:rPr>
      <w:rFonts w:eastAsia="宋体"/>
      <w:szCs w:val="24"/>
    </w:rPr>
  </w:style>
  <w:style w:type="character" w:customStyle="1" w:styleId="214">
    <w:name w:val="Char Char14"/>
    <w:qFormat/>
    <w:uiPriority w:val="0"/>
    <w:rPr>
      <w:kern w:val="2"/>
      <w:sz w:val="18"/>
      <w:szCs w:val="18"/>
    </w:rPr>
  </w:style>
  <w:style w:type="character" w:customStyle="1" w:styleId="215">
    <w:name w:val="正文文本缩进 3 Char2"/>
    <w:semiHidden/>
    <w:qFormat/>
    <w:uiPriority w:val="99"/>
    <w:rPr>
      <w:rFonts w:ascii="Calibri" w:hAnsi="Calibri" w:eastAsia="宋体" w:cs="Times New Roman"/>
      <w:sz w:val="16"/>
      <w:szCs w:val="16"/>
    </w:rPr>
  </w:style>
  <w:style w:type="character" w:customStyle="1" w:styleId="216">
    <w:name w:val="不明显强调11"/>
    <w:qFormat/>
    <w:uiPriority w:val="0"/>
    <w:rPr>
      <w:i/>
      <w:iCs/>
      <w:color w:val="808080"/>
    </w:rPr>
  </w:style>
  <w:style w:type="character" w:customStyle="1" w:styleId="217">
    <w:name w:val="批注主题 Char3"/>
    <w:semiHidden/>
    <w:qFormat/>
    <w:uiPriority w:val="99"/>
    <w:rPr>
      <w:rFonts w:ascii="Calibri" w:hAnsi="Calibri" w:eastAsia="宋体" w:cs="Times New Roman"/>
      <w:b/>
      <w:bCs/>
      <w:szCs w:val="24"/>
    </w:rPr>
  </w:style>
  <w:style w:type="character" w:customStyle="1" w:styleId="218">
    <w:name w:val="标题 8 Char"/>
    <w:qFormat/>
    <w:uiPriority w:val="0"/>
    <w:rPr>
      <w:rFonts w:ascii="Arial" w:hAnsi="Arial" w:eastAsia="黑体" w:cs="Times New Roman"/>
      <w:sz w:val="24"/>
      <w:szCs w:val="24"/>
    </w:rPr>
  </w:style>
  <w:style w:type="character" w:customStyle="1" w:styleId="219">
    <w:name w:val="明显参考2"/>
    <w:qFormat/>
    <w:uiPriority w:val="0"/>
    <w:rPr>
      <w:b/>
      <w:bCs/>
      <w:smallCaps/>
      <w:color w:val="C0504D"/>
      <w:spacing w:val="5"/>
      <w:u w:val="single"/>
    </w:rPr>
  </w:style>
  <w:style w:type="character" w:customStyle="1" w:styleId="220">
    <w:name w:val="尾注文本 Char2"/>
    <w:semiHidden/>
    <w:qFormat/>
    <w:uiPriority w:val="99"/>
    <w:rPr>
      <w:rFonts w:ascii="Calibri" w:hAnsi="Calibri" w:eastAsia="宋体" w:cs="Times New Roman"/>
      <w:szCs w:val="24"/>
    </w:rPr>
  </w:style>
  <w:style w:type="character" w:customStyle="1" w:styleId="221">
    <w:name w:val="正文文本 3 Char"/>
    <w:qFormat/>
    <w:uiPriority w:val="0"/>
    <w:rPr>
      <w:kern w:val="2"/>
      <w:sz w:val="16"/>
      <w:szCs w:val="16"/>
    </w:rPr>
  </w:style>
  <w:style w:type="character" w:customStyle="1" w:styleId="222">
    <w:name w:val="批注框文本 Char"/>
    <w:qFormat/>
    <w:uiPriority w:val="0"/>
    <w:rPr>
      <w:sz w:val="18"/>
      <w:szCs w:val="18"/>
    </w:rPr>
  </w:style>
  <w:style w:type="character" w:customStyle="1" w:styleId="223">
    <w:name w:val="标题 5 Char1"/>
    <w:qFormat/>
    <w:uiPriority w:val="0"/>
    <w:rPr>
      <w:rFonts w:ascii="宋体" w:hAnsi="宋体" w:eastAsia="宋体" w:cs="宋体"/>
      <w:b/>
      <w:bCs/>
      <w:sz w:val="20"/>
      <w:szCs w:val="20"/>
    </w:rPr>
  </w:style>
  <w:style w:type="character" w:customStyle="1" w:styleId="224">
    <w:name w:val="正文文本缩进 Char1"/>
    <w:qFormat/>
    <w:uiPriority w:val="0"/>
    <w:rPr>
      <w:kern w:val="2"/>
      <w:sz w:val="21"/>
      <w:szCs w:val="24"/>
    </w:rPr>
  </w:style>
  <w:style w:type="character" w:customStyle="1" w:styleId="225">
    <w:name w:val="日期 Char3"/>
    <w:semiHidden/>
    <w:qFormat/>
    <w:uiPriority w:val="99"/>
    <w:rPr>
      <w:rFonts w:ascii="Calibri" w:hAnsi="Calibri" w:eastAsia="宋体" w:cs="Times New Roman"/>
      <w:szCs w:val="24"/>
    </w:rPr>
  </w:style>
  <w:style w:type="character" w:customStyle="1" w:styleId="226">
    <w:name w:val="正文文本 3 Char2"/>
    <w:semiHidden/>
    <w:qFormat/>
    <w:uiPriority w:val="99"/>
    <w:rPr>
      <w:rFonts w:ascii="Calibri" w:hAnsi="Calibri" w:eastAsia="宋体" w:cs="Times New Roman"/>
      <w:sz w:val="16"/>
      <w:szCs w:val="16"/>
    </w:rPr>
  </w:style>
  <w:style w:type="character" w:customStyle="1" w:styleId="227">
    <w:name w:val="副标题 Char2"/>
    <w:qFormat/>
    <w:uiPriority w:val="11"/>
    <w:rPr>
      <w:rFonts w:ascii="Cambria" w:hAnsi="Cambria" w:eastAsia="宋体" w:cs="Times New Roman"/>
      <w:b/>
      <w:bCs/>
      <w:kern w:val="28"/>
      <w:sz w:val="32"/>
      <w:szCs w:val="32"/>
    </w:rPr>
  </w:style>
  <w:style w:type="character" w:customStyle="1" w:styleId="228">
    <w:name w:val="尾注文本 Char1"/>
    <w:qFormat/>
    <w:uiPriority w:val="0"/>
    <w:rPr>
      <w:rFonts w:ascii="Arial" w:hAnsi="Arial" w:cs="Arial"/>
      <w:szCs w:val="24"/>
      <w:lang w:eastAsia="en-US"/>
    </w:rPr>
  </w:style>
  <w:style w:type="character" w:customStyle="1" w:styleId="229">
    <w:name w:val="标题 1 Char1"/>
    <w:qFormat/>
    <w:uiPriority w:val="0"/>
    <w:rPr>
      <w:rFonts w:ascii="Times New Roman" w:hAnsi="Times New Roman" w:eastAsia="宋体" w:cs="Times New Roman"/>
      <w:b/>
      <w:bCs/>
      <w:kern w:val="44"/>
      <w:sz w:val="44"/>
      <w:szCs w:val="44"/>
    </w:rPr>
  </w:style>
  <w:style w:type="character" w:customStyle="1" w:styleId="230">
    <w:name w:val="日期 Char2"/>
    <w:qFormat/>
    <w:uiPriority w:val="99"/>
    <w:rPr>
      <w:kern w:val="2"/>
      <w:sz w:val="21"/>
      <w:szCs w:val="24"/>
    </w:rPr>
  </w:style>
  <w:style w:type="character" w:customStyle="1" w:styleId="231">
    <w:name w:val="style31"/>
    <w:qFormat/>
    <w:uiPriority w:val="0"/>
    <w:rPr>
      <w:sz w:val="10"/>
      <w:szCs w:val="10"/>
    </w:rPr>
  </w:style>
  <w:style w:type="character" w:customStyle="1" w:styleId="232">
    <w:name w:val="Char Char33"/>
    <w:qFormat/>
    <w:uiPriority w:val="0"/>
    <w:rPr>
      <w:rFonts w:ascii="仿宋_GB2312" w:eastAsia="仿宋_GB2312" w:cs="MingLiU"/>
      <w:b/>
      <w:sz w:val="24"/>
      <w:szCs w:val="28"/>
    </w:rPr>
  </w:style>
  <w:style w:type="paragraph" w:customStyle="1" w:styleId="233">
    <w:name w:val="Char"/>
    <w:basedOn w:val="1"/>
    <w:qFormat/>
    <w:uiPriority w:val="0"/>
  </w:style>
  <w:style w:type="paragraph" w:customStyle="1" w:styleId="234">
    <w:name w:val="style12"/>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23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customStyle="1" w:styleId="236">
    <w:name w:val="明显引用11"/>
    <w:basedOn w:val="1"/>
    <w:next w:val="1"/>
    <w:qFormat/>
    <w:uiPriority w:val="30"/>
    <w:pPr>
      <w:pBdr>
        <w:bottom w:val="single" w:color="4F81BD" w:sz="4" w:space="4"/>
      </w:pBdr>
      <w:spacing w:before="200" w:after="280"/>
      <w:ind w:left="936" w:right="936"/>
    </w:pPr>
    <w:rPr>
      <w:rFonts w:ascii="Calibri" w:hAnsi="Calibri"/>
      <w:b/>
      <w:bCs/>
      <w:i/>
      <w:iCs/>
      <w:color w:val="4F81BD"/>
      <w:szCs w:val="22"/>
    </w:rPr>
  </w:style>
  <w:style w:type="paragraph" w:customStyle="1" w:styleId="237">
    <w:name w:val="pa-27"/>
    <w:basedOn w:val="1"/>
    <w:qFormat/>
    <w:uiPriority w:val="0"/>
    <w:pPr>
      <w:widowControl/>
      <w:spacing w:line="360" w:lineRule="atLeast"/>
      <w:ind w:firstLine="420"/>
    </w:pPr>
    <w:rPr>
      <w:rFonts w:ascii="宋体" w:hAnsi="宋体" w:cs="宋体"/>
      <w:kern w:val="0"/>
      <w:sz w:val="24"/>
    </w:rPr>
  </w:style>
  <w:style w:type="paragraph" w:customStyle="1" w:styleId="238">
    <w:name w:val="链接"/>
    <w:qFormat/>
    <w:uiPriority w:val="0"/>
    <w:pPr>
      <w:widowControl w:val="0"/>
      <w:autoSpaceDE w:val="0"/>
      <w:autoSpaceDN w:val="0"/>
      <w:adjustRightInd w:val="0"/>
      <w:ind w:left="720"/>
    </w:pPr>
    <w:rPr>
      <w:rFonts w:ascii="Calibri" w:hAnsi="Calibri" w:eastAsia="宋体" w:cs="Times New Roman"/>
      <w:color w:val="0000FF"/>
      <w:sz w:val="21"/>
      <w:szCs w:val="21"/>
      <w:u w:val="single"/>
      <w:lang w:val="en-US" w:eastAsia="zh-CN" w:bidi="ar-SA"/>
    </w:rPr>
  </w:style>
  <w:style w:type="paragraph" w:customStyle="1" w:styleId="239">
    <w:name w:val="g2"/>
    <w:basedOn w:val="1"/>
    <w:qFormat/>
    <w:uiPriority w:val="0"/>
    <w:pPr>
      <w:widowControl/>
      <w:spacing w:before="100" w:beforeAutospacing="1" w:after="100" w:afterAutospacing="1"/>
      <w:jc w:val="left"/>
    </w:pPr>
    <w:rPr>
      <w:rFonts w:ascii="仿宋_GB2312" w:hAnsi="宋体" w:eastAsia="仿宋_GB2312" w:cs="宋体"/>
      <w:kern w:val="0"/>
      <w:sz w:val="17"/>
      <w:szCs w:val="17"/>
    </w:rPr>
  </w:style>
  <w:style w:type="paragraph" w:customStyle="1" w:styleId="240">
    <w:name w:val="p15"/>
    <w:basedOn w:val="1"/>
    <w:qFormat/>
    <w:uiPriority w:val="0"/>
    <w:pPr>
      <w:widowControl/>
      <w:spacing w:after="120"/>
    </w:pPr>
    <w:rPr>
      <w:kern w:val="0"/>
      <w:szCs w:val="21"/>
    </w:rPr>
  </w:style>
  <w:style w:type="paragraph" w:customStyle="1" w:styleId="241">
    <w:name w:val="_Style 90"/>
    <w:next w:val="1"/>
    <w:qFormat/>
    <w:uiPriority w:val="0"/>
    <w:pPr>
      <w:widowControl w:val="0"/>
      <w:jc w:val="both"/>
    </w:pPr>
    <w:rPr>
      <w:rFonts w:ascii="Calibri" w:hAnsi="Calibri" w:eastAsia="宋体" w:cs="Times New Roman"/>
      <w:kern w:val="2"/>
      <w:sz w:val="21"/>
      <w:szCs w:val="24"/>
      <w:lang w:val="en-US" w:eastAsia="zh-CN" w:bidi="ar-SA"/>
    </w:rPr>
  </w:style>
  <w:style w:type="paragraph" w:customStyle="1" w:styleId="242">
    <w:name w:val="p16"/>
    <w:basedOn w:val="1"/>
    <w:qFormat/>
    <w:uiPriority w:val="0"/>
    <w:pPr>
      <w:widowControl/>
    </w:pPr>
    <w:rPr>
      <w:rFonts w:ascii="Calibri" w:hAnsi="Calibri" w:cs="宋体"/>
      <w:kern w:val="0"/>
      <w:szCs w:val="21"/>
    </w:rPr>
  </w:style>
  <w:style w:type="paragraph" w:customStyle="1" w:styleId="243">
    <w:name w:val="rw"/>
    <w:basedOn w:val="1"/>
    <w:qFormat/>
    <w:uiPriority w:val="0"/>
    <w:pPr>
      <w:widowControl/>
      <w:spacing w:before="30"/>
      <w:ind w:left="100" w:right="100"/>
      <w:jc w:val="right"/>
    </w:pPr>
    <w:rPr>
      <w:rFonts w:ascii="方正仿宋简体" w:hAnsi="宋体" w:eastAsia="方正仿宋简体"/>
      <w:color w:val="000000"/>
      <w:kern w:val="0"/>
      <w:szCs w:val="21"/>
    </w:rPr>
  </w:style>
  <w:style w:type="paragraph" w:customStyle="1" w:styleId="244">
    <w:name w:val="WW-表格内容"/>
    <w:basedOn w:val="1"/>
    <w:qFormat/>
    <w:uiPriority w:val="0"/>
    <w:pPr>
      <w:suppressLineNumbers/>
      <w:suppressAutoHyphens/>
    </w:pPr>
  </w:style>
  <w:style w:type="paragraph" w:customStyle="1" w:styleId="245">
    <w:name w:val="zz"/>
    <w:basedOn w:val="1"/>
    <w:qFormat/>
    <w:uiPriority w:val="0"/>
    <w:pPr>
      <w:widowControl/>
      <w:spacing w:before="30"/>
      <w:jc w:val="right"/>
    </w:pPr>
    <w:rPr>
      <w:rFonts w:ascii="方正书宋简体" w:hAnsi="宋体" w:eastAsia="方正书宋简体"/>
      <w:color w:val="000000"/>
      <w:kern w:val="0"/>
      <w:szCs w:val="21"/>
    </w:rPr>
  </w:style>
  <w:style w:type="paragraph" w:customStyle="1" w:styleId="246">
    <w:name w:val="g11"/>
    <w:basedOn w:val="1"/>
    <w:qFormat/>
    <w:uiPriority w:val="0"/>
    <w:pPr>
      <w:widowControl/>
      <w:spacing w:before="100" w:beforeAutospacing="1" w:after="100" w:afterAutospacing="1" w:line="465" w:lineRule="atLeast"/>
      <w:jc w:val="left"/>
    </w:pPr>
    <w:rPr>
      <w:rFonts w:ascii="华文中宋" w:hAnsi="华文中宋" w:eastAsia="华文中宋" w:cs="宋体"/>
      <w:b/>
      <w:bCs/>
      <w:color w:val="FF0000"/>
      <w:kern w:val="0"/>
      <w:sz w:val="31"/>
      <w:szCs w:val="31"/>
    </w:rPr>
  </w:style>
  <w:style w:type="paragraph" w:customStyle="1" w:styleId="247">
    <w:name w:val="_Style 3"/>
    <w:qFormat/>
    <w:uiPriority w:val="0"/>
    <w:pPr>
      <w:widowControl w:val="0"/>
      <w:snapToGrid w:val="0"/>
      <w:spacing w:line="360" w:lineRule="auto"/>
    </w:pPr>
    <w:rPr>
      <w:rFonts w:ascii="Calibri" w:hAnsi="Calibri" w:eastAsia="宋体" w:cs="Times New Roman"/>
      <w:snapToGrid w:val="0"/>
      <w:sz w:val="21"/>
      <w:szCs w:val="24"/>
      <w:lang w:val="en-US" w:eastAsia="zh-CN" w:bidi="ar-SA"/>
    </w:rPr>
  </w:style>
  <w:style w:type="paragraph" w:customStyle="1" w:styleId="248">
    <w:name w:val="正文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249">
    <w:name w:val="表体"/>
    <w:basedOn w:val="1"/>
    <w:next w:val="1"/>
    <w:qFormat/>
    <w:uiPriority w:val="0"/>
    <w:pPr>
      <w:spacing w:line="0" w:lineRule="atLeast"/>
    </w:pPr>
    <w:rPr>
      <w:rFonts w:ascii="Calibri" w:hAnsi="Calibri"/>
      <w:b/>
      <w:snapToGrid w:val="0"/>
      <w:szCs w:val="20"/>
    </w:rPr>
  </w:style>
  <w:style w:type="paragraph" w:customStyle="1" w:styleId="250">
    <w:name w:val="表格"/>
    <w:basedOn w:val="1"/>
    <w:qFormat/>
    <w:uiPriority w:val="0"/>
    <w:pPr>
      <w:jc w:val="center"/>
      <w:textAlignment w:val="center"/>
    </w:pPr>
    <w:rPr>
      <w:rFonts w:ascii="华文细黑" w:hAnsi="华文细黑"/>
      <w:kern w:val="0"/>
      <w:szCs w:val="20"/>
    </w:rPr>
  </w:style>
  <w:style w:type="paragraph" w:customStyle="1" w:styleId="251">
    <w:name w:val="表格标题"/>
    <w:basedOn w:val="252"/>
    <w:qFormat/>
    <w:uiPriority w:val="0"/>
  </w:style>
  <w:style w:type="paragraph" w:customStyle="1" w:styleId="252">
    <w:name w:val="表格内容"/>
    <w:basedOn w:val="1"/>
    <w:qFormat/>
    <w:uiPriority w:val="0"/>
    <w:pPr>
      <w:suppressLineNumbers/>
      <w:suppressAutoHyphens/>
    </w:pPr>
  </w:style>
  <w:style w:type="paragraph" w:customStyle="1" w:styleId="253">
    <w:name w:val="标准样式1"/>
    <w:basedOn w:val="1"/>
    <w:qFormat/>
    <w:uiPriority w:val="0"/>
    <w:pPr>
      <w:spacing w:line="600" w:lineRule="exact"/>
      <w:ind w:firstLine="567"/>
    </w:pPr>
    <w:rPr>
      <w:rFonts w:ascii="Calibri" w:hAnsi="Calibri"/>
      <w:sz w:val="28"/>
    </w:rPr>
  </w:style>
  <w:style w:type="paragraph" w:customStyle="1" w:styleId="254">
    <w:name w:val="WW-表格标题"/>
    <w:basedOn w:val="244"/>
    <w:qFormat/>
    <w:uiPriority w:val="0"/>
  </w:style>
  <w:style w:type="paragraph" w:customStyle="1" w:styleId="255">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56">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57">
    <w:name w:val="_Style 87"/>
    <w:basedOn w:val="1"/>
    <w:qFormat/>
    <w:uiPriority w:val="99"/>
    <w:pPr>
      <w:ind w:firstLine="420" w:firstLineChars="200"/>
    </w:pPr>
    <w:rPr>
      <w:rFonts w:ascii="Calibri" w:hAnsi="Calibri"/>
      <w:sz w:val="28"/>
      <w:szCs w:val="28"/>
    </w:rPr>
  </w:style>
  <w:style w:type="paragraph" w:customStyle="1" w:styleId="258">
    <w:name w:val="列出段落1"/>
    <w:basedOn w:val="1"/>
    <w:qFormat/>
    <w:uiPriority w:val="99"/>
    <w:pPr>
      <w:ind w:firstLine="420" w:firstLineChars="200"/>
    </w:pPr>
    <w:rPr>
      <w:sz w:val="28"/>
      <w:szCs w:val="28"/>
    </w:rPr>
  </w:style>
  <w:style w:type="paragraph" w:customStyle="1" w:styleId="259">
    <w:name w:val="TOC 标题1"/>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60">
    <w:name w:val="_Style 96"/>
    <w:semiHidden/>
    <w:qFormat/>
    <w:uiPriority w:val="99"/>
    <w:rPr>
      <w:rFonts w:ascii="Calibri" w:hAnsi="Calibri" w:eastAsia="宋体" w:cs="Times New Roman"/>
      <w:kern w:val="2"/>
      <w:sz w:val="21"/>
      <w:szCs w:val="24"/>
      <w:lang w:val="en-US" w:eastAsia="zh-CN" w:bidi="ar-SA"/>
    </w:rPr>
  </w:style>
  <w:style w:type="paragraph" w:customStyle="1" w:styleId="261">
    <w:name w:val="ly"/>
    <w:basedOn w:val="1"/>
    <w:qFormat/>
    <w:uiPriority w:val="0"/>
    <w:pPr>
      <w:widowControl/>
      <w:spacing w:before="30"/>
      <w:jc w:val="right"/>
    </w:pPr>
    <w:rPr>
      <w:rFonts w:ascii="方正书宋简体" w:hAnsi="宋体" w:eastAsia="方正书宋简体"/>
      <w:color w:val="000000"/>
      <w:kern w:val="0"/>
      <w:szCs w:val="21"/>
    </w:rPr>
  </w:style>
  <w:style w:type="paragraph" w:customStyle="1" w:styleId="262">
    <w:name w:val="列出段落111"/>
    <w:basedOn w:val="1"/>
    <w:qFormat/>
    <w:uiPriority w:val="0"/>
    <w:pPr>
      <w:ind w:firstLine="420" w:firstLineChars="200"/>
    </w:pPr>
    <w:rPr>
      <w:sz w:val="28"/>
      <w:szCs w:val="28"/>
    </w:rPr>
  </w:style>
  <w:style w:type="paragraph" w:customStyle="1" w:styleId="263">
    <w:name w:val="Char Char Char Char Char Char Char Char Char Char"/>
    <w:basedOn w:val="15"/>
    <w:qFormat/>
    <w:uiPriority w:val="0"/>
    <w:pPr>
      <w:spacing w:line="360" w:lineRule="auto"/>
      <w:ind w:firstLine="200" w:firstLineChars="200"/>
    </w:pPr>
    <w:rPr>
      <w:rFonts w:ascii="Tahoma" w:hAnsi="Tahoma"/>
      <w:sz w:val="24"/>
    </w:rPr>
  </w:style>
  <w:style w:type="paragraph" w:customStyle="1" w:styleId="26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5">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266">
    <w:name w:val="标准样式（文件）"/>
    <w:qFormat/>
    <w:uiPriority w:val="0"/>
    <w:pPr>
      <w:widowControl w:val="0"/>
      <w:spacing w:line="600" w:lineRule="exact"/>
      <w:ind w:firstLine="567"/>
    </w:pPr>
    <w:rPr>
      <w:rFonts w:ascii="Calibri" w:hAnsi="Calibri" w:eastAsia="宋体" w:cs="Times New Roman"/>
      <w:sz w:val="28"/>
      <w:lang w:val="en-US" w:eastAsia="zh-CN" w:bidi="ar-SA"/>
    </w:rPr>
  </w:style>
  <w:style w:type="paragraph" w:customStyle="1" w:styleId="267">
    <w:name w:val="修订1"/>
    <w:qFormat/>
    <w:uiPriority w:val="0"/>
    <w:rPr>
      <w:rFonts w:ascii="Times New Roman" w:hAnsi="Times New Roman" w:eastAsia="宋体" w:cs="Times New Roman"/>
      <w:kern w:val="2"/>
      <w:sz w:val="21"/>
      <w:szCs w:val="24"/>
      <w:lang w:val="en-US" w:eastAsia="zh-CN" w:bidi="ar-SA"/>
    </w:rPr>
  </w:style>
  <w:style w:type="paragraph" w:customStyle="1" w:styleId="268">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sz w:val="28"/>
      <w:szCs w:val="20"/>
    </w:rPr>
  </w:style>
  <w:style w:type="paragraph" w:customStyle="1" w:styleId="269">
    <w:name w:val="mtitle"/>
    <w:basedOn w:val="1"/>
    <w:qFormat/>
    <w:uiPriority w:val="0"/>
    <w:pPr>
      <w:widowControl/>
      <w:spacing w:before="30"/>
      <w:jc w:val="center"/>
    </w:pPr>
    <w:rPr>
      <w:rFonts w:ascii="方正小标宋简体" w:hAnsi="宋体" w:eastAsia="方正小标宋简体"/>
      <w:color w:val="000000"/>
      <w:kern w:val="0"/>
      <w:sz w:val="44"/>
      <w:szCs w:val="44"/>
    </w:rPr>
  </w:style>
  <w:style w:type="paragraph" w:customStyle="1" w:styleId="270">
    <w:name w:val="Char1"/>
    <w:basedOn w:val="1"/>
    <w:qFormat/>
    <w:uiPriority w:val="0"/>
  </w:style>
  <w:style w:type="paragraph" w:customStyle="1" w:styleId="271">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272">
    <w:name w:val="1 Char"/>
    <w:basedOn w:val="1"/>
    <w:qFormat/>
    <w:uiPriority w:val="0"/>
    <w:pPr>
      <w:widowControl/>
      <w:spacing w:after="160" w:line="240" w:lineRule="exact"/>
      <w:jc w:val="left"/>
    </w:pPr>
    <w:rPr>
      <w:rFonts w:ascii="Calibri" w:hAnsi="Calibri"/>
      <w:szCs w:val="20"/>
    </w:rPr>
  </w:style>
  <w:style w:type="paragraph" w:customStyle="1" w:styleId="273">
    <w:name w:val="无间隔11"/>
    <w:qFormat/>
    <w:uiPriority w:val="0"/>
    <w:pPr>
      <w:widowControl w:val="0"/>
      <w:jc w:val="both"/>
    </w:pPr>
    <w:rPr>
      <w:rFonts w:ascii="Calibri" w:hAnsi="Calibri" w:eastAsia="宋体" w:cs="Times New Roman"/>
      <w:kern w:val="2"/>
      <w:sz w:val="21"/>
      <w:szCs w:val="22"/>
      <w:lang w:val="en-US" w:eastAsia="zh-CN" w:bidi="ar-SA"/>
    </w:rPr>
  </w:style>
  <w:style w:type="paragraph" w:customStyle="1" w:styleId="274">
    <w:name w:val="Char9 Char Char Char Char Char Char"/>
    <w:basedOn w:val="15"/>
    <w:qFormat/>
    <w:uiPriority w:val="0"/>
    <w:pPr>
      <w:spacing w:line="360" w:lineRule="auto"/>
      <w:ind w:firstLine="200" w:firstLineChars="200"/>
    </w:pPr>
    <w:rPr>
      <w:rFonts w:ascii="Tahoma" w:hAnsi="Tahoma"/>
      <w:sz w:val="24"/>
    </w:rPr>
  </w:style>
  <w:style w:type="paragraph" w:customStyle="1" w:styleId="275">
    <w:name w:val="标题1"/>
    <w:basedOn w:val="1"/>
    <w:qFormat/>
    <w:uiPriority w:val="0"/>
    <w:pPr>
      <w:widowControl/>
      <w:spacing w:before="100" w:beforeAutospacing="1" w:after="100" w:afterAutospacing="1"/>
      <w:jc w:val="left"/>
    </w:pPr>
    <w:rPr>
      <w:rFonts w:ascii="宋体" w:hAnsi="宋体" w:cs="宋体"/>
      <w:kern w:val="0"/>
      <w:sz w:val="24"/>
    </w:rPr>
  </w:style>
  <w:style w:type="paragraph" w:customStyle="1" w:styleId="276">
    <w:name w:val="样式15"/>
    <w:basedOn w:val="5"/>
    <w:qFormat/>
    <w:uiPriority w:val="0"/>
    <w:pPr>
      <w:keepNext w:val="0"/>
      <w:keepLines w:val="0"/>
      <w:tabs>
        <w:tab w:val="left" w:pos="0"/>
        <w:tab w:val="left" w:pos="210"/>
        <w:tab w:val="left" w:pos="420"/>
        <w:tab w:val="left" w:pos="1260"/>
      </w:tabs>
      <w:adjustRightInd w:val="0"/>
      <w:spacing w:before="0" w:after="0" w:line="240" w:lineRule="auto"/>
      <w:jc w:val="left"/>
    </w:pPr>
    <w:rPr>
      <w:rFonts w:ascii="仿宋_GB2312" w:hAnsi="Calibri" w:eastAsia="仿宋_GB2312"/>
      <w:bCs w:val="0"/>
      <w:szCs w:val="24"/>
    </w:rPr>
  </w:style>
  <w:style w:type="paragraph" w:customStyle="1" w:styleId="277">
    <w:name w:val="Char Char1 Char Char"/>
    <w:basedOn w:val="15"/>
    <w:qFormat/>
    <w:uiPriority w:val="0"/>
    <w:pPr>
      <w:shd w:val="clear" w:color="auto" w:fill="auto"/>
      <w:tabs>
        <w:tab w:val="left" w:pos="630"/>
      </w:tabs>
      <w:adjustRightInd w:val="0"/>
      <w:spacing w:line="436" w:lineRule="exact"/>
      <w:ind w:left="357"/>
      <w:jc w:val="left"/>
      <w:outlineLvl w:val="3"/>
    </w:pPr>
    <w:rPr>
      <w:rFonts w:ascii="Calibri" w:hAnsi="Calibri" w:eastAsia="Times New Roman"/>
      <w:sz w:val="18"/>
      <w:szCs w:val="20"/>
    </w:rPr>
  </w:style>
  <w:style w:type="paragraph" w:customStyle="1" w:styleId="278">
    <w:name w:val="Char21"/>
    <w:basedOn w:val="1"/>
    <w:qFormat/>
    <w:uiPriority w:val="0"/>
  </w:style>
  <w:style w:type="paragraph" w:customStyle="1" w:styleId="279">
    <w:name w:val="表格文字"/>
    <w:basedOn w:val="1"/>
    <w:qFormat/>
    <w:uiPriority w:val="0"/>
    <w:pPr>
      <w:adjustRightInd w:val="0"/>
      <w:spacing w:line="420" w:lineRule="atLeast"/>
      <w:jc w:val="left"/>
      <w:textAlignment w:val="baseline"/>
    </w:pPr>
    <w:rPr>
      <w:kern w:val="0"/>
      <w:szCs w:val="20"/>
    </w:rPr>
  </w:style>
  <w:style w:type="paragraph" w:customStyle="1" w:styleId="280">
    <w:name w:val="TOC 标题2"/>
    <w:basedOn w:val="3"/>
    <w:next w:val="1"/>
    <w:unhideWhenUsed/>
    <w:qFormat/>
    <w:uiPriority w:val="0"/>
    <w:pPr>
      <w:outlineLvl w:val="9"/>
    </w:pPr>
    <w:rPr>
      <w:rFonts w:ascii="Calibri" w:hAnsi="Calibri"/>
    </w:rPr>
  </w:style>
  <w:style w:type="paragraph" w:customStyle="1" w:styleId="281">
    <w:name w:val="l-2"/>
    <w:basedOn w:val="1"/>
    <w:qFormat/>
    <w:uiPriority w:val="0"/>
    <w:pPr>
      <w:widowControl/>
      <w:spacing w:before="100" w:beforeAutospacing="1" w:after="100" w:afterAutospacing="1"/>
      <w:jc w:val="left"/>
    </w:pPr>
    <w:rPr>
      <w:rFonts w:ascii="宋体" w:hAnsi="宋体" w:cs="宋体"/>
      <w:b/>
      <w:bCs/>
      <w:color w:val="000000"/>
      <w:kern w:val="0"/>
      <w:sz w:val="13"/>
      <w:szCs w:val="13"/>
    </w:rPr>
  </w:style>
  <w:style w:type="paragraph" w:customStyle="1" w:styleId="282">
    <w:name w:val="intel1"/>
    <w:basedOn w:val="1"/>
    <w:qFormat/>
    <w:uiPriority w:val="0"/>
    <w:pPr>
      <w:widowControl/>
      <w:spacing w:before="100" w:beforeAutospacing="1" w:after="100" w:afterAutospacing="1"/>
      <w:jc w:val="left"/>
    </w:pPr>
    <w:rPr>
      <w:rFonts w:ascii="宋体" w:hAnsi="宋体" w:cs="宋体"/>
      <w:kern w:val="0"/>
      <w:sz w:val="24"/>
    </w:rPr>
  </w:style>
  <w:style w:type="paragraph" w:customStyle="1" w:styleId="283">
    <w:name w:val="g3"/>
    <w:basedOn w:val="1"/>
    <w:qFormat/>
    <w:uiPriority w:val="0"/>
    <w:pPr>
      <w:widowControl/>
      <w:spacing w:before="100" w:beforeAutospacing="1" w:after="100" w:afterAutospacing="1"/>
      <w:jc w:val="left"/>
    </w:pPr>
    <w:rPr>
      <w:rFonts w:ascii="宋体" w:hAnsi="宋体" w:cs="宋体"/>
      <w:kern w:val="0"/>
      <w:sz w:val="24"/>
    </w:rPr>
  </w:style>
  <w:style w:type="paragraph" w:customStyle="1" w:styleId="284">
    <w:name w:val="自定样式1"/>
    <w:basedOn w:val="1"/>
    <w:qFormat/>
    <w:uiPriority w:val="0"/>
    <w:pPr>
      <w:suppressAutoHyphens/>
      <w:jc w:val="center"/>
    </w:pPr>
    <w:rPr>
      <w:rFonts w:ascii="宋体" w:hAnsi="宋体"/>
      <w:color w:val="000000"/>
      <w:sz w:val="18"/>
    </w:rPr>
  </w:style>
  <w:style w:type="paragraph" w:customStyle="1" w:styleId="285">
    <w:name w:val="Char Char Char Char"/>
    <w:basedOn w:val="15"/>
    <w:qFormat/>
    <w:uiPriority w:val="0"/>
    <w:pPr>
      <w:spacing w:line="360" w:lineRule="auto"/>
      <w:ind w:firstLine="200" w:firstLineChars="200"/>
    </w:pPr>
    <w:rPr>
      <w:rFonts w:ascii="Tahoma" w:hAnsi="Tahoma"/>
      <w:sz w:val="24"/>
    </w:rPr>
  </w:style>
  <w:style w:type="paragraph" w:customStyle="1" w:styleId="286">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287">
    <w:name w:val="TOC 标题1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88">
    <w:name w:val="Char Char1 Char Char Char Char Char Char Char Char Char Char"/>
    <w:basedOn w:val="1"/>
    <w:qFormat/>
    <w:uiPriority w:val="0"/>
    <w:pPr>
      <w:autoSpaceDE w:val="0"/>
      <w:autoSpaceDN w:val="0"/>
      <w:adjustRightInd w:val="0"/>
      <w:ind w:firstLine="482"/>
    </w:pPr>
    <w:rPr>
      <w:rFonts w:ascii="Calibri" w:hAnsi="Calibri"/>
      <w:szCs w:val="20"/>
    </w:rPr>
  </w:style>
  <w:style w:type="paragraph" w:customStyle="1" w:styleId="289">
    <w:name w:val="Char Char"/>
    <w:basedOn w:val="1"/>
    <w:qFormat/>
    <w:uiPriority w:val="0"/>
    <w:pPr>
      <w:widowControl/>
      <w:jc w:val="left"/>
    </w:pPr>
    <w:rPr>
      <w:rFonts w:ascii="Verdana" w:hAnsi="Verdana" w:eastAsia="Times New Roman"/>
      <w:kern w:val="0"/>
      <w:sz w:val="16"/>
      <w:szCs w:val="20"/>
      <w:lang w:eastAsia="en-US"/>
    </w:rPr>
  </w:style>
  <w:style w:type="paragraph" w:customStyle="1" w:styleId="290">
    <w:name w:val="zw"/>
    <w:basedOn w:val="1"/>
    <w:qFormat/>
    <w:uiPriority w:val="0"/>
    <w:pPr>
      <w:widowControl/>
      <w:spacing w:before="30"/>
      <w:ind w:left="100" w:right="100"/>
    </w:pPr>
    <w:rPr>
      <w:rFonts w:ascii="方正书宋简体" w:hAnsi="宋体" w:eastAsia="方正书宋简体"/>
      <w:color w:val="000000"/>
      <w:kern w:val="0"/>
      <w:szCs w:val="21"/>
    </w:rPr>
  </w:style>
  <w:style w:type="paragraph" w:customStyle="1" w:styleId="291">
    <w:name w:val="列出段落11"/>
    <w:basedOn w:val="1"/>
    <w:qFormat/>
    <w:uiPriority w:val="0"/>
    <w:pPr>
      <w:ind w:firstLine="420" w:firstLineChars="200"/>
    </w:pPr>
    <w:rPr>
      <w:sz w:val="28"/>
      <w:szCs w:val="28"/>
    </w:rPr>
  </w:style>
  <w:style w:type="paragraph" w:customStyle="1" w:styleId="292">
    <w:name w:val="标题11"/>
    <w:basedOn w:val="1"/>
    <w:qFormat/>
    <w:uiPriority w:val="0"/>
    <w:pPr>
      <w:widowControl/>
      <w:spacing w:before="100" w:beforeAutospacing="1" w:after="100" w:afterAutospacing="1"/>
      <w:jc w:val="left"/>
    </w:pPr>
    <w:rPr>
      <w:rFonts w:ascii="宋体" w:hAnsi="宋体" w:cs="宋体"/>
      <w:kern w:val="0"/>
      <w:sz w:val="24"/>
    </w:rPr>
  </w:style>
  <w:style w:type="paragraph" w:customStyle="1" w:styleId="293">
    <w:name w:val="修订11"/>
    <w:qFormat/>
    <w:uiPriority w:val="0"/>
    <w:rPr>
      <w:rFonts w:ascii="Times New Roman" w:hAnsi="Times New Roman" w:eastAsia="宋体" w:cs="Times New Roman"/>
      <w:kern w:val="2"/>
      <w:sz w:val="21"/>
      <w:szCs w:val="24"/>
      <w:lang w:val="en-US" w:eastAsia="zh-CN" w:bidi="ar-SA"/>
    </w:rPr>
  </w:style>
  <w:style w:type="paragraph" w:customStyle="1" w:styleId="294">
    <w:name w:val="TOC 标题11"/>
    <w:basedOn w:val="3"/>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295">
    <w:name w:val="xl65"/>
    <w:basedOn w:val="1"/>
    <w:qFormat/>
    <w:uiPriority w:val="0"/>
    <w:pPr>
      <w:widowControl/>
      <w:spacing w:before="100" w:beforeAutospacing="1" w:after="100" w:afterAutospacing="1"/>
      <w:jc w:val="center"/>
    </w:pPr>
    <w:rPr>
      <w:rFonts w:ascii="黑体" w:hAnsi="宋体" w:eastAsia="黑体"/>
      <w:b/>
      <w:kern w:val="0"/>
      <w:sz w:val="36"/>
      <w:szCs w:val="20"/>
    </w:rPr>
  </w:style>
  <w:style w:type="paragraph" w:customStyle="1" w:styleId="296">
    <w:name w:val="1"/>
    <w:basedOn w:val="1"/>
    <w:qFormat/>
    <w:uiPriority w:val="0"/>
    <w:pPr>
      <w:widowControl/>
      <w:spacing w:before="100" w:beforeAutospacing="1" w:after="100" w:afterAutospacing="1"/>
      <w:jc w:val="left"/>
    </w:pPr>
    <w:rPr>
      <w:rFonts w:ascii="ˎ̥" w:hAnsi="ˎ̥" w:cs="宋体"/>
      <w:kern w:val="0"/>
      <w:sz w:val="24"/>
    </w:rPr>
  </w:style>
  <w:style w:type="paragraph" w:customStyle="1" w:styleId="297">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298">
    <w:name w:val="样式 标题 3 + (中文) 黑体 小四 非加粗 段前: 7.8 磅 段后: 0 磅 行距: 固定值 20 磅"/>
    <w:basedOn w:val="5"/>
    <w:next w:val="1"/>
    <w:qFormat/>
    <w:uiPriority w:val="0"/>
    <w:pPr>
      <w:spacing w:before="0" w:after="0" w:line="400" w:lineRule="exact"/>
    </w:pPr>
    <w:rPr>
      <w:rFonts w:eastAsia="黑体" w:cs="宋体"/>
      <w:b w:val="0"/>
      <w:bCs w:val="0"/>
      <w:sz w:val="24"/>
      <w:szCs w:val="20"/>
    </w:rPr>
  </w:style>
  <w:style w:type="paragraph" w:customStyle="1" w:styleId="299">
    <w:name w:val="Char Char Char Char Char Char Char Char Char Char Char Char Char Char Char Char"/>
    <w:basedOn w:val="15"/>
    <w:qFormat/>
    <w:uiPriority w:val="0"/>
    <w:pPr>
      <w:spacing w:line="360" w:lineRule="auto"/>
      <w:ind w:firstLine="200" w:firstLineChars="200"/>
    </w:pPr>
    <w:rPr>
      <w:rFonts w:ascii="Tahoma" w:hAnsi="Tahoma"/>
      <w:sz w:val="24"/>
    </w:rPr>
  </w:style>
  <w:style w:type="paragraph" w:customStyle="1" w:styleId="300">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301">
    <w:name w:val="2"/>
    <w:next w:val="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302">
    <w:name w:val="p17"/>
    <w:basedOn w:val="1"/>
    <w:qFormat/>
    <w:uiPriority w:val="0"/>
    <w:pPr>
      <w:widowControl/>
      <w:spacing w:before="120" w:after="120"/>
      <w:jc w:val="left"/>
    </w:pPr>
    <w:rPr>
      <w:rFonts w:ascii="Calibri" w:hAnsi="Calibri" w:cs="宋体"/>
      <w:b/>
      <w:bCs/>
      <w:caps/>
      <w:kern w:val="0"/>
      <w:sz w:val="28"/>
      <w:szCs w:val="28"/>
    </w:rPr>
  </w:style>
  <w:style w:type="paragraph" w:customStyle="1" w:styleId="303">
    <w:name w:val="Char2"/>
    <w:basedOn w:val="1"/>
    <w:qFormat/>
    <w:uiPriority w:val="0"/>
    <w:rPr>
      <w:rFonts w:ascii="Calibri" w:hAnsi="Calibri"/>
    </w:rPr>
  </w:style>
  <w:style w:type="paragraph" w:customStyle="1" w:styleId="304">
    <w:name w:val="pa-34"/>
    <w:basedOn w:val="1"/>
    <w:qFormat/>
    <w:uiPriority w:val="0"/>
    <w:pPr>
      <w:widowControl/>
      <w:spacing w:line="360" w:lineRule="atLeast"/>
      <w:ind w:firstLine="420"/>
      <w:jc w:val="left"/>
    </w:pPr>
    <w:rPr>
      <w:rFonts w:ascii="宋体" w:hAnsi="宋体" w:cs="宋体"/>
      <w:kern w:val="0"/>
      <w:sz w:val="24"/>
    </w:rPr>
  </w:style>
  <w:style w:type="paragraph" w:customStyle="1" w:styleId="305">
    <w:name w:val="样式1"/>
    <w:basedOn w:val="1"/>
    <w:next w:val="6"/>
    <w:qFormat/>
    <w:uiPriority w:val="0"/>
    <w:pPr>
      <w:spacing w:line="360" w:lineRule="auto"/>
      <w:ind w:firstLine="420" w:firstLineChars="200"/>
    </w:pPr>
    <w:rPr>
      <w:rFonts w:ascii="宋体" w:hAnsi="宋体"/>
      <w:szCs w:val="21"/>
    </w:rPr>
  </w:style>
  <w:style w:type="paragraph" w:customStyle="1" w:styleId="306">
    <w:name w:val="列表段落1"/>
    <w:basedOn w:val="1"/>
    <w:qFormat/>
    <w:uiPriority w:val="34"/>
    <w:pPr>
      <w:ind w:firstLine="420" w:firstLineChars="200"/>
    </w:pPr>
    <w:rPr>
      <w:rFonts w:ascii="Calibri" w:hAnsi="Calibri"/>
    </w:rPr>
  </w:style>
  <w:style w:type="paragraph" w:customStyle="1" w:styleId="307">
    <w:name w:val="_Style 105"/>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08">
    <w:name w:val="正  文"/>
    <w:basedOn w:val="1"/>
    <w:qFormat/>
    <w:uiPriority w:val="0"/>
    <w:pPr>
      <w:spacing w:line="360" w:lineRule="auto"/>
      <w:ind w:firstLine="200" w:firstLineChars="200"/>
    </w:pPr>
    <w:rPr>
      <w:rFonts w:ascii="宋体" w:hAnsi="Calibri"/>
      <w:sz w:val="24"/>
    </w:rPr>
  </w:style>
  <w:style w:type="paragraph" w:customStyle="1" w:styleId="309">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310">
    <w:name w:val="rr"/>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311">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312">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313">
    <w:name w:val="修订4"/>
    <w:hidden/>
    <w:semiHidden/>
    <w:qFormat/>
    <w:uiPriority w:val="99"/>
    <w:rPr>
      <w:rFonts w:ascii="Times New Roman" w:hAnsi="Times New Roman" w:eastAsia="宋体" w:cs="Times New Roman"/>
      <w:kern w:val="2"/>
      <w:sz w:val="21"/>
      <w:szCs w:val="24"/>
      <w:lang w:val="en-US" w:eastAsia="zh-CN" w:bidi="ar-SA"/>
    </w:rPr>
  </w:style>
  <w:style w:type="character" w:customStyle="1" w:styleId="314">
    <w:name w:val="未处理的提及2"/>
    <w:basedOn w:val="47"/>
    <w:semiHidden/>
    <w:unhideWhenUsed/>
    <w:qFormat/>
    <w:uiPriority w:val="99"/>
    <w:rPr>
      <w:color w:val="605E5C"/>
      <w:shd w:val="clear" w:color="auto" w:fill="E1DFDD"/>
    </w:rPr>
  </w:style>
  <w:style w:type="paragraph" w:customStyle="1" w:styleId="315">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file:///C:\Users\ADMINI~1\AppData\Local\Temp\ksohtml5112\wps2.jpg" TargetMode="Externa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1477B4-F9CA-425C-8661-B9547C93D94C}">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275</Pages>
  <Words>4109</Words>
  <Characters>4594</Characters>
  <Lines>1486</Lines>
  <Paragraphs>418</Paragraphs>
  <TotalTime>12</TotalTime>
  <ScaleCrop>false</ScaleCrop>
  <LinksUpToDate>false</LinksUpToDate>
  <CharactersWithSpaces>5095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2020-12-31T02:09:00Z</dcterms:created>
  <dc:creator>USER</dc:creator>
  <cp:lastModifiedBy>温星星</cp:lastModifiedBy>
  <cp:lastPrinted>2020-12-22T06:51:00Z</cp:lastPrinted>
  <dcterms:modified xsi:type="dcterms:W3CDTF">2025-04-21T07:09:42Z</dcterms:modified>
  <dc:title>第一卷</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eyJoZGlkIjoiZDRlMTI0ZmZkNWVkNDk2ZTg4NWYwOTQyMjQxMmY4NGEiLCJ1c2VySWQiOiIxMzIzODcwMDMzIn0=</vt:lpwstr>
  </property>
  <property fmtid="{D5CDD505-2E9C-101B-9397-08002B2CF9AE}" pid="4" name="ICV">
    <vt:lpwstr>EC940E7CCA604B7292E5206F7C08E91B_12</vt:lpwstr>
  </property>
</Properties>
</file>