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B11808">
      <w:pPr>
        <w:pStyle w:val="19"/>
        <w:snapToGrid w:val="0"/>
        <w:spacing w:line="480" w:lineRule="auto"/>
        <w:ind w:left="31" w:leftChars="15" w:right="0" w:firstLine="0" w:firstLineChars="0"/>
        <w:jc w:val="center"/>
        <w:rPr>
          <w:rFonts w:hint="eastAsia" w:ascii="宋体" w:hAnsi="宋体" w:eastAsia="宋体"/>
          <w:b/>
          <w:color w:val="auto"/>
          <w:sz w:val="48"/>
          <w:szCs w:val="48"/>
          <w:highlight w:val="none"/>
        </w:rPr>
      </w:pPr>
    </w:p>
    <w:p w14:paraId="5661A453">
      <w:pPr>
        <w:pStyle w:val="19"/>
        <w:snapToGrid w:val="0"/>
        <w:spacing w:line="360" w:lineRule="auto"/>
        <w:ind w:left="0" w:right="0" w:firstLine="0" w:firstLineChars="0"/>
        <w:jc w:val="center"/>
        <w:rPr>
          <w:rFonts w:hint="eastAsia" w:ascii="宋体" w:hAnsi="宋体" w:eastAsia="宋体"/>
          <w:color w:val="auto"/>
          <w:sz w:val="48"/>
          <w:szCs w:val="48"/>
          <w:highlight w:val="none"/>
        </w:rPr>
      </w:pPr>
      <w:r>
        <w:rPr>
          <w:rFonts w:ascii="宋体" w:hAnsi="宋体" w:eastAsia="宋体"/>
          <w:color w:val="auto"/>
          <w:sz w:val="48"/>
          <w:szCs w:val="48"/>
          <w:highlight w:val="none"/>
        </w:rPr>
        <w:t>重庆市房屋建筑和市政基础设施工程</w:t>
      </w:r>
      <w:r>
        <w:rPr>
          <w:rFonts w:hint="eastAsia" w:ascii="宋体" w:hAnsi="宋体" w:eastAsia="宋体"/>
          <w:color w:val="auto"/>
          <w:sz w:val="48"/>
          <w:szCs w:val="48"/>
          <w:highlight w:val="none"/>
        </w:rPr>
        <w:t>施工</w:t>
      </w:r>
    </w:p>
    <w:p w14:paraId="621F2B50">
      <w:pPr>
        <w:pStyle w:val="19"/>
        <w:snapToGrid w:val="0"/>
        <w:spacing w:line="360" w:lineRule="auto"/>
        <w:ind w:left="0" w:right="0" w:firstLine="0" w:firstLineChars="0"/>
        <w:jc w:val="center"/>
        <w:rPr>
          <w:rFonts w:hint="eastAsia" w:ascii="宋体" w:hAnsi="宋体" w:eastAsia="宋体"/>
          <w:color w:val="auto"/>
          <w:sz w:val="48"/>
          <w:szCs w:val="48"/>
          <w:highlight w:val="none"/>
        </w:rPr>
      </w:pPr>
    </w:p>
    <w:p w14:paraId="20E48810">
      <w:pPr>
        <w:pStyle w:val="19"/>
        <w:snapToGrid w:val="0"/>
        <w:spacing w:line="360" w:lineRule="auto"/>
        <w:ind w:left="0" w:right="0" w:firstLine="0" w:firstLineChars="0"/>
        <w:jc w:val="center"/>
        <w:rPr>
          <w:rFonts w:hint="eastAsia" w:ascii="宋体" w:hAnsi="宋体" w:eastAsia="宋体"/>
          <w:b/>
          <w:color w:val="auto"/>
          <w:sz w:val="84"/>
          <w:szCs w:val="84"/>
          <w:highlight w:val="none"/>
        </w:rPr>
      </w:pPr>
      <w:r>
        <w:rPr>
          <w:rFonts w:ascii="宋体" w:hAnsi="宋体" w:eastAsia="宋体"/>
          <w:b/>
          <w:color w:val="auto"/>
          <w:sz w:val="84"/>
          <w:szCs w:val="84"/>
          <w:highlight w:val="none"/>
        </w:rPr>
        <w:t>标准招标文件</w:t>
      </w:r>
    </w:p>
    <w:p w14:paraId="30D05181">
      <w:pPr>
        <w:pStyle w:val="19"/>
        <w:snapToGrid w:val="0"/>
        <w:spacing w:line="360" w:lineRule="auto"/>
        <w:ind w:left="0" w:right="0" w:firstLine="0" w:firstLineChars="0"/>
        <w:jc w:val="center"/>
        <w:rPr>
          <w:rFonts w:ascii="宋体" w:hAnsi="宋体" w:eastAsia="宋体"/>
          <w:color w:val="auto"/>
          <w:kern w:val="0"/>
          <w:sz w:val="52"/>
          <w:szCs w:val="52"/>
          <w:highlight w:val="none"/>
        </w:rPr>
      </w:pPr>
      <w:r>
        <w:rPr>
          <w:rFonts w:hint="eastAsia" w:ascii="宋体" w:hAnsi="宋体" w:eastAsia="宋体"/>
          <w:color w:val="auto"/>
          <w:sz w:val="52"/>
          <w:szCs w:val="52"/>
          <w:highlight w:val="none"/>
        </w:rPr>
        <w:t>（全流程电子招标2020年版）</w:t>
      </w:r>
    </w:p>
    <w:p w14:paraId="49522AC5">
      <w:pPr>
        <w:autoSpaceDE w:val="0"/>
        <w:autoSpaceDN w:val="0"/>
        <w:adjustRightInd w:val="0"/>
        <w:snapToGrid w:val="0"/>
        <w:spacing w:line="360" w:lineRule="auto"/>
        <w:jc w:val="center"/>
        <w:rPr>
          <w:rFonts w:hint="eastAsia" w:ascii="宋体" w:hAnsi="宋体"/>
          <w:color w:val="auto"/>
          <w:kern w:val="0"/>
          <w:position w:val="-5"/>
          <w:sz w:val="44"/>
          <w:szCs w:val="44"/>
          <w:highlight w:val="none"/>
        </w:rPr>
      </w:pPr>
    </w:p>
    <w:p w14:paraId="2796BFC2">
      <w:pPr>
        <w:autoSpaceDE w:val="0"/>
        <w:autoSpaceDN w:val="0"/>
        <w:adjustRightInd w:val="0"/>
        <w:snapToGrid w:val="0"/>
        <w:spacing w:line="360" w:lineRule="auto"/>
        <w:jc w:val="center"/>
        <w:rPr>
          <w:rFonts w:hint="eastAsia" w:ascii="宋体" w:hAnsi="宋体"/>
          <w:color w:val="auto"/>
          <w:kern w:val="0"/>
          <w:position w:val="-5"/>
          <w:sz w:val="44"/>
          <w:szCs w:val="44"/>
          <w:highlight w:val="none"/>
        </w:rPr>
      </w:pPr>
    </w:p>
    <w:p w14:paraId="6BBCC6FA">
      <w:pPr>
        <w:autoSpaceDE w:val="0"/>
        <w:autoSpaceDN w:val="0"/>
        <w:adjustRightInd w:val="0"/>
        <w:snapToGrid w:val="0"/>
        <w:spacing w:line="360" w:lineRule="auto"/>
        <w:jc w:val="center"/>
        <w:rPr>
          <w:rFonts w:ascii="宋体" w:hAnsi="宋体"/>
          <w:color w:val="auto"/>
          <w:kern w:val="0"/>
          <w:position w:val="-5"/>
          <w:sz w:val="44"/>
          <w:szCs w:val="44"/>
          <w:highlight w:val="none"/>
        </w:rPr>
      </w:pPr>
    </w:p>
    <w:p w14:paraId="32FC05D9">
      <w:pPr>
        <w:autoSpaceDE w:val="0"/>
        <w:autoSpaceDN w:val="0"/>
        <w:adjustRightInd w:val="0"/>
        <w:snapToGrid w:val="0"/>
        <w:spacing w:line="360" w:lineRule="auto"/>
        <w:jc w:val="center"/>
        <w:rPr>
          <w:rFonts w:ascii="宋体" w:hAnsi="宋体"/>
          <w:b/>
          <w:color w:val="auto"/>
          <w:kern w:val="0"/>
          <w:position w:val="-5"/>
          <w:sz w:val="44"/>
          <w:szCs w:val="44"/>
          <w:highlight w:val="none"/>
        </w:rPr>
      </w:pPr>
    </w:p>
    <w:p w14:paraId="0C62915B">
      <w:pPr>
        <w:autoSpaceDE w:val="0"/>
        <w:autoSpaceDN w:val="0"/>
        <w:adjustRightInd w:val="0"/>
        <w:snapToGrid w:val="0"/>
        <w:spacing w:line="360" w:lineRule="auto"/>
        <w:jc w:val="center"/>
        <w:rPr>
          <w:rFonts w:ascii="宋体" w:hAnsi="宋体"/>
          <w:b/>
          <w:color w:val="auto"/>
          <w:kern w:val="0"/>
          <w:position w:val="-5"/>
          <w:sz w:val="44"/>
          <w:szCs w:val="44"/>
          <w:highlight w:val="none"/>
        </w:rPr>
      </w:pPr>
    </w:p>
    <w:p w14:paraId="1124A08C">
      <w:pPr>
        <w:autoSpaceDE w:val="0"/>
        <w:autoSpaceDN w:val="0"/>
        <w:adjustRightInd w:val="0"/>
        <w:snapToGrid w:val="0"/>
        <w:spacing w:line="360" w:lineRule="auto"/>
        <w:jc w:val="center"/>
        <w:rPr>
          <w:rFonts w:ascii="宋体" w:hAnsi="宋体"/>
          <w:b/>
          <w:color w:val="auto"/>
          <w:kern w:val="0"/>
          <w:position w:val="-5"/>
          <w:sz w:val="32"/>
          <w:szCs w:val="48"/>
          <w:highlight w:val="none"/>
        </w:rPr>
      </w:pPr>
    </w:p>
    <w:p w14:paraId="01429A66">
      <w:pPr>
        <w:autoSpaceDE w:val="0"/>
        <w:autoSpaceDN w:val="0"/>
        <w:adjustRightInd w:val="0"/>
        <w:snapToGrid w:val="0"/>
        <w:spacing w:line="360" w:lineRule="auto"/>
        <w:jc w:val="center"/>
        <w:rPr>
          <w:rFonts w:ascii="宋体" w:hAnsi="宋体"/>
          <w:b/>
          <w:color w:val="auto"/>
          <w:kern w:val="0"/>
          <w:position w:val="-5"/>
          <w:sz w:val="32"/>
          <w:szCs w:val="48"/>
          <w:highlight w:val="none"/>
        </w:rPr>
      </w:pPr>
    </w:p>
    <w:p w14:paraId="5620DC2B">
      <w:pPr>
        <w:autoSpaceDE w:val="0"/>
        <w:autoSpaceDN w:val="0"/>
        <w:adjustRightInd w:val="0"/>
        <w:snapToGrid w:val="0"/>
        <w:spacing w:line="360" w:lineRule="auto"/>
        <w:jc w:val="center"/>
        <w:rPr>
          <w:rFonts w:ascii="宋体" w:hAnsi="宋体"/>
          <w:color w:val="auto"/>
          <w:kern w:val="0"/>
          <w:position w:val="-5"/>
          <w:sz w:val="32"/>
          <w:szCs w:val="48"/>
          <w:highlight w:val="none"/>
        </w:rPr>
      </w:pPr>
    </w:p>
    <w:p w14:paraId="7F844F6E">
      <w:pPr>
        <w:adjustRightInd w:val="0"/>
        <w:snapToGrid w:val="0"/>
        <w:spacing w:line="360" w:lineRule="auto"/>
        <w:jc w:val="center"/>
        <w:rPr>
          <w:rFonts w:hint="eastAsia" w:ascii="宋体" w:hAnsi="宋体"/>
          <w:color w:val="auto"/>
          <w:sz w:val="36"/>
          <w:szCs w:val="36"/>
          <w:highlight w:val="none"/>
        </w:rPr>
      </w:pPr>
    </w:p>
    <w:p w14:paraId="617CA02E">
      <w:pPr>
        <w:adjustRightInd w:val="0"/>
        <w:snapToGrid w:val="0"/>
        <w:spacing w:line="360" w:lineRule="auto"/>
        <w:jc w:val="center"/>
        <w:rPr>
          <w:rFonts w:ascii="宋体" w:hAnsi="宋体"/>
          <w:color w:val="auto"/>
          <w:sz w:val="36"/>
          <w:szCs w:val="36"/>
          <w:highlight w:val="none"/>
        </w:rPr>
      </w:pPr>
      <w:r>
        <w:rPr>
          <w:rFonts w:ascii="宋体" w:hAnsi="宋体"/>
          <w:color w:val="auto"/>
          <w:sz w:val="36"/>
          <w:szCs w:val="36"/>
          <w:highlight w:val="none"/>
        </w:rPr>
        <w:t>重庆市</w:t>
      </w:r>
      <w:r>
        <w:rPr>
          <w:rFonts w:hint="eastAsia" w:ascii="宋体" w:hAnsi="宋体"/>
          <w:color w:val="auto"/>
          <w:sz w:val="36"/>
          <w:szCs w:val="36"/>
          <w:highlight w:val="none"/>
        </w:rPr>
        <w:t>公共资源交易监管局 制</w:t>
      </w:r>
    </w:p>
    <w:p w14:paraId="41F86CAB">
      <w:pPr>
        <w:spacing w:line="360" w:lineRule="auto"/>
        <w:jc w:val="center"/>
        <w:rPr>
          <w:rFonts w:ascii="宋体" w:hAnsi="宋体"/>
          <w:color w:val="auto"/>
          <w:kern w:val="0"/>
          <w:position w:val="-5"/>
          <w:sz w:val="36"/>
          <w:szCs w:val="36"/>
          <w:highlight w:val="none"/>
        </w:rPr>
        <w:sectPr>
          <w:footerReference r:id="rId6" w:type="first"/>
          <w:headerReference r:id="rId4" w:type="default"/>
          <w:footerReference r:id="rId5" w:type="even"/>
          <w:pgSz w:w="11907" w:h="16840"/>
          <w:pgMar w:top="1304" w:right="1134" w:bottom="1304" w:left="1304" w:header="851" w:footer="992" w:gutter="0"/>
          <w:pgNumType w:fmt="numberInDash" w:start="1"/>
          <w:cols w:space="720" w:num="1"/>
          <w:docGrid w:linePitch="312" w:charSpace="0"/>
        </w:sectPr>
      </w:pPr>
      <w:r>
        <w:rPr>
          <w:rFonts w:ascii="宋体" w:hAnsi="宋体"/>
          <w:color w:val="auto"/>
          <w:kern w:val="0"/>
          <w:position w:val="-5"/>
          <w:sz w:val="36"/>
          <w:szCs w:val="36"/>
          <w:highlight w:val="none"/>
        </w:rPr>
        <w:t>20</w:t>
      </w:r>
      <w:r>
        <w:rPr>
          <w:rFonts w:hint="eastAsia" w:ascii="宋体" w:hAnsi="宋体"/>
          <w:color w:val="auto"/>
          <w:kern w:val="0"/>
          <w:position w:val="-5"/>
          <w:sz w:val="36"/>
          <w:szCs w:val="36"/>
          <w:highlight w:val="none"/>
        </w:rPr>
        <w:t>20</w:t>
      </w:r>
      <w:r>
        <w:rPr>
          <w:rFonts w:ascii="宋体" w:hAnsi="宋体"/>
          <w:color w:val="auto"/>
          <w:kern w:val="0"/>
          <w:position w:val="-5"/>
          <w:sz w:val="36"/>
          <w:szCs w:val="36"/>
          <w:highlight w:val="none"/>
        </w:rPr>
        <w:t>年</w:t>
      </w:r>
      <w:r>
        <w:rPr>
          <w:rFonts w:hint="eastAsia" w:ascii="宋体" w:hAnsi="宋体"/>
          <w:color w:val="auto"/>
          <w:kern w:val="0"/>
          <w:position w:val="-5"/>
          <w:sz w:val="36"/>
          <w:szCs w:val="36"/>
          <w:highlight w:val="none"/>
        </w:rPr>
        <w:t>12月</w:t>
      </w:r>
    </w:p>
    <w:p w14:paraId="1CF5A9FE">
      <w:pPr>
        <w:autoSpaceDE w:val="0"/>
        <w:autoSpaceDN w:val="0"/>
        <w:adjustRightInd w:val="0"/>
        <w:snapToGrid w:val="0"/>
        <w:spacing w:line="590" w:lineRule="exact"/>
        <w:jc w:val="center"/>
        <w:rPr>
          <w:rFonts w:ascii="宋体" w:hAnsi="宋体"/>
          <w:color w:val="auto"/>
          <w:kern w:val="0"/>
          <w:sz w:val="44"/>
          <w:szCs w:val="44"/>
          <w:highlight w:val="none"/>
        </w:rPr>
      </w:pPr>
      <w:bookmarkStart w:id="0" w:name="_Toc287620665"/>
      <w:r>
        <w:rPr>
          <w:rFonts w:ascii="宋体" w:hAnsi="宋体"/>
          <w:color w:val="auto"/>
          <w:kern w:val="0"/>
          <w:sz w:val="44"/>
          <w:szCs w:val="44"/>
          <w:highlight w:val="none"/>
        </w:rPr>
        <w:t>使 用 说 明</w:t>
      </w:r>
    </w:p>
    <w:p w14:paraId="4D67466E">
      <w:pPr>
        <w:spacing w:line="590" w:lineRule="exact"/>
        <w:jc w:val="center"/>
        <w:rPr>
          <w:rFonts w:ascii="宋体" w:hAnsi="宋体"/>
          <w:color w:val="auto"/>
          <w:kern w:val="0"/>
          <w:sz w:val="44"/>
          <w:szCs w:val="44"/>
          <w:highlight w:val="none"/>
        </w:rPr>
      </w:pPr>
    </w:p>
    <w:p w14:paraId="16E05906">
      <w:pPr>
        <w:spacing w:line="360" w:lineRule="auto"/>
        <w:ind w:firstLine="420" w:firstLineChars="200"/>
        <w:rPr>
          <w:rFonts w:hint="eastAsia" w:ascii="宋体" w:hAnsi="宋体"/>
          <w:color w:val="auto"/>
          <w:kern w:val="0"/>
          <w:szCs w:val="21"/>
          <w:highlight w:val="none"/>
          <w:lang w:val="zh-CN"/>
        </w:rPr>
      </w:pPr>
      <w:r>
        <w:rPr>
          <w:rFonts w:hint="eastAsia" w:ascii="宋体" w:hAnsi="宋体"/>
          <w:color w:val="auto"/>
          <w:kern w:val="0"/>
          <w:szCs w:val="21"/>
          <w:highlight w:val="none"/>
          <w:lang w:val="zh-CN"/>
        </w:rPr>
        <w:t>一、《重庆市房屋建筑和市政基础设施工程施工标准招标文件》是以《中华人民共和国标准施工招标文件》（2007年版）为框架，贯彻《中华人民共和国招标投标法》和《重庆市人民政府办公厅印发关于深化公共资源交易监督管理改革的意见（试行）的通知》（渝府办发〔2019〕114号）等文件精神编制。</w:t>
      </w:r>
    </w:p>
    <w:p w14:paraId="16BBA260">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lang w:val="zh-CN"/>
        </w:rPr>
        <w:t>二</w:t>
      </w:r>
      <w:r>
        <w:rPr>
          <w:rFonts w:ascii="宋体" w:hAnsi="宋体"/>
          <w:color w:val="auto"/>
          <w:kern w:val="0"/>
          <w:szCs w:val="21"/>
          <w:highlight w:val="none"/>
          <w:lang w:val="zh-CN"/>
        </w:rPr>
        <w:t>、《重庆市房屋建筑和市政基础设施工程施工标准招标文件》适用于重庆市行政区域内</w:t>
      </w:r>
      <w:r>
        <w:rPr>
          <w:rFonts w:hint="eastAsia" w:ascii="宋体" w:hAnsi="宋体"/>
          <w:color w:val="auto"/>
          <w:kern w:val="0"/>
          <w:szCs w:val="21"/>
          <w:highlight w:val="none"/>
          <w:lang w:val="zh-CN"/>
        </w:rPr>
        <w:t>依法</w:t>
      </w:r>
      <w:r>
        <w:rPr>
          <w:rFonts w:ascii="宋体" w:hAnsi="宋体"/>
          <w:color w:val="auto"/>
          <w:kern w:val="0"/>
          <w:szCs w:val="21"/>
          <w:highlight w:val="none"/>
          <w:lang w:val="zh-CN"/>
        </w:rPr>
        <w:t>必须招标的房屋建筑工程和市政基础设施工程，且设计和施工不是由同一承包人承担的工程施工招标。</w:t>
      </w:r>
    </w:p>
    <w:p w14:paraId="0C4DB3AB">
      <w:pPr>
        <w:spacing w:line="360" w:lineRule="auto"/>
        <w:ind w:firstLine="420" w:firstLineChars="200"/>
        <w:rPr>
          <w:rFonts w:hint="eastAsia" w:ascii="宋体" w:hAnsi="宋体"/>
          <w:color w:val="auto"/>
          <w:kern w:val="0"/>
          <w:szCs w:val="21"/>
          <w:highlight w:val="none"/>
          <w:lang w:val="zh-CN"/>
        </w:rPr>
      </w:pPr>
      <w:r>
        <w:rPr>
          <w:rFonts w:hint="eastAsia" w:ascii="宋体" w:hAnsi="宋体"/>
          <w:color w:val="auto"/>
          <w:kern w:val="0"/>
          <w:szCs w:val="21"/>
          <w:highlight w:val="none"/>
          <w:lang w:val="zh-CN"/>
        </w:rPr>
        <w:t>三</w:t>
      </w:r>
      <w:r>
        <w:rPr>
          <w:rFonts w:ascii="宋体" w:hAnsi="宋体"/>
          <w:color w:val="auto"/>
          <w:kern w:val="0"/>
          <w:szCs w:val="21"/>
          <w:highlight w:val="none"/>
          <w:lang w:val="zh-CN"/>
        </w:rPr>
        <w:t>、招标人按照《</w:t>
      </w:r>
      <w:r>
        <w:rPr>
          <w:rFonts w:hint="eastAsia" w:ascii="宋体" w:hAnsi="宋体"/>
          <w:color w:val="auto"/>
          <w:kern w:val="0"/>
          <w:szCs w:val="21"/>
          <w:highlight w:val="none"/>
          <w:lang w:val="zh-CN"/>
        </w:rPr>
        <w:t>重庆市房屋建筑和市政基础设施工程施工标准招标文件</w:t>
      </w:r>
      <w:r>
        <w:rPr>
          <w:rFonts w:ascii="宋体" w:hAnsi="宋体"/>
          <w:color w:val="auto"/>
          <w:kern w:val="0"/>
          <w:szCs w:val="21"/>
          <w:highlight w:val="none"/>
          <w:lang w:val="zh-CN"/>
        </w:rPr>
        <w:t>》第一章的格式发布招标公告或发出投标邀请书后，将实际发布的招标公告或实际发出的投标邀请书编入招标文件中，作为投标邀请。其中，招标公告应同时注明发布所在</w:t>
      </w:r>
      <w:r>
        <w:rPr>
          <w:rFonts w:hint="eastAsia" w:ascii="宋体" w:hAnsi="宋体"/>
          <w:color w:val="auto"/>
          <w:kern w:val="0"/>
          <w:szCs w:val="21"/>
          <w:highlight w:val="none"/>
          <w:lang w:val="zh-CN"/>
        </w:rPr>
        <w:t>地</w:t>
      </w:r>
      <w:r>
        <w:rPr>
          <w:rFonts w:ascii="宋体" w:hAnsi="宋体"/>
          <w:color w:val="auto"/>
          <w:kern w:val="0"/>
          <w:szCs w:val="21"/>
          <w:highlight w:val="none"/>
          <w:lang w:val="zh-CN"/>
        </w:rPr>
        <w:t>所有</w:t>
      </w:r>
      <w:r>
        <w:rPr>
          <w:rFonts w:hint="eastAsia" w:ascii="宋体" w:hAnsi="宋体"/>
          <w:color w:val="auto"/>
          <w:kern w:val="0"/>
          <w:szCs w:val="21"/>
          <w:highlight w:val="none"/>
          <w:lang w:val="zh-CN"/>
        </w:rPr>
        <w:t>指定</w:t>
      </w:r>
      <w:r>
        <w:rPr>
          <w:rFonts w:ascii="宋体" w:hAnsi="宋体"/>
          <w:color w:val="auto"/>
          <w:kern w:val="0"/>
          <w:szCs w:val="21"/>
          <w:highlight w:val="none"/>
          <w:lang w:val="zh-CN"/>
        </w:rPr>
        <w:t>媒介名称。</w:t>
      </w:r>
    </w:p>
    <w:p w14:paraId="7779FDF5">
      <w:pPr>
        <w:spacing w:line="360" w:lineRule="auto"/>
        <w:ind w:firstLine="420" w:firstLineChars="200"/>
        <w:rPr>
          <w:rFonts w:hint="eastAsia" w:ascii="宋体" w:hAnsi="宋体"/>
          <w:color w:val="auto"/>
          <w:kern w:val="0"/>
          <w:szCs w:val="21"/>
          <w:highlight w:val="none"/>
          <w:lang w:val="zh-CN"/>
        </w:rPr>
      </w:pPr>
      <w:r>
        <w:rPr>
          <w:rFonts w:hint="eastAsia" w:ascii="宋体" w:hAnsi="宋体"/>
          <w:color w:val="auto"/>
          <w:kern w:val="0"/>
          <w:szCs w:val="21"/>
          <w:highlight w:val="none"/>
        </w:rPr>
        <w:t>四</w:t>
      </w:r>
      <w:r>
        <w:rPr>
          <w:rFonts w:ascii="宋体" w:hAnsi="宋体"/>
          <w:color w:val="auto"/>
          <w:kern w:val="0"/>
          <w:szCs w:val="21"/>
          <w:highlight w:val="none"/>
          <w:lang w:val="zh-CN"/>
        </w:rPr>
        <w:t>、《</w:t>
      </w:r>
      <w:r>
        <w:rPr>
          <w:rFonts w:hint="eastAsia" w:ascii="宋体" w:hAnsi="宋体"/>
          <w:color w:val="auto"/>
          <w:kern w:val="0"/>
          <w:szCs w:val="21"/>
          <w:highlight w:val="none"/>
          <w:lang w:val="zh-CN"/>
        </w:rPr>
        <w:t>重庆市房屋建筑和市政基础设施工程施工标准招标文件</w:t>
      </w:r>
      <w:r>
        <w:rPr>
          <w:rFonts w:ascii="宋体" w:hAnsi="宋体"/>
          <w:color w:val="auto"/>
          <w:kern w:val="0"/>
          <w:szCs w:val="21"/>
          <w:highlight w:val="none"/>
          <w:lang w:val="zh-CN"/>
        </w:rPr>
        <w:t>》第三章“评标办法”分别规定</w:t>
      </w:r>
      <w:r>
        <w:rPr>
          <w:rFonts w:hint="eastAsia" w:ascii="宋体" w:hAnsi="宋体"/>
          <w:color w:val="auto"/>
          <w:kern w:val="0"/>
          <w:szCs w:val="21"/>
          <w:highlight w:val="none"/>
          <w:lang w:val="zh-CN"/>
        </w:rPr>
        <w:t>了经评审的最低投标价法和</w:t>
      </w:r>
      <w:r>
        <w:rPr>
          <w:rFonts w:ascii="宋体" w:hAnsi="宋体"/>
          <w:color w:val="auto"/>
          <w:kern w:val="0"/>
          <w:szCs w:val="21"/>
          <w:highlight w:val="none"/>
          <w:lang w:val="zh-CN"/>
        </w:rPr>
        <w:t>综合评估法两种评标方法供招标人根据招标项目具体特点和实际需要选择。</w:t>
      </w:r>
      <w:r>
        <w:rPr>
          <w:rFonts w:hint="eastAsia" w:ascii="宋体" w:hAnsi="宋体"/>
          <w:color w:val="auto"/>
          <w:kern w:val="0"/>
          <w:szCs w:val="21"/>
          <w:highlight w:val="none"/>
          <w:lang w:val="zh-CN"/>
        </w:rPr>
        <w:t>依法必须招标的施工类项目，应当采用经评审的最低投标价法。其中，技术特别复杂或者招标人对其技术、性能有特殊要求，需要采用综合评估法的，招标人应当取得行业主管部门认定后报同级招标投标行政监管部门同意。</w:t>
      </w:r>
    </w:p>
    <w:p w14:paraId="04D358E3">
      <w:pPr>
        <w:spacing w:line="360" w:lineRule="auto"/>
        <w:ind w:firstLine="420" w:firstLineChars="200"/>
        <w:rPr>
          <w:rFonts w:hint="eastAsia" w:ascii="宋体" w:hAnsi="宋体"/>
          <w:color w:val="auto"/>
          <w:kern w:val="0"/>
          <w:szCs w:val="21"/>
          <w:highlight w:val="none"/>
          <w:lang w:val="zh-CN"/>
        </w:rPr>
      </w:pPr>
      <w:r>
        <w:rPr>
          <w:rFonts w:hint="eastAsia" w:ascii="宋体" w:hAnsi="宋体"/>
          <w:color w:val="auto"/>
          <w:kern w:val="0"/>
          <w:szCs w:val="21"/>
          <w:highlight w:val="none"/>
        </w:rPr>
        <w:t>五</w:t>
      </w:r>
      <w:r>
        <w:rPr>
          <w:rFonts w:hint="eastAsia" w:ascii="宋体" w:hAnsi="宋体"/>
          <w:color w:val="auto"/>
          <w:kern w:val="0"/>
          <w:szCs w:val="21"/>
          <w:highlight w:val="none"/>
          <w:lang w:val="zh-CN"/>
        </w:rPr>
        <w:t>、《重庆市房屋建筑和市政基础设施工程施工标准招标文件》第四章“合同条款及格式”</w:t>
      </w:r>
      <w:r>
        <w:rPr>
          <w:rFonts w:hint="eastAsia"/>
          <w:color w:val="auto"/>
          <w:highlight w:val="none"/>
        </w:rPr>
        <w:t xml:space="preserve"> </w:t>
      </w:r>
      <w:r>
        <w:rPr>
          <w:rFonts w:hint="eastAsia" w:ascii="宋体" w:hAnsi="宋体"/>
          <w:color w:val="auto"/>
          <w:kern w:val="0"/>
          <w:szCs w:val="21"/>
          <w:highlight w:val="none"/>
          <w:lang w:val="zh-CN"/>
        </w:rPr>
        <w:t>参照《建设工程施工合同（示范文本）》（GF-2017-0201）制定，内容由合同协议书、通用合同条款和专用合同条款三部分组成。合同协议书共计13条，主要包括：工程概况、合同工期、质量标准、签约合同价和合同价格形式、项目经理及技术负责人、合同文件构成、承诺以及合同生效条件等重要内容，集中约定合同当事人的基本合同权利义务。通用合同条款共计20条，主要包括：一般约定、发包人、承包人、监理人、工程质量、安全文明施工与环境保护、工期和进度、材料与设备、试验与检验、变更、价格调整、合同价格、计量与支付、验收和工程试车、竣工结算、缺陷责任与保修、违约、不可抗力、保险、索赔和争议解决。专用合同条款共计20条，参考《FIDIC施工合同条件》的相关原则，以合同为中心的履约管理机制，重点对变更原则、价格调整机制、合同实施中合同当事人的权利、义务等作了原则性规定。</w:t>
      </w:r>
    </w:p>
    <w:p w14:paraId="299526AE">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lang w:val="zh-CN"/>
        </w:rPr>
        <w:t>六</w:t>
      </w:r>
      <w:r>
        <w:rPr>
          <w:rFonts w:ascii="宋体" w:hAnsi="宋体"/>
          <w:color w:val="auto"/>
          <w:kern w:val="0"/>
          <w:szCs w:val="21"/>
          <w:highlight w:val="none"/>
          <w:lang w:val="zh-CN"/>
        </w:rPr>
        <w:t>、《</w:t>
      </w:r>
      <w:r>
        <w:rPr>
          <w:rFonts w:hint="eastAsia" w:ascii="宋体" w:hAnsi="宋体"/>
          <w:color w:val="auto"/>
          <w:kern w:val="0"/>
          <w:szCs w:val="21"/>
          <w:highlight w:val="none"/>
          <w:lang w:val="zh-CN"/>
        </w:rPr>
        <w:t>重庆市房屋建筑和市政基础设施工程施工标准招标文件</w:t>
      </w:r>
      <w:r>
        <w:rPr>
          <w:rFonts w:ascii="宋体" w:hAnsi="宋体"/>
          <w:color w:val="auto"/>
          <w:kern w:val="0"/>
          <w:szCs w:val="21"/>
          <w:highlight w:val="none"/>
          <w:lang w:val="zh-CN"/>
        </w:rPr>
        <w:t>》第五章“工程量清单”由招标人根据《建设工程工程量清单计价规范》（GB50500</w:t>
      </w:r>
      <w:r>
        <w:rPr>
          <w:rFonts w:hint="eastAsia" w:ascii="宋体" w:hAnsi="宋体"/>
          <w:color w:val="auto"/>
          <w:kern w:val="0"/>
          <w:szCs w:val="21"/>
          <w:highlight w:val="none"/>
          <w:lang w:val="zh-CN"/>
        </w:rPr>
        <w:t>-</w:t>
      </w:r>
      <w:r>
        <w:rPr>
          <w:rFonts w:ascii="宋体" w:hAnsi="宋体"/>
          <w:color w:val="auto"/>
          <w:kern w:val="0"/>
          <w:szCs w:val="21"/>
          <w:highlight w:val="none"/>
          <w:lang w:val="zh-CN"/>
        </w:rPr>
        <w:t>2013）规定的工程量清单项目及计算规则、《</w:t>
      </w:r>
      <w:r>
        <w:rPr>
          <w:rFonts w:hint="eastAsia" w:ascii="宋体" w:hAnsi="宋体"/>
          <w:color w:val="auto"/>
          <w:kern w:val="0"/>
          <w:szCs w:val="21"/>
          <w:highlight w:val="none"/>
          <w:lang w:val="zh-CN"/>
        </w:rPr>
        <w:t>重庆市建设工程费用定额</w:t>
      </w:r>
      <w:r>
        <w:rPr>
          <w:rFonts w:ascii="宋体" w:hAnsi="宋体"/>
          <w:color w:val="auto"/>
          <w:kern w:val="0"/>
          <w:szCs w:val="21"/>
          <w:highlight w:val="none"/>
          <w:lang w:val="zh-CN"/>
        </w:rPr>
        <w:t>》</w:t>
      </w:r>
      <w:r>
        <w:rPr>
          <w:rFonts w:hint="eastAsia" w:ascii="宋体" w:hAnsi="宋体"/>
          <w:color w:val="auto"/>
          <w:kern w:val="0"/>
          <w:szCs w:val="21"/>
          <w:highlight w:val="none"/>
          <w:lang w:val="zh-CN"/>
        </w:rPr>
        <w:t>（CQFYDE-2018）</w:t>
      </w:r>
      <w:r>
        <w:rPr>
          <w:rFonts w:ascii="宋体" w:hAnsi="宋体"/>
          <w:color w:val="auto"/>
          <w:kern w:val="0"/>
          <w:szCs w:val="21"/>
          <w:highlight w:val="none"/>
          <w:lang w:val="zh-CN"/>
        </w:rPr>
        <w:t>规定的格式、</w:t>
      </w:r>
      <w:r>
        <w:rPr>
          <w:rFonts w:hint="eastAsia" w:ascii="宋体" w:hAnsi="宋体"/>
          <w:color w:val="auto"/>
          <w:kern w:val="0"/>
          <w:szCs w:val="21"/>
          <w:highlight w:val="none"/>
          <w:lang w:val="zh-CN"/>
        </w:rPr>
        <w:t>《重庆市建设工程造价软件数据交换标准》（DBJ/T50-091-2009修正版3.2.2）规定的计价软件与</w:t>
      </w:r>
      <w:r>
        <w:rPr>
          <w:rFonts w:hint="eastAsia" w:ascii="宋体" w:hAnsi="宋体"/>
          <w:color w:val="auto"/>
          <w:kern w:val="0"/>
          <w:szCs w:val="21"/>
          <w:highlight w:val="none"/>
          <w:u w:val="none"/>
          <w:lang w:val="zh-CN"/>
        </w:rPr>
        <w:t>重庆市电子招投标系统</w:t>
      </w:r>
      <w:r>
        <w:rPr>
          <w:rFonts w:hint="eastAsia" w:ascii="宋体" w:hAnsi="宋体"/>
          <w:color w:val="auto"/>
          <w:kern w:val="0"/>
          <w:szCs w:val="21"/>
          <w:highlight w:val="none"/>
          <w:lang w:val="zh-CN"/>
        </w:rPr>
        <w:t>平台实现数据交换和对接的要求、</w:t>
      </w:r>
      <w:r>
        <w:rPr>
          <w:rFonts w:ascii="宋体" w:hAnsi="宋体"/>
          <w:color w:val="auto"/>
          <w:kern w:val="0"/>
          <w:szCs w:val="21"/>
          <w:highlight w:val="none"/>
          <w:lang w:val="zh-CN"/>
        </w:rPr>
        <w:t>本招标文件相关的具体规定，以及招标项目具体特点和实际需要编制，并与“投标人须知”、“通用合同条款”、“专用合同条款”、“技术标准和要求”、“图纸”相</w:t>
      </w:r>
      <w:r>
        <w:rPr>
          <w:rFonts w:hint="eastAsia" w:ascii="宋体" w:hAnsi="宋体"/>
          <w:color w:val="auto"/>
          <w:kern w:val="0"/>
          <w:szCs w:val="21"/>
          <w:highlight w:val="none"/>
          <w:lang w:val="zh-CN"/>
        </w:rPr>
        <w:t>衔接</w:t>
      </w:r>
      <w:r>
        <w:rPr>
          <w:rFonts w:ascii="宋体" w:hAnsi="宋体"/>
          <w:color w:val="auto"/>
          <w:kern w:val="0"/>
          <w:szCs w:val="21"/>
          <w:highlight w:val="none"/>
          <w:lang w:val="zh-CN"/>
        </w:rPr>
        <w:t>。</w:t>
      </w:r>
    </w:p>
    <w:p w14:paraId="132709BB">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rPr>
        <w:t>七</w:t>
      </w:r>
      <w:r>
        <w:rPr>
          <w:rFonts w:ascii="宋体" w:hAnsi="宋体"/>
          <w:color w:val="auto"/>
          <w:kern w:val="0"/>
          <w:szCs w:val="21"/>
          <w:highlight w:val="none"/>
          <w:lang w:val="zh-CN"/>
        </w:rPr>
        <w:t>、《</w:t>
      </w:r>
      <w:r>
        <w:rPr>
          <w:rFonts w:hint="eastAsia" w:ascii="宋体" w:hAnsi="宋体"/>
          <w:color w:val="auto"/>
          <w:kern w:val="0"/>
          <w:szCs w:val="21"/>
          <w:highlight w:val="none"/>
          <w:lang w:val="zh-CN"/>
        </w:rPr>
        <w:t>重庆市房屋建筑和市政基础设施工程施工标准招标文件</w:t>
      </w:r>
      <w:r>
        <w:rPr>
          <w:rFonts w:ascii="宋体" w:hAnsi="宋体"/>
          <w:color w:val="auto"/>
          <w:kern w:val="0"/>
          <w:szCs w:val="21"/>
          <w:highlight w:val="none"/>
          <w:lang w:val="zh-CN"/>
        </w:rPr>
        <w:t>》第六章“图纸”由招标人根据招标项目具体特点和实际需要编制，并与“投标人须知”、“通用合同条款”、“专用合同条款”、“技术标准和要求”相</w:t>
      </w:r>
      <w:r>
        <w:rPr>
          <w:rFonts w:hint="eastAsia" w:ascii="宋体" w:hAnsi="宋体"/>
          <w:color w:val="auto"/>
          <w:kern w:val="0"/>
          <w:szCs w:val="21"/>
          <w:highlight w:val="none"/>
          <w:lang w:val="zh-CN"/>
        </w:rPr>
        <w:t>衔接</w:t>
      </w:r>
      <w:r>
        <w:rPr>
          <w:rFonts w:ascii="宋体" w:hAnsi="宋体"/>
          <w:color w:val="auto"/>
          <w:kern w:val="0"/>
          <w:szCs w:val="21"/>
          <w:highlight w:val="none"/>
          <w:lang w:val="zh-CN"/>
        </w:rPr>
        <w:t>。</w:t>
      </w:r>
    </w:p>
    <w:p w14:paraId="5E3429BB">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rPr>
        <w:t>八</w:t>
      </w:r>
      <w:r>
        <w:rPr>
          <w:rFonts w:ascii="宋体" w:hAnsi="宋体"/>
          <w:color w:val="auto"/>
          <w:kern w:val="0"/>
          <w:szCs w:val="21"/>
          <w:highlight w:val="none"/>
          <w:lang w:val="zh-CN"/>
        </w:rPr>
        <w:t>、《</w:t>
      </w:r>
      <w:r>
        <w:rPr>
          <w:rFonts w:hint="eastAsia" w:ascii="宋体" w:hAnsi="宋体"/>
          <w:color w:val="auto"/>
          <w:kern w:val="0"/>
          <w:szCs w:val="21"/>
          <w:highlight w:val="none"/>
          <w:lang w:val="zh-CN"/>
        </w:rPr>
        <w:t>重庆市房屋建筑和市政基础设施工程施工标准招标文件</w:t>
      </w:r>
      <w:r>
        <w:rPr>
          <w:rFonts w:ascii="宋体" w:hAnsi="宋体"/>
          <w:color w:val="auto"/>
          <w:kern w:val="0"/>
          <w:szCs w:val="21"/>
          <w:highlight w:val="none"/>
          <w:lang w:val="zh-CN"/>
        </w:rPr>
        <w:t>》第七章“技术标准和要求”由招标人根据招标项目具体特点和实际需要编制。“技术标准和要求”中的各项技术标准应符合国家强制性标准，不得要求或标明某一特定的专利、商标、名称、设计、原产地或生产供应者，不得含有倾向或者排斥潜在投标人的其他内容。如果必须引用某一生产供应者的技术标准才能准确或清楚地说明拟招标项目的技术标准时，则应当</w:t>
      </w:r>
      <w:r>
        <w:rPr>
          <w:rFonts w:hint="eastAsia" w:ascii="宋体" w:hAnsi="宋体"/>
          <w:color w:val="auto"/>
          <w:kern w:val="0"/>
          <w:szCs w:val="21"/>
          <w:highlight w:val="none"/>
          <w:lang w:val="zh-CN"/>
        </w:rPr>
        <w:t>加上“</w:t>
      </w:r>
      <w:r>
        <w:rPr>
          <w:rFonts w:ascii="宋体" w:hAnsi="宋体"/>
          <w:color w:val="auto"/>
          <w:kern w:val="0"/>
          <w:szCs w:val="21"/>
          <w:highlight w:val="none"/>
          <w:lang w:val="zh-CN"/>
        </w:rPr>
        <w:t>参照</w:t>
      </w:r>
      <w:r>
        <w:rPr>
          <w:rFonts w:hint="eastAsia" w:ascii="宋体" w:hAnsi="宋体"/>
          <w:color w:val="auto"/>
          <w:kern w:val="0"/>
          <w:szCs w:val="21"/>
          <w:highlight w:val="none"/>
          <w:lang w:val="zh-CN"/>
        </w:rPr>
        <w:t>”</w:t>
      </w:r>
      <w:r>
        <w:rPr>
          <w:rFonts w:ascii="宋体" w:hAnsi="宋体"/>
          <w:color w:val="auto"/>
          <w:kern w:val="0"/>
          <w:szCs w:val="21"/>
          <w:highlight w:val="none"/>
          <w:lang w:val="zh-CN"/>
        </w:rPr>
        <w:t>或</w:t>
      </w:r>
      <w:r>
        <w:rPr>
          <w:rFonts w:hint="eastAsia" w:ascii="宋体" w:hAnsi="宋体"/>
          <w:color w:val="auto"/>
          <w:kern w:val="0"/>
          <w:szCs w:val="21"/>
          <w:highlight w:val="none"/>
          <w:lang w:val="zh-CN"/>
        </w:rPr>
        <w:t>“</w:t>
      </w:r>
      <w:r>
        <w:rPr>
          <w:rFonts w:ascii="宋体" w:hAnsi="宋体"/>
          <w:color w:val="auto"/>
          <w:kern w:val="0"/>
          <w:szCs w:val="21"/>
          <w:highlight w:val="none"/>
          <w:lang w:val="zh-CN"/>
        </w:rPr>
        <w:t>相当于”字样。</w:t>
      </w:r>
    </w:p>
    <w:p w14:paraId="73DAACE6">
      <w:pPr>
        <w:spacing w:line="360" w:lineRule="auto"/>
        <w:ind w:firstLine="420" w:firstLineChars="200"/>
        <w:rPr>
          <w:rFonts w:hint="eastAsia" w:ascii="宋体" w:hAnsi="宋体"/>
          <w:color w:val="auto"/>
          <w:kern w:val="0"/>
          <w:szCs w:val="21"/>
          <w:highlight w:val="none"/>
          <w:lang w:val="zh-CN"/>
        </w:rPr>
      </w:pPr>
      <w:r>
        <w:rPr>
          <w:rFonts w:hint="eastAsia" w:ascii="宋体" w:hAnsi="宋体"/>
          <w:color w:val="auto"/>
          <w:kern w:val="0"/>
          <w:szCs w:val="21"/>
          <w:highlight w:val="none"/>
        </w:rPr>
        <w:t>九</w:t>
      </w:r>
      <w:r>
        <w:rPr>
          <w:rFonts w:ascii="宋体" w:hAnsi="宋体"/>
          <w:color w:val="auto"/>
          <w:kern w:val="0"/>
          <w:szCs w:val="21"/>
          <w:highlight w:val="none"/>
          <w:lang w:val="zh-CN"/>
        </w:rPr>
        <w:t>、</w:t>
      </w:r>
      <w:r>
        <w:rPr>
          <w:rFonts w:hint="eastAsia" w:ascii="宋体" w:hAnsi="宋体"/>
          <w:color w:val="auto"/>
          <w:kern w:val="0"/>
          <w:szCs w:val="21"/>
          <w:highlight w:val="none"/>
        </w:rPr>
        <w:t>第二章“</w:t>
      </w:r>
      <w:r>
        <w:rPr>
          <w:rFonts w:ascii="宋体" w:hAnsi="宋体"/>
          <w:color w:val="auto"/>
          <w:kern w:val="0"/>
          <w:szCs w:val="21"/>
          <w:highlight w:val="none"/>
          <w:lang w:val="zh-CN"/>
        </w:rPr>
        <w:t>投标人须知前附表</w:t>
      </w:r>
      <w:r>
        <w:rPr>
          <w:rFonts w:hint="eastAsia" w:ascii="宋体" w:hAnsi="宋体"/>
          <w:color w:val="auto"/>
          <w:kern w:val="0"/>
          <w:szCs w:val="21"/>
          <w:highlight w:val="none"/>
          <w:lang w:val="zh-CN"/>
        </w:rPr>
        <w:t>”</w:t>
      </w:r>
      <w:r>
        <w:rPr>
          <w:rFonts w:ascii="宋体" w:hAnsi="宋体"/>
          <w:color w:val="auto"/>
          <w:kern w:val="0"/>
          <w:szCs w:val="21"/>
          <w:highlight w:val="none"/>
          <w:lang w:val="zh-CN"/>
        </w:rPr>
        <w:t>与其正文不一致的以</w:t>
      </w:r>
      <w:r>
        <w:rPr>
          <w:rFonts w:hint="eastAsia" w:ascii="宋体" w:hAnsi="宋体"/>
          <w:color w:val="auto"/>
          <w:kern w:val="0"/>
          <w:szCs w:val="21"/>
          <w:highlight w:val="none"/>
          <w:lang w:val="zh-CN"/>
        </w:rPr>
        <w:t>“投标人须知</w:t>
      </w:r>
      <w:r>
        <w:rPr>
          <w:rFonts w:ascii="宋体" w:hAnsi="宋体"/>
          <w:color w:val="auto"/>
          <w:kern w:val="0"/>
          <w:szCs w:val="21"/>
          <w:highlight w:val="none"/>
          <w:lang w:val="zh-CN"/>
        </w:rPr>
        <w:t>前附表</w:t>
      </w:r>
      <w:r>
        <w:rPr>
          <w:rFonts w:hint="eastAsia" w:ascii="宋体" w:hAnsi="宋体"/>
          <w:color w:val="auto"/>
          <w:kern w:val="0"/>
          <w:szCs w:val="21"/>
          <w:highlight w:val="none"/>
          <w:lang w:val="zh-CN"/>
        </w:rPr>
        <w:t>”</w:t>
      </w:r>
      <w:r>
        <w:rPr>
          <w:rFonts w:ascii="宋体" w:hAnsi="宋体"/>
          <w:color w:val="auto"/>
          <w:kern w:val="0"/>
          <w:szCs w:val="21"/>
          <w:highlight w:val="none"/>
          <w:lang w:val="zh-CN"/>
        </w:rPr>
        <w:t>为准，</w:t>
      </w:r>
      <w:r>
        <w:rPr>
          <w:rFonts w:hint="eastAsia" w:ascii="宋体" w:hAnsi="宋体"/>
          <w:color w:val="auto"/>
          <w:kern w:val="0"/>
          <w:szCs w:val="21"/>
          <w:highlight w:val="none"/>
        </w:rPr>
        <w:t>第三章“</w:t>
      </w:r>
      <w:r>
        <w:rPr>
          <w:rFonts w:ascii="宋体" w:hAnsi="宋体"/>
          <w:color w:val="auto"/>
          <w:kern w:val="0"/>
          <w:szCs w:val="21"/>
          <w:highlight w:val="none"/>
          <w:lang w:val="zh-CN"/>
        </w:rPr>
        <w:t>评标办法前附表</w:t>
      </w:r>
      <w:r>
        <w:rPr>
          <w:rFonts w:hint="eastAsia" w:ascii="宋体" w:hAnsi="宋体"/>
          <w:color w:val="auto"/>
          <w:kern w:val="0"/>
          <w:szCs w:val="21"/>
          <w:highlight w:val="none"/>
          <w:lang w:val="zh-CN"/>
        </w:rPr>
        <w:t>”</w:t>
      </w:r>
      <w:r>
        <w:rPr>
          <w:rFonts w:ascii="宋体" w:hAnsi="宋体"/>
          <w:color w:val="auto"/>
          <w:kern w:val="0"/>
          <w:szCs w:val="21"/>
          <w:highlight w:val="none"/>
          <w:lang w:val="zh-CN"/>
        </w:rPr>
        <w:t>与其正文不一致的以</w:t>
      </w:r>
      <w:r>
        <w:rPr>
          <w:rFonts w:hint="eastAsia" w:ascii="宋体" w:hAnsi="宋体"/>
          <w:color w:val="auto"/>
          <w:kern w:val="0"/>
          <w:szCs w:val="21"/>
          <w:highlight w:val="none"/>
          <w:lang w:val="zh-CN"/>
        </w:rPr>
        <w:t>“评标办法</w:t>
      </w:r>
      <w:r>
        <w:rPr>
          <w:rFonts w:ascii="宋体" w:hAnsi="宋体"/>
          <w:color w:val="auto"/>
          <w:kern w:val="0"/>
          <w:szCs w:val="21"/>
          <w:highlight w:val="none"/>
          <w:lang w:val="zh-CN"/>
        </w:rPr>
        <w:t>前附表</w:t>
      </w:r>
      <w:r>
        <w:rPr>
          <w:rFonts w:hint="eastAsia" w:ascii="宋体" w:hAnsi="宋体"/>
          <w:color w:val="auto"/>
          <w:kern w:val="0"/>
          <w:szCs w:val="21"/>
          <w:highlight w:val="none"/>
          <w:lang w:val="zh-CN"/>
        </w:rPr>
        <w:t>”</w:t>
      </w:r>
      <w:r>
        <w:rPr>
          <w:rFonts w:ascii="宋体" w:hAnsi="宋体"/>
          <w:color w:val="auto"/>
          <w:kern w:val="0"/>
          <w:szCs w:val="21"/>
          <w:highlight w:val="none"/>
          <w:lang w:val="zh-CN"/>
        </w:rPr>
        <w:t>为准</w:t>
      </w:r>
      <w:r>
        <w:rPr>
          <w:rFonts w:hint="eastAsia" w:ascii="宋体" w:hAnsi="宋体"/>
          <w:color w:val="auto"/>
          <w:kern w:val="0"/>
          <w:szCs w:val="21"/>
          <w:highlight w:val="none"/>
          <w:lang w:val="zh-CN"/>
        </w:rPr>
        <w:t>，第二章“投标人须知正文”与第三章“评标办法正文”不允许修改。招标人必须将所有涉及否决投标的情形逐条清晰的列入第三章“否决投标情况一览表”中，否则不得作为否决投标的依据。第四章“合同条款及格式”中的第二部分通用合同条款不允许修改。</w:t>
      </w:r>
    </w:p>
    <w:p w14:paraId="52D53981">
      <w:pPr>
        <w:spacing w:line="360" w:lineRule="auto"/>
        <w:ind w:firstLine="420" w:firstLineChars="200"/>
        <w:rPr>
          <w:rFonts w:hint="eastAsia" w:ascii="宋体" w:hAnsi="宋体"/>
          <w:color w:val="auto"/>
          <w:kern w:val="0"/>
          <w:szCs w:val="21"/>
          <w:highlight w:val="none"/>
          <w:lang w:val="zh-CN"/>
        </w:rPr>
      </w:pPr>
      <w:r>
        <w:rPr>
          <w:rFonts w:hint="eastAsia" w:ascii="宋体" w:hAnsi="宋体"/>
          <w:color w:val="auto"/>
          <w:kern w:val="0"/>
          <w:szCs w:val="21"/>
          <w:highlight w:val="none"/>
          <w:lang w:val="zh-CN"/>
        </w:rPr>
        <w:t>十、《重庆市房屋建筑和市政基础设施工程施工标准招标文件》凡以“□”标示的为选择项目，供招标人在实际使用中在相应“□”中用“√”标示选择，未勾选的项目由招标人在编制过程中自行删除；以空格或下划线标示的，招标人应根据招标项目具体特点和实际需要进行填写，也可以直接引用或修改完善下划线上已有的示范性填写内容，确实没有需要填写的，在空格中或下划线上用“/”标示；除“□”、空格、下划线可以根据项目实际情况进行必要的勾选、细化补充以及“[提示]”明确可以增加补充的外，不得对《重庆市房屋建筑和市政基础设施工程施工标准招标文件》实质性内容进行修改，补充细化的内容不得与《重庆市房屋建筑和市政基础设施工程施工标准招标文件》已约定的内容矛盾。文中标注为“[提示]”的内容在具体招标文件编制过程中应删除。</w:t>
      </w:r>
    </w:p>
    <w:p w14:paraId="18A49E72">
      <w:pPr>
        <w:spacing w:line="360" w:lineRule="auto"/>
        <w:ind w:firstLine="420" w:firstLineChars="200"/>
        <w:rPr>
          <w:rFonts w:ascii="宋体" w:hAnsi="宋体"/>
          <w:color w:val="auto"/>
          <w:kern w:val="0"/>
          <w:szCs w:val="21"/>
          <w:highlight w:val="none"/>
          <w:lang w:val="zh-CN"/>
        </w:rPr>
        <w:sectPr>
          <w:footerReference r:id="rId7" w:type="default"/>
          <w:pgSz w:w="11907" w:h="16840"/>
          <w:pgMar w:top="1304" w:right="1134" w:bottom="1304" w:left="1304" w:header="851" w:footer="992" w:gutter="0"/>
          <w:pgNumType w:fmt="numberInDash" w:start="1"/>
          <w:cols w:space="720" w:num="1"/>
          <w:docGrid w:linePitch="312" w:charSpace="0"/>
        </w:sectPr>
      </w:pPr>
      <w:r>
        <w:rPr>
          <w:rFonts w:ascii="宋体" w:hAnsi="宋体"/>
          <w:color w:val="auto"/>
          <w:kern w:val="0"/>
          <w:szCs w:val="21"/>
          <w:highlight w:val="none"/>
          <w:lang w:val="zh-CN"/>
        </w:rPr>
        <w:t>十一、《</w:t>
      </w:r>
      <w:r>
        <w:rPr>
          <w:rFonts w:hint="eastAsia" w:ascii="宋体" w:hAnsi="宋体"/>
          <w:color w:val="auto"/>
          <w:kern w:val="0"/>
          <w:szCs w:val="21"/>
          <w:highlight w:val="none"/>
          <w:lang w:val="zh-CN"/>
        </w:rPr>
        <w:t>重庆市房屋建筑和市政基础设施工程施工标准招标文件</w:t>
      </w:r>
      <w:r>
        <w:rPr>
          <w:rFonts w:ascii="宋体" w:hAnsi="宋体"/>
          <w:color w:val="auto"/>
          <w:kern w:val="0"/>
          <w:szCs w:val="21"/>
          <w:highlight w:val="none"/>
          <w:lang w:val="zh-CN"/>
        </w:rPr>
        <w:t>》将根据实际执行过程中出现的问题及时进行修改。各使用单位或个人对《</w:t>
      </w:r>
      <w:r>
        <w:rPr>
          <w:rFonts w:hint="eastAsia" w:ascii="宋体" w:hAnsi="宋体"/>
          <w:color w:val="auto"/>
          <w:kern w:val="0"/>
          <w:szCs w:val="21"/>
          <w:highlight w:val="none"/>
          <w:lang w:val="zh-CN"/>
        </w:rPr>
        <w:t>重庆市房屋建筑和市政基础设施工程施工标准招标文件</w:t>
      </w:r>
      <w:r>
        <w:rPr>
          <w:rFonts w:ascii="宋体" w:hAnsi="宋体"/>
          <w:color w:val="auto"/>
          <w:kern w:val="0"/>
          <w:szCs w:val="21"/>
          <w:highlight w:val="none"/>
          <w:lang w:val="zh-CN"/>
        </w:rPr>
        <w:t>》的修改意见和建议，可向</w:t>
      </w:r>
      <w:r>
        <w:rPr>
          <w:rFonts w:hint="eastAsia" w:ascii="宋体" w:hAnsi="宋体"/>
          <w:color w:val="auto"/>
          <w:kern w:val="0"/>
          <w:szCs w:val="21"/>
          <w:highlight w:val="none"/>
          <w:lang w:val="zh-CN"/>
        </w:rPr>
        <w:t>重庆市公共资源交易监督管理局</w:t>
      </w:r>
      <w:r>
        <w:rPr>
          <w:rFonts w:ascii="宋体" w:hAnsi="宋体"/>
          <w:color w:val="auto"/>
          <w:kern w:val="0"/>
          <w:szCs w:val="21"/>
          <w:highlight w:val="none"/>
          <w:lang w:val="zh-CN"/>
        </w:rPr>
        <w:t>反映。联系电话</w:t>
      </w:r>
      <w:r>
        <w:rPr>
          <w:rFonts w:hint="eastAsia" w:ascii="宋体" w:hAnsi="宋体"/>
          <w:color w:val="auto"/>
          <w:kern w:val="0"/>
          <w:szCs w:val="21"/>
          <w:highlight w:val="none"/>
          <w:lang w:val="zh-CN"/>
        </w:rPr>
        <w:t>：023-67575990或023-63670850</w:t>
      </w:r>
    </w:p>
    <w:p w14:paraId="0192ED75">
      <w:pPr>
        <w:jc w:val="center"/>
        <w:rPr>
          <w:rFonts w:ascii="宋体" w:hAnsi="宋体"/>
          <w:b/>
          <w:color w:val="auto"/>
          <w:sz w:val="44"/>
          <w:szCs w:val="44"/>
          <w:highlight w:val="none"/>
        </w:rPr>
      </w:pPr>
    </w:p>
    <w:p w14:paraId="30779C07">
      <w:pPr>
        <w:spacing w:line="360" w:lineRule="auto"/>
        <w:jc w:val="center"/>
        <w:rPr>
          <w:rFonts w:hint="eastAsia" w:ascii="宋体" w:hAnsi="宋体"/>
          <w:color w:val="auto"/>
          <w:kern w:val="0"/>
          <w:sz w:val="32"/>
          <w:szCs w:val="32"/>
          <w:highlight w:val="none"/>
        </w:rPr>
      </w:pPr>
      <w:r>
        <w:rPr>
          <w:rFonts w:hint="eastAsia" w:ascii="宋体" w:hAnsi="宋体"/>
          <w:color w:val="auto"/>
          <w:kern w:val="0"/>
          <w:sz w:val="32"/>
          <w:szCs w:val="32"/>
          <w:highlight w:val="none"/>
          <w:u w:val="single"/>
        </w:rPr>
        <w:t xml:space="preserve">                   （项目名称）</w:t>
      </w:r>
    </w:p>
    <w:p w14:paraId="64FC1948">
      <w:pPr>
        <w:autoSpaceDE w:val="0"/>
        <w:autoSpaceDN w:val="0"/>
        <w:adjustRightInd w:val="0"/>
        <w:snapToGrid w:val="0"/>
        <w:spacing w:line="360" w:lineRule="auto"/>
        <w:jc w:val="left"/>
        <w:rPr>
          <w:rFonts w:ascii="宋体" w:hAnsi="宋体"/>
          <w:color w:val="auto"/>
          <w:kern w:val="0"/>
          <w:sz w:val="20"/>
          <w:szCs w:val="20"/>
          <w:highlight w:val="none"/>
        </w:rPr>
      </w:pPr>
    </w:p>
    <w:p w14:paraId="6491F5B5">
      <w:pPr>
        <w:autoSpaceDE w:val="0"/>
        <w:autoSpaceDN w:val="0"/>
        <w:adjustRightInd w:val="0"/>
        <w:snapToGrid w:val="0"/>
        <w:spacing w:line="360" w:lineRule="auto"/>
        <w:jc w:val="left"/>
        <w:rPr>
          <w:rFonts w:ascii="宋体" w:hAnsi="宋体"/>
          <w:color w:val="auto"/>
          <w:kern w:val="0"/>
          <w:sz w:val="20"/>
          <w:szCs w:val="20"/>
          <w:highlight w:val="none"/>
        </w:rPr>
      </w:pPr>
    </w:p>
    <w:p w14:paraId="3DFB6F1B">
      <w:pPr>
        <w:autoSpaceDE w:val="0"/>
        <w:autoSpaceDN w:val="0"/>
        <w:adjustRightInd w:val="0"/>
        <w:snapToGrid w:val="0"/>
        <w:spacing w:line="360" w:lineRule="auto"/>
        <w:jc w:val="left"/>
        <w:rPr>
          <w:rFonts w:ascii="宋体" w:hAnsi="宋体"/>
          <w:color w:val="auto"/>
          <w:kern w:val="0"/>
          <w:sz w:val="20"/>
          <w:szCs w:val="20"/>
          <w:highlight w:val="none"/>
        </w:rPr>
      </w:pPr>
    </w:p>
    <w:p w14:paraId="2A03BF01">
      <w:pPr>
        <w:autoSpaceDE w:val="0"/>
        <w:autoSpaceDN w:val="0"/>
        <w:adjustRightInd w:val="0"/>
        <w:snapToGrid w:val="0"/>
        <w:spacing w:line="360" w:lineRule="auto"/>
        <w:jc w:val="left"/>
        <w:rPr>
          <w:rFonts w:ascii="宋体" w:hAnsi="宋体"/>
          <w:color w:val="auto"/>
          <w:kern w:val="0"/>
          <w:sz w:val="20"/>
          <w:szCs w:val="20"/>
          <w:highlight w:val="none"/>
        </w:rPr>
      </w:pPr>
    </w:p>
    <w:p w14:paraId="527A5E4A">
      <w:pPr>
        <w:autoSpaceDE w:val="0"/>
        <w:autoSpaceDN w:val="0"/>
        <w:adjustRightInd w:val="0"/>
        <w:snapToGrid w:val="0"/>
        <w:spacing w:line="360" w:lineRule="auto"/>
        <w:jc w:val="left"/>
        <w:rPr>
          <w:rFonts w:ascii="宋体" w:hAnsi="宋体"/>
          <w:color w:val="auto"/>
          <w:kern w:val="0"/>
          <w:sz w:val="20"/>
          <w:szCs w:val="20"/>
          <w:highlight w:val="none"/>
        </w:rPr>
      </w:pPr>
    </w:p>
    <w:p w14:paraId="7102F14E">
      <w:pPr>
        <w:autoSpaceDE w:val="0"/>
        <w:autoSpaceDN w:val="0"/>
        <w:adjustRightInd w:val="0"/>
        <w:snapToGrid w:val="0"/>
        <w:spacing w:line="360" w:lineRule="auto"/>
        <w:jc w:val="left"/>
        <w:rPr>
          <w:rFonts w:ascii="宋体" w:hAnsi="宋体"/>
          <w:color w:val="auto"/>
          <w:kern w:val="0"/>
          <w:sz w:val="20"/>
          <w:szCs w:val="20"/>
          <w:highlight w:val="none"/>
        </w:rPr>
      </w:pPr>
    </w:p>
    <w:p w14:paraId="133CDD9A">
      <w:pPr>
        <w:autoSpaceDE w:val="0"/>
        <w:autoSpaceDN w:val="0"/>
        <w:adjustRightInd w:val="0"/>
        <w:snapToGrid w:val="0"/>
        <w:spacing w:line="360" w:lineRule="auto"/>
        <w:jc w:val="center"/>
        <w:rPr>
          <w:rFonts w:ascii="宋体" w:hAnsi="宋体"/>
          <w:color w:val="auto"/>
          <w:kern w:val="0"/>
          <w:sz w:val="72"/>
          <w:szCs w:val="72"/>
          <w:highlight w:val="none"/>
        </w:rPr>
      </w:pPr>
      <w:r>
        <w:rPr>
          <w:rFonts w:ascii="宋体" w:hAnsi="宋体"/>
          <w:color w:val="auto"/>
          <w:kern w:val="0"/>
          <w:sz w:val="72"/>
          <w:szCs w:val="72"/>
          <w:highlight w:val="none"/>
        </w:rPr>
        <w:t>施</w:t>
      </w:r>
      <w:r>
        <w:rPr>
          <w:rFonts w:hint="eastAsia" w:ascii="宋体" w:hAnsi="宋体"/>
          <w:color w:val="auto"/>
          <w:kern w:val="0"/>
          <w:sz w:val="72"/>
          <w:szCs w:val="72"/>
          <w:highlight w:val="none"/>
        </w:rPr>
        <w:t xml:space="preserve"> </w:t>
      </w:r>
      <w:r>
        <w:rPr>
          <w:rFonts w:ascii="宋体" w:hAnsi="宋体"/>
          <w:color w:val="auto"/>
          <w:kern w:val="0"/>
          <w:sz w:val="72"/>
          <w:szCs w:val="72"/>
          <w:highlight w:val="none"/>
        </w:rPr>
        <w:t>工</w:t>
      </w:r>
      <w:r>
        <w:rPr>
          <w:rFonts w:hint="eastAsia" w:ascii="宋体" w:hAnsi="宋体"/>
          <w:color w:val="auto"/>
          <w:kern w:val="0"/>
          <w:sz w:val="72"/>
          <w:szCs w:val="72"/>
          <w:highlight w:val="none"/>
        </w:rPr>
        <w:t xml:space="preserve"> </w:t>
      </w:r>
      <w:r>
        <w:rPr>
          <w:rFonts w:ascii="宋体" w:hAnsi="宋体"/>
          <w:color w:val="auto"/>
          <w:kern w:val="0"/>
          <w:sz w:val="72"/>
          <w:szCs w:val="72"/>
          <w:highlight w:val="none"/>
        </w:rPr>
        <w:t>招</w:t>
      </w:r>
      <w:r>
        <w:rPr>
          <w:rFonts w:hint="eastAsia" w:ascii="宋体" w:hAnsi="宋体"/>
          <w:color w:val="auto"/>
          <w:kern w:val="0"/>
          <w:sz w:val="72"/>
          <w:szCs w:val="72"/>
          <w:highlight w:val="none"/>
        </w:rPr>
        <w:t xml:space="preserve"> </w:t>
      </w:r>
      <w:r>
        <w:rPr>
          <w:rFonts w:ascii="宋体" w:hAnsi="宋体"/>
          <w:color w:val="auto"/>
          <w:kern w:val="0"/>
          <w:sz w:val="72"/>
          <w:szCs w:val="72"/>
          <w:highlight w:val="none"/>
        </w:rPr>
        <w:t>标</w:t>
      </w:r>
      <w:r>
        <w:rPr>
          <w:rFonts w:hint="eastAsia" w:ascii="宋体" w:hAnsi="宋体"/>
          <w:color w:val="auto"/>
          <w:kern w:val="0"/>
          <w:sz w:val="72"/>
          <w:szCs w:val="72"/>
          <w:highlight w:val="none"/>
        </w:rPr>
        <w:t xml:space="preserve"> </w:t>
      </w:r>
      <w:r>
        <w:rPr>
          <w:rFonts w:ascii="宋体" w:hAnsi="宋体"/>
          <w:color w:val="auto"/>
          <w:kern w:val="0"/>
          <w:sz w:val="72"/>
          <w:szCs w:val="72"/>
          <w:highlight w:val="none"/>
        </w:rPr>
        <w:t>文</w:t>
      </w:r>
      <w:r>
        <w:rPr>
          <w:rFonts w:hint="eastAsia" w:ascii="宋体" w:hAnsi="宋体"/>
          <w:color w:val="auto"/>
          <w:kern w:val="0"/>
          <w:sz w:val="72"/>
          <w:szCs w:val="72"/>
          <w:highlight w:val="none"/>
        </w:rPr>
        <w:t xml:space="preserve"> </w:t>
      </w:r>
      <w:r>
        <w:rPr>
          <w:rFonts w:ascii="宋体" w:hAnsi="宋体"/>
          <w:color w:val="auto"/>
          <w:kern w:val="0"/>
          <w:sz w:val="72"/>
          <w:szCs w:val="72"/>
          <w:highlight w:val="none"/>
        </w:rPr>
        <w:t>件</w:t>
      </w:r>
    </w:p>
    <w:p w14:paraId="293853AB">
      <w:pPr>
        <w:autoSpaceDE w:val="0"/>
        <w:autoSpaceDN w:val="0"/>
        <w:adjustRightInd w:val="0"/>
        <w:snapToGrid w:val="0"/>
        <w:spacing w:line="360" w:lineRule="auto"/>
        <w:jc w:val="left"/>
        <w:rPr>
          <w:rFonts w:ascii="宋体" w:hAnsi="宋体"/>
          <w:color w:val="auto"/>
          <w:kern w:val="0"/>
          <w:sz w:val="10"/>
          <w:szCs w:val="10"/>
          <w:highlight w:val="none"/>
        </w:rPr>
      </w:pPr>
    </w:p>
    <w:p w14:paraId="703A2E40">
      <w:pPr>
        <w:autoSpaceDE w:val="0"/>
        <w:autoSpaceDN w:val="0"/>
        <w:adjustRightInd w:val="0"/>
        <w:snapToGrid w:val="0"/>
        <w:spacing w:line="360" w:lineRule="auto"/>
        <w:jc w:val="left"/>
        <w:rPr>
          <w:rFonts w:ascii="宋体" w:hAnsi="宋体"/>
          <w:color w:val="auto"/>
          <w:kern w:val="0"/>
          <w:sz w:val="20"/>
          <w:szCs w:val="20"/>
          <w:highlight w:val="none"/>
        </w:rPr>
      </w:pPr>
    </w:p>
    <w:p w14:paraId="559C1FA2">
      <w:pPr>
        <w:autoSpaceDE w:val="0"/>
        <w:autoSpaceDN w:val="0"/>
        <w:adjustRightInd w:val="0"/>
        <w:snapToGrid w:val="0"/>
        <w:spacing w:line="360" w:lineRule="auto"/>
        <w:jc w:val="left"/>
        <w:rPr>
          <w:rFonts w:ascii="宋体" w:hAnsi="宋体"/>
          <w:color w:val="auto"/>
          <w:kern w:val="0"/>
          <w:sz w:val="20"/>
          <w:szCs w:val="20"/>
          <w:highlight w:val="none"/>
        </w:rPr>
      </w:pPr>
    </w:p>
    <w:p w14:paraId="6238D84A">
      <w:pPr>
        <w:autoSpaceDE w:val="0"/>
        <w:autoSpaceDN w:val="0"/>
        <w:adjustRightInd w:val="0"/>
        <w:snapToGrid w:val="0"/>
        <w:spacing w:line="360" w:lineRule="auto"/>
        <w:jc w:val="left"/>
        <w:rPr>
          <w:rFonts w:ascii="宋体" w:hAnsi="宋体"/>
          <w:color w:val="auto"/>
          <w:kern w:val="0"/>
          <w:sz w:val="20"/>
          <w:szCs w:val="20"/>
          <w:highlight w:val="none"/>
        </w:rPr>
      </w:pPr>
    </w:p>
    <w:p w14:paraId="6C3FCBB7">
      <w:pPr>
        <w:autoSpaceDE w:val="0"/>
        <w:autoSpaceDN w:val="0"/>
        <w:adjustRightInd w:val="0"/>
        <w:snapToGrid w:val="0"/>
        <w:spacing w:line="360" w:lineRule="auto"/>
        <w:jc w:val="left"/>
        <w:rPr>
          <w:rFonts w:ascii="宋体" w:hAnsi="宋体"/>
          <w:color w:val="auto"/>
          <w:kern w:val="0"/>
          <w:sz w:val="20"/>
          <w:szCs w:val="20"/>
          <w:highlight w:val="none"/>
        </w:rPr>
      </w:pPr>
    </w:p>
    <w:p w14:paraId="7D2BD43B">
      <w:pPr>
        <w:autoSpaceDE w:val="0"/>
        <w:autoSpaceDN w:val="0"/>
        <w:adjustRightInd w:val="0"/>
        <w:snapToGrid w:val="0"/>
        <w:spacing w:line="360" w:lineRule="auto"/>
        <w:jc w:val="left"/>
        <w:rPr>
          <w:rFonts w:ascii="宋体" w:hAnsi="宋体"/>
          <w:color w:val="auto"/>
          <w:kern w:val="0"/>
          <w:sz w:val="20"/>
          <w:szCs w:val="20"/>
          <w:highlight w:val="none"/>
        </w:rPr>
      </w:pPr>
    </w:p>
    <w:p w14:paraId="7702FE68">
      <w:pPr>
        <w:autoSpaceDE w:val="0"/>
        <w:autoSpaceDN w:val="0"/>
        <w:adjustRightInd w:val="0"/>
        <w:snapToGrid w:val="0"/>
        <w:spacing w:line="360" w:lineRule="auto"/>
        <w:jc w:val="left"/>
        <w:rPr>
          <w:rFonts w:hint="eastAsia" w:ascii="宋体" w:hAnsi="宋体"/>
          <w:color w:val="auto"/>
          <w:kern w:val="0"/>
          <w:sz w:val="20"/>
          <w:szCs w:val="20"/>
          <w:highlight w:val="none"/>
        </w:rPr>
      </w:pPr>
    </w:p>
    <w:p w14:paraId="4834D574">
      <w:pPr>
        <w:autoSpaceDE w:val="0"/>
        <w:autoSpaceDN w:val="0"/>
        <w:adjustRightInd w:val="0"/>
        <w:snapToGrid w:val="0"/>
        <w:spacing w:line="360" w:lineRule="auto"/>
        <w:jc w:val="left"/>
        <w:rPr>
          <w:rFonts w:hint="eastAsia" w:ascii="宋体" w:hAnsi="宋体"/>
          <w:color w:val="auto"/>
          <w:kern w:val="0"/>
          <w:sz w:val="20"/>
          <w:szCs w:val="20"/>
          <w:highlight w:val="none"/>
        </w:rPr>
      </w:pPr>
    </w:p>
    <w:p w14:paraId="0002810D">
      <w:pPr>
        <w:autoSpaceDE w:val="0"/>
        <w:autoSpaceDN w:val="0"/>
        <w:adjustRightInd w:val="0"/>
        <w:snapToGrid w:val="0"/>
        <w:spacing w:line="360" w:lineRule="auto"/>
        <w:rPr>
          <w:rFonts w:hint="eastAsia" w:ascii="宋体" w:hAnsi="宋体"/>
          <w:color w:val="auto"/>
          <w:kern w:val="0"/>
          <w:sz w:val="20"/>
          <w:szCs w:val="20"/>
          <w:highlight w:val="none"/>
        </w:rPr>
      </w:pPr>
    </w:p>
    <w:p w14:paraId="2BB2D994">
      <w:pPr>
        <w:autoSpaceDE w:val="0"/>
        <w:autoSpaceDN w:val="0"/>
        <w:adjustRightInd w:val="0"/>
        <w:snapToGrid w:val="0"/>
        <w:spacing w:line="360" w:lineRule="auto"/>
        <w:jc w:val="left"/>
        <w:rPr>
          <w:rFonts w:hint="eastAsia" w:ascii="宋体" w:hAnsi="宋体"/>
          <w:color w:val="auto"/>
          <w:kern w:val="0"/>
          <w:sz w:val="20"/>
          <w:szCs w:val="20"/>
          <w:highlight w:val="none"/>
        </w:rPr>
      </w:pPr>
    </w:p>
    <w:p w14:paraId="6AE0DA3E">
      <w:pPr>
        <w:autoSpaceDE w:val="0"/>
        <w:autoSpaceDN w:val="0"/>
        <w:adjustRightInd w:val="0"/>
        <w:snapToGrid w:val="0"/>
        <w:spacing w:line="360" w:lineRule="auto"/>
        <w:rPr>
          <w:rFonts w:hint="eastAsia" w:ascii="宋体" w:hAnsi="宋体"/>
          <w:color w:val="auto"/>
          <w:kern w:val="0"/>
          <w:sz w:val="20"/>
          <w:szCs w:val="20"/>
          <w:highlight w:val="none"/>
        </w:rPr>
      </w:pPr>
    </w:p>
    <w:p w14:paraId="6342F053">
      <w:pPr>
        <w:autoSpaceDE w:val="0"/>
        <w:autoSpaceDN w:val="0"/>
        <w:adjustRightInd w:val="0"/>
        <w:snapToGrid w:val="0"/>
        <w:spacing w:line="360" w:lineRule="auto"/>
        <w:rPr>
          <w:rFonts w:hint="eastAsia" w:ascii="宋体" w:hAnsi="宋体"/>
          <w:color w:val="auto"/>
          <w:kern w:val="0"/>
          <w:sz w:val="20"/>
          <w:szCs w:val="20"/>
          <w:highlight w:val="none"/>
        </w:rPr>
      </w:pPr>
    </w:p>
    <w:p w14:paraId="3F0ABFBE">
      <w:pPr>
        <w:autoSpaceDE w:val="0"/>
        <w:autoSpaceDN w:val="0"/>
        <w:adjustRightInd w:val="0"/>
        <w:snapToGrid w:val="0"/>
        <w:spacing w:line="360" w:lineRule="auto"/>
        <w:rPr>
          <w:rFonts w:ascii="宋体" w:hAnsi="宋体"/>
          <w:color w:val="auto"/>
          <w:kern w:val="0"/>
          <w:sz w:val="20"/>
          <w:szCs w:val="20"/>
          <w:highlight w:val="none"/>
        </w:rPr>
      </w:pPr>
    </w:p>
    <w:p w14:paraId="35742491">
      <w:pPr>
        <w:tabs>
          <w:tab w:val="left" w:pos="6219"/>
        </w:tabs>
        <w:autoSpaceDE w:val="0"/>
        <w:autoSpaceDN w:val="0"/>
        <w:adjustRightInd w:val="0"/>
        <w:snapToGrid w:val="0"/>
        <w:spacing w:line="360" w:lineRule="auto"/>
        <w:jc w:val="center"/>
        <w:rPr>
          <w:rFonts w:ascii="宋体" w:hAnsi="宋体"/>
          <w:bCs/>
          <w:color w:val="auto"/>
          <w:w w:val="99"/>
          <w:kern w:val="0"/>
          <w:sz w:val="28"/>
          <w:szCs w:val="28"/>
          <w:highlight w:val="none"/>
        </w:rPr>
      </w:pPr>
      <w:r>
        <w:rPr>
          <w:rFonts w:ascii="宋体" w:hAnsi="宋体"/>
          <w:bCs/>
          <w:color w:val="auto"/>
          <w:w w:val="99"/>
          <w:kern w:val="0"/>
          <w:sz w:val="28"/>
          <w:szCs w:val="28"/>
          <w:highlight w:val="none"/>
        </w:rPr>
        <w:t>招</w:t>
      </w:r>
      <w:r>
        <w:rPr>
          <w:rFonts w:hint="eastAsia" w:ascii="宋体" w:hAnsi="宋体"/>
          <w:bCs/>
          <w:color w:val="auto"/>
          <w:w w:val="99"/>
          <w:kern w:val="0"/>
          <w:sz w:val="28"/>
          <w:szCs w:val="28"/>
          <w:highlight w:val="none"/>
        </w:rPr>
        <w:t xml:space="preserve">   </w:t>
      </w:r>
      <w:r>
        <w:rPr>
          <w:rFonts w:ascii="宋体" w:hAnsi="宋体"/>
          <w:bCs/>
          <w:color w:val="auto"/>
          <w:w w:val="99"/>
          <w:kern w:val="0"/>
          <w:sz w:val="28"/>
          <w:szCs w:val="28"/>
          <w:highlight w:val="none"/>
        </w:rPr>
        <w:t>标</w:t>
      </w:r>
      <w:r>
        <w:rPr>
          <w:rFonts w:hint="eastAsia" w:ascii="宋体" w:hAnsi="宋体"/>
          <w:bCs/>
          <w:color w:val="auto"/>
          <w:w w:val="99"/>
          <w:kern w:val="0"/>
          <w:sz w:val="28"/>
          <w:szCs w:val="28"/>
          <w:highlight w:val="none"/>
        </w:rPr>
        <w:t xml:space="preserve">   </w:t>
      </w:r>
      <w:r>
        <w:rPr>
          <w:rFonts w:ascii="宋体" w:hAnsi="宋体"/>
          <w:bCs/>
          <w:color w:val="auto"/>
          <w:w w:val="99"/>
          <w:kern w:val="0"/>
          <w:sz w:val="28"/>
          <w:szCs w:val="28"/>
          <w:highlight w:val="none"/>
        </w:rPr>
        <w:t>人：</w:t>
      </w:r>
      <w:r>
        <w:rPr>
          <w:rFonts w:ascii="宋体" w:hAnsi="宋体"/>
          <w:bCs/>
          <w:color w:val="auto"/>
          <w:kern w:val="0"/>
          <w:sz w:val="28"/>
          <w:szCs w:val="28"/>
          <w:highlight w:val="none"/>
          <w:u w:val="single"/>
        </w:rPr>
        <w:tab/>
      </w:r>
      <w:r>
        <w:rPr>
          <w:rFonts w:ascii="宋体" w:hAnsi="宋体"/>
          <w:bCs/>
          <w:color w:val="auto"/>
          <w:kern w:val="0"/>
          <w:sz w:val="28"/>
          <w:szCs w:val="28"/>
          <w:highlight w:val="none"/>
          <w:u w:val="single"/>
        </w:rPr>
        <w:t xml:space="preserve">   </w:t>
      </w:r>
      <w:r>
        <w:rPr>
          <w:rFonts w:ascii="宋体" w:hAnsi="宋体"/>
          <w:bCs/>
          <w:color w:val="auto"/>
          <w:w w:val="99"/>
          <w:kern w:val="0"/>
          <w:sz w:val="28"/>
          <w:szCs w:val="28"/>
          <w:highlight w:val="none"/>
        </w:rPr>
        <w:t>（盖单位法人章）</w:t>
      </w:r>
    </w:p>
    <w:p w14:paraId="24CD0EC3">
      <w:pPr>
        <w:tabs>
          <w:tab w:val="left" w:pos="6252"/>
        </w:tabs>
        <w:autoSpaceDE w:val="0"/>
        <w:autoSpaceDN w:val="0"/>
        <w:adjustRightInd w:val="0"/>
        <w:snapToGrid w:val="0"/>
        <w:spacing w:line="360" w:lineRule="auto"/>
        <w:jc w:val="center"/>
        <w:rPr>
          <w:rFonts w:ascii="宋体" w:hAnsi="宋体"/>
          <w:bCs/>
          <w:color w:val="auto"/>
          <w:w w:val="99"/>
          <w:kern w:val="0"/>
          <w:sz w:val="28"/>
          <w:szCs w:val="28"/>
          <w:highlight w:val="none"/>
        </w:rPr>
      </w:pPr>
      <w:r>
        <w:rPr>
          <w:rFonts w:ascii="宋体" w:hAnsi="宋体"/>
          <w:bCs/>
          <w:color w:val="auto"/>
          <w:spacing w:val="8"/>
          <w:kern w:val="0"/>
          <w:sz w:val="28"/>
          <w:szCs w:val="28"/>
          <w:highlight w:val="none"/>
        </w:rPr>
        <w:t>招标代理机构：</w:t>
      </w:r>
      <w:r>
        <w:rPr>
          <w:rFonts w:ascii="宋体" w:hAnsi="宋体"/>
          <w:bCs/>
          <w:color w:val="auto"/>
          <w:kern w:val="0"/>
          <w:sz w:val="28"/>
          <w:szCs w:val="28"/>
          <w:highlight w:val="none"/>
          <w:u w:val="single"/>
        </w:rPr>
        <w:tab/>
      </w:r>
      <w:r>
        <w:rPr>
          <w:rFonts w:ascii="宋体" w:hAnsi="宋体"/>
          <w:bCs/>
          <w:color w:val="auto"/>
          <w:kern w:val="0"/>
          <w:sz w:val="28"/>
          <w:szCs w:val="28"/>
          <w:highlight w:val="none"/>
          <w:u w:val="single"/>
        </w:rPr>
        <w:t xml:space="preserve">   </w:t>
      </w:r>
      <w:r>
        <w:rPr>
          <w:rFonts w:ascii="宋体" w:hAnsi="宋体"/>
          <w:bCs/>
          <w:color w:val="auto"/>
          <w:w w:val="99"/>
          <w:kern w:val="0"/>
          <w:sz w:val="28"/>
          <w:szCs w:val="28"/>
          <w:highlight w:val="none"/>
        </w:rPr>
        <w:t>（盖单位法人章）</w:t>
      </w:r>
    </w:p>
    <w:p w14:paraId="21EEEBBA">
      <w:pPr>
        <w:autoSpaceDE w:val="0"/>
        <w:autoSpaceDN w:val="0"/>
        <w:adjustRightInd w:val="0"/>
        <w:snapToGrid w:val="0"/>
        <w:spacing w:line="360" w:lineRule="auto"/>
        <w:jc w:val="center"/>
        <w:rPr>
          <w:rFonts w:ascii="宋体" w:hAnsi="宋体"/>
          <w:bCs/>
          <w:color w:val="auto"/>
          <w:kern w:val="0"/>
          <w:sz w:val="20"/>
          <w:szCs w:val="20"/>
          <w:highlight w:val="none"/>
        </w:rPr>
      </w:pPr>
    </w:p>
    <w:p w14:paraId="1B6F603A">
      <w:pPr>
        <w:autoSpaceDE w:val="0"/>
        <w:autoSpaceDN w:val="0"/>
        <w:adjustRightInd w:val="0"/>
        <w:snapToGrid w:val="0"/>
        <w:spacing w:line="360" w:lineRule="auto"/>
        <w:jc w:val="center"/>
        <w:rPr>
          <w:rFonts w:ascii="宋体" w:hAnsi="宋体"/>
          <w:bCs/>
          <w:color w:val="auto"/>
          <w:kern w:val="0"/>
          <w:sz w:val="28"/>
          <w:szCs w:val="28"/>
          <w:highlight w:val="none"/>
        </w:rPr>
      </w:pPr>
    </w:p>
    <w:p w14:paraId="1561BA72">
      <w:pPr>
        <w:autoSpaceDE w:val="0"/>
        <w:autoSpaceDN w:val="0"/>
        <w:adjustRightInd w:val="0"/>
        <w:snapToGrid w:val="0"/>
        <w:spacing w:line="360" w:lineRule="auto"/>
        <w:jc w:val="center"/>
        <w:rPr>
          <w:rFonts w:ascii="宋体" w:hAnsi="宋体"/>
          <w:bCs/>
          <w:color w:val="auto"/>
          <w:kern w:val="0"/>
          <w:sz w:val="28"/>
          <w:szCs w:val="28"/>
          <w:highlight w:val="none"/>
        </w:rPr>
      </w:pPr>
    </w:p>
    <w:p w14:paraId="0FE63A46">
      <w:pPr>
        <w:autoSpaceDE w:val="0"/>
        <w:autoSpaceDN w:val="0"/>
        <w:adjustRightInd w:val="0"/>
        <w:snapToGrid w:val="0"/>
        <w:spacing w:line="360" w:lineRule="auto"/>
        <w:rPr>
          <w:rFonts w:ascii="宋体" w:hAnsi="宋体"/>
          <w:bCs/>
          <w:color w:val="auto"/>
          <w:kern w:val="0"/>
          <w:sz w:val="20"/>
          <w:szCs w:val="20"/>
          <w:highlight w:val="none"/>
        </w:rPr>
      </w:pPr>
    </w:p>
    <w:p w14:paraId="67C0BE0D">
      <w:pPr>
        <w:tabs>
          <w:tab w:val="left" w:pos="6252"/>
        </w:tabs>
        <w:autoSpaceDE w:val="0"/>
        <w:autoSpaceDN w:val="0"/>
        <w:adjustRightInd w:val="0"/>
        <w:snapToGrid w:val="0"/>
        <w:spacing w:line="360" w:lineRule="auto"/>
        <w:jc w:val="center"/>
        <w:rPr>
          <w:rFonts w:ascii="宋体" w:hAnsi="宋体"/>
          <w:bCs/>
          <w:color w:val="auto"/>
          <w:spacing w:val="8"/>
          <w:kern w:val="0"/>
          <w:sz w:val="28"/>
          <w:szCs w:val="28"/>
          <w:highlight w:val="none"/>
        </w:rPr>
      </w:pPr>
      <w:bookmarkStart w:id="1" w:name="_Toc536621766"/>
      <w:bookmarkStart w:id="2" w:name="_Toc536797277"/>
      <w:bookmarkStart w:id="3" w:name="_Toc536796736"/>
      <w:bookmarkStart w:id="4" w:name="_Toc13210649"/>
      <w:bookmarkStart w:id="5" w:name="_Toc509218549"/>
      <w:r>
        <w:rPr>
          <w:rFonts w:hint="eastAsia" w:ascii="宋体" w:hAnsi="宋体"/>
          <w:bCs/>
          <w:color w:val="auto"/>
          <w:spacing w:val="8"/>
          <w:kern w:val="0"/>
          <w:sz w:val="28"/>
          <w:szCs w:val="28"/>
          <w:highlight w:val="none"/>
          <w:u w:val="single"/>
        </w:rPr>
        <w:t xml:space="preserve">    </w:t>
      </w:r>
      <w:r>
        <w:rPr>
          <w:rFonts w:ascii="宋体" w:hAnsi="宋体"/>
          <w:bCs/>
          <w:color w:val="auto"/>
          <w:spacing w:val="8"/>
          <w:kern w:val="0"/>
          <w:sz w:val="28"/>
          <w:szCs w:val="28"/>
          <w:highlight w:val="none"/>
        </w:rPr>
        <w:t>年</w:t>
      </w:r>
      <w:r>
        <w:rPr>
          <w:rFonts w:hint="eastAsia" w:ascii="宋体" w:hAnsi="宋体"/>
          <w:bCs/>
          <w:color w:val="auto"/>
          <w:spacing w:val="8"/>
          <w:kern w:val="0"/>
          <w:sz w:val="28"/>
          <w:szCs w:val="28"/>
          <w:highlight w:val="none"/>
          <w:u w:val="single"/>
        </w:rPr>
        <w:t xml:space="preserve">    </w:t>
      </w:r>
      <w:r>
        <w:rPr>
          <w:rFonts w:ascii="宋体" w:hAnsi="宋体"/>
          <w:bCs/>
          <w:color w:val="auto"/>
          <w:spacing w:val="8"/>
          <w:kern w:val="0"/>
          <w:sz w:val="28"/>
          <w:szCs w:val="28"/>
          <w:highlight w:val="none"/>
        </w:rPr>
        <w:t>月</w:t>
      </w:r>
      <w:r>
        <w:rPr>
          <w:rFonts w:hint="eastAsia" w:ascii="宋体" w:hAnsi="宋体"/>
          <w:bCs/>
          <w:color w:val="auto"/>
          <w:spacing w:val="8"/>
          <w:kern w:val="0"/>
          <w:sz w:val="28"/>
          <w:szCs w:val="28"/>
          <w:highlight w:val="none"/>
          <w:u w:val="single"/>
        </w:rPr>
        <w:t xml:space="preserve">    </w:t>
      </w:r>
      <w:r>
        <w:rPr>
          <w:rFonts w:ascii="宋体" w:hAnsi="宋体"/>
          <w:bCs/>
          <w:color w:val="auto"/>
          <w:spacing w:val="8"/>
          <w:kern w:val="0"/>
          <w:sz w:val="28"/>
          <w:szCs w:val="28"/>
          <w:highlight w:val="none"/>
        </w:rPr>
        <w:t>日</w:t>
      </w:r>
      <w:bookmarkEnd w:id="1"/>
      <w:bookmarkEnd w:id="2"/>
      <w:bookmarkEnd w:id="3"/>
      <w:bookmarkEnd w:id="4"/>
      <w:bookmarkEnd w:id="5"/>
    </w:p>
    <w:p w14:paraId="110ACEFD">
      <w:pPr>
        <w:pStyle w:val="3"/>
        <w:spacing w:line="360" w:lineRule="auto"/>
        <w:rPr>
          <w:rFonts w:hint="eastAsia" w:ascii="宋体" w:hAnsi="宋体"/>
          <w:color w:val="auto"/>
          <w:w w:val="99"/>
          <w:kern w:val="0"/>
          <w:sz w:val="24"/>
          <w:highlight w:val="none"/>
        </w:rPr>
        <w:sectPr>
          <w:footerReference r:id="rId8" w:type="default"/>
          <w:pgSz w:w="11907" w:h="16840"/>
          <w:pgMar w:top="1304" w:right="1134" w:bottom="1304" w:left="1304" w:header="851" w:footer="992" w:gutter="0"/>
          <w:pgNumType w:fmt="numberInDash" w:start="1"/>
          <w:cols w:space="720" w:num="1"/>
          <w:docGrid w:linePitch="312" w:charSpace="0"/>
        </w:sectPr>
      </w:pPr>
    </w:p>
    <w:p w14:paraId="623C3EF2">
      <w:pPr>
        <w:pStyle w:val="57"/>
        <w:jc w:val="center"/>
        <w:rPr>
          <w:rFonts w:ascii="宋体" w:hAnsi="宋体"/>
          <w:color w:val="auto"/>
          <w:sz w:val="44"/>
          <w:szCs w:val="44"/>
          <w:highlight w:val="none"/>
        </w:rPr>
      </w:pPr>
      <w:bookmarkStart w:id="6" w:name="_Toc23843"/>
      <w:r>
        <w:rPr>
          <w:rFonts w:ascii="宋体" w:hAnsi="宋体"/>
          <w:color w:val="auto"/>
          <w:sz w:val="44"/>
          <w:szCs w:val="44"/>
          <w:highlight w:val="none"/>
          <w:lang w:val="zh-CN"/>
        </w:rPr>
        <w:t>目</w:t>
      </w:r>
      <w:r>
        <w:rPr>
          <w:rFonts w:hint="eastAsia" w:ascii="宋体" w:hAnsi="宋体"/>
          <w:color w:val="auto"/>
          <w:sz w:val="44"/>
          <w:szCs w:val="44"/>
          <w:highlight w:val="none"/>
          <w:lang w:val="zh-CN"/>
        </w:rPr>
        <w:t xml:space="preserve"> </w:t>
      </w:r>
      <w:r>
        <w:rPr>
          <w:rFonts w:ascii="宋体" w:hAnsi="宋体"/>
          <w:color w:val="auto"/>
          <w:sz w:val="44"/>
          <w:szCs w:val="44"/>
          <w:highlight w:val="none"/>
          <w:lang w:val="zh-CN"/>
        </w:rPr>
        <w:t>录</w:t>
      </w:r>
      <w:bookmarkEnd w:id="6"/>
    </w:p>
    <w:p w14:paraId="38DB6EF3">
      <w:pPr>
        <w:pStyle w:val="31"/>
        <w:tabs>
          <w:tab w:val="right" w:leader="dot" w:pos="9459"/>
        </w:tabs>
        <w:rPr>
          <w:rFonts w:ascii="Calibri" w:hAnsi="Calibri"/>
          <w:b w:val="0"/>
          <w:bCs w:val="0"/>
          <w:caps w:val="0"/>
          <w:color w:val="auto"/>
          <w:sz w:val="21"/>
          <w:szCs w:val="22"/>
          <w:highlight w:val="none"/>
        </w:rPr>
      </w:pPr>
      <w:r>
        <w:rPr>
          <w:rFonts w:ascii="宋体" w:hAnsi="宋体"/>
          <w:color w:val="auto"/>
          <w:highlight w:val="none"/>
        </w:rPr>
        <w:fldChar w:fldCharType="begin"/>
      </w:r>
      <w:r>
        <w:rPr>
          <w:rFonts w:ascii="宋体" w:hAnsi="宋体"/>
          <w:color w:val="auto"/>
          <w:highlight w:val="none"/>
        </w:rPr>
        <w:instrText xml:space="preserve"> TOC \o "1-3" \h \z \u </w:instrText>
      </w:r>
      <w:r>
        <w:rPr>
          <w:rFonts w:ascii="宋体" w:hAnsi="宋体"/>
          <w:color w:val="auto"/>
          <w:highlight w:val="none"/>
        </w:rPr>
        <w:fldChar w:fldCharType="separate"/>
      </w: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"_Toc57820540"</w:instrText>
      </w:r>
      <w:r>
        <w:rPr>
          <w:rStyle w:val="53"/>
          <w:color w:val="auto"/>
          <w:highlight w:val="none"/>
        </w:rPr>
        <w:instrText xml:space="preserve"> </w:instrText>
      </w:r>
      <w:r>
        <w:rPr>
          <w:color w:val="auto"/>
          <w:highlight w:val="none"/>
        </w:rPr>
        <w:fldChar w:fldCharType="separate"/>
      </w:r>
      <w:r>
        <w:rPr>
          <w:rStyle w:val="53"/>
          <w:rFonts w:hint="eastAsia" w:ascii="宋体" w:hAnsi="宋体"/>
          <w:color w:val="auto"/>
          <w:highlight w:val="none"/>
        </w:rPr>
        <w:t>第</w:t>
      </w:r>
      <w:r>
        <w:rPr>
          <w:rStyle w:val="53"/>
          <w:rFonts w:ascii="宋体" w:hAnsi="宋体"/>
          <w:color w:val="auto"/>
          <w:highlight w:val="none"/>
        </w:rPr>
        <w:t xml:space="preserve"> </w:t>
      </w:r>
      <w:r>
        <w:rPr>
          <w:rStyle w:val="53"/>
          <w:rFonts w:hint="eastAsia" w:ascii="宋体" w:hAnsi="宋体"/>
          <w:color w:val="auto"/>
          <w:highlight w:val="none"/>
        </w:rPr>
        <w:t>一</w:t>
      </w:r>
      <w:r>
        <w:rPr>
          <w:rStyle w:val="53"/>
          <w:rFonts w:ascii="宋体" w:hAnsi="宋体"/>
          <w:color w:val="auto"/>
          <w:highlight w:val="none"/>
        </w:rPr>
        <w:t xml:space="preserve"> </w:t>
      </w:r>
      <w:r>
        <w:rPr>
          <w:rStyle w:val="53"/>
          <w:rFonts w:hint="eastAsia" w:ascii="宋体" w:hAnsi="宋体"/>
          <w:color w:val="auto"/>
          <w:highlight w:val="none"/>
        </w:rPr>
        <w:t>卷</w:t>
      </w:r>
      <w:r>
        <w:rPr>
          <w:color w:val="auto"/>
          <w:highlight w:val="none"/>
        </w:rPr>
        <w:tab/>
      </w:r>
      <w:r>
        <w:rPr>
          <w:color w:val="auto"/>
          <w:highlight w:val="none"/>
        </w:rPr>
        <w:fldChar w:fldCharType="begin"/>
      </w:r>
      <w:r>
        <w:rPr>
          <w:color w:val="auto"/>
          <w:highlight w:val="none"/>
        </w:rPr>
        <w:instrText xml:space="preserve"> PAGEREF _Toc57820540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14:paraId="0079B43F">
      <w:pPr>
        <w:pStyle w:val="31"/>
        <w:tabs>
          <w:tab w:val="right" w:leader="dot" w:pos="9459"/>
        </w:tabs>
        <w:rPr>
          <w:rFonts w:ascii="Calibri" w:hAnsi="Calibri"/>
          <w:b w:val="0"/>
          <w:bCs w:val="0"/>
          <w: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"_Toc57820541"</w:instrText>
      </w:r>
      <w:r>
        <w:rPr>
          <w:rStyle w:val="53"/>
          <w:color w:val="auto"/>
          <w:highlight w:val="none"/>
        </w:rPr>
        <w:instrText xml:space="preserve"> </w:instrText>
      </w:r>
      <w:r>
        <w:rPr>
          <w:color w:val="auto"/>
          <w:highlight w:val="none"/>
        </w:rPr>
        <w:fldChar w:fldCharType="separate"/>
      </w:r>
      <w:r>
        <w:rPr>
          <w:rStyle w:val="53"/>
          <w:rFonts w:hint="eastAsia" w:ascii="宋体" w:hAnsi="宋体"/>
          <w:snapToGrid w:val="0"/>
          <w:color w:val="auto"/>
          <w:kern w:val="0"/>
          <w:highlight w:val="none"/>
        </w:rPr>
        <w:t>第一章</w:t>
      </w:r>
      <w:r>
        <w:rPr>
          <w:rStyle w:val="53"/>
          <w:rFonts w:ascii="宋体" w:hAnsi="宋体"/>
          <w:snapToGrid w:val="0"/>
          <w:color w:val="auto"/>
          <w:kern w:val="0"/>
          <w:highlight w:val="none"/>
        </w:rPr>
        <w:t xml:space="preserve">  </w:t>
      </w:r>
      <w:r>
        <w:rPr>
          <w:rStyle w:val="53"/>
          <w:rFonts w:hint="eastAsia" w:ascii="宋体" w:hAnsi="宋体"/>
          <w:snapToGrid w:val="0"/>
          <w:color w:val="auto"/>
          <w:kern w:val="0"/>
          <w:highlight w:val="none"/>
        </w:rPr>
        <w:t>招标公告（</w:t>
      </w:r>
      <w:r>
        <w:rPr>
          <w:rStyle w:val="53"/>
          <w:rFonts w:hint="eastAsia" w:ascii="宋体" w:hAnsi="宋体"/>
          <w:snapToGrid w:val="0"/>
          <w:color w:val="auto"/>
          <w:highlight w:val="none"/>
        </w:rPr>
        <w:t>未进行资格预审</w:t>
      </w:r>
      <w:r>
        <w:rPr>
          <w:rStyle w:val="53"/>
          <w:rFonts w:hint="eastAsia" w:ascii="宋体" w:hAnsi="宋体"/>
          <w:snapToGrid w:val="0"/>
          <w:color w:val="auto"/>
          <w:kern w:val="0"/>
          <w:highlight w:val="none"/>
        </w:rPr>
        <w:t>）</w:t>
      </w:r>
      <w:r>
        <w:rPr>
          <w:color w:val="auto"/>
          <w:highlight w:val="none"/>
        </w:rPr>
        <w:tab/>
      </w:r>
      <w:r>
        <w:rPr>
          <w:color w:val="auto"/>
          <w:highlight w:val="none"/>
        </w:rPr>
        <w:fldChar w:fldCharType="begin"/>
      </w:r>
      <w:r>
        <w:rPr>
          <w:color w:val="auto"/>
          <w:highlight w:val="none"/>
        </w:rPr>
        <w:instrText xml:space="preserve"> PAGEREF _Toc57820541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1261C055">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"_Toc57820542"</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1.  </w:t>
      </w:r>
      <w:r>
        <w:rPr>
          <w:rStyle w:val="53"/>
          <w:rFonts w:hint="eastAsia" w:ascii="宋体" w:hAnsi="宋体"/>
          <w:snapToGrid w:val="0"/>
          <w:color w:val="auto"/>
          <w:highlight w:val="none"/>
        </w:rPr>
        <w:t>招标条件</w:t>
      </w:r>
      <w:r>
        <w:rPr>
          <w:color w:val="auto"/>
          <w:highlight w:val="none"/>
        </w:rPr>
        <w:tab/>
      </w:r>
      <w:r>
        <w:rPr>
          <w:color w:val="auto"/>
          <w:highlight w:val="none"/>
        </w:rPr>
        <w:fldChar w:fldCharType="begin"/>
      </w:r>
      <w:r>
        <w:rPr>
          <w:color w:val="auto"/>
          <w:highlight w:val="none"/>
        </w:rPr>
        <w:instrText xml:space="preserve"> PAGEREF _Toc57820542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46AF8AE6">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"_Toc57820543"</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2.  </w:t>
      </w:r>
      <w:r>
        <w:rPr>
          <w:rStyle w:val="53"/>
          <w:rFonts w:hint="eastAsia" w:ascii="宋体" w:hAnsi="宋体"/>
          <w:snapToGrid w:val="0"/>
          <w:color w:val="auto"/>
          <w:highlight w:val="none"/>
        </w:rPr>
        <w:t>项目概况与招标范围</w:t>
      </w:r>
      <w:r>
        <w:rPr>
          <w:color w:val="auto"/>
          <w:highlight w:val="none"/>
        </w:rPr>
        <w:tab/>
      </w:r>
      <w:r>
        <w:rPr>
          <w:color w:val="auto"/>
          <w:highlight w:val="none"/>
        </w:rPr>
        <w:fldChar w:fldCharType="begin"/>
      </w:r>
      <w:r>
        <w:rPr>
          <w:color w:val="auto"/>
          <w:highlight w:val="none"/>
        </w:rPr>
        <w:instrText xml:space="preserve"> PAGEREF _Toc57820543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6B3F4EAA">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"_Toc57820544"</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3.  </w:t>
      </w:r>
      <w:r>
        <w:rPr>
          <w:rStyle w:val="53"/>
          <w:rFonts w:hint="eastAsia" w:ascii="宋体" w:hAnsi="宋体"/>
          <w:snapToGrid w:val="0"/>
          <w:color w:val="auto"/>
          <w:highlight w:val="none"/>
        </w:rPr>
        <w:t>投标人资格要求</w:t>
      </w:r>
      <w:r>
        <w:rPr>
          <w:color w:val="auto"/>
          <w:highlight w:val="none"/>
        </w:rPr>
        <w:tab/>
      </w:r>
      <w:r>
        <w:rPr>
          <w:color w:val="auto"/>
          <w:highlight w:val="none"/>
        </w:rPr>
        <w:fldChar w:fldCharType="begin"/>
      </w:r>
      <w:r>
        <w:rPr>
          <w:color w:val="auto"/>
          <w:highlight w:val="none"/>
        </w:rPr>
        <w:instrText xml:space="preserve"> PAGEREF _Toc57820544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6676C9C1">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"_Toc57820545"</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4.  </w:t>
      </w:r>
      <w:r>
        <w:rPr>
          <w:rStyle w:val="53"/>
          <w:rFonts w:hint="eastAsia" w:ascii="宋体" w:hAnsi="宋体"/>
          <w:snapToGrid w:val="0"/>
          <w:color w:val="auto"/>
          <w:highlight w:val="none"/>
        </w:rPr>
        <w:t>招标文件的获取</w:t>
      </w:r>
      <w:r>
        <w:rPr>
          <w:color w:val="auto"/>
          <w:highlight w:val="none"/>
        </w:rPr>
        <w:tab/>
      </w:r>
      <w:r>
        <w:rPr>
          <w:color w:val="auto"/>
          <w:highlight w:val="none"/>
        </w:rPr>
        <w:fldChar w:fldCharType="begin"/>
      </w:r>
      <w:r>
        <w:rPr>
          <w:color w:val="auto"/>
          <w:highlight w:val="none"/>
        </w:rPr>
        <w:instrText xml:space="preserve"> PAGEREF _Toc57820545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632727E5">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"_Toc57820546"</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5.  </w:t>
      </w:r>
      <w:r>
        <w:rPr>
          <w:rStyle w:val="53"/>
          <w:rFonts w:hint="eastAsia" w:ascii="宋体" w:hAnsi="宋体"/>
          <w:snapToGrid w:val="0"/>
          <w:color w:val="auto"/>
          <w:highlight w:val="none"/>
        </w:rPr>
        <w:t>投标文件的递交</w:t>
      </w:r>
      <w:r>
        <w:rPr>
          <w:color w:val="auto"/>
          <w:highlight w:val="none"/>
        </w:rPr>
        <w:tab/>
      </w:r>
      <w:r>
        <w:rPr>
          <w:color w:val="auto"/>
          <w:highlight w:val="none"/>
        </w:rPr>
        <w:fldChar w:fldCharType="begin"/>
      </w:r>
      <w:r>
        <w:rPr>
          <w:color w:val="auto"/>
          <w:highlight w:val="none"/>
        </w:rPr>
        <w:instrText xml:space="preserve"> PAGEREF _Toc57820546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10602E1E">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"_Toc57820547"</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6.  </w:t>
      </w:r>
      <w:r>
        <w:rPr>
          <w:rStyle w:val="53"/>
          <w:rFonts w:hint="eastAsia" w:ascii="宋体" w:hAnsi="宋体"/>
          <w:snapToGrid w:val="0"/>
          <w:color w:val="auto"/>
          <w:highlight w:val="none"/>
        </w:rPr>
        <w:t>发布公告的媒介</w:t>
      </w:r>
      <w:r>
        <w:rPr>
          <w:color w:val="auto"/>
          <w:highlight w:val="none"/>
        </w:rPr>
        <w:tab/>
      </w:r>
      <w:r>
        <w:rPr>
          <w:color w:val="auto"/>
          <w:highlight w:val="none"/>
        </w:rPr>
        <w:fldChar w:fldCharType="begin"/>
      </w:r>
      <w:r>
        <w:rPr>
          <w:color w:val="auto"/>
          <w:highlight w:val="none"/>
        </w:rPr>
        <w:instrText xml:space="preserve"> PAGEREF _Toc57820547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7850BA9A">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"_Toc57820548"</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7.  </w:t>
      </w:r>
      <w:r>
        <w:rPr>
          <w:rStyle w:val="53"/>
          <w:rFonts w:hint="eastAsia" w:ascii="宋体" w:hAnsi="宋体"/>
          <w:snapToGrid w:val="0"/>
          <w:color w:val="auto"/>
          <w:highlight w:val="none"/>
        </w:rPr>
        <w:t>联系方式</w:t>
      </w:r>
      <w:r>
        <w:rPr>
          <w:color w:val="auto"/>
          <w:highlight w:val="none"/>
        </w:rPr>
        <w:tab/>
      </w:r>
      <w:r>
        <w:rPr>
          <w:color w:val="auto"/>
          <w:highlight w:val="none"/>
        </w:rPr>
        <w:fldChar w:fldCharType="begin"/>
      </w:r>
      <w:r>
        <w:rPr>
          <w:color w:val="auto"/>
          <w:highlight w:val="none"/>
        </w:rPr>
        <w:instrText xml:space="preserve"> PAGEREF _Toc57820548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72D490A8">
      <w:pPr>
        <w:pStyle w:val="31"/>
        <w:tabs>
          <w:tab w:val="right" w:leader="dot" w:pos="9459"/>
        </w:tabs>
        <w:rPr>
          <w:rFonts w:ascii="Calibri" w:hAnsi="Calibri"/>
          <w:b w:val="0"/>
          <w:bCs w:val="0"/>
          <w: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"_Toc57820549"</w:instrText>
      </w:r>
      <w:r>
        <w:rPr>
          <w:rStyle w:val="53"/>
          <w:color w:val="auto"/>
          <w:highlight w:val="none"/>
        </w:rPr>
        <w:instrText xml:space="preserve"> </w:instrText>
      </w:r>
      <w:r>
        <w:rPr>
          <w:color w:val="auto"/>
          <w:highlight w:val="none"/>
        </w:rPr>
        <w:fldChar w:fldCharType="separate"/>
      </w:r>
      <w:r>
        <w:rPr>
          <w:rStyle w:val="53"/>
          <w:rFonts w:hint="eastAsia" w:ascii="宋体" w:hAnsi="宋体"/>
          <w:snapToGrid w:val="0"/>
          <w:color w:val="auto"/>
          <w:highlight w:val="none"/>
        </w:rPr>
        <w:t>第一章</w:t>
      </w:r>
      <w:r>
        <w:rPr>
          <w:rStyle w:val="53"/>
          <w:rFonts w:ascii="宋体" w:hAnsi="宋体"/>
          <w:snapToGrid w:val="0"/>
          <w:color w:val="auto"/>
          <w:highlight w:val="none"/>
        </w:rPr>
        <w:t xml:space="preserve">  </w:t>
      </w:r>
      <w:r>
        <w:rPr>
          <w:rStyle w:val="53"/>
          <w:rFonts w:hint="eastAsia" w:ascii="宋体" w:hAnsi="宋体"/>
          <w:snapToGrid w:val="0"/>
          <w:color w:val="auto"/>
          <w:highlight w:val="none"/>
        </w:rPr>
        <w:t>投标邀请书（适用于邀请招标）</w:t>
      </w:r>
      <w:r>
        <w:rPr>
          <w:color w:val="auto"/>
          <w:highlight w:val="none"/>
        </w:rPr>
        <w:tab/>
      </w:r>
      <w:r>
        <w:rPr>
          <w:color w:val="auto"/>
          <w:highlight w:val="none"/>
        </w:rPr>
        <w:fldChar w:fldCharType="begin"/>
      </w:r>
      <w:r>
        <w:rPr>
          <w:color w:val="auto"/>
          <w:highlight w:val="none"/>
        </w:rPr>
        <w:instrText xml:space="preserve"> PAGEREF _Toc57820549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4218FD33">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"_Toc57820550"</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1.  </w:t>
      </w:r>
      <w:r>
        <w:rPr>
          <w:rStyle w:val="53"/>
          <w:rFonts w:hint="eastAsia" w:ascii="宋体" w:hAnsi="宋体"/>
          <w:snapToGrid w:val="0"/>
          <w:color w:val="auto"/>
          <w:highlight w:val="none"/>
        </w:rPr>
        <w:t>招标条件</w:t>
      </w:r>
      <w:r>
        <w:rPr>
          <w:color w:val="auto"/>
          <w:highlight w:val="none"/>
        </w:rPr>
        <w:tab/>
      </w:r>
      <w:r>
        <w:rPr>
          <w:color w:val="auto"/>
          <w:highlight w:val="none"/>
        </w:rPr>
        <w:fldChar w:fldCharType="begin"/>
      </w:r>
      <w:r>
        <w:rPr>
          <w:color w:val="auto"/>
          <w:highlight w:val="none"/>
        </w:rPr>
        <w:instrText xml:space="preserve"> PAGEREF _Toc57820550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21D8ED7A">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"_Toc57820551"</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2.  </w:t>
      </w:r>
      <w:r>
        <w:rPr>
          <w:rStyle w:val="53"/>
          <w:rFonts w:hint="eastAsia" w:ascii="宋体" w:hAnsi="宋体"/>
          <w:snapToGrid w:val="0"/>
          <w:color w:val="auto"/>
          <w:highlight w:val="none"/>
        </w:rPr>
        <w:t>项目概况与招标范围</w:t>
      </w:r>
      <w:r>
        <w:rPr>
          <w:color w:val="auto"/>
          <w:highlight w:val="none"/>
        </w:rPr>
        <w:tab/>
      </w:r>
      <w:r>
        <w:rPr>
          <w:color w:val="auto"/>
          <w:highlight w:val="none"/>
        </w:rPr>
        <w:fldChar w:fldCharType="begin"/>
      </w:r>
      <w:r>
        <w:rPr>
          <w:color w:val="auto"/>
          <w:highlight w:val="none"/>
        </w:rPr>
        <w:instrText xml:space="preserve"> PAGEREF _Toc57820551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6D3547B8">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"_Toc57820552"</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3.  </w:t>
      </w:r>
      <w:r>
        <w:rPr>
          <w:rStyle w:val="53"/>
          <w:rFonts w:hint="eastAsia" w:ascii="宋体" w:hAnsi="宋体"/>
          <w:snapToGrid w:val="0"/>
          <w:color w:val="auto"/>
          <w:highlight w:val="none"/>
        </w:rPr>
        <w:t>投标人资格要求</w:t>
      </w:r>
      <w:r>
        <w:rPr>
          <w:color w:val="auto"/>
          <w:highlight w:val="none"/>
        </w:rPr>
        <w:tab/>
      </w:r>
      <w:r>
        <w:rPr>
          <w:color w:val="auto"/>
          <w:highlight w:val="none"/>
        </w:rPr>
        <w:fldChar w:fldCharType="begin"/>
      </w:r>
      <w:r>
        <w:rPr>
          <w:color w:val="auto"/>
          <w:highlight w:val="none"/>
        </w:rPr>
        <w:instrText xml:space="preserve"> PAGEREF _Toc57820552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137A3A87">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"_Toc57820553"</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4.  </w:t>
      </w:r>
      <w:r>
        <w:rPr>
          <w:rStyle w:val="53"/>
          <w:rFonts w:hint="eastAsia" w:ascii="宋体" w:hAnsi="宋体"/>
          <w:snapToGrid w:val="0"/>
          <w:color w:val="auto"/>
          <w:highlight w:val="none"/>
        </w:rPr>
        <w:t>招标文件的获取</w:t>
      </w:r>
      <w:r>
        <w:rPr>
          <w:color w:val="auto"/>
          <w:highlight w:val="none"/>
        </w:rPr>
        <w:tab/>
      </w:r>
      <w:r>
        <w:rPr>
          <w:color w:val="auto"/>
          <w:highlight w:val="none"/>
        </w:rPr>
        <w:fldChar w:fldCharType="begin"/>
      </w:r>
      <w:r>
        <w:rPr>
          <w:color w:val="auto"/>
          <w:highlight w:val="none"/>
        </w:rPr>
        <w:instrText xml:space="preserve"> PAGEREF _Toc57820553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4D7B5AF1">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"_Toc57820554"</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5.  </w:t>
      </w:r>
      <w:r>
        <w:rPr>
          <w:rStyle w:val="53"/>
          <w:rFonts w:hint="eastAsia" w:ascii="宋体" w:hAnsi="宋体"/>
          <w:snapToGrid w:val="0"/>
          <w:color w:val="auto"/>
          <w:highlight w:val="none"/>
        </w:rPr>
        <w:t>投标文件的递交</w:t>
      </w:r>
      <w:r>
        <w:rPr>
          <w:color w:val="auto"/>
          <w:highlight w:val="none"/>
        </w:rPr>
        <w:tab/>
      </w:r>
      <w:r>
        <w:rPr>
          <w:color w:val="auto"/>
          <w:highlight w:val="none"/>
        </w:rPr>
        <w:fldChar w:fldCharType="begin"/>
      </w:r>
      <w:r>
        <w:rPr>
          <w:color w:val="auto"/>
          <w:highlight w:val="none"/>
        </w:rPr>
        <w:instrText xml:space="preserve"> PAGEREF _Toc57820554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2AD2CFC5">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"_Toc57820555"</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6.  </w:t>
      </w:r>
      <w:r>
        <w:rPr>
          <w:rStyle w:val="53"/>
          <w:rFonts w:hint="eastAsia" w:ascii="宋体" w:hAnsi="宋体"/>
          <w:snapToGrid w:val="0"/>
          <w:color w:val="auto"/>
          <w:highlight w:val="none"/>
        </w:rPr>
        <w:t>确认</w:t>
      </w:r>
      <w:r>
        <w:rPr>
          <w:color w:val="auto"/>
          <w:highlight w:val="none"/>
        </w:rPr>
        <w:tab/>
      </w:r>
      <w:r>
        <w:rPr>
          <w:color w:val="auto"/>
          <w:highlight w:val="none"/>
        </w:rPr>
        <w:fldChar w:fldCharType="begin"/>
      </w:r>
      <w:r>
        <w:rPr>
          <w:color w:val="auto"/>
          <w:highlight w:val="none"/>
        </w:rPr>
        <w:instrText xml:space="preserve"> PAGEREF _Toc57820555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035B07B7">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"_Toc57820556"</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7.  </w:t>
      </w:r>
      <w:r>
        <w:rPr>
          <w:rStyle w:val="53"/>
          <w:rFonts w:hint="eastAsia" w:ascii="宋体" w:hAnsi="宋体"/>
          <w:snapToGrid w:val="0"/>
          <w:color w:val="auto"/>
          <w:highlight w:val="none"/>
        </w:rPr>
        <w:t>联系方式</w:t>
      </w:r>
      <w:r>
        <w:rPr>
          <w:color w:val="auto"/>
          <w:highlight w:val="none"/>
        </w:rPr>
        <w:tab/>
      </w:r>
      <w:r>
        <w:rPr>
          <w:color w:val="auto"/>
          <w:highlight w:val="none"/>
        </w:rPr>
        <w:fldChar w:fldCharType="begin"/>
      </w:r>
      <w:r>
        <w:rPr>
          <w:color w:val="auto"/>
          <w:highlight w:val="none"/>
        </w:rPr>
        <w:instrText xml:space="preserve"> PAGEREF _Toc57820556 \h </w:instrText>
      </w:r>
      <w:r>
        <w:rPr>
          <w:color w:val="auto"/>
          <w:highlight w:val="none"/>
        </w:rPr>
        <w:fldChar w:fldCharType="separate"/>
      </w:r>
      <w:r>
        <w:rPr>
          <w:color w:val="auto"/>
          <w:highlight w:val="none"/>
        </w:rPr>
        <w:t>10</w:t>
      </w:r>
      <w:r>
        <w:rPr>
          <w:color w:val="auto"/>
          <w:highlight w:val="none"/>
        </w:rPr>
        <w:fldChar w:fldCharType="end"/>
      </w:r>
      <w:r>
        <w:rPr>
          <w:color w:val="auto"/>
          <w:highlight w:val="none"/>
        </w:rPr>
        <w:fldChar w:fldCharType="end"/>
      </w:r>
    </w:p>
    <w:p w14:paraId="336AE263">
      <w:pPr>
        <w:pStyle w:val="31"/>
        <w:tabs>
          <w:tab w:val="right" w:leader="dot" w:pos="9459"/>
        </w:tabs>
        <w:rPr>
          <w:rFonts w:ascii="Calibri" w:hAnsi="Calibri"/>
          <w:b w:val="0"/>
          <w:bCs w:val="0"/>
          <w: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"_Toc57820557"</w:instrText>
      </w:r>
      <w:r>
        <w:rPr>
          <w:rStyle w:val="53"/>
          <w:color w:val="auto"/>
          <w:highlight w:val="none"/>
        </w:rPr>
        <w:instrText xml:space="preserve"> </w:instrText>
      </w:r>
      <w:r>
        <w:rPr>
          <w:color w:val="auto"/>
          <w:highlight w:val="none"/>
        </w:rPr>
        <w:fldChar w:fldCharType="separate"/>
      </w:r>
      <w:r>
        <w:rPr>
          <w:rStyle w:val="53"/>
          <w:rFonts w:hint="eastAsia" w:ascii="宋体" w:hAnsi="宋体"/>
          <w:snapToGrid w:val="0"/>
          <w:color w:val="auto"/>
          <w:kern w:val="0"/>
          <w:highlight w:val="none"/>
        </w:rPr>
        <w:t>第一章</w:t>
      </w:r>
      <w:r>
        <w:rPr>
          <w:rStyle w:val="53"/>
          <w:rFonts w:ascii="宋体" w:hAnsi="宋体"/>
          <w:snapToGrid w:val="0"/>
          <w:color w:val="auto"/>
          <w:kern w:val="0"/>
          <w:highlight w:val="none"/>
        </w:rPr>
        <w:t xml:space="preserve">  </w:t>
      </w:r>
      <w:r>
        <w:rPr>
          <w:rStyle w:val="53"/>
          <w:rFonts w:hint="eastAsia" w:ascii="宋体" w:hAnsi="宋体"/>
          <w:snapToGrid w:val="0"/>
          <w:color w:val="auto"/>
          <w:kern w:val="0"/>
          <w:highlight w:val="none"/>
        </w:rPr>
        <w:t>投标邀请书（代资格预审通过通知书）</w:t>
      </w:r>
      <w:r>
        <w:rPr>
          <w:color w:val="auto"/>
          <w:highlight w:val="none"/>
        </w:rPr>
        <w:tab/>
      </w:r>
      <w:r>
        <w:rPr>
          <w:color w:val="auto"/>
          <w:highlight w:val="none"/>
        </w:rPr>
        <w:fldChar w:fldCharType="begin"/>
      </w:r>
      <w:r>
        <w:rPr>
          <w:color w:val="auto"/>
          <w:highlight w:val="none"/>
        </w:rPr>
        <w:instrText xml:space="preserve"> PAGEREF _Toc57820557 \h </w:instrText>
      </w:r>
      <w:r>
        <w:rPr>
          <w:color w:val="auto"/>
          <w:highlight w:val="none"/>
        </w:rPr>
        <w:fldChar w:fldCharType="separate"/>
      </w:r>
      <w:r>
        <w:rPr>
          <w:color w:val="auto"/>
          <w:highlight w:val="none"/>
        </w:rPr>
        <w:t>11</w:t>
      </w:r>
      <w:r>
        <w:rPr>
          <w:color w:val="auto"/>
          <w:highlight w:val="none"/>
        </w:rPr>
        <w:fldChar w:fldCharType="end"/>
      </w:r>
      <w:r>
        <w:rPr>
          <w:color w:val="auto"/>
          <w:highlight w:val="none"/>
        </w:rPr>
        <w:fldChar w:fldCharType="end"/>
      </w:r>
    </w:p>
    <w:p w14:paraId="1F37B2B7">
      <w:pPr>
        <w:pStyle w:val="31"/>
        <w:tabs>
          <w:tab w:val="right" w:leader="dot" w:pos="9459"/>
        </w:tabs>
        <w:rPr>
          <w:rFonts w:ascii="Calibri" w:hAnsi="Calibri"/>
          <w:b w:val="0"/>
          <w:bCs w:val="0"/>
          <w: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"_Toc57820558"</w:instrText>
      </w:r>
      <w:r>
        <w:rPr>
          <w:rStyle w:val="53"/>
          <w:color w:val="auto"/>
          <w:highlight w:val="none"/>
        </w:rPr>
        <w:instrText xml:space="preserve"> </w:instrText>
      </w:r>
      <w:r>
        <w:rPr>
          <w:color w:val="auto"/>
          <w:highlight w:val="none"/>
        </w:rPr>
        <w:fldChar w:fldCharType="separate"/>
      </w:r>
      <w:r>
        <w:rPr>
          <w:rStyle w:val="53"/>
          <w:rFonts w:hint="eastAsia" w:ascii="宋体" w:hAnsi="宋体"/>
          <w:snapToGrid w:val="0"/>
          <w:color w:val="auto"/>
          <w:kern w:val="0"/>
          <w:highlight w:val="none"/>
        </w:rPr>
        <w:t>第二章</w:t>
      </w:r>
      <w:r>
        <w:rPr>
          <w:rStyle w:val="53"/>
          <w:rFonts w:ascii="宋体" w:hAnsi="宋体"/>
          <w:snapToGrid w:val="0"/>
          <w:color w:val="auto"/>
          <w:kern w:val="0"/>
          <w:highlight w:val="none"/>
        </w:rPr>
        <w:t xml:space="preserve">  </w:t>
      </w:r>
      <w:r>
        <w:rPr>
          <w:rStyle w:val="53"/>
          <w:rFonts w:hint="eastAsia" w:ascii="宋体" w:hAnsi="宋体"/>
          <w:snapToGrid w:val="0"/>
          <w:color w:val="auto"/>
          <w:kern w:val="0"/>
          <w:highlight w:val="none"/>
        </w:rPr>
        <w:t>投标人须知</w:t>
      </w:r>
      <w:r>
        <w:rPr>
          <w:color w:val="auto"/>
          <w:highlight w:val="none"/>
        </w:rPr>
        <w:tab/>
      </w:r>
      <w:r>
        <w:rPr>
          <w:color w:val="auto"/>
          <w:highlight w:val="none"/>
        </w:rPr>
        <w:fldChar w:fldCharType="begin"/>
      </w:r>
      <w:r>
        <w:rPr>
          <w:color w:val="auto"/>
          <w:highlight w:val="none"/>
        </w:rPr>
        <w:instrText xml:space="preserve"> PAGEREF _Toc57820558 \h </w:instrText>
      </w:r>
      <w:r>
        <w:rPr>
          <w:color w:val="auto"/>
          <w:highlight w:val="none"/>
        </w:rPr>
        <w:fldChar w:fldCharType="separate"/>
      </w:r>
      <w:r>
        <w:rPr>
          <w:color w:val="auto"/>
          <w:highlight w:val="none"/>
        </w:rPr>
        <w:t>12</w:t>
      </w:r>
      <w:r>
        <w:rPr>
          <w:color w:val="auto"/>
          <w:highlight w:val="none"/>
        </w:rPr>
        <w:fldChar w:fldCharType="end"/>
      </w:r>
      <w:r>
        <w:rPr>
          <w:color w:val="auto"/>
          <w:highlight w:val="none"/>
        </w:rPr>
        <w:fldChar w:fldCharType="end"/>
      </w:r>
    </w:p>
    <w:p w14:paraId="1A9C74EC">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"_Toc57820559"</w:instrText>
      </w:r>
      <w:r>
        <w:rPr>
          <w:rStyle w:val="53"/>
          <w:color w:val="auto"/>
          <w:highlight w:val="none"/>
        </w:rPr>
        <w:instrText xml:space="preserve"> </w:instrText>
      </w:r>
      <w:r>
        <w:rPr>
          <w:color w:val="auto"/>
          <w:highlight w:val="none"/>
        </w:rPr>
        <w:fldChar w:fldCharType="separate"/>
      </w:r>
      <w:r>
        <w:rPr>
          <w:rStyle w:val="53"/>
          <w:rFonts w:hint="eastAsia" w:ascii="宋体" w:hAnsi="宋体"/>
          <w:color w:val="auto"/>
          <w:highlight w:val="none"/>
        </w:rPr>
        <w:t>投标人须知前附表</w:t>
      </w:r>
      <w:r>
        <w:rPr>
          <w:color w:val="auto"/>
          <w:highlight w:val="none"/>
        </w:rPr>
        <w:tab/>
      </w:r>
      <w:r>
        <w:rPr>
          <w:color w:val="auto"/>
          <w:highlight w:val="none"/>
        </w:rPr>
        <w:fldChar w:fldCharType="begin"/>
      </w:r>
      <w:r>
        <w:rPr>
          <w:color w:val="auto"/>
          <w:highlight w:val="none"/>
        </w:rPr>
        <w:instrText xml:space="preserve"> PAGEREF _Toc57820559 \h </w:instrText>
      </w:r>
      <w:r>
        <w:rPr>
          <w:color w:val="auto"/>
          <w:highlight w:val="none"/>
        </w:rPr>
        <w:fldChar w:fldCharType="separate"/>
      </w:r>
      <w:r>
        <w:rPr>
          <w:color w:val="auto"/>
          <w:highlight w:val="none"/>
        </w:rPr>
        <w:t>12</w:t>
      </w:r>
      <w:r>
        <w:rPr>
          <w:color w:val="auto"/>
          <w:highlight w:val="none"/>
        </w:rPr>
        <w:fldChar w:fldCharType="end"/>
      </w:r>
      <w:r>
        <w:rPr>
          <w:color w:val="auto"/>
          <w:highlight w:val="none"/>
        </w:rPr>
        <w:fldChar w:fldCharType="end"/>
      </w:r>
    </w:p>
    <w:p w14:paraId="2FF5FC7C">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"_Toc57820560"</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1.  </w:t>
      </w:r>
      <w:r>
        <w:rPr>
          <w:rStyle w:val="53"/>
          <w:rFonts w:hint="eastAsia" w:ascii="宋体" w:hAnsi="宋体"/>
          <w:snapToGrid w:val="0"/>
          <w:color w:val="auto"/>
          <w:highlight w:val="none"/>
        </w:rPr>
        <w:t>总则</w:t>
      </w:r>
      <w:r>
        <w:rPr>
          <w:color w:val="auto"/>
          <w:highlight w:val="none"/>
        </w:rPr>
        <w:tab/>
      </w:r>
      <w:r>
        <w:rPr>
          <w:color w:val="auto"/>
          <w:highlight w:val="none"/>
        </w:rPr>
        <w:fldChar w:fldCharType="begin"/>
      </w:r>
      <w:r>
        <w:rPr>
          <w:color w:val="auto"/>
          <w:highlight w:val="none"/>
        </w:rPr>
        <w:instrText xml:space="preserve"> PAGEREF _Toc57820560 \h </w:instrText>
      </w:r>
      <w:r>
        <w:rPr>
          <w:color w:val="auto"/>
          <w:highlight w:val="none"/>
        </w:rPr>
        <w:fldChar w:fldCharType="separate"/>
      </w:r>
      <w:r>
        <w:rPr>
          <w:color w:val="auto"/>
          <w:highlight w:val="none"/>
        </w:rPr>
        <w:t>36</w:t>
      </w:r>
      <w:r>
        <w:rPr>
          <w:color w:val="auto"/>
          <w:highlight w:val="none"/>
        </w:rPr>
        <w:fldChar w:fldCharType="end"/>
      </w:r>
      <w:r>
        <w:rPr>
          <w:color w:val="auto"/>
          <w:highlight w:val="none"/>
        </w:rPr>
        <w:fldChar w:fldCharType="end"/>
      </w:r>
    </w:p>
    <w:p w14:paraId="7178031C">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"_Toc57820561"</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1.1  </w:t>
      </w:r>
      <w:r>
        <w:rPr>
          <w:rStyle w:val="53"/>
          <w:rFonts w:hint="eastAsia" w:ascii="宋体" w:hAnsi="宋体"/>
          <w:i w:val="0"/>
          <w:snapToGrid w:val="0"/>
          <w:color w:val="auto"/>
          <w:highlight w:val="none"/>
        </w:rPr>
        <w:t>项目概况</w:t>
      </w:r>
      <w:r>
        <w:rPr>
          <w:i w:val="0"/>
          <w:color w:val="auto"/>
          <w:highlight w:val="none"/>
        </w:rPr>
        <w:tab/>
      </w:r>
      <w:r>
        <w:rPr>
          <w:i w:val="0"/>
          <w:color w:val="auto"/>
          <w:highlight w:val="none"/>
        </w:rPr>
        <w:fldChar w:fldCharType="begin"/>
      </w:r>
      <w:r>
        <w:rPr>
          <w:i w:val="0"/>
          <w:color w:val="auto"/>
          <w:highlight w:val="none"/>
        </w:rPr>
        <w:instrText xml:space="preserve"> PAGEREF _Toc57820561 \h </w:instrText>
      </w:r>
      <w:r>
        <w:rPr>
          <w:i w:val="0"/>
          <w:color w:val="auto"/>
          <w:highlight w:val="none"/>
        </w:rPr>
        <w:fldChar w:fldCharType="separate"/>
      </w:r>
      <w:r>
        <w:rPr>
          <w:i w:val="0"/>
          <w:color w:val="auto"/>
          <w:highlight w:val="none"/>
        </w:rPr>
        <w:t>36</w:t>
      </w:r>
      <w:r>
        <w:rPr>
          <w:i w:val="0"/>
          <w:color w:val="auto"/>
          <w:highlight w:val="none"/>
        </w:rPr>
        <w:fldChar w:fldCharType="end"/>
      </w:r>
      <w:r>
        <w:rPr>
          <w:i w:val="0"/>
          <w:color w:val="auto"/>
          <w:highlight w:val="none"/>
        </w:rPr>
        <w:fldChar w:fldCharType="end"/>
      </w:r>
    </w:p>
    <w:p w14:paraId="64624287">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"_Toc57820562"</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1.2  </w:t>
      </w:r>
      <w:r>
        <w:rPr>
          <w:rStyle w:val="53"/>
          <w:rFonts w:hint="eastAsia" w:ascii="宋体" w:hAnsi="宋体"/>
          <w:i w:val="0"/>
          <w:snapToGrid w:val="0"/>
          <w:color w:val="auto"/>
          <w:highlight w:val="none"/>
        </w:rPr>
        <w:t>资金来源和落实情况</w:t>
      </w:r>
      <w:r>
        <w:rPr>
          <w:i w:val="0"/>
          <w:color w:val="auto"/>
          <w:highlight w:val="none"/>
        </w:rPr>
        <w:tab/>
      </w:r>
      <w:r>
        <w:rPr>
          <w:i w:val="0"/>
          <w:color w:val="auto"/>
          <w:highlight w:val="none"/>
        </w:rPr>
        <w:fldChar w:fldCharType="begin"/>
      </w:r>
      <w:r>
        <w:rPr>
          <w:i w:val="0"/>
          <w:color w:val="auto"/>
          <w:highlight w:val="none"/>
        </w:rPr>
        <w:instrText xml:space="preserve"> PAGEREF _Toc57820562 \h </w:instrText>
      </w:r>
      <w:r>
        <w:rPr>
          <w:i w:val="0"/>
          <w:color w:val="auto"/>
          <w:highlight w:val="none"/>
        </w:rPr>
        <w:fldChar w:fldCharType="separate"/>
      </w:r>
      <w:r>
        <w:rPr>
          <w:i w:val="0"/>
          <w:color w:val="auto"/>
          <w:highlight w:val="none"/>
        </w:rPr>
        <w:t>36</w:t>
      </w:r>
      <w:r>
        <w:rPr>
          <w:i w:val="0"/>
          <w:color w:val="auto"/>
          <w:highlight w:val="none"/>
        </w:rPr>
        <w:fldChar w:fldCharType="end"/>
      </w:r>
      <w:r>
        <w:rPr>
          <w:i w:val="0"/>
          <w:color w:val="auto"/>
          <w:highlight w:val="none"/>
        </w:rPr>
        <w:fldChar w:fldCharType="end"/>
      </w:r>
    </w:p>
    <w:p w14:paraId="7DD9C122">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"_Toc57820563"</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1.3  </w:t>
      </w:r>
      <w:r>
        <w:rPr>
          <w:rStyle w:val="53"/>
          <w:rFonts w:hint="eastAsia" w:ascii="宋体" w:hAnsi="宋体"/>
          <w:i w:val="0"/>
          <w:snapToGrid w:val="0"/>
          <w:color w:val="auto"/>
          <w:highlight w:val="none"/>
        </w:rPr>
        <w:t>招标范围、计划工期和质量要求</w:t>
      </w:r>
      <w:r>
        <w:rPr>
          <w:i w:val="0"/>
          <w:color w:val="auto"/>
          <w:highlight w:val="none"/>
        </w:rPr>
        <w:tab/>
      </w:r>
      <w:r>
        <w:rPr>
          <w:i w:val="0"/>
          <w:color w:val="auto"/>
          <w:highlight w:val="none"/>
        </w:rPr>
        <w:fldChar w:fldCharType="begin"/>
      </w:r>
      <w:r>
        <w:rPr>
          <w:i w:val="0"/>
          <w:color w:val="auto"/>
          <w:highlight w:val="none"/>
        </w:rPr>
        <w:instrText xml:space="preserve"> PAGEREF _Toc57820563 \h </w:instrText>
      </w:r>
      <w:r>
        <w:rPr>
          <w:i w:val="0"/>
          <w:color w:val="auto"/>
          <w:highlight w:val="none"/>
        </w:rPr>
        <w:fldChar w:fldCharType="separate"/>
      </w:r>
      <w:r>
        <w:rPr>
          <w:i w:val="0"/>
          <w:color w:val="auto"/>
          <w:highlight w:val="none"/>
        </w:rPr>
        <w:t>36</w:t>
      </w:r>
      <w:r>
        <w:rPr>
          <w:i w:val="0"/>
          <w:color w:val="auto"/>
          <w:highlight w:val="none"/>
        </w:rPr>
        <w:fldChar w:fldCharType="end"/>
      </w:r>
      <w:r>
        <w:rPr>
          <w:i w:val="0"/>
          <w:color w:val="auto"/>
          <w:highlight w:val="none"/>
        </w:rPr>
        <w:fldChar w:fldCharType="end"/>
      </w:r>
    </w:p>
    <w:p w14:paraId="00720C0B">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"_Toc57820564"</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1.4A  </w:t>
      </w:r>
      <w:r>
        <w:rPr>
          <w:rStyle w:val="53"/>
          <w:rFonts w:hint="eastAsia" w:ascii="宋体" w:hAnsi="宋体"/>
          <w:i w:val="0"/>
          <w:snapToGrid w:val="0"/>
          <w:color w:val="auto"/>
          <w:highlight w:val="none"/>
        </w:rPr>
        <w:t>投标人资格要求（适用于已进行资格预审的）</w:t>
      </w:r>
      <w:r>
        <w:rPr>
          <w:i w:val="0"/>
          <w:color w:val="auto"/>
          <w:highlight w:val="none"/>
        </w:rPr>
        <w:tab/>
      </w:r>
      <w:r>
        <w:rPr>
          <w:i w:val="0"/>
          <w:color w:val="auto"/>
          <w:highlight w:val="none"/>
        </w:rPr>
        <w:fldChar w:fldCharType="begin"/>
      </w:r>
      <w:r>
        <w:rPr>
          <w:i w:val="0"/>
          <w:color w:val="auto"/>
          <w:highlight w:val="none"/>
        </w:rPr>
        <w:instrText xml:space="preserve"> PAGEREF _Toc57820564 \h </w:instrText>
      </w:r>
      <w:r>
        <w:rPr>
          <w:i w:val="0"/>
          <w:color w:val="auto"/>
          <w:highlight w:val="none"/>
        </w:rPr>
        <w:fldChar w:fldCharType="separate"/>
      </w:r>
      <w:r>
        <w:rPr>
          <w:i w:val="0"/>
          <w:color w:val="auto"/>
          <w:highlight w:val="none"/>
        </w:rPr>
        <w:t>36</w:t>
      </w:r>
      <w:r>
        <w:rPr>
          <w:i w:val="0"/>
          <w:color w:val="auto"/>
          <w:highlight w:val="none"/>
        </w:rPr>
        <w:fldChar w:fldCharType="end"/>
      </w:r>
      <w:r>
        <w:rPr>
          <w:i w:val="0"/>
          <w:color w:val="auto"/>
          <w:highlight w:val="none"/>
        </w:rPr>
        <w:fldChar w:fldCharType="end"/>
      </w:r>
    </w:p>
    <w:p w14:paraId="4F78E419">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"_Toc57820565"</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1.4B  </w:t>
      </w:r>
      <w:r>
        <w:rPr>
          <w:rStyle w:val="53"/>
          <w:rFonts w:hint="eastAsia" w:ascii="宋体" w:hAnsi="宋体"/>
          <w:i w:val="0"/>
          <w:snapToGrid w:val="0"/>
          <w:color w:val="auto"/>
          <w:highlight w:val="none"/>
        </w:rPr>
        <w:t>投标人资格要求（适用于未进行资格预审的）</w:t>
      </w:r>
      <w:r>
        <w:rPr>
          <w:i w:val="0"/>
          <w:color w:val="auto"/>
          <w:highlight w:val="none"/>
        </w:rPr>
        <w:tab/>
      </w:r>
      <w:r>
        <w:rPr>
          <w:i w:val="0"/>
          <w:color w:val="auto"/>
          <w:highlight w:val="none"/>
        </w:rPr>
        <w:fldChar w:fldCharType="begin"/>
      </w:r>
      <w:r>
        <w:rPr>
          <w:i w:val="0"/>
          <w:color w:val="auto"/>
          <w:highlight w:val="none"/>
        </w:rPr>
        <w:instrText xml:space="preserve"> PAGEREF _Toc57820565 \h </w:instrText>
      </w:r>
      <w:r>
        <w:rPr>
          <w:i w:val="0"/>
          <w:color w:val="auto"/>
          <w:highlight w:val="none"/>
        </w:rPr>
        <w:fldChar w:fldCharType="separate"/>
      </w:r>
      <w:r>
        <w:rPr>
          <w:i w:val="0"/>
          <w:color w:val="auto"/>
          <w:highlight w:val="none"/>
        </w:rPr>
        <w:t>36</w:t>
      </w:r>
      <w:r>
        <w:rPr>
          <w:i w:val="0"/>
          <w:color w:val="auto"/>
          <w:highlight w:val="none"/>
        </w:rPr>
        <w:fldChar w:fldCharType="end"/>
      </w:r>
      <w:r>
        <w:rPr>
          <w:i w:val="0"/>
          <w:color w:val="auto"/>
          <w:highlight w:val="none"/>
        </w:rPr>
        <w:fldChar w:fldCharType="end"/>
      </w:r>
    </w:p>
    <w:p w14:paraId="669517A8">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"_Toc57820566"</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1.5  </w:t>
      </w:r>
      <w:r>
        <w:rPr>
          <w:rStyle w:val="53"/>
          <w:rFonts w:hint="eastAsia" w:ascii="宋体" w:hAnsi="宋体"/>
          <w:i w:val="0"/>
          <w:snapToGrid w:val="0"/>
          <w:color w:val="auto"/>
          <w:highlight w:val="none"/>
        </w:rPr>
        <w:t>费用承担</w:t>
      </w:r>
      <w:r>
        <w:rPr>
          <w:i w:val="0"/>
          <w:color w:val="auto"/>
          <w:highlight w:val="none"/>
        </w:rPr>
        <w:tab/>
      </w:r>
      <w:r>
        <w:rPr>
          <w:i w:val="0"/>
          <w:color w:val="auto"/>
          <w:highlight w:val="none"/>
        </w:rPr>
        <w:fldChar w:fldCharType="begin"/>
      </w:r>
      <w:r>
        <w:rPr>
          <w:i w:val="0"/>
          <w:color w:val="auto"/>
          <w:highlight w:val="none"/>
        </w:rPr>
        <w:instrText xml:space="preserve"> PAGEREF _Toc57820566 \h </w:instrText>
      </w:r>
      <w:r>
        <w:rPr>
          <w:i w:val="0"/>
          <w:color w:val="auto"/>
          <w:highlight w:val="none"/>
        </w:rPr>
        <w:fldChar w:fldCharType="separate"/>
      </w:r>
      <w:r>
        <w:rPr>
          <w:i w:val="0"/>
          <w:color w:val="auto"/>
          <w:highlight w:val="none"/>
        </w:rPr>
        <w:t>37</w:t>
      </w:r>
      <w:r>
        <w:rPr>
          <w:i w:val="0"/>
          <w:color w:val="auto"/>
          <w:highlight w:val="none"/>
        </w:rPr>
        <w:fldChar w:fldCharType="end"/>
      </w:r>
      <w:r>
        <w:rPr>
          <w:i w:val="0"/>
          <w:color w:val="auto"/>
          <w:highlight w:val="none"/>
        </w:rPr>
        <w:fldChar w:fldCharType="end"/>
      </w:r>
    </w:p>
    <w:p w14:paraId="6193F375">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"_Toc57820567"</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1.6  </w:t>
      </w:r>
      <w:r>
        <w:rPr>
          <w:rStyle w:val="53"/>
          <w:rFonts w:hint="eastAsia" w:ascii="宋体" w:hAnsi="宋体"/>
          <w:i w:val="0"/>
          <w:snapToGrid w:val="0"/>
          <w:color w:val="auto"/>
          <w:highlight w:val="none"/>
        </w:rPr>
        <w:t>保密</w:t>
      </w:r>
      <w:r>
        <w:rPr>
          <w:i w:val="0"/>
          <w:color w:val="auto"/>
          <w:highlight w:val="none"/>
        </w:rPr>
        <w:tab/>
      </w:r>
      <w:r>
        <w:rPr>
          <w:i w:val="0"/>
          <w:color w:val="auto"/>
          <w:highlight w:val="none"/>
        </w:rPr>
        <w:fldChar w:fldCharType="begin"/>
      </w:r>
      <w:r>
        <w:rPr>
          <w:i w:val="0"/>
          <w:color w:val="auto"/>
          <w:highlight w:val="none"/>
        </w:rPr>
        <w:instrText xml:space="preserve"> PAGEREF _Toc57820567 \h </w:instrText>
      </w:r>
      <w:r>
        <w:rPr>
          <w:i w:val="0"/>
          <w:color w:val="auto"/>
          <w:highlight w:val="none"/>
        </w:rPr>
        <w:fldChar w:fldCharType="separate"/>
      </w:r>
      <w:r>
        <w:rPr>
          <w:i w:val="0"/>
          <w:color w:val="auto"/>
          <w:highlight w:val="none"/>
        </w:rPr>
        <w:t>37</w:t>
      </w:r>
      <w:r>
        <w:rPr>
          <w:i w:val="0"/>
          <w:color w:val="auto"/>
          <w:highlight w:val="none"/>
        </w:rPr>
        <w:fldChar w:fldCharType="end"/>
      </w:r>
      <w:r>
        <w:rPr>
          <w:i w:val="0"/>
          <w:color w:val="auto"/>
          <w:highlight w:val="none"/>
        </w:rPr>
        <w:fldChar w:fldCharType="end"/>
      </w:r>
    </w:p>
    <w:p w14:paraId="640667D3">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"_Toc57820568"</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1.7  </w:t>
      </w:r>
      <w:r>
        <w:rPr>
          <w:rStyle w:val="53"/>
          <w:rFonts w:hint="eastAsia" w:ascii="宋体" w:hAnsi="宋体"/>
          <w:i w:val="0"/>
          <w:snapToGrid w:val="0"/>
          <w:color w:val="auto"/>
          <w:highlight w:val="none"/>
        </w:rPr>
        <w:t>语言文字</w:t>
      </w:r>
      <w:r>
        <w:rPr>
          <w:i w:val="0"/>
          <w:color w:val="auto"/>
          <w:highlight w:val="none"/>
        </w:rPr>
        <w:tab/>
      </w:r>
      <w:r>
        <w:rPr>
          <w:i w:val="0"/>
          <w:color w:val="auto"/>
          <w:highlight w:val="none"/>
        </w:rPr>
        <w:fldChar w:fldCharType="begin"/>
      </w:r>
      <w:r>
        <w:rPr>
          <w:i w:val="0"/>
          <w:color w:val="auto"/>
          <w:highlight w:val="none"/>
        </w:rPr>
        <w:instrText xml:space="preserve"> PAGEREF _Toc57820568 \h </w:instrText>
      </w:r>
      <w:r>
        <w:rPr>
          <w:i w:val="0"/>
          <w:color w:val="auto"/>
          <w:highlight w:val="none"/>
        </w:rPr>
        <w:fldChar w:fldCharType="separate"/>
      </w:r>
      <w:r>
        <w:rPr>
          <w:i w:val="0"/>
          <w:color w:val="auto"/>
          <w:highlight w:val="none"/>
        </w:rPr>
        <w:t>37</w:t>
      </w:r>
      <w:r>
        <w:rPr>
          <w:i w:val="0"/>
          <w:color w:val="auto"/>
          <w:highlight w:val="none"/>
        </w:rPr>
        <w:fldChar w:fldCharType="end"/>
      </w:r>
      <w:r>
        <w:rPr>
          <w:i w:val="0"/>
          <w:color w:val="auto"/>
          <w:highlight w:val="none"/>
        </w:rPr>
        <w:fldChar w:fldCharType="end"/>
      </w:r>
    </w:p>
    <w:p w14:paraId="6C9C058C">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"_Toc57820569"</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1.8  </w:t>
      </w:r>
      <w:r>
        <w:rPr>
          <w:rStyle w:val="53"/>
          <w:rFonts w:hint="eastAsia" w:ascii="宋体" w:hAnsi="宋体"/>
          <w:i w:val="0"/>
          <w:snapToGrid w:val="0"/>
          <w:color w:val="auto"/>
          <w:highlight w:val="none"/>
        </w:rPr>
        <w:t>计量单位</w:t>
      </w:r>
      <w:r>
        <w:rPr>
          <w:i w:val="0"/>
          <w:color w:val="auto"/>
          <w:highlight w:val="none"/>
        </w:rPr>
        <w:tab/>
      </w:r>
      <w:r>
        <w:rPr>
          <w:i w:val="0"/>
          <w:color w:val="auto"/>
          <w:highlight w:val="none"/>
        </w:rPr>
        <w:fldChar w:fldCharType="begin"/>
      </w:r>
      <w:r>
        <w:rPr>
          <w:i w:val="0"/>
          <w:color w:val="auto"/>
          <w:highlight w:val="none"/>
        </w:rPr>
        <w:instrText xml:space="preserve"> PAGEREF _Toc57820569 \h </w:instrText>
      </w:r>
      <w:r>
        <w:rPr>
          <w:i w:val="0"/>
          <w:color w:val="auto"/>
          <w:highlight w:val="none"/>
        </w:rPr>
        <w:fldChar w:fldCharType="separate"/>
      </w:r>
      <w:r>
        <w:rPr>
          <w:i w:val="0"/>
          <w:color w:val="auto"/>
          <w:highlight w:val="none"/>
        </w:rPr>
        <w:t>37</w:t>
      </w:r>
      <w:r>
        <w:rPr>
          <w:i w:val="0"/>
          <w:color w:val="auto"/>
          <w:highlight w:val="none"/>
        </w:rPr>
        <w:fldChar w:fldCharType="end"/>
      </w:r>
      <w:r>
        <w:rPr>
          <w:i w:val="0"/>
          <w:color w:val="auto"/>
          <w:highlight w:val="none"/>
        </w:rPr>
        <w:fldChar w:fldCharType="end"/>
      </w:r>
    </w:p>
    <w:p w14:paraId="12103433">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"_Toc57820570"</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1.9  </w:t>
      </w:r>
      <w:r>
        <w:rPr>
          <w:rStyle w:val="53"/>
          <w:rFonts w:hint="eastAsia" w:ascii="宋体" w:hAnsi="宋体"/>
          <w:i w:val="0"/>
          <w:snapToGrid w:val="0"/>
          <w:color w:val="auto"/>
          <w:highlight w:val="none"/>
        </w:rPr>
        <w:t>踏勘现场</w:t>
      </w:r>
      <w:r>
        <w:rPr>
          <w:i w:val="0"/>
          <w:color w:val="auto"/>
          <w:highlight w:val="none"/>
        </w:rPr>
        <w:tab/>
      </w:r>
      <w:r>
        <w:rPr>
          <w:i w:val="0"/>
          <w:color w:val="auto"/>
          <w:highlight w:val="none"/>
        </w:rPr>
        <w:fldChar w:fldCharType="begin"/>
      </w:r>
      <w:r>
        <w:rPr>
          <w:i w:val="0"/>
          <w:color w:val="auto"/>
          <w:highlight w:val="none"/>
        </w:rPr>
        <w:instrText xml:space="preserve"> PAGEREF _Toc57820570 \h </w:instrText>
      </w:r>
      <w:r>
        <w:rPr>
          <w:i w:val="0"/>
          <w:color w:val="auto"/>
          <w:highlight w:val="none"/>
        </w:rPr>
        <w:fldChar w:fldCharType="separate"/>
      </w:r>
      <w:r>
        <w:rPr>
          <w:i w:val="0"/>
          <w:color w:val="auto"/>
          <w:highlight w:val="none"/>
        </w:rPr>
        <w:t>37</w:t>
      </w:r>
      <w:r>
        <w:rPr>
          <w:i w:val="0"/>
          <w:color w:val="auto"/>
          <w:highlight w:val="none"/>
        </w:rPr>
        <w:fldChar w:fldCharType="end"/>
      </w:r>
      <w:r>
        <w:rPr>
          <w:i w:val="0"/>
          <w:color w:val="auto"/>
          <w:highlight w:val="none"/>
        </w:rPr>
        <w:fldChar w:fldCharType="end"/>
      </w:r>
    </w:p>
    <w:p w14:paraId="0620C325">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"_Toc57820571"</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1.10  </w:t>
      </w:r>
      <w:r>
        <w:rPr>
          <w:rStyle w:val="53"/>
          <w:rFonts w:hint="eastAsia" w:ascii="宋体" w:hAnsi="宋体"/>
          <w:i w:val="0"/>
          <w:snapToGrid w:val="0"/>
          <w:color w:val="auto"/>
          <w:highlight w:val="none"/>
        </w:rPr>
        <w:t>投标预备会</w:t>
      </w:r>
      <w:r>
        <w:rPr>
          <w:i w:val="0"/>
          <w:color w:val="auto"/>
          <w:highlight w:val="none"/>
        </w:rPr>
        <w:tab/>
      </w:r>
      <w:r>
        <w:rPr>
          <w:i w:val="0"/>
          <w:color w:val="auto"/>
          <w:highlight w:val="none"/>
        </w:rPr>
        <w:fldChar w:fldCharType="begin"/>
      </w:r>
      <w:r>
        <w:rPr>
          <w:i w:val="0"/>
          <w:color w:val="auto"/>
          <w:highlight w:val="none"/>
        </w:rPr>
        <w:instrText xml:space="preserve"> PAGEREF _Toc57820571 \h </w:instrText>
      </w:r>
      <w:r>
        <w:rPr>
          <w:i w:val="0"/>
          <w:color w:val="auto"/>
          <w:highlight w:val="none"/>
        </w:rPr>
        <w:fldChar w:fldCharType="separate"/>
      </w:r>
      <w:r>
        <w:rPr>
          <w:i w:val="0"/>
          <w:color w:val="auto"/>
          <w:highlight w:val="none"/>
        </w:rPr>
        <w:t>37</w:t>
      </w:r>
      <w:r>
        <w:rPr>
          <w:i w:val="0"/>
          <w:color w:val="auto"/>
          <w:highlight w:val="none"/>
        </w:rPr>
        <w:fldChar w:fldCharType="end"/>
      </w:r>
      <w:r>
        <w:rPr>
          <w:i w:val="0"/>
          <w:color w:val="auto"/>
          <w:highlight w:val="none"/>
        </w:rPr>
        <w:fldChar w:fldCharType="end"/>
      </w:r>
    </w:p>
    <w:p w14:paraId="6C689D20">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"_Toc57820572"</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1.11  </w:t>
      </w:r>
      <w:r>
        <w:rPr>
          <w:rStyle w:val="53"/>
          <w:rFonts w:hint="eastAsia" w:ascii="宋体" w:hAnsi="宋体"/>
          <w:i w:val="0"/>
          <w:snapToGrid w:val="0"/>
          <w:color w:val="auto"/>
          <w:highlight w:val="none"/>
        </w:rPr>
        <w:t>分包</w:t>
      </w:r>
      <w:r>
        <w:rPr>
          <w:i w:val="0"/>
          <w:color w:val="auto"/>
          <w:highlight w:val="none"/>
        </w:rPr>
        <w:tab/>
      </w:r>
      <w:r>
        <w:rPr>
          <w:i w:val="0"/>
          <w:color w:val="auto"/>
          <w:highlight w:val="none"/>
        </w:rPr>
        <w:fldChar w:fldCharType="begin"/>
      </w:r>
      <w:r>
        <w:rPr>
          <w:i w:val="0"/>
          <w:color w:val="auto"/>
          <w:highlight w:val="none"/>
        </w:rPr>
        <w:instrText xml:space="preserve"> PAGEREF _Toc57820572 \h </w:instrText>
      </w:r>
      <w:r>
        <w:rPr>
          <w:i w:val="0"/>
          <w:color w:val="auto"/>
          <w:highlight w:val="none"/>
        </w:rPr>
        <w:fldChar w:fldCharType="separate"/>
      </w:r>
      <w:r>
        <w:rPr>
          <w:i w:val="0"/>
          <w:color w:val="auto"/>
          <w:highlight w:val="none"/>
        </w:rPr>
        <w:t>38</w:t>
      </w:r>
      <w:r>
        <w:rPr>
          <w:i w:val="0"/>
          <w:color w:val="auto"/>
          <w:highlight w:val="none"/>
        </w:rPr>
        <w:fldChar w:fldCharType="end"/>
      </w:r>
      <w:r>
        <w:rPr>
          <w:i w:val="0"/>
          <w:color w:val="auto"/>
          <w:highlight w:val="none"/>
        </w:rPr>
        <w:fldChar w:fldCharType="end"/>
      </w:r>
    </w:p>
    <w:p w14:paraId="7F4F3BA4">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"_Toc57820573"</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1.12  </w:t>
      </w:r>
      <w:r>
        <w:rPr>
          <w:rStyle w:val="53"/>
          <w:rFonts w:hint="eastAsia" w:ascii="宋体" w:hAnsi="宋体"/>
          <w:i w:val="0"/>
          <w:snapToGrid w:val="0"/>
          <w:color w:val="auto"/>
          <w:highlight w:val="none"/>
        </w:rPr>
        <w:t>偏离</w:t>
      </w:r>
      <w:r>
        <w:rPr>
          <w:i w:val="0"/>
          <w:color w:val="auto"/>
          <w:highlight w:val="none"/>
        </w:rPr>
        <w:tab/>
      </w:r>
      <w:r>
        <w:rPr>
          <w:i w:val="0"/>
          <w:color w:val="auto"/>
          <w:highlight w:val="none"/>
        </w:rPr>
        <w:fldChar w:fldCharType="begin"/>
      </w:r>
      <w:r>
        <w:rPr>
          <w:i w:val="0"/>
          <w:color w:val="auto"/>
          <w:highlight w:val="none"/>
        </w:rPr>
        <w:instrText xml:space="preserve"> PAGEREF _Toc57820573 \h </w:instrText>
      </w:r>
      <w:r>
        <w:rPr>
          <w:i w:val="0"/>
          <w:color w:val="auto"/>
          <w:highlight w:val="none"/>
        </w:rPr>
        <w:fldChar w:fldCharType="separate"/>
      </w:r>
      <w:r>
        <w:rPr>
          <w:i w:val="0"/>
          <w:color w:val="auto"/>
          <w:highlight w:val="none"/>
        </w:rPr>
        <w:t>38</w:t>
      </w:r>
      <w:r>
        <w:rPr>
          <w:i w:val="0"/>
          <w:color w:val="auto"/>
          <w:highlight w:val="none"/>
        </w:rPr>
        <w:fldChar w:fldCharType="end"/>
      </w:r>
      <w:r>
        <w:rPr>
          <w:i w:val="0"/>
          <w:color w:val="auto"/>
          <w:highlight w:val="none"/>
        </w:rPr>
        <w:fldChar w:fldCharType="end"/>
      </w:r>
    </w:p>
    <w:p w14:paraId="110C195F">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"_Toc57820574"</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2.  </w:t>
      </w:r>
      <w:r>
        <w:rPr>
          <w:rStyle w:val="53"/>
          <w:rFonts w:hint="eastAsia" w:ascii="宋体" w:hAnsi="宋体"/>
          <w:snapToGrid w:val="0"/>
          <w:color w:val="auto"/>
          <w:highlight w:val="none"/>
        </w:rPr>
        <w:t>招标文件</w:t>
      </w:r>
      <w:r>
        <w:rPr>
          <w:color w:val="auto"/>
          <w:highlight w:val="none"/>
        </w:rPr>
        <w:tab/>
      </w:r>
      <w:r>
        <w:rPr>
          <w:color w:val="auto"/>
          <w:highlight w:val="none"/>
        </w:rPr>
        <w:fldChar w:fldCharType="begin"/>
      </w:r>
      <w:r>
        <w:rPr>
          <w:color w:val="auto"/>
          <w:highlight w:val="none"/>
        </w:rPr>
        <w:instrText xml:space="preserve"> PAGEREF _Toc57820574 \h </w:instrText>
      </w:r>
      <w:r>
        <w:rPr>
          <w:color w:val="auto"/>
          <w:highlight w:val="none"/>
        </w:rPr>
        <w:fldChar w:fldCharType="separate"/>
      </w:r>
      <w:r>
        <w:rPr>
          <w:color w:val="auto"/>
          <w:highlight w:val="none"/>
        </w:rPr>
        <w:t>38</w:t>
      </w:r>
      <w:r>
        <w:rPr>
          <w:color w:val="auto"/>
          <w:highlight w:val="none"/>
        </w:rPr>
        <w:fldChar w:fldCharType="end"/>
      </w:r>
      <w:r>
        <w:rPr>
          <w:color w:val="auto"/>
          <w:highlight w:val="none"/>
        </w:rPr>
        <w:fldChar w:fldCharType="end"/>
      </w:r>
    </w:p>
    <w:p w14:paraId="07E074E0">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"_Toc57820575"</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2.1  </w:t>
      </w:r>
      <w:r>
        <w:rPr>
          <w:rStyle w:val="53"/>
          <w:rFonts w:hint="eastAsia" w:ascii="宋体" w:hAnsi="宋体"/>
          <w:i w:val="0"/>
          <w:snapToGrid w:val="0"/>
          <w:color w:val="auto"/>
          <w:highlight w:val="none"/>
        </w:rPr>
        <w:t>招标文件的组成</w:t>
      </w:r>
      <w:r>
        <w:rPr>
          <w:i w:val="0"/>
          <w:color w:val="auto"/>
          <w:highlight w:val="none"/>
        </w:rPr>
        <w:tab/>
      </w:r>
      <w:r>
        <w:rPr>
          <w:i w:val="0"/>
          <w:color w:val="auto"/>
          <w:highlight w:val="none"/>
        </w:rPr>
        <w:fldChar w:fldCharType="begin"/>
      </w:r>
      <w:r>
        <w:rPr>
          <w:i w:val="0"/>
          <w:color w:val="auto"/>
          <w:highlight w:val="none"/>
        </w:rPr>
        <w:instrText xml:space="preserve"> PAGEREF _Toc57820575 \h </w:instrText>
      </w:r>
      <w:r>
        <w:rPr>
          <w:i w:val="0"/>
          <w:color w:val="auto"/>
          <w:highlight w:val="none"/>
        </w:rPr>
        <w:fldChar w:fldCharType="separate"/>
      </w:r>
      <w:r>
        <w:rPr>
          <w:i w:val="0"/>
          <w:color w:val="auto"/>
          <w:highlight w:val="none"/>
        </w:rPr>
        <w:t>38</w:t>
      </w:r>
      <w:r>
        <w:rPr>
          <w:i w:val="0"/>
          <w:color w:val="auto"/>
          <w:highlight w:val="none"/>
        </w:rPr>
        <w:fldChar w:fldCharType="end"/>
      </w:r>
      <w:r>
        <w:rPr>
          <w:i w:val="0"/>
          <w:color w:val="auto"/>
          <w:highlight w:val="none"/>
        </w:rPr>
        <w:fldChar w:fldCharType="end"/>
      </w:r>
    </w:p>
    <w:p w14:paraId="0F86DE12">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"_Toc57820576"</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2.2  </w:t>
      </w:r>
      <w:r>
        <w:rPr>
          <w:rStyle w:val="53"/>
          <w:rFonts w:hint="eastAsia" w:ascii="宋体" w:hAnsi="宋体"/>
          <w:i w:val="0"/>
          <w:snapToGrid w:val="0"/>
          <w:color w:val="auto"/>
          <w:highlight w:val="none"/>
        </w:rPr>
        <w:t>招标文件的澄清</w:t>
      </w:r>
      <w:r>
        <w:rPr>
          <w:i w:val="0"/>
          <w:color w:val="auto"/>
          <w:highlight w:val="none"/>
        </w:rPr>
        <w:tab/>
      </w:r>
      <w:r>
        <w:rPr>
          <w:i w:val="0"/>
          <w:color w:val="auto"/>
          <w:highlight w:val="none"/>
        </w:rPr>
        <w:fldChar w:fldCharType="begin"/>
      </w:r>
      <w:r>
        <w:rPr>
          <w:i w:val="0"/>
          <w:color w:val="auto"/>
          <w:highlight w:val="none"/>
        </w:rPr>
        <w:instrText xml:space="preserve"> PAGEREF _Toc57820576 \h </w:instrText>
      </w:r>
      <w:r>
        <w:rPr>
          <w:i w:val="0"/>
          <w:color w:val="auto"/>
          <w:highlight w:val="none"/>
        </w:rPr>
        <w:fldChar w:fldCharType="separate"/>
      </w:r>
      <w:r>
        <w:rPr>
          <w:i w:val="0"/>
          <w:color w:val="auto"/>
          <w:highlight w:val="none"/>
        </w:rPr>
        <w:t>38</w:t>
      </w:r>
      <w:r>
        <w:rPr>
          <w:i w:val="0"/>
          <w:color w:val="auto"/>
          <w:highlight w:val="none"/>
        </w:rPr>
        <w:fldChar w:fldCharType="end"/>
      </w:r>
      <w:r>
        <w:rPr>
          <w:i w:val="0"/>
          <w:color w:val="auto"/>
          <w:highlight w:val="none"/>
        </w:rPr>
        <w:fldChar w:fldCharType="end"/>
      </w:r>
    </w:p>
    <w:p w14:paraId="16CBEC57">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"_Toc57820577"</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2.3  </w:t>
      </w:r>
      <w:r>
        <w:rPr>
          <w:rStyle w:val="53"/>
          <w:rFonts w:hint="eastAsia" w:ascii="宋体" w:hAnsi="宋体"/>
          <w:i w:val="0"/>
          <w:snapToGrid w:val="0"/>
          <w:color w:val="auto"/>
          <w:highlight w:val="none"/>
        </w:rPr>
        <w:t>招标文件的修改</w:t>
      </w:r>
      <w:r>
        <w:rPr>
          <w:i w:val="0"/>
          <w:color w:val="auto"/>
          <w:highlight w:val="none"/>
        </w:rPr>
        <w:tab/>
      </w:r>
      <w:r>
        <w:rPr>
          <w:i w:val="0"/>
          <w:color w:val="auto"/>
          <w:highlight w:val="none"/>
        </w:rPr>
        <w:fldChar w:fldCharType="begin"/>
      </w:r>
      <w:r>
        <w:rPr>
          <w:i w:val="0"/>
          <w:color w:val="auto"/>
          <w:highlight w:val="none"/>
        </w:rPr>
        <w:instrText xml:space="preserve"> PAGEREF _Toc57820577 \h </w:instrText>
      </w:r>
      <w:r>
        <w:rPr>
          <w:i w:val="0"/>
          <w:color w:val="auto"/>
          <w:highlight w:val="none"/>
        </w:rPr>
        <w:fldChar w:fldCharType="separate"/>
      </w:r>
      <w:r>
        <w:rPr>
          <w:i w:val="0"/>
          <w:color w:val="auto"/>
          <w:highlight w:val="none"/>
        </w:rPr>
        <w:t>39</w:t>
      </w:r>
      <w:r>
        <w:rPr>
          <w:i w:val="0"/>
          <w:color w:val="auto"/>
          <w:highlight w:val="none"/>
        </w:rPr>
        <w:fldChar w:fldCharType="end"/>
      </w:r>
      <w:r>
        <w:rPr>
          <w:i w:val="0"/>
          <w:color w:val="auto"/>
          <w:highlight w:val="none"/>
        </w:rPr>
        <w:fldChar w:fldCharType="end"/>
      </w:r>
    </w:p>
    <w:p w14:paraId="4BEC3D7C">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"_Toc57820578"</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3.  </w:t>
      </w:r>
      <w:r>
        <w:rPr>
          <w:rStyle w:val="53"/>
          <w:rFonts w:hint="eastAsia" w:ascii="宋体" w:hAnsi="宋体"/>
          <w:snapToGrid w:val="0"/>
          <w:color w:val="auto"/>
          <w:highlight w:val="none"/>
        </w:rPr>
        <w:t>投标文件</w:t>
      </w:r>
      <w:r>
        <w:rPr>
          <w:color w:val="auto"/>
          <w:highlight w:val="none"/>
        </w:rPr>
        <w:tab/>
      </w:r>
      <w:r>
        <w:rPr>
          <w:color w:val="auto"/>
          <w:highlight w:val="none"/>
        </w:rPr>
        <w:fldChar w:fldCharType="begin"/>
      </w:r>
      <w:r>
        <w:rPr>
          <w:color w:val="auto"/>
          <w:highlight w:val="none"/>
        </w:rPr>
        <w:instrText xml:space="preserve"> PAGEREF _Toc57820578 \h </w:instrText>
      </w:r>
      <w:r>
        <w:rPr>
          <w:color w:val="auto"/>
          <w:highlight w:val="none"/>
        </w:rPr>
        <w:fldChar w:fldCharType="separate"/>
      </w:r>
      <w:r>
        <w:rPr>
          <w:color w:val="auto"/>
          <w:highlight w:val="none"/>
        </w:rPr>
        <w:t>39</w:t>
      </w:r>
      <w:r>
        <w:rPr>
          <w:color w:val="auto"/>
          <w:highlight w:val="none"/>
        </w:rPr>
        <w:fldChar w:fldCharType="end"/>
      </w:r>
      <w:r>
        <w:rPr>
          <w:color w:val="auto"/>
          <w:highlight w:val="none"/>
        </w:rPr>
        <w:fldChar w:fldCharType="end"/>
      </w:r>
    </w:p>
    <w:p w14:paraId="388677B6">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"_Toc57820579"</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3.1  </w:t>
      </w:r>
      <w:r>
        <w:rPr>
          <w:rStyle w:val="53"/>
          <w:rFonts w:hint="eastAsia" w:ascii="宋体" w:hAnsi="宋体"/>
          <w:i w:val="0"/>
          <w:snapToGrid w:val="0"/>
          <w:color w:val="auto"/>
          <w:highlight w:val="none"/>
        </w:rPr>
        <w:t>投标文件的组成</w:t>
      </w:r>
      <w:r>
        <w:rPr>
          <w:i w:val="0"/>
          <w:color w:val="auto"/>
          <w:highlight w:val="none"/>
        </w:rPr>
        <w:tab/>
      </w:r>
      <w:r>
        <w:rPr>
          <w:i w:val="0"/>
          <w:color w:val="auto"/>
          <w:highlight w:val="none"/>
        </w:rPr>
        <w:fldChar w:fldCharType="begin"/>
      </w:r>
      <w:r>
        <w:rPr>
          <w:i w:val="0"/>
          <w:color w:val="auto"/>
          <w:highlight w:val="none"/>
        </w:rPr>
        <w:instrText xml:space="preserve"> PAGEREF _Toc57820579 \h </w:instrText>
      </w:r>
      <w:r>
        <w:rPr>
          <w:i w:val="0"/>
          <w:color w:val="auto"/>
          <w:highlight w:val="none"/>
        </w:rPr>
        <w:fldChar w:fldCharType="separate"/>
      </w:r>
      <w:r>
        <w:rPr>
          <w:i w:val="0"/>
          <w:color w:val="auto"/>
          <w:highlight w:val="none"/>
        </w:rPr>
        <w:t>39</w:t>
      </w:r>
      <w:r>
        <w:rPr>
          <w:i w:val="0"/>
          <w:color w:val="auto"/>
          <w:highlight w:val="none"/>
        </w:rPr>
        <w:fldChar w:fldCharType="end"/>
      </w:r>
      <w:r>
        <w:rPr>
          <w:i w:val="0"/>
          <w:color w:val="auto"/>
          <w:highlight w:val="none"/>
        </w:rPr>
        <w:fldChar w:fldCharType="end"/>
      </w:r>
    </w:p>
    <w:p w14:paraId="28B44DD7">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"_Toc57820580"</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3.2  </w:t>
      </w:r>
      <w:r>
        <w:rPr>
          <w:rStyle w:val="53"/>
          <w:rFonts w:hint="eastAsia" w:ascii="宋体" w:hAnsi="宋体"/>
          <w:i w:val="0"/>
          <w:snapToGrid w:val="0"/>
          <w:color w:val="auto"/>
          <w:highlight w:val="none"/>
        </w:rPr>
        <w:t>投标报价</w:t>
      </w:r>
      <w:r>
        <w:rPr>
          <w:i w:val="0"/>
          <w:color w:val="auto"/>
          <w:highlight w:val="none"/>
        </w:rPr>
        <w:tab/>
      </w:r>
      <w:r>
        <w:rPr>
          <w:i w:val="0"/>
          <w:color w:val="auto"/>
          <w:highlight w:val="none"/>
        </w:rPr>
        <w:fldChar w:fldCharType="begin"/>
      </w:r>
      <w:r>
        <w:rPr>
          <w:i w:val="0"/>
          <w:color w:val="auto"/>
          <w:highlight w:val="none"/>
        </w:rPr>
        <w:instrText xml:space="preserve"> PAGEREF _Toc57820580 \h </w:instrText>
      </w:r>
      <w:r>
        <w:rPr>
          <w:i w:val="0"/>
          <w:color w:val="auto"/>
          <w:highlight w:val="none"/>
        </w:rPr>
        <w:fldChar w:fldCharType="separate"/>
      </w:r>
      <w:r>
        <w:rPr>
          <w:i w:val="0"/>
          <w:color w:val="auto"/>
          <w:highlight w:val="none"/>
        </w:rPr>
        <w:t>39</w:t>
      </w:r>
      <w:r>
        <w:rPr>
          <w:i w:val="0"/>
          <w:color w:val="auto"/>
          <w:highlight w:val="none"/>
        </w:rPr>
        <w:fldChar w:fldCharType="end"/>
      </w:r>
      <w:r>
        <w:rPr>
          <w:i w:val="0"/>
          <w:color w:val="auto"/>
          <w:highlight w:val="none"/>
        </w:rPr>
        <w:fldChar w:fldCharType="end"/>
      </w:r>
    </w:p>
    <w:p w14:paraId="52DEF3F2">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"_Toc57820581"</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3.3  </w:t>
      </w:r>
      <w:r>
        <w:rPr>
          <w:rStyle w:val="53"/>
          <w:rFonts w:hint="eastAsia" w:ascii="宋体" w:hAnsi="宋体"/>
          <w:i w:val="0"/>
          <w:snapToGrid w:val="0"/>
          <w:color w:val="auto"/>
          <w:highlight w:val="none"/>
        </w:rPr>
        <w:t>投标有效期</w:t>
      </w:r>
      <w:r>
        <w:rPr>
          <w:i w:val="0"/>
          <w:color w:val="auto"/>
          <w:highlight w:val="none"/>
        </w:rPr>
        <w:tab/>
      </w:r>
      <w:r>
        <w:rPr>
          <w:i w:val="0"/>
          <w:color w:val="auto"/>
          <w:highlight w:val="none"/>
        </w:rPr>
        <w:fldChar w:fldCharType="begin"/>
      </w:r>
      <w:r>
        <w:rPr>
          <w:i w:val="0"/>
          <w:color w:val="auto"/>
          <w:highlight w:val="none"/>
        </w:rPr>
        <w:instrText xml:space="preserve"> PAGEREF _Toc57820581 \h </w:instrText>
      </w:r>
      <w:r>
        <w:rPr>
          <w:i w:val="0"/>
          <w:color w:val="auto"/>
          <w:highlight w:val="none"/>
        </w:rPr>
        <w:fldChar w:fldCharType="separate"/>
      </w:r>
      <w:r>
        <w:rPr>
          <w:i w:val="0"/>
          <w:color w:val="auto"/>
          <w:highlight w:val="none"/>
        </w:rPr>
        <w:t>39</w:t>
      </w:r>
      <w:r>
        <w:rPr>
          <w:i w:val="0"/>
          <w:color w:val="auto"/>
          <w:highlight w:val="none"/>
        </w:rPr>
        <w:fldChar w:fldCharType="end"/>
      </w:r>
      <w:r>
        <w:rPr>
          <w:i w:val="0"/>
          <w:color w:val="auto"/>
          <w:highlight w:val="none"/>
        </w:rPr>
        <w:fldChar w:fldCharType="end"/>
      </w:r>
    </w:p>
    <w:p w14:paraId="6ACA1C30">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"_Toc57820582"</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3.4  </w:t>
      </w:r>
      <w:r>
        <w:rPr>
          <w:rStyle w:val="53"/>
          <w:rFonts w:hint="eastAsia" w:ascii="宋体" w:hAnsi="宋体"/>
          <w:i w:val="0"/>
          <w:snapToGrid w:val="0"/>
          <w:color w:val="auto"/>
          <w:highlight w:val="none"/>
        </w:rPr>
        <w:t>投标保证金</w:t>
      </w:r>
      <w:r>
        <w:rPr>
          <w:i w:val="0"/>
          <w:color w:val="auto"/>
          <w:highlight w:val="none"/>
        </w:rPr>
        <w:tab/>
      </w:r>
      <w:r>
        <w:rPr>
          <w:i w:val="0"/>
          <w:color w:val="auto"/>
          <w:highlight w:val="none"/>
        </w:rPr>
        <w:fldChar w:fldCharType="begin"/>
      </w:r>
      <w:r>
        <w:rPr>
          <w:i w:val="0"/>
          <w:color w:val="auto"/>
          <w:highlight w:val="none"/>
        </w:rPr>
        <w:instrText xml:space="preserve"> PAGEREF _Toc57820582 \h </w:instrText>
      </w:r>
      <w:r>
        <w:rPr>
          <w:i w:val="0"/>
          <w:color w:val="auto"/>
          <w:highlight w:val="none"/>
        </w:rPr>
        <w:fldChar w:fldCharType="separate"/>
      </w:r>
      <w:r>
        <w:rPr>
          <w:i w:val="0"/>
          <w:color w:val="auto"/>
          <w:highlight w:val="none"/>
        </w:rPr>
        <w:t>40</w:t>
      </w:r>
      <w:r>
        <w:rPr>
          <w:i w:val="0"/>
          <w:color w:val="auto"/>
          <w:highlight w:val="none"/>
        </w:rPr>
        <w:fldChar w:fldCharType="end"/>
      </w:r>
      <w:r>
        <w:rPr>
          <w:i w:val="0"/>
          <w:color w:val="auto"/>
          <w:highlight w:val="none"/>
        </w:rPr>
        <w:fldChar w:fldCharType="end"/>
      </w:r>
    </w:p>
    <w:p w14:paraId="2A6C2AF4">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"_Toc57820583"</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3.5A  </w:t>
      </w:r>
      <w:r>
        <w:rPr>
          <w:rStyle w:val="53"/>
          <w:rFonts w:hint="eastAsia" w:ascii="宋体" w:hAnsi="宋体"/>
          <w:i w:val="0"/>
          <w:snapToGrid w:val="0"/>
          <w:color w:val="auto"/>
          <w:highlight w:val="none"/>
        </w:rPr>
        <w:t>资格审查资料</w:t>
      </w:r>
      <w:r>
        <w:rPr>
          <w:i w:val="0"/>
          <w:color w:val="auto"/>
          <w:highlight w:val="none"/>
        </w:rPr>
        <w:tab/>
      </w:r>
      <w:r>
        <w:rPr>
          <w:i w:val="0"/>
          <w:color w:val="auto"/>
          <w:highlight w:val="none"/>
        </w:rPr>
        <w:fldChar w:fldCharType="begin"/>
      </w:r>
      <w:r>
        <w:rPr>
          <w:i w:val="0"/>
          <w:color w:val="auto"/>
          <w:highlight w:val="none"/>
        </w:rPr>
        <w:instrText xml:space="preserve"> PAGEREF _Toc57820583 \h </w:instrText>
      </w:r>
      <w:r>
        <w:rPr>
          <w:i w:val="0"/>
          <w:color w:val="auto"/>
          <w:highlight w:val="none"/>
        </w:rPr>
        <w:fldChar w:fldCharType="separate"/>
      </w:r>
      <w:r>
        <w:rPr>
          <w:i w:val="0"/>
          <w:color w:val="auto"/>
          <w:highlight w:val="none"/>
        </w:rPr>
        <w:t>40</w:t>
      </w:r>
      <w:r>
        <w:rPr>
          <w:i w:val="0"/>
          <w:color w:val="auto"/>
          <w:highlight w:val="none"/>
        </w:rPr>
        <w:fldChar w:fldCharType="end"/>
      </w:r>
      <w:r>
        <w:rPr>
          <w:i w:val="0"/>
          <w:color w:val="auto"/>
          <w:highlight w:val="none"/>
        </w:rPr>
        <w:fldChar w:fldCharType="end"/>
      </w:r>
    </w:p>
    <w:p w14:paraId="2A9AE7F5">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"_Toc57820584"</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3.5B  </w:t>
      </w:r>
      <w:r>
        <w:rPr>
          <w:rStyle w:val="53"/>
          <w:rFonts w:hint="eastAsia" w:ascii="宋体" w:hAnsi="宋体"/>
          <w:i w:val="0"/>
          <w:snapToGrid w:val="0"/>
          <w:color w:val="auto"/>
          <w:highlight w:val="none"/>
        </w:rPr>
        <w:t>资格审查资料</w:t>
      </w:r>
      <w:r>
        <w:rPr>
          <w:i w:val="0"/>
          <w:color w:val="auto"/>
          <w:highlight w:val="none"/>
        </w:rPr>
        <w:tab/>
      </w:r>
      <w:r>
        <w:rPr>
          <w:i w:val="0"/>
          <w:color w:val="auto"/>
          <w:highlight w:val="none"/>
        </w:rPr>
        <w:fldChar w:fldCharType="begin"/>
      </w:r>
      <w:r>
        <w:rPr>
          <w:i w:val="0"/>
          <w:color w:val="auto"/>
          <w:highlight w:val="none"/>
        </w:rPr>
        <w:instrText xml:space="preserve"> PAGEREF _Toc57820584 \h </w:instrText>
      </w:r>
      <w:r>
        <w:rPr>
          <w:i w:val="0"/>
          <w:color w:val="auto"/>
          <w:highlight w:val="none"/>
        </w:rPr>
        <w:fldChar w:fldCharType="separate"/>
      </w:r>
      <w:r>
        <w:rPr>
          <w:i w:val="0"/>
          <w:color w:val="auto"/>
          <w:highlight w:val="none"/>
        </w:rPr>
        <w:t>40</w:t>
      </w:r>
      <w:r>
        <w:rPr>
          <w:i w:val="0"/>
          <w:color w:val="auto"/>
          <w:highlight w:val="none"/>
        </w:rPr>
        <w:fldChar w:fldCharType="end"/>
      </w:r>
      <w:r>
        <w:rPr>
          <w:i w:val="0"/>
          <w:color w:val="auto"/>
          <w:highlight w:val="none"/>
        </w:rPr>
        <w:fldChar w:fldCharType="end"/>
      </w:r>
    </w:p>
    <w:p w14:paraId="1D842E93">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"_Toc57820585"</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3.6  </w:t>
      </w:r>
      <w:r>
        <w:rPr>
          <w:rStyle w:val="53"/>
          <w:rFonts w:hint="eastAsia" w:ascii="宋体" w:hAnsi="宋体"/>
          <w:i w:val="0"/>
          <w:snapToGrid w:val="0"/>
          <w:color w:val="auto"/>
          <w:highlight w:val="none"/>
        </w:rPr>
        <w:t>备选投标方案</w:t>
      </w:r>
      <w:r>
        <w:rPr>
          <w:i w:val="0"/>
          <w:color w:val="auto"/>
          <w:highlight w:val="none"/>
        </w:rPr>
        <w:tab/>
      </w:r>
      <w:r>
        <w:rPr>
          <w:i w:val="0"/>
          <w:color w:val="auto"/>
          <w:highlight w:val="none"/>
        </w:rPr>
        <w:fldChar w:fldCharType="begin"/>
      </w:r>
      <w:r>
        <w:rPr>
          <w:i w:val="0"/>
          <w:color w:val="auto"/>
          <w:highlight w:val="none"/>
        </w:rPr>
        <w:instrText xml:space="preserve"> PAGEREF _Toc57820585 \h </w:instrText>
      </w:r>
      <w:r>
        <w:rPr>
          <w:i w:val="0"/>
          <w:color w:val="auto"/>
          <w:highlight w:val="none"/>
        </w:rPr>
        <w:fldChar w:fldCharType="separate"/>
      </w:r>
      <w:r>
        <w:rPr>
          <w:i w:val="0"/>
          <w:color w:val="auto"/>
          <w:highlight w:val="none"/>
        </w:rPr>
        <w:t>40</w:t>
      </w:r>
      <w:r>
        <w:rPr>
          <w:i w:val="0"/>
          <w:color w:val="auto"/>
          <w:highlight w:val="none"/>
        </w:rPr>
        <w:fldChar w:fldCharType="end"/>
      </w:r>
      <w:r>
        <w:rPr>
          <w:i w:val="0"/>
          <w:color w:val="auto"/>
          <w:highlight w:val="none"/>
        </w:rPr>
        <w:fldChar w:fldCharType="end"/>
      </w:r>
    </w:p>
    <w:p w14:paraId="7D9F4D08">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"_Toc57820586"</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3.7  </w:t>
      </w:r>
      <w:r>
        <w:rPr>
          <w:rStyle w:val="53"/>
          <w:rFonts w:hint="eastAsia" w:ascii="宋体" w:hAnsi="宋体"/>
          <w:i w:val="0"/>
          <w:snapToGrid w:val="0"/>
          <w:color w:val="auto"/>
          <w:highlight w:val="none"/>
        </w:rPr>
        <w:t>投标文件的编制</w:t>
      </w:r>
      <w:r>
        <w:rPr>
          <w:i w:val="0"/>
          <w:color w:val="auto"/>
          <w:highlight w:val="none"/>
        </w:rPr>
        <w:tab/>
      </w:r>
      <w:r>
        <w:rPr>
          <w:i w:val="0"/>
          <w:color w:val="auto"/>
          <w:highlight w:val="none"/>
        </w:rPr>
        <w:fldChar w:fldCharType="begin"/>
      </w:r>
      <w:r>
        <w:rPr>
          <w:i w:val="0"/>
          <w:color w:val="auto"/>
          <w:highlight w:val="none"/>
        </w:rPr>
        <w:instrText xml:space="preserve"> PAGEREF _Toc57820586 \h </w:instrText>
      </w:r>
      <w:r>
        <w:rPr>
          <w:i w:val="0"/>
          <w:color w:val="auto"/>
          <w:highlight w:val="none"/>
        </w:rPr>
        <w:fldChar w:fldCharType="separate"/>
      </w:r>
      <w:r>
        <w:rPr>
          <w:i w:val="0"/>
          <w:color w:val="auto"/>
          <w:highlight w:val="none"/>
        </w:rPr>
        <w:t>41</w:t>
      </w:r>
      <w:r>
        <w:rPr>
          <w:i w:val="0"/>
          <w:color w:val="auto"/>
          <w:highlight w:val="none"/>
        </w:rPr>
        <w:fldChar w:fldCharType="end"/>
      </w:r>
      <w:r>
        <w:rPr>
          <w:i w:val="0"/>
          <w:color w:val="auto"/>
          <w:highlight w:val="none"/>
        </w:rPr>
        <w:fldChar w:fldCharType="end"/>
      </w:r>
    </w:p>
    <w:p w14:paraId="77E370D7">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"_Toc57820587"</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4.  </w:t>
      </w:r>
      <w:r>
        <w:rPr>
          <w:rStyle w:val="53"/>
          <w:rFonts w:hint="eastAsia" w:ascii="宋体" w:hAnsi="宋体"/>
          <w:snapToGrid w:val="0"/>
          <w:color w:val="auto"/>
          <w:highlight w:val="none"/>
        </w:rPr>
        <w:t>投标</w:t>
      </w:r>
      <w:r>
        <w:rPr>
          <w:color w:val="auto"/>
          <w:highlight w:val="none"/>
        </w:rPr>
        <w:tab/>
      </w:r>
      <w:r>
        <w:rPr>
          <w:color w:val="auto"/>
          <w:highlight w:val="none"/>
        </w:rPr>
        <w:fldChar w:fldCharType="begin"/>
      </w:r>
      <w:r>
        <w:rPr>
          <w:color w:val="auto"/>
          <w:highlight w:val="none"/>
        </w:rPr>
        <w:instrText xml:space="preserve"> PAGEREF _Toc57820587 \h </w:instrText>
      </w:r>
      <w:r>
        <w:rPr>
          <w:color w:val="auto"/>
          <w:highlight w:val="none"/>
        </w:rPr>
        <w:fldChar w:fldCharType="separate"/>
      </w:r>
      <w:r>
        <w:rPr>
          <w:color w:val="auto"/>
          <w:highlight w:val="none"/>
        </w:rPr>
        <w:t>41</w:t>
      </w:r>
      <w:r>
        <w:rPr>
          <w:color w:val="auto"/>
          <w:highlight w:val="none"/>
        </w:rPr>
        <w:fldChar w:fldCharType="end"/>
      </w:r>
      <w:r>
        <w:rPr>
          <w:color w:val="auto"/>
          <w:highlight w:val="none"/>
        </w:rPr>
        <w:fldChar w:fldCharType="end"/>
      </w:r>
    </w:p>
    <w:p w14:paraId="1A657E0B">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"_Toc57820588"</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4.1  </w:t>
      </w:r>
      <w:r>
        <w:rPr>
          <w:rStyle w:val="53"/>
          <w:rFonts w:hint="eastAsia" w:ascii="宋体" w:hAnsi="宋体"/>
          <w:i w:val="0"/>
          <w:snapToGrid w:val="0"/>
          <w:color w:val="auto"/>
          <w:highlight w:val="none"/>
        </w:rPr>
        <w:t>投标文件的密封和标记</w:t>
      </w:r>
      <w:r>
        <w:rPr>
          <w:i w:val="0"/>
          <w:color w:val="auto"/>
          <w:highlight w:val="none"/>
        </w:rPr>
        <w:tab/>
      </w:r>
      <w:r>
        <w:rPr>
          <w:i w:val="0"/>
          <w:color w:val="auto"/>
          <w:highlight w:val="none"/>
        </w:rPr>
        <w:fldChar w:fldCharType="begin"/>
      </w:r>
      <w:r>
        <w:rPr>
          <w:i w:val="0"/>
          <w:color w:val="auto"/>
          <w:highlight w:val="none"/>
        </w:rPr>
        <w:instrText xml:space="preserve"> PAGEREF _Toc57820588 \h </w:instrText>
      </w:r>
      <w:r>
        <w:rPr>
          <w:i w:val="0"/>
          <w:color w:val="auto"/>
          <w:highlight w:val="none"/>
        </w:rPr>
        <w:fldChar w:fldCharType="separate"/>
      </w:r>
      <w:r>
        <w:rPr>
          <w:i w:val="0"/>
          <w:color w:val="auto"/>
          <w:highlight w:val="none"/>
        </w:rPr>
        <w:t>41</w:t>
      </w:r>
      <w:r>
        <w:rPr>
          <w:i w:val="0"/>
          <w:color w:val="auto"/>
          <w:highlight w:val="none"/>
        </w:rPr>
        <w:fldChar w:fldCharType="end"/>
      </w:r>
      <w:r>
        <w:rPr>
          <w:i w:val="0"/>
          <w:color w:val="auto"/>
          <w:highlight w:val="none"/>
        </w:rPr>
        <w:fldChar w:fldCharType="end"/>
      </w:r>
    </w:p>
    <w:p w14:paraId="53D7F291">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"_Toc57820589"</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4.2  </w:t>
      </w:r>
      <w:r>
        <w:rPr>
          <w:rStyle w:val="53"/>
          <w:rFonts w:hint="eastAsia" w:ascii="宋体" w:hAnsi="宋体"/>
          <w:i w:val="0"/>
          <w:snapToGrid w:val="0"/>
          <w:color w:val="auto"/>
          <w:highlight w:val="none"/>
        </w:rPr>
        <w:t>投标文件的递交</w:t>
      </w:r>
      <w:r>
        <w:rPr>
          <w:i w:val="0"/>
          <w:color w:val="auto"/>
          <w:highlight w:val="none"/>
        </w:rPr>
        <w:tab/>
      </w:r>
      <w:r>
        <w:rPr>
          <w:i w:val="0"/>
          <w:color w:val="auto"/>
          <w:highlight w:val="none"/>
        </w:rPr>
        <w:fldChar w:fldCharType="begin"/>
      </w:r>
      <w:r>
        <w:rPr>
          <w:i w:val="0"/>
          <w:color w:val="auto"/>
          <w:highlight w:val="none"/>
        </w:rPr>
        <w:instrText xml:space="preserve"> PAGEREF _Toc57820589 \h </w:instrText>
      </w:r>
      <w:r>
        <w:rPr>
          <w:i w:val="0"/>
          <w:color w:val="auto"/>
          <w:highlight w:val="none"/>
        </w:rPr>
        <w:fldChar w:fldCharType="separate"/>
      </w:r>
      <w:r>
        <w:rPr>
          <w:i w:val="0"/>
          <w:color w:val="auto"/>
          <w:highlight w:val="none"/>
        </w:rPr>
        <w:t>41</w:t>
      </w:r>
      <w:r>
        <w:rPr>
          <w:i w:val="0"/>
          <w:color w:val="auto"/>
          <w:highlight w:val="none"/>
        </w:rPr>
        <w:fldChar w:fldCharType="end"/>
      </w:r>
      <w:r>
        <w:rPr>
          <w:i w:val="0"/>
          <w:color w:val="auto"/>
          <w:highlight w:val="none"/>
        </w:rPr>
        <w:fldChar w:fldCharType="end"/>
      </w:r>
    </w:p>
    <w:p w14:paraId="1F4C0397">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"_Toc57820590"</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4.3  </w:t>
      </w:r>
      <w:r>
        <w:rPr>
          <w:rStyle w:val="53"/>
          <w:rFonts w:hint="eastAsia" w:ascii="宋体" w:hAnsi="宋体"/>
          <w:i w:val="0"/>
          <w:snapToGrid w:val="0"/>
          <w:color w:val="auto"/>
          <w:highlight w:val="none"/>
        </w:rPr>
        <w:t>投标文件的修改与撤回</w:t>
      </w:r>
      <w:r>
        <w:rPr>
          <w:i w:val="0"/>
          <w:color w:val="auto"/>
          <w:highlight w:val="none"/>
        </w:rPr>
        <w:tab/>
      </w:r>
      <w:r>
        <w:rPr>
          <w:i w:val="0"/>
          <w:color w:val="auto"/>
          <w:highlight w:val="none"/>
        </w:rPr>
        <w:fldChar w:fldCharType="begin"/>
      </w:r>
      <w:r>
        <w:rPr>
          <w:i w:val="0"/>
          <w:color w:val="auto"/>
          <w:highlight w:val="none"/>
        </w:rPr>
        <w:instrText xml:space="preserve"> PAGEREF _Toc57820590 \h </w:instrText>
      </w:r>
      <w:r>
        <w:rPr>
          <w:i w:val="0"/>
          <w:color w:val="auto"/>
          <w:highlight w:val="none"/>
        </w:rPr>
        <w:fldChar w:fldCharType="separate"/>
      </w:r>
      <w:r>
        <w:rPr>
          <w:i w:val="0"/>
          <w:color w:val="auto"/>
          <w:highlight w:val="none"/>
        </w:rPr>
        <w:t>42</w:t>
      </w:r>
      <w:r>
        <w:rPr>
          <w:i w:val="0"/>
          <w:color w:val="auto"/>
          <w:highlight w:val="none"/>
        </w:rPr>
        <w:fldChar w:fldCharType="end"/>
      </w:r>
      <w:r>
        <w:rPr>
          <w:i w:val="0"/>
          <w:color w:val="auto"/>
          <w:highlight w:val="none"/>
        </w:rPr>
        <w:fldChar w:fldCharType="end"/>
      </w:r>
    </w:p>
    <w:p w14:paraId="384E3A4E">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"_Toc57820591"</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5.  </w:t>
      </w:r>
      <w:r>
        <w:rPr>
          <w:rStyle w:val="53"/>
          <w:rFonts w:hint="eastAsia" w:ascii="宋体" w:hAnsi="宋体"/>
          <w:snapToGrid w:val="0"/>
          <w:color w:val="auto"/>
          <w:highlight w:val="none"/>
        </w:rPr>
        <w:t>开标</w:t>
      </w:r>
      <w:r>
        <w:rPr>
          <w:color w:val="auto"/>
          <w:highlight w:val="none"/>
        </w:rPr>
        <w:tab/>
      </w:r>
      <w:r>
        <w:rPr>
          <w:color w:val="auto"/>
          <w:highlight w:val="none"/>
        </w:rPr>
        <w:fldChar w:fldCharType="begin"/>
      </w:r>
      <w:r>
        <w:rPr>
          <w:color w:val="auto"/>
          <w:highlight w:val="none"/>
        </w:rPr>
        <w:instrText xml:space="preserve"> PAGEREF _Toc57820591 \h </w:instrText>
      </w:r>
      <w:r>
        <w:rPr>
          <w:color w:val="auto"/>
          <w:highlight w:val="none"/>
        </w:rPr>
        <w:fldChar w:fldCharType="separate"/>
      </w:r>
      <w:r>
        <w:rPr>
          <w:color w:val="auto"/>
          <w:highlight w:val="none"/>
        </w:rPr>
        <w:t>42</w:t>
      </w:r>
      <w:r>
        <w:rPr>
          <w:color w:val="auto"/>
          <w:highlight w:val="none"/>
        </w:rPr>
        <w:fldChar w:fldCharType="end"/>
      </w:r>
      <w:r>
        <w:rPr>
          <w:color w:val="auto"/>
          <w:highlight w:val="none"/>
        </w:rPr>
        <w:fldChar w:fldCharType="end"/>
      </w:r>
    </w:p>
    <w:p w14:paraId="73CEB04A">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"_Toc57820592"</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5.1  </w:t>
      </w:r>
      <w:r>
        <w:rPr>
          <w:rStyle w:val="53"/>
          <w:rFonts w:hint="eastAsia" w:ascii="宋体" w:hAnsi="宋体"/>
          <w:i w:val="0"/>
          <w:snapToGrid w:val="0"/>
          <w:color w:val="auto"/>
          <w:highlight w:val="none"/>
        </w:rPr>
        <w:t>开标时间和地点</w:t>
      </w:r>
      <w:r>
        <w:rPr>
          <w:i w:val="0"/>
          <w:color w:val="auto"/>
          <w:highlight w:val="none"/>
        </w:rPr>
        <w:tab/>
      </w:r>
      <w:r>
        <w:rPr>
          <w:i w:val="0"/>
          <w:color w:val="auto"/>
          <w:highlight w:val="none"/>
        </w:rPr>
        <w:fldChar w:fldCharType="begin"/>
      </w:r>
      <w:r>
        <w:rPr>
          <w:i w:val="0"/>
          <w:color w:val="auto"/>
          <w:highlight w:val="none"/>
        </w:rPr>
        <w:instrText xml:space="preserve"> PAGEREF _Toc57820592 \h </w:instrText>
      </w:r>
      <w:r>
        <w:rPr>
          <w:i w:val="0"/>
          <w:color w:val="auto"/>
          <w:highlight w:val="none"/>
        </w:rPr>
        <w:fldChar w:fldCharType="separate"/>
      </w:r>
      <w:r>
        <w:rPr>
          <w:i w:val="0"/>
          <w:color w:val="auto"/>
          <w:highlight w:val="none"/>
        </w:rPr>
        <w:t>42</w:t>
      </w:r>
      <w:r>
        <w:rPr>
          <w:i w:val="0"/>
          <w:color w:val="auto"/>
          <w:highlight w:val="none"/>
        </w:rPr>
        <w:fldChar w:fldCharType="end"/>
      </w:r>
      <w:r>
        <w:rPr>
          <w:i w:val="0"/>
          <w:color w:val="auto"/>
          <w:highlight w:val="none"/>
        </w:rPr>
        <w:fldChar w:fldCharType="end"/>
      </w:r>
    </w:p>
    <w:p w14:paraId="0C274750">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"_Toc57820593"</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5.2  </w:t>
      </w:r>
      <w:r>
        <w:rPr>
          <w:rStyle w:val="53"/>
          <w:rFonts w:hint="eastAsia" w:ascii="宋体" w:hAnsi="宋体"/>
          <w:i w:val="0"/>
          <w:snapToGrid w:val="0"/>
          <w:color w:val="auto"/>
          <w:highlight w:val="none"/>
        </w:rPr>
        <w:t>开标程序</w:t>
      </w:r>
      <w:r>
        <w:rPr>
          <w:i w:val="0"/>
          <w:color w:val="auto"/>
          <w:highlight w:val="none"/>
        </w:rPr>
        <w:tab/>
      </w:r>
      <w:r>
        <w:rPr>
          <w:i w:val="0"/>
          <w:color w:val="auto"/>
          <w:highlight w:val="none"/>
        </w:rPr>
        <w:fldChar w:fldCharType="begin"/>
      </w:r>
      <w:r>
        <w:rPr>
          <w:i w:val="0"/>
          <w:color w:val="auto"/>
          <w:highlight w:val="none"/>
        </w:rPr>
        <w:instrText xml:space="preserve"> PAGEREF _Toc57820593 \h </w:instrText>
      </w:r>
      <w:r>
        <w:rPr>
          <w:i w:val="0"/>
          <w:color w:val="auto"/>
          <w:highlight w:val="none"/>
        </w:rPr>
        <w:fldChar w:fldCharType="separate"/>
      </w:r>
      <w:r>
        <w:rPr>
          <w:i w:val="0"/>
          <w:color w:val="auto"/>
          <w:highlight w:val="none"/>
        </w:rPr>
        <w:t>42</w:t>
      </w:r>
      <w:r>
        <w:rPr>
          <w:i w:val="0"/>
          <w:color w:val="auto"/>
          <w:highlight w:val="none"/>
        </w:rPr>
        <w:fldChar w:fldCharType="end"/>
      </w:r>
      <w:r>
        <w:rPr>
          <w:i w:val="0"/>
          <w:color w:val="auto"/>
          <w:highlight w:val="none"/>
        </w:rPr>
        <w:fldChar w:fldCharType="end"/>
      </w:r>
    </w:p>
    <w:p w14:paraId="4FA03D70">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"_Toc57820594"</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5.3  </w:t>
      </w:r>
      <w:r>
        <w:rPr>
          <w:rStyle w:val="53"/>
          <w:rFonts w:hint="eastAsia" w:ascii="宋体" w:hAnsi="宋体"/>
          <w:i w:val="0"/>
          <w:snapToGrid w:val="0"/>
          <w:color w:val="auto"/>
          <w:highlight w:val="none"/>
        </w:rPr>
        <w:t>开标异议</w:t>
      </w:r>
      <w:r>
        <w:rPr>
          <w:i w:val="0"/>
          <w:color w:val="auto"/>
          <w:highlight w:val="none"/>
        </w:rPr>
        <w:tab/>
      </w:r>
      <w:r>
        <w:rPr>
          <w:i w:val="0"/>
          <w:color w:val="auto"/>
          <w:highlight w:val="none"/>
        </w:rPr>
        <w:fldChar w:fldCharType="begin"/>
      </w:r>
      <w:r>
        <w:rPr>
          <w:i w:val="0"/>
          <w:color w:val="auto"/>
          <w:highlight w:val="none"/>
        </w:rPr>
        <w:instrText xml:space="preserve"> PAGEREF _Toc57820594 \h </w:instrText>
      </w:r>
      <w:r>
        <w:rPr>
          <w:i w:val="0"/>
          <w:color w:val="auto"/>
          <w:highlight w:val="none"/>
        </w:rPr>
        <w:fldChar w:fldCharType="separate"/>
      </w:r>
      <w:r>
        <w:rPr>
          <w:i w:val="0"/>
          <w:color w:val="auto"/>
          <w:highlight w:val="none"/>
        </w:rPr>
        <w:t>42</w:t>
      </w:r>
      <w:r>
        <w:rPr>
          <w:i w:val="0"/>
          <w:color w:val="auto"/>
          <w:highlight w:val="none"/>
        </w:rPr>
        <w:fldChar w:fldCharType="end"/>
      </w:r>
      <w:r>
        <w:rPr>
          <w:i w:val="0"/>
          <w:color w:val="auto"/>
          <w:highlight w:val="none"/>
        </w:rPr>
        <w:fldChar w:fldCharType="end"/>
      </w:r>
    </w:p>
    <w:p w14:paraId="6789817A">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"_Toc57820595"</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6.  </w:t>
      </w:r>
      <w:r>
        <w:rPr>
          <w:rStyle w:val="53"/>
          <w:rFonts w:hint="eastAsia" w:ascii="宋体" w:hAnsi="宋体"/>
          <w:snapToGrid w:val="0"/>
          <w:color w:val="auto"/>
          <w:highlight w:val="none"/>
        </w:rPr>
        <w:t>评标</w:t>
      </w:r>
      <w:r>
        <w:rPr>
          <w:color w:val="auto"/>
          <w:highlight w:val="none"/>
        </w:rPr>
        <w:tab/>
      </w:r>
      <w:r>
        <w:rPr>
          <w:color w:val="auto"/>
          <w:highlight w:val="none"/>
        </w:rPr>
        <w:fldChar w:fldCharType="begin"/>
      </w:r>
      <w:r>
        <w:rPr>
          <w:color w:val="auto"/>
          <w:highlight w:val="none"/>
        </w:rPr>
        <w:instrText xml:space="preserve"> PAGEREF _Toc57820595 \h </w:instrText>
      </w:r>
      <w:r>
        <w:rPr>
          <w:color w:val="auto"/>
          <w:highlight w:val="none"/>
        </w:rPr>
        <w:fldChar w:fldCharType="separate"/>
      </w:r>
      <w:r>
        <w:rPr>
          <w:color w:val="auto"/>
          <w:highlight w:val="none"/>
        </w:rPr>
        <w:t>42</w:t>
      </w:r>
      <w:r>
        <w:rPr>
          <w:color w:val="auto"/>
          <w:highlight w:val="none"/>
        </w:rPr>
        <w:fldChar w:fldCharType="end"/>
      </w:r>
      <w:r>
        <w:rPr>
          <w:color w:val="auto"/>
          <w:highlight w:val="none"/>
        </w:rPr>
        <w:fldChar w:fldCharType="end"/>
      </w:r>
    </w:p>
    <w:p w14:paraId="04483F2D">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"_Toc57820596"</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6.1  </w:t>
      </w:r>
      <w:r>
        <w:rPr>
          <w:rStyle w:val="53"/>
          <w:rFonts w:hint="eastAsia" w:ascii="宋体" w:hAnsi="宋体"/>
          <w:i w:val="0"/>
          <w:snapToGrid w:val="0"/>
          <w:color w:val="auto"/>
          <w:highlight w:val="none"/>
        </w:rPr>
        <w:t>评标委员会</w:t>
      </w:r>
      <w:r>
        <w:rPr>
          <w:i w:val="0"/>
          <w:color w:val="auto"/>
          <w:highlight w:val="none"/>
        </w:rPr>
        <w:tab/>
      </w:r>
      <w:r>
        <w:rPr>
          <w:i w:val="0"/>
          <w:color w:val="auto"/>
          <w:highlight w:val="none"/>
        </w:rPr>
        <w:fldChar w:fldCharType="begin"/>
      </w:r>
      <w:r>
        <w:rPr>
          <w:i w:val="0"/>
          <w:color w:val="auto"/>
          <w:highlight w:val="none"/>
        </w:rPr>
        <w:instrText xml:space="preserve"> PAGEREF _Toc57820596 \h </w:instrText>
      </w:r>
      <w:r>
        <w:rPr>
          <w:i w:val="0"/>
          <w:color w:val="auto"/>
          <w:highlight w:val="none"/>
        </w:rPr>
        <w:fldChar w:fldCharType="separate"/>
      </w:r>
      <w:r>
        <w:rPr>
          <w:i w:val="0"/>
          <w:color w:val="auto"/>
          <w:highlight w:val="none"/>
        </w:rPr>
        <w:t>42</w:t>
      </w:r>
      <w:r>
        <w:rPr>
          <w:i w:val="0"/>
          <w:color w:val="auto"/>
          <w:highlight w:val="none"/>
        </w:rPr>
        <w:fldChar w:fldCharType="end"/>
      </w:r>
      <w:r>
        <w:rPr>
          <w:i w:val="0"/>
          <w:color w:val="auto"/>
          <w:highlight w:val="none"/>
        </w:rPr>
        <w:fldChar w:fldCharType="end"/>
      </w:r>
    </w:p>
    <w:p w14:paraId="076C3FA5">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"_Toc57820597"</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6.2  </w:t>
      </w:r>
      <w:r>
        <w:rPr>
          <w:rStyle w:val="53"/>
          <w:rFonts w:hint="eastAsia" w:ascii="宋体" w:hAnsi="宋体"/>
          <w:i w:val="0"/>
          <w:snapToGrid w:val="0"/>
          <w:color w:val="auto"/>
          <w:highlight w:val="none"/>
        </w:rPr>
        <w:t>评标原则</w:t>
      </w:r>
      <w:r>
        <w:rPr>
          <w:i w:val="0"/>
          <w:color w:val="auto"/>
          <w:highlight w:val="none"/>
        </w:rPr>
        <w:tab/>
      </w:r>
      <w:r>
        <w:rPr>
          <w:i w:val="0"/>
          <w:color w:val="auto"/>
          <w:highlight w:val="none"/>
        </w:rPr>
        <w:fldChar w:fldCharType="begin"/>
      </w:r>
      <w:r>
        <w:rPr>
          <w:i w:val="0"/>
          <w:color w:val="auto"/>
          <w:highlight w:val="none"/>
        </w:rPr>
        <w:instrText xml:space="preserve"> PAGEREF _Toc57820597 \h </w:instrText>
      </w:r>
      <w:r>
        <w:rPr>
          <w:i w:val="0"/>
          <w:color w:val="auto"/>
          <w:highlight w:val="none"/>
        </w:rPr>
        <w:fldChar w:fldCharType="separate"/>
      </w:r>
      <w:r>
        <w:rPr>
          <w:i w:val="0"/>
          <w:color w:val="auto"/>
          <w:highlight w:val="none"/>
        </w:rPr>
        <w:t>42</w:t>
      </w:r>
      <w:r>
        <w:rPr>
          <w:i w:val="0"/>
          <w:color w:val="auto"/>
          <w:highlight w:val="none"/>
        </w:rPr>
        <w:fldChar w:fldCharType="end"/>
      </w:r>
      <w:r>
        <w:rPr>
          <w:i w:val="0"/>
          <w:color w:val="auto"/>
          <w:highlight w:val="none"/>
        </w:rPr>
        <w:fldChar w:fldCharType="end"/>
      </w:r>
    </w:p>
    <w:p w14:paraId="3FF38DBD">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"_Toc57820598"</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6.3  </w:t>
      </w:r>
      <w:r>
        <w:rPr>
          <w:rStyle w:val="53"/>
          <w:rFonts w:hint="eastAsia" w:ascii="宋体" w:hAnsi="宋体"/>
          <w:i w:val="0"/>
          <w:snapToGrid w:val="0"/>
          <w:color w:val="auto"/>
          <w:highlight w:val="none"/>
        </w:rPr>
        <w:t>评标</w:t>
      </w:r>
      <w:r>
        <w:rPr>
          <w:i w:val="0"/>
          <w:color w:val="auto"/>
          <w:highlight w:val="none"/>
        </w:rPr>
        <w:tab/>
      </w:r>
      <w:r>
        <w:rPr>
          <w:i w:val="0"/>
          <w:color w:val="auto"/>
          <w:highlight w:val="none"/>
        </w:rPr>
        <w:fldChar w:fldCharType="begin"/>
      </w:r>
      <w:r>
        <w:rPr>
          <w:i w:val="0"/>
          <w:color w:val="auto"/>
          <w:highlight w:val="none"/>
        </w:rPr>
        <w:instrText xml:space="preserve"> PAGEREF _Toc57820598 \h </w:instrText>
      </w:r>
      <w:r>
        <w:rPr>
          <w:i w:val="0"/>
          <w:color w:val="auto"/>
          <w:highlight w:val="none"/>
        </w:rPr>
        <w:fldChar w:fldCharType="separate"/>
      </w:r>
      <w:r>
        <w:rPr>
          <w:i w:val="0"/>
          <w:color w:val="auto"/>
          <w:highlight w:val="none"/>
        </w:rPr>
        <w:t>43</w:t>
      </w:r>
      <w:r>
        <w:rPr>
          <w:i w:val="0"/>
          <w:color w:val="auto"/>
          <w:highlight w:val="none"/>
        </w:rPr>
        <w:fldChar w:fldCharType="end"/>
      </w:r>
      <w:r>
        <w:rPr>
          <w:i w:val="0"/>
          <w:color w:val="auto"/>
          <w:highlight w:val="none"/>
        </w:rPr>
        <w:fldChar w:fldCharType="end"/>
      </w:r>
    </w:p>
    <w:p w14:paraId="1BD164CC">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"_Toc57820599"</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7.  </w:t>
      </w:r>
      <w:r>
        <w:rPr>
          <w:rStyle w:val="53"/>
          <w:rFonts w:hint="eastAsia" w:ascii="宋体" w:hAnsi="宋体"/>
          <w:snapToGrid w:val="0"/>
          <w:color w:val="auto"/>
          <w:highlight w:val="none"/>
        </w:rPr>
        <w:t>合同授予</w:t>
      </w:r>
      <w:r>
        <w:rPr>
          <w:color w:val="auto"/>
          <w:highlight w:val="none"/>
        </w:rPr>
        <w:tab/>
      </w:r>
      <w:r>
        <w:rPr>
          <w:color w:val="auto"/>
          <w:highlight w:val="none"/>
        </w:rPr>
        <w:fldChar w:fldCharType="begin"/>
      </w:r>
      <w:r>
        <w:rPr>
          <w:color w:val="auto"/>
          <w:highlight w:val="none"/>
        </w:rPr>
        <w:instrText xml:space="preserve"> PAGEREF _Toc57820599 \h </w:instrText>
      </w:r>
      <w:r>
        <w:rPr>
          <w:color w:val="auto"/>
          <w:highlight w:val="none"/>
        </w:rPr>
        <w:fldChar w:fldCharType="separate"/>
      </w:r>
      <w:r>
        <w:rPr>
          <w:color w:val="auto"/>
          <w:highlight w:val="none"/>
        </w:rPr>
        <w:t>43</w:t>
      </w:r>
      <w:r>
        <w:rPr>
          <w:color w:val="auto"/>
          <w:highlight w:val="none"/>
        </w:rPr>
        <w:fldChar w:fldCharType="end"/>
      </w:r>
      <w:r>
        <w:rPr>
          <w:color w:val="auto"/>
          <w:highlight w:val="none"/>
        </w:rPr>
        <w:fldChar w:fldCharType="end"/>
      </w:r>
    </w:p>
    <w:p w14:paraId="4E77BA6F">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"_Toc57820600"</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7.1  </w:t>
      </w:r>
      <w:r>
        <w:rPr>
          <w:rStyle w:val="53"/>
          <w:rFonts w:hint="eastAsia" w:ascii="宋体" w:hAnsi="宋体"/>
          <w:i w:val="0"/>
          <w:snapToGrid w:val="0"/>
          <w:color w:val="auto"/>
          <w:highlight w:val="none"/>
        </w:rPr>
        <w:t>定标方式</w:t>
      </w:r>
      <w:r>
        <w:rPr>
          <w:i w:val="0"/>
          <w:color w:val="auto"/>
          <w:highlight w:val="none"/>
        </w:rPr>
        <w:tab/>
      </w:r>
      <w:r>
        <w:rPr>
          <w:i w:val="0"/>
          <w:color w:val="auto"/>
          <w:highlight w:val="none"/>
        </w:rPr>
        <w:fldChar w:fldCharType="begin"/>
      </w:r>
      <w:r>
        <w:rPr>
          <w:i w:val="0"/>
          <w:color w:val="auto"/>
          <w:highlight w:val="none"/>
        </w:rPr>
        <w:instrText xml:space="preserve"> PAGEREF _Toc57820600 \h </w:instrText>
      </w:r>
      <w:r>
        <w:rPr>
          <w:i w:val="0"/>
          <w:color w:val="auto"/>
          <w:highlight w:val="none"/>
        </w:rPr>
        <w:fldChar w:fldCharType="separate"/>
      </w:r>
      <w:r>
        <w:rPr>
          <w:i w:val="0"/>
          <w:color w:val="auto"/>
          <w:highlight w:val="none"/>
        </w:rPr>
        <w:t>43</w:t>
      </w:r>
      <w:r>
        <w:rPr>
          <w:i w:val="0"/>
          <w:color w:val="auto"/>
          <w:highlight w:val="none"/>
        </w:rPr>
        <w:fldChar w:fldCharType="end"/>
      </w:r>
      <w:r>
        <w:rPr>
          <w:i w:val="0"/>
          <w:color w:val="auto"/>
          <w:highlight w:val="none"/>
        </w:rPr>
        <w:fldChar w:fldCharType="end"/>
      </w:r>
    </w:p>
    <w:p w14:paraId="306D77E4">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"_Toc57820601"</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7.2  </w:t>
      </w:r>
      <w:r>
        <w:rPr>
          <w:rStyle w:val="53"/>
          <w:rFonts w:hint="eastAsia" w:ascii="宋体" w:hAnsi="宋体"/>
          <w:i w:val="0"/>
          <w:snapToGrid w:val="0"/>
          <w:color w:val="auto"/>
          <w:highlight w:val="none"/>
        </w:rPr>
        <w:t>中标公示及中标通知</w:t>
      </w:r>
      <w:r>
        <w:rPr>
          <w:i w:val="0"/>
          <w:color w:val="auto"/>
          <w:highlight w:val="none"/>
        </w:rPr>
        <w:tab/>
      </w:r>
      <w:r>
        <w:rPr>
          <w:i w:val="0"/>
          <w:color w:val="auto"/>
          <w:highlight w:val="none"/>
        </w:rPr>
        <w:fldChar w:fldCharType="begin"/>
      </w:r>
      <w:r>
        <w:rPr>
          <w:i w:val="0"/>
          <w:color w:val="auto"/>
          <w:highlight w:val="none"/>
        </w:rPr>
        <w:instrText xml:space="preserve"> PAGEREF _Toc57820601 \h </w:instrText>
      </w:r>
      <w:r>
        <w:rPr>
          <w:i w:val="0"/>
          <w:color w:val="auto"/>
          <w:highlight w:val="none"/>
        </w:rPr>
        <w:fldChar w:fldCharType="separate"/>
      </w:r>
      <w:r>
        <w:rPr>
          <w:i w:val="0"/>
          <w:color w:val="auto"/>
          <w:highlight w:val="none"/>
        </w:rPr>
        <w:t>43</w:t>
      </w:r>
      <w:r>
        <w:rPr>
          <w:i w:val="0"/>
          <w:color w:val="auto"/>
          <w:highlight w:val="none"/>
        </w:rPr>
        <w:fldChar w:fldCharType="end"/>
      </w:r>
      <w:r>
        <w:rPr>
          <w:i w:val="0"/>
          <w:color w:val="auto"/>
          <w:highlight w:val="none"/>
        </w:rPr>
        <w:fldChar w:fldCharType="end"/>
      </w:r>
    </w:p>
    <w:p w14:paraId="6120F7F0">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"_Toc57820602"</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7.3  </w:t>
      </w:r>
      <w:r>
        <w:rPr>
          <w:rStyle w:val="53"/>
          <w:rFonts w:hint="eastAsia" w:ascii="宋体" w:hAnsi="宋体"/>
          <w:i w:val="0"/>
          <w:snapToGrid w:val="0"/>
          <w:color w:val="auto"/>
          <w:highlight w:val="none"/>
        </w:rPr>
        <w:t>履约担保</w:t>
      </w:r>
      <w:r>
        <w:rPr>
          <w:i w:val="0"/>
          <w:color w:val="auto"/>
          <w:highlight w:val="none"/>
        </w:rPr>
        <w:tab/>
      </w:r>
      <w:r>
        <w:rPr>
          <w:i w:val="0"/>
          <w:color w:val="auto"/>
          <w:highlight w:val="none"/>
        </w:rPr>
        <w:fldChar w:fldCharType="begin"/>
      </w:r>
      <w:r>
        <w:rPr>
          <w:i w:val="0"/>
          <w:color w:val="auto"/>
          <w:highlight w:val="none"/>
        </w:rPr>
        <w:instrText xml:space="preserve"> PAGEREF _Toc57820602 \h </w:instrText>
      </w:r>
      <w:r>
        <w:rPr>
          <w:i w:val="0"/>
          <w:color w:val="auto"/>
          <w:highlight w:val="none"/>
        </w:rPr>
        <w:fldChar w:fldCharType="separate"/>
      </w:r>
      <w:r>
        <w:rPr>
          <w:i w:val="0"/>
          <w:color w:val="auto"/>
          <w:highlight w:val="none"/>
        </w:rPr>
        <w:t>43</w:t>
      </w:r>
      <w:r>
        <w:rPr>
          <w:i w:val="0"/>
          <w:color w:val="auto"/>
          <w:highlight w:val="none"/>
        </w:rPr>
        <w:fldChar w:fldCharType="end"/>
      </w:r>
      <w:r>
        <w:rPr>
          <w:i w:val="0"/>
          <w:color w:val="auto"/>
          <w:highlight w:val="none"/>
        </w:rPr>
        <w:fldChar w:fldCharType="end"/>
      </w:r>
    </w:p>
    <w:p w14:paraId="64F568D9">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"_Toc57820603"</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7.4  </w:t>
      </w:r>
      <w:r>
        <w:rPr>
          <w:rStyle w:val="53"/>
          <w:rFonts w:hint="eastAsia" w:ascii="宋体" w:hAnsi="宋体"/>
          <w:i w:val="0"/>
          <w:snapToGrid w:val="0"/>
          <w:color w:val="auto"/>
          <w:highlight w:val="none"/>
        </w:rPr>
        <w:t>签订合同</w:t>
      </w:r>
      <w:r>
        <w:rPr>
          <w:i w:val="0"/>
          <w:color w:val="auto"/>
          <w:highlight w:val="none"/>
        </w:rPr>
        <w:tab/>
      </w:r>
      <w:r>
        <w:rPr>
          <w:i w:val="0"/>
          <w:color w:val="auto"/>
          <w:highlight w:val="none"/>
        </w:rPr>
        <w:fldChar w:fldCharType="begin"/>
      </w:r>
      <w:r>
        <w:rPr>
          <w:i w:val="0"/>
          <w:color w:val="auto"/>
          <w:highlight w:val="none"/>
        </w:rPr>
        <w:instrText xml:space="preserve"> PAGEREF _Toc57820603 \h </w:instrText>
      </w:r>
      <w:r>
        <w:rPr>
          <w:i w:val="0"/>
          <w:color w:val="auto"/>
          <w:highlight w:val="none"/>
        </w:rPr>
        <w:fldChar w:fldCharType="separate"/>
      </w:r>
      <w:r>
        <w:rPr>
          <w:i w:val="0"/>
          <w:color w:val="auto"/>
          <w:highlight w:val="none"/>
        </w:rPr>
        <w:t>43</w:t>
      </w:r>
      <w:r>
        <w:rPr>
          <w:i w:val="0"/>
          <w:color w:val="auto"/>
          <w:highlight w:val="none"/>
        </w:rPr>
        <w:fldChar w:fldCharType="end"/>
      </w:r>
      <w:r>
        <w:rPr>
          <w:i w:val="0"/>
          <w:color w:val="auto"/>
          <w:highlight w:val="none"/>
        </w:rPr>
        <w:fldChar w:fldCharType="end"/>
      </w:r>
    </w:p>
    <w:p w14:paraId="44CAAA39">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"_Toc57820604"</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8.  </w:t>
      </w:r>
      <w:r>
        <w:rPr>
          <w:rStyle w:val="53"/>
          <w:rFonts w:hint="eastAsia" w:ascii="宋体" w:hAnsi="宋体"/>
          <w:snapToGrid w:val="0"/>
          <w:color w:val="auto"/>
          <w:highlight w:val="none"/>
        </w:rPr>
        <w:t>重新招标和不再招标</w:t>
      </w:r>
      <w:r>
        <w:rPr>
          <w:color w:val="auto"/>
          <w:highlight w:val="none"/>
        </w:rPr>
        <w:tab/>
      </w:r>
      <w:r>
        <w:rPr>
          <w:color w:val="auto"/>
          <w:highlight w:val="none"/>
        </w:rPr>
        <w:fldChar w:fldCharType="begin"/>
      </w:r>
      <w:r>
        <w:rPr>
          <w:color w:val="auto"/>
          <w:highlight w:val="none"/>
        </w:rPr>
        <w:instrText xml:space="preserve"> PAGEREF _Toc57820604 \h </w:instrText>
      </w:r>
      <w:r>
        <w:rPr>
          <w:color w:val="auto"/>
          <w:highlight w:val="none"/>
        </w:rPr>
        <w:fldChar w:fldCharType="separate"/>
      </w:r>
      <w:r>
        <w:rPr>
          <w:color w:val="auto"/>
          <w:highlight w:val="none"/>
        </w:rPr>
        <w:t>43</w:t>
      </w:r>
      <w:r>
        <w:rPr>
          <w:color w:val="auto"/>
          <w:highlight w:val="none"/>
        </w:rPr>
        <w:fldChar w:fldCharType="end"/>
      </w:r>
      <w:r>
        <w:rPr>
          <w:color w:val="auto"/>
          <w:highlight w:val="none"/>
        </w:rPr>
        <w:fldChar w:fldCharType="end"/>
      </w:r>
    </w:p>
    <w:p w14:paraId="72168AAA">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"_Toc57820605"</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8.1  </w:t>
      </w:r>
      <w:r>
        <w:rPr>
          <w:rStyle w:val="53"/>
          <w:rFonts w:hint="eastAsia" w:ascii="宋体" w:hAnsi="宋体"/>
          <w:i w:val="0"/>
          <w:snapToGrid w:val="0"/>
          <w:color w:val="auto"/>
          <w:highlight w:val="none"/>
        </w:rPr>
        <w:t>重新招标</w:t>
      </w:r>
      <w:r>
        <w:rPr>
          <w:i w:val="0"/>
          <w:color w:val="auto"/>
          <w:highlight w:val="none"/>
        </w:rPr>
        <w:tab/>
      </w:r>
      <w:r>
        <w:rPr>
          <w:i w:val="0"/>
          <w:color w:val="auto"/>
          <w:highlight w:val="none"/>
        </w:rPr>
        <w:fldChar w:fldCharType="begin"/>
      </w:r>
      <w:r>
        <w:rPr>
          <w:i w:val="0"/>
          <w:color w:val="auto"/>
          <w:highlight w:val="none"/>
        </w:rPr>
        <w:instrText xml:space="preserve"> PAGEREF _Toc57820605 \h </w:instrText>
      </w:r>
      <w:r>
        <w:rPr>
          <w:i w:val="0"/>
          <w:color w:val="auto"/>
          <w:highlight w:val="none"/>
        </w:rPr>
        <w:fldChar w:fldCharType="separate"/>
      </w:r>
      <w:r>
        <w:rPr>
          <w:i w:val="0"/>
          <w:color w:val="auto"/>
          <w:highlight w:val="none"/>
        </w:rPr>
        <w:t>43</w:t>
      </w:r>
      <w:r>
        <w:rPr>
          <w:i w:val="0"/>
          <w:color w:val="auto"/>
          <w:highlight w:val="none"/>
        </w:rPr>
        <w:fldChar w:fldCharType="end"/>
      </w:r>
      <w:r>
        <w:rPr>
          <w:i w:val="0"/>
          <w:color w:val="auto"/>
          <w:highlight w:val="none"/>
        </w:rPr>
        <w:fldChar w:fldCharType="end"/>
      </w:r>
    </w:p>
    <w:p w14:paraId="2ADD1F6A">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"_Toc57820606"</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8.2  </w:t>
      </w:r>
      <w:r>
        <w:rPr>
          <w:rStyle w:val="53"/>
          <w:rFonts w:hint="eastAsia" w:ascii="宋体" w:hAnsi="宋体"/>
          <w:i w:val="0"/>
          <w:snapToGrid w:val="0"/>
          <w:color w:val="auto"/>
          <w:highlight w:val="none"/>
        </w:rPr>
        <w:t>二次招标和不再招标</w:t>
      </w:r>
      <w:r>
        <w:rPr>
          <w:i w:val="0"/>
          <w:color w:val="auto"/>
          <w:highlight w:val="none"/>
        </w:rPr>
        <w:tab/>
      </w:r>
      <w:r>
        <w:rPr>
          <w:i w:val="0"/>
          <w:color w:val="auto"/>
          <w:highlight w:val="none"/>
        </w:rPr>
        <w:fldChar w:fldCharType="begin"/>
      </w:r>
      <w:r>
        <w:rPr>
          <w:i w:val="0"/>
          <w:color w:val="auto"/>
          <w:highlight w:val="none"/>
        </w:rPr>
        <w:instrText xml:space="preserve"> PAGEREF _Toc57820606 \h </w:instrText>
      </w:r>
      <w:r>
        <w:rPr>
          <w:i w:val="0"/>
          <w:color w:val="auto"/>
          <w:highlight w:val="none"/>
        </w:rPr>
        <w:fldChar w:fldCharType="separate"/>
      </w:r>
      <w:r>
        <w:rPr>
          <w:i w:val="0"/>
          <w:color w:val="auto"/>
          <w:highlight w:val="none"/>
        </w:rPr>
        <w:t>44</w:t>
      </w:r>
      <w:r>
        <w:rPr>
          <w:i w:val="0"/>
          <w:color w:val="auto"/>
          <w:highlight w:val="none"/>
        </w:rPr>
        <w:fldChar w:fldCharType="end"/>
      </w:r>
      <w:r>
        <w:rPr>
          <w:i w:val="0"/>
          <w:color w:val="auto"/>
          <w:highlight w:val="none"/>
        </w:rPr>
        <w:fldChar w:fldCharType="end"/>
      </w:r>
    </w:p>
    <w:p w14:paraId="7035B659">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"_Toc57820607"</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9.  </w:t>
      </w:r>
      <w:r>
        <w:rPr>
          <w:rStyle w:val="53"/>
          <w:rFonts w:hint="eastAsia" w:ascii="宋体" w:hAnsi="宋体"/>
          <w:snapToGrid w:val="0"/>
          <w:color w:val="auto"/>
          <w:highlight w:val="none"/>
        </w:rPr>
        <w:t>纪律和监督</w:t>
      </w:r>
      <w:r>
        <w:rPr>
          <w:color w:val="auto"/>
          <w:highlight w:val="none"/>
        </w:rPr>
        <w:tab/>
      </w:r>
      <w:r>
        <w:rPr>
          <w:color w:val="auto"/>
          <w:highlight w:val="none"/>
        </w:rPr>
        <w:fldChar w:fldCharType="begin"/>
      </w:r>
      <w:r>
        <w:rPr>
          <w:color w:val="auto"/>
          <w:highlight w:val="none"/>
        </w:rPr>
        <w:instrText xml:space="preserve"> PAGEREF _Toc57820607 \h </w:instrText>
      </w:r>
      <w:r>
        <w:rPr>
          <w:color w:val="auto"/>
          <w:highlight w:val="none"/>
        </w:rPr>
        <w:fldChar w:fldCharType="separate"/>
      </w:r>
      <w:r>
        <w:rPr>
          <w:color w:val="auto"/>
          <w:highlight w:val="none"/>
        </w:rPr>
        <w:t>44</w:t>
      </w:r>
      <w:r>
        <w:rPr>
          <w:color w:val="auto"/>
          <w:highlight w:val="none"/>
        </w:rPr>
        <w:fldChar w:fldCharType="end"/>
      </w:r>
      <w:r>
        <w:rPr>
          <w:color w:val="auto"/>
          <w:highlight w:val="none"/>
        </w:rPr>
        <w:fldChar w:fldCharType="end"/>
      </w:r>
    </w:p>
    <w:p w14:paraId="26A90B20">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"_Toc57820608"</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9.1  </w:t>
      </w:r>
      <w:r>
        <w:rPr>
          <w:rStyle w:val="53"/>
          <w:rFonts w:hint="eastAsia" w:ascii="宋体" w:hAnsi="宋体"/>
          <w:i w:val="0"/>
          <w:snapToGrid w:val="0"/>
          <w:color w:val="auto"/>
          <w:highlight w:val="none"/>
        </w:rPr>
        <w:t>对招标人的纪律要求</w:t>
      </w:r>
      <w:r>
        <w:rPr>
          <w:i w:val="0"/>
          <w:color w:val="auto"/>
          <w:highlight w:val="none"/>
        </w:rPr>
        <w:tab/>
      </w:r>
      <w:r>
        <w:rPr>
          <w:i w:val="0"/>
          <w:color w:val="auto"/>
          <w:highlight w:val="none"/>
        </w:rPr>
        <w:fldChar w:fldCharType="begin"/>
      </w:r>
      <w:r>
        <w:rPr>
          <w:i w:val="0"/>
          <w:color w:val="auto"/>
          <w:highlight w:val="none"/>
        </w:rPr>
        <w:instrText xml:space="preserve"> PAGEREF _Toc57820608 \h </w:instrText>
      </w:r>
      <w:r>
        <w:rPr>
          <w:i w:val="0"/>
          <w:color w:val="auto"/>
          <w:highlight w:val="none"/>
        </w:rPr>
        <w:fldChar w:fldCharType="separate"/>
      </w:r>
      <w:r>
        <w:rPr>
          <w:i w:val="0"/>
          <w:color w:val="auto"/>
          <w:highlight w:val="none"/>
        </w:rPr>
        <w:t>44</w:t>
      </w:r>
      <w:r>
        <w:rPr>
          <w:i w:val="0"/>
          <w:color w:val="auto"/>
          <w:highlight w:val="none"/>
        </w:rPr>
        <w:fldChar w:fldCharType="end"/>
      </w:r>
      <w:r>
        <w:rPr>
          <w:i w:val="0"/>
          <w:color w:val="auto"/>
          <w:highlight w:val="none"/>
        </w:rPr>
        <w:fldChar w:fldCharType="end"/>
      </w:r>
    </w:p>
    <w:p w14:paraId="60F65F70">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"_Toc57820609"</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9.2  </w:t>
      </w:r>
      <w:r>
        <w:rPr>
          <w:rStyle w:val="53"/>
          <w:rFonts w:hint="eastAsia" w:ascii="宋体" w:hAnsi="宋体"/>
          <w:i w:val="0"/>
          <w:snapToGrid w:val="0"/>
          <w:color w:val="auto"/>
          <w:highlight w:val="none"/>
        </w:rPr>
        <w:t>对投标人的纪律要求</w:t>
      </w:r>
      <w:r>
        <w:rPr>
          <w:i w:val="0"/>
          <w:color w:val="auto"/>
          <w:highlight w:val="none"/>
        </w:rPr>
        <w:tab/>
      </w:r>
      <w:r>
        <w:rPr>
          <w:i w:val="0"/>
          <w:color w:val="auto"/>
          <w:highlight w:val="none"/>
        </w:rPr>
        <w:fldChar w:fldCharType="begin"/>
      </w:r>
      <w:r>
        <w:rPr>
          <w:i w:val="0"/>
          <w:color w:val="auto"/>
          <w:highlight w:val="none"/>
        </w:rPr>
        <w:instrText xml:space="preserve"> PAGEREF _Toc57820609 \h </w:instrText>
      </w:r>
      <w:r>
        <w:rPr>
          <w:i w:val="0"/>
          <w:color w:val="auto"/>
          <w:highlight w:val="none"/>
        </w:rPr>
        <w:fldChar w:fldCharType="separate"/>
      </w:r>
      <w:r>
        <w:rPr>
          <w:i w:val="0"/>
          <w:color w:val="auto"/>
          <w:highlight w:val="none"/>
        </w:rPr>
        <w:t>44</w:t>
      </w:r>
      <w:r>
        <w:rPr>
          <w:i w:val="0"/>
          <w:color w:val="auto"/>
          <w:highlight w:val="none"/>
        </w:rPr>
        <w:fldChar w:fldCharType="end"/>
      </w:r>
      <w:r>
        <w:rPr>
          <w:i w:val="0"/>
          <w:color w:val="auto"/>
          <w:highlight w:val="none"/>
        </w:rPr>
        <w:fldChar w:fldCharType="end"/>
      </w:r>
    </w:p>
    <w:p w14:paraId="65AB6777">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"_Toc57820610"</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9.3  </w:t>
      </w:r>
      <w:r>
        <w:rPr>
          <w:rStyle w:val="53"/>
          <w:rFonts w:hint="eastAsia" w:ascii="宋体" w:hAnsi="宋体"/>
          <w:i w:val="0"/>
          <w:snapToGrid w:val="0"/>
          <w:color w:val="auto"/>
          <w:highlight w:val="none"/>
        </w:rPr>
        <w:t>对评标委员会成员的纪律要求</w:t>
      </w:r>
      <w:r>
        <w:rPr>
          <w:i w:val="0"/>
          <w:color w:val="auto"/>
          <w:highlight w:val="none"/>
        </w:rPr>
        <w:tab/>
      </w:r>
      <w:r>
        <w:rPr>
          <w:i w:val="0"/>
          <w:color w:val="auto"/>
          <w:highlight w:val="none"/>
        </w:rPr>
        <w:fldChar w:fldCharType="begin"/>
      </w:r>
      <w:r>
        <w:rPr>
          <w:i w:val="0"/>
          <w:color w:val="auto"/>
          <w:highlight w:val="none"/>
        </w:rPr>
        <w:instrText xml:space="preserve"> PAGEREF _Toc57820610 \h </w:instrText>
      </w:r>
      <w:r>
        <w:rPr>
          <w:i w:val="0"/>
          <w:color w:val="auto"/>
          <w:highlight w:val="none"/>
        </w:rPr>
        <w:fldChar w:fldCharType="separate"/>
      </w:r>
      <w:r>
        <w:rPr>
          <w:i w:val="0"/>
          <w:color w:val="auto"/>
          <w:highlight w:val="none"/>
        </w:rPr>
        <w:t>45</w:t>
      </w:r>
      <w:r>
        <w:rPr>
          <w:i w:val="0"/>
          <w:color w:val="auto"/>
          <w:highlight w:val="none"/>
        </w:rPr>
        <w:fldChar w:fldCharType="end"/>
      </w:r>
      <w:r>
        <w:rPr>
          <w:i w:val="0"/>
          <w:color w:val="auto"/>
          <w:highlight w:val="none"/>
        </w:rPr>
        <w:fldChar w:fldCharType="end"/>
      </w:r>
    </w:p>
    <w:p w14:paraId="45C77BE0">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"_Toc57820611"</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9.4  </w:t>
      </w:r>
      <w:r>
        <w:rPr>
          <w:rStyle w:val="53"/>
          <w:rFonts w:hint="eastAsia" w:ascii="宋体" w:hAnsi="宋体"/>
          <w:i w:val="0"/>
          <w:snapToGrid w:val="0"/>
          <w:color w:val="auto"/>
          <w:highlight w:val="none"/>
        </w:rPr>
        <w:t>对与评标活动有关的工作人员的纪律要求</w:t>
      </w:r>
      <w:r>
        <w:rPr>
          <w:i w:val="0"/>
          <w:color w:val="auto"/>
          <w:highlight w:val="none"/>
        </w:rPr>
        <w:tab/>
      </w:r>
      <w:r>
        <w:rPr>
          <w:i w:val="0"/>
          <w:color w:val="auto"/>
          <w:highlight w:val="none"/>
        </w:rPr>
        <w:fldChar w:fldCharType="begin"/>
      </w:r>
      <w:r>
        <w:rPr>
          <w:i w:val="0"/>
          <w:color w:val="auto"/>
          <w:highlight w:val="none"/>
        </w:rPr>
        <w:instrText xml:space="preserve"> PAGEREF _Toc57820611 \h </w:instrText>
      </w:r>
      <w:r>
        <w:rPr>
          <w:i w:val="0"/>
          <w:color w:val="auto"/>
          <w:highlight w:val="none"/>
        </w:rPr>
        <w:fldChar w:fldCharType="separate"/>
      </w:r>
      <w:r>
        <w:rPr>
          <w:i w:val="0"/>
          <w:color w:val="auto"/>
          <w:highlight w:val="none"/>
        </w:rPr>
        <w:t>45</w:t>
      </w:r>
      <w:r>
        <w:rPr>
          <w:i w:val="0"/>
          <w:color w:val="auto"/>
          <w:highlight w:val="none"/>
        </w:rPr>
        <w:fldChar w:fldCharType="end"/>
      </w:r>
      <w:r>
        <w:rPr>
          <w:i w:val="0"/>
          <w:color w:val="auto"/>
          <w:highlight w:val="none"/>
        </w:rPr>
        <w:fldChar w:fldCharType="end"/>
      </w:r>
    </w:p>
    <w:p w14:paraId="31C07C40">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"_Toc57820612"</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9.5  </w:t>
      </w:r>
      <w:r>
        <w:rPr>
          <w:rStyle w:val="53"/>
          <w:rFonts w:hint="eastAsia" w:ascii="宋体" w:hAnsi="宋体"/>
          <w:i w:val="0"/>
          <w:snapToGrid w:val="0"/>
          <w:color w:val="auto"/>
          <w:highlight w:val="none"/>
        </w:rPr>
        <w:t>投诉</w:t>
      </w:r>
      <w:r>
        <w:rPr>
          <w:i w:val="0"/>
          <w:color w:val="auto"/>
          <w:highlight w:val="none"/>
        </w:rPr>
        <w:tab/>
      </w:r>
      <w:r>
        <w:rPr>
          <w:i w:val="0"/>
          <w:color w:val="auto"/>
          <w:highlight w:val="none"/>
        </w:rPr>
        <w:fldChar w:fldCharType="begin"/>
      </w:r>
      <w:r>
        <w:rPr>
          <w:i w:val="0"/>
          <w:color w:val="auto"/>
          <w:highlight w:val="none"/>
        </w:rPr>
        <w:instrText xml:space="preserve"> PAGEREF _Toc57820612 \h </w:instrText>
      </w:r>
      <w:r>
        <w:rPr>
          <w:i w:val="0"/>
          <w:color w:val="auto"/>
          <w:highlight w:val="none"/>
        </w:rPr>
        <w:fldChar w:fldCharType="separate"/>
      </w:r>
      <w:r>
        <w:rPr>
          <w:i w:val="0"/>
          <w:color w:val="auto"/>
          <w:highlight w:val="none"/>
        </w:rPr>
        <w:t>45</w:t>
      </w:r>
      <w:r>
        <w:rPr>
          <w:i w:val="0"/>
          <w:color w:val="auto"/>
          <w:highlight w:val="none"/>
        </w:rPr>
        <w:fldChar w:fldCharType="end"/>
      </w:r>
      <w:r>
        <w:rPr>
          <w:i w:val="0"/>
          <w:color w:val="auto"/>
          <w:highlight w:val="none"/>
        </w:rPr>
        <w:fldChar w:fldCharType="end"/>
      </w:r>
    </w:p>
    <w:p w14:paraId="34CD24E3">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"_Toc57820613"</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10. </w:t>
      </w:r>
      <w:r>
        <w:rPr>
          <w:rStyle w:val="53"/>
          <w:rFonts w:hint="eastAsia" w:ascii="宋体" w:hAnsi="宋体"/>
          <w:snapToGrid w:val="0"/>
          <w:color w:val="auto"/>
          <w:highlight w:val="none"/>
        </w:rPr>
        <w:t>需要补充的其他内容</w:t>
      </w:r>
      <w:r>
        <w:rPr>
          <w:color w:val="auto"/>
          <w:highlight w:val="none"/>
        </w:rPr>
        <w:tab/>
      </w:r>
      <w:r>
        <w:rPr>
          <w:color w:val="auto"/>
          <w:highlight w:val="none"/>
        </w:rPr>
        <w:fldChar w:fldCharType="begin"/>
      </w:r>
      <w:r>
        <w:rPr>
          <w:color w:val="auto"/>
          <w:highlight w:val="none"/>
        </w:rPr>
        <w:instrText xml:space="preserve"> PAGEREF _Toc57820613 \h </w:instrText>
      </w:r>
      <w:r>
        <w:rPr>
          <w:color w:val="auto"/>
          <w:highlight w:val="none"/>
        </w:rPr>
        <w:fldChar w:fldCharType="separate"/>
      </w:r>
      <w:r>
        <w:rPr>
          <w:color w:val="auto"/>
          <w:highlight w:val="none"/>
        </w:rPr>
        <w:t>45</w:t>
      </w:r>
      <w:r>
        <w:rPr>
          <w:color w:val="auto"/>
          <w:highlight w:val="none"/>
        </w:rPr>
        <w:fldChar w:fldCharType="end"/>
      </w:r>
      <w:r>
        <w:rPr>
          <w:color w:val="auto"/>
          <w:highlight w:val="none"/>
        </w:rPr>
        <w:fldChar w:fldCharType="end"/>
      </w:r>
    </w:p>
    <w:p w14:paraId="7820A7E8">
      <w:pPr>
        <w:pStyle w:val="31"/>
        <w:tabs>
          <w:tab w:val="right" w:leader="dot" w:pos="9459"/>
        </w:tabs>
        <w:rPr>
          <w:rFonts w:ascii="Calibri" w:hAnsi="Calibri"/>
          <w:b w:val="0"/>
          <w:bCs w:val="0"/>
          <w: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"_Toc57820614"</w:instrText>
      </w:r>
      <w:r>
        <w:rPr>
          <w:rStyle w:val="53"/>
          <w:color w:val="auto"/>
          <w:highlight w:val="none"/>
        </w:rPr>
        <w:instrText xml:space="preserve"> </w:instrText>
      </w:r>
      <w:r>
        <w:rPr>
          <w:color w:val="auto"/>
          <w:highlight w:val="none"/>
        </w:rPr>
        <w:fldChar w:fldCharType="separate"/>
      </w:r>
      <w:r>
        <w:rPr>
          <w:rStyle w:val="53"/>
          <w:rFonts w:hint="eastAsia" w:ascii="宋体" w:hAnsi="宋体"/>
          <w:snapToGrid w:val="0"/>
          <w:color w:val="auto"/>
          <w:kern w:val="0"/>
          <w:highlight w:val="none"/>
        </w:rPr>
        <w:t>第三章</w:t>
      </w:r>
      <w:r>
        <w:rPr>
          <w:rStyle w:val="53"/>
          <w:rFonts w:ascii="宋体" w:hAnsi="宋体"/>
          <w:snapToGrid w:val="0"/>
          <w:color w:val="auto"/>
          <w:kern w:val="0"/>
          <w:highlight w:val="none"/>
        </w:rPr>
        <w:t xml:space="preserve">  </w:t>
      </w:r>
      <w:r>
        <w:rPr>
          <w:rStyle w:val="53"/>
          <w:rFonts w:hint="eastAsia" w:ascii="宋体" w:hAnsi="宋体"/>
          <w:snapToGrid w:val="0"/>
          <w:color w:val="auto"/>
          <w:kern w:val="0"/>
          <w:highlight w:val="none"/>
        </w:rPr>
        <w:t>评标办法（经评审的最低投标价法）</w:t>
      </w:r>
      <w:r>
        <w:rPr>
          <w:color w:val="auto"/>
          <w:highlight w:val="none"/>
        </w:rPr>
        <w:tab/>
      </w:r>
      <w:r>
        <w:rPr>
          <w:color w:val="auto"/>
          <w:highlight w:val="none"/>
        </w:rPr>
        <w:fldChar w:fldCharType="begin"/>
      </w:r>
      <w:r>
        <w:rPr>
          <w:color w:val="auto"/>
          <w:highlight w:val="none"/>
        </w:rPr>
        <w:instrText xml:space="preserve"> PAGEREF _Toc57820614 \h </w:instrText>
      </w:r>
      <w:r>
        <w:rPr>
          <w:color w:val="auto"/>
          <w:highlight w:val="none"/>
        </w:rPr>
        <w:fldChar w:fldCharType="separate"/>
      </w:r>
      <w:r>
        <w:rPr>
          <w:color w:val="auto"/>
          <w:highlight w:val="none"/>
        </w:rPr>
        <w:t>51</w:t>
      </w:r>
      <w:r>
        <w:rPr>
          <w:color w:val="auto"/>
          <w:highlight w:val="none"/>
        </w:rPr>
        <w:fldChar w:fldCharType="end"/>
      </w:r>
      <w:r>
        <w:rPr>
          <w:color w:val="auto"/>
          <w:highlight w:val="none"/>
        </w:rPr>
        <w:fldChar w:fldCharType="end"/>
      </w:r>
    </w:p>
    <w:p w14:paraId="1882B81F">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"_Toc57820615"</w:instrText>
      </w:r>
      <w:r>
        <w:rPr>
          <w:rStyle w:val="53"/>
          <w:color w:val="auto"/>
          <w:highlight w:val="none"/>
        </w:rPr>
        <w:instrText xml:space="preserve"> </w:instrText>
      </w:r>
      <w:r>
        <w:rPr>
          <w:color w:val="auto"/>
          <w:highlight w:val="none"/>
        </w:rPr>
        <w:fldChar w:fldCharType="separate"/>
      </w:r>
      <w:r>
        <w:rPr>
          <w:rStyle w:val="53"/>
          <w:rFonts w:hint="eastAsia" w:ascii="宋体" w:hAnsi="宋体"/>
          <w:b/>
          <w:color w:val="auto"/>
          <w:highlight w:val="none"/>
        </w:rPr>
        <w:t>评标办法前附表</w:t>
      </w:r>
      <w:r>
        <w:rPr>
          <w:color w:val="auto"/>
          <w:highlight w:val="none"/>
        </w:rPr>
        <w:tab/>
      </w:r>
      <w:r>
        <w:rPr>
          <w:color w:val="auto"/>
          <w:highlight w:val="none"/>
        </w:rPr>
        <w:fldChar w:fldCharType="begin"/>
      </w:r>
      <w:r>
        <w:rPr>
          <w:color w:val="auto"/>
          <w:highlight w:val="none"/>
        </w:rPr>
        <w:instrText xml:space="preserve"> PAGEREF _Toc57820615 \h </w:instrText>
      </w:r>
      <w:r>
        <w:rPr>
          <w:color w:val="auto"/>
          <w:highlight w:val="none"/>
        </w:rPr>
        <w:fldChar w:fldCharType="separate"/>
      </w:r>
      <w:r>
        <w:rPr>
          <w:color w:val="auto"/>
          <w:highlight w:val="none"/>
        </w:rPr>
        <w:t>51</w:t>
      </w:r>
      <w:r>
        <w:rPr>
          <w:color w:val="auto"/>
          <w:highlight w:val="none"/>
        </w:rPr>
        <w:fldChar w:fldCharType="end"/>
      </w:r>
      <w:r>
        <w:rPr>
          <w:color w:val="auto"/>
          <w:highlight w:val="none"/>
        </w:rPr>
        <w:fldChar w:fldCharType="end"/>
      </w:r>
    </w:p>
    <w:p w14:paraId="5FDFD0A3">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"_Toc57820616"</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1.  </w:t>
      </w:r>
      <w:r>
        <w:rPr>
          <w:rStyle w:val="53"/>
          <w:rFonts w:hint="eastAsia" w:ascii="宋体" w:hAnsi="宋体"/>
          <w:snapToGrid w:val="0"/>
          <w:color w:val="auto"/>
          <w:highlight w:val="none"/>
        </w:rPr>
        <w:t>评标方法</w:t>
      </w:r>
      <w:r>
        <w:rPr>
          <w:color w:val="auto"/>
          <w:highlight w:val="none"/>
        </w:rPr>
        <w:tab/>
      </w:r>
      <w:r>
        <w:rPr>
          <w:color w:val="auto"/>
          <w:highlight w:val="none"/>
        </w:rPr>
        <w:fldChar w:fldCharType="begin"/>
      </w:r>
      <w:r>
        <w:rPr>
          <w:color w:val="auto"/>
          <w:highlight w:val="none"/>
        </w:rPr>
        <w:instrText xml:space="preserve"> PAGEREF _Toc57820616 \h </w:instrText>
      </w:r>
      <w:r>
        <w:rPr>
          <w:color w:val="auto"/>
          <w:highlight w:val="none"/>
        </w:rPr>
        <w:fldChar w:fldCharType="separate"/>
      </w:r>
      <w:r>
        <w:rPr>
          <w:color w:val="auto"/>
          <w:highlight w:val="none"/>
        </w:rPr>
        <w:t>56</w:t>
      </w:r>
      <w:r>
        <w:rPr>
          <w:color w:val="auto"/>
          <w:highlight w:val="none"/>
        </w:rPr>
        <w:fldChar w:fldCharType="end"/>
      </w:r>
      <w:r>
        <w:rPr>
          <w:color w:val="auto"/>
          <w:highlight w:val="none"/>
        </w:rPr>
        <w:fldChar w:fldCharType="end"/>
      </w:r>
    </w:p>
    <w:p w14:paraId="348B056C">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"_Toc57820617"</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2.  </w:t>
      </w:r>
      <w:r>
        <w:rPr>
          <w:rStyle w:val="53"/>
          <w:rFonts w:hint="eastAsia" w:ascii="宋体" w:hAnsi="宋体"/>
          <w:snapToGrid w:val="0"/>
          <w:color w:val="auto"/>
          <w:highlight w:val="none"/>
        </w:rPr>
        <w:t>评审标准</w:t>
      </w:r>
      <w:r>
        <w:rPr>
          <w:color w:val="auto"/>
          <w:highlight w:val="none"/>
        </w:rPr>
        <w:tab/>
      </w:r>
      <w:r>
        <w:rPr>
          <w:color w:val="auto"/>
          <w:highlight w:val="none"/>
        </w:rPr>
        <w:fldChar w:fldCharType="begin"/>
      </w:r>
      <w:r>
        <w:rPr>
          <w:color w:val="auto"/>
          <w:highlight w:val="none"/>
        </w:rPr>
        <w:instrText xml:space="preserve"> PAGEREF _Toc57820617 \h </w:instrText>
      </w:r>
      <w:r>
        <w:rPr>
          <w:color w:val="auto"/>
          <w:highlight w:val="none"/>
        </w:rPr>
        <w:fldChar w:fldCharType="separate"/>
      </w:r>
      <w:r>
        <w:rPr>
          <w:color w:val="auto"/>
          <w:highlight w:val="none"/>
        </w:rPr>
        <w:t>56</w:t>
      </w:r>
      <w:r>
        <w:rPr>
          <w:color w:val="auto"/>
          <w:highlight w:val="none"/>
        </w:rPr>
        <w:fldChar w:fldCharType="end"/>
      </w:r>
      <w:r>
        <w:rPr>
          <w:color w:val="auto"/>
          <w:highlight w:val="none"/>
        </w:rPr>
        <w:fldChar w:fldCharType="end"/>
      </w:r>
    </w:p>
    <w:p w14:paraId="50BBEE0B">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"_Toc57820618"</w:instrText>
      </w:r>
      <w:r>
        <w:rPr>
          <w:rStyle w:val="53"/>
          <w:i w:val="0"/>
          <w:color w:val="auto"/>
          <w:highlight w:val="none"/>
        </w:rPr>
        <w:instrText xml:space="preserve"> </w:instrText>
      </w:r>
      <w:r>
        <w:rPr>
          <w:i w:val="0"/>
          <w:color w:val="auto"/>
          <w:highlight w:val="none"/>
        </w:rPr>
        <w:fldChar w:fldCharType="separate"/>
      </w:r>
      <w:r>
        <w:rPr>
          <w:rStyle w:val="53"/>
          <w:rFonts w:ascii="宋体" w:hAnsi="宋体" w:cs="宋体"/>
          <w:i w:val="0"/>
          <w:color w:val="auto"/>
          <w:highlight w:val="none"/>
        </w:rPr>
        <w:t>2.1</w:t>
      </w:r>
      <w:r>
        <w:rPr>
          <w:rStyle w:val="53"/>
          <w:rFonts w:hint="eastAsia" w:ascii="宋体" w:hAnsi="宋体" w:cs="宋体"/>
          <w:i w:val="0"/>
          <w:color w:val="auto"/>
          <w:highlight w:val="none"/>
        </w:rPr>
        <w:t>报价排序标准</w:t>
      </w:r>
      <w:r>
        <w:rPr>
          <w:i w:val="0"/>
          <w:color w:val="auto"/>
          <w:highlight w:val="none"/>
        </w:rPr>
        <w:tab/>
      </w:r>
      <w:r>
        <w:rPr>
          <w:i w:val="0"/>
          <w:color w:val="auto"/>
          <w:highlight w:val="none"/>
        </w:rPr>
        <w:fldChar w:fldCharType="begin"/>
      </w:r>
      <w:r>
        <w:rPr>
          <w:i w:val="0"/>
          <w:color w:val="auto"/>
          <w:highlight w:val="none"/>
        </w:rPr>
        <w:instrText xml:space="preserve"> PAGEREF _Toc57820618 \h </w:instrText>
      </w:r>
      <w:r>
        <w:rPr>
          <w:i w:val="0"/>
          <w:color w:val="auto"/>
          <w:highlight w:val="none"/>
        </w:rPr>
        <w:fldChar w:fldCharType="separate"/>
      </w:r>
      <w:r>
        <w:rPr>
          <w:i w:val="0"/>
          <w:color w:val="auto"/>
          <w:highlight w:val="none"/>
        </w:rPr>
        <w:t>56</w:t>
      </w:r>
      <w:r>
        <w:rPr>
          <w:i w:val="0"/>
          <w:color w:val="auto"/>
          <w:highlight w:val="none"/>
        </w:rPr>
        <w:fldChar w:fldCharType="end"/>
      </w:r>
      <w:r>
        <w:rPr>
          <w:i w:val="0"/>
          <w:color w:val="auto"/>
          <w:highlight w:val="none"/>
        </w:rPr>
        <w:fldChar w:fldCharType="end"/>
      </w:r>
    </w:p>
    <w:p w14:paraId="77C1A724">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"_Toc57820619"</w:instrText>
      </w:r>
      <w:r>
        <w:rPr>
          <w:rStyle w:val="53"/>
          <w:i w:val="0"/>
          <w:color w:val="auto"/>
          <w:highlight w:val="none"/>
        </w:rPr>
        <w:instrText xml:space="preserve"> </w:instrText>
      </w:r>
      <w:r>
        <w:rPr>
          <w:i w:val="0"/>
          <w:color w:val="auto"/>
          <w:highlight w:val="none"/>
        </w:rPr>
        <w:fldChar w:fldCharType="separate"/>
      </w:r>
      <w:r>
        <w:rPr>
          <w:rStyle w:val="53"/>
          <w:rFonts w:ascii="宋体" w:hAnsi="宋体" w:cs="宋体"/>
          <w:i w:val="0"/>
          <w:color w:val="auto"/>
          <w:highlight w:val="none"/>
        </w:rPr>
        <w:t>2.2</w:t>
      </w:r>
      <w:r>
        <w:rPr>
          <w:rStyle w:val="53"/>
          <w:rFonts w:hint="eastAsia" w:ascii="宋体" w:hAnsi="宋体" w:cs="宋体"/>
          <w:i w:val="0"/>
          <w:color w:val="auto"/>
          <w:highlight w:val="none"/>
        </w:rPr>
        <w:t>符合性审查标准</w:t>
      </w:r>
      <w:r>
        <w:rPr>
          <w:i w:val="0"/>
          <w:color w:val="auto"/>
          <w:highlight w:val="none"/>
        </w:rPr>
        <w:tab/>
      </w:r>
      <w:r>
        <w:rPr>
          <w:i w:val="0"/>
          <w:color w:val="auto"/>
          <w:highlight w:val="none"/>
        </w:rPr>
        <w:fldChar w:fldCharType="begin"/>
      </w:r>
      <w:r>
        <w:rPr>
          <w:i w:val="0"/>
          <w:color w:val="auto"/>
          <w:highlight w:val="none"/>
        </w:rPr>
        <w:instrText xml:space="preserve"> PAGEREF _Toc57820619 \h </w:instrText>
      </w:r>
      <w:r>
        <w:rPr>
          <w:i w:val="0"/>
          <w:color w:val="auto"/>
          <w:highlight w:val="none"/>
        </w:rPr>
        <w:fldChar w:fldCharType="separate"/>
      </w:r>
      <w:r>
        <w:rPr>
          <w:i w:val="0"/>
          <w:color w:val="auto"/>
          <w:highlight w:val="none"/>
        </w:rPr>
        <w:t>56</w:t>
      </w:r>
      <w:r>
        <w:rPr>
          <w:i w:val="0"/>
          <w:color w:val="auto"/>
          <w:highlight w:val="none"/>
        </w:rPr>
        <w:fldChar w:fldCharType="end"/>
      </w:r>
      <w:r>
        <w:rPr>
          <w:i w:val="0"/>
          <w:color w:val="auto"/>
          <w:highlight w:val="none"/>
        </w:rPr>
        <w:fldChar w:fldCharType="end"/>
      </w:r>
    </w:p>
    <w:p w14:paraId="3327F3C3">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"_Toc57820620"</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3.  </w:t>
      </w:r>
      <w:r>
        <w:rPr>
          <w:rStyle w:val="53"/>
          <w:rFonts w:hint="eastAsia" w:ascii="宋体" w:hAnsi="宋体"/>
          <w:snapToGrid w:val="0"/>
          <w:color w:val="auto"/>
          <w:highlight w:val="none"/>
        </w:rPr>
        <w:t>评标程序</w:t>
      </w:r>
      <w:r>
        <w:rPr>
          <w:color w:val="auto"/>
          <w:highlight w:val="none"/>
        </w:rPr>
        <w:tab/>
      </w:r>
      <w:r>
        <w:rPr>
          <w:color w:val="auto"/>
          <w:highlight w:val="none"/>
        </w:rPr>
        <w:fldChar w:fldCharType="begin"/>
      </w:r>
      <w:r>
        <w:rPr>
          <w:color w:val="auto"/>
          <w:highlight w:val="none"/>
        </w:rPr>
        <w:instrText xml:space="preserve"> PAGEREF _Toc57820620 \h </w:instrText>
      </w:r>
      <w:r>
        <w:rPr>
          <w:color w:val="auto"/>
          <w:highlight w:val="none"/>
        </w:rPr>
        <w:fldChar w:fldCharType="separate"/>
      </w:r>
      <w:r>
        <w:rPr>
          <w:color w:val="auto"/>
          <w:highlight w:val="none"/>
        </w:rPr>
        <w:t>56</w:t>
      </w:r>
      <w:r>
        <w:rPr>
          <w:color w:val="auto"/>
          <w:highlight w:val="none"/>
        </w:rPr>
        <w:fldChar w:fldCharType="end"/>
      </w:r>
      <w:r>
        <w:rPr>
          <w:color w:val="auto"/>
          <w:highlight w:val="none"/>
        </w:rPr>
        <w:fldChar w:fldCharType="end"/>
      </w:r>
    </w:p>
    <w:p w14:paraId="2455E7FD">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"_Toc57820621"</w:instrText>
      </w:r>
      <w:r>
        <w:rPr>
          <w:rStyle w:val="53"/>
          <w:i w:val="0"/>
          <w:color w:val="auto"/>
          <w:highlight w:val="none"/>
        </w:rPr>
        <w:instrText xml:space="preserve"> </w:instrText>
      </w:r>
      <w:r>
        <w:rPr>
          <w:i w:val="0"/>
          <w:color w:val="auto"/>
          <w:highlight w:val="none"/>
        </w:rPr>
        <w:fldChar w:fldCharType="separate"/>
      </w:r>
      <w:r>
        <w:rPr>
          <w:rStyle w:val="53"/>
          <w:rFonts w:ascii="宋体" w:hAnsi="宋体" w:cs="宋体"/>
          <w:i w:val="0"/>
          <w:color w:val="auto"/>
          <w:highlight w:val="none"/>
        </w:rPr>
        <w:t>3.1</w:t>
      </w:r>
      <w:r>
        <w:rPr>
          <w:rStyle w:val="53"/>
          <w:rFonts w:hint="eastAsia" w:ascii="宋体" w:hAnsi="宋体" w:cs="宋体"/>
          <w:i w:val="0"/>
          <w:color w:val="auto"/>
          <w:highlight w:val="none"/>
        </w:rPr>
        <w:t>报价排序</w:t>
      </w:r>
      <w:r>
        <w:rPr>
          <w:i w:val="0"/>
          <w:color w:val="auto"/>
          <w:highlight w:val="none"/>
        </w:rPr>
        <w:tab/>
      </w:r>
      <w:r>
        <w:rPr>
          <w:i w:val="0"/>
          <w:color w:val="auto"/>
          <w:highlight w:val="none"/>
        </w:rPr>
        <w:fldChar w:fldCharType="begin"/>
      </w:r>
      <w:r>
        <w:rPr>
          <w:i w:val="0"/>
          <w:color w:val="auto"/>
          <w:highlight w:val="none"/>
        </w:rPr>
        <w:instrText xml:space="preserve"> PAGEREF _Toc57820621 \h </w:instrText>
      </w:r>
      <w:r>
        <w:rPr>
          <w:i w:val="0"/>
          <w:color w:val="auto"/>
          <w:highlight w:val="none"/>
        </w:rPr>
        <w:fldChar w:fldCharType="separate"/>
      </w:r>
      <w:r>
        <w:rPr>
          <w:i w:val="0"/>
          <w:color w:val="auto"/>
          <w:highlight w:val="none"/>
        </w:rPr>
        <w:t>56</w:t>
      </w:r>
      <w:r>
        <w:rPr>
          <w:i w:val="0"/>
          <w:color w:val="auto"/>
          <w:highlight w:val="none"/>
        </w:rPr>
        <w:fldChar w:fldCharType="end"/>
      </w:r>
      <w:r>
        <w:rPr>
          <w:i w:val="0"/>
          <w:color w:val="auto"/>
          <w:highlight w:val="none"/>
        </w:rPr>
        <w:fldChar w:fldCharType="end"/>
      </w:r>
    </w:p>
    <w:p w14:paraId="6F048348">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"_Toc57820622"</w:instrText>
      </w:r>
      <w:r>
        <w:rPr>
          <w:rStyle w:val="53"/>
          <w:i w:val="0"/>
          <w:color w:val="auto"/>
          <w:highlight w:val="none"/>
        </w:rPr>
        <w:instrText xml:space="preserve"> </w:instrText>
      </w:r>
      <w:r>
        <w:rPr>
          <w:i w:val="0"/>
          <w:color w:val="auto"/>
          <w:highlight w:val="none"/>
        </w:rPr>
        <w:fldChar w:fldCharType="separate"/>
      </w:r>
      <w:r>
        <w:rPr>
          <w:rStyle w:val="53"/>
          <w:rFonts w:ascii="宋体" w:hAnsi="宋体" w:cs="宋体"/>
          <w:i w:val="0"/>
          <w:color w:val="auto"/>
          <w:highlight w:val="none"/>
        </w:rPr>
        <w:t>3.2</w:t>
      </w:r>
      <w:r>
        <w:rPr>
          <w:rStyle w:val="53"/>
          <w:rFonts w:hint="eastAsia" w:ascii="宋体" w:hAnsi="宋体" w:cs="宋体"/>
          <w:i w:val="0"/>
          <w:color w:val="auto"/>
          <w:highlight w:val="none"/>
        </w:rPr>
        <w:t>符合性审查</w:t>
      </w:r>
      <w:r>
        <w:rPr>
          <w:i w:val="0"/>
          <w:color w:val="auto"/>
          <w:highlight w:val="none"/>
        </w:rPr>
        <w:tab/>
      </w:r>
      <w:r>
        <w:rPr>
          <w:i w:val="0"/>
          <w:color w:val="auto"/>
          <w:highlight w:val="none"/>
        </w:rPr>
        <w:fldChar w:fldCharType="begin"/>
      </w:r>
      <w:r>
        <w:rPr>
          <w:i w:val="0"/>
          <w:color w:val="auto"/>
          <w:highlight w:val="none"/>
        </w:rPr>
        <w:instrText xml:space="preserve"> PAGEREF _Toc57820622 \h </w:instrText>
      </w:r>
      <w:r>
        <w:rPr>
          <w:i w:val="0"/>
          <w:color w:val="auto"/>
          <w:highlight w:val="none"/>
        </w:rPr>
        <w:fldChar w:fldCharType="separate"/>
      </w:r>
      <w:r>
        <w:rPr>
          <w:i w:val="0"/>
          <w:color w:val="auto"/>
          <w:highlight w:val="none"/>
        </w:rPr>
        <w:t>56</w:t>
      </w:r>
      <w:r>
        <w:rPr>
          <w:i w:val="0"/>
          <w:color w:val="auto"/>
          <w:highlight w:val="none"/>
        </w:rPr>
        <w:fldChar w:fldCharType="end"/>
      </w:r>
      <w:r>
        <w:rPr>
          <w:i w:val="0"/>
          <w:color w:val="auto"/>
          <w:highlight w:val="none"/>
        </w:rPr>
        <w:fldChar w:fldCharType="end"/>
      </w:r>
    </w:p>
    <w:p w14:paraId="467A6EE9">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"_Toc57820623"</w:instrText>
      </w:r>
      <w:r>
        <w:rPr>
          <w:rStyle w:val="53"/>
          <w:i w:val="0"/>
          <w:color w:val="auto"/>
          <w:highlight w:val="none"/>
        </w:rPr>
        <w:instrText xml:space="preserve"> </w:instrText>
      </w:r>
      <w:r>
        <w:rPr>
          <w:i w:val="0"/>
          <w:color w:val="auto"/>
          <w:highlight w:val="none"/>
        </w:rPr>
        <w:fldChar w:fldCharType="separate"/>
      </w:r>
      <w:r>
        <w:rPr>
          <w:rStyle w:val="53"/>
          <w:rFonts w:ascii="宋体" w:hAnsi="宋体" w:cs="宋体"/>
          <w:i w:val="0"/>
          <w:color w:val="auto"/>
          <w:highlight w:val="none"/>
        </w:rPr>
        <w:t xml:space="preserve">3.3 </w:t>
      </w:r>
      <w:r>
        <w:rPr>
          <w:rStyle w:val="53"/>
          <w:rFonts w:hint="eastAsia" w:ascii="宋体" w:hAnsi="宋体" w:cs="宋体"/>
          <w:i w:val="0"/>
          <w:color w:val="auto"/>
          <w:highlight w:val="none"/>
        </w:rPr>
        <w:t>投标文件的澄清和补正</w:t>
      </w:r>
      <w:r>
        <w:rPr>
          <w:i w:val="0"/>
          <w:color w:val="auto"/>
          <w:highlight w:val="none"/>
        </w:rPr>
        <w:tab/>
      </w:r>
      <w:r>
        <w:rPr>
          <w:i w:val="0"/>
          <w:color w:val="auto"/>
          <w:highlight w:val="none"/>
        </w:rPr>
        <w:fldChar w:fldCharType="begin"/>
      </w:r>
      <w:r>
        <w:rPr>
          <w:i w:val="0"/>
          <w:color w:val="auto"/>
          <w:highlight w:val="none"/>
        </w:rPr>
        <w:instrText xml:space="preserve"> PAGEREF _Toc57820623 \h </w:instrText>
      </w:r>
      <w:r>
        <w:rPr>
          <w:i w:val="0"/>
          <w:color w:val="auto"/>
          <w:highlight w:val="none"/>
        </w:rPr>
        <w:fldChar w:fldCharType="separate"/>
      </w:r>
      <w:r>
        <w:rPr>
          <w:i w:val="0"/>
          <w:color w:val="auto"/>
          <w:highlight w:val="none"/>
        </w:rPr>
        <w:t>57</w:t>
      </w:r>
      <w:r>
        <w:rPr>
          <w:i w:val="0"/>
          <w:color w:val="auto"/>
          <w:highlight w:val="none"/>
        </w:rPr>
        <w:fldChar w:fldCharType="end"/>
      </w:r>
      <w:r>
        <w:rPr>
          <w:i w:val="0"/>
          <w:color w:val="auto"/>
          <w:highlight w:val="none"/>
        </w:rPr>
        <w:fldChar w:fldCharType="end"/>
      </w:r>
    </w:p>
    <w:p w14:paraId="37E8BDE0">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"_Toc57820624"</w:instrText>
      </w:r>
      <w:r>
        <w:rPr>
          <w:rStyle w:val="53"/>
          <w:i w:val="0"/>
          <w:color w:val="auto"/>
          <w:highlight w:val="none"/>
        </w:rPr>
        <w:instrText xml:space="preserve"> </w:instrText>
      </w:r>
      <w:r>
        <w:rPr>
          <w:i w:val="0"/>
          <w:color w:val="auto"/>
          <w:highlight w:val="none"/>
        </w:rPr>
        <w:fldChar w:fldCharType="separate"/>
      </w:r>
      <w:r>
        <w:rPr>
          <w:rStyle w:val="53"/>
          <w:rFonts w:ascii="宋体" w:hAnsi="宋体" w:cs="宋体"/>
          <w:i w:val="0"/>
          <w:color w:val="auto"/>
          <w:highlight w:val="none"/>
        </w:rPr>
        <w:t xml:space="preserve">3.4 </w:t>
      </w:r>
      <w:r>
        <w:rPr>
          <w:rStyle w:val="53"/>
          <w:rFonts w:hint="eastAsia" w:ascii="宋体" w:hAnsi="宋体" w:cs="宋体"/>
          <w:i w:val="0"/>
          <w:color w:val="auto"/>
          <w:highlight w:val="none"/>
        </w:rPr>
        <w:t>评标结果</w:t>
      </w:r>
      <w:r>
        <w:rPr>
          <w:i w:val="0"/>
          <w:color w:val="auto"/>
          <w:highlight w:val="none"/>
        </w:rPr>
        <w:tab/>
      </w:r>
      <w:r>
        <w:rPr>
          <w:i w:val="0"/>
          <w:color w:val="auto"/>
          <w:highlight w:val="none"/>
        </w:rPr>
        <w:fldChar w:fldCharType="begin"/>
      </w:r>
      <w:r>
        <w:rPr>
          <w:i w:val="0"/>
          <w:color w:val="auto"/>
          <w:highlight w:val="none"/>
        </w:rPr>
        <w:instrText xml:space="preserve"> PAGEREF _Toc57820624 \h </w:instrText>
      </w:r>
      <w:r>
        <w:rPr>
          <w:i w:val="0"/>
          <w:color w:val="auto"/>
          <w:highlight w:val="none"/>
        </w:rPr>
        <w:fldChar w:fldCharType="separate"/>
      </w:r>
      <w:r>
        <w:rPr>
          <w:i w:val="0"/>
          <w:color w:val="auto"/>
          <w:highlight w:val="none"/>
        </w:rPr>
        <w:t>57</w:t>
      </w:r>
      <w:r>
        <w:rPr>
          <w:i w:val="0"/>
          <w:color w:val="auto"/>
          <w:highlight w:val="none"/>
        </w:rPr>
        <w:fldChar w:fldCharType="end"/>
      </w:r>
      <w:r>
        <w:rPr>
          <w:i w:val="0"/>
          <w:color w:val="auto"/>
          <w:highlight w:val="none"/>
        </w:rPr>
        <w:fldChar w:fldCharType="end"/>
      </w:r>
    </w:p>
    <w:p w14:paraId="5438D0D8">
      <w:pPr>
        <w:pStyle w:val="31"/>
        <w:tabs>
          <w:tab w:val="right" w:leader="dot" w:pos="9459"/>
        </w:tabs>
        <w:rPr>
          <w:rFonts w:ascii="Calibri" w:hAnsi="Calibri"/>
          <w:b w:val="0"/>
          <w:bCs w:val="0"/>
          <w: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"_Toc57820625"</w:instrText>
      </w:r>
      <w:r>
        <w:rPr>
          <w:rStyle w:val="53"/>
          <w:color w:val="auto"/>
          <w:highlight w:val="none"/>
        </w:rPr>
        <w:instrText xml:space="preserve"> </w:instrText>
      </w:r>
      <w:r>
        <w:rPr>
          <w:color w:val="auto"/>
          <w:highlight w:val="none"/>
        </w:rPr>
        <w:fldChar w:fldCharType="separate"/>
      </w:r>
      <w:r>
        <w:rPr>
          <w:rStyle w:val="53"/>
          <w:rFonts w:hint="eastAsia" w:ascii="宋体" w:hAnsi="宋体"/>
          <w:color w:val="auto"/>
          <w:highlight w:val="none"/>
        </w:rPr>
        <w:t>第三章</w:t>
      </w:r>
      <w:r>
        <w:rPr>
          <w:rStyle w:val="53"/>
          <w:rFonts w:ascii="宋体" w:hAnsi="宋体"/>
          <w:color w:val="auto"/>
          <w:highlight w:val="none"/>
        </w:rPr>
        <w:t xml:space="preserve">  </w:t>
      </w:r>
      <w:r>
        <w:rPr>
          <w:rStyle w:val="53"/>
          <w:rFonts w:hint="eastAsia" w:ascii="宋体" w:hAnsi="宋体"/>
          <w:color w:val="auto"/>
          <w:highlight w:val="none"/>
        </w:rPr>
        <w:t>评标办法（综合评估法）</w:t>
      </w:r>
      <w:r>
        <w:rPr>
          <w:color w:val="auto"/>
          <w:highlight w:val="none"/>
        </w:rPr>
        <w:tab/>
      </w:r>
      <w:r>
        <w:rPr>
          <w:color w:val="auto"/>
          <w:highlight w:val="none"/>
        </w:rPr>
        <w:fldChar w:fldCharType="begin"/>
      </w:r>
      <w:r>
        <w:rPr>
          <w:color w:val="auto"/>
          <w:highlight w:val="none"/>
        </w:rPr>
        <w:instrText xml:space="preserve"> PAGEREF _Toc57820625 \h </w:instrText>
      </w:r>
      <w:r>
        <w:rPr>
          <w:color w:val="auto"/>
          <w:highlight w:val="none"/>
        </w:rPr>
        <w:fldChar w:fldCharType="separate"/>
      </w:r>
      <w:r>
        <w:rPr>
          <w:color w:val="auto"/>
          <w:highlight w:val="none"/>
        </w:rPr>
        <w:t>62</w:t>
      </w:r>
      <w:r>
        <w:rPr>
          <w:color w:val="auto"/>
          <w:highlight w:val="none"/>
        </w:rPr>
        <w:fldChar w:fldCharType="end"/>
      </w:r>
      <w:r>
        <w:rPr>
          <w:color w:val="auto"/>
          <w:highlight w:val="none"/>
        </w:rPr>
        <w:fldChar w:fldCharType="end"/>
      </w:r>
    </w:p>
    <w:p w14:paraId="0C44F011">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"_Toc57820626"</w:instrText>
      </w:r>
      <w:r>
        <w:rPr>
          <w:rStyle w:val="53"/>
          <w:color w:val="auto"/>
          <w:highlight w:val="none"/>
        </w:rPr>
        <w:instrText xml:space="preserve"> </w:instrText>
      </w:r>
      <w:r>
        <w:rPr>
          <w:color w:val="auto"/>
          <w:highlight w:val="none"/>
        </w:rPr>
        <w:fldChar w:fldCharType="separate"/>
      </w:r>
      <w:r>
        <w:rPr>
          <w:rStyle w:val="53"/>
          <w:rFonts w:hint="eastAsia" w:ascii="宋体" w:hAnsi="宋体"/>
          <w:color w:val="auto"/>
          <w:highlight w:val="none"/>
        </w:rPr>
        <w:t>评标办法前附表</w:t>
      </w:r>
      <w:r>
        <w:rPr>
          <w:color w:val="auto"/>
          <w:highlight w:val="none"/>
        </w:rPr>
        <w:tab/>
      </w:r>
      <w:r>
        <w:rPr>
          <w:color w:val="auto"/>
          <w:highlight w:val="none"/>
        </w:rPr>
        <w:fldChar w:fldCharType="begin"/>
      </w:r>
      <w:r>
        <w:rPr>
          <w:color w:val="auto"/>
          <w:highlight w:val="none"/>
        </w:rPr>
        <w:instrText xml:space="preserve"> PAGEREF _Toc57820626 \h </w:instrText>
      </w:r>
      <w:r>
        <w:rPr>
          <w:color w:val="auto"/>
          <w:highlight w:val="none"/>
        </w:rPr>
        <w:fldChar w:fldCharType="separate"/>
      </w:r>
      <w:r>
        <w:rPr>
          <w:color w:val="auto"/>
          <w:highlight w:val="none"/>
        </w:rPr>
        <w:t>62</w:t>
      </w:r>
      <w:r>
        <w:rPr>
          <w:color w:val="auto"/>
          <w:highlight w:val="none"/>
        </w:rPr>
        <w:fldChar w:fldCharType="end"/>
      </w:r>
      <w:r>
        <w:rPr>
          <w:color w:val="auto"/>
          <w:highlight w:val="none"/>
        </w:rPr>
        <w:fldChar w:fldCharType="end"/>
      </w:r>
    </w:p>
    <w:p w14:paraId="43D29E10">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"_Toc57820627"</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1.  </w:t>
      </w:r>
      <w:r>
        <w:rPr>
          <w:rStyle w:val="53"/>
          <w:rFonts w:hint="eastAsia" w:ascii="宋体" w:hAnsi="宋体"/>
          <w:snapToGrid w:val="0"/>
          <w:color w:val="auto"/>
          <w:highlight w:val="none"/>
        </w:rPr>
        <w:t>评标方法</w:t>
      </w:r>
      <w:r>
        <w:rPr>
          <w:color w:val="auto"/>
          <w:highlight w:val="none"/>
        </w:rPr>
        <w:tab/>
      </w:r>
      <w:r>
        <w:rPr>
          <w:color w:val="auto"/>
          <w:highlight w:val="none"/>
        </w:rPr>
        <w:fldChar w:fldCharType="begin"/>
      </w:r>
      <w:r>
        <w:rPr>
          <w:color w:val="auto"/>
          <w:highlight w:val="none"/>
        </w:rPr>
        <w:instrText xml:space="preserve"> PAGEREF _Toc57820627 \h </w:instrText>
      </w:r>
      <w:r>
        <w:rPr>
          <w:color w:val="auto"/>
          <w:highlight w:val="none"/>
        </w:rPr>
        <w:fldChar w:fldCharType="separate"/>
      </w:r>
      <w:r>
        <w:rPr>
          <w:color w:val="auto"/>
          <w:highlight w:val="none"/>
        </w:rPr>
        <w:t>70</w:t>
      </w:r>
      <w:r>
        <w:rPr>
          <w:color w:val="auto"/>
          <w:highlight w:val="none"/>
        </w:rPr>
        <w:fldChar w:fldCharType="end"/>
      </w:r>
      <w:r>
        <w:rPr>
          <w:color w:val="auto"/>
          <w:highlight w:val="none"/>
        </w:rPr>
        <w:fldChar w:fldCharType="end"/>
      </w:r>
    </w:p>
    <w:p w14:paraId="261F4E6B">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"_Toc57820628"</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2.  </w:t>
      </w:r>
      <w:r>
        <w:rPr>
          <w:rStyle w:val="53"/>
          <w:rFonts w:hint="eastAsia" w:ascii="宋体" w:hAnsi="宋体"/>
          <w:snapToGrid w:val="0"/>
          <w:color w:val="auto"/>
          <w:highlight w:val="none"/>
        </w:rPr>
        <w:t>评审标准</w:t>
      </w:r>
      <w:r>
        <w:rPr>
          <w:color w:val="auto"/>
          <w:highlight w:val="none"/>
        </w:rPr>
        <w:tab/>
      </w:r>
      <w:r>
        <w:rPr>
          <w:color w:val="auto"/>
          <w:highlight w:val="none"/>
        </w:rPr>
        <w:fldChar w:fldCharType="begin"/>
      </w:r>
      <w:r>
        <w:rPr>
          <w:color w:val="auto"/>
          <w:highlight w:val="none"/>
        </w:rPr>
        <w:instrText xml:space="preserve"> PAGEREF _Toc57820628 \h </w:instrText>
      </w:r>
      <w:r>
        <w:rPr>
          <w:color w:val="auto"/>
          <w:highlight w:val="none"/>
        </w:rPr>
        <w:fldChar w:fldCharType="separate"/>
      </w:r>
      <w:r>
        <w:rPr>
          <w:color w:val="auto"/>
          <w:highlight w:val="none"/>
        </w:rPr>
        <w:t>70</w:t>
      </w:r>
      <w:r>
        <w:rPr>
          <w:color w:val="auto"/>
          <w:highlight w:val="none"/>
        </w:rPr>
        <w:fldChar w:fldCharType="end"/>
      </w:r>
      <w:r>
        <w:rPr>
          <w:color w:val="auto"/>
          <w:highlight w:val="none"/>
        </w:rPr>
        <w:fldChar w:fldCharType="end"/>
      </w:r>
    </w:p>
    <w:p w14:paraId="7B515C67">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"_Toc57820629"</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2.1  </w:t>
      </w:r>
      <w:r>
        <w:rPr>
          <w:rStyle w:val="53"/>
          <w:rFonts w:hint="eastAsia" w:ascii="宋体" w:hAnsi="宋体"/>
          <w:i w:val="0"/>
          <w:snapToGrid w:val="0"/>
          <w:color w:val="auto"/>
          <w:highlight w:val="none"/>
        </w:rPr>
        <w:t>初步评审标准</w:t>
      </w:r>
      <w:r>
        <w:rPr>
          <w:i w:val="0"/>
          <w:color w:val="auto"/>
          <w:highlight w:val="none"/>
        </w:rPr>
        <w:tab/>
      </w:r>
      <w:r>
        <w:rPr>
          <w:i w:val="0"/>
          <w:color w:val="auto"/>
          <w:highlight w:val="none"/>
        </w:rPr>
        <w:fldChar w:fldCharType="begin"/>
      </w:r>
      <w:r>
        <w:rPr>
          <w:i w:val="0"/>
          <w:color w:val="auto"/>
          <w:highlight w:val="none"/>
        </w:rPr>
        <w:instrText xml:space="preserve"> PAGEREF _Toc57820629 \h </w:instrText>
      </w:r>
      <w:r>
        <w:rPr>
          <w:i w:val="0"/>
          <w:color w:val="auto"/>
          <w:highlight w:val="none"/>
        </w:rPr>
        <w:fldChar w:fldCharType="separate"/>
      </w:r>
      <w:r>
        <w:rPr>
          <w:i w:val="0"/>
          <w:color w:val="auto"/>
          <w:highlight w:val="none"/>
        </w:rPr>
        <w:t>70</w:t>
      </w:r>
      <w:r>
        <w:rPr>
          <w:i w:val="0"/>
          <w:color w:val="auto"/>
          <w:highlight w:val="none"/>
        </w:rPr>
        <w:fldChar w:fldCharType="end"/>
      </w:r>
      <w:r>
        <w:rPr>
          <w:i w:val="0"/>
          <w:color w:val="auto"/>
          <w:highlight w:val="none"/>
        </w:rPr>
        <w:fldChar w:fldCharType="end"/>
      </w:r>
    </w:p>
    <w:p w14:paraId="0A7224E7">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"_Toc57820630"</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2.2  </w:t>
      </w:r>
      <w:r>
        <w:rPr>
          <w:rStyle w:val="53"/>
          <w:rFonts w:hint="eastAsia" w:ascii="宋体" w:hAnsi="宋体"/>
          <w:i w:val="0"/>
          <w:snapToGrid w:val="0"/>
          <w:color w:val="auto"/>
          <w:highlight w:val="none"/>
        </w:rPr>
        <w:t>分值构成与评分标准</w:t>
      </w:r>
      <w:r>
        <w:rPr>
          <w:i w:val="0"/>
          <w:color w:val="auto"/>
          <w:highlight w:val="none"/>
        </w:rPr>
        <w:tab/>
      </w:r>
      <w:r>
        <w:rPr>
          <w:i w:val="0"/>
          <w:color w:val="auto"/>
          <w:highlight w:val="none"/>
        </w:rPr>
        <w:fldChar w:fldCharType="begin"/>
      </w:r>
      <w:r>
        <w:rPr>
          <w:i w:val="0"/>
          <w:color w:val="auto"/>
          <w:highlight w:val="none"/>
        </w:rPr>
        <w:instrText xml:space="preserve"> PAGEREF _Toc57820630 \h </w:instrText>
      </w:r>
      <w:r>
        <w:rPr>
          <w:i w:val="0"/>
          <w:color w:val="auto"/>
          <w:highlight w:val="none"/>
        </w:rPr>
        <w:fldChar w:fldCharType="separate"/>
      </w:r>
      <w:r>
        <w:rPr>
          <w:i w:val="0"/>
          <w:color w:val="auto"/>
          <w:highlight w:val="none"/>
        </w:rPr>
        <w:t>70</w:t>
      </w:r>
      <w:r>
        <w:rPr>
          <w:i w:val="0"/>
          <w:color w:val="auto"/>
          <w:highlight w:val="none"/>
        </w:rPr>
        <w:fldChar w:fldCharType="end"/>
      </w:r>
      <w:r>
        <w:rPr>
          <w:i w:val="0"/>
          <w:color w:val="auto"/>
          <w:highlight w:val="none"/>
        </w:rPr>
        <w:fldChar w:fldCharType="end"/>
      </w:r>
    </w:p>
    <w:p w14:paraId="67A7B023">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"_Toc57820631"</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3.  </w:t>
      </w:r>
      <w:r>
        <w:rPr>
          <w:rStyle w:val="53"/>
          <w:rFonts w:hint="eastAsia" w:ascii="宋体" w:hAnsi="宋体"/>
          <w:snapToGrid w:val="0"/>
          <w:color w:val="auto"/>
          <w:highlight w:val="none"/>
        </w:rPr>
        <w:t>评标程序</w:t>
      </w:r>
      <w:r>
        <w:rPr>
          <w:color w:val="auto"/>
          <w:highlight w:val="none"/>
        </w:rPr>
        <w:tab/>
      </w:r>
      <w:r>
        <w:rPr>
          <w:color w:val="auto"/>
          <w:highlight w:val="none"/>
        </w:rPr>
        <w:fldChar w:fldCharType="begin"/>
      </w:r>
      <w:r>
        <w:rPr>
          <w:color w:val="auto"/>
          <w:highlight w:val="none"/>
        </w:rPr>
        <w:instrText xml:space="preserve"> PAGEREF _Toc57820631 \h </w:instrText>
      </w:r>
      <w:r>
        <w:rPr>
          <w:color w:val="auto"/>
          <w:highlight w:val="none"/>
        </w:rPr>
        <w:fldChar w:fldCharType="separate"/>
      </w:r>
      <w:r>
        <w:rPr>
          <w:color w:val="auto"/>
          <w:highlight w:val="none"/>
        </w:rPr>
        <w:t>70</w:t>
      </w:r>
      <w:r>
        <w:rPr>
          <w:color w:val="auto"/>
          <w:highlight w:val="none"/>
        </w:rPr>
        <w:fldChar w:fldCharType="end"/>
      </w:r>
      <w:r>
        <w:rPr>
          <w:color w:val="auto"/>
          <w:highlight w:val="none"/>
        </w:rPr>
        <w:fldChar w:fldCharType="end"/>
      </w:r>
    </w:p>
    <w:p w14:paraId="5096AB69">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"_Toc57820632"</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3.1  </w:t>
      </w:r>
      <w:r>
        <w:rPr>
          <w:rStyle w:val="53"/>
          <w:rFonts w:hint="eastAsia" w:ascii="宋体" w:hAnsi="宋体"/>
          <w:i w:val="0"/>
          <w:snapToGrid w:val="0"/>
          <w:color w:val="auto"/>
          <w:highlight w:val="none"/>
        </w:rPr>
        <w:t>初步评审</w:t>
      </w:r>
      <w:r>
        <w:rPr>
          <w:i w:val="0"/>
          <w:color w:val="auto"/>
          <w:highlight w:val="none"/>
        </w:rPr>
        <w:tab/>
      </w:r>
      <w:r>
        <w:rPr>
          <w:i w:val="0"/>
          <w:color w:val="auto"/>
          <w:highlight w:val="none"/>
        </w:rPr>
        <w:fldChar w:fldCharType="begin"/>
      </w:r>
      <w:r>
        <w:rPr>
          <w:i w:val="0"/>
          <w:color w:val="auto"/>
          <w:highlight w:val="none"/>
        </w:rPr>
        <w:instrText xml:space="preserve"> PAGEREF _Toc57820632 \h </w:instrText>
      </w:r>
      <w:r>
        <w:rPr>
          <w:i w:val="0"/>
          <w:color w:val="auto"/>
          <w:highlight w:val="none"/>
        </w:rPr>
        <w:fldChar w:fldCharType="separate"/>
      </w:r>
      <w:r>
        <w:rPr>
          <w:i w:val="0"/>
          <w:color w:val="auto"/>
          <w:highlight w:val="none"/>
        </w:rPr>
        <w:t>70</w:t>
      </w:r>
      <w:r>
        <w:rPr>
          <w:i w:val="0"/>
          <w:color w:val="auto"/>
          <w:highlight w:val="none"/>
        </w:rPr>
        <w:fldChar w:fldCharType="end"/>
      </w:r>
      <w:r>
        <w:rPr>
          <w:i w:val="0"/>
          <w:color w:val="auto"/>
          <w:highlight w:val="none"/>
        </w:rPr>
        <w:fldChar w:fldCharType="end"/>
      </w:r>
    </w:p>
    <w:p w14:paraId="78954CF1">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"_Toc57820633"</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3.2  </w:t>
      </w:r>
      <w:r>
        <w:rPr>
          <w:rStyle w:val="53"/>
          <w:rFonts w:hint="eastAsia" w:ascii="宋体" w:hAnsi="宋体"/>
          <w:i w:val="0"/>
          <w:snapToGrid w:val="0"/>
          <w:color w:val="auto"/>
          <w:highlight w:val="none"/>
        </w:rPr>
        <w:t>详细评审</w:t>
      </w:r>
      <w:r>
        <w:rPr>
          <w:i w:val="0"/>
          <w:color w:val="auto"/>
          <w:highlight w:val="none"/>
        </w:rPr>
        <w:tab/>
      </w:r>
      <w:r>
        <w:rPr>
          <w:i w:val="0"/>
          <w:color w:val="auto"/>
          <w:highlight w:val="none"/>
        </w:rPr>
        <w:fldChar w:fldCharType="begin"/>
      </w:r>
      <w:r>
        <w:rPr>
          <w:i w:val="0"/>
          <w:color w:val="auto"/>
          <w:highlight w:val="none"/>
        </w:rPr>
        <w:instrText xml:space="preserve"> PAGEREF _Toc57820633 \h </w:instrText>
      </w:r>
      <w:r>
        <w:rPr>
          <w:i w:val="0"/>
          <w:color w:val="auto"/>
          <w:highlight w:val="none"/>
        </w:rPr>
        <w:fldChar w:fldCharType="separate"/>
      </w:r>
      <w:r>
        <w:rPr>
          <w:i w:val="0"/>
          <w:color w:val="auto"/>
          <w:highlight w:val="none"/>
        </w:rPr>
        <w:t>71</w:t>
      </w:r>
      <w:r>
        <w:rPr>
          <w:i w:val="0"/>
          <w:color w:val="auto"/>
          <w:highlight w:val="none"/>
        </w:rPr>
        <w:fldChar w:fldCharType="end"/>
      </w:r>
      <w:r>
        <w:rPr>
          <w:i w:val="0"/>
          <w:color w:val="auto"/>
          <w:highlight w:val="none"/>
        </w:rPr>
        <w:fldChar w:fldCharType="end"/>
      </w:r>
    </w:p>
    <w:p w14:paraId="40D2148E">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"_Toc57820634"</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3.3  </w:t>
      </w:r>
      <w:r>
        <w:rPr>
          <w:rStyle w:val="53"/>
          <w:rFonts w:hint="eastAsia" w:ascii="宋体" w:hAnsi="宋体"/>
          <w:i w:val="0"/>
          <w:snapToGrid w:val="0"/>
          <w:color w:val="auto"/>
          <w:highlight w:val="none"/>
        </w:rPr>
        <w:t>投标文件的澄清和补正</w:t>
      </w:r>
      <w:r>
        <w:rPr>
          <w:i w:val="0"/>
          <w:color w:val="auto"/>
          <w:highlight w:val="none"/>
        </w:rPr>
        <w:tab/>
      </w:r>
      <w:r>
        <w:rPr>
          <w:i w:val="0"/>
          <w:color w:val="auto"/>
          <w:highlight w:val="none"/>
        </w:rPr>
        <w:fldChar w:fldCharType="begin"/>
      </w:r>
      <w:r>
        <w:rPr>
          <w:i w:val="0"/>
          <w:color w:val="auto"/>
          <w:highlight w:val="none"/>
        </w:rPr>
        <w:instrText xml:space="preserve"> PAGEREF _Toc57820634 \h </w:instrText>
      </w:r>
      <w:r>
        <w:rPr>
          <w:i w:val="0"/>
          <w:color w:val="auto"/>
          <w:highlight w:val="none"/>
        </w:rPr>
        <w:fldChar w:fldCharType="separate"/>
      </w:r>
      <w:r>
        <w:rPr>
          <w:i w:val="0"/>
          <w:color w:val="auto"/>
          <w:highlight w:val="none"/>
        </w:rPr>
        <w:t>71</w:t>
      </w:r>
      <w:r>
        <w:rPr>
          <w:i w:val="0"/>
          <w:color w:val="auto"/>
          <w:highlight w:val="none"/>
        </w:rPr>
        <w:fldChar w:fldCharType="end"/>
      </w:r>
      <w:r>
        <w:rPr>
          <w:i w:val="0"/>
          <w:color w:val="auto"/>
          <w:highlight w:val="none"/>
        </w:rPr>
        <w:fldChar w:fldCharType="end"/>
      </w:r>
    </w:p>
    <w:p w14:paraId="1F5DF221">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"_Toc57820635"</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3.4  </w:t>
      </w:r>
      <w:r>
        <w:rPr>
          <w:rStyle w:val="53"/>
          <w:rFonts w:hint="eastAsia" w:ascii="宋体" w:hAnsi="宋体"/>
          <w:i w:val="0"/>
          <w:snapToGrid w:val="0"/>
          <w:color w:val="auto"/>
          <w:highlight w:val="none"/>
        </w:rPr>
        <w:t>评标结果</w:t>
      </w:r>
      <w:r>
        <w:rPr>
          <w:i w:val="0"/>
          <w:color w:val="auto"/>
          <w:highlight w:val="none"/>
        </w:rPr>
        <w:tab/>
      </w:r>
      <w:r>
        <w:rPr>
          <w:i w:val="0"/>
          <w:color w:val="auto"/>
          <w:highlight w:val="none"/>
        </w:rPr>
        <w:fldChar w:fldCharType="begin"/>
      </w:r>
      <w:r>
        <w:rPr>
          <w:i w:val="0"/>
          <w:color w:val="auto"/>
          <w:highlight w:val="none"/>
        </w:rPr>
        <w:instrText xml:space="preserve"> PAGEREF _Toc57820635 \h </w:instrText>
      </w:r>
      <w:r>
        <w:rPr>
          <w:i w:val="0"/>
          <w:color w:val="auto"/>
          <w:highlight w:val="none"/>
        </w:rPr>
        <w:fldChar w:fldCharType="separate"/>
      </w:r>
      <w:r>
        <w:rPr>
          <w:i w:val="0"/>
          <w:color w:val="auto"/>
          <w:highlight w:val="none"/>
        </w:rPr>
        <w:t>71</w:t>
      </w:r>
      <w:r>
        <w:rPr>
          <w:i w:val="0"/>
          <w:color w:val="auto"/>
          <w:highlight w:val="none"/>
        </w:rPr>
        <w:fldChar w:fldCharType="end"/>
      </w:r>
      <w:r>
        <w:rPr>
          <w:i w:val="0"/>
          <w:color w:val="auto"/>
          <w:highlight w:val="none"/>
        </w:rPr>
        <w:fldChar w:fldCharType="end"/>
      </w:r>
    </w:p>
    <w:p w14:paraId="1AE28AD2">
      <w:pPr>
        <w:pStyle w:val="31"/>
        <w:tabs>
          <w:tab w:val="right" w:leader="dot" w:pos="9459"/>
        </w:tabs>
        <w:rPr>
          <w:rFonts w:ascii="Calibri" w:hAnsi="Calibri"/>
          <w:b w:val="0"/>
          <w:bCs w:val="0"/>
          <w: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"_Toc57820636"</w:instrText>
      </w:r>
      <w:r>
        <w:rPr>
          <w:rStyle w:val="53"/>
          <w:color w:val="auto"/>
          <w:highlight w:val="none"/>
        </w:rPr>
        <w:instrText xml:space="preserve"> </w:instrText>
      </w:r>
      <w:r>
        <w:rPr>
          <w:color w:val="auto"/>
          <w:highlight w:val="none"/>
        </w:rPr>
        <w:fldChar w:fldCharType="separate"/>
      </w:r>
      <w:r>
        <w:rPr>
          <w:rStyle w:val="53"/>
          <w:rFonts w:hint="eastAsia" w:ascii="宋体" w:hAnsi="宋体"/>
          <w:color w:val="auto"/>
          <w:kern w:val="0"/>
          <w:highlight w:val="none"/>
        </w:rPr>
        <w:t>第四章</w:t>
      </w:r>
      <w:r>
        <w:rPr>
          <w:rStyle w:val="53"/>
          <w:rFonts w:ascii="宋体" w:hAnsi="宋体"/>
          <w:color w:val="auto"/>
          <w:kern w:val="0"/>
          <w:highlight w:val="none"/>
        </w:rPr>
        <w:t xml:space="preserve">  </w:t>
      </w:r>
      <w:r>
        <w:rPr>
          <w:rStyle w:val="53"/>
          <w:rFonts w:hint="eastAsia" w:ascii="宋体" w:hAnsi="宋体"/>
          <w:color w:val="auto"/>
          <w:kern w:val="0"/>
          <w:highlight w:val="none"/>
        </w:rPr>
        <w:t>合同条款及格式</w:t>
      </w:r>
      <w:r>
        <w:rPr>
          <w:color w:val="auto"/>
          <w:highlight w:val="none"/>
        </w:rPr>
        <w:tab/>
      </w:r>
      <w:r>
        <w:rPr>
          <w:color w:val="auto"/>
          <w:highlight w:val="none"/>
        </w:rPr>
        <w:fldChar w:fldCharType="begin"/>
      </w:r>
      <w:r>
        <w:rPr>
          <w:color w:val="auto"/>
          <w:highlight w:val="none"/>
        </w:rPr>
        <w:instrText xml:space="preserve"> PAGEREF _Toc57820636 \h </w:instrText>
      </w:r>
      <w:r>
        <w:rPr>
          <w:color w:val="auto"/>
          <w:highlight w:val="none"/>
        </w:rPr>
        <w:fldChar w:fldCharType="separate"/>
      </w:r>
      <w:r>
        <w:rPr>
          <w:color w:val="auto"/>
          <w:highlight w:val="none"/>
        </w:rPr>
        <w:t>76</w:t>
      </w:r>
      <w:r>
        <w:rPr>
          <w:color w:val="auto"/>
          <w:highlight w:val="none"/>
        </w:rPr>
        <w:fldChar w:fldCharType="end"/>
      </w:r>
      <w:r>
        <w:rPr>
          <w:color w:val="auto"/>
          <w:highlight w:val="none"/>
        </w:rPr>
        <w:fldChar w:fldCharType="end"/>
      </w:r>
    </w:p>
    <w:p w14:paraId="16B8524D">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"_Toc57820637"</w:instrText>
      </w:r>
      <w:r>
        <w:rPr>
          <w:rStyle w:val="53"/>
          <w:i w:val="0"/>
          <w:color w:val="auto"/>
          <w:highlight w:val="none"/>
        </w:rPr>
        <w:instrText xml:space="preserve"> </w:instrText>
      </w:r>
      <w:r>
        <w:rPr>
          <w:i w:val="0"/>
          <w:color w:val="auto"/>
          <w:highlight w:val="none"/>
        </w:rPr>
        <w:fldChar w:fldCharType="separate"/>
      </w:r>
      <w:r>
        <w:rPr>
          <w:rStyle w:val="53"/>
          <w:rFonts w:hint="eastAsia" w:ascii="宋体" w:hAnsi="宋体"/>
          <w:i w:val="0"/>
          <w:color w:val="auto"/>
          <w:highlight w:val="none"/>
        </w:rPr>
        <w:t>第一部分</w:t>
      </w:r>
      <w:r>
        <w:rPr>
          <w:rStyle w:val="53"/>
          <w:rFonts w:ascii="宋体" w:hAnsi="宋体"/>
          <w:i w:val="0"/>
          <w:color w:val="auto"/>
          <w:highlight w:val="none"/>
        </w:rPr>
        <w:t xml:space="preserve"> </w:t>
      </w:r>
      <w:r>
        <w:rPr>
          <w:rStyle w:val="53"/>
          <w:rFonts w:hint="eastAsia" w:ascii="宋体" w:hAnsi="宋体"/>
          <w:i w:val="0"/>
          <w:color w:val="auto"/>
          <w:highlight w:val="none"/>
        </w:rPr>
        <w:t>合同协议书</w:t>
      </w:r>
      <w:r>
        <w:rPr>
          <w:i w:val="0"/>
          <w:color w:val="auto"/>
          <w:highlight w:val="none"/>
        </w:rPr>
        <w:tab/>
      </w:r>
      <w:r>
        <w:rPr>
          <w:i w:val="0"/>
          <w:color w:val="auto"/>
          <w:highlight w:val="none"/>
        </w:rPr>
        <w:fldChar w:fldCharType="begin"/>
      </w:r>
      <w:r>
        <w:rPr>
          <w:i w:val="0"/>
          <w:color w:val="auto"/>
          <w:highlight w:val="none"/>
        </w:rPr>
        <w:instrText xml:space="preserve"> PAGEREF _Toc57820637 \h </w:instrText>
      </w:r>
      <w:r>
        <w:rPr>
          <w:i w:val="0"/>
          <w:color w:val="auto"/>
          <w:highlight w:val="none"/>
        </w:rPr>
        <w:fldChar w:fldCharType="separate"/>
      </w:r>
      <w:r>
        <w:rPr>
          <w:i w:val="0"/>
          <w:color w:val="auto"/>
          <w:highlight w:val="none"/>
        </w:rPr>
        <w:t>78</w:t>
      </w:r>
      <w:r>
        <w:rPr>
          <w:i w:val="0"/>
          <w:color w:val="auto"/>
          <w:highlight w:val="none"/>
        </w:rPr>
        <w:fldChar w:fldCharType="end"/>
      </w:r>
      <w:r>
        <w:rPr>
          <w:i w:val="0"/>
          <w:color w:val="auto"/>
          <w:highlight w:val="none"/>
        </w:rPr>
        <w:fldChar w:fldCharType="end"/>
      </w:r>
    </w:p>
    <w:p w14:paraId="2B390A95">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"_Toc57820638"</w:instrText>
      </w:r>
      <w:r>
        <w:rPr>
          <w:rStyle w:val="53"/>
          <w:i w:val="0"/>
          <w:color w:val="auto"/>
          <w:highlight w:val="none"/>
        </w:rPr>
        <w:instrText xml:space="preserve"> </w:instrText>
      </w:r>
      <w:r>
        <w:rPr>
          <w:i w:val="0"/>
          <w:color w:val="auto"/>
          <w:highlight w:val="none"/>
        </w:rPr>
        <w:fldChar w:fldCharType="separate"/>
      </w:r>
      <w:r>
        <w:rPr>
          <w:rStyle w:val="53"/>
          <w:rFonts w:hint="eastAsia" w:ascii="宋体" w:hAnsi="宋体"/>
          <w:i w:val="0"/>
          <w:color w:val="auto"/>
          <w:highlight w:val="none"/>
        </w:rPr>
        <w:t>第二部分</w:t>
      </w:r>
      <w:r>
        <w:rPr>
          <w:rStyle w:val="53"/>
          <w:rFonts w:ascii="宋体" w:hAnsi="宋体"/>
          <w:i w:val="0"/>
          <w:color w:val="auto"/>
          <w:highlight w:val="none"/>
        </w:rPr>
        <w:t xml:space="preserve"> </w:t>
      </w:r>
      <w:r>
        <w:rPr>
          <w:rStyle w:val="53"/>
          <w:rFonts w:hint="eastAsia" w:ascii="宋体" w:hAnsi="宋体"/>
          <w:i w:val="0"/>
          <w:color w:val="auto"/>
          <w:highlight w:val="none"/>
        </w:rPr>
        <w:t>通用合同条款</w:t>
      </w:r>
      <w:r>
        <w:rPr>
          <w:i w:val="0"/>
          <w:color w:val="auto"/>
          <w:highlight w:val="none"/>
        </w:rPr>
        <w:tab/>
      </w:r>
      <w:r>
        <w:rPr>
          <w:i w:val="0"/>
          <w:color w:val="auto"/>
          <w:highlight w:val="none"/>
        </w:rPr>
        <w:fldChar w:fldCharType="begin"/>
      </w:r>
      <w:r>
        <w:rPr>
          <w:i w:val="0"/>
          <w:color w:val="auto"/>
          <w:highlight w:val="none"/>
        </w:rPr>
        <w:instrText xml:space="preserve"> PAGEREF _Toc57820638 \h </w:instrText>
      </w:r>
      <w:r>
        <w:rPr>
          <w:i w:val="0"/>
          <w:color w:val="auto"/>
          <w:highlight w:val="none"/>
        </w:rPr>
        <w:fldChar w:fldCharType="separate"/>
      </w:r>
      <w:r>
        <w:rPr>
          <w:i w:val="0"/>
          <w:color w:val="auto"/>
          <w:highlight w:val="none"/>
        </w:rPr>
        <w:t>83</w:t>
      </w:r>
      <w:r>
        <w:rPr>
          <w:i w:val="0"/>
          <w:color w:val="auto"/>
          <w:highlight w:val="none"/>
        </w:rPr>
        <w:fldChar w:fldCharType="end"/>
      </w:r>
      <w:r>
        <w:rPr>
          <w:i w:val="0"/>
          <w:color w:val="auto"/>
          <w:highlight w:val="none"/>
        </w:rPr>
        <w:fldChar w:fldCharType="end"/>
      </w:r>
    </w:p>
    <w:p w14:paraId="483CB577">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"_Toc57820639"</w:instrText>
      </w:r>
      <w:r>
        <w:rPr>
          <w:rStyle w:val="53"/>
          <w:i w:val="0"/>
          <w:color w:val="auto"/>
          <w:highlight w:val="none"/>
        </w:rPr>
        <w:instrText xml:space="preserve"> </w:instrText>
      </w:r>
      <w:r>
        <w:rPr>
          <w:i w:val="0"/>
          <w:color w:val="auto"/>
          <w:highlight w:val="none"/>
        </w:rPr>
        <w:fldChar w:fldCharType="separate"/>
      </w:r>
      <w:r>
        <w:rPr>
          <w:rStyle w:val="53"/>
          <w:rFonts w:hint="eastAsia" w:ascii="宋体" w:hAnsi="宋体"/>
          <w:i w:val="0"/>
          <w:color w:val="auto"/>
          <w:highlight w:val="none"/>
        </w:rPr>
        <w:t>第三部分</w:t>
      </w:r>
      <w:r>
        <w:rPr>
          <w:rStyle w:val="53"/>
          <w:rFonts w:ascii="宋体" w:hAnsi="宋体"/>
          <w:i w:val="0"/>
          <w:color w:val="auto"/>
          <w:highlight w:val="none"/>
        </w:rPr>
        <w:t xml:space="preserve"> </w:t>
      </w:r>
      <w:r>
        <w:rPr>
          <w:rStyle w:val="53"/>
          <w:rFonts w:hint="eastAsia" w:ascii="宋体" w:hAnsi="宋体"/>
          <w:i w:val="0"/>
          <w:color w:val="auto"/>
          <w:highlight w:val="none"/>
        </w:rPr>
        <w:t>专用合同条款</w:t>
      </w:r>
      <w:r>
        <w:rPr>
          <w:i w:val="0"/>
          <w:color w:val="auto"/>
          <w:highlight w:val="none"/>
        </w:rPr>
        <w:tab/>
      </w:r>
      <w:r>
        <w:rPr>
          <w:i w:val="0"/>
          <w:color w:val="auto"/>
          <w:highlight w:val="none"/>
        </w:rPr>
        <w:fldChar w:fldCharType="begin"/>
      </w:r>
      <w:r>
        <w:rPr>
          <w:i w:val="0"/>
          <w:color w:val="auto"/>
          <w:highlight w:val="none"/>
        </w:rPr>
        <w:instrText xml:space="preserve"> PAGEREF _Toc57820639 \h </w:instrText>
      </w:r>
      <w:r>
        <w:rPr>
          <w:i w:val="0"/>
          <w:color w:val="auto"/>
          <w:highlight w:val="none"/>
        </w:rPr>
        <w:fldChar w:fldCharType="separate"/>
      </w:r>
      <w:r>
        <w:rPr>
          <w:i w:val="0"/>
          <w:color w:val="auto"/>
          <w:highlight w:val="none"/>
        </w:rPr>
        <w:t>136</w:t>
      </w:r>
      <w:r>
        <w:rPr>
          <w:i w:val="0"/>
          <w:color w:val="auto"/>
          <w:highlight w:val="none"/>
        </w:rPr>
        <w:fldChar w:fldCharType="end"/>
      </w:r>
      <w:r>
        <w:rPr>
          <w:i w:val="0"/>
          <w:color w:val="auto"/>
          <w:highlight w:val="none"/>
        </w:rPr>
        <w:fldChar w:fldCharType="end"/>
      </w:r>
    </w:p>
    <w:p w14:paraId="3A9101E9">
      <w:pPr>
        <w:pStyle w:val="31"/>
        <w:tabs>
          <w:tab w:val="right" w:leader="dot" w:pos="9459"/>
        </w:tabs>
        <w:rPr>
          <w:rFonts w:ascii="Calibri" w:hAnsi="Calibri"/>
          <w:b w:val="0"/>
          <w:bCs w:val="0"/>
          <w: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"_Toc57820640"</w:instrText>
      </w:r>
      <w:r>
        <w:rPr>
          <w:rStyle w:val="53"/>
          <w:color w:val="auto"/>
          <w:highlight w:val="none"/>
        </w:rPr>
        <w:instrText xml:space="preserve"> </w:instrText>
      </w:r>
      <w:r>
        <w:rPr>
          <w:color w:val="auto"/>
          <w:highlight w:val="none"/>
        </w:rPr>
        <w:fldChar w:fldCharType="separate"/>
      </w:r>
      <w:r>
        <w:rPr>
          <w:rStyle w:val="53"/>
          <w:rFonts w:hint="eastAsia" w:ascii="宋体" w:hAnsi="宋体"/>
          <w:color w:val="auto"/>
          <w:highlight w:val="none"/>
        </w:rPr>
        <w:t>第五章</w:t>
      </w:r>
      <w:r>
        <w:rPr>
          <w:rStyle w:val="53"/>
          <w:rFonts w:ascii="宋体" w:hAnsi="宋体"/>
          <w:color w:val="auto"/>
          <w:highlight w:val="none"/>
        </w:rPr>
        <w:t xml:space="preserve">  </w:t>
      </w:r>
      <w:r>
        <w:rPr>
          <w:rStyle w:val="53"/>
          <w:rFonts w:hint="eastAsia" w:ascii="宋体" w:hAnsi="宋体"/>
          <w:color w:val="auto"/>
          <w:highlight w:val="none"/>
        </w:rPr>
        <w:t>工程量清单</w:t>
      </w:r>
      <w:r>
        <w:rPr>
          <w:color w:val="auto"/>
          <w:highlight w:val="none"/>
        </w:rPr>
        <w:tab/>
      </w:r>
      <w:r>
        <w:rPr>
          <w:color w:val="auto"/>
          <w:highlight w:val="none"/>
        </w:rPr>
        <w:fldChar w:fldCharType="begin"/>
      </w:r>
      <w:r>
        <w:rPr>
          <w:color w:val="auto"/>
          <w:highlight w:val="none"/>
        </w:rPr>
        <w:instrText xml:space="preserve"> PAGEREF _Toc57820640 \h </w:instrText>
      </w:r>
      <w:r>
        <w:rPr>
          <w:color w:val="auto"/>
          <w:highlight w:val="none"/>
        </w:rPr>
        <w:fldChar w:fldCharType="separate"/>
      </w:r>
      <w:r>
        <w:rPr>
          <w:color w:val="auto"/>
          <w:highlight w:val="none"/>
        </w:rPr>
        <w:t>203</w:t>
      </w:r>
      <w:r>
        <w:rPr>
          <w:color w:val="auto"/>
          <w:highlight w:val="none"/>
        </w:rPr>
        <w:fldChar w:fldCharType="end"/>
      </w:r>
      <w:r>
        <w:rPr>
          <w:color w:val="auto"/>
          <w:highlight w:val="none"/>
        </w:rPr>
        <w:fldChar w:fldCharType="end"/>
      </w:r>
    </w:p>
    <w:p w14:paraId="41941C93">
      <w:pPr>
        <w:pStyle w:val="31"/>
        <w:tabs>
          <w:tab w:val="right" w:leader="dot" w:pos="9459"/>
        </w:tabs>
        <w:rPr>
          <w:rFonts w:ascii="Calibri" w:hAnsi="Calibri"/>
          <w:b w:val="0"/>
          <w:bCs w:val="0"/>
          <w: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"_Toc57820641"</w:instrText>
      </w:r>
      <w:r>
        <w:rPr>
          <w:rStyle w:val="53"/>
          <w:color w:val="auto"/>
          <w:highlight w:val="none"/>
        </w:rPr>
        <w:instrText xml:space="preserve"> </w:instrText>
      </w:r>
      <w:r>
        <w:rPr>
          <w:color w:val="auto"/>
          <w:highlight w:val="none"/>
        </w:rPr>
        <w:fldChar w:fldCharType="separate"/>
      </w:r>
      <w:r>
        <w:rPr>
          <w:rStyle w:val="53"/>
          <w:rFonts w:hint="eastAsia" w:ascii="宋体" w:hAnsi="宋体"/>
          <w:color w:val="auto"/>
          <w:highlight w:val="none"/>
        </w:rPr>
        <w:t>第</w:t>
      </w:r>
      <w:r>
        <w:rPr>
          <w:rStyle w:val="53"/>
          <w:rFonts w:ascii="宋体" w:hAnsi="宋体"/>
          <w:color w:val="auto"/>
          <w:highlight w:val="none"/>
        </w:rPr>
        <w:t xml:space="preserve"> </w:t>
      </w:r>
      <w:r>
        <w:rPr>
          <w:rStyle w:val="53"/>
          <w:rFonts w:hint="eastAsia" w:ascii="宋体" w:hAnsi="宋体"/>
          <w:color w:val="auto"/>
          <w:highlight w:val="none"/>
        </w:rPr>
        <w:t>二</w:t>
      </w:r>
      <w:r>
        <w:rPr>
          <w:rStyle w:val="53"/>
          <w:rFonts w:ascii="宋体" w:hAnsi="宋体"/>
          <w:color w:val="auto"/>
          <w:highlight w:val="none"/>
        </w:rPr>
        <w:t xml:space="preserve"> </w:t>
      </w:r>
      <w:r>
        <w:rPr>
          <w:rStyle w:val="53"/>
          <w:rFonts w:hint="eastAsia" w:ascii="宋体" w:hAnsi="宋体"/>
          <w:color w:val="auto"/>
          <w:highlight w:val="none"/>
        </w:rPr>
        <w:t>卷</w:t>
      </w:r>
      <w:r>
        <w:rPr>
          <w:color w:val="auto"/>
          <w:highlight w:val="none"/>
        </w:rPr>
        <w:tab/>
      </w:r>
      <w:r>
        <w:rPr>
          <w:color w:val="auto"/>
          <w:highlight w:val="none"/>
        </w:rPr>
        <w:fldChar w:fldCharType="begin"/>
      </w:r>
      <w:r>
        <w:rPr>
          <w:color w:val="auto"/>
          <w:highlight w:val="none"/>
        </w:rPr>
        <w:instrText xml:space="preserve"> PAGEREF _Toc57820641 \h </w:instrText>
      </w:r>
      <w:r>
        <w:rPr>
          <w:color w:val="auto"/>
          <w:highlight w:val="none"/>
        </w:rPr>
        <w:fldChar w:fldCharType="separate"/>
      </w:r>
      <w:r>
        <w:rPr>
          <w:color w:val="auto"/>
          <w:highlight w:val="none"/>
        </w:rPr>
        <w:t>204</w:t>
      </w:r>
      <w:r>
        <w:rPr>
          <w:color w:val="auto"/>
          <w:highlight w:val="none"/>
        </w:rPr>
        <w:fldChar w:fldCharType="end"/>
      </w:r>
      <w:r>
        <w:rPr>
          <w:color w:val="auto"/>
          <w:highlight w:val="none"/>
        </w:rPr>
        <w:fldChar w:fldCharType="end"/>
      </w:r>
    </w:p>
    <w:p w14:paraId="3A0474C4">
      <w:pPr>
        <w:pStyle w:val="31"/>
        <w:tabs>
          <w:tab w:val="right" w:leader="dot" w:pos="9459"/>
        </w:tabs>
        <w:rPr>
          <w:rFonts w:ascii="Calibri" w:hAnsi="Calibri"/>
          <w:b w:val="0"/>
          <w:bCs w:val="0"/>
          <w: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"_Toc57820642"</w:instrText>
      </w:r>
      <w:r>
        <w:rPr>
          <w:rStyle w:val="53"/>
          <w:color w:val="auto"/>
          <w:highlight w:val="none"/>
        </w:rPr>
        <w:instrText xml:space="preserve"> </w:instrText>
      </w:r>
      <w:r>
        <w:rPr>
          <w:color w:val="auto"/>
          <w:highlight w:val="none"/>
        </w:rPr>
        <w:fldChar w:fldCharType="separate"/>
      </w:r>
      <w:r>
        <w:rPr>
          <w:rStyle w:val="53"/>
          <w:rFonts w:hint="eastAsia" w:ascii="宋体" w:hAnsi="宋体"/>
          <w:color w:val="auto"/>
          <w:highlight w:val="none"/>
        </w:rPr>
        <w:t>第六章</w:t>
      </w:r>
      <w:r>
        <w:rPr>
          <w:rStyle w:val="53"/>
          <w:rFonts w:ascii="宋体" w:hAnsi="宋体"/>
          <w:color w:val="auto"/>
          <w:highlight w:val="none"/>
        </w:rPr>
        <w:t xml:space="preserve">  </w:t>
      </w:r>
      <w:r>
        <w:rPr>
          <w:rStyle w:val="53"/>
          <w:rFonts w:hint="eastAsia" w:ascii="宋体" w:hAnsi="宋体"/>
          <w:color w:val="auto"/>
          <w:highlight w:val="none"/>
        </w:rPr>
        <w:t>图纸</w:t>
      </w:r>
      <w:r>
        <w:rPr>
          <w:color w:val="auto"/>
          <w:highlight w:val="none"/>
        </w:rPr>
        <w:tab/>
      </w:r>
      <w:r>
        <w:rPr>
          <w:color w:val="auto"/>
          <w:highlight w:val="none"/>
        </w:rPr>
        <w:fldChar w:fldCharType="begin"/>
      </w:r>
      <w:r>
        <w:rPr>
          <w:color w:val="auto"/>
          <w:highlight w:val="none"/>
        </w:rPr>
        <w:instrText xml:space="preserve"> PAGEREF _Toc57820642 \h </w:instrText>
      </w:r>
      <w:r>
        <w:rPr>
          <w:color w:val="auto"/>
          <w:highlight w:val="none"/>
        </w:rPr>
        <w:fldChar w:fldCharType="separate"/>
      </w:r>
      <w:r>
        <w:rPr>
          <w:color w:val="auto"/>
          <w:highlight w:val="none"/>
        </w:rPr>
        <w:t>205</w:t>
      </w:r>
      <w:r>
        <w:rPr>
          <w:color w:val="auto"/>
          <w:highlight w:val="none"/>
        </w:rPr>
        <w:fldChar w:fldCharType="end"/>
      </w:r>
      <w:r>
        <w:rPr>
          <w:color w:val="auto"/>
          <w:highlight w:val="none"/>
        </w:rPr>
        <w:fldChar w:fldCharType="end"/>
      </w:r>
    </w:p>
    <w:p w14:paraId="649FBF16">
      <w:pPr>
        <w:pStyle w:val="31"/>
        <w:tabs>
          <w:tab w:val="right" w:leader="dot" w:pos="9459"/>
        </w:tabs>
        <w:rPr>
          <w:rFonts w:ascii="Calibri" w:hAnsi="Calibri"/>
          <w:b w:val="0"/>
          <w:bCs w:val="0"/>
          <w: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"_Toc57820643"</w:instrText>
      </w:r>
      <w:r>
        <w:rPr>
          <w:rStyle w:val="53"/>
          <w:color w:val="auto"/>
          <w:highlight w:val="none"/>
        </w:rPr>
        <w:instrText xml:space="preserve"> </w:instrText>
      </w:r>
      <w:r>
        <w:rPr>
          <w:color w:val="auto"/>
          <w:highlight w:val="none"/>
        </w:rPr>
        <w:fldChar w:fldCharType="separate"/>
      </w:r>
      <w:r>
        <w:rPr>
          <w:rStyle w:val="53"/>
          <w:rFonts w:hint="eastAsia" w:ascii="宋体" w:hAnsi="宋体"/>
          <w:color w:val="auto"/>
          <w:highlight w:val="none"/>
        </w:rPr>
        <w:t>第</w:t>
      </w:r>
      <w:r>
        <w:rPr>
          <w:rStyle w:val="53"/>
          <w:rFonts w:ascii="宋体" w:hAnsi="宋体"/>
          <w:color w:val="auto"/>
          <w:highlight w:val="none"/>
        </w:rPr>
        <w:t xml:space="preserve"> </w:t>
      </w:r>
      <w:r>
        <w:rPr>
          <w:rStyle w:val="53"/>
          <w:rFonts w:hint="eastAsia" w:ascii="宋体" w:hAnsi="宋体"/>
          <w:color w:val="auto"/>
          <w:highlight w:val="none"/>
        </w:rPr>
        <w:t>三</w:t>
      </w:r>
      <w:r>
        <w:rPr>
          <w:rStyle w:val="53"/>
          <w:rFonts w:ascii="宋体" w:hAnsi="宋体"/>
          <w:color w:val="auto"/>
          <w:highlight w:val="none"/>
        </w:rPr>
        <w:t xml:space="preserve"> </w:t>
      </w:r>
      <w:r>
        <w:rPr>
          <w:rStyle w:val="53"/>
          <w:rFonts w:hint="eastAsia" w:ascii="宋体" w:hAnsi="宋体"/>
          <w:color w:val="auto"/>
          <w:highlight w:val="none"/>
        </w:rPr>
        <w:t>卷</w:t>
      </w:r>
      <w:r>
        <w:rPr>
          <w:color w:val="auto"/>
          <w:highlight w:val="none"/>
        </w:rPr>
        <w:tab/>
      </w:r>
      <w:r>
        <w:rPr>
          <w:color w:val="auto"/>
          <w:highlight w:val="none"/>
        </w:rPr>
        <w:fldChar w:fldCharType="begin"/>
      </w:r>
      <w:r>
        <w:rPr>
          <w:color w:val="auto"/>
          <w:highlight w:val="none"/>
        </w:rPr>
        <w:instrText xml:space="preserve"> PAGEREF _Toc57820643 \h </w:instrText>
      </w:r>
      <w:r>
        <w:rPr>
          <w:color w:val="auto"/>
          <w:highlight w:val="none"/>
        </w:rPr>
        <w:fldChar w:fldCharType="separate"/>
      </w:r>
      <w:r>
        <w:rPr>
          <w:color w:val="auto"/>
          <w:highlight w:val="none"/>
        </w:rPr>
        <w:t>206</w:t>
      </w:r>
      <w:r>
        <w:rPr>
          <w:color w:val="auto"/>
          <w:highlight w:val="none"/>
        </w:rPr>
        <w:fldChar w:fldCharType="end"/>
      </w:r>
      <w:r>
        <w:rPr>
          <w:color w:val="auto"/>
          <w:highlight w:val="none"/>
        </w:rPr>
        <w:fldChar w:fldCharType="end"/>
      </w:r>
    </w:p>
    <w:p w14:paraId="4A05BE7C">
      <w:pPr>
        <w:pStyle w:val="31"/>
        <w:tabs>
          <w:tab w:val="right" w:leader="dot" w:pos="9459"/>
        </w:tabs>
        <w:rPr>
          <w:rFonts w:ascii="Calibri" w:hAnsi="Calibri"/>
          <w:b w:val="0"/>
          <w:bCs w:val="0"/>
          <w: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"_Toc57820644"</w:instrText>
      </w:r>
      <w:r>
        <w:rPr>
          <w:rStyle w:val="53"/>
          <w:color w:val="auto"/>
          <w:highlight w:val="none"/>
        </w:rPr>
        <w:instrText xml:space="preserve"> </w:instrText>
      </w:r>
      <w:r>
        <w:rPr>
          <w:color w:val="auto"/>
          <w:highlight w:val="none"/>
        </w:rPr>
        <w:fldChar w:fldCharType="separate"/>
      </w:r>
      <w:r>
        <w:rPr>
          <w:rStyle w:val="53"/>
          <w:rFonts w:hint="eastAsia" w:ascii="宋体" w:hAnsi="宋体"/>
          <w:color w:val="auto"/>
          <w:highlight w:val="none"/>
        </w:rPr>
        <w:t>第七章</w:t>
      </w:r>
      <w:r>
        <w:rPr>
          <w:rStyle w:val="53"/>
          <w:rFonts w:ascii="宋体" w:hAnsi="宋体"/>
          <w:color w:val="auto"/>
          <w:highlight w:val="none"/>
        </w:rPr>
        <w:t xml:space="preserve">  </w:t>
      </w:r>
      <w:r>
        <w:rPr>
          <w:rStyle w:val="53"/>
          <w:rFonts w:hint="eastAsia" w:ascii="宋体" w:hAnsi="宋体"/>
          <w:color w:val="auto"/>
          <w:highlight w:val="none"/>
        </w:rPr>
        <w:t>技术标准和要求</w:t>
      </w:r>
      <w:r>
        <w:rPr>
          <w:color w:val="auto"/>
          <w:highlight w:val="none"/>
        </w:rPr>
        <w:tab/>
      </w:r>
      <w:r>
        <w:rPr>
          <w:color w:val="auto"/>
          <w:highlight w:val="none"/>
        </w:rPr>
        <w:fldChar w:fldCharType="begin"/>
      </w:r>
      <w:r>
        <w:rPr>
          <w:color w:val="auto"/>
          <w:highlight w:val="none"/>
        </w:rPr>
        <w:instrText xml:space="preserve"> PAGEREF _Toc57820644 \h </w:instrText>
      </w:r>
      <w:r>
        <w:rPr>
          <w:color w:val="auto"/>
          <w:highlight w:val="none"/>
        </w:rPr>
        <w:fldChar w:fldCharType="separate"/>
      </w:r>
      <w:r>
        <w:rPr>
          <w:color w:val="auto"/>
          <w:highlight w:val="none"/>
        </w:rPr>
        <w:t>207</w:t>
      </w:r>
      <w:r>
        <w:rPr>
          <w:color w:val="auto"/>
          <w:highlight w:val="none"/>
        </w:rPr>
        <w:fldChar w:fldCharType="end"/>
      </w:r>
      <w:r>
        <w:rPr>
          <w:color w:val="auto"/>
          <w:highlight w:val="none"/>
        </w:rPr>
        <w:fldChar w:fldCharType="end"/>
      </w:r>
    </w:p>
    <w:p w14:paraId="7B2218A8">
      <w:pPr>
        <w:pStyle w:val="31"/>
        <w:tabs>
          <w:tab w:val="right" w:leader="dot" w:pos="9459"/>
        </w:tabs>
        <w:rPr>
          <w:rFonts w:ascii="Calibri" w:hAnsi="Calibri"/>
          <w:b w:val="0"/>
          <w:bCs w:val="0"/>
          <w: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"_Toc57820645"</w:instrText>
      </w:r>
      <w:r>
        <w:rPr>
          <w:rStyle w:val="53"/>
          <w:color w:val="auto"/>
          <w:highlight w:val="none"/>
        </w:rPr>
        <w:instrText xml:space="preserve"> </w:instrText>
      </w:r>
      <w:r>
        <w:rPr>
          <w:color w:val="auto"/>
          <w:highlight w:val="none"/>
        </w:rPr>
        <w:fldChar w:fldCharType="separate"/>
      </w:r>
      <w:r>
        <w:rPr>
          <w:rStyle w:val="53"/>
          <w:rFonts w:hint="eastAsia" w:ascii="宋体" w:hAnsi="宋体"/>
          <w:color w:val="auto"/>
          <w:highlight w:val="none"/>
        </w:rPr>
        <w:t>第</w:t>
      </w:r>
      <w:r>
        <w:rPr>
          <w:rStyle w:val="53"/>
          <w:rFonts w:ascii="宋体" w:hAnsi="宋体"/>
          <w:color w:val="auto"/>
          <w:highlight w:val="none"/>
        </w:rPr>
        <w:t xml:space="preserve"> </w:t>
      </w:r>
      <w:r>
        <w:rPr>
          <w:rStyle w:val="53"/>
          <w:rFonts w:hint="eastAsia" w:ascii="宋体" w:hAnsi="宋体"/>
          <w:color w:val="auto"/>
          <w:highlight w:val="none"/>
        </w:rPr>
        <w:t>四</w:t>
      </w:r>
      <w:r>
        <w:rPr>
          <w:rStyle w:val="53"/>
          <w:rFonts w:ascii="宋体" w:hAnsi="宋体"/>
          <w:color w:val="auto"/>
          <w:highlight w:val="none"/>
        </w:rPr>
        <w:t xml:space="preserve"> </w:t>
      </w:r>
      <w:r>
        <w:rPr>
          <w:rStyle w:val="53"/>
          <w:rFonts w:hint="eastAsia" w:ascii="宋体" w:hAnsi="宋体"/>
          <w:color w:val="auto"/>
          <w:highlight w:val="none"/>
        </w:rPr>
        <w:t>卷</w:t>
      </w:r>
      <w:r>
        <w:rPr>
          <w:color w:val="auto"/>
          <w:highlight w:val="none"/>
        </w:rPr>
        <w:tab/>
      </w:r>
      <w:r>
        <w:rPr>
          <w:color w:val="auto"/>
          <w:highlight w:val="none"/>
        </w:rPr>
        <w:fldChar w:fldCharType="begin"/>
      </w:r>
      <w:r>
        <w:rPr>
          <w:color w:val="auto"/>
          <w:highlight w:val="none"/>
        </w:rPr>
        <w:instrText xml:space="preserve"> PAGEREF _Toc57820645 \h </w:instrText>
      </w:r>
      <w:r>
        <w:rPr>
          <w:color w:val="auto"/>
          <w:highlight w:val="none"/>
        </w:rPr>
        <w:fldChar w:fldCharType="separate"/>
      </w:r>
      <w:r>
        <w:rPr>
          <w:color w:val="auto"/>
          <w:highlight w:val="none"/>
        </w:rPr>
        <w:t>208</w:t>
      </w:r>
      <w:r>
        <w:rPr>
          <w:color w:val="auto"/>
          <w:highlight w:val="none"/>
        </w:rPr>
        <w:fldChar w:fldCharType="end"/>
      </w:r>
      <w:r>
        <w:rPr>
          <w:color w:val="auto"/>
          <w:highlight w:val="none"/>
        </w:rPr>
        <w:fldChar w:fldCharType="end"/>
      </w:r>
    </w:p>
    <w:p w14:paraId="23A92946">
      <w:pPr>
        <w:pStyle w:val="31"/>
        <w:tabs>
          <w:tab w:val="right" w:leader="dot" w:pos="9459"/>
        </w:tabs>
        <w:rPr>
          <w:rFonts w:ascii="Calibri" w:hAnsi="Calibri"/>
          <w:b w:val="0"/>
          <w:bCs w:val="0"/>
          <w: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"_Toc57820646"</w:instrText>
      </w:r>
      <w:r>
        <w:rPr>
          <w:rStyle w:val="53"/>
          <w:color w:val="auto"/>
          <w:highlight w:val="none"/>
        </w:rPr>
        <w:instrText xml:space="preserve"> </w:instrText>
      </w:r>
      <w:r>
        <w:rPr>
          <w:color w:val="auto"/>
          <w:highlight w:val="none"/>
        </w:rPr>
        <w:fldChar w:fldCharType="separate"/>
      </w:r>
      <w:r>
        <w:rPr>
          <w:rStyle w:val="53"/>
          <w:rFonts w:hint="eastAsia" w:ascii="宋体" w:hAnsi="宋体"/>
          <w:color w:val="auto"/>
          <w:highlight w:val="none"/>
        </w:rPr>
        <w:t>第八章</w:t>
      </w:r>
      <w:r>
        <w:rPr>
          <w:rStyle w:val="53"/>
          <w:rFonts w:ascii="宋体" w:hAnsi="宋体"/>
          <w:color w:val="auto"/>
          <w:highlight w:val="none"/>
        </w:rPr>
        <w:t xml:space="preserve">  </w:t>
      </w:r>
      <w:r>
        <w:rPr>
          <w:rStyle w:val="53"/>
          <w:rFonts w:hint="eastAsia" w:ascii="宋体" w:hAnsi="宋体"/>
          <w:color w:val="auto"/>
          <w:highlight w:val="none"/>
        </w:rPr>
        <w:t>投标文件格式</w:t>
      </w:r>
      <w:r>
        <w:rPr>
          <w:color w:val="auto"/>
          <w:highlight w:val="none"/>
        </w:rPr>
        <w:tab/>
      </w:r>
      <w:r>
        <w:rPr>
          <w:color w:val="auto"/>
          <w:highlight w:val="none"/>
        </w:rPr>
        <w:fldChar w:fldCharType="begin"/>
      </w:r>
      <w:r>
        <w:rPr>
          <w:color w:val="auto"/>
          <w:highlight w:val="none"/>
        </w:rPr>
        <w:instrText xml:space="preserve"> PAGEREF _Toc57820646 \h </w:instrText>
      </w:r>
      <w:r>
        <w:rPr>
          <w:color w:val="auto"/>
          <w:highlight w:val="none"/>
        </w:rPr>
        <w:fldChar w:fldCharType="separate"/>
      </w:r>
      <w:r>
        <w:rPr>
          <w:color w:val="auto"/>
          <w:highlight w:val="none"/>
        </w:rPr>
        <w:t>209</w:t>
      </w:r>
      <w:r>
        <w:rPr>
          <w:color w:val="auto"/>
          <w:highlight w:val="none"/>
        </w:rPr>
        <w:fldChar w:fldCharType="end"/>
      </w:r>
      <w:r>
        <w:rPr>
          <w:color w:val="auto"/>
          <w:highlight w:val="none"/>
        </w:rPr>
        <w:fldChar w:fldCharType="end"/>
      </w:r>
    </w:p>
    <w:p w14:paraId="40F17CF3">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"_Toc57820647"</w:instrText>
      </w:r>
      <w:r>
        <w:rPr>
          <w:rStyle w:val="53"/>
          <w:color w:val="auto"/>
          <w:highlight w:val="none"/>
        </w:rPr>
        <w:instrText xml:space="preserve"> </w:instrText>
      </w:r>
      <w:r>
        <w:rPr>
          <w:color w:val="auto"/>
          <w:highlight w:val="none"/>
        </w:rPr>
        <w:fldChar w:fldCharType="separate"/>
      </w:r>
      <w:r>
        <w:rPr>
          <w:rStyle w:val="53"/>
          <w:rFonts w:hint="eastAsia" w:ascii="宋体" w:hAnsi="宋体"/>
          <w:color w:val="auto"/>
          <w:highlight w:val="none"/>
        </w:rPr>
        <w:t>一、投标函部分</w:t>
      </w:r>
      <w:r>
        <w:rPr>
          <w:color w:val="auto"/>
          <w:highlight w:val="none"/>
        </w:rPr>
        <w:tab/>
      </w:r>
      <w:r>
        <w:rPr>
          <w:color w:val="auto"/>
          <w:highlight w:val="none"/>
        </w:rPr>
        <w:fldChar w:fldCharType="begin"/>
      </w:r>
      <w:r>
        <w:rPr>
          <w:color w:val="auto"/>
          <w:highlight w:val="none"/>
        </w:rPr>
        <w:instrText xml:space="preserve"> PAGEREF _Toc57820647 \h </w:instrText>
      </w:r>
      <w:r>
        <w:rPr>
          <w:color w:val="auto"/>
          <w:highlight w:val="none"/>
        </w:rPr>
        <w:fldChar w:fldCharType="separate"/>
      </w:r>
      <w:r>
        <w:rPr>
          <w:color w:val="auto"/>
          <w:highlight w:val="none"/>
        </w:rPr>
        <w:t>211</w:t>
      </w:r>
      <w:r>
        <w:rPr>
          <w:color w:val="auto"/>
          <w:highlight w:val="none"/>
        </w:rPr>
        <w:fldChar w:fldCharType="end"/>
      </w:r>
      <w:r>
        <w:rPr>
          <w:color w:val="auto"/>
          <w:highlight w:val="none"/>
        </w:rPr>
        <w:fldChar w:fldCharType="end"/>
      </w:r>
    </w:p>
    <w:p w14:paraId="3B000FA4">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"_Toc57820648"</w:instrText>
      </w:r>
      <w:r>
        <w:rPr>
          <w:rStyle w:val="53"/>
          <w:i w:val="0"/>
          <w:color w:val="auto"/>
          <w:highlight w:val="none"/>
        </w:rPr>
        <w:instrText xml:space="preserve"> </w:instrText>
      </w:r>
      <w:r>
        <w:rPr>
          <w:i w:val="0"/>
          <w:color w:val="auto"/>
          <w:highlight w:val="none"/>
        </w:rPr>
        <w:fldChar w:fldCharType="separate"/>
      </w:r>
      <w:r>
        <w:rPr>
          <w:rStyle w:val="53"/>
          <w:rFonts w:hint="eastAsia" w:ascii="宋体" w:hAnsi="宋体"/>
          <w:i w:val="0"/>
          <w:color w:val="auto"/>
          <w:highlight w:val="none"/>
        </w:rPr>
        <w:t>（一）投标函</w:t>
      </w:r>
      <w:r>
        <w:rPr>
          <w:i w:val="0"/>
          <w:color w:val="auto"/>
          <w:highlight w:val="none"/>
        </w:rPr>
        <w:tab/>
      </w:r>
      <w:r>
        <w:rPr>
          <w:i w:val="0"/>
          <w:color w:val="auto"/>
          <w:highlight w:val="none"/>
        </w:rPr>
        <w:fldChar w:fldCharType="begin"/>
      </w:r>
      <w:r>
        <w:rPr>
          <w:i w:val="0"/>
          <w:color w:val="auto"/>
          <w:highlight w:val="none"/>
        </w:rPr>
        <w:instrText xml:space="preserve"> PAGEREF _Toc57820648 \h </w:instrText>
      </w:r>
      <w:r>
        <w:rPr>
          <w:i w:val="0"/>
          <w:color w:val="auto"/>
          <w:highlight w:val="none"/>
        </w:rPr>
        <w:fldChar w:fldCharType="separate"/>
      </w:r>
      <w:r>
        <w:rPr>
          <w:i w:val="0"/>
          <w:color w:val="auto"/>
          <w:highlight w:val="none"/>
        </w:rPr>
        <w:t>214</w:t>
      </w:r>
      <w:r>
        <w:rPr>
          <w:i w:val="0"/>
          <w:color w:val="auto"/>
          <w:highlight w:val="none"/>
        </w:rPr>
        <w:fldChar w:fldCharType="end"/>
      </w:r>
      <w:r>
        <w:rPr>
          <w:i w:val="0"/>
          <w:color w:val="auto"/>
          <w:highlight w:val="none"/>
        </w:rPr>
        <w:fldChar w:fldCharType="end"/>
      </w:r>
    </w:p>
    <w:p w14:paraId="02C19A82">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"_Toc57820649"</w:instrText>
      </w:r>
      <w:r>
        <w:rPr>
          <w:rStyle w:val="53"/>
          <w:i w:val="0"/>
          <w:color w:val="auto"/>
          <w:highlight w:val="none"/>
        </w:rPr>
        <w:instrText xml:space="preserve"> </w:instrText>
      </w:r>
      <w:r>
        <w:rPr>
          <w:i w:val="0"/>
          <w:color w:val="auto"/>
          <w:highlight w:val="none"/>
        </w:rPr>
        <w:fldChar w:fldCharType="separate"/>
      </w:r>
      <w:r>
        <w:rPr>
          <w:rStyle w:val="53"/>
          <w:rFonts w:hint="eastAsia" w:ascii="宋体" w:hAnsi="宋体"/>
          <w:i w:val="0"/>
          <w:color w:val="auto"/>
          <w:highlight w:val="none"/>
        </w:rPr>
        <w:t>（二）投标函附录</w:t>
      </w:r>
      <w:r>
        <w:rPr>
          <w:i w:val="0"/>
          <w:color w:val="auto"/>
          <w:highlight w:val="none"/>
        </w:rPr>
        <w:tab/>
      </w:r>
      <w:r>
        <w:rPr>
          <w:i w:val="0"/>
          <w:color w:val="auto"/>
          <w:highlight w:val="none"/>
        </w:rPr>
        <w:fldChar w:fldCharType="begin"/>
      </w:r>
      <w:r>
        <w:rPr>
          <w:i w:val="0"/>
          <w:color w:val="auto"/>
          <w:highlight w:val="none"/>
        </w:rPr>
        <w:instrText xml:space="preserve"> PAGEREF _Toc57820649 \h </w:instrText>
      </w:r>
      <w:r>
        <w:rPr>
          <w:i w:val="0"/>
          <w:color w:val="auto"/>
          <w:highlight w:val="none"/>
        </w:rPr>
        <w:fldChar w:fldCharType="separate"/>
      </w:r>
      <w:r>
        <w:rPr>
          <w:i w:val="0"/>
          <w:color w:val="auto"/>
          <w:highlight w:val="none"/>
        </w:rPr>
        <w:t>215</w:t>
      </w:r>
      <w:r>
        <w:rPr>
          <w:i w:val="0"/>
          <w:color w:val="auto"/>
          <w:highlight w:val="none"/>
        </w:rPr>
        <w:fldChar w:fldCharType="end"/>
      </w:r>
      <w:r>
        <w:rPr>
          <w:i w:val="0"/>
          <w:color w:val="auto"/>
          <w:highlight w:val="none"/>
        </w:rPr>
        <w:fldChar w:fldCharType="end"/>
      </w:r>
    </w:p>
    <w:p w14:paraId="408402F4">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"_Toc57820650"</w:instrText>
      </w:r>
      <w:r>
        <w:rPr>
          <w:rStyle w:val="53"/>
          <w:i w:val="0"/>
          <w:color w:val="auto"/>
          <w:highlight w:val="none"/>
        </w:rPr>
        <w:instrText xml:space="preserve"> </w:instrText>
      </w:r>
      <w:r>
        <w:rPr>
          <w:i w:val="0"/>
          <w:color w:val="auto"/>
          <w:highlight w:val="none"/>
        </w:rPr>
        <w:fldChar w:fldCharType="separate"/>
      </w:r>
      <w:r>
        <w:rPr>
          <w:rStyle w:val="53"/>
          <w:rFonts w:hint="eastAsia" w:ascii="宋体" w:hAnsi="宋体"/>
          <w:i w:val="0"/>
          <w:color w:val="auto"/>
          <w:highlight w:val="none"/>
        </w:rPr>
        <w:t>（三）法定代表人身份证明或附有法定代表人身份证明的授权委托书</w:t>
      </w:r>
      <w:r>
        <w:rPr>
          <w:i w:val="0"/>
          <w:color w:val="auto"/>
          <w:highlight w:val="none"/>
        </w:rPr>
        <w:tab/>
      </w:r>
      <w:r>
        <w:rPr>
          <w:i w:val="0"/>
          <w:color w:val="auto"/>
          <w:highlight w:val="none"/>
        </w:rPr>
        <w:fldChar w:fldCharType="begin"/>
      </w:r>
      <w:r>
        <w:rPr>
          <w:i w:val="0"/>
          <w:color w:val="auto"/>
          <w:highlight w:val="none"/>
        </w:rPr>
        <w:instrText xml:space="preserve"> PAGEREF _Toc57820650 \h </w:instrText>
      </w:r>
      <w:r>
        <w:rPr>
          <w:i w:val="0"/>
          <w:color w:val="auto"/>
          <w:highlight w:val="none"/>
        </w:rPr>
        <w:fldChar w:fldCharType="separate"/>
      </w:r>
      <w:r>
        <w:rPr>
          <w:i w:val="0"/>
          <w:color w:val="auto"/>
          <w:highlight w:val="none"/>
        </w:rPr>
        <w:t>216</w:t>
      </w:r>
      <w:r>
        <w:rPr>
          <w:i w:val="0"/>
          <w:color w:val="auto"/>
          <w:highlight w:val="none"/>
        </w:rPr>
        <w:fldChar w:fldCharType="end"/>
      </w:r>
      <w:r>
        <w:rPr>
          <w:i w:val="0"/>
          <w:color w:val="auto"/>
          <w:highlight w:val="none"/>
        </w:rPr>
        <w:fldChar w:fldCharType="end"/>
      </w:r>
    </w:p>
    <w:p w14:paraId="71C3A4C8">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"_Toc57820651"</w:instrText>
      </w:r>
      <w:r>
        <w:rPr>
          <w:rStyle w:val="53"/>
          <w:i w:val="0"/>
          <w:color w:val="auto"/>
          <w:highlight w:val="none"/>
        </w:rPr>
        <w:instrText xml:space="preserve"> </w:instrText>
      </w:r>
      <w:r>
        <w:rPr>
          <w:i w:val="0"/>
          <w:color w:val="auto"/>
          <w:highlight w:val="none"/>
        </w:rPr>
        <w:fldChar w:fldCharType="separate"/>
      </w:r>
      <w:r>
        <w:rPr>
          <w:rStyle w:val="53"/>
          <w:rFonts w:hint="eastAsia" w:ascii="宋体" w:hAnsi="宋体"/>
          <w:i w:val="0"/>
          <w:color w:val="auto"/>
          <w:highlight w:val="none"/>
        </w:rPr>
        <w:t>（四）低价风险担保缴纳承诺书</w:t>
      </w:r>
      <w:r>
        <w:rPr>
          <w:i w:val="0"/>
          <w:color w:val="auto"/>
          <w:highlight w:val="none"/>
        </w:rPr>
        <w:tab/>
      </w:r>
      <w:r>
        <w:rPr>
          <w:i w:val="0"/>
          <w:color w:val="auto"/>
          <w:highlight w:val="none"/>
        </w:rPr>
        <w:fldChar w:fldCharType="begin"/>
      </w:r>
      <w:r>
        <w:rPr>
          <w:i w:val="0"/>
          <w:color w:val="auto"/>
          <w:highlight w:val="none"/>
        </w:rPr>
        <w:instrText xml:space="preserve"> PAGEREF _Toc57820651 \h </w:instrText>
      </w:r>
      <w:r>
        <w:rPr>
          <w:i w:val="0"/>
          <w:color w:val="auto"/>
          <w:highlight w:val="none"/>
        </w:rPr>
        <w:fldChar w:fldCharType="separate"/>
      </w:r>
      <w:r>
        <w:rPr>
          <w:i w:val="0"/>
          <w:color w:val="auto"/>
          <w:highlight w:val="none"/>
        </w:rPr>
        <w:t>218</w:t>
      </w:r>
      <w:r>
        <w:rPr>
          <w:i w:val="0"/>
          <w:color w:val="auto"/>
          <w:highlight w:val="none"/>
        </w:rPr>
        <w:fldChar w:fldCharType="end"/>
      </w:r>
      <w:r>
        <w:rPr>
          <w:i w:val="0"/>
          <w:color w:val="auto"/>
          <w:highlight w:val="none"/>
        </w:rPr>
        <w:fldChar w:fldCharType="end"/>
      </w:r>
    </w:p>
    <w:p w14:paraId="719B22B7">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"_Toc57820652"</w:instrText>
      </w:r>
      <w:r>
        <w:rPr>
          <w:rStyle w:val="53"/>
          <w:i w:val="0"/>
          <w:color w:val="auto"/>
          <w:highlight w:val="none"/>
        </w:rPr>
        <w:instrText xml:space="preserve"> </w:instrText>
      </w:r>
      <w:r>
        <w:rPr>
          <w:i w:val="0"/>
          <w:color w:val="auto"/>
          <w:highlight w:val="none"/>
        </w:rPr>
        <w:fldChar w:fldCharType="separate"/>
      </w:r>
      <w:r>
        <w:rPr>
          <w:rStyle w:val="53"/>
          <w:rFonts w:hint="eastAsia" w:ascii="宋体" w:hAnsi="宋体"/>
          <w:i w:val="0"/>
          <w:color w:val="auto"/>
          <w:highlight w:val="none"/>
        </w:rPr>
        <w:t>（五）联合体协议书（如有）</w:t>
      </w:r>
      <w:r>
        <w:rPr>
          <w:i w:val="0"/>
          <w:color w:val="auto"/>
          <w:highlight w:val="none"/>
        </w:rPr>
        <w:tab/>
      </w:r>
      <w:r>
        <w:rPr>
          <w:i w:val="0"/>
          <w:color w:val="auto"/>
          <w:highlight w:val="none"/>
        </w:rPr>
        <w:fldChar w:fldCharType="begin"/>
      </w:r>
      <w:r>
        <w:rPr>
          <w:i w:val="0"/>
          <w:color w:val="auto"/>
          <w:highlight w:val="none"/>
        </w:rPr>
        <w:instrText xml:space="preserve"> PAGEREF _Toc57820652 \h </w:instrText>
      </w:r>
      <w:r>
        <w:rPr>
          <w:i w:val="0"/>
          <w:color w:val="auto"/>
          <w:highlight w:val="none"/>
        </w:rPr>
        <w:fldChar w:fldCharType="separate"/>
      </w:r>
      <w:r>
        <w:rPr>
          <w:i w:val="0"/>
          <w:color w:val="auto"/>
          <w:highlight w:val="none"/>
        </w:rPr>
        <w:t>219</w:t>
      </w:r>
      <w:r>
        <w:rPr>
          <w:i w:val="0"/>
          <w:color w:val="auto"/>
          <w:highlight w:val="none"/>
        </w:rPr>
        <w:fldChar w:fldCharType="end"/>
      </w:r>
      <w:r>
        <w:rPr>
          <w:i w:val="0"/>
          <w:color w:val="auto"/>
          <w:highlight w:val="none"/>
        </w:rPr>
        <w:fldChar w:fldCharType="end"/>
      </w:r>
    </w:p>
    <w:p w14:paraId="5820FFEA">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"_Toc57820653"</w:instrText>
      </w:r>
      <w:r>
        <w:rPr>
          <w:rStyle w:val="53"/>
          <w:color w:val="auto"/>
          <w:highlight w:val="none"/>
        </w:rPr>
        <w:instrText xml:space="preserve"> </w:instrText>
      </w:r>
      <w:r>
        <w:rPr>
          <w:color w:val="auto"/>
          <w:highlight w:val="none"/>
        </w:rPr>
        <w:fldChar w:fldCharType="separate"/>
      </w:r>
      <w:r>
        <w:rPr>
          <w:rStyle w:val="53"/>
          <w:rFonts w:hint="eastAsia" w:ascii="宋体" w:hAnsi="宋体"/>
          <w:color w:val="auto"/>
          <w:highlight w:val="none"/>
        </w:rPr>
        <w:t>二、经济部分</w:t>
      </w:r>
      <w:r>
        <w:rPr>
          <w:color w:val="auto"/>
          <w:highlight w:val="none"/>
        </w:rPr>
        <w:tab/>
      </w:r>
      <w:r>
        <w:rPr>
          <w:color w:val="auto"/>
          <w:highlight w:val="none"/>
        </w:rPr>
        <w:fldChar w:fldCharType="begin"/>
      </w:r>
      <w:r>
        <w:rPr>
          <w:color w:val="auto"/>
          <w:highlight w:val="none"/>
        </w:rPr>
        <w:instrText xml:space="preserve"> PAGEREF _Toc57820653 \h </w:instrText>
      </w:r>
      <w:r>
        <w:rPr>
          <w:color w:val="auto"/>
          <w:highlight w:val="none"/>
        </w:rPr>
        <w:fldChar w:fldCharType="separate"/>
      </w:r>
      <w:r>
        <w:rPr>
          <w:color w:val="auto"/>
          <w:highlight w:val="none"/>
        </w:rPr>
        <w:t>220</w:t>
      </w:r>
      <w:r>
        <w:rPr>
          <w:color w:val="auto"/>
          <w:highlight w:val="none"/>
        </w:rPr>
        <w:fldChar w:fldCharType="end"/>
      </w:r>
      <w:r>
        <w:rPr>
          <w:color w:val="auto"/>
          <w:highlight w:val="none"/>
        </w:rPr>
        <w:fldChar w:fldCharType="end"/>
      </w:r>
    </w:p>
    <w:p w14:paraId="0DB9294E">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"_Toc57820654"</w:instrText>
      </w:r>
      <w:r>
        <w:rPr>
          <w:rStyle w:val="53"/>
          <w:i w:val="0"/>
          <w:color w:val="auto"/>
          <w:highlight w:val="none"/>
        </w:rPr>
        <w:instrText xml:space="preserve"> </w:instrText>
      </w:r>
      <w:r>
        <w:rPr>
          <w:i w:val="0"/>
          <w:color w:val="auto"/>
          <w:highlight w:val="none"/>
        </w:rPr>
        <w:fldChar w:fldCharType="separate"/>
      </w:r>
      <w:r>
        <w:rPr>
          <w:rStyle w:val="53"/>
          <w:rFonts w:hint="eastAsia" w:ascii="宋体" w:hAnsi="宋体"/>
          <w:i w:val="0"/>
          <w:color w:val="auto"/>
          <w:highlight w:val="none"/>
        </w:rPr>
        <w:t>（一）已标价工程量清单</w:t>
      </w:r>
      <w:r>
        <w:rPr>
          <w:i w:val="0"/>
          <w:color w:val="auto"/>
          <w:highlight w:val="none"/>
        </w:rPr>
        <w:tab/>
      </w:r>
      <w:r>
        <w:rPr>
          <w:i w:val="0"/>
          <w:color w:val="auto"/>
          <w:highlight w:val="none"/>
        </w:rPr>
        <w:fldChar w:fldCharType="begin"/>
      </w:r>
      <w:r>
        <w:rPr>
          <w:i w:val="0"/>
          <w:color w:val="auto"/>
          <w:highlight w:val="none"/>
        </w:rPr>
        <w:instrText xml:space="preserve"> PAGEREF _Toc57820654 \h </w:instrText>
      </w:r>
      <w:r>
        <w:rPr>
          <w:i w:val="0"/>
          <w:color w:val="auto"/>
          <w:highlight w:val="none"/>
        </w:rPr>
        <w:fldChar w:fldCharType="separate"/>
      </w:r>
      <w:r>
        <w:rPr>
          <w:i w:val="0"/>
          <w:color w:val="auto"/>
          <w:highlight w:val="none"/>
        </w:rPr>
        <w:t>223</w:t>
      </w:r>
      <w:r>
        <w:rPr>
          <w:i w:val="0"/>
          <w:color w:val="auto"/>
          <w:highlight w:val="none"/>
        </w:rPr>
        <w:fldChar w:fldCharType="end"/>
      </w:r>
      <w:r>
        <w:rPr>
          <w:i w:val="0"/>
          <w:color w:val="auto"/>
          <w:highlight w:val="none"/>
        </w:rPr>
        <w:fldChar w:fldCharType="end"/>
      </w:r>
    </w:p>
    <w:p w14:paraId="67691BB0">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"_Toc57820655"</w:instrText>
      </w:r>
      <w:r>
        <w:rPr>
          <w:rStyle w:val="53"/>
          <w:color w:val="auto"/>
          <w:highlight w:val="none"/>
        </w:rPr>
        <w:instrText xml:space="preserve"> </w:instrText>
      </w:r>
      <w:r>
        <w:rPr>
          <w:color w:val="auto"/>
          <w:highlight w:val="none"/>
        </w:rPr>
        <w:fldChar w:fldCharType="separate"/>
      </w:r>
      <w:r>
        <w:rPr>
          <w:rStyle w:val="53"/>
          <w:rFonts w:hint="eastAsia" w:ascii="宋体" w:hAnsi="宋体"/>
          <w:color w:val="auto"/>
          <w:highlight w:val="none"/>
        </w:rPr>
        <w:t>三、技术部分</w:t>
      </w:r>
      <w:r>
        <w:rPr>
          <w:color w:val="auto"/>
          <w:highlight w:val="none"/>
        </w:rPr>
        <w:tab/>
      </w:r>
      <w:r>
        <w:rPr>
          <w:color w:val="auto"/>
          <w:highlight w:val="none"/>
        </w:rPr>
        <w:fldChar w:fldCharType="begin"/>
      </w:r>
      <w:r>
        <w:rPr>
          <w:color w:val="auto"/>
          <w:highlight w:val="none"/>
        </w:rPr>
        <w:instrText xml:space="preserve"> PAGEREF _Toc57820655 \h </w:instrText>
      </w:r>
      <w:r>
        <w:rPr>
          <w:color w:val="auto"/>
          <w:highlight w:val="none"/>
        </w:rPr>
        <w:fldChar w:fldCharType="separate"/>
      </w:r>
      <w:r>
        <w:rPr>
          <w:color w:val="auto"/>
          <w:highlight w:val="none"/>
        </w:rPr>
        <w:t>224</w:t>
      </w:r>
      <w:r>
        <w:rPr>
          <w:color w:val="auto"/>
          <w:highlight w:val="none"/>
        </w:rPr>
        <w:fldChar w:fldCharType="end"/>
      </w:r>
      <w:r>
        <w:rPr>
          <w:color w:val="auto"/>
          <w:highlight w:val="none"/>
        </w:rPr>
        <w:fldChar w:fldCharType="end"/>
      </w:r>
    </w:p>
    <w:p w14:paraId="67A08DF2">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"_Toc57820656"</w:instrText>
      </w:r>
      <w:r>
        <w:rPr>
          <w:rStyle w:val="53"/>
          <w:i w:val="0"/>
          <w:color w:val="auto"/>
          <w:highlight w:val="none"/>
        </w:rPr>
        <w:instrText xml:space="preserve"> </w:instrText>
      </w:r>
      <w:r>
        <w:rPr>
          <w:i w:val="0"/>
          <w:color w:val="auto"/>
          <w:highlight w:val="none"/>
        </w:rPr>
        <w:fldChar w:fldCharType="separate"/>
      </w:r>
      <w:r>
        <w:rPr>
          <w:rStyle w:val="53"/>
          <w:rFonts w:hint="eastAsia" w:ascii="宋体" w:hAnsi="宋体"/>
          <w:i w:val="0"/>
          <w:color w:val="auto"/>
          <w:highlight w:val="none"/>
        </w:rPr>
        <w:t>（一）技术方案</w:t>
      </w:r>
      <w:bookmarkStart w:id="7" w:name="_Hlt60057131"/>
      <w:bookmarkStart w:id="8" w:name="_Hlt60057130"/>
      <w:r>
        <w:rPr>
          <w:i w:val="0"/>
          <w:color w:val="auto"/>
          <w:highlight w:val="none"/>
        </w:rPr>
        <w:tab/>
      </w:r>
      <w:bookmarkEnd w:id="7"/>
      <w:bookmarkEnd w:id="8"/>
      <w:r>
        <w:rPr>
          <w:i w:val="0"/>
          <w:color w:val="auto"/>
          <w:highlight w:val="none"/>
        </w:rPr>
        <w:fldChar w:fldCharType="begin"/>
      </w:r>
      <w:r>
        <w:rPr>
          <w:i w:val="0"/>
          <w:color w:val="auto"/>
          <w:highlight w:val="none"/>
        </w:rPr>
        <w:instrText xml:space="preserve"> PAGEREF _Toc57820656 \h </w:instrText>
      </w:r>
      <w:r>
        <w:rPr>
          <w:i w:val="0"/>
          <w:color w:val="auto"/>
          <w:highlight w:val="none"/>
        </w:rPr>
        <w:fldChar w:fldCharType="separate"/>
      </w:r>
      <w:r>
        <w:rPr>
          <w:i w:val="0"/>
          <w:color w:val="auto"/>
          <w:highlight w:val="none"/>
        </w:rPr>
        <w:t>226</w:t>
      </w:r>
      <w:r>
        <w:rPr>
          <w:i w:val="0"/>
          <w:color w:val="auto"/>
          <w:highlight w:val="none"/>
        </w:rPr>
        <w:fldChar w:fldCharType="end"/>
      </w:r>
      <w:r>
        <w:rPr>
          <w:i w:val="0"/>
          <w:color w:val="auto"/>
          <w:highlight w:val="none"/>
        </w:rPr>
        <w:fldChar w:fldCharType="end"/>
      </w:r>
    </w:p>
    <w:p w14:paraId="0CBD9E2D">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"_Toc57820657"</w:instrText>
      </w:r>
      <w:r>
        <w:rPr>
          <w:rStyle w:val="53"/>
          <w:color w:val="auto"/>
          <w:highlight w:val="none"/>
        </w:rPr>
        <w:instrText xml:space="preserve"> </w:instrText>
      </w:r>
      <w:r>
        <w:rPr>
          <w:color w:val="auto"/>
          <w:highlight w:val="none"/>
        </w:rPr>
        <w:fldChar w:fldCharType="separate"/>
      </w:r>
      <w:r>
        <w:rPr>
          <w:rStyle w:val="53"/>
          <w:rFonts w:hint="eastAsia" w:ascii="宋体" w:hAnsi="宋体"/>
          <w:color w:val="auto"/>
          <w:highlight w:val="none"/>
        </w:rPr>
        <w:t>四、资格审查部分</w:t>
      </w:r>
      <w:r>
        <w:rPr>
          <w:color w:val="auto"/>
          <w:highlight w:val="none"/>
        </w:rPr>
        <w:tab/>
      </w:r>
      <w:r>
        <w:rPr>
          <w:color w:val="auto"/>
          <w:highlight w:val="none"/>
        </w:rPr>
        <w:fldChar w:fldCharType="begin"/>
      </w:r>
      <w:r>
        <w:rPr>
          <w:color w:val="auto"/>
          <w:highlight w:val="none"/>
        </w:rPr>
        <w:instrText xml:space="preserve"> PAGEREF _Toc57820657 \h </w:instrText>
      </w:r>
      <w:r>
        <w:rPr>
          <w:color w:val="auto"/>
          <w:highlight w:val="none"/>
        </w:rPr>
        <w:fldChar w:fldCharType="separate"/>
      </w:r>
      <w:r>
        <w:rPr>
          <w:color w:val="auto"/>
          <w:highlight w:val="none"/>
        </w:rPr>
        <w:t>233</w:t>
      </w:r>
      <w:r>
        <w:rPr>
          <w:color w:val="auto"/>
          <w:highlight w:val="none"/>
        </w:rPr>
        <w:fldChar w:fldCharType="end"/>
      </w:r>
      <w:r>
        <w:rPr>
          <w:color w:val="auto"/>
          <w:highlight w:val="none"/>
        </w:rPr>
        <w:fldChar w:fldCharType="end"/>
      </w:r>
    </w:p>
    <w:p w14:paraId="23982805">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"_Toc57820658"</w:instrText>
      </w:r>
      <w:r>
        <w:rPr>
          <w:rStyle w:val="53"/>
          <w:i w:val="0"/>
          <w:color w:val="auto"/>
          <w:highlight w:val="none"/>
        </w:rPr>
        <w:instrText xml:space="preserve"> </w:instrText>
      </w:r>
      <w:r>
        <w:rPr>
          <w:i w:val="0"/>
          <w:color w:val="auto"/>
          <w:highlight w:val="none"/>
        </w:rPr>
        <w:fldChar w:fldCharType="separate"/>
      </w:r>
      <w:r>
        <w:rPr>
          <w:rStyle w:val="53"/>
          <w:rFonts w:hint="eastAsia" w:ascii="宋体" w:hAnsi="宋体"/>
          <w:i w:val="0"/>
          <w:color w:val="auto"/>
          <w:highlight w:val="none"/>
        </w:rPr>
        <w:t>（一）法定代表人身份证明或附有法定代表人身份证明的授权委托书</w:t>
      </w:r>
      <w:r>
        <w:rPr>
          <w:i w:val="0"/>
          <w:color w:val="auto"/>
          <w:highlight w:val="none"/>
        </w:rPr>
        <w:tab/>
      </w:r>
      <w:r>
        <w:rPr>
          <w:i w:val="0"/>
          <w:color w:val="auto"/>
          <w:highlight w:val="none"/>
        </w:rPr>
        <w:fldChar w:fldCharType="begin"/>
      </w:r>
      <w:r>
        <w:rPr>
          <w:i w:val="0"/>
          <w:color w:val="auto"/>
          <w:highlight w:val="none"/>
        </w:rPr>
        <w:instrText xml:space="preserve"> PAGEREF _Toc57820658 \h </w:instrText>
      </w:r>
      <w:r>
        <w:rPr>
          <w:i w:val="0"/>
          <w:color w:val="auto"/>
          <w:highlight w:val="none"/>
        </w:rPr>
        <w:fldChar w:fldCharType="separate"/>
      </w:r>
      <w:r>
        <w:rPr>
          <w:i w:val="0"/>
          <w:color w:val="auto"/>
          <w:highlight w:val="none"/>
        </w:rPr>
        <w:t>236</w:t>
      </w:r>
      <w:r>
        <w:rPr>
          <w:i w:val="0"/>
          <w:color w:val="auto"/>
          <w:highlight w:val="none"/>
        </w:rPr>
        <w:fldChar w:fldCharType="end"/>
      </w:r>
      <w:r>
        <w:rPr>
          <w:i w:val="0"/>
          <w:color w:val="auto"/>
          <w:highlight w:val="none"/>
        </w:rPr>
        <w:fldChar w:fldCharType="end"/>
      </w:r>
    </w:p>
    <w:p w14:paraId="3EEFAE9B">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"_Toc57820659"</w:instrText>
      </w:r>
      <w:r>
        <w:rPr>
          <w:rStyle w:val="53"/>
          <w:i w:val="0"/>
          <w:color w:val="auto"/>
          <w:highlight w:val="none"/>
        </w:rPr>
        <w:instrText xml:space="preserve"> </w:instrText>
      </w:r>
      <w:r>
        <w:rPr>
          <w:i w:val="0"/>
          <w:color w:val="auto"/>
          <w:highlight w:val="none"/>
        </w:rPr>
        <w:fldChar w:fldCharType="separate"/>
      </w:r>
      <w:r>
        <w:rPr>
          <w:rStyle w:val="53"/>
          <w:rFonts w:hint="eastAsia" w:ascii="宋体" w:hAnsi="宋体"/>
          <w:i w:val="0"/>
          <w:color w:val="auto"/>
          <w:highlight w:val="none"/>
        </w:rPr>
        <w:t>（二）联合体协议书（如有）</w:t>
      </w:r>
      <w:r>
        <w:rPr>
          <w:i w:val="0"/>
          <w:color w:val="auto"/>
          <w:highlight w:val="none"/>
        </w:rPr>
        <w:tab/>
      </w:r>
      <w:r>
        <w:rPr>
          <w:i w:val="0"/>
          <w:color w:val="auto"/>
          <w:highlight w:val="none"/>
        </w:rPr>
        <w:fldChar w:fldCharType="begin"/>
      </w:r>
      <w:r>
        <w:rPr>
          <w:i w:val="0"/>
          <w:color w:val="auto"/>
          <w:highlight w:val="none"/>
        </w:rPr>
        <w:instrText xml:space="preserve"> PAGEREF _Toc57820659 \h </w:instrText>
      </w:r>
      <w:r>
        <w:rPr>
          <w:i w:val="0"/>
          <w:color w:val="auto"/>
          <w:highlight w:val="none"/>
        </w:rPr>
        <w:fldChar w:fldCharType="separate"/>
      </w:r>
      <w:r>
        <w:rPr>
          <w:i w:val="0"/>
          <w:color w:val="auto"/>
          <w:highlight w:val="none"/>
        </w:rPr>
        <w:t>238</w:t>
      </w:r>
      <w:r>
        <w:rPr>
          <w:i w:val="0"/>
          <w:color w:val="auto"/>
          <w:highlight w:val="none"/>
        </w:rPr>
        <w:fldChar w:fldCharType="end"/>
      </w:r>
      <w:r>
        <w:rPr>
          <w:i w:val="0"/>
          <w:color w:val="auto"/>
          <w:highlight w:val="none"/>
        </w:rPr>
        <w:fldChar w:fldCharType="end"/>
      </w:r>
    </w:p>
    <w:p w14:paraId="62C4A82F">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"_Toc57820660"</w:instrText>
      </w:r>
      <w:r>
        <w:rPr>
          <w:rStyle w:val="53"/>
          <w:i w:val="0"/>
          <w:color w:val="auto"/>
          <w:highlight w:val="none"/>
        </w:rPr>
        <w:instrText xml:space="preserve"> </w:instrText>
      </w:r>
      <w:r>
        <w:rPr>
          <w:i w:val="0"/>
          <w:color w:val="auto"/>
          <w:highlight w:val="none"/>
        </w:rPr>
        <w:fldChar w:fldCharType="separate"/>
      </w:r>
      <w:r>
        <w:rPr>
          <w:rStyle w:val="53"/>
          <w:rFonts w:hint="eastAsia" w:ascii="宋体" w:hAnsi="宋体"/>
          <w:i w:val="0"/>
          <w:color w:val="auto"/>
          <w:highlight w:val="none"/>
        </w:rPr>
        <w:t>（三）投标人基本情况表</w:t>
      </w:r>
      <w:r>
        <w:rPr>
          <w:i w:val="0"/>
          <w:color w:val="auto"/>
          <w:highlight w:val="none"/>
        </w:rPr>
        <w:tab/>
      </w:r>
      <w:r>
        <w:rPr>
          <w:i w:val="0"/>
          <w:color w:val="auto"/>
          <w:highlight w:val="none"/>
        </w:rPr>
        <w:fldChar w:fldCharType="begin"/>
      </w:r>
      <w:r>
        <w:rPr>
          <w:i w:val="0"/>
          <w:color w:val="auto"/>
          <w:highlight w:val="none"/>
        </w:rPr>
        <w:instrText xml:space="preserve"> PAGEREF _Toc57820660 \h </w:instrText>
      </w:r>
      <w:r>
        <w:rPr>
          <w:i w:val="0"/>
          <w:color w:val="auto"/>
          <w:highlight w:val="none"/>
        </w:rPr>
        <w:fldChar w:fldCharType="separate"/>
      </w:r>
      <w:r>
        <w:rPr>
          <w:i w:val="0"/>
          <w:color w:val="auto"/>
          <w:highlight w:val="none"/>
        </w:rPr>
        <w:t>239</w:t>
      </w:r>
      <w:r>
        <w:rPr>
          <w:i w:val="0"/>
          <w:color w:val="auto"/>
          <w:highlight w:val="none"/>
        </w:rPr>
        <w:fldChar w:fldCharType="end"/>
      </w:r>
      <w:r>
        <w:rPr>
          <w:i w:val="0"/>
          <w:color w:val="auto"/>
          <w:highlight w:val="none"/>
        </w:rPr>
        <w:fldChar w:fldCharType="end"/>
      </w:r>
    </w:p>
    <w:p w14:paraId="7C4F21AD">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"_Toc57820661"</w:instrText>
      </w:r>
      <w:r>
        <w:rPr>
          <w:rStyle w:val="53"/>
          <w:i w:val="0"/>
          <w:color w:val="auto"/>
          <w:highlight w:val="none"/>
        </w:rPr>
        <w:instrText xml:space="preserve"> </w:instrText>
      </w:r>
      <w:r>
        <w:rPr>
          <w:i w:val="0"/>
          <w:color w:val="auto"/>
          <w:highlight w:val="none"/>
        </w:rPr>
        <w:fldChar w:fldCharType="separate"/>
      </w:r>
      <w:r>
        <w:rPr>
          <w:rStyle w:val="53"/>
          <w:rFonts w:hint="eastAsia" w:ascii="宋体" w:hAnsi="宋体"/>
          <w:i w:val="0"/>
          <w:color w:val="auto"/>
          <w:highlight w:val="none"/>
        </w:rPr>
        <w:t>（四）项目管理机构</w:t>
      </w:r>
      <w:r>
        <w:rPr>
          <w:i w:val="0"/>
          <w:color w:val="auto"/>
          <w:highlight w:val="none"/>
        </w:rPr>
        <w:tab/>
      </w:r>
      <w:r>
        <w:rPr>
          <w:i w:val="0"/>
          <w:color w:val="auto"/>
          <w:highlight w:val="none"/>
        </w:rPr>
        <w:fldChar w:fldCharType="begin"/>
      </w:r>
      <w:r>
        <w:rPr>
          <w:i w:val="0"/>
          <w:color w:val="auto"/>
          <w:highlight w:val="none"/>
        </w:rPr>
        <w:instrText xml:space="preserve"> PAGEREF _Toc57820661 \h </w:instrText>
      </w:r>
      <w:r>
        <w:rPr>
          <w:i w:val="0"/>
          <w:color w:val="auto"/>
          <w:highlight w:val="none"/>
        </w:rPr>
        <w:fldChar w:fldCharType="separate"/>
      </w:r>
      <w:r>
        <w:rPr>
          <w:i w:val="0"/>
          <w:color w:val="auto"/>
          <w:highlight w:val="none"/>
        </w:rPr>
        <w:t>240</w:t>
      </w:r>
      <w:r>
        <w:rPr>
          <w:i w:val="0"/>
          <w:color w:val="auto"/>
          <w:highlight w:val="none"/>
        </w:rPr>
        <w:fldChar w:fldCharType="end"/>
      </w:r>
      <w:r>
        <w:rPr>
          <w:i w:val="0"/>
          <w:color w:val="auto"/>
          <w:highlight w:val="none"/>
        </w:rPr>
        <w:fldChar w:fldCharType="end"/>
      </w:r>
    </w:p>
    <w:p w14:paraId="77198695">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"_Toc57820662"</w:instrText>
      </w:r>
      <w:r>
        <w:rPr>
          <w:rStyle w:val="53"/>
          <w:i w:val="0"/>
          <w:color w:val="auto"/>
          <w:highlight w:val="none"/>
        </w:rPr>
        <w:instrText xml:space="preserve"> </w:instrText>
      </w:r>
      <w:r>
        <w:rPr>
          <w:i w:val="0"/>
          <w:color w:val="auto"/>
          <w:highlight w:val="none"/>
        </w:rPr>
        <w:fldChar w:fldCharType="separate"/>
      </w:r>
      <w:r>
        <w:rPr>
          <w:rStyle w:val="53"/>
          <w:rFonts w:hint="eastAsia" w:ascii="宋体" w:hAnsi="宋体"/>
          <w:i w:val="0"/>
          <w:color w:val="auto"/>
          <w:highlight w:val="none"/>
        </w:rPr>
        <w:t>（五）近年财务状况表</w:t>
      </w:r>
      <w:r>
        <w:rPr>
          <w:i w:val="0"/>
          <w:color w:val="auto"/>
          <w:highlight w:val="none"/>
        </w:rPr>
        <w:tab/>
      </w:r>
      <w:r>
        <w:rPr>
          <w:i w:val="0"/>
          <w:color w:val="auto"/>
          <w:highlight w:val="none"/>
        </w:rPr>
        <w:fldChar w:fldCharType="begin"/>
      </w:r>
      <w:r>
        <w:rPr>
          <w:i w:val="0"/>
          <w:color w:val="auto"/>
          <w:highlight w:val="none"/>
        </w:rPr>
        <w:instrText xml:space="preserve"> PAGEREF _Toc57820662 \h </w:instrText>
      </w:r>
      <w:r>
        <w:rPr>
          <w:i w:val="0"/>
          <w:color w:val="auto"/>
          <w:highlight w:val="none"/>
        </w:rPr>
        <w:fldChar w:fldCharType="separate"/>
      </w:r>
      <w:r>
        <w:rPr>
          <w:i w:val="0"/>
          <w:color w:val="auto"/>
          <w:highlight w:val="none"/>
        </w:rPr>
        <w:t>242</w:t>
      </w:r>
      <w:r>
        <w:rPr>
          <w:i w:val="0"/>
          <w:color w:val="auto"/>
          <w:highlight w:val="none"/>
        </w:rPr>
        <w:fldChar w:fldCharType="end"/>
      </w:r>
      <w:r>
        <w:rPr>
          <w:i w:val="0"/>
          <w:color w:val="auto"/>
          <w:highlight w:val="none"/>
        </w:rPr>
        <w:fldChar w:fldCharType="end"/>
      </w:r>
    </w:p>
    <w:p w14:paraId="6E831E0A">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"_Toc57820663"</w:instrText>
      </w:r>
      <w:r>
        <w:rPr>
          <w:rStyle w:val="53"/>
          <w:i w:val="0"/>
          <w:color w:val="auto"/>
          <w:highlight w:val="none"/>
        </w:rPr>
        <w:instrText xml:space="preserve"> </w:instrText>
      </w:r>
      <w:r>
        <w:rPr>
          <w:i w:val="0"/>
          <w:color w:val="auto"/>
          <w:highlight w:val="none"/>
        </w:rPr>
        <w:fldChar w:fldCharType="separate"/>
      </w:r>
      <w:r>
        <w:rPr>
          <w:rStyle w:val="53"/>
          <w:rFonts w:hint="eastAsia" w:ascii="宋体" w:hAnsi="宋体"/>
          <w:i w:val="0"/>
          <w:color w:val="auto"/>
          <w:highlight w:val="none"/>
        </w:rPr>
        <w:t>（六）类似项目情况表</w:t>
      </w:r>
      <w:r>
        <w:rPr>
          <w:i w:val="0"/>
          <w:color w:val="auto"/>
          <w:highlight w:val="none"/>
        </w:rPr>
        <w:tab/>
      </w:r>
      <w:r>
        <w:rPr>
          <w:i w:val="0"/>
          <w:color w:val="auto"/>
          <w:highlight w:val="none"/>
        </w:rPr>
        <w:fldChar w:fldCharType="begin"/>
      </w:r>
      <w:r>
        <w:rPr>
          <w:i w:val="0"/>
          <w:color w:val="auto"/>
          <w:highlight w:val="none"/>
        </w:rPr>
        <w:instrText xml:space="preserve"> PAGEREF _Toc57820663 \h </w:instrText>
      </w:r>
      <w:r>
        <w:rPr>
          <w:i w:val="0"/>
          <w:color w:val="auto"/>
          <w:highlight w:val="none"/>
        </w:rPr>
        <w:fldChar w:fldCharType="separate"/>
      </w:r>
      <w:r>
        <w:rPr>
          <w:i w:val="0"/>
          <w:color w:val="auto"/>
          <w:highlight w:val="none"/>
        </w:rPr>
        <w:t>243</w:t>
      </w:r>
      <w:r>
        <w:rPr>
          <w:i w:val="0"/>
          <w:color w:val="auto"/>
          <w:highlight w:val="none"/>
        </w:rPr>
        <w:fldChar w:fldCharType="end"/>
      </w:r>
      <w:r>
        <w:rPr>
          <w:i w:val="0"/>
          <w:color w:val="auto"/>
          <w:highlight w:val="none"/>
        </w:rPr>
        <w:fldChar w:fldCharType="end"/>
      </w:r>
    </w:p>
    <w:p w14:paraId="2C9A8E5F">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"_Toc57820664"</w:instrText>
      </w:r>
      <w:r>
        <w:rPr>
          <w:rStyle w:val="53"/>
          <w:i w:val="0"/>
          <w:color w:val="auto"/>
          <w:highlight w:val="none"/>
        </w:rPr>
        <w:instrText xml:space="preserve"> </w:instrText>
      </w:r>
      <w:r>
        <w:rPr>
          <w:i w:val="0"/>
          <w:color w:val="auto"/>
          <w:highlight w:val="none"/>
        </w:rPr>
        <w:fldChar w:fldCharType="separate"/>
      </w:r>
      <w:r>
        <w:rPr>
          <w:rStyle w:val="53"/>
          <w:rFonts w:hint="eastAsia" w:ascii="宋体" w:hAnsi="宋体"/>
          <w:i w:val="0"/>
          <w:color w:val="auto"/>
          <w:highlight w:val="none"/>
        </w:rPr>
        <w:t>（七）承诺</w:t>
      </w:r>
      <w:r>
        <w:rPr>
          <w:i w:val="0"/>
          <w:color w:val="auto"/>
          <w:highlight w:val="none"/>
        </w:rPr>
        <w:tab/>
      </w:r>
      <w:r>
        <w:rPr>
          <w:i w:val="0"/>
          <w:color w:val="auto"/>
          <w:highlight w:val="none"/>
        </w:rPr>
        <w:fldChar w:fldCharType="begin"/>
      </w:r>
      <w:r>
        <w:rPr>
          <w:i w:val="0"/>
          <w:color w:val="auto"/>
          <w:highlight w:val="none"/>
        </w:rPr>
        <w:instrText xml:space="preserve"> PAGEREF _Toc57820664 \h </w:instrText>
      </w:r>
      <w:r>
        <w:rPr>
          <w:i w:val="0"/>
          <w:color w:val="auto"/>
          <w:highlight w:val="none"/>
        </w:rPr>
        <w:fldChar w:fldCharType="separate"/>
      </w:r>
      <w:r>
        <w:rPr>
          <w:i w:val="0"/>
          <w:color w:val="auto"/>
          <w:highlight w:val="none"/>
        </w:rPr>
        <w:t>244</w:t>
      </w:r>
      <w:r>
        <w:rPr>
          <w:i w:val="0"/>
          <w:color w:val="auto"/>
          <w:highlight w:val="none"/>
        </w:rPr>
        <w:fldChar w:fldCharType="end"/>
      </w:r>
      <w:r>
        <w:rPr>
          <w:i w:val="0"/>
          <w:color w:val="auto"/>
          <w:highlight w:val="none"/>
        </w:rPr>
        <w:fldChar w:fldCharType="end"/>
      </w:r>
    </w:p>
    <w:p w14:paraId="27148C9E">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"_Toc57820665"</w:instrText>
      </w:r>
      <w:r>
        <w:rPr>
          <w:rStyle w:val="53"/>
          <w:i w:val="0"/>
          <w:color w:val="auto"/>
          <w:highlight w:val="none"/>
        </w:rPr>
        <w:instrText xml:space="preserve"> </w:instrText>
      </w:r>
      <w:r>
        <w:rPr>
          <w:i w:val="0"/>
          <w:color w:val="auto"/>
          <w:highlight w:val="none"/>
        </w:rPr>
        <w:fldChar w:fldCharType="separate"/>
      </w:r>
      <w:r>
        <w:rPr>
          <w:rStyle w:val="53"/>
          <w:rFonts w:hint="eastAsia" w:ascii="宋体" w:hAnsi="宋体"/>
          <w:i w:val="0"/>
          <w:color w:val="auto"/>
          <w:highlight w:val="none"/>
        </w:rPr>
        <w:t>（八）其他资料</w:t>
      </w:r>
      <w:r>
        <w:rPr>
          <w:i w:val="0"/>
          <w:color w:val="auto"/>
          <w:highlight w:val="none"/>
        </w:rPr>
        <w:tab/>
      </w:r>
      <w:r>
        <w:rPr>
          <w:i w:val="0"/>
          <w:color w:val="auto"/>
          <w:highlight w:val="none"/>
        </w:rPr>
        <w:fldChar w:fldCharType="begin"/>
      </w:r>
      <w:r>
        <w:rPr>
          <w:i w:val="0"/>
          <w:color w:val="auto"/>
          <w:highlight w:val="none"/>
        </w:rPr>
        <w:instrText xml:space="preserve"> PAGEREF _Toc57820665 \h </w:instrText>
      </w:r>
      <w:r>
        <w:rPr>
          <w:i w:val="0"/>
          <w:color w:val="auto"/>
          <w:highlight w:val="none"/>
        </w:rPr>
        <w:fldChar w:fldCharType="separate"/>
      </w:r>
      <w:r>
        <w:rPr>
          <w:i w:val="0"/>
          <w:color w:val="auto"/>
          <w:highlight w:val="none"/>
        </w:rPr>
        <w:t>245</w:t>
      </w:r>
      <w:r>
        <w:rPr>
          <w:i w:val="0"/>
          <w:color w:val="auto"/>
          <w:highlight w:val="none"/>
        </w:rPr>
        <w:fldChar w:fldCharType="end"/>
      </w:r>
      <w:r>
        <w:rPr>
          <w:i w:val="0"/>
          <w:color w:val="auto"/>
          <w:highlight w:val="none"/>
        </w:rPr>
        <w:fldChar w:fldCharType="end"/>
      </w:r>
    </w:p>
    <w:p w14:paraId="063763DA">
      <w:pPr>
        <w:rPr>
          <w:rFonts w:ascii="宋体" w:hAnsi="宋体"/>
          <w:color w:val="auto"/>
          <w:highlight w:val="none"/>
        </w:rPr>
      </w:pPr>
      <w:r>
        <w:rPr>
          <w:rFonts w:ascii="宋体" w:hAnsi="宋体"/>
          <w:bCs/>
          <w:color w:val="auto"/>
          <w:szCs w:val="20"/>
          <w:highlight w:val="none"/>
          <w:lang w:val="zh-CN"/>
        </w:rPr>
        <w:fldChar w:fldCharType="end"/>
      </w:r>
    </w:p>
    <w:bookmarkEnd w:id="0"/>
    <w:p w14:paraId="3E7DDFA1">
      <w:pPr>
        <w:spacing w:line="20" w:lineRule="exact"/>
        <w:rPr>
          <w:rFonts w:hint="eastAsia" w:ascii="宋体" w:hAnsi="宋体"/>
          <w:color w:val="auto"/>
          <w:highlight w:val="none"/>
        </w:rPr>
      </w:pPr>
      <w:bookmarkStart w:id="9" w:name="_Toc430530414"/>
    </w:p>
    <w:p w14:paraId="118AC707">
      <w:pPr>
        <w:spacing w:line="20" w:lineRule="exact"/>
        <w:jc w:val="left"/>
        <w:rPr>
          <w:rFonts w:hint="eastAsia" w:ascii="宋体" w:hAnsi="宋体"/>
          <w:color w:val="auto"/>
          <w:highlight w:val="none"/>
        </w:rPr>
        <w:sectPr>
          <w:footerReference r:id="rId9" w:type="default"/>
          <w:pgSz w:w="11907" w:h="16840"/>
          <w:pgMar w:top="1304" w:right="1134" w:bottom="1304" w:left="1304" w:header="851" w:footer="992" w:gutter="0"/>
          <w:pgNumType w:fmt="numberInDash" w:start="1"/>
          <w:cols w:space="720" w:num="1"/>
          <w:docGrid w:linePitch="312" w:charSpace="0"/>
        </w:sectPr>
      </w:pPr>
    </w:p>
    <w:bookmarkEnd w:id="9"/>
    <w:p w14:paraId="5DF2B385">
      <w:pPr>
        <w:spacing w:line="360" w:lineRule="auto"/>
        <w:rPr>
          <w:rFonts w:hint="eastAsia" w:ascii="宋体" w:hAnsi="宋体"/>
          <w:color w:val="auto"/>
          <w:highlight w:val="none"/>
        </w:rPr>
      </w:pPr>
    </w:p>
    <w:p w14:paraId="3C379986">
      <w:pPr>
        <w:pStyle w:val="3"/>
        <w:spacing w:before="0" w:after="0" w:line="480" w:lineRule="auto"/>
        <w:jc w:val="center"/>
        <w:rPr>
          <w:rFonts w:hint="eastAsia" w:ascii="宋体" w:hAnsi="宋体"/>
          <w:color w:val="auto"/>
          <w:sz w:val="52"/>
          <w:szCs w:val="52"/>
          <w:highlight w:val="none"/>
        </w:rPr>
      </w:pPr>
      <w:bookmarkStart w:id="10" w:name="_Toc57820540"/>
      <w:bookmarkStart w:id="11" w:name="_Toc509218690"/>
      <w:r>
        <w:rPr>
          <w:rFonts w:hint="eastAsia" w:ascii="宋体" w:hAnsi="宋体"/>
          <w:color w:val="auto"/>
          <w:sz w:val="52"/>
          <w:szCs w:val="52"/>
          <w:highlight w:val="none"/>
        </w:rPr>
        <w:t>第 一 卷</w:t>
      </w:r>
      <w:bookmarkEnd w:id="10"/>
      <w:bookmarkEnd w:id="11"/>
    </w:p>
    <w:p w14:paraId="038BF24A">
      <w:pPr>
        <w:spacing w:line="200" w:lineRule="exact"/>
        <w:rPr>
          <w:rFonts w:ascii="宋体" w:hAnsi="宋体"/>
          <w:color w:val="auto"/>
          <w:highlight w:val="none"/>
        </w:rPr>
      </w:pPr>
      <w:r>
        <w:rPr>
          <w:rFonts w:ascii="宋体" w:hAnsi="宋体"/>
          <w:color w:val="auto"/>
          <w:highlight w:val="none"/>
        </w:rPr>
        <w:br w:type="page"/>
      </w:r>
    </w:p>
    <w:p w14:paraId="00A57E01">
      <w:pPr>
        <w:pStyle w:val="3"/>
        <w:spacing w:line="360" w:lineRule="auto"/>
        <w:jc w:val="center"/>
        <w:rPr>
          <w:rFonts w:ascii="宋体" w:hAnsi="宋体"/>
          <w:snapToGrid w:val="0"/>
          <w:color w:val="auto"/>
          <w:kern w:val="0"/>
          <w:highlight w:val="none"/>
        </w:rPr>
      </w:pPr>
      <w:bookmarkStart w:id="12" w:name="_Toc224103298"/>
      <w:bookmarkStart w:id="13" w:name="_Toc277082535"/>
      <w:bookmarkStart w:id="14" w:name="_Toc287607727"/>
      <w:bookmarkStart w:id="15" w:name="_Toc287620666"/>
      <w:bookmarkStart w:id="16" w:name="_Toc430530415"/>
      <w:bookmarkStart w:id="17" w:name="_Toc57820541"/>
      <w:bookmarkStart w:id="18" w:name="_Toc509218691"/>
      <w:r>
        <w:rPr>
          <w:rFonts w:ascii="宋体" w:hAnsi="宋体"/>
          <w:snapToGrid w:val="0"/>
          <w:color w:val="auto"/>
          <w:kern w:val="0"/>
          <w:highlight w:val="none"/>
        </w:rPr>
        <w:t>第一章  招标公告（</w:t>
      </w:r>
      <w:r>
        <w:rPr>
          <w:rFonts w:hint="eastAsia" w:ascii="宋体" w:hAnsi="宋体"/>
          <w:snapToGrid w:val="0"/>
          <w:color w:val="auto"/>
          <w:highlight w:val="none"/>
        </w:rPr>
        <w:t>未进行资格预审</w:t>
      </w:r>
      <w:r>
        <w:rPr>
          <w:rFonts w:ascii="宋体" w:hAnsi="宋体"/>
          <w:snapToGrid w:val="0"/>
          <w:color w:val="auto"/>
          <w:kern w:val="0"/>
          <w:highlight w:val="none"/>
        </w:rPr>
        <w:t>）</w:t>
      </w:r>
      <w:bookmarkEnd w:id="12"/>
      <w:bookmarkEnd w:id="13"/>
      <w:bookmarkEnd w:id="14"/>
      <w:bookmarkEnd w:id="15"/>
      <w:bookmarkEnd w:id="16"/>
      <w:bookmarkEnd w:id="17"/>
      <w:bookmarkEnd w:id="18"/>
    </w:p>
    <w:p w14:paraId="2C6A7C49">
      <w:pPr>
        <w:autoSpaceDE w:val="0"/>
        <w:autoSpaceDN w:val="0"/>
        <w:adjustRightInd w:val="0"/>
        <w:snapToGrid w:val="0"/>
        <w:spacing w:line="360" w:lineRule="auto"/>
        <w:jc w:val="center"/>
        <w:rPr>
          <w:rFonts w:hint="eastAsia" w:ascii="宋体" w:hAnsi="宋体"/>
          <w:snapToGrid w:val="0"/>
          <w:color w:val="auto"/>
          <w:kern w:val="0"/>
          <w:sz w:val="28"/>
          <w:szCs w:val="28"/>
          <w:highlight w:val="none"/>
        </w:rPr>
      </w:pPr>
      <w:r>
        <w:rPr>
          <w:rFonts w:ascii="宋体" w:hAnsi="宋体"/>
          <w:snapToGrid w:val="0"/>
          <w:color w:val="auto"/>
          <w:kern w:val="0"/>
          <w:sz w:val="28"/>
          <w:szCs w:val="28"/>
          <w:highlight w:val="none"/>
          <w:u w:val="single"/>
        </w:rPr>
        <w:t xml:space="preserve">                 （项目名称）</w:t>
      </w:r>
      <w:r>
        <w:rPr>
          <w:rFonts w:ascii="宋体" w:hAnsi="宋体"/>
          <w:snapToGrid w:val="0"/>
          <w:color w:val="auto"/>
          <w:w w:val="99"/>
          <w:kern w:val="0"/>
          <w:sz w:val="28"/>
          <w:szCs w:val="28"/>
          <w:highlight w:val="none"/>
        </w:rPr>
        <w:t>招标公告</w:t>
      </w:r>
    </w:p>
    <w:p w14:paraId="37B1630A">
      <w:pPr>
        <w:pStyle w:val="4"/>
        <w:spacing w:before="100" w:after="100" w:line="460" w:lineRule="exact"/>
        <w:rPr>
          <w:rFonts w:ascii="宋体" w:hAnsi="宋体"/>
          <w:snapToGrid w:val="0"/>
          <w:color w:val="auto"/>
          <w:sz w:val="28"/>
          <w:szCs w:val="28"/>
          <w:highlight w:val="none"/>
        </w:rPr>
      </w:pPr>
      <w:bookmarkStart w:id="19" w:name="_Toc224103299"/>
      <w:bookmarkStart w:id="20" w:name="_Toc287607728"/>
      <w:bookmarkStart w:id="21" w:name="_Toc287620667"/>
      <w:bookmarkStart w:id="22" w:name="_Toc430530416"/>
      <w:bookmarkStart w:id="23" w:name="_Toc200359238"/>
      <w:bookmarkStart w:id="24" w:name="_Toc509218692"/>
      <w:bookmarkStart w:id="25" w:name="_Toc57820542"/>
      <w:bookmarkStart w:id="26" w:name="_Toc200359427"/>
      <w:bookmarkStart w:id="27" w:name="_Toc277082536"/>
      <w:r>
        <w:rPr>
          <w:rFonts w:ascii="宋体" w:hAnsi="宋体"/>
          <w:snapToGrid w:val="0"/>
          <w:color w:val="auto"/>
          <w:sz w:val="28"/>
          <w:szCs w:val="28"/>
          <w:highlight w:val="none"/>
        </w:rPr>
        <w:t xml:space="preserve">1.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招标条件</w:t>
      </w:r>
      <w:bookmarkEnd w:id="19"/>
      <w:bookmarkEnd w:id="20"/>
      <w:bookmarkEnd w:id="21"/>
      <w:bookmarkEnd w:id="22"/>
      <w:bookmarkEnd w:id="23"/>
      <w:bookmarkEnd w:id="24"/>
      <w:bookmarkEnd w:id="25"/>
      <w:bookmarkEnd w:id="26"/>
      <w:bookmarkEnd w:id="27"/>
    </w:p>
    <w:p w14:paraId="5D58F2B7">
      <w:pPr>
        <w:tabs>
          <w:tab w:val="left" w:pos="3315"/>
          <w:tab w:val="left" w:pos="3390"/>
          <w:tab w:val="left" w:pos="6120"/>
          <w:tab w:val="left" w:pos="8850"/>
        </w:tabs>
        <w:autoSpaceDE w:val="0"/>
        <w:autoSpaceDN w:val="0"/>
        <w:adjustRightInd w:val="0"/>
        <w:snapToGrid w:val="0"/>
        <w:spacing w:line="460" w:lineRule="exact"/>
        <w:ind w:firstLine="420"/>
        <w:jc w:val="distribute"/>
        <w:rPr>
          <w:rFonts w:ascii="宋体" w:hAnsi="宋体"/>
          <w:snapToGrid w:val="0"/>
          <w:color w:val="auto"/>
          <w:kern w:val="0"/>
          <w:szCs w:val="21"/>
          <w:highlight w:val="none"/>
        </w:rPr>
      </w:pPr>
      <w:r>
        <w:rPr>
          <w:rFonts w:ascii="宋体" w:hAnsi="宋体"/>
          <w:snapToGrid w:val="0"/>
          <w:color w:val="auto"/>
          <w:kern w:val="0"/>
          <w:szCs w:val="21"/>
          <w:highlight w:val="none"/>
        </w:rPr>
        <w:t>本招标项目</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已由</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（项目审批、核准或备案机关名称）</w:t>
      </w:r>
      <w:r>
        <w:rPr>
          <w:rFonts w:ascii="宋体" w:hAnsi="宋体"/>
          <w:snapToGrid w:val="0"/>
          <w:color w:val="auto"/>
          <w:kern w:val="0"/>
          <w:szCs w:val="21"/>
          <w:highlight w:val="none"/>
        </w:rPr>
        <w:t>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（批文名称及编号）</w:t>
      </w:r>
      <w:r>
        <w:rPr>
          <w:rFonts w:ascii="宋体" w:hAnsi="宋体"/>
          <w:snapToGrid w:val="0"/>
          <w:color w:val="auto"/>
          <w:kern w:val="0"/>
          <w:szCs w:val="21"/>
          <w:highlight w:val="none"/>
        </w:rPr>
        <w:t>批准建设，项目业主为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p>
    <w:p w14:paraId="6C7B38A9">
      <w:pPr>
        <w:tabs>
          <w:tab w:val="left" w:pos="3390"/>
          <w:tab w:val="left" w:pos="3420"/>
          <w:tab w:val="left" w:pos="6120"/>
          <w:tab w:val="left" w:pos="7540"/>
          <w:tab w:val="left" w:pos="8320"/>
        </w:tabs>
        <w:autoSpaceDE w:val="0"/>
        <w:autoSpaceDN w:val="0"/>
        <w:adjustRightInd w:val="0"/>
        <w:snapToGrid w:val="0"/>
        <w:spacing w:line="460" w:lineRule="exact"/>
        <w:rPr>
          <w:rFonts w:ascii="宋体" w:hAnsi="宋体"/>
          <w:snapToGrid w:val="0"/>
          <w:color w:val="auto"/>
          <w:kern w:val="0"/>
          <w:szCs w:val="21"/>
          <w:highlight w:val="none"/>
        </w:rPr>
      </w:pPr>
      <w:r>
        <w:rPr>
          <w:rFonts w:ascii="宋体" w:hAnsi="宋体"/>
          <w:snapToGrid w:val="0"/>
          <w:color w:val="auto"/>
          <w:kern w:val="0"/>
          <w:szCs w:val="21"/>
          <w:highlight w:val="none"/>
        </w:rPr>
        <w:t>建设资金来自</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（资金来源）</w:t>
      </w:r>
      <w:r>
        <w:rPr>
          <w:rFonts w:ascii="宋体" w:hAnsi="宋体"/>
          <w:snapToGrid w:val="0"/>
          <w:color w:val="auto"/>
          <w:kern w:val="0"/>
          <w:szCs w:val="21"/>
          <w:highlight w:val="none"/>
        </w:rPr>
        <w:t>，项目出资比例为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，招标人</w:t>
      </w:r>
      <w:r>
        <w:rPr>
          <w:rFonts w:ascii="宋体" w:hAnsi="宋体"/>
          <w:snapToGrid w:val="0"/>
          <w:color w:val="auto"/>
          <w:kern w:val="0"/>
          <w:position w:val="-2"/>
          <w:szCs w:val="21"/>
          <w:highlight w:val="none"/>
        </w:rPr>
        <w:t>为</w:t>
      </w:r>
      <w:r>
        <w:rPr>
          <w:rFonts w:hint="eastAsia" w:ascii="宋体" w:hAnsi="宋体"/>
          <w:snapToGrid w:val="0"/>
          <w:color w:val="auto"/>
          <w:kern w:val="0"/>
          <w:szCs w:val="21"/>
          <w:highlight w:val="none"/>
          <w:u w:val="single"/>
        </w:rPr>
        <w:t xml:space="preserve">                 </w:t>
      </w:r>
      <w:r>
        <w:rPr>
          <w:rFonts w:ascii="宋体" w:hAnsi="宋体"/>
          <w:snapToGrid w:val="0"/>
          <w:color w:val="auto"/>
          <w:kern w:val="0"/>
          <w:position w:val="-2"/>
          <w:szCs w:val="21"/>
          <w:highlight w:val="none"/>
        </w:rPr>
        <w:t>。项目已具备招标条件，现对</w:t>
      </w:r>
      <w:r>
        <w:rPr>
          <w:rFonts w:hint="eastAsia" w:ascii="宋体" w:hAnsi="宋体"/>
          <w:snapToGrid w:val="0"/>
          <w:color w:val="auto"/>
          <w:kern w:val="0"/>
          <w:position w:val="-2"/>
          <w:szCs w:val="21"/>
          <w:highlight w:val="none"/>
          <w:u w:val="single"/>
        </w:rPr>
        <w:t>该项目的施工</w:t>
      </w:r>
      <w:r>
        <w:rPr>
          <w:rFonts w:ascii="宋体" w:hAnsi="宋体"/>
          <w:snapToGrid w:val="0"/>
          <w:color w:val="auto"/>
          <w:kern w:val="0"/>
          <w:position w:val="-2"/>
          <w:szCs w:val="21"/>
          <w:highlight w:val="none"/>
        </w:rPr>
        <w:t>进行公开招标。</w:t>
      </w:r>
    </w:p>
    <w:p w14:paraId="09C54761">
      <w:pPr>
        <w:pStyle w:val="4"/>
        <w:spacing w:before="100" w:after="100" w:line="460" w:lineRule="exact"/>
        <w:rPr>
          <w:rFonts w:ascii="宋体" w:hAnsi="宋体"/>
          <w:snapToGrid w:val="0"/>
          <w:color w:val="auto"/>
          <w:sz w:val="28"/>
          <w:szCs w:val="28"/>
          <w:highlight w:val="none"/>
        </w:rPr>
      </w:pPr>
      <w:bookmarkStart w:id="28" w:name="_Toc200359239"/>
      <w:bookmarkStart w:id="29" w:name="_Toc287620668"/>
      <w:bookmarkStart w:id="30" w:name="_Toc224103300"/>
      <w:bookmarkStart w:id="31" w:name="_Toc57820543"/>
      <w:bookmarkStart w:id="32" w:name="_Toc200359428"/>
      <w:bookmarkStart w:id="33" w:name="_Toc509218693"/>
      <w:bookmarkStart w:id="34" w:name="_Toc277082537"/>
      <w:bookmarkStart w:id="35" w:name="_Toc287607729"/>
      <w:bookmarkStart w:id="36" w:name="_Toc430530417"/>
      <w:r>
        <w:rPr>
          <w:rFonts w:ascii="宋体" w:hAnsi="宋体"/>
          <w:snapToGrid w:val="0"/>
          <w:color w:val="auto"/>
          <w:sz w:val="28"/>
          <w:szCs w:val="28"/>
          <w:highlight w:val="none"/>
        </w:rPr>
        <w:t>2.</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 xml:space="preserve"> 项目概况与招标范围</w:t>
      </w:r>
      <w:bookmarkEnd w:id="28"/>
      <w:bookmarkEnd w:id="29"/>
      <w:bookmarkEnd w:id="30"/>
      <w:bookmarkEnd w:id="31"/>
      <w:bookmarkEnd w:id="32"/>
      <w:bookmarkEnd w:id="33"/>
      <w:bookmarkEnd w:id="34"/>
      <w:bookmarkEnd w:id="35"/>
      <w:bookmarkEnd w:id="36"/>
    </w:p>
    <w:p w14:paraId="73909E04">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u w:val="single"/>
        </w:rPr>
      </w:pPr>
      <w:r>
        <w:rPr>
          <w:rFonts w:hint="eastAsia" w:ascii="宋体" w:hAnsi="宋体"/>
          <w:snapToGrid w:val="0"/>
          <w:color w:val="auto"/>
          <w:kern w:val="0"/>
          <w:szCs w:val="21"/>
          <w:highlight w:val="none"/>
        </w:rPr>
        <w:t>2.1 建设地点：</w:t>
      </w:r>
      <w:r>
        <w:rPr>
          <w:rFonts w:hint="eastAsia" w:ascii="宋体" w:hAnsi="宋体"/>
          <w:snapToGrid w:val="0"/>
          <w:color w:val="auto"/>
          <w:kern w:val="0"/>
          <w:szCs w:val="21"/>
          <w:highlight w:val="none"/>
          <w:u w:val="single"/>
        </w:rPr>
        <w:t xml:space="preserve">        </w:t>
      </w:r>
    </w:p>
    <w:p w14:paraId="7882E30F">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2.2 项目概况与建设规模：</w:t>
      </w:r>
      <w:r>
        <w:rPr>
          <w:rFonts w:hint="eastAsia" w:ascii="宋体" w:hAnsi="宋体"/>
          <w:snapToGrid w:val="0"/>
          <w:color w:val="auto"/>
          <w:kern w:val="0"/>
          <w:szCs w:val="21"/>
          <w:highlight w:val="none"/>
          <w:u w:val="single"/>
        </w:rPr>
        <w:t xml:space="preserve">        </w:t>
      </w:r>
    </w:p>
    <w:p w14:paraId="5FFBF175">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i/>
          <w:snapToGrid w:val="0"/>
          <w:color w:val="auto"/>
          <w:kern w:val="0"/>
          <w:szCs w:val="21"/>
          <w:highlight w:val="none"/>
        </w:rPr>
      </w:pPr>
      <w:r>
        <w:rPr>
          <w:rFonts w:hint="eastAsia" w:ascii="宋体" w:hAnsi="宋体"/>
          <w:i/>
          <w:snapToGrid w:val="0"/>
          <w:color w:val="auto"/>
          <w:kern w:val="0"/>
          <w:szCs w:val="21"/>
          <w:highlight w:val="none"/>
        </w:rPr>
        <w:t>[提示：若设置投标人业绩资质条件，项目建设规模应体现与业绩对应的规模参数，包括但不限于：建筑面积、高度、长度、道路等级等。]</w:t>
      </w:r>
    </w:p>
    <w:p w14:paraId="6690FFC6">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u w:val="single"/>
        </w:rPr>
      </w:pPr>
      <w:r>
        <w:rPr>
          <w:rFonts w:hint="eastAsia" w:ascii="宋体" w:hAnsi="宋体"/>
          <w:snapToGrid w:val="0"/>
          <w:color w:val="auto"/>
          <w:kern w:val="0"/>
          <w:szCs w:val="21"/>
          <w:highlight w:val="none"/>
        </w:rPr>
        <w:t>2.3 □本次招标项目工程总投资额：</w:t>
      </w:r>
      <w:r>
        <w:rPr>
          <w:rFonts w:hint="eastAsia" w:ascii="宋体" w:hAnsi="宋体"/>
          <w:snapToGrid w:val="0"/>
          <w:color w:val="auto"/>
          <w:kern w:val="0"/>
          <w:szCs w:val="21"/>
          <w:highlight w:val="none"/>
          <w:u w:val="single"/>
        </w:rPr>
        <w:t xml:space="preserve">        </w:t>
      </w:r>
    </w:p>
    <w:p w14:paraId="32C5EFF1">
      <w:pPr>
        <w:tabs>
          <w:tab w:val="left" w:pos="3840"/>
          <w:tab w:val="left" w:pos="5300"/>
        </w:tabs>
        <w:autoSpaceDE w:val="0"/>
        <w:autoSpaceDN w:val="0"/>
        <w:adjustRightInd w:val="0"/>
        <w:snapToGrid w:val="0"/>
        <w:spacing w:line="460" w:lineRule="exact"/>
        <w:ind w:firstLine="840" w:firstLineChars="400"/>
        <w:jc w:val="left"/>
        <w:rPr>
          <w:rFonts w:hint="eastAsia" w:ascii="宋体" w:hAnsi="宋体"/>
          <w:snapToGrid w:val="0"/>
          <w:color w:val="auto"/>
          <w:kern w:val="0"/>
          <w:szCs w:val="21"/>
          <w:highlight w:val="none"/>
          <w:u w:val="single"/>
        </w:rPr>
      </w:pPr>
      <w:r>
        <w:rPr>
          <w:rFonts w:hint="eastAsia" w:ascii="宋体" w:hAnsi="宋体"/>
          <w:snapToGrid w:val="0"/>
          <w:color w:val="auto"/>
          <w:kern w:val="0"/>
          <w:szCs w:val="21"/>
          <w:highlight w:val="none"/>
        </w:rPr>
        <w:t>□本次招标项目合同估算金额：</w:t>
      </w:r>
      <w:r>
        <w:rPr>
          <w:rFonts w:hint="eastAsia" w:ascii="宋体" w:hAnsi="宋体"/>
          <w:snapToGrid w:val="0"/>
          <w:color w:val="auto"/>
          <w:kern w:val="0"/>
          <w:szCs w:val="21"/>
          <w:highlight w:val="none"/>
          <w:u w:val="single"/>
        </w:rPr>
        <w:t xml:space="preserve">        </w:t>
      </w:r>
    </w:p>
    <w:p w14:paraId="3C7AEA8B">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u w:val="single"/>
        </w:rPr>
      </w:pPr>
      <w:r>
        <w:rPr>
          <w:rFonts w:hint="eastAsia" w:ascii="宋体" w:hAnsi="宋体"/>
          <w:snapToGrid w:val="0"/>
          <w:color w:val="auto"/>
          <w:kern w:val="0"/>
          <w:szCs w:val="21"/>
          <w:highlight w:val="none"/>
        </w:rPr>
        <w:t>2.4 招标范围：</w:t>
      </w:r>
      <w:r>
        <w:rPr>
          <w:rFonts w:hint="eastAsia" w:ascii="宋体" w:hAnsi="宋体"/>
          <w:snapToGrid w:val="0"/>
          <w:color w:val="auto"/>
          <w:kern w:val="0"/>
          <w:szCs w:val="21"/>
          <w:highlight w:val="none"/>
          <w:u w:val="single"/>
        </w:rPr>
        <w:t xml:space="preserve">        </w:t>
      </w:r>
    </w:p>
    <w:p w14:paraId="1A993E96">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u w:val="single"/>
        </w:rPr>
      </w:pPr>
      <w:r>
        <w:rPr>
          <w:rFonts w:hint="eastAsia" w:ascii="宋体" w:hAnsi="宋体"/>
          <w:i/>
          <w:snapToGrid w:val="0"/>
          <w:color w:val="auto"/>
          <w:kern w:val="0"/>
          <w:szCs w:val="21"/>
          <w:highlight w:val="none"/>
        </w:rPr>
        <w:t>[提示：</w:t>
      </w:r>
      <w:r>
        <w:rPr>
          <w:rFonts w:ascii="宋体" w:hAnsi="宋体"/>
          <w:i/>
          <w:color w:val="auto"/>
          <w:szCs w:val="21"/>
          <w:highlight w:val="none"/>
        </w:rPr>
        <w:t>招标范围应准确明了，</w:t>
      </w:r>
      <w:r>
        <w:rPr>
          <w:rFonts w:hint="eastAsia" w:ascii="宋体" w:hAnsi="宋体"/>
          <w:i/>
          <w:color w:val="auto"/>
          <w:szCs w:val="21"/>
          <w:highlight w:val="none"/>
        </w:rPr>
        <w:t>按照项目审批、核准、备案文件</w:t>
      </w:r>
      <w:r>
        <w:rPr>
          <w:rFonts w:ascii="宋体" w:hAnsi="宋体"/>
          <w:i/>
          <w:color w:val="auto"/>
          <w:szCs w:val="21"/>
          <w:highlight w:val="none"/>
        </w:rPr>
        <w:t>采用工程专业术语</w:t>
      </w:r>
      <w:r>
        <w:rPr>
          <w:rFonts w:hint="eastAsia" w:ascii="宋体" w:hAnsi="宋体"/>
          <w:i/>
          <w:color w:val="auto"/>
          <w:szCs w:val="21"/>
          <w:highlight w:val="none"/>
        </w:rPr>
        <w:t>进行</w:t>
      </w:r>
      <w:r>
        <w:rPr>
          <w:rFonts w:ascii="宋体" w:hAnsi="宋体"/>
          <w:i/>
          <w:color w:val="auto"/>
          <w:szCs w:val="21"/>
          <w:highlight w:val="none"/>
        </w:rPr>
        <w:t>填写</w:t>
      </w:r>
      <w:r>
        <w:rPr>
          <w:rFonts w:hint="eastAsia" w:ascii="宋体" w:hAnsi="宋体"/>
          <w:i/>
          <w:color w:val="auto"/>
          <w:szCs w:val="21"/>
          <w:highlight w:val="none"/>
        </w:rPr>
        <w:t>。</w:t>
      </w:r>
      <w:r>
        <w:rPr>
          <w:rFonts w:hint="eastAsia" w:ascii="宋体" w:hAnsi="宋体"/>
          <w:i/>
          <w:snapToGrid w:val="0"/>
          <w:color w:val="auto"/>
          <w:kern w:val="0"/>
          <w:szCs w:val="21"/>
          <w:highlight w:val="none"/>
        </w:rPr>
        <w:t>]</w:t>
      </w:r>
    </w:p>
    <w:p w14:paraId="1BC84962">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u w:val="single"/>
        </w:rPr>
      </w:pPr>
      <w:r>
        <w:rPr>
          <w:rFonts w:hint="eastAsia" w:ascii="宋体" w:hAnsi="宋体"/>
          <w:snapToGrid w:val="0"/>
          <w:color w:val="auto"/>
          <w:kern w:val="0"/>
          <w:szCs w:val="21"/>
          <w:highlight w:val="none"/>
        </w:rPr>
        <w:t>2.5 工期要求：</w:t>
      </w:r>
      <w:r>
        <w:rPr>
          <w:rFonts w:hint="eastAsia" w:ascii="宋体" w:hAnsi="宋体"/>
          <w:snapToGrid w:val="0"/>
          <w:color w:val="auto"/>
          <w:kern w:val="0"/>
          <w:szCs w:val="21"/>
          <w:highlight w:val="none"/>
          <w:u w:val="single"/>
        </w:rPr>
        <w:t xml:space="preserve">        日历天</w:t>
      </w:r>
    </w:p>
    <w:p w14:paraId="484C6D31">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 xml:space="preserve">    缺陷责任期要求：</w:t>
      </w:r>
      <w:r>
        <w:rPr>
          <w:rFonts w:hint="eastAsia" w:ascii="宋体" w:hAnsi="宋体"/>
          <w:snapToGrid w:val="0"/>
          <w:color w:val="auto"/>
          <w:kern w:val="0"/>
          <w:szCs w:val="21"/>
          <w:highlight w:val="none"/>
          <w:u w:val="single"/>
        </w:rPr>
        <w:t xml:space="preserve">        个月</w:t>
      </w:r>
    </w:p>
    <w:p w14:paraId="29A9736F">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2.6 标段划分（如有）：</w:t>
      </w:r>
      <w:r>
        <w:rPr>
          <w:rFonts w:hint="eastAsia" w:ascii="宋体" w:hAnsi="宋体"/>
          <w:snapToGrid w:val="0"/>
          <w:color w:val="auto"/>
          <w:kern w:val="0"/>
          <w:szCs w:val="21"/>
          <w:highlight w:val="none"/>
          <w:u w:val="single"/>
        </w:rPr>
        <w:t xml:space="preserve">        </w:t>
      </w:r>
    </w:p>
    <w:p w14:paraId="2411E9AA">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2.7 其他：</w:t>
      </w:r>
      <w:r>
        <w:rPr>
          <w:rFonts w:hint="eastAsia" w:ascii="宋体" w:hAnsi="宋体"/>
          <w:snapToGrid w:val="0"/>
          <w:color w:val="auto"/>
          <w:kern w:val="0"/>
          <w:szCs w:val="21"/>
          <w:highlight w:val="none"/>
          <w:u w:val="single"/>
        </w:rPr>
        <w:t xml:space="preserve">        </w:t>
      </w:r>
    </w:p>
    <w:p w14:paraId="0B77CACC">
      <w:pPr>
        <w:pStyle w:val="4"/>
        <w:spacing w:before="100" w:after="100" w:line="460" w:lineRule="exact"/>
        <w:rPr>
          <w:rFonts w:ascii="宋体" w:hAnsi="宋体"/>
          <w:snapToGrid w:val="0"/>
          <w:color w:val="auto"/>
          <w:sz w:val="28"/>
          <w:szCs w:val="28"/>
          <w:highlight w:val="none"/>
        </w:rPr>
      </w:pPr>
      <w:bookmarkStart w:id="37" w:name="_Toc200359240"/>
      <w:bookmarkStart w:id="38" w:name="_Toc430530418"/>
      <w:bookmarkStart w:id="39" w:name="_Toc57820544"/>
      <w:bookmarkStart w:id="40" w:name="_Toc277082538"/>
      <w:bookmarkStart w:id="41" w:name="_Toc200359429"/>
      <w:bookmarkStart w:id="42" w:name="_Toc287607730"/>
      <w:bookmarkStart w:id="43" w:name="_Toc509218694"/>
      <w:bookmarkStart w:id="44" w:name="_Toc224103301"/>
      <w:bookmarkStart w:id="45" w:name="_Toc287620669"/>
      <w:r>
        <w:rPr>
          <w:rFonts w:ascii="宋体" w:hAnsi="宋体"/>
          <w:snapToGrid w:val="0"/>
          <w:color w:val="auto"/>
          <w:sz w:val="28"/>
          <w:szCs w:val="28"/>
          <w:highlight w:val="none"/>
        </w:rPr>
        <w:t xml:space="preserve">3.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投标人资格要求</w:t>
      </w:r>
      <w:bookmarkEnd w:id="37"/>
      <w:bookmarkEnd w:id="38"/>
      <w:bookmarkEnd w:id="39"/>
      <w:bookmarkEnd w:id="40"/>
      <w:bookmarkEnd w:id="41"/>
      <w:bookmarkEnd w:id="42"/>
      <w:bookmarkEnd w:id="43"/>
      <w:bookmarkEnd w:id="44"/>
      <w:bookmarkEnd w:id="45"/>
    </w:p>
    <w:p w14:paraId="78057500">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rPr>
      </w:pPr>
      <w:r>
        <w:rPr>
          <w:rFonts w:ascii="宋体" w:hAnsi="宋体"/>
          <w:snapToGrid w:val="0"/>
          <w:color w:val="auto"/>
          <w:kern w:val="0"/>
          <w:szCs w:val="21"/>
          <w:highlight w:val="none"/>
        </w:rPr>
        <w:t>3.1  本次招标要求投标人须具备</w:t>
      </w:r>
      <w:r>
        <w:rPr>
          <w:rFonts w:hint="eastAsia" w:ascii="宋体" w:hAnsi="宋体"/>
          <w:snapToGrid w:val="0"/>
          <w:color w:val="auto"/>
          <w:kern w:val="0"/>
          <w:szCs w:val="21"/>
          <w:highlight w:val="none"/>
        </w:rPr>
        <w:t>以下条件：</w:t>
      </w:r>
    </w:p>
    <w:p w14:paraId="3FF43DD8">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3.1.1 本次招标要求投标人具备的资质条件：</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w:t>
      </w:r>
    </w:p>
    <w:p w14:paraId="28F7131F">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i/>
          <w:color w:val="auto"/>
          <w:szCs w:val="21"/>
          <w:highlight w:val="none"/>
        </w:rPr>
      </w:pPr>
      <w:r>
        <w:rPr>
          <w:rFonts w:hint="eastAsia" w:ascii="宋体" w:hAnsi="宋体"/>
          <w:i/>
          <w:color w:val="auto"/>
          <w:szCs w:val="21"/>
          <w:highlight w:val="none"/>
        </w:rPr>
        <w:t>[提示：资质的设定应执行《建筑业企业资质标准》（建市〔2014〕159号）及其修订、配套、补充文件的现行规定。施工总承包工程应设定施工总承包资质；设有专业承包资质的专业工程单独发包时，应由取得相应专业承包资质的企业承担，设有专业承包资质的两个及以上专业工程同时发包时，应当允许联合体投标；施工总承包工程中有施工总承包资质不能涵盖的工作内容的，应当允许联合体投标或分包。设置施工总承包资质的同时，不得再设置施工总承包资质已涵盖的任何专业承包资质。]</w:t>
      </w:r>
    </w:p>
    <w:p w14:paraId="569B1551">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□3.1.2 本次招标要求投标人具备的业绩条件：</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w:t>
      </w:r>
    </w:p>
    <w:p w14:paraId="4806BB35">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i/>
          <w:color w:val="auto"/>
          <w:szCs w:val="21"/>
          <w:highlight w:val="none"/>
        </w:rPr>
      </w:pPr>
      <w:r>
        <w:rPr>
          <w:rFonts w:hint="eastAsia" w:ascii="宋体" w:hAnsi="宋体"/>
          <w:i/>
          <w:color w:val="auto"/>
          <w:szCs w:val="21"/>
          <w:highlight w:val="none"/>
        </w:rPr>
        <w:t>[提示：1、工程类别的设定原则上应当满足《建设工程分类标准》（GB/T 50841-2013）的要求，其具体要求使用至三级目录为止，具体详见《建设工程分类标准》（GB/T 50841-2013）附录A、附录B、附录C；2、采用金额为业绩条件的，其类似工程业绩金额的设定原则上不高于该招标项目估算价或经批准概算金额或最高限价的四分之三；3、采用工程规模的具体参数为业绩条件的，工程规模的类别设定应当采用《建筑业企业资质标准》（建市〔2014〕159号）中“承包工程范围”中明确设立了的工程规模类别，且工程规模的具体参数原则上不高于招标项目工程规模数值的四分之三（降低了相关规模标准等级的除外），投标人提供的业绩其具体参数应大于等于该业绩条件。]</w:t>
      </w:r>
    </w:p>
    <w:p w14:paraId="0CF97F7F">
      <w:pPr>
        <w:tabs>
          <w:tab w:val="left" w:pos="3840"/>
          <w:tab w:val="left" w:pos="5300"/>
        </w:tabs>
        <w:autoSpaceDE w:val="0"/>
        <w:autoSpaceDN w:val="0"/>
        <w:adjustRightInd w:val="0"/>
        <w:snapToGrid w:val="0"/>
        <w:spacing w:line="460" w:lineRule="exact"/>
        <w:ind w:firstLine="420" w:firstLineChars="200"/>
        <w:jc w:val="left"/>
        <w:rPr>
          <w:rFonts w:ascii="宋体" w:hAnsi="宋体"/>
          <w:color w:val="auto"/>
          <w:szCs w:val="21"/>
          <w:highlight w:val="none"/>
        </w:rPr>
      </w:pPr>
      <w:r>
        <w:rPr>
          <w:rFonts w:hint="eastAsia" w:ascii="宋体" w:hAnsi="宋体"/>
          <w:snapToGrid w:val="0"/>
          <w:color w:val="auto"/>
          <w:kern w:val="0"/>
          <w:szCs w:val="21"/>
          <w:highlight w:val="none"/>
        </w:rPr>
        <w:t>3.1.3 投标人还应在人员、设备、资金等方面具有相应的施工能力，详见招标文件第二章投标人须知前附表第1.4.1项内容。</w:t>
      </w:r>
    </w:p>
    <w:p w14:paraId="31581AED">
      <w:pPr>
        <w:tabs>
          <w:tab w:val="left" w:pos="3045"/>
          <w:tab w:val="left" w:pos="8310"/>
        </w:tabs>
        <w:autoSpaceDE w:val="0"/>
        <w:autoSpaceDN w:val="0"/>
        <w:adjustRightInd w:val="0"/>
        <w:snapToGrid w:val="0"/>
        <w:spacing w:line="46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3.2  本次招标</w:t>
      </w:r>
      <w:r>
        <w:rPr>
          <w:rFonts w:hint="eastAsia" w:ascii="宋体" w:hAnsi="宋体"/>
          <w:snapToGrid w:val="0"/>
          <w:color w:val="auto"/>
          <w:kern w:val="0"/>
          <w:szCs w:val="21"/>
          <w:highlight w:val="none"/>
        </w:rPr>
        <w:t>□接受 □不接受</w:t>
      </w:r>
      <w:r>
        <w:rPr>
          <w:rFonts w:ascii="宋体" w:hAnsi="宋体"/>
          <w:snapToGrid w:val="0"/>
          <w:color w:val="auto"/>
          <w:kern w:val="0"/>
          <w:szCs w:val="21"/>
          <w:highlight w:val="none"/>
        </w:rPr>
        <w:t>联合体投标。联合体投标的，应满足下列要求：</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p>
    <w:p w14:paraId="535A9E36">
      <w:pPr>
        <w:tabs>
          <w:tab w:val="left" w:pos="3840"/>
        </w:tabs>
        <w:autoSpaceDE w:val="0"/>
        <w:autoSpaceDN w:val="0"/>
        <w:adjustRightInd w:val="0"/>
        <w:snapToGrid w:val="0"/>
        <w:spacing w:line="460" w:lineRule="exact"/>
        <w:ind w:firstLine="42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w:t>
      </w:r>
      <w:r>
        <w:rPr>
          <w:rFonts w:ascii="宋体" w:hAnsi="宋体"/>
          <w:snapToGrid w:val="0"/>
          <w:color w:val="auto"/>
          <w:kern w:val="0"/>
          <w:szCs w:val="21"/>
          <w:highlight w:val="none"/>
        </w:rPr>
        <w:t>3.3</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各投标人均可就上述标段中的</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（具体数量）</w:t>
      </w:r>
      <w:r>
        <w:rPr>
          <w:rFonts w:ascii="宋体" w:hAnsi="宋体"/>
          <w:snapToGrid w:val="0"/>
          <w:color w:val="auto"/>
          <w:kern w:val="0"/>
          <w:szCs w:val="21"/>
          <w:highlight w:val="none"/>
        </w:rPr>
        <w:t>个标段投标。</w:t>
      </w:r>
    </w:p>
    <w:p w14:paraId="4C9D1AA2">
      <w:pPr>
        <w:pStyle w:val="4"/>
        <w:spacing w:before="100" w:after="100" w:line="460" w:lineRule="exact"/>
        <w:rPr>
          <w:rFonts w:hint="eastAsia" w:ascii="宋体" w:hAnsi="宋体"/>
          <w:snapToGrid w:val="0"/>
          <w:color w:val="auto"/>
          <w:sz w:val="28"/>
          <w:szCs w:val="28"/>
          <w:highlight w:val="none"/>
        </w:rPr>
      </w:pPr>
      <w:bookmarkStart w:id="46" w:name="_Toc200359241"/>
      <w:bookmarkStart w:id="47" w:name="_Toc224103302"/>
      <w:bookmarkStart w:id="48" w:name="_Toc509218695"/>
      <w:bookmarkStart w:id="49" w:name="_Toc287607731"/>
      <w:bookmarkStart w:id="50" w:name="_Toc277082539"/>
      <w:bookmarkStart w:id="51" w:name="_Toc287620670"/>
      <w:bookmarkStart w:id="52" w:name="_Toc430530419"/>
      <w:bookmarkStart w:id="53" w:name="_Toc57820545"/>
      <w:bookmarkStart w:id="54" w:name="_Toc200359430"/>
      <w:r>
        <w:rPr>
          <w:rFonts w:ascii="宋体" w:hAnsi="宋体"/>
          <w:snapToGrid w:val="0"/>
          <w:color w:val="auto"/>
          <w:sz w:val="28"/>
          <w:szCs w:val="28"/>
          <w:highlight w:val="none"/>
        </w:rPr>
        <w:t xml:space="preserve">4.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招标文件的获取</w:t>
      </w:r>
      <w:bookmarkEnd w:id="46"/>
      <w:bookmarkEnd w:id="47"/>
      <w:bookmarkEnd w:id="48"/>
      <w:bookmarkEnd w:id="49"/>
      <w:bookmarkEnd w:id="50"/>
      <w:bookmarkEnd w:id="51"/>
      <w:bookmarkEnd w:id="52"/>
      <w:bookmarkEnd w:id="53"/>
      <w:bookmarkEnd w:id="54"/>
    </w:p>
    <w:p w14:paraId="04842430">
      <w:pPr>
        <w:tabs>
          <w:tab w:val="left" w:pos="2420"/>
          <w:tab w:val="left" w:pos="5445"/>
        </w:tabs>
        <w:autoSpaceDE w:val="0"/>
        <w:autoSpaceDN w:val="0"/>
        <w:adjustRightInd w:val="0"/>
        <w:snapToGrid w:val="0"/>
        <w:spacing w:line="450" w:lineRule="exact"/>
        <w:ind w:firstLine="42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 xml:space="preserve">4.1  </w:t>
      </w:r>
      <w:r>
        <w:rPr>
          <w:rFonts w:ascii="宋体" w:hAnsi="宋体"/>
          <w:snapToGrid w:val="0"/>
          <w:color w:val="auto"/>
          <w:kern w:val="0"/>
          <w:szCs w:val="21"/>
          <w:highlight w:val="none"/>
        </w:rPr>
        <w:t>本招标项目采用</w:t>
      </w:r>
      <w:r>
        <w:rPr>
          <w:rFonts w:hint="eastAsia" w:ascii="宋体" w:hAnsi="宋体"/>
          <w:snapToGrid w:val="0"/>
          <w:color w:val="auto"/>
          <w:kern w:val="0"/>
          <w:szCs w:val="21"/>
          <w:highlight w:val="none"/>
        </w:rPr>
        <w:t>全流程电子</w:t>
      </w:r>
      <w:r>
        <w:rPr>
          <w:rFonts w:ascii="宋体" w:hAnsi="宋体"/>
          <w:snapToGrid w:val="0"/>
          <w:color w:val="auto"/>
          <w:kern w:val="0"/>
          <w:szCs w:val="21"/>
          <w:highlight w:val="none"/>
        </w:rPr>
        <w:t>招投标，投标人在投标前可在</w:t>
      </w:r>
      <w:r>
        <w:rPr>
          <w:rFonts w:hint="eastAsia" w:ascii="宋体" w:hAnsi="宋体"/>
          <w:snapToGrid w:val="0"/>
          <w:color w:val="auto"/>
          <w:kern w:val="0"/>
          <w:szCs w:val="21"/>
          <w:highlight w:val="none"/>
          <w:u w:val="single"/>
        </w:rPr>
        <w:t>重庆市公共资源交易网（www.cqggzy.com）</w:t>
      </w:r>
      <w:r>
        <w:rPr>
          <w:rFonts w:hint="eastAsia" w:ascii="宋体" w:hAnsi="宋体"/>
          <w:i/>
          <w:color w:val="auto"/>
          <w:szCs w:val="21"/>
          <w:highlight w:val="none"/>
        </w:rPr>
        <w:t>[提示：下载地址采用其他网址的应注明，下同]</w:t>
      </w:r>
      <w:r>
        <w:rPr>
          <w:rFonts w:ascii="宋体" w:hAnsi="宋体"/>
          <w:snapToGrid w:val="0"/>
          <w:color w:val="auto"/>
          <w:kern w:val="0"/>
          <w:szCs w:val="21"/>
          <w:highlight w:val="none"/>
        </w:rPr>
        <w:t>下载招标文件、工程量清单、电子图纸等资料。参与投标的投标人</w:t>
      </w:r>
      <w:r>
        <w:rPr>
          <w:rFonts w:hint="eastAsia" w:ascii="宋体" w:hAnsi="宋体"/>
          <w:snapToGrid w:val="0"/>
          <w:color w:val="auto"/>
          <w:kern w:val="0"/>
          <w:szCs w:val="21"/>
          <w:highlight w:val="none"/>
        </w:rPr>
        <w:t>需在</w:t>
      </w:r>
      <w:r>
        <w:rPr>
          <w:rFonts w:hint="eastAsia" w:ascii="宋体" w:hAnsi="宋体"/>
          <w:snapToGrid w:val="0"/>
          <w:color w:val="auto"/>
          <w:kern w:val="0"/>
          <w:szCs w:val="21"/>
          <w:highlight w:val="none"/>
          <w:u w:val="single"/>
        </w:rPr>
        <w:t>重庆市公共资源交易网（www.cqggzy.com）</w:t>
      </w:r>
      <w:r>
        <w:rPr>
          <w:rFonts w:hint="eastAsia" w:ascii="宋体" w:hAnsi="宋体"/>
          <w:snapToGrid w:val="0"/>
          <w:color w:val="auto"/>
          <w:kern w:val="0"/>
          <w:szCs w:val="21"/>
          <w:highlight w:val="none"/>
        </w:rPr>
        <w:t>完成市场主体信息登记以及 CA 数字证书办理，办理方式请参见</w:t>
      </w:r>
      <w:r>
        <w:rPr>
          <w:rFonts w:hint="eastAsia" w:ascii="宋体" w:hAnsi="宋体"/>
          <w:snapToGrid w:val="0"/>
          <w:color w:val="auto"/>
          <w:kern w:val="0"/>
          <w:szCs w:val="21"/>
          <w:highlight w:val="none"/>
          <w:u w:val="single"/>
        </w:rPr>
        <w:t>重庆市公共资源交易网（www.cqggzy.com）</w:t>
      </w:r>
      <w:r>
        <w:rPr>
          <w:rFonts w:hint="eastAsia" w:ascii="宋体" w:hAnsi="宋体"/>
          <w:snapToGrid w:val="0"/>
          <w:color w:val="auto"/>
          <w:kern w:val="0"/>
          <w:szCs w:val="21"/>
          <w:highlight w:val="none"/>
        </w:rPr>
        <w:t>导航栏“主体信息”页面中“市场主体信息登记”“CA 数字证书办理”。若投标人未及时完成市场主体信息登记和 CA 数字证书办理导致无法完成全流程电子招投标的，责任自负</w:t>
      </w:r>
      <w:r>
        <w:rPr>
          <w:rFonts w:ascii="宋体" w:hAnsi="宋体"/>
          <w:snapToGrid w:val="0"/>
          <w:color w:val="auto"/>
          <w:kern w:val="0"/>
          <w:szCs w:val="21"/>
          <w:highlight w:val="none"/>
        </w:rPr>
        <w:t>。</w:t>
      </w:r>
    </w:p>
    <w:p w14:paraId="2F3CB052">
      <w:pPr>
        <w:tabs>
          <w:tab w:val="left" w:pos="2420"/>
          <w:tab w:val="left" w:pos="5445"/>
        </w:tabs>
        <w:autoSpaceDE w:val="0"/>
        <w:autoSpaceDN w:val="0"/>
        <w:adjustRightInd w:val="0"/>
        <w:snapToGrid w:val="0"/>
        <w:spacing w:line="450" w:lineRule="exact"/>
        <w:ind w:firstLine="42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4.2  投标人可在</w:t>
      </w:r>
      <w:r>
        <w:rPr>
          <w:rFonts w:hint="eastAsia" w:ascii="宋体" w:hAnsi="宋体"/>
          <w:snapToGrid w:val="0"/>
          <w:color w:val="auto"/>
          <w:kern w:val="0"/>
          <w:szCs w:val="21"/>
          <w:highlight w:val="none"/>
          <w:u w:val="single"/>
        </w:rPr>
        <w:t>重庆市公共资源交易网（www.cqggzy.com）</w:t>
      </w:r>
      <w:r>
        <w:rPr>
          <w:rFonts w:hint="eastAsia" w:ascii="宋体" w:hAnsi="宋体"/>
          <w:snapToGrid w:val="0"/>
          <w:color w:val="auto"/>
          <w:kern w:val="0"/>
          <w:szCs w:val="21"/>
          <w:highlight w:val="none"/>
        </w:rPr>
        <w:t>本项目招标公告网页下方“我要提问”栏提出疑问，提问时间从本公告发布至</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rPr>
        <w:t>分</w:t>
      </w:r>
      <w:r>
        <w:rPr>
          <w:rFonts w:hint="eastAsia" w:ascii="宋体" w:hAnsi="宋体"/>
          <w:snapToGrid w:val="0"/>
          <w:color w:val="auto"/>
          <w:kern w:val="0"/>
          <w:szCs w:val="21"/>
          <w:highlight w:val="none"/>
        </w:rPr>
        <w:t>（北京时间）前。</w:t>
      </w:r>
    </w:p>
    <w:p w14:paraId="1F96CF31">
      <w:pPr>
        <w:tabs>
          <w:tab w:val="left" w:pos="2420"/>
          <w:tab w:val="left" w:pos="5445"/>
        </w:tabs>
        <w:autoSpaceDE w:val="0"/>
        <w:autoSpaceDN w:val="0"/>
        <w:adjustRightInd w:val="0"/>
        <w:snapToGrid w:val="0"/>
        <w:spacing w:line="450" w:lineRule="exact"/>
        <w:ind w:firstLine="42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4.3  招标人应于</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rPr>
        <w:t>分</w:t>
      </w:r>
      <w:r>
        <w:rPr>
          <w:rFonts w:hint="eastAsia" w:ascii="宋体" w:hAnsi="宋体"/>
          <w:snapToGrid w:val="0"/>
          <w:color w:val="auto"/>
          <w:kern w:val="0"/>
          <w:szCs w:val="21"/>
          <w:highlight w:val="none"/>
        </w:rPr>
        <w:t>（北京时间）前在</w:t>
      </w:r>
      <w:r>
        <w:rPr>
          <w:rFonts w:hint="eastAsia" w:ascii="宋体" w:hAnsi="宋体"/>
          <w:snapToGrid w:val="0"/>
          <w:color w:val="auto"/>
          <w:kern w:val="0"/>
          <w:szCs w:val="21"/>
          <w:highlight w:val="none"/>
          <w:u w:val="single"/>
        </w:rPr>
        <w:t>重庆市公共资源交易网（www.cqggzy.com）</w:t>
      </w:r>
      <w:r>
        <w:rPr>
          <w:rFonts w:hint="eastAsia" w:ascii="宋体" w:hAnsi="宋体"/>
          <w:snapToGrid w:val="0"/>
          <w:color w:val="auto"/>
          <w:kern w:val="0"/>
          <w:szCs w:val="21"/>
          <w:highlight w:val="none"/>
        </w:rPr>
        <w:t>发布澄清。</w:t>
      </w:r>
    </w:p>
    <w:p w14:paraId="7364F114">
      <w:pPr>
        <w:pStyle w:val="4"/>
        <w:spacing w:before="100" w:after="100" w:line="460" w:lineRule="exact"/>
        <w:rPr>
          <w:rFonts w:ascii="宋体" w:hAnsi="宋体"/>
          <w:snapToGrid w:val="0"/>
          <w:color w:val="auto"/>
          <w:sz w:val="28"/>
          <w:szCs w:val="28"/>
          <w:highlight w:val="none"/>
        </w:rPr>
      </w:pPr>
      <w:bookmarkStart w:id="55" w:name="_Toc287620671"/>
      <w:bookmarkStart w:id="56" w:name="_Toc277082540"/>
      <w:bookmarkStart w:id="57" w:name="_Toc57820546"/>
      <w:bookmarkStart w:id="58" w:name="_Toc200359242"/>
      <w:bookmarkStart w:id="59" w:name="_Toc200359431"/>
      <w:bookmarkStart w:id="60" w:name="_Toc430530420"/>
      <w:bookmarkStart w:id="61" w:name="_Toc509218696"/>
      <w:bookmarkStart w:id="62" w:name="_Toc224103303"/>
      <w:bookmarkStart w:id="63" w:name="_Toc287607732"/>
      <w:r>
        <w:rPr>
          <w:rFonts w:ascii="宋体" w:hAnsi="宋体"/>
          <w:snapToGrid w:val="0"/>
          <w:color w:val="auto"/>
          <w:sz w:val="28"/>
          <w:szCs w:val="28"/>
          <w:highlight w:val="none"/>
        </w:rPr>
        <w:t xml:space="preserve">5.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投标文件的递交</w:t>
      </w:r>
      <w:bookmarkEnd w:id="55"/>
      <w:bookmarkEnd w:id="56"/>
      <w:bookmarkEnd w:id="57"/>
      <w:bookmarkEnd w:id="58"/>
      <w:bookmarkEnd w:id="59"/>
      <w:bookmarkEnd w:id="60"/>
      <w:bookmarkEnd w:id="61"/>
      <w:bookmarkEnd w:id="62"/>
      <w:bookmarkEnd w:id="63"/>
    </w:p>
    <w:p w14:paraId="1E4682DC">
      <w:pPr>
        <w:tabs>
          <w:tab w:val="left" w:pos="2000"/>
          <w:tab w:val="left" w:pos="5580"/>
          <w:tab w:val="left" w:pos="6220"/>
          <w:tab w:val="left" w:pos="6840"/>
          <w:tab w:val="left" w:pos="7460"/>
          <w:tab w:val="left" w:pos="8100"/>
        </w:tabs>
        <w:autoSpaceDE w:val="0"/>
        <w:autoSpaceDN w:val="0"/>
        <w:adjustRightInd w:val="0"/>
        <w:snapToGrid w:val="0"/>
        <w:spacing w:line="45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5.1  投标文件递交的截止时间（投标截止时间，下同）为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分，</w:t>
      </w:r>
      <w:r>
        <w:rPr>
          <w:rFonts w:hint="eastAsia" w:ascii="宋体" w:hAnsi="宋体"/>
          <w:snapToGrid w:val="0"/>
          <w:color w:val="auto"/>
          <w:kern w:val="0"/>
          <w:szCs w:val="21"/>
          <w:highlight w:val="none"/>
        </w:rPr>
        <w:t>投标人应当在投标截止时间前，通过互联网使用CA数字证书登录</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，将加密的电子投标文件上传。</w:t>
      </w:r>
    </w:p>
    <w:p w14:paraId="3D0DF169">
      <w:pPr>
        <w:autoSpaceDE w:val="0"/>
        <w:autoSpaceDN w:val="0"/>
        <w:adjustRightInd w:val="0"/>
        <w:snapToGrid w:val="0"/>
        <w:spacing w:line="45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 xml:space="preserve">5.2  </w:t>
      </w:r>
      <w:r>
        <w:rPr>
          <w:rFonts w:hint="eastAsia" w:ascii="宋体" w:hAnsi="宋体"/>
          <w:snapToGrid w:val="0"/>
          <w:color w:val="auto"/>
          <w:kern w:val="0"/>
          <w:szCs w:val="21"/>
          <w:highlight w:val="none"/>
        </w:rPr>
        <w:t>未按要求加密的电子投标文件，将无法上传至</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，逾期未完成上传投标文件的，视为撤回投标文件。</w:t>
      </w:r>
    </w:p>
    <w:p w14:paraId="234FFCDC">
      <w:pPr>
        <w:pStyle w:val="4"/>
        <w:spacing w:before="100" w:after="100" w:line="460" w:lineRule="exact"/>
        <w:rPr>
          <w:rFonts w:ascii="宋体" w:hAnsi="宋体"/>
          <w:snapToGrid w:val="0"/>
          <w:color w:val="auto"/>
          <w:sz w:val="28"/>
          <w:szCs w:val="28"/>
          <w:highlight w:val="none"/>
        </w:rPr>
      </w:pPr>
      <w:bookmarkStart w:id="64" w:name="_Toc277082541"/>
      <w:bookmarkStart w:id="65" w:name="_Toc200359432"/>
      <w:bookmarkStart w:id="66" w:name="_Toc287620672"/>
      <w:bookmarkStart w:id="67" w:name="_Toc430530421"/>
      <w:bookmarkStart w:id="68" w:name="_Toc200359243"/>
      <w:bookmarkStart w:id="69" w:name="_Toc224103304"/>
      <w:bookmarkStart w:id="70" w:name="_Toc509218697"/>
      <w:bookmarkStart w:id="71" w:name="_Toc57820547"/>
      <w:bookmarkStart w:id="72" w:name="_Toc287607733"/>
      <w:r>
        <w:rPr>
          <w:rFonts w:ascii="宋体" w:hAnsi="宋体"/>
          <w:snapToGrid w:val="0"/>
          <w:color w:val="auto"/>
          <w:sz w:val="28"/>
          <w:szCs w:val="28"/>
          <w:highlight w:val="none"/>
        </w:rPr>
        <w:t xml:space="preserve">6.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发布公告的媒介</w:t>
      </w:r>
      <w:bookmarkEnd w:id="64"/>
      <w:bookmarkEnd w:id="65"/>
      <w:bookmarkEnd w:id="66"/>
      <w:bookmarkEnd w:id="67"/>
      <w:bookmarkEnd w:id="68"/>
      <w:bookmarkEnd w:id="69"/>
      <w:bookmarkEnd w:id="70"/>
      <w:bookmarkEnd w:id="71"/>
      <w:bookmarkEnd w:id="72"/>
    </w:p>
    <w:p w14:paraId="1D5EBDF4">
      <w:pPr>
        <w:tabs>
          <w:tab w:val="left" w:pos="4950"/>
        </w:tabs>
        <w:autoSpaceDE w:val="0"/>
        <w:autoSpaceDN w:val="0"/>
        <w:adjustRightInd w:val="0"/>
        <w:snapToGrid w:val="0"/>
        <w:spacing w:line="450" w:lineRule="exact"/>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本次招标公告同时在</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（发布公告的媒介名称）</w:t>
      </w:r>
      <w:r>
        <w:rPr>
          <w:rFonts w:ascii="宋体" w:hAnsi="宋体"/>
          <w:snapToGrid w:val="0"/>
          <w:color w:val="auto"/>
          <w:kern w:val="0"/>
          <w:szCs w:val="21"/>
          <w:highlight w:val="none"/>
        </w:rPr>
        <w:t>上发布。</w:t>
      </w:r>
    </w:p>
    <w:p w14:paraId="102FA5BA">
      <w:pPr>
        <w:tabs>
          <w:tab w:val="left" w:pos="4950"/>
        </w:tabs>
        <w:autoSpaceDE w:val="0"/>
        <w:autoSpaceDN w:val="0"/>
        <w:adjustRightInd w:val="0"/>
        <w:snapToGrid w:val="0"/>
        <w:spacing w:line="450" w:lineRule="exact"/>
        <w:ind w:firstLine="420" w:firstLineChars="200"/>
        <w:rPr>
          <w:rFonts w:ascii="宋体" w:hAnsi="宋体"/>
          <w:snapToGrid w:val="0"/>
          <w:color w:val="auto"/>
          <w:kern w:val="0"/>
          <w:szCs w:val="21"/>
          <w:highlight w:val="none"/>
        </w:rPr>
      </w:pPr>
      <w:r>
        <w:rPr>
          <w:rFonts w:hint="eastAsia" w:ascii="宋体" w:hAnsi="宋体"/>
          <w:i/>
          <w:snapToGrid w:val="0"/>
          <w:color w:val="auto"/>
          <w:kern w:val="0"/>
          <w:szCs w:val="21"/>
          <w:highlight w:val="none"/>
        </w:rPr>
        <w:t>[提示：依法必须招标项目的招标公告，必须在重庆市公共资源交易监督网发布。]</w:t>
      </w:r>
    </w:p>
    <w:p w14:paraId="168E1922">
      <w:pPr>
        <w:pStyle w:val="4"/>
        <w:spacing w:before="100" w:after="100" w:line="460" w:lineRule="exact"/>
        <w:rPr>
          <w:rFonts w:ascii="宋体" w:hAnsi="宋体"/>
          <w:snapToGrid w:val="0"/>
          <w:color w:val="auto"/>
          <w:sz w:val="28"/>
          <w:szCs w:val="28"/>
          <w:highlight w:val="none"/>
        </w:rPr>
      </w:pPr>
      <w:bookmarkStart w:id="73" w:name="_Toc224103305"/>
      <w:bookmarkStart w:id="74" w:name="_Toc277082542"/>
      <w:bookmarkStart w:id="75" w:name="_Toc287607734"/>
      <w:bookmarkStart w:id="76" w:name="_Toc287620673"/>
      <w:bookmarkStart w:id="77" w:name="_Toc430530422"/>
      <w:bookmarkStart w:id="78" w:name="_Toc509218698"/>
      <w:bookmarkStart w:id="79" w:name="_Toc57820548"/>
      <w:r>
        <w:rPr>
          <w:rFonts w:ascii="宋体" w:hAnsi="宋体"/>
          <w:snapToGrid w:val="0"/>
          <w:color w:val="auto"/>
          <w:sz w:val="28"/>
          <w:szCs w:val="28"/>
          <w:highlight w:val="none"/>
        </w:rPr>
        <w:t xml:space="preserve">7.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联系方式</w:t>
      </w:r>
      <w:bookmarkEnd w:id="73"/>
      <w:bookmarkEnd w:id="74"/>
      <w:bookmarkEnd w:id="75"/>
      <w:bookmarkEnd w:id="76"/>
      <w:bookmarkEnd w:id="77"/>
      <w:bookmarkEnd w:id="78"/>
      <w:bookmarkEnd w:id="79"/>
    </w:p>
    <w:p w14:paraId="1474BAD6">
      <w:pPr>
        <w:tabs>
          <w:tab w:val="left" w:pos="5140"/>
          <w:tab w:val="left" w:pos="85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招 标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招标代理机构：</w:t>
      </w:r>
      <w:r>
        <w:rPr>
          <w:rFonts w:ascii="宋体" w:hAnsi="宋体"/>
          <w:snapToGrid w:val="0"/>
          <w:color w:val="auto"/>
          <w:kern w:val="0"/>
          <w:szCs w:val="21"/>
          <w:highlight w:val="none"/>
          <w:u w:val="single"/>
        </w:rPr>
        <w:t xml:space="preserve">                            </w:t>
      </w:r>
    </w:p>
    <w:p w14:paraId="651A1119">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地    址：</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地    址：</w:t>
      </w:r>
      <w:r>
        <w:rPr>
          <w:rFonts w:ascii="宋体" w:hAnsi="宋体"/>
          <w:snapToGrid w:val="0"/>
          <w:color w:val="auto"/>
          <w:kern w:val="0"/>
          <w:position w:val="-3"/>
          <w:szCs w:val="21"/>
          <w:highlight w:val="none"/>
          <w:u w:val="single"/>
        </w:rPr>
        <w:t xml:space="preserve">                                </w:t>
      </w:r>
    </w:p>
    <w:p w14:paraId="7B50C7BA">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position w:val="-3"/>
          <w:szCs w:val="21"/>
          <w:highlight w:val="none"/>
        </w:rPr>
        <w:t>邮    编：</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w:t>
      </w:r>
      <w:r>
        <w:rPr>
          <w:rFonts w:ascii="宋体" w:hAnsi="宋体"/>
          <w:snapToGrid w:val="0"/>
          <w:color w:val="auto"/>
          <w:kern w:val="0"/>
          <w:position w:val="-3"/>
          <w:szCs w:val="21"/>
          <w:highlight w:val="none"/>
        </w:rPr>
        <w:t>邮    编：</w:t>
      </w:r>
      <w:r>
        <w:rPr>
          <w:rFonts w:ascii="宋体" w:hAnsi="宋体"/>
          <w:snapToGrid w:val="0"/>
          <w:color w:val="auto"/>
          <w:kern w:val="0"/>
          <w:position w:val="-3"/>
          <w:szCs w:val="21"/>
          <w:highlight w:val="none"/>
          <w:u w:val="single"/>
        </w:rPr>
        <w:t xml:space="preserve">                                </w:t>
      </w:r>
    </w:p>
    <w:p w14:paraId="7EF2C17F">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联 系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联 系 人：</w:t>
      </w:r>
      <w:r>
        <w:rPr>
          <w:rFonts w:ascii="宋体" w:hAnsi="宋体"/>
          <w:snapToGrid w:val="0"/>
          <w:color w:val="auto"/>
          <w:kern w:val="0"/>
          <w:szCs w:val="21"/>
          <w:highlight w:val="none"/>
          <w:u w:val="single"/>
        </w:rPr>
        <w:t xml:space="preserve">                                </w:t>
      </w:r>
    </w:p>
    <w:p w14:paraId="08E634DD">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    话：</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    话：</w:t>
      </w:r>
      <w:r>
        <w:rPr>
          <w:rFonts w:ascii="宋体" w:hAnsi="宋体"/>
          <w:snapToGrid w:val="0"/>
          <w:color w:val="auto"/>
          <w:kern w:val="0"/>
          <w:szCs w:val="21"/>
          <w:highlight w:val="none"/>
          <w:u w:val="single"/>
        </w:rPr>
        <w:t xml:space="preserve">                                 </w:t>
      </w:r>
    </w:p>
    <w:p w14:paraId="683D5F48">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传    真：</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传    真：</w:t>
      </w:r>
      <w:r>
        <w:rPr>
          <w:rFonts w:ascii="宋体" w:hAnsi="宋体"/>
          <w:snapToGrid w:val="0"/>
          <w:color w:val="auto"/>
          <w:kern w:val="0"/>
          <w:szCs w:val="21"/>
          <w:highlight w:val="none"/>
          <w:u w:val="single"/>
        </w:rPr>
        <w:t xml:space="preserve">                                 </w:t>
      </w:r>
    </w:p>
    <w:p w14:paraId="6683B803">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电子邮件：</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电子邮件：</w:t>
      </w:r>
      <w:r>
        <w:rPr>
          <w:rFonts w:ascii="宋体" w:hAnsi="宋体"/>
          <w:snapToGrid w:val="0"/>
          <w:color w:val="auto"/>
          <w:kern w:val="0"/>
          <w:szCs w:val="21"/>
          <w:highlight w:val="none"/>
          <w:u w:val="single"/>
        </w:rPr>
        <w:t xml:space="preserve">                                </w:t>
      </w:r>
    </w:p>
    <w:p w14:paraId="0A5FE38F">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开户银行：</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开户银行：</w:t>
      </w:r>
      <w:r>
        <w:rPr>
          <w:rFonts w:ascii="宋体" w:hAnsi="宋体"/>
          <w:snapToGrid w:val="0"/>
          <w:color w:val="auto"/>
          <w:kern w:val="0"/>
          <w:szCs w:val="21"/>
          <w:highlight w:val="none"/>
          <w:u w:val="single"/>
        </w:rPr>
        <w:t xml:space="preserve">                                </w:t>
      </w:r>
    </w:p>
    <w:p w14:paraId="6403F5ED">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账    号：</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账    号：</w:t>
      </w:r>
      <w:r>
        <w:rPr>
          <w:rFonts w:ascii="宋体" w:hAnsi="宋体"/>
          <w:snapToGrid w:val="0"/>
          <w:color w:val="auto"/>
          <w:kern w:val="0"/>
          <w:szCs w:val="21"/>
          <w:highlight w:val="none"/>
          <w:u w:val="single"/>
        </w:rPr>
        <w:t xml:space="preserve">                                </w:t>
      </w:r>
    </w:p>
    <w:p w14:paraId="5F843BC2">
      <w:pPr>
        <w:tabs>
          <w:tab w:val="left" w:pos="5140"/>
          <w:tab w:val="left" w:pos="8420"/>
        </w:tabs>
        <w:autoSpaceDE w:val="0"/>
        <w:autoSpaceDN w:val="0"/>
        <w:adjustRightInd w:val="0"/>
        <w:snapToGrid w:val="0"/>
        <w:spacing w:line="400" w:lineRule="exact"/>
        <w:jc w:val="left"/>
        <w:rPr>
          <w:rFonts w:ascii="宋体" w:hAnsi="宋体"/>
          <w:snapToGrid w:val="0"/>
          <w:color w:val="auto"/>
          <w:kern w:val="0"/>
          <w:szCs w:val="21"/>
          <w:highlight w:val="none"/>
          <w:u w:val="single"/>
        </w:rPr>
      </w:pPr>
    </w:p>
    <w:p w14:paraId="5285E9FC">
      <w:pPr>
        <w:autoSpaceDE w:val="0"/>
        <w:autoSpaceDN w:val="0"/>
        <w:adjustRightInd w:val="0"/>
        <w:snapToGrid w:val="0"/>
        <w:spacing w:line="440" w:lineRule="exact"/>
        <w:ind w:firstLine="3906" w:firstLineChars="1860"/>
        <w:jc w:val="right"/>
        <w:rPr>
          <w:rFonts w:hint="eastAsia" w:ascii="宋体" w:hAnsi="宋体"/>
          <w:snapToGrid w:val="0"/>
          <w:color w:val="auto"/>
          <w:kern w:val="0"/>
          <w:sz w:val="20"/>
          <w:szCs w:val="20"/>
          <w:highlight w:val="none"/>
        </w:rPr>
      </w:pP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rPr>
        <w:t xml:space="preserve">  </w:t>
      </w:r>
    </w:p>
    <w:p w14:paraId="633163BE">
      <w:pPr>
        <w:pStyle w:val="3"/>
        <w:spacing w:before="0" w:after="0" w:line="200" w:lineRule="exact"/>
        <w:jc w:val="center"/>
        <w:rPr>
          <w:rFonts w:ascii="宋体" w:hAnsi="宋体"/>
          <w:snapToGrid w:val="0"/>
          <w:color w:val="auto"/>
          <w:kern w:val="0"/>
          <w:szCs w:val="21"/>
          <w:highlight w:val="none"/>
        </w:rPr>
      </w:pPr>
      <w:r>
        <w:rPr>
          <w:rFonts w:ascii="宋体" w:hAnsi="宋体"/>
          <w:snapToGrid w:val="0"/>
          <w:color w:val="auto"/>
          <w:kern w:val="0"/>
          <w:szCs w:val="21"/>
          <w:highlight w:val="none"/>
        </w:rPr>
        <w:br w:type="page"/>
      </w:r>
      <w:bookmarkStart w:id="80" w:name="_Toc224103306"/>
      <w:bookmarkStart w:id="81" w:name="_Toc287620674"/>
      <w:bookmarkStart w:id="82" w:name="_Toc430530423"/>
      <w:bookmarkStart w:id="83" w:name="_Toc287607735"/>
    </w:p>
    <w:p w14:paraId="23D0E0BB">
      <w:pPr>
        <w:pStyle w:val="3"/>
        <w:spacing w:line="360" w:lineRule="auto"/>
        <w:jc w:val="center"/>
        <w:rPr>
          <w:rFonts w:ascii="宋体" w:hAnsi="宋体"/>
          <w:snapToGrid w:val="0"/>
          <w:color w:val="auto"/>
          <w:highlight w:val="none"/>
        </w:rPr>
      </w:pPr>
      <w:bookmarkStart w:id="84" w:name="_Toc509218699"/>
      <w:bookmarkStart w:id="85" w:name="_Toc57820549"/>
      <w:r>
        <w:rPr>
          <w:rFonts w:ascii="宋体" w:hAnsi="宋体"/>
          <w:snapToGrid w:val="0"/>
          <w:color w:val="auto"/>
          <w:highlight w:val="none"/>
        </w:rPr>
        <w:t>第一章  投标邀请书（</w:t>
      </w:r>
      <w:r>
        <w:rPr>
          <w:rFonts w:hint="eastAsia" w:ascii="宋体" w:hAnsi="宋体"/>
          <w:snapToGrid w:val="0"/>
          <w:color w:val="auto"/>
          <w:highlight w:val="none"/>
        </w:rPr>
        <w:t>适用于邀请招标</w:t>
      </w:r>
      <w:r>
        <w:rPr>
          <w:rFonts w:ascii="宋体" w:hAnsi="宋体"/>
          <w:snapToGrid w:val="0"/>
          <w:color w:val="auto"/>
          <w:highlight w:val="none"/>
        </w:rPr>
        <w:t>）</w:t>
      </w:r>
      <w:bookmarkEnd w:id="80"/>
      <w:bookmarkEnd w:id="81"/>
      <w:bookmarkEnd w:id="82"/>
      <w:bookmarkEnd w:id="83"/>
      <w:bookmarkEnd w:id="84"/>
      <w:bookmarkEnd w:id="85"/>
    </w:p>
    <w:p w14:paraId="77A7CAFB">
      <w:pPr>
        <w:tabs>
          <w:tab w:val="left" w:pos="3425"/>
          <w:tab w:val="left" w:pos="5520"/>
        </w:tabs>
        <w:autoSpaceDE w:val="0"/>
        <w:autoSpaceDN w:val="0"/>
        <w:adjustRightInd w:val="0"/>
        <w:snapToGrid w:val="0"/>
        <w:spacing w:line="450" w:lineRule="exact"/>
        <w:jc w:val="center"/>
        <w:rPr>
          <w:rFonts w:ascii="宋体" w:hAnsi="宋体"/>
          <w:color w:val="auto"/>
          <w:kern w:val="0"/>
          <w:sz w:val="28"/>
          <w:szCs w:val="28"/>
          <w:highlight w:val="none"/>
        </w:rPr>
      </w:pPr>
      <w:r>
        <w:rPr>
          <w:rFonts w:hint="eastAsia" w:ascii="宋体" w:hAnsi="宋体"/>
          <w:snapToGrid w:val="0"/>
          <w:color w:val="auto"/>
          <w:kern w:val="0"/>
          <w:szCs w:val="21"/>
          <w:highlight w:val="none"/>
          <w:u w:val="single"/>
        </w:rPr>
        <w:t xml:space="preserve">                 </w:t>
      </w:r>
      <w:r>
        <w:rPr>
          <w:rFonts w:ascii="宋体" w:hAnsi="宋体"/>
          <w:color w:val="auto"/>
          <w:sz w:val="28"/>
          <w:szCs w:val="28"/>
          <w:highlight w:val="none"/>
          <w:u w:val="single"/>
        </w:rPr>
        <w:t>（项目名称）</w:t>
      </w:r>
      <w:r>
        <w:rPr>
          <w:rFonts w:ascii="宋体" w:hAnsi="宋体"/>
          <w:color w:val="auto"/>
          <w:w w:val="99"/>
          <w:kern w:val="0"/>
          <w:sz w:val="28"/>
          <w:szCs w:val="28"/>
          <w:highlight w:val="none"/>
        </w:rPr>
        <w:t>投标邀请书</w:t>
      </w:r>
    </w:p>
    <w:p w14:paraId="2720AEA2">
      <w:pPr>
        <w:tabs>
          <w:tab w:val="left" w:pos="2940"/>
        </w:tabs>
        <w:autoSpaceDE w:val="0"/>
        <w:autoSpaceDN w:val="0"/>
        <w:adjustRightInd w:val="0"/>
        <w:snapToGrid w:val="0"/>
        <w:spacing w:line="450" w:lineRule="exact"/>
        <w:jc w:val="left"/>
        <w:rPr>
          <w:rFonts w:ascii="宋体" w:hAnsi="宋体"/>
          <w:b/>
          <w:snapToGrid w:val="0"/>
          <w:color w:val="auto"/>
          <w:sz w:val="28"/>
          <w:szCs w:val="28"/>
          <w:highlight w:val="none"/>
        </w:rPr>
      </w:pP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（被邀请单位名称）</w:t>
      </w:r>
      <w:r>
        <w:rPr>
          <w:rFonts w:ascii="宋体" w:hAnsi="宋体"/>
          <w:b/>
          <w:snapToGrid w:val="0"/>
          <w:color w:val="auto"/>
          <w:kern w:val="0"/>
          <w:szCs w:val="21"/>
          <w:highlight w:val="none"/>
        </w:rPr>
        <w:t>：</w:t>
      </w:r>
    </w:p>
    <w:p w14:paraId="0B3250EC">
      <w:pPr>
        <w:pStyle w:val="4"/>
        <w:spacing w:before="100" w:after="100" w:line="450" w:lineRule="exact"/>
        <w:rPr>
          <w:rFonts w:ascii="宋体" w:hAnsi="宋体"/>
          <w:snapToGrid w:val="0"/>
          <w:color w:val="auto"/>
          <w:sz w:val="28"/>
          <w:szCs w:val="28"/>
          <w:highlight w:val="none"/>
        </w:rPr>
      </w:pPr>
      <w:bookmarkStart w:id="86" w:name="_Toc287607736"/>
      <w:bookmarkStart w:id="87" w:name="_Toc224103307"/>
      <w:bookmarkStart w:id="88" w:name="_Toc277082543"/>
      <w:bookmarkStart w:id="89" w:name="_Toc57820550"/>
      <w:bookmarkStart w:id="90" w:name="_Toc430530424"/>
      <w:bookmarkStart w:id="91" w:name="_Toc509218700"/>
      <w:bookmarkStart w:id="92" w:name="_Toc287620675"/>
      <w:r>
        <w:rPr>
          <w:rFonts w:ascii="宋体" w:hAnsi="宋体"/>
          <w:snapToGrid w:val="0"/>
          <w:color w:val="auto"/>
          <w:sz w:val="28"/>
          <w:szCs w:val="28"/>
          <w:highlight w:val="none"/>
        </w:rPr>
        <w:t>1.  招标条件</w:t>
      </w:r>
      <w:bookmarkEnd w:id="86"/>
      <w:bookmarkEnd w:id="87"/>
      <w:bookmarkEnd w:id="88"/>
      <w:bookmarkEnd w:id="89"/>
      <w:bookmarkEnd w:id="90"/>
      <w:bookmarkEnd w:id="91"/>
      <w:bookmarkEnd w:id="92"/>
    </w:p>
    <w:p w14:paraId="1AB545BB">
      <w:pPr>
        <w:tabs>
          <w:tab w:val="left" w:pos="4305"/>
          <w:tab w:val="left" w:pos="4640"/>
          <w:tab w:val="left" w:pos="7240"/>
        </w:tabs>
        <w:autoSpaceDE w:val="0"/>
        <w:autoSpaceDN w:val="0"/>
        <w:adjustRightInd w:val="0"/>
        <w:snapToGrid w:val="0"/>
        <w:spacing w:line="450" w:lineRule="exact"/>
        <w:ind w:firstLine="420"/>
        <w:rPr>
          <w:rFonts w:ascii="宋体" w:hAnsi="宋体"/>
          <w:snapToGrid w:val="0"/>
          <w:color w:val="auto"/>
          <w:kern w:val="0"/>
          <w:szCs w:val="21"/>
          <w:highlight w:val="none"/>
        </w:rPr>
      </w:pPr>
      <w:r>
        <w:rPr>
          <w:rFonts w:ascii="宋体" w:hAnsi="宋体"/>
          <w:snapToGrid w:val="0"/>
          <w:color w:val="auto"/>
          <w:kern w:val="0"/>
          <w:szCs w:val="21"/>
          <w:highlight w:val="none"/>
        </w:rPr>
        <w:t>本招标项目</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已由</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（项目审批、 核准或备案机关名称）</w:t>
      </w:r>
      <w:r>
        <w:rPr>
          <w:rFonts w:ascii="宋体" w:hAnsi="宋体"/>
          <w:snapToGrid w:val="0"/>
          <w:color w:val="auto"/>
          <w:kern w:val="0"/>
          <w:szCs w:val="21"/>
          <w:highlight w:val="none"/>
        </w:rPr>
        <w:t>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（批文名称及编号）</w:t>
      </w:r>
      <w:r>
        <w:rPr>
          <w:rFonts w:ascii="宋体" w:hAnsi="宋体"/>
          <w:snapToGrid w:val="0"/>
          <w:color w:val="auto"/>
          <w:kern w:val="0"/>
          <w:szCs w:val="21"/>
          <w:highlight w:val="none"/>
        </w:rPr>
        <w:t>批准建设，项目业主为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，建设资金来自</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（资金来源）</w:t>
      </w:r>
      <w:r>
        <w:rPr>
          <w:rFonts w:ascii="宋体" w:hAnsi="宋体"/>
          <w:snapToGrid w:val="0"/>
          <w:color w:val="auto"/>
          <w:kern w:val="0"/>
          <w:szCs w:val="21"/>
          <w:highlight w:val="none"/>
        </w:rPr>
        <w:t>，项目出资比例为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，招标人为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。项目已具备招标条件，现邀请你单位参加</w:t>
      </w:r>
      <w:r>
        <w:rPr>
          <w:rFonts w:hint="eastAsia" w:ascii="宋体" w:hAnsi="宋体"/>
          <w:snapToGrid w:val="0"/>
          <w:color w:val="auto"/>
          <w:kern w:val="0"/>
          <w:szCs w:val="21"/>
          <w:highlight w:val="none"/>
          <w:u w:val="single"/>
        </w:rPr>
        <w:t>该项目的施工</w:t>
      </w:r>
      <w:r>
        <w:rPr>
          <w:rFonts w:ascii="宋体" w:hAnsi="宋体"/>
          <w:snapToGrid w:val="0"/>
          <w:color w:val="auto"/>
          <w:kern w:val="0"/>
          <w:szCs w:val="21"/>
          <w:highlight w:val="none"/>
        </w:rPr>
        <w:t>投标。</w:t>
      </w:r>
    </w:p>
    <w:p w14:paraId="576F015B">
      <w:pPr>
        <w:pStyle w:val="4"/>
        <w:spacing w:before="100" w:after="100" w:line="450" w:lineRule="exact"/>
        <w:rPr>
          <w:rFonts w:ascii="宋体" w:hAnsi="宋体"/>
          <w:snapToGrid w:val="0"/>
          <w:color w:val="auto"/>
          <w:sz w:val="28"/>
          <w:szCs w:val="28"/>
          <w:highlight w:val="none"/>
        </w:rPr>
      </w:pPr>
      <w:bookmarkStart w:id="93" w:name="_Toc287607737"/>
      <w:bookmarkStart w:id="94" w:name="_Toc287620676"/>
      <w:bookmarkStart w:id="95" w:name="_Toc430530425"/>
      <w:bookmarkStart w:id="96" w:name="_Toc277082544"/>
      <w:bookmarkStart w:id="97" w:name="_Toc509218701"/>
      <w:bookmarkStart w:id="98" w:name="_Toc224103308"/>
      <w:bookmarkStart w:id="99" w:name="_Toc57820551"/>
      <w:r>
        <w:rPr>
          <w:rFonts w:ascii="宋体" w:hAnsi="宋体"/>
          <w:snapToGrid w:val="0"/>
          <w:color w:val="auto"/>
          <w:sz w:val="28"/>
          <w:szCs w:val="28"/>
          <w:highlight w:val="none"/>
        </w:rPr>
        <w:t>2.  项目概况与招标范围</w:t>
      </w:r>
      <w:bookmarkEnd w:id="93"/>
      <w:bookmarkEnd w:id="94"/>
      <w:bookmarkEnd w:id="95"/>
      <w:bookmarkEnd w:id="96"/>
      <w:bookmarkEnd w:id="97"/>
      <w:bookmarkEnd w:id="98"/>
      <w:bookmarkEnd w:id="99"/>
    </w:p>
    <w:p w14:paraId="5EE63424">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u w:val="single"/>
        </w:rPr>
      </w:pPr>
      <w:r>
        <w:rPr>
          <w:rFonts w:hint="eastAsia" w:ascii="宋体" w:hAnsi="宋体"/>
          <w:snapToGrid w:val="0"/>
          <w:color w:val="auto"/>
          <w:kern w:val="0"/>
          <w:szCs w:val="21"/>
          <w:highlight w:val="none"/>
        </w:rPr>
        <w:t>2.1 建设地点：</w:t>
      </w:r>
      <w:r>
        <w:rPr>
          <w:rFonts w:hint="eastAsia" w:ascii="宋体" w:hAnsi="宋体"/>
          <w:snapToGrid w:val="0"/>
          <w:color w:val="auto"/>
          <w:kern w:val="0"/>
          <w:szCs w:val="21"/>
          <w:highlight w:val="none"/>
          <w:u w:val="single"/>
        </w:rPr>
        <w:t xml:space="preserve">        </w:t>
      </w:r>
    </w:p>
    <w:p w14:paraId="391A3456">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2.2 项目概况与建设规模：</w:t>
      </w:r>
      <w:r>
        <w:rPr>
          <w:rFonts w:hint="eastAsia" w:ascii="宋体" w:hAnsi="宋体"/>
          <w:snapToGrid w:val="0"/>
          <w:color w:val="auto"/>
          <w:kern w:val="0"/>
          <w:szCs w:val="21"/>
          <w:highlight w:val="none"/>
          <w:u w:val="single"/>
        </w:rPr>
        <w:t xml:space="preserve">        </w:t>
      </w:r>
    </w:p>
    <w:p w14:paraId="16712922">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i/>
          <w:snapToGrid w:val="0"/>
          <w:color w:val="auto"/>
          <w:kern w:val="0"/>
          <w:szCs w:val="21"/>
          <w:highlight w:val="none"/>
        </w:rPr>
      </w:pPr>
      <w:r>
        <w:rPr>
          <w:rFonts w:hint="eastAsia" w:ascii="宋体" w:hAnsi="宋体"/>
          <w:i/>
          <w:snapToGrid w:val="0"/>
          <w:color w:val="auto"/>
          <w:kern w:val="0"/>
          <w:szCs w:val="21"/>
          <w:highlight w:val="none"/>
        </w:rPr>
        <w:t>[提示：若设置投标人业绩资质条件，项目建设规模应体现与业绩对应的规模参数，包括但不限于：建筑面积、高度、长度、道路等级等。]</w:t>
      </w:r>
    </w:p>
    <w:p w14:paraId="56E5DBBD">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u w:val="single"/>
        </w:rPr>
      </w:pPr>
      <w:r>
        <w:rPr>
          <w:rFonts w:hint="eastAsia" w:ascii="宋体" w:hAnsi="宋体"/>
          <w:snapToGrid w:val="0"/>
          <w:color w:val="auto"/>
          <w:kern w:val="0"/>
          <w:szCs w:val="21"/>
          <w:highlight w:val="none"/>
        </w:rPr>
        <w:t>2.3 □本次招标项目工程总投资额：</w:t>
      </w:r>
      <w:r>
        <w:rPr>
          <w:rFonts w:hint="eastAsia" w:ascii="宋体" w:hAnsi="宋体"/>
          <w:snapToGrid w:val="0"/>
          <w:color w:val="auto"/>
          <w:kern w:val="0"/>
          <w:szCs w:val="21"/>
          <w:highlight w:val="none"/>
          <w:u w:val="single"/>
        </w:rPr>
        <w:t xml:space="preserve">        </w:t>
      </w:r>
    </w:p>
    <w:p w14:paraId="707DF9D9">
      <w:pPr>
        <w:tabs>
          <w:tab w:val="left" w:pos="3840"/>
          <w:tab w:val="left" w:pos="5300"/>
        </w:tabs>
        <w:autoSpaceDE w:val="0"/>
        <w:autoSpaceDN w:val="0"/>
        <w:adjustRightInd w:val="0"/>
        <w:snapToGrid w:val="0"/>
        <w:spacing w:line="460" w:lineRule="exact"/>
        <w:ind w:firstLine="840" w:firstLineChars="400"/>
        <w:jc w:val="left"/>
        <w:rPr>
          <w:rFonts w:hint="eastAsia" w:ascii="宋体" w:hAnsi="宋体"/>
          <w:snapToGrid w:val="0"/>
          <w:color w:val="auto"/>
          <w:kern w:val="0"/>
          <w:szCs w:val="21"/>
          <w:highlight w:val="none"/>
          <w:u w:val="single"/>
        </w:rPr>
      </w:pPr>
      <w:r>
        <w:rPr>
          <w:rFonts w:hint="eastAsia" w:ascii="宋体" w:hAnsi="宋体"/>
          <w:snapToGrid w:val="0"/>
          <w:color w:val="auto"/>
          <w:kern w:val="0"/>
          <w:szCs w:val="21"/>
          <w:highlight w:val="none"/>
        </w:rPr>
        <w:t>□本次招标项目合同估算金额：</w:t>
      </w:r>
      <w:r>
        <w:rPr>
          <w:rFonts w:hint="eastAsia" w:ascii="宋体" w:hAnsi="宋体"/>
          <w:snapToGrid w:val="0"/>
          <w:color w:val="auto"/>
          <w:kern w:val="0"/>
          <w:szCs w:val="21"/>
          <w:highlight w:val="none"/>
          <w:u w:val="single"/>
        </w:rPr>
        <w:t xml:space="preserve">        </w:t>
      </w:r>
    </w:p>
    <w:p w14:paraId="65C9A21E">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u w:val="single"/>
        </w:rPr>
      </w:pPr>
      <w:r>
        <w:rPr>
          <w:rFonts w:hint="eastAsia" w:ascii="宋体" w:hAnsi="宋体"/>
          <w:snapToGrid w:val="0"/>
          <w:color w:val="auto"/>
          <w:kern w:val="0"/>
          <w:szCs w:val="21"/>
          <w:highlight w:val="none"/>
        </w:rPr>
        <w:t>2.4 招标范围：</w:t>
      </w:r>
      <w:r>
        <w:rPr>
          <w:rFonts w:hint="eastAsia" w:ascii="宋体" w:hAnsi="宋体"/>
          <w:snapToGrid w:val="0"/>
          <w:color w:val="auto"/>
          <w:kern w:val="0"/>
          <w:szCs w:val="21"/>
          <w:highlight w:val="none"/>
          <w:u w:val="single"/>
        </w:rPr>
        <w:t xml:space="preserve">        </w:t>
      </w:r>
    </w:p>
    <w:p w14:paraId="745DAC5A">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u w:val="single"/>
        </w:rPr>
      </w:pPr>
      <w:r>
        <w:rPr>
          <w:rFonts w:hint="eastAsia" w:ascii="宋体" w:hAnsi="宋体"/>
          <w:i/>
          <w:snapToGrid w:val="0"/>
          <w:color w:val="auto"/>
          <w:kern w:val="0"/>
          <w:szCs w:val="21"/>
          <w:highlight w:val="none"/>
        </w:rPr>
        <w:t>[提示：</w:t>
      </w:r>
      <w:r>
        <w:rPr>
          <w:rFonts w:ascii="宋体" w:hAnsi="宋体"/>
          <w:i/>
          <w:color w:val="auto"/>
          <w:szCs w:val="21"/>
          <w:highlight w:val="none"/>
        </w:rPr>
        <w:t>招标范围应准确明了，</w:t>
      </w:r>
      <w:r>
        <w:rPr>
          <w:rFonts w:hint="eastAsia" w:ascii="宋体" w:hAnsi="宋体"/>
          <w:i/>
          <w:color w:val="auto"/>
          <w:szCs w:val="21"/>
          <w:highlight w:val="none"/>
        </w:rPr>
        <w:t>按照项目审批、核准、备案文件</w:t>
      </w:r>
      <w:r>
        <w:rPr>
          <w:rFonts w:ascii="宋体" w:hAnsi="宋体"/>
          <w:i/>
          <w:color w:val="auto"/>
          <w:szCs w:val="21"/>
          <w:highlight w:val="none"/>
        </w:rPr>
        <w:t>采用工程专业术语</w:t>
      </w:r>
      <w:r>
        <w:rPr>
          <w:rFonts w:hint="eastAsia" w:ascii="宋体" w:hAnsi="宋体"/>
          <w:i/>
          <w:color w:val="auto"/>
          <w:szCs w:val="21"/>
          <w:highlight w:val="none"/>
        </w:rPr>
        <w:t>进行</w:t>
      </w:r>
      <w:r>
        <w:rPr>
          <w:rFonts w:ascii="宋体" w:hAnsi="宋体"/>
          <w:i/>
          <w:color w:val="auto"/>
          <w:szCs w:val="21"/>
          <w:highlight w:val="none"/>
        </w:rPr>
        <w:t>填写</w:t>
      </w:r>
      <w:r>
        <w:rPr>
          <w:rFonts w:hint="eastAsia" w:ascii="宋体" w:hAnsi="宋体"/>
          <w:i/>
          <w:color w:val="auto"/>
          <w:szCs w:val="21"/>
          <w:highlight w:val="none"/>
        </w:rPr>
        <w:t>。</w:t>
      </w:r>
      <w:r>
        <w:rPr>
          <w:rFonts w:hint="eastAsia" w:ascii="宋体" w:hAnsi="宋体"/>
          <w:i/>
          <w:snapToGrid w:val="0"/>
          <w:color w:val="auto"/>
          <w:kern w:val="0"/>
          <w:szCs w:val="21"/>
          <w:highlight w:val="none"/>
        </w:rPr>
        <w:t>]</w:t>
      </w:r>
    </w:p>
    <w:p w14:paraId="6C7290D5">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u w:val="single"/>
        </w:rPr>
      </w:pPr>
      <w:r>
        <w:rPr>
          <w:rFonts w:hint="eastAsia" w:ascii="宋体" w:hAnsi="宋体"/>
          <w:snapToGrid w:val="0"/>
          <w:color w:val="auto"/>
          <w:kern w:val="0"/>
          <w:szCs w:val="21"/>
          <w:highlight w:val="none"/>
        </w:rPr>
        <w:t>2.5 工期要求：</w:t>
      </w:r>
      <w:r>
        <w:rPr>
          <w:rFonts w:hint="eastAsia" w:ascii="宋体" w:hAnsi="宋体"/>
          <w:snapToGrid w:val="0"/>
          <w:color w:val="auto"/>
          <w:kern w:val="0"/>
          <w:szCs w:val="21"/>
          <w:highlight w:val="none"/>
          <w:u w:val="single"/>
        </w:rPr>
        <w:t xml:space="preserve">        日历天</w:t>
      </w:r>
    </w:p>
    <w:p w14:paraId="5952D8FE">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 xml:space="preserve">    缺陷责任期要求：</w:t>
      </w:r>
      <w:r>
        <w:rPr>
          <w:rFonts w:hint="eastAsia" w:ascii="宋体" w:hAnsi="宋体"/>
          <w:snapToGrid w:val="0"/>
          <w:color w:val="auto"/>
          <w:kern w:val="0"/>
          <w:szCs w:val="21"/>
          <w:highlight w:val="none"/>
          <w:u w:val="single"/>
        </w:rPr>
        <w:t xml:space="preserve">        个月</w:t>
      </w:r>
    </w:p>
    <w:p w14:paraId="7B8F70DC">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2.6 标段划分（如有）：</w:t>
      </w:r>
      <w:r>
        <w:rPr>
          <w:rFonts w:hint="eastAsia" w:ascii="宋体" w:hAnsi="宋体"/>
          <w:snapToGrid w:val="0"/>
          <w:color w:val="auto"/>
          <w:kern w:val="0"/>
          <w:szCs w:val="21"/>
          <w:highlight w:val="none"/>
          <w:u w:val="single"/>
        </w:rPr>
        <w:t xml:space="preserve">        </w:t>
      </w:r>
    </w:p>
    <w:p w14:paraId="7620BEA6">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2.7 其他：</w:t>
      </w:r>
      <w:r>
        <w:rPr>
          <w:rFonts w:hint="eastAsia" w:ascii="宋体" w:hAnsi="宋体"/>
          <w:snapToGrid w:val="0"/>
          <w:color w:val="auto"/>
          <w:kern w:val="0"/>
          <w:szCs w:val="21"/>
          <w:highlight w:val="none"/>
          <w:u w:val="single"/>
        </w:rPr>
        <w:t xml:space="preserve">        </w:t>
      </w:r>
    </w:p>
    <w:p w14:paraId="3BB888C0">
      <w:pPr>
        <w:pStyle w:val="4"/>
        <w:spacing w:before="100" w:after="100" w:line="450" w:lineRule="exact"/>
        <w:rPr>
          <w:rFonts w:ascii="宋体" w:hAnsi="宋体"/>
          <w:snapToGrid w:val="0"/>
          <w:color w:val="auto"/>
          <w:sz w:val="28"/>
          <w:szCs w:val="28"/>
          <w:highlight w:val="none"/>
        </w:rPr>
      </w:pPr>
      <w:bookmarkStart w:id="100" w:name="_Toc277082545"/>
      <w:bookmarkStart w:id="101" w:name="_Toc430530426"/>
      <w:bookmarkStart w:id="102" w:name="_Toc224103309"/>
      <w:bookmarkStart w:id="103" w:name="_Toc287607738"/>
      <w:bookmarkStart w:id="104" w:name="_Toc509218702"/>
      <w:bookmarkStart w:id="105" w:name="_Toc57820552"/>
      <w:bookmarkStart w:id="106" w:name="_Toc287620677"/>
      <w:r>
        <w:rPr>
          <w:rFonts w:ascii="宋体" w:hAnsi="宋体"/>
          <w:snapToGrid w:val="0"/>
          <w:color w:val="auto"/>
          <w:sz w:val="28"/>
          <w:szCs w:val="28"/>
          <w:highlight w:val="none"/>
        </w:rPr>
        <w:t>3.  投标人资格要求</w:t>
      </w:r>
      <w:bookmarkEnd w:id="100"/>
      <w:bookmarkEnd w:id="101"/>
      <w:bookmarkEnd w:id="102"/>
      <w:bookmarkEnd w:id="103"/>
      <w:bookmarkEnd w:id="104"/>
      <w:bookmarkEnd w:id="105"/>
      <w:bookmarkEnd w:id="106"/>
    </w:p>
    <w:p w14:paraId="15154428">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rPr>
      </w:pPr>
      <w:r>
        <w:rPr>
          <w:rFonts w:ascii="宋体" w:hAnsi="宋体"/>
          <w:snapToGrid w:val="0"/>
          <w:color w:val="auto"/>
          <w:kern w:val="0"/>
          <w:szCs w:val="21"/>
          <w:highlight w:val="none"/>
        </w:rPr>
        <w:t>3.1  本次招标要求投标人须具备</w:t>
      </w:r>
      <w:r>
        <w:rPr>
          <w:rFonts w:hint="eastAsia" w:ascii="宋体" w:hAnsi="宋体"/>
          <w:snapToGrid w:val="0"/>
          <w:color w:val="auto"/>
          <w:kern w:val="0"/>
          <w:szCs w:val="21"/>
          <w:highlight w:val="none"/>
        </w:rPr>
        <w:t>以下条件：</w:t>
      </w:r>
    </w:p>
    <w:p w14:paraId="156247DC">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3.1.1 本次招标要求投标人具备的资质条件：</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w:t>
      </w:r>
    </w:p>
    <w:p w14:paraId="007EF994">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i/>
          <w:color w:val="auto"/>
          <w:szCs w:val="21"/>
          <w:highlight w:val="none"/>
        </w:rPr>
      </w:pPr>
      <w:r>
        <w:rPr>
          <w:rFonts w:hint="eastAsia" w:ascii="宋体" w:hAnsi="宋体"/>
          <w:i/>
          <w:color w:val="auto"/>
          <w:szCs w:val="21"/>
          <w:highlight w:val="none"/>
        </w:rPr>
        <w:t>[提示：资质的设定应执行《建筑业企业资质标准》（建市〔2014〕159号）及其修订、配套、补充文件的现行规定。施工总承包工程应设定施工总承包资质；设有专业承包资质的专业工程单独发包时，应由取得相应专业承包资质的企业承担，设有专业承包资质的两个及以上专业工程同时发包时，应当允许联合体投标；施工总承包工程中有施工总承包资质不能涵盖的工作内容的，应当允许联合体投标或分包。设置施工总承包资质的同时，不得再设置施工总承包资质已涵盖的任何专业承包资质。]</w:t>
      </w:r>
    </w:p>
    <w:p w14:paraId="45E8E79C">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□3.1.2 本次招标要求投标人具备的业绩条件：</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w:t>
      </w:r>
    </w:p>
    <w:p w14:paraId="28B10209">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i/>
          <w:color w:val="auto"/>
          <w:szCs w:val="21"/>
          <w:highlight w:val="none"/>
        </w:rPr>
      </w:pPr>
      <w:r>
        <w:rPr>
          <w:rFonts w:hint="eastAsia" w:ascii="宋体" w:hAnsi="宋体"/>
          <w:i/>
          <w:color w:val="auto"/>
          <w:szCs w:val="21"/>
          <w:highlight w:val="none"/>
        </w:rPr>
        <w:t>[提示：1、工程类别的设定原则上应当满足《建设工程分类标准》（GB/T 50841-2013）的要求，其具体要求使用至三级目录为止，具体详见《建设工程分类标准》（GB/T 50841-2013）附录A、附录B、附录C；2、采用金额为业绩条件的，其类似工程业绩金额的设定原则上不高于该招标项目估算价或经批准概算金额或最高限价的四分之三；3、采用工程规模的具体参数为业绩条件的，工程规模的类别设定应当采用《建筑业企业资质标准》（建市〔2014〕159号）中“承包工程范围”中明确设立了的工程规模类别，且工程规模的具体参数原则上不高于招标项目工程规模数值的四分之三（降低了相关规模标准等级的除外），投标人提供的业绩其具体参数应大于等于该业绩条件。]</w:t>
      </w:r>
    </w:p>
    <w:p w14:paraId="35AAB0B5">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3.1.3 投标人还应在人员、设备、资金等方面具有相应的施工能力，详见招标文件第二章投标人须知前附表第1.4.1项内容。</w:t>
      </w:r>
    </w:p>
    <w:p w14:paraId="00E3BCD3">
      <w:pPr>
        <w:tabs>
          <w:tab w:val="left" w:pos="2060"/>
          <w:tab w:val="left" w:pos="8205"/>
        </w:tabs>
        <w:autoSpaceDE w:val="0"/>
        <w:autoSpaceDN w:val="0"/>
        <w:adjustRightInd w:val="0"/>
        <w:snapToGrid w:val="0"/>
        <w:spacing w:line="450" w:lineRule="exact"/>
        <w:ind w:firstLine="405" w:firstLineChars="193"/>
        <w:jc w:val="left"/>
        <w:rPr>
          <w:rFonts w:hint="eastAsia" w:ascii="宋体" w:hAnsi="宋体"/>
          <w:snapToGrid w:val="0"/>
          <w:color w:val="auto"/>
          <w:kern w:val="0"/>
          <w:szCs w:val="21"/>
          <w:highlight w:val="none"/>
        </w:rPr>
      </w:pPr>
      <w:r>
        <w:rPr>
          <w:rFonts w:ascii="宋体" w:hAnsi="宋体"/>
          <w:snapToGrid w:val="0"/>
          <w:color w:val="auto"/>
          <w:kern w:val="0"/>
          <w:szCs w:val="21"/>
          <w:highlight w:val="none"/>
        </w:rPr>
        <w:t>3.2  你单位</w:t>
      </w:r>
      <w:r>
        <w:rPr>
          <w:rFonts w:hint="eastAsia" w:ascii="宋体" w:hAnsi="宋体"/>
          <w:snapToGrid w:val="0"/>
          <w:color w:val="auto"/>
          <w:kern w:val="0"/>
          <w:szCs w:val="21"/>
          <w:highlight w:val="none"/>
        </w:rPr>
        <w:t>□可以 □不可以</w:t>
      </w:r>
      <w:r>
        <w:rPr>
          <w:rFonts w:ascii="宋体" w:hAnsi="宋体"/>
          <w:snapToGrid w:val="0"/>
          <w:color w:val="auto"/>
          <w:kern w:val="0"/>
          <w:szCs w:val="21"/>
          <w:highlight w:val="none"/>
        </w:rPr>
        <w:t>组成联合体投标。联合体投标的，应满足下列要求：</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p>
    <w:p w14:paraId="4F1D03B4">
      <w:pPr>
        <w:tabs>
          <w:tab w:val="left" w:pos="2060"/>
          <w:tab w:val="left" w:pos="8205"/>
        </w:tabs>
        <w:autoSpaceDE w:val="0"/>
        <w:autoSpaceDN w:val="0"/>
        <w:adjustRightInd w:val="0"/>
        <w:snapToGrid w:val="0"/>
        <w:spacing w:line="450" w:lineRule="exact"/>
        <w:ind w:firstLine="405" w:firstLineChars="193"/>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w:t>
      </w:r>
      <w:r>
        <w:rPr>
          <w:rFonts w:hint="eastAsia" w:ascii="宋体" w:hAnsi="宋体" w:cs="宋体"/>
          <w:snapToGrid w:val="0"/>
          <w:color w:val="auto"/>
          <w:kern w:val="0"/>
          <w:szCs w:val="21"/>
          <w:highlight w:val="none"/>
        </w:rPr>
        <w:t>3.3  各投标人均可就上述标段中的</w:t>
      </w:r>
      <w:r>
        <w:rPr>
          <w:rFonts w:hint="eastAsia" w:ascii="宋体" w:hAnsi="宋体" w:cs="宋体"/>
          <w:snapToGrid w:val="0"/>
          <w:color w:val="auto"/>
          <w:kern w:val="0"/>
          <w:szCs w:val="21"/>
          <w:highlight w:val="none"/>
          <w:u w:val="single"/>
        </w:rPr>
        <w:t xml:space="preserve">        （具体数量）</w:t>
      </w:r>
      <w:r>
        <w:rPr>
          <w:rFonts w:hint="eastAsia" w:ascii="宋体" w:hAnsi="宋体" w:cs="宋体"/>
          <w:snapToGrid w:val="0"/>
          <w:color w:val="auto"/>
          <w:kern w:val="0"/>
          <w:szCs w:val="21"/>
          <w:highlight w:val="none"/>
        </w:rPr>
        <w:t>个标段投标。</w:t>
      </w:r>
    </w:p>
    <w:p w14:paraId="5A3A9CDE">
      <w:pPr>
        <w:pStyle w:val="4"/>
        <w:spacing w:before="100" w:after="100" w:line="450" w:lineRule="exact"/>
        <w:rPr>
          <w:rFonts w:ascii="宋体" w:hAnsi="宋体"/>
          <w:snapToGrid w:val="0"/>
          <w:color w:val="auto"/>
          <w:sz w:val="28"/>
          <w:szCs w:val="28"/>
          <w:highlight w:val="none"/>
        </w:rPr>
      </w:pPr>
      <w:bookmarkStart w:id="107" w:name="_Toc509218703"/>
      <w:bookmarkStart w:id="108" w:name="_Toc287607739"/>
      <w:bookmarkStart w:id="109" w:name="_Toc224103310"/>
      <w:bookmarkStart w:id="110" w:name="_Toc57820553"/>
      <w:bookmarkStart w:id="111" w:name="_Toc287620678"/>
      <w:bookmarkStart w:id="112" w:name="_Toc277082546"/>
      <w:bookmarkStart w:id="113" w:name="_Toc430530427"/>
      <w:r>
        <w:rPr>
          <w:rFonts w:ascii="宋体" w:hAnsi="宋体"/>
          <w:snapToGrid w:val="0"/>
          <w:color w:val="auto"/>
          <w:sz w:val="28"/>
          <w:szCs w:val="28"/>
          <w:highlight w:val="none"/>
        </w:rPr>
        <w:t>4.  招标文件的获取</w:t>
      </w:r>
      <w:bookmarkEnd w:id="107"/>
      <w:bookmarkEnd w:id="108"/>
      <w:bookmarkEnd w:id="109"/>
      <w:bookmarkEnd w:id="110"/>
      <w:bookmarkEnd w:id="111"/>
      <w:bookmarkEnd w:id="112"/>
      <w:bookmarkEnd w:id="113"/>
    </w:p>
    <w:p w14:paraId="1CD281DB">
      <w:pPr>
        <w:tabs>
          <w:tab w:val="left" w:pos="525"/>
          <w:tab w:val="left" w:pos="5080"/>
        </w:tabs>
        <w:autoSpaceDE w:val="0"/>
        <w:autoSpaceDN w:val="0"/>
        <w:adjustRightInd w:val="0"/>
        <w:snapToGrid w:val="0"/>
        <w:spacing w:line="450" w:lineRule="exact"/>
        <w:ind w:firstLine="424" w:firstLineChars="202"/>
        <w:rPr>
          <w:rFonts w:hint="eastAsia" w:ascii="宋体" w:hAnsi="宋体"/>
          <w:snapToGrid w:val="0"/>
          <w:color w:val="auto"/>
          <w:kern w:val="0"/>
          <w:szCs w:val="21"/>
          <w:highlight w:val="none"/>
        </w:rPr>
      </w:pPr>
      <w:bookmarkStart w:id="114" w:name="_Toc287607740"/>
      <w:bookmarkStart w:id="115" w:name="_Toc287620679"/>
      <w:bookmarkStart w:id="116" w:name="_Toc224103311"/>
      <w:bookmarkStart w:id="117" w:name="_Toc277082547"/>
      <w:r>
        <w:rPr>
          <w:rFonts w:ascii="宋体" w:hAnsi="宋体"/>
          <w:snapToGrid w:val="0"/>
          <w:color w:val="auto"/>
          <w:kern w:val="0"/>
          <w:szCs w:val="21"/>
          <w:highlight w:val="none"/>
        </w:rPr>
        <w:t>4.</w:t>
      </w:r>
      <w:r>
        <w:rPr>
          <w:rFonts w:hint="eastAsia" w:ascii="宋体" w:hAnsi="宋体"/>
          <w:snapToGrid w:val="0"/>
          <w:color w:val="auto"/>
          <w:kern w:val="0"/>
          <w:szCs w:val="21"/>
          <w:highlight w:val="none"/>
        </w:rPr>
        <w:t>1  本招标项目采用全流程电子招投标，招标人</w:t>
      </w:r>
      <w:r>
        <w:rPr>
          <w:rFonts w:ascii="宋体" w:hAnsi="宋体"/>
          <w:snapToGrid w:val="0"/>
          <w:color w:val="auto"/>
          <w:kern w:val="0"/>
          <w:szCs w:val="21"/>
          <w:highlight w:val="none"/>
        </w:rPr>
        <w:t>必须将招标文件</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工程量清单、图纸、澄清、修改、补充通知、最高限价通知等全部招标资料</w:t>
      </w:r>
      <w:r>
        <w:rPr>
          <w:rFonts w:hint="eastAsia" w:ascii="宋体" w:hAnsi="宋体"/>
          <w:snapToGrid w:val="0"/>
          <w:color w:val="auto"/>
          <w:kern w:val="0"/>
          <w:szCs w:val="21"/>
          <w:highlight w:val="none"/>
          <w:u w:val="none"/>
        </w:rPr>
        <w:t>通过重庆市电子招投标系统</w:t>
      </w:r>
      <w:r>
        <w:rPr>
          <w:rFonts w:ascii="宋体" w:hAnsi="宋体"/>
          <w:snapToGrid w:val="0"/>
          <w:color w:val="auto"/>
          <w:kern w:val="0"/>
          <w:szCs w:val="21"/>
          <w:highlight w:val="none"/>
        </w:rPr>
        <w:t>送达所有被邀请投标人。</w:t>
      </w:r>
    </w:p>
    <w:p w14:paraId="51DF7FAC">
      <w:pPr>
        <w:tabs>
          <w:tab w:val="left" w:pos="2420"/>
          <w:tab w:val="left" w:pos="5445"/>
        </w:tabs>
        <w:autoSpaceDE w:val="0"/>
        <w:autoSpaceDN w:val="0"/>
        <w:adjustRightInd w:val="0"/>
        <w:snapToGrid w:val="0"/>
        <w:spacing w:line="450" w:lineRule="exact"/>
        <w:ind w:firstLine="420"/>
        <w:rPr>
          <w:rFonts w:hint="eastAsia" w:ascii="宋体" w:hAnsi="宋体"/>
          <w:snapToGrid w:val="0"/>
          <w:color w:val="auto"/>
          <w:kern w:val="0"/>
          <w:szCs w:val="21"/>
          <w:highlight w:val="none"/>
        </w:rPr>
      </w:pPr>
      <w:r>
        <w:rPr>
          <w:rFonts w:ascii="宋体" w:hAnsi="宋体"/>
          <w:snapToGrid w:val="0"/>
          <w:color w:val="auto"/>
          <w:kern w:val="0"/>
          <w:szCs w:val="21"/>
          <w:highlight w:val="none"/>
        </w:rPr>
        <w:t>4.</w:t>
      </w:r>
      <w:r>
        <w:rPr>
          <w:rFonts w:hint="eastAsia" w:ascii="宋体" w:hAnsi="宋体"/>
          <w:snapToGrid w:val="0"/>
          <w:color w:val="auto"/>
          <w:kern w:val="0"/>
          <w:szCs w:val="21"/>
          <w:highlight w:val="none"/>
        </w:rPr>
        <w:t>2  投标人应通过</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对本项目招标文件提出疑问，提问时间从收到推送的招标文件起至</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分</w:t>
      </w:r>
      <w:r>
        <w:rPr>
          <w:rFonts w:hint="eastAsia" w:ascii="宋体" w:hAnsi="宋体"/>
          <w:snapToGrid w:val="0"/>
          <w:color w:val="auto"/>
          <w:kern w:val="0"/>
          <w:szCs w:val="21"/>
          <w:highlight w:val="none"/>
        </w:rPr>
        <w:t>（北京时间）前。</w:t>
      </w:r>
    </w:p>
    <w:p w14:paraId="4EF653F2">
      <w:pPr>
        <w:tabs>
          <w:tab w:val="left" w:pos="2420"/>
          <w:tab w:val="left" w:pos="5445"/>
        </w:tabs>
        <w:autoSpaceDE w:val="0"/>
        <w:autoSpaceDN w:val="0"/>
        <w:adjustRightInd w:val="0"/>
        <w:snapToGrid w:val="0"/>
        <w:spacing w:line="450" w:lineRule="exact"/>
        <w:ind w:firstLine="420"/>
        <w:rPr>
          <w:rFonts w:hint="eastAsia" w:ascii="宋体" w:hAnsi="宋体"/>
          <w:snapToGrid w:val="0"/>
          <w:color w:val="auto"/>
          <w:kern w:val="0"/>
          <w:szCs w:val="21"/>
          <w:highlight w:val="none"/>
        </w:rPr>
      </w:pPr>
      <w:r>
        <w:rPr>
          <w:rFonts w:ascii="宋体" w:hAnsi="宋体"/>
          <w:snapToGrid w:val="0"/>
          <w:color w:val="auto"/>
          <w:kern w:val="0"/>
          <w:szCs w:val="21"/>
          <w:highlight w:val="none"/>
        </w:rPr>
        <w:t>4.</w:t>
      </w:r>
      <w:r>
        <w:rPr>
          <w:rFonts w:hint="eastAsia" w:ascii="宋体" w:hAnsi="宋体"/>
          <w:snapToGrid w:val="0"/>
          <w:color w:val="auto"/>
          <w:kern w:val="0"/>
          <w:szCs w:val="21"/>
          <w:highlight w:val="none"/>
        </w:rPr>
        <w:t>3 招标人应于</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分</w:t>
      </w:r>
      <w:r>
        <w:rPr>
          <w:rFonts w:hint="eastAsia" w:ascii="宋体" w:hAnsi="宋体"/>
          <w:snapToGrid w:val="0"/>
          <w:color w:val="auto"/>
          <w:kern w:val="0"/>
          <w:szCs w:val="21"/>
          <w:highlight w:val="none"/>
        </w:rPr>
        <w:t>（北京时间）前通过</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发布澄清</w:t>
      </w:r>
      <w:r>
        <w:rPr>
          <w:rFonts w:ascii="宋体" w:hAnsi="宋体"/>
          <w:snapToGrid w:val="0"/>
          <w:color w:val="auto"/>
          <w:kern w:val="0"/>
          <w:szCs w:val="21"/>
          <w:highlight w:val="none"/>
        </w:rPr>
        <w:t>。</w:t>
      </w:r>
    </w:p>
    <w:p w14:paraId="3BD04366">
      <w:pPr>
        <w:pStyle w:val="4"/>
        <w:spacing w:before="100" w:after="100" w:line="450" w:lineRule="exact"/>
        <w:rPr>
          <w:rFonts w:ascii="宋体" w:hAnsi="宋体"/>
          <w:snapToGrid w:val="0"/>
          <w:color w:val="auto"/>
          <w:sz w:val="28"/>
          <w:szCs w:val="28"/>
          <w:highlight w:val="none"/>
        </w:rPr>
      </w:pPr>
      <w:bookmarkStart w:id="118" w:name="_Toc430530428"/>
      <w:bookmarkStart w:id="119" w:name="_Toc509218704"/>
      <w:bookmarkStart w:id="120" w:name="_Toc57820554"/>
      <w:r>
        <w:rPr>
          <w:rFonts w:ascii="宋体" w:hAnsi="宋体"/>
          <w:snapToGrid w:val="0"/>
          <w:color w:val="auto"/>
          <w:sz w:val="28"/>
          <w:szCs w:val="28"/>
          <w:highlight w:val="none"/>
        </w:rPr>
        <w:t>5.  投标文件的递交</w:t>
      </w:r>
      <w:bookmarkEnd w:id="114"/>
      <w:bookmarkEnd w:id="115"/>
      <w:bookmarkEnd w:id="116"/>
      <w:bookmarkEnd w:id="117"/>
      <w:bookmarkEnd w:id="118"/>
      <w:bookmarkEnd w:id="119"/>
      <w:bookmarkEnd w:id="120"/>
    </w:p>
    <w:p w14:paraId="567DDAB7">
      <w:pPr>
        <w:tabs>
          <w:tab w:val="left" w:pos="1580"/>
          <w:tab w:val="left" w:pos="6000"/>
          <w:tab w:val="left" w:pos="6320"/>
          <w:tab w:val="left" w:pos="6887"/>
          <w:tab w:val="left" w:pos="7475"/>
        </w:tabs>
        <w:autoSpaceDE w:val="0"/>
        <w:autoSpaceDN w:val="0"/>
        <w:adjustRightInd w:val="0"/>
        <w:snapToGrid w:val="0"/>
        <w:spacing w:line="450" w:lineRule="exact"/>
        <w:ind w:firstLine="390" w:firstLineChars="186"/>
        <w:jc w:val="left"/>
        <w:rPr>
          <w:rFonts w:ascii="宋体" w:hAnsi="宋体"/>
          <w:snapToGrid w:val="0"/>
          <w:color w:val="auto"/>
          <w:kern w:val="0"/>
          <w:szCs w:val="21"/>
          <w:highlight w:val="none"/>
        </w:rPr>
      </w:pPr>
      <w:r>
        <w:rPr>
          <w:rFonts w:ascii="宋体" w:hAnsi="宋体"/>
          <w:snapToGrid w:val="0"/>
          <w:color w:val="auto"/>
          <w:kern w:val="0"/>
          <w:szCs w:val="21"/>
          <w:highlight w:val="none"/>
        </w:rPr>
        <w:t>5.1  投标文件递交的截止时间（投标截止时间，下同）为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分，</w:t>
      </w:r>
      <w:r>
        <w:rPr>
          <w:rFonts w:hint="eastAsia" w:ascii="宋体" w:hAnsi="宋体"/>
          <w:snapToGrid w:val="0"/>
          <w:color w:val="auto"/>
          <w:kern w:val="0"/>
          <w:szCs w:val="21"/>
          <w:highlight w:val="none"/>
        </w:rPr>
        <w:t>投标人应当在投标截止时间前，通过互联网使用CA数字证书登录</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，将加密的电子投标文件上传。</w:t>
      </w:r>
    </w:p>
    <w:p w14:paraId="5D5B8C64">
      <w:pPr>
        <w:autoSpaceDE w:val="0"/>
        <w:autoSpaceDN w:val="0"/>
        <w:adjustRightInd w:val="0"/>
        <w:snapToGrid w:val="0"/>
        <w:spacing w:line="450" w:lineRule="exact"/>
        <w:ind w:firstLine="390" w:firstLineChars="186"/>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5.2  </w:t>
      </w:r>
      <w:r>
        <w:rPr>
          <w:rFonts w:hint="eastAsia" w:ascii="宋体" w:hAnsi="宋体"/>
          <w:snapToGrid w:val="0"/>
          <w:color w:val="auto"/>
          <w:kern w:val="0"/>
          <w:szCs w:val="21"/>
          <w:highlight w:val="none"/>
        </w:rPr>
        <w:t>未按要求加密的电子投标文件，将无法上传至</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，逾期未完成上传投标文件的，视为撤回投标文件。</w:t>
      </w:r>
    </w:p>
    <w:p w14:paraId="3F2BF4FD">
      <w:pPr>
        <w:pStyle w:val="4"/>
        <w:spacing w:before="100" w:after="100" w:line="450" w:lineRule="exact"/>
        <w:rPr>
          <w:rFonts w:ascii="宋体" w:hAnsi="宋体"/>
          <w:snapToGrid w:val="0"/>
          <w:color w:val="auto"/>
          <w:sz w:val="28"/>
          <w:szCs w:val="28"/>
          <w:highlight w:val="none"/>
        </w:rPr>
      </w:pPr>
      <w:bookmarkStart w:id="121" w:name="_Toc277082548"/>
      <w:bookmarkStart w:id="122" w:name="_Toc430530429"/>
      <w:bookmarkStart w:id="123" w:name="_Toc224103312"/>
      <w:bookmarkStart w:id="124" w:name="_Toc287620680"/>
      <w:bookmarkStart w:id="125" w:name="_Toc509218705"/>
      <w:bookmarkStart w:id="126" w:name="_Toc287607741"/>
      <w:bookmarkStart w:id="127" w:name="_Toc57820555"/>
      <w:r>
        <w:rPr>
          <w:rFonts w:ascii="宋体" w:hAnsi="宋体"/>
          <w:snapToGrid w:val="0"/>
          <w:color w:val="auto"/>
          <w:sz w:val="28"/>
          <w:szCs w:val="28"/>
          <w:highlight w:val="none"/>
        </w:rPr>
        <w:t>6.  确认</w:t>
      </w:r>
      <w:bookmarkEnd w:id="121"/>
      <w:bookmarkEnd w:id="122"/>
      <w:bookmarkEnd w:id="123"/>
      <w:bookmarkEnd w:id="124"/>
      <w:bookmarkEnd w:id="125"/>
      <w:bookmarkEnd w:id="126"/>
      <w:bookmarkEnd w:id="127"/>
    </w:p>
    <w:p w14:paraId="6182741A">
      <w:pPr>
        <w:tabs>
          <w:tab w:val="left" w:pos="6330"/>
        </w:tabs>
        <w:autoSpaceDE w:val="0"/>
        <w:autoSpaceDN w:val="0"/>
        <w:adjustRightInd w:val="0"/>
        <w:snapToGrid w:val="0"/>
        <w:spacing w:line="450" w:lineRule="exact"/>
        <w:ind w:firstLine="420" w:firstLineChars="20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本招标项目采用全流程电子招投标，被邀请投标人通过</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确认。</w:t>
      </w:r>
    </w:p>
    <w:p w14:paraId="6EC8AE12">
      <w:pPr>
        <w:pStyle w:val="4"/>
        <w:spacing w:before="100" w:after="100" w:line="450" w:lineRule="exact"/>
        <w:rPr>
          <w:rFonts w:ascii="宋体" w:hAnsi="宋体"/>
          <w:snapToGrid w:val="0"/>
          <w:color w:val="auto"/>
          <w:sz w:val="28"/>
          <w:szCs w:val="28"/>
          <w:highlight w:val="none"/>
        </w:rPr>
      </w:pPr>
      <w:bookmarkStart w:id="128" w:name="_Toc277082549"/>
      <w:bookmarkStart w:id="129" w:name="_Toc287607742"/>
      <w:bookmarkStart w:id="130" w:name="_Toc287620681"/>
      <w:bookmarkStart w:id="131" w:name="_Toc224103313"/>
      <w:bookmarkStart w:id="132" w:name="_Toc509218706"/>
      <w:bookmarkStart w:id="133" w:name="_Toc57820556"/>
      <w:bookmarkStart w:id="134" w:name="_Toc430530430"/>
      <w:r>
        <w:rPr>
          <w:rFonts w:hint="eastAsia" w:ascii="宋体" w:hAnsi="宋体"/>
          <w:snapToGrid w:val="0"/>
          <w:color w:val="auto"/>
          <w:sz w:val="28"/>
          <w:szCs w:val="28"/>
          <w:highlight w:val="none"/>
        </w:rPr>
        <w:t>7</w:t>
      </w:r>
      <w:r>
        <w:rPr>
          <w:rFonts w:ascii="宋体" w:hAnsi="宋体"/>
          <w:snapToGrid w:val="0"/>
          <w:color w:val="auto"/>
          <w:sz w:val="28"/>
          <w:szCs w:val="28"/>
          <w:highlight w:val="none"/>
        </w:rPr>
        <w:t>.  联系方式</w:t>
      </w:r>
      <w:bookmarkEnd w:id="128"/>
      <w:bookmarkEnd w:id="129"/>
      <w:bookmarkEnd w:id="130"/>
      <w:bookmarkEnd w:id="131"/>
      <w:bookmarkEnd w:id="132"/>
      <w:bookmarkEnd w:id="133"/>
      <w:bookmarkEnd w:id="134"/>
    </w:p>
    <w:p w14:paraId="07387C2E">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招 标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招标代理机构：</w:t>
      </w:r>
      <w:r>
        <w:rPr>
          <w:rFonts w:ascii="宋体" w:hAnsi="宋体"/>
          <w:snapToGrid w:val="0"/>
          <w:color w:val="auto"/>
          <w:kern w:val="0"/>
          <w:szCs w:val="21"/>
          <w:highlight w:val="none"/>
          <w:u w:val="single"/>
        </w:rPr>
        <w:t xml:space="preserve">                            </w:t>
      </w:r>
    </w:p>
    <w:p w14:paraId="2A4A120F">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地    址：</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地    址：  </w:t>
      </w:r>
      <w:r>
        <w:rPr>
          <w:rFonts w:ascii="宋体" w:hAnsi="宋体"/>
          <w:snapToGrid w:val="0"/>
          <w:color w:val="auto"/>
          <w:kern w:val="0"/>
          <w:szCs w:val="21"/>
          <w:highlight w:val="none"/>
          <w:u w:val="single"/>
        </w:rPr>
        <w:t xml:space="preserve">                               </w:t>
      </w:r>
    </w:p>
    <w:p w14:paraId="2B7635DA">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position w:val="-3"/>
          <w:szCs w:val="21"/>
          <w:highlight w:val="none"/>
        </w:rPr>
        <w:t>邮    编：</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w:t>
      </w:r>
      <w:r>
        <w:rPr>
          <w:rFonts w:ascii="宋体" w:hAnsi="宋体"/>
          <w:snapToGrid w:val="0"/>
          <w:color w:val="auto"/>
          <w:kern w:val="0"/>
          <w:position w:val="-3"/>
          <w:szCs w:val="21"/>
          <w:highlight w:val="none"/>
        </w:rPr>
        <w:t>邮    编：</w:t>
      </w:r>
      <w:r>
        <w:rPr>
          <w:rFonts w:ascii="宋体" w:hAnsi="宋体"/>
          <w:snapToGrid w:val="0"/>
          <w:color w:val="auto"/>
          <w:kern w:val="0"/>
          <w:position w:val="-3"/>
          <w:szCs w:val="21"/>
          <w:highlight w:val="none"/>
          <w:u w:val="single"/>
        </w:rPr>
        <w:t xml:space="preserve">                                </w:t>
      </w:r>
    </w:p>
    <w:p w14:paraId="63A23523">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联 系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联 系 人：</w:t>
      </w:r>
      <w:r>
        <w:rPr>
          <w:rFonts w:ascii="宋体" w:hAnsi="宋体"/>
          <w:snapToGrid w:val="0"/>
          <w:color w:val="auto"/>
          <w:kern w:val="0"/>
          <w:szCs w:val="21"/>
          <w:highlight w:val="none"/>
          <w:u w:val="single"/>
        </w:rPr>
        <w:t xml:space="preserve">                                </w:t>
      </w:r>
    </w:p>
    <w:p w14:paraId="2AFAD284">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    话：</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    话：</w:t>
      </w:r>
      <w:r>
        <w:rPr>
          <w:rFonts w:ascii="宋体" w:hAnsi="宋体"/>
          <w:snapToGrid w:val="0"/>
          <w:color w:val="auto"/>
          <w:kern w:val="0"/>
          <w:szCs w:val="21"/>
          <w:highlight w:val="none"/>
          <w:u w:val="single"/>
        </w:rPr>
        <w:t xml:space="preserve">                                 </w:t>
      </w:r>
    </w:p>
    <w:p w14:paraId="2B7BAA5C">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传    真：</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传    真：</w:t>
      </w:r>
      <w:r>
        <w:rPr>
          <w:rFonts w:ascii="宋体" w:hAnsi="宋体"/>
          <w:snapToGrid w:val="0"/>
          <w:color w:val="auto"/>
          <w:kern w:val="0"/>
          <w:szCs w:val="21"/>
          <w:highlight w:val="none"/>
          <w:u w:val="single"/>
        </w:rPr>
        <w:t xml:space="preserve">                                 </w:t>
      </w:r>
    </w:p>
    <w:p w14:paraId="28AC23CE">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电子邮件：</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电子邮件：</w:t>
      </w:r>
      <w:r>
        <w:rPr>
          <w:rFonts w:ascii="宋体" w:hAnsi="宋体"/>
          <w:snapToGrid w:val="0"/>
          <w:color w:val="auto"/>
          <w:kern w:val="0"/>
          <w:szCs w:val="21"/>
          <w:highlight w:val="none"/>
          <w:u w:val="single"/>
        </w:rPr>
        <w:t xml:space="preserve">                                 </w:t>
      </w:r>
    </w:p>
    <w:p w14:paraId="3B44ECE9">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开户银行：</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开户银行：</w:t>
      </w:r>
      <w:r>
        <w:rPr>
          <w:rFonts w:ascii="宋体" w:hAnsi="宋体"/>
          <w:snapToGrid w:val="0"/>
          <w:color w:val="auto"/>
          <w:kern w:val="0"/>
          <w:szCs w:val="21"/>
          <w:highlight w:val="none"/>
          <w:u w:val="single"/>
        </w:rPr>
        <w:t xml:space="preserve">                                </w:t>
      </w:r>
    </w:p>
    <w:p w14:paraId="68E532F0">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账    号：</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账    号：</w:t>
      </w:r>
      <w:r>
        <w:rPr>
          <w:rFonts w:ascii="宋体" w:hAnsi="宋体"/>
          <w:snapToGrid w:val="0"/>
          <w:color w:val="auto"/>
          <w:kern w:val="0"/>
          <w:szCs w:val="21"/>
          <w:highlight w:val="none"/>
          <w:u w:val="single"/>
        </w:rPr>
        <w:t xml:space="preserve">                                </w:t>
      </w:r>
    </w:p>
    <w:p w14:paraId="4BF6E057">
      <w:pPr>
        <w:autoSpaceDE w:val="0"/>
        <w:autoSpaceDN w:val="0"/>
        <w:adjustRightInd w:val="0"/>
        <w:snapToGrid w:val="0"/>
        <w:spacing w:line="450" w:lineRule="exact"/>
        <w:jc w:val="right"/>
        <w:rPr>
          <w:rFonts w:ascii="宋体" w:hAnsi="宋体"/>
          <w:snapToGrid w:val="0"/>
          <w:color w:val="auto"/>
          <w:kern w:val="0"/>
          <w:szCs w:val="21"/>
          <w:highlight w:val="none"/>
          <w:u w:val="single"/>
        </w:rPr>
      </w:pPr>
    </w:p>
    <w:p w14:paraId="3E0E259D">
      <w:pPr>
        <w:autoSpaceDE w:val="0"/>
        <w:autoSpaceDN w:val="0"/>
        <w:adjustRightInd w:val="0"/>
        <w:snapToGrid w:val="0"/>
        <w:spacing w:line="450" w:lineRule="exact"/>
        <w:jc w:val="right"/>
        <w:rPr>
          <w:rFonts w:ascii="宋体" w:hAnsi="宋体"/>
          <w:snapToGrid w:val="0"/>
          <w:color w:val="auto"/>
          <w:kern w:val="0"/>
          <w:szCs w:val="21"/>
          <w:highlight w:val="none"/>
          <w:u w:val="single"/>
        </w:rPr>
      </w:pPr>
    </w:p>
    <w:p w14:paraId="41AE1570">
      <w:pPr>
        <w:autoSpaceDE w:val="0"/>
        <w:autoSpaceDN w:val="0"/>
        <w:adjustRightInd w:val="0"/>
        <w:snapToGrid w:val="0"/>
        <w:spacing w:line="450" w:lineRule="exact"/>
        <w:jc w:val="right"/>
        <w:rPr>
          <w:rFonts w:ascii="宋体" w:hAnsi="宋体"/>
          <w:snapToGrid w:val="0"/>
          <w:color w:val="auto"/>
          <w:kern w:val="0"/>
          <w:szCs w:val="21"/>
          <w:highlight w:val="none"/>
        </w:rPr>
      </w:pP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日  </w:t>
      </w:r>
    </w:p>
    <w:p w14:paraId="76215DDA">
      <w:pPr>
        <w:autoSpaceDE w:val="0"/>
        <w:autoSpaceDN w:val="0"/>
        <w:adjustRightInd w:val="0"/>
        <w:snapToGrid w:val="0"/>
        <w:spacing w:line="200" w:lineRule="exact"/>
        <w:jc w:val="left"/>
        <w:rPr>
          <w:rFonts w:ascii="宋体" w:hAnsi="宋体"/>
          <w:snapToGrid w:val="0"/>
          <w:color w:val="auto"/>
          <w:kern w:val="0"/>
          <w:sz w:val="20"/>
          <w:szCs w:val="20"/>
          <w:highlight w:val="none"/>
        </w:rPr>
      </w:pPr>
      <w:r>
        <w:rPr>
          <w:rFonts w:ascii="宋体" w:hAnsi="宋体"/>
          <w:snapToGrid w:val="0"/>
          <w:color w:val="auto"/>
          <w:kern w:val="0"/>
          <w:szCs w:val="21"/>
          <w:highlight w:val="none"/>
        </w:rPr>
        <w:br w:type="page"/>
      </w:r>
    </w:p>
    <w:p w14:paraId="500BC896">
      <w:pPr>
        <w:pStyle w:val="3"/>
        <w:spacing w:line="360" w:lineRule="auto"/>
        <w:rPr>
          <w:rFonts w:ascii="宋体" w:hAnsi="宋体"/>
          <w:snapToGrid w:val="0"/>
          <w:color w:val="auto"/>
          <w:kern w:val="0"/>
          <w:highlight w:val="none"/>
        </w:rPr>
      </w:pPr>
      <w:bookmarkStart w:id="135" w:name="_Toc277082550"/>
      <w:bookmarkStart w:id="136" w:name="_Toc287607743"/>
      <w:bookmarkStart w:id="137" w:name="_Toc287620682"/>
      <w:bookmarkStart w:id="138" w:name="_Toc224103314"/>
      <w:bookmarkStart w:id="139" w:name="_Toc57820557"/>
      <w:bookmarkStart w:id="140" w:name="_Toc509218707"/>
      <w:bookmarkStart w:id="141" w:name="_Toc430530431"/>
      <w:r>
        <w:rPr>
          <w:rFonts w:ascii="宋体" w:hAnsi="宋体"/>
          <w:snapToGrid w:val="0"/>
          <w:color w:val="auto"/>
          <w:kern w:val="0"/>
          <w:highlight w:val="none"/>
        </w:rPr>
        <w:t>第一章  投标邀请书（</w:t>
      </w:r>
      <w:r>
        <w:rPr>
          <w:rFonts w:hint="eastAsia" w:ascii="宋体" w:hAnsi="宋体"/>
          <w:snapToGrid w:val="0"/>
          <w:color w:val="auto"/>
          <w:kern w:val="0"/>
          <w:highlight w:val="none"/>
        </w:rPr>
        <w:t>代资格预审通过通知书</w:t>
      </w:r>
      <w:r>
        <w:rPr>
          <w:rFonts w:ascii="宋体" w:hAnsi="宋体"/>
          <w:snapToGrid w:val="0"/>
          <w:color w:val="auto"/>
          <w:kern w:val="0"/>
          <w:highlight w:val="none"/>
        </w:rPr>
        <w:t>）</w:t>
      </w:r>
      <w:bookmarkEnd w:id="135"/>
      <w:bookmarkEnd w:id="136"/>
      <w:bookmarkEnd w:id="137"/>
      <w:bookmarkEnd w:id="138"/>
      <w:bookmarkEnd w:id="139"/>
      <w:bookmarkEnd w:id="140"/>
      <w:bookmarkEnd w:id="141"/>
    </w:p>
    <w:p w14:paraId="5AD6DC39">
      <w:pPr>
        <w:tabs>
          <w:tab w:val="left" w:pos="3370"/>
          <w:tab w:val="left" w:pos="5460"/>
        </w:tabs>
        <w:autoSpaceDE w:val="0"/>
        <w:autoSpaceDN w:val="0"/>
        <w:adjustRightInd w:val="0"/>
        <w:snapToGrid w:val="0"/>
        <w:spacing w:line="360" w:lineRule="auto"/>
        <w:jc w:val="center"/>
        <w:rPr>
          <w:rFonts w:hint="eastAsia" w:ascii="宋体" w:hAnsi="宋体"/>
          <w:color w:val="auto"/>
          <w:w w:val="99"/>
          <w:kern w:val="0"/>
          <w:sz w:val="28"/>
          <w:szCs w:val="28"/>
          <w:highlight w:val="none"/>
        </w:rPr>
      </w:pPr>
      <w:r>
        <w:rPr>
          <w:rFonts w:hint="eastAsia" w:ascii="宋体" w:hAnsi="宋体"/>
          <w:snapToGrid w:val="0"/>
          <w:color w:val="auto"/>
          <w:kern w:val="0"/>
          <w:szCs w:val="21"/>
          <w:highlight w:val="none"/>
          <w:u w:val="single"/>
        </w:rPr>
        <w:t xml:space="preserve">                 </w:t>
      </w:r>
      <w:r>
        <w:rPr>
          <w:rFonts w:hint="eastAsia" w:ascii="宋体" w:hAnsi="宋体"/>
          <w:color w:val="auto"/>
          <w:sz w:val="28"/>
          <w:szCs w:val="28"/>
          <w:highlight w:val="none"/>
          <w:u w:val="single"/>
        </w:rPr>
        <w:t>（项目名称）</w:t>
      </w:r>
      <w:r>
        <w:rPr>
          <w:rFonts w:hint="eastAsia" w:ascii="宋体" w:hAnsi="宋体"/>
          <w:color w:val="auto"/>
          <w:w w:val="99"/>
          <w:kern w:val="0"/>
          <w:sz w:val="28"/>
          <w:szCs w:val="28"/>
          <w:highlight w:val="none"/>
        </w:rPr>
        <w:t>投标邀请书</w:t>
      </w:r>
    </w:p>
    <w:p w14:paraId="6AFEB169">
      <w:pPr>
        <w:tabs>
          <w:tab w:val="left" w:pos="3370"/>
          <w:tab w:val="left" w:pos="5460"/>
        </w:tabs>
        <w:autoSpaceDE w:val="0"/>
        <w:autoSpaceDN w:val="0"/>
        <w:adjustRightInd w:val="0"/>
        <w:snapToGrid w:val="0"/>
        <w:spacing w:line="460" w:lineRule="exact"/>
        <w:jc w:val="left"/>
        <w:rPr>
          <w:rFonts w:ascii="宋体" w:hAnsi="宋体"/>
          <w:snapToGrid w:val="0"/>
          <w:color w:val="auto"/>
          <w:kern w:val="0"/>
          <w:szCs w:val="21"/>
          <w:highlight w:val="none"/>
        </w:rPr>
      </w:pP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（被邀请单位名称）</w:t>
      </w:r>
      <w:r>
        <w:rPr>
          <w:rFonts w:ascii="宋体" w:hAnsi="宋体"/>
          <w:snapToGrid w:val="0"/>
          <w:color w:val="auto"/>
          <w:kern w:val="0"/>
          <w:szCs w:val="21"/>
          <w:highlight w:val="none"/>
        </w:rPr>
        <w:t>：</w:t>
      </w:r>
    </w:p>
    <w:p w14:paraId="77D438D5">
      <w:pPr>
        <w:tabs>
          <w:tab w:val="left" w:pos="3370"/>
          <w:tab w:val="left" w:pos="546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你单位已通过资格预审，现邀请你单位按招标文件规定的内容，参加</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投标。</w:t>
      </w:r>
    </w:p>
    <w:p w14:paraId="7DF8292B">
      <w:pPr>
        <w:tabs>
          <w:tab w:val="left" w:pos="2420"/>
          <w:tab w:val="left" w:pos="5445"/>
        </w:tabs>
        <w:autoSpaceDE w:val="0"/>
        <w:autoSpaceDN w:val="0"/>
        <w:adjustRightInd w:val="0"/>
        <w:snapToGrid w:val="0"/>
        <w:spacing w:line="460" w:lineRule="exact"/>
        <w:ind w:firstLine="420"/>
        <w:rPr>
          <w:rFonts w:ascii="宋体" w:hAnsi="宋体"/>
          <w:snapToGrid w:val="0"/>
          <w:color w:val="auto"/>
          <w:kern w:val="0"/>
          <w:szCs w:val="21"/>
          <w:highlight w:val="none"/>
        </w:rPr>
      </w:pPr>
      <w:r>
        <w:rPr>
          <w:rFonts w:hint="eastAsia" w:ascii="宋体" w:hAnsi="宋体"/>
          <w:snapToGrid w:val="0"/>
          <w:color w:val="auto"/>
          <w:kern w:val="0"/>
          <w:szCs w:val="21"/>
          <w:highlight w:val="none"/>
        </w:rPr>
        <w:t>本招标项目采用全流程电子招投标，招标人</w:t>
      </w:r>
      <w:r>
        <w:rPr>
          <w:rFonts w:ascii="宋体" w:hAnsi="宋体"/>
          <w:snapToGrid w:val="0"/>
          <w:color w:val="auto"/>
          <w:kern w:val="0"/>
          <w:szCs w:val="21"/>
          <w:highlight w:val="none"/>
        </w:rPr>
        <w:t>必须将招标文件</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工程量清单、图纸、澄清、修改、补充通知、最高限价通知等全部招标资料</w:t>
      </w:r>
      <w:r>
        <w:rPr>
          <w:rFonts w:hint="eastAsia" w:ascii="宋体" w:hAnsi="宋体"/>
          <w:snapToGrid w:val="0"/>
          <w:color w:val="auto"/>
          <w:kern w:val="0"/>
          <w:szCs w:val="21"/>
          <w:highlight w:val="none"/>
        </w:rPr>
        <w:t>通过</w:t>
      </w:r>
      <w:r>
        <w:rPr>
          <w:rFonts w:hint="eastAsia" w:ascii="宋体" w:hAnsi="宋体"/>
          <w:snapToGrid w:val="0"/>
          <w:color w:val="auto"/>
          <w:kern w:val="0"/>
          <w:szCs w:val="21"/>
          <w:highlight w:val="none"/>
          <w:u w:val="none"/>
        </w:rPr>
        <w:t>重庆市电子招投标系统</w:t>
      </w:r>
      <w:r>
        <w:rPr>
          <w:rFonts w:ascii="宋体" w:hAnsi="宋体"/>
          <w:snapToGrid w:val="0"/>
          <w:color w:val="auto"/>
          <w:kern w:val="0"/>
          <w:szCs w:val="21"/>
          <w:highlight w:val="none"/>
        </w:rPr>
        <w:t>送达所有资格预审通过的投标人。</w:t>
      </w:r>
    </w:p>
    <w:p w14:paraId="4C746DD0">
      <w:pPr>
        <w:tabs>
          <w:tab w:val="left" w:pos="2320"/>
          <w:tab w:val="left" w:pos="5780"/>
          <w:tab w:val="left" w:pos="6420"/>
        </w:tabs>
        <w:autoSpaceDE w:val="0"/>
        <w:autoSpaceDN w:val="0"/>
        <w:adjustRightInd w:val="0"/>
        <w:snapToGrid w:val="0"/>
        <w:spacing w:line="460" w:lineRule="exact"/>
        <w:ind w:firstLine="42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投标文件递交的截止时间（投标截止时间，下同）为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分，</w:t>
      </w:r>
      <w:r>
        <w:rPr>
          <w:rFonts w:hint="eastAsia" w:ascii="宋体" w:hAnsi="宋体"/>
          <w:snapToGrid w:val="0"/>
          <w:color w:val="auto"/>
          <w:kern w:val="0"/>
          <w:szCs w:val="21"/>
          <w:highlight w:val="none"/>
        </w:rPr>
        <w:t>投标人应当在投标截止时间前，通过互联网使用CA数字证书登录</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，将加密的电子投标文件上传。</w:t>
      </w:r>
    </w:p>
    <w:p w14:paraId="3F29D58E">
      <w:pPr>
        <w:tabs>
          <w:tab w:val="left" w:pos="2320"/>
          <w:tab w:val="left" w:pos="5780"/>
          <w:tab w:val="left" w:pos="6420"/>
        </w:tabs>
        <w:autoSpaceDE w:val="0"/>
        <w:autoSpaceDN w:val="0"/>
        <w:adjustRightInd w:val="0"/>
        <w:snapToGrid w:val="0"/>
        <w:spacing w:line="460" w:lineRule="exact"/>
        <w:ind w:firstLine="42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未按要求加密的电子投标文件，将无法上传至</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，逾期未完成上传投标文件的，视为撤回投标文件。</w:t>
      </w:r>
    </w:p>
    <w:p w14:paraId="408750A3">
      <w:pPr>
        <w:tabs>
          <w:tab w:val="left" w:pos="2320"/>
          <w:tab w:val="left" w:pos="5780"/>
          <w:tab w:val="left" w:pos="6420"/>
        </w:tabs>
        <w:autoSpaceDE w:val="0"/>
        <w:autoSpaceDN w:val="0"/>
        <w:adjustRightInd w:val="0"/>
        <w:snapToGrid w:val="0"/>
        <w:spacing w:line="460" w:lineRule="exact"/>
        <w:ind w:firstLine="42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本招标项目采用全流程电子招投标，被邀请投标人通过</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确认。</w:t>
      </w:r>
    </w:p>
    <w:p w14:paraId="48D2CC0D">
      <w:pPr>
        <w:tabs>
          <w:tab w:val="left" w:pos="2320"/>
          <w:tab w:val="left" w:pos="5780"/>
          <w:tab w:val="left" w:pos="6420"/>
        </w:tabs>
        <w:autoSpaceDE w:val="0"/>
        <w:autoSpaceDN w:val="0"/>
        <w:adjustRightInd w:val="0"/>
        <w:snapToGrid w:val="0"/>
        <w:spacing w:line="360" w:lineRule="auto"/>
        <w:ind w:firstLine="420"/>
        <w:jc w:val="left"/>
        <w:rPr>
          <w:rFonts w:ascii="宋体" w:hAnsi="宋体"/>
          <w:snapToGrid w:val="0"/>
          <w:color w:val="auto"/>
          <w:kern w:val="0"/>
          <w:szCs w:val="21"/>
          <w:highlight w:val="none"/>
        </w:rPr>
      </w:pPr>
    </w:p>
    <w:p w14:paraId="09596743">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招</w:t>
      </w:r>
      <w:r>
        <w:rPr>
          <w:rFonts w:hint="eastAsia" w:ascii="宋体" w:hAnsi="宋体"/>
          <w:color w:val="auto"/>
          <w:kern w:val="0"/>
          <w:szCs w:val="21"/>
          <w:highlight w:val="none"/>
        </w:rPr>
        <w:t xml:space="preserve"> </w:t>
      </w:r>
      <w:r>
        <w:rPr>
          <w:rFonts w:ascii="宋体" w:hAnsi="宋体"/>
          <w:color w:val="auto"/>
          <w:kern w:val="0"/>
          <w:szCs w:val="21"/>
          <w:highlight w:val="none"/>
        </w:rPr>
        <w:t>标</w:t>
      </w:r>
      <w:r>
        <w:rPr>
          <w:rFonts w:hint="eastAsia" w:ascii="宋体" w:hAnsi="宋体"/>
          <w:color w:val="auto"/>
          <w:kern w:val="0"/>
          <w:szCs w:val="21"/>
          <w:highlight w:val="none"/>
        </w:rPr>
        <w:t xml:space="preserve"> </w:t>
      </w:r>
      <w:r>
        <w:rPr>
          <w:rFonts w:ascii="宋体" w:hAnsi="宋体"/>
          <w:color w:val="auto"/>
          <w:kern w:val="0"/>
          <w:szCs w:val="21"/>
          <w:highlight w:val="none"/>
        </w:rPr>
        <w:t>人：</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szCs w:val="21"/>
          <w:highlight w:val="none"/>
        </w:rPr>
        <w:t>招标代理机构：</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14:paraId="1B6DA239">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14:paraId="02D490C2">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rPr>
      </w:pPr>
      <w:r>
        <w:rPr>
          <w:rFonts w:ascii="宋体" w:hAnsi="宋体"/>
          <w:color w:val="auto"/>
          <w:kern w:val="0"/>
          <w:position w:val="-3"/>
          <w:szCs w:val="21"/>
          <w:highlight w:val="none"/>
        </w:rPr>
        <w:t>邮</w:t>
      </w:r>
      <w:r>
        <w:rPr>
          <w:rFonts w:hint="eastAsia" w:ascii="宋体" w:hAnsi="宋体"/>
          <w:color w:val="auto"/>
          <w:kern w:val="0"/>
          <w:position w:val="-3"/>
          <w:szCs w:val="21"/>
          <w:highlight w:val="none"/>
        </w:rPr>
        <w:t xml:space="preserve">    </w:t>
      </w:r>
      <w:r>
        <w:rPr>
          <w:rFonts w:ascii="宋体" w:hAnsi="宋体"/>
          <w:color w:val="auto"/>
          <w:kern w:val="0"/>
          <w:position w:val="-3"/>
          <w:szCs w:val="21"/>
          <w:highlight w:val="none"/>
        </w:rPr>
        <w:t>编：</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position w:val="-3"/>
          <w:szCs w:val="21"/>
          <w:highlight w:val="none"/>
        </w:rPr>
        <w:t>邮</w:t>
      </w:r>
      <w:r>
        <w:rPr>
          <w:rFonts w:hint="eastAsia" w:ascii="宋体" w:hAnsi="宋体"/>
          <w:color w:val="auto"/>
          <w:kern w:val="0"/>
          <w:position w:val="-3"/>
          <w:szCs w:val="21"/>
          <w:highlight w:val="none"/>
        </w:rPr>
        <w:t xml:space="preserve">    </w:t>
      </w:r>
      <w:r>
        <w:rPr>
          <w:rFonts w:ascii="宋体" w:hAnsi="宋体"/>
          <w:color w:val="auto"/>
          <w:kern w:val="0"/>
          <w:position w:val="-3"/>
          <w:szCs w:val="21"/>
          <w:highlight w:val="none"/>
        </w:rPr>
        <w:t>编：</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14:paraId="6BA491EA">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联</w:t>
      </w:r>
      <w:r>
        <w:rPr>
          <w:rFonts w:hint="eastAsia" w:ascii="宋体" w:hAnsi="宋体"/>
          <w:color w:val="auto"/>
          <w:kern w:val="0"/>
          <w:szCs w:val="21"/>
          <w:highlight w:val="none"/>
        </w:rPr>
        <w:t xml:space="preserve"> </w:t>
      </w:r>
      <w:r>
        <w:rPr>
          <w:rFonts w:ascii="宋体" w:hAnsi="宋体"/>
          <w:color w:val="auto"/>
          <w:kern w:val="0"/>
          <w:szCs w:val="21"/>
          <w:highlight w:val="none"/>
        </w:rPr>
        <w:t>系</w:t>
      </w:r>
      <w:r>
        <w:rPr>
          <w:rFonts w:hint="eastAsia" w:ascii="宋体" w:hAnsi="宋体"/>
          <w:color w:val="auto"/>
          <w:kern w:val="0"/>
          <w:szCs w:val="21"/>
          <w:highlight w:val="none"/>
        </w:rPr>
        <w:t xml:space="preserve"> </w:t>
      </w:r>
      <w:r>
        <w:rPr>
          <w:rFonts w:ascii="宋体" w:hAnsi="宋体"/>
          <w:color w:val="auto"/>
          <w:kern w:val="0"/>
          <w:szCs w:val="21"/>
          <w:highlight w:val="none"/>
        </w:rPr>
        <w:t>人：</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szCs w:val="21"/>
          <w:highlight w:val="none"/>
        </w:rPr>
        <w:t>联</w:t>
      </w:r>
      <w:r>
        <w:rPr>
          <w:rFonts w:hint="eastAsia" w:ascii="宋体" w:hAnsi="宋体"/>
          <w:color w:val="auto"/>
          <w:kern w:val="0"/>
          <w:szCs w:val="21"/>
          <w:highlight w:val="none"/>
        </w:rPr>
        <w:t xml:space="preserve"> </w:t>
      </w:r>
      <w:r>
        <w:rPr>
          <w:rFonts w:ascii="宋体" w:hAnsi="宋体"/>
          <w:color w:val="auto"/>
          <w:kern w:val="0"/>
          <w:szCs w:val="21"/>
          <w:highlight w:val="none"/>
        </w:rPr>
        <w:t>系</w:t>
      </w:r>
      <w:r>
        <w:rPr>
          <w:rFonts w:hint="eastAsia" w:ascii="宋体" w:hAnsi="宋体"/>
          <w:color w:val="auto"/>
          <w:kern w:val="0"/>
          <w:szCs w:val="21"/>
          <w:highlight w:val="none"/>
        </w:rPr>
        <w:t xml:space="preserve"> </w:t>
      </w:r>
      <w:r>
        <w:rPr>
          <w:rFonts w:ascii="宋体" w:hAnsi="宋体"/>
          <w:color w:val="auto"/>
          <w:kern w:val="0"/>
          <w:szCs w:val="21"/>
          <w:highlight w:val="none"/>
        </w:rPr>
        <w:t>人：</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14:paraId="65F2A1DD">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电</w:t>
      </w:r>
      <w:r>
        <w:rPr>
          <w:rFonts w:hint="eastAsia" w:ascii="宋体" w:hAnsi="宋体"/>
          <w:color w:val="auto"/>
          <w:kern w:val="0"/>
          <w:szCs w:val="21"/>
          <w:highlight w:val="none"/>
        </w:rPr>
        <w:t xml:space="preserve">    </w:t>
      </w:r>
      <w:r>
        <w:rPr>
          <w:rFonts w:ascii="宋体" w:hAnsi="宋体"/>
          <w:color w:val="auto"/>
          <w:kern w:val="0"/>
          <w:szCs w:val="21"/>
          <w:highlight w:val="none"/>
        </w:rPr>
        <w:t>话：</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szCs w:val="21"/>
          <w:highlight w:val="none"/>
        </w:rPr>
        <w:t>电</w:t>
      </w:r>
      <w:r>
        <w:rPr>
          <w:rFonts w:hint="eastAsia" w:ascii="宋体" w:hAnsi="宋体"/>
          <w:color w:val="auto"/>
          <w:kern w:val="0"/>
          <w:szCs w:val="21"/>
          <w:highlight w:val="none"/>
        </w:rPr>
        <w:t xml:space="preserve">    </w:t>
      </w:r>
      <w:r>
        <w:rPr>
          <w:rFonts w:ascii="宋体" w:hAnsi="宋体"/>
          <w:color w:val="auto"/>
          <w:kern w:val="0"/>
          <w:szCs w:val="21"/>
          <w:highlight w:val="none"/>
        </w:rPr>
        <w:t>话：</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14:paraId="7C3990E9">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传</w:t>
      </w:r>
      <w:r>
        <w:rPr>
          <w:rFonts w:hint="eastAsia" w:ascii="宋体" w:hAnsi="宋体"/>
          <w:color w:val="auto"/>
          <w:kern w:val="0"/>
          <w:szCs w:val="21"/>
          <w:highlight w:val="none"/>
        </w:rPr>
        <w:t xml:space="preserve">    </w:t>
      </w:r>
      <w:r>
        <w:rPr>
          <w:rFonts w:ascii="宋体" w:hAnsi="宋体"/>
          <w:color w:val="auto"/>
          <w:kern w:val="0"/>
          <w:szCs w:val="21"/>
          <w:highlight w:val="none"/>
        </w:rPr>
        <w:t>真：</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szCs w:val="21"/>
          <w:highlight w:val="none"/>
        </w:rPr>
        <w:t>传</w:t>
      </w:r>
      <w:r>
        <w:rPr>
          <w:rFonts w:hint="eastAsia" w:ascii="宋体" w:hAnsi="宋体"/>
          <w:color w:val="auto"/>
          <w:kern w:val="0"/>
          <w:szCs w:val="21"/>
          <w:highlight w:val="none"/>
        </w:rPr>
        <w:t xml:space="preserve">    </w:t>
      </w:r>
      <w:r>
        <w:rPr>
          <w:rFonts w:ascii="宋体" w:hAnsi="宋体"/>
          <w:color w:val="auto"/>
          <w:kern w:val="0"/>
          <w:szCs w:val="21"/>
          <w:highlight w:val="none"/>
        </w:rPr>
        <w:t>真：</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14:paraId="5E7DD037">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电子邮件：</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snapToGrid w:val="0"/>
          <w:color w:val="auto"/>
          <w:kern w:val="0"/>
          <w:szCs w:val="21"/>
          <w:highlight w:val="none"/>
        </w:rPr>
        <w:t>电子邮件：</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67E8CA3F">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开户银行：</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snapToGrid w:val="0"/>
          <w:color w:val="auto"/>
          <w:kern w:val="0"/>
          <w:szCs w:val="21"/>
          <w:highlight w:val="none"/>
        </w:rPr>
        <w:t>开户银行：</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0A4C4BD8">
      <w:pPr>
        <w:tabs>
          <w:tab w:val="left" w:pos="5140"/>
          <w:tab w:val="left" w:pos="8420"/>
        </w:tabs>
        <w:autoSpaceDE w:val="0"/>
        <w:autoSpaceDN w:val="0"/>
        <w:adjustRightInd w:val="0"/>
        <w:snapToGrid w:val="0"/>
        <w:spacing w:line="390" w:lineRule="exact"/>
        <w:ind w:firstLine="420" w:firstLineChars="200"/>
        <w:jc w:val="left"/>
        <w:rPr>
          <w:rFonts w:hint="eastAsia" w:ascii="宋体" w:hAnsi="宋体"/>
          <w:snapToGrid w:val="0"/>
          <w:color w:val="auto"/>
          <w:kern w:val="0"/>
          <w:szCs w:val="21"/>
          <w:highlight w:val="none"/>
          <w:u w:val="single"/>
        </w:rPr>
      </w:pPr>
      <w:r>
        <w:rPr>
          <w:rFonts w:ascii="宋体" w:hAnsi="宋体"/>
          <w:snapToGrid w:val="0"/>
          <w:color w:val="auto"/>
          <w:kern w:val="0"/>
          <w:szCs w:val="21"/>
          <w:highlight w:val="none"/>
        </w:rPr>
        <w:t>账    号：</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snapToGrid w:val="0"/>
          <w:color w:val="auto"/>
          <w:kern w:val="0"/>
          <w:szCs w:val="21"/>
          <w:highlight w:val="none"/>
        </w:rPr>
        <w:t>账    号：</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4320325C">
      <w:pPr>
        <w:autoSpaceDE w:val="0"/>
        <w:autoSpaceDN w:val="0"/>
        <w:adjustRightInd w:val="0"/>
        <w:snapToGrid w:val="0"/>
        <w:spacing w:before="340" w:after="330" w:line="390" w:lineRule="exact"/>
        <w:jc w:val="right"/>
        <w:rPr>
          <w:rFonts w:hint="eastAsia" w:ascii="宋体" w:hAnsi="宋体"/>
          <w:snapToGrid w:val="0"/>
          <w:color w:val="auto"/>
          <w:kern w:val="0"/>
          <w:highlight w:val="none"/>
        </w:rPr>
      </w:pPr>
      <w:r>
        <w:rPr>
          <w:rFonts w:ascii="宋体" w:hAnsi="宋体"/>
          <w:snapToGrid w:val="0"/>
          <w:color w:val="auto"/>
          <w:kern w:val="0"/>
          <w:highlight w:val="none"/>
        </w:rPr>
        <w:t xml:space="preserve">                                            </w:t>
      </w:r>
      <w:r>
        <w:rPr>
          <w:rFonts w:ascii="宋体" w:hAnsi="宋体"/>
          <w:snapToGrid w:val="0"/>
          <w:color w:val="auto"/>
          <w:kern w:val="0"/>
          <w:highlight w:val="none"/>
          <w:u w:val="single"/>
        </w:rPr>
        <w:t xml:space="preserve"> </w:t>
      </w:r>
      <w:r>
        <w:rPr>
          <w:rFonts w:hint="eastAsia" w:ascii="宋体" w:hAnsi="宋体"/>
          <w:snapToGrid w:val="0"/>
          <w:color w:val="auto"/>
          <w:kern w:val="0"/>
          <w:highlight w:val="none"/>
          <w:u w:val="single"/>
        </w:rPr>
        <w:t xml:space="preserve">      </w:t>
      </w:r>
      <w:r>
        <w:rPr>
          <w:rFonts w:ascii="宋体" w:hAnsi="宋体"/>
          <w:snapToGrid w:val="0"/>
          <w:color w:val="auto"/>
          <w:kern w:val="0"/>
          <w:highlight w:val="none"/>
          <w:u w:val="single"/>
        </w:rPr>
        <w:t xml:space="preserve">  </w:t>
      </w:r>
      <w:r>
        <w:rPr>
          <w:rFonts w:ascii="宋体" w:hAnsi="宋体"/>
          <w:snapToGrid w:val="0"/>
          <w:color w:val="auto"/>
          <w:kern w:val="0"/>
          <w:highlight w:val="none"/>
        </w:rPr>
        <w:t>年</w:t>
      </w:r>
      <w:r>
        <w:rPr>
          <w:rFonts w:hint="eastAsia" w:ascii="宋体" w:hAnsi="宋体"/>
          <w:snapToGrid w:val="0"/>
          <w:color w:val="auto"/>
          <w:kern w:val="0"/>
          <w:highlight w:val="none"/>
          <w:u w:val="single"/>
        </w:rPr>
        <w:t xml:space="preserve">    </w:t>
      </w:r>
      <w:r>
        <w:rPr>
          <w:rFonts w:ascii="宋体" w:hAnsi="宋体"/>
          <w:snapToGrid w:val="0"/>
          <w:color w:val="auto"/>
          <w:kern w:val="0"/>
          <w:highlight w:val="none"/>
          <w:u w:val="single"/>
        </w:rPr>
        <w:t xml:space="preserve">  </w:t>
      </w:r>
      <w:r>
        <w:rPr>
          <w:rFonts w:ascii="宋体" w:hAnsi="宋体"/>
          <w:snapToGrid w:val="0"/>
          <w:color w:val="auto"/>
          <w:kern w:val="0"/>
          <w:highlight w:val="none"/>
        </w:rPr>
        <w:t>月</w:t>
      </w:r>
      <w:r>
        <w:rPr>
          <w:rFonts w:hint="eastAsia" w:ascii="宋体" w:hAnsi="宋体"/>
          <w:snapToGrid w:val="0"/>
          <w:color w:val="auto"/>
          <w:kern w:val="0"/>
          <w:highlight w:val="none"/>
          <w:u w:val="single"/>
        </w:rPr>
        <w:t xml:space="preserve">    </w:t>
      </w:r>
      <w:r>
        <w:rPr>
          <w:rFonts w:ascii="宋体" w:hAnsi="宋体"/>
          <w:snapToGrid w:val="0"/>
          <w:color w:val="auto"/>
          <w:kern w:val="0"/>
          <w:highlight w:val="none"/>
          <w:u w:val="single"/>
        </w:rPr>
        <w:t xml:space="preserve">  </w:t>
      </w:r>
      <w:r>
        <w:rPr>
          <w:rFonts w:ascii="宋体" w:hAnsi="宋体"/>
          <w:snapToGrid w:val="0"/>
          <w:color w:val="auto"/>
          <w:kern w:val="0"/>
          <w:highlight w:val="none"/>
        </w:rPr>
        <w:t>日</w:t>
      </w:r>
      <w:bookmarkStart w:id="142" w:name="_Toc287620683"/>
      <w:bookmarkStart w:id="143" w:name="_Toc224103315"/>
      <w:bookmarkStart w:id="144" w:name="_Toc287607744"/>
      <w:bookmarkStart w:id="145" w:name="_Toc430530432"/>
    </w:p>
    <w:p w14:paraId="42A2F5F9">
      <w:pPr>
        <w:pStyle w:val="3"/>
        <w:spacing w:line="360" w:lineRule="auto"/>
        <w:jc w:val="center"/>
        <w:rPr>
          <w:rFonts w:hint="eastAsia" w:ascii="宋体" w:hAnsi="宋体"/>
          <w:bCs w:val="0"/>
          <w:snapToGrid w:val="0"/>
          <w:color w:val="auto"/>
          <w:kern w:val="0"/>
          <w:highlight w:val="none"/>
        </w:rPr>
      </w:pPr>
      <w:r>
        <w:rPr>
          <w:rFonts w:ascii="宋体" w:hAnsi="宋体"/>
          <w:bCs w:val="0"/>
          <w:snapToGrid w:val="0"/>
          <w:color w:val="auto"/>
          <w:kern w:val="0"/>
          <w:highlight w:val="none"/>
        </w:rPr>
        <w:br w:type="page"/>
      </w:r>
      <w:bookmarkStart w:id="146" w:name="_Toc57820558"/>
      <w:r>
        <w:rPr>
          <w:rFonts w:ascii="宋体" w:hAnsi="宋体"/>
          <w:snapToGrid w:val="0"/>
          <w:color w:val="auto"/>
          <w:kern w:val="0"/>
          <w:highlight w:val="none"/>
        </w:rPr>
        <w:t>第二章  投标人须知</w:t>
      </w:r>
      <w:bookmarkEnd w:id="142"/>
      <w:bookmarkEnd w:id="143"/>
      <w:bookmarkEnd w:id="144"/>
      <w:bookmarkEnd w:id="145"/>
      <w:bookmarkEnd w:id="146"/>
      <w:bookmarkStart w:id="147" w:name="_Toc430530433"/>
      <w:bookmarkStart w:id="148" w:name="_Toc277082551"/>
      <w:bookmarkStart w:id="149" w:name="_Toc287620684"/>
      <w:bookmarkStart w:id="150" w:name="_Toc287607745"/>
      <w:bookmarkStart w:id="151" w:name="_Toc224103316"/>
    </w:p>
    <w:p w14:paraId="4B172382">
      <w:pPr>
        <w:pStyle w:val="4"/>
        <w:spacing w:before="100" w:after="100" w:line="360" w:lineRule="auto"/>
        <w:rPr>
          <w:rFonts w:hint="eastAsia" w:ascii="宋体" w:hAnsi="宋体"/>
          <w:color w:val="auto"/>
          <w:highlight w:val="none"/>
        </w:rPr>
      </w:pPr>
      <w:bookmarkStart w:id="152" w:name="_Toc509218708"/>
      <w:bookmarkStart w:id="153" w:name="_Toc57820559"/>
      <w:r>
        <w:rPr>
          <w:rFonts w:hint="eastAsia" w:ascii="宋体" w:hAnsi="宋体"/>
          <w:color w:val="auto"/>
          <w:highlight w:val="none"/>
        </w:rPr>
        <w:t>投标人须知前附表</w:t>
      </w:r>
      <w:bookmarkEnd w:id="147"/>
      <w:bookmarkEnd w:id="148"/>
      <w:bookmarkEnd w:id="149"/>
      <w:bookmarkEnd w:id="150"/>
      <w:bookmarkEnd w:id="151"/>
      <w:bookmarkEnd w:id="152"/>
      <w:bookmarkEnd w:id="153"/>
    </w:p>
    <w:p w14:paraId="288B8F75">
      <w:pPr>
        <w:spacing w:line="360" w:lineRule="auto"/>
        <w:ind w:firstLine="420" w:firstLineChars="200"/>
        <w:rPr>
          <w:rFonts w:hint="eastAsia" w:ascii="宋体" w:hAnsi="宋体"/>
          <w:color w:val="auto"/>
          <w:szCs w:val="21"/>
          <w:highlight w:val="none"/>
        </w:rPr>
      </w:pPr>
      <w:r>
        <w:rPr>
          <w:rFonts w:ascii="宋体" w:hAnsi="宋体"/>
          <w:color w:val="auto"/>
          <w:szCs w:val="21"/>
          <w:highlight w:val="none"/>
        </w:rPr>
        <w:t>正文内容不允许修改。若投标人须知前附表与正文不一致的地方，以投标人须知前附表为准。</w:t>
      </w:r>
    </w:p>
    <w:tbl>
      <w:tblPr>
        <w:tblStyle w:val="45"/>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644"/>
        <w:gridCol w:w="6490"/>
      </w:tblGrid>
      <w:tr w14:paraId="6BD4B4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35" w:type="dxa"/>
            <w:noWrap w:val="0"/>
            <w:vAlign w:val="center"/>
          </w:tcPr>
          <w:p w14:paraId="145D6098">
            <w:pPr>
              <w:snapToGrid w:val="0"/>
              <w:spacing w:line="400" w:lineRule="exact"/>
              <w:jc w:val="center"/>
              <w:rPr>
                <w:rFonts w:ascii="宋体" w:hAnsi="宋体"/>
                <w:b/>
                <w:color w:val="auto"/>
                <w:kern w:val="0"/>
                <w:szCs w:val="21"/>
                <w:highlight w:val="none"/>
              </w:rPr>
            </w:pPr>
            <w:r>
              <w:rPr>
                <w:rFonts w:ascii="宋体" w:hAnsi="宋体"/>
                <w:b/>
                <w:color w:val="auto"/>
                <w:kern w:val="0"/>
                <w:szCs w:val="21"/>
                <w:highlight w:val="none"/>
              </w:rPr>
              <w:t>条 款 号</w:t>
            </w:r>
          </w:p>
        </w:tc>
        <w:tc>
          <w:tcPr>
            <w:tcW w:w="1644" w:type="dxa"/>
            <w:noWrap w:val="0"/>
            <w:vAlign w:val="center"/>
          </w:tcPr>
          <w:p w14:paraId="13461C48">
            <w:pPr>
              <w:snapToGrid w:val="0"/>
              <w:spacing w:line="400" w:lineRule="exact"/>
              <w:jc w:val="center"/>
              <w:rPr>
                <w:rFonts w:ascii="宋体" w:hAnsi="宋体"/>
                <w:b/>
                <w:color w:val="auto"/>
                <w:kern w:val="0"/>
                <w:szCs w:val="21"/>
                <w:highlight w:val="none"/>
              </w:rPr>
            </w:pPr>
            <w:r>
              <w:rPr>
                <w:rFonts w:ascii="宋体" w:hAnsi="宋体"/>
                <w:b/>
                <w:color w:val="auto"/>
                <w:kern w:val="0"/>
                <w:szCs w:val="21"/>
                <w:highlight w:val="none"/>
              </w:rPr>
              <w:t>条款名称</w:t>
            </w:r>
          </w:p>
        </w:tc>
        <w:tc>
          <w:tcPr>
            <w:tcW w:w="6490" w:type="dxa"/>
            <w:noWrap w:val="0"/>
            <w:vAlign w:val="center"/>
          </w:tcPr>
          <w:p w14:paraId="3A231759">
            <w:pPr>
              <w:snapToGrid w:val="0"/>
              <w:spacing w:line="400" w:lineRule="exact"/>
              <w:jc w:val="center"/>
              <w:rPr>
                <w:rFonts w:ascii="宋体" w:hAnsi="宋体"/>
                <w:b/>
                <w:color w:val="auto"/>
                <w:kern w:val="0"/>
                <w:szCs w:val="21"/>
                <w:highlight w:val="none"/>
              </w:rPr>
            </w:pPr>
            <w:r>
              <w:rPr>
                <w:rFonts w:ascii="宋体" w:hAnsi="宋体"/>
                <w:b/>
                <w:color w:val="auto"/>
                <w:kern w:val="0"/>
                <w:szCs w:val="21"/>
                <w:highlight w:val="none"/>
              </w:rPr>
              <w:t>编  列  内  容</w:t>
            </w:r>
          </w:p>
        </w:tc>
      </w:tr>
      <w:tr w14:paraId="2420CD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5096686D">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1.1.2</w:t>
            </w:r>
          </w:p>
        </w:tc>
        <w:tc>
          <w:tcPr>
            <w:tcW w:w="1644" w:type="dxa"/>
            <w:noWrap w:val="0"/>
            <w:vAlign w:val="center"/>
          </w:tcPr>
          <w:p w14:paraId="3275A8AC">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招标人</w:t>
            </w:r>
          </w:p>
        </w:tc>
        <w:tc>
          <w:tcPr>
            <w:tcW w:w="6490" w:type="dxa"/>
            <w:noWrap w:val="0"/>
            <w:vAlign w:val="center"/>
          </w:tcPr>
          <w:p w14:paraId="32DE22A5">
            <w:pPr>
              <w:snapToGrid w:val="0"/>
              <w:spacing w:line="400" w:lineRule="exact"/>
              <w:rPr>
                <w:rFonts w:ascii="宋体" w:hAnsi="宋体"/>
                <w:color w:val="auto"/>
                <w:kern w:val="0"/>
                <w:szCs w:val="21"/>
                <w:highlight w:val="none"/>
              </w:rPr>
            </w:pPr>
            <w:r>
              <w:rPr>
                <w:rFonts w:ascii="宋体" w:hAnsi="宋体"/>
                <w:color w:val="auto"/>
                <w:kern w:val="0"/>
                <w:szCs w:val="21"/>
                <w:highlight w:val="none"/>
              </w:rPr>
              <w:t>名称：</w:t>
            </w:r>
          </w:p>
          <w:p w14:paraId="6856B64D">
            <w:pPr>
              <w:snapToGrid w:val="0"/>
              <w:spacing w:line="400" w:lineRule="exact"/>
              <w:rPr>
                <w:rFonts w:ascii="宋体" w:hAnsi="宋体"/>
                <w:color w:val="auto"/>
                <w:kern w:val="0"/>
                <w:szCs w:val="21"/>
                <w:highlight w:val="none"/>
              </w:rPr>
            </w:pPr>
            <w:r>
              <w:rPr>
                <w:rFonts w:ascii="宋体" w:hAnsi="宋体"/>
                <w:color w:val="auto"/>
                <w:kern w:val="0"/>
                <w:szCs w:val="21"/>
                <w:highlight w:val="none"/>
              </w:rPr>
              <w:t>地址：</w:t>
            </w:r>
          </w:p>
          <w:p w14:paraId="324CD8AC">
            <w:pPr>
              <w:snapToGrid w:val="0"/>
              <w:spacing w:line="400" w:lineRule="exact"/>
              <w:rPr>
                <w:rFonts w:ascii="宋体" w:hAnsi="宋体"/>
                <w:color w:val="auto"/>
                <w:kern w:val="0"/>
                <w:szCs w:val="21"/>
                <w:highlight w:val="none"/>
              </w:rPr>
            </w:pPr>
            <w:r>
              <w:rPr>
                <w:rFonts w:ascii="宋体" w:hAnsi="宋体"/>
                <w:color w:val="auto"/>
                <w:kern w:val="0"/>
                <w:szCs w:val="21"/>
                <w:highlight w:val="none"/>
              </w:rPr>
              <w:t>联系人：</w:t>
            </w:r>
          </w:p>
          <w:p w14:paraId="1119E6AA">
            <w:pPr>
              <w:snapToGrid w:val="0"/>
              <w:spacing w:line="400" w:lineRule="exact"/>
              <w:rPr>
                <w:rFonts w:ascii="宋体" w:hAnsi="宋体"/>
                <w:color w:val="auto"/>
                <w:kern w:val="0"/>
                <w:szCs w:val="21"/>
                <w:highlight w:val="none"/>
              </w:rPr>
            </w:pPr>
            <w:r>
              <w:rPr>
                <w:rFonts w:ascii="宋体" w:hAnsi="宋体"/>
                <w:color w:val="auto"/>
                <w:kern w:val="0"/>
                <w:szCs w:val="21"/>
                <w:highlight w:val="none"/>
              </w:rPr>
              <w:t>电话：</w:t>
            </w:r>
          </w:p>
        </w:tc>
      </w:tr>
      <w:tr w14:paraId="7AEBF4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5FF3FF05">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1.1.3</w:t>
            </w:r>
          </w:p>
        </w:tc>
        <w:tc>
          <w:tcPr>
            <w:tcW w:w="1644" w:type="dxa"/>
            <w:noWrap w:val="0"/>
            <w:vAlign w:val="center"/>
          </w:tcPr>
          <w:p w14:paraId="0A114C0F">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招标代理机构</w:t>
            </w:r>
          </w:p>
        </w:tc>
        <w:tc>
          <w:tcPr>
            <w:tcW w:w="6490" w:type="dxa"/>
            <w:noWrap w:val="0"/>
            <w:vAlign w:val="center"/>
          </w:tcPr>
          <w:p w14:paraId="50805A0C">
            <w:pPr>
              <w:snapToGrid w:val="0"/>
              <w:spacing w:line="400" w:lineRule="exact"/>
              <w:rPr>
                <w:rFonts w:ascii="宋体" w:hAnsi="宋体"/>
                <w:color w:val="auto"/>
                <w:kern w:val="0"/>
                <w:szCs w:val="21"/>
                <w:highlight w:val="none"/>
              </w:rPr>
            </w:pPr>
            <w:r>
              <w:rPr>
                <w:rFonts w:ascii="宋体" w:hAnsi="宋体"/>
                <w:color w:val="auto"/>
                <w:kern w:val="0"/>
                <w:szCs w:val="21"/>
                <w:highlight w:val="none"/>
              </w:rPr>
              <w:t>名称：</w:t>
            </w:r>
          </w:p>
          <w:p w14:paraId="74E7E1FE">
            <w:pPr>
              <w:snapToGrid w:val="0"/>
              <w:spacing w:line="400" w:lineRule="exact"/>
              <w:rPr>
                <w:rFonts w:ascii="宋体" w:hAnsi="宋体"/>
                <w:color w:val="auto"/>
                <w:kern w:val="0"/>
                <w:szCs w:val="21"/>
                <w:highlight w:val="none"/>
              </w:rPr>
            </w:pPr>
            <w:r>
              <w:rPr>
                <w:rFonts w:ascii="宋体" w:hAnsi="宋体"/>
                <w:color w:val="auto"/>
                <w:kern w:val="0"/>
                <w:szCs w:val="21"/>
                <w:highlight w:val="none"/>
              </w:rPr>
              <w:t>地址：</w:t>
            </w:r>
          </w:p>
          <w:p w14:paraId="619C54A8">
            <w:pPr>
              <w:snapToGrid w:val="0"/>
              <w:spacing w:line="400" w:lineRule="exact"/>
              <w:rPr>
                <w:rFonts w:ascii="宋体" w:hAnsi="宋体"/>
                <w:color w:val="auto"/>
                <w:kern w:val="0"/>
                <w:szCs w:val="21"/>
                <w:highlight w:val="none"/>
              </w:rPr>
            </w:pPr>
            <w:r>
              <w:rPr>
                <w:rFonts w:ascii="宋体" w:hAnsi="宋体"/>
                <w:color w:val="auto"/>
                <w:kern w:val="0"/>
                <w:szCs w:val="21"/>
                <w:highlight w:val="none"/>
              </w:rPr>
              <w:t>联系人：</w:t>
            </w:r>
          </w:p>
          <w:p w14:paraId="6D19159E">
            <w:pPr>
              <w:snapToGrid w:val="0"/>
              <w:spacing w:line="400" w:lineRule="exact"/>
              <w:rPr>
                <w:rFonts w:ascii="宋体" w:hAnsi="宋体"/>
                <w:color w:val="auto"/>
                <w:kern w:val="0"/>
                <w:szCs w:val="21"/>
                <w:highlight w:val="none"/>
              </w:rPr>
            </w:pPr>
            <w:r>
              <w:rPr>
                <w:rFonts w:ascii="宋体" w:hAnsi="宋体"/>
                <w:color w:val="auto"/>
                <w:kern w:val="0"/>
                <w:szCs w:val="21"/>
                <w:highlight w:val="none"/>
              </w:rPr>
              <w:t>电话：</w:t>
            </w:r>
          </w:p>
        </w:tc>
      </w:tr>
      <w:tr w14:paraId="65258F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17B2096">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1.1.4</w:t>
            </w:r>
          </w:p>
        </w:tc>
        <w:tc>
          <w:tcPr>
            <w:tcW w:w="1644" w:type="dxa"/>
            <w:noWrap w:val="0"/>
            <w:vAlign w:val="center"/>
          </w:tcPr>
          <w:p w14:paraId="621B9C70">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项目名称</w:t>
            </w:r>
          </w:p>
        </w:tc>
        <w:tc>
          <w:tcPr>
            <w:tcW w:w="6490" w:type="dxa"/>
            <w:noWrap w:val="0"/>
            <w:vAlign w:val="center"/>
          </w:tcPr>
          <w:p w14:paraId="44002883">
            <w:pPr>
              <w:snapToGrid w:val="0"/>
              <w:spacing w:line="400" w:lineRule="exact"/>
              <w:jc w:val="left"/>
              <w:rPr>
                <w:rFonts w:ascii="宋体" w:hAnsi="宋体"/>
                <w:color w:val="auto"/>
                <w:szCs w:val="21"/>
                <w:highlight w:val="none"/>
              </w:rPr>
            </w:pPr>
          </w:p>
        </w:tc>
      </w:tr>
      <w:tr w14:paraId="669B55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444465A6">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1.1.5</w:t>
            </w:r>
          </w:p>
        </w:tc>
        <w:tc>
          <w:tcPr>
            <w:tcW w:w="1644" w:type="dxa"/>
            <w:noWrap w:val="0"/>
            <w:vAlign w:val="center"/>
          </w:tcPr>
          <w:p w14:paraId="595C58EC">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建设地点</w:t>
            </w:r>
          </w:p>
        </w:tc>
        <w:tc>
          <w:tcPr>
            <w:tcW w:w="6490" w:type="dxa"/>
            <w:noWrap w:val="0"/>
            <w:vAlign w:val="center"/>
          </w:tcPr>
          <w:p w14:paraId="24EAEE8D">
            <w:pPr>
              <w:snapToGrid w:val="0"/>
              <w:spacing w:line="400" w:lineRule="exact"/>
              <w:jc w:val="left"/>
              <w:rPr>
                <w:rFonts w:ascii="宋体" w:hAnsi="宋体"/>
                <w:color w:val="auto"/>
                <w:szCs w:val="21"/>
                <w:highlight w:val="none"/>
              </w:rPr>
            </w:pPr>
          </w:p>
        </w:tc>
      </w:tr>
      <w:tr w14:paraId="0A2D34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78493223">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1.1.6</w:t>
            </w:r>
          </w:p>
        </w:tc>
        <w:tc>
          <w:tcPr>
            <w:tcW w:w="1644" w:type="dxa"/>
            <w:noWrap w:val="0"/>
            <w:vAlign w:val="center"/>
          </w:tcPr>
          <w:p w14:paraId="3129F4E1">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建设规模</w:t>
            </w:r>
          </w:p>
        </w:tc>
        <w:tc>
          <w:tcPr>
            <w:tcW w:w="6490" w:type="dxa"/>
            <w:noWrap w:val="0"/>
            <w:vAlign w:val="center"/>
          </w:tcPr>
          <w:p w14:paraId="48C4B314">
            <w:pPr>
              <w:tabs>
                <w:tab w:val="left" w:pos="3840"/>
                <w:tab w:val="left" w:pos="5300"/>
              </w:tabs>
              <w:autoSpaceDE w:val="0"/>
              <w:autoSpaceDN w:val="0"/>
              <w:adjustRightInd w:val="0"/>
              <w:snapToGrid w:val="0"/>
              <w:spacing w:line="460" w:lineRule="exact"/>
              <w:ind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u w:val="single"/>
              </w:rPr>
              <w:t xml:space="preserve">        </w:t>
            </w:r>
          </w:p>
          <w:p w14:paraId="3FEDA9DD">
            <w:pPr>
              <w:tabs>
                <w:tab w:val="left" w:pos="3840"/>
                <w:tab w:val="left" w:pos="5300"/>
              </w:tabs>
              <w:autoSpaceDE w:val="0"/>
              <w:autoSpaceDN w:val="0"/>
              <w:adjustRightInd w:val="0"/>
              <w:snapToGrid w:val="0"/>
              <w:spacing w:line="460" w:lineRule="exact"/>
              <w:ind w:firstLine="420" w:firstLineChars="200"/>
              <w:rPr>
                <w:rFonts w:ascii="宋体" w:hAnsi="宋体"/>
                <w:i/>
                <w:snapToGrid w:val="0"/>
                <w:color w:val="auto"/>
                <w:kern w:val="0"/>
                <w:szCs w:val="21"/>
                <w:highlight w:val="none"/>
              </w:rPr>
            </w:pPr>
            <w:r>
              <w:rPr>
                <w:rFonts w:hint="eastAsia" w:ascii="宋体" w:hAnsi="宋体"/>
                <w:i/>
                <w:snapToGrid w:val="0"/>
                <w:color w:val="auto"/>
                <w:kern w:val="0"/>
                <w:szCs w:val="21"/>
                <w:highlight w:val="none"/>
              </w:rPr>
              <w:t>[提示：与招标公告保持一致。]</w:t>
            </w:r>
          </w:p>
        </w:tc>
      </w:tr>
      <w:tr w14:paraId="776248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099A7534">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1.2.1</w:t>
            </w:r>
          </w:p>
        </w:tc>
        <w:tc>
          <w:tcPr>
            <w:tcW w:w="1644" w:type="dxa"/>
            <w:noWrap w:val="0"/>
            <w:vAlign w:val="center"/>
          </w:tcPr>
          <w:p w14:paraId="5F008149">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资金来源</w:t>
            </w:r>
          </w:p>
        </w:tc>
        <w:tc>
          <w:tcPr>
            <w:tcW w:w="6490" w:type="dxa"/>
            <w:noWrap w:val="0"/>
            <w:vAlign w:val="center"/>
          </w:tcPr>
          <w:p w14:paraId="0821A436">
            <w:pPr>
              <w:tabs>
                <w:tab w:val="left" w:pos="3840"/>
                <w:tab w:val="left" w:pos="5300"/>
              </w:tabs>
              <w:autoSpaceDE w:val="0"/>
              <w:autoSpaceDN w:val="0"/>
              <w:adjustRightInd w:val="0"/>
              <w:snapToGrid w:val="0"/>
              <w:spacing w:line="460" w:lineRule="exact"/>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u w:val="single"/>
              </w:rPr>
              <w:t xml:space="preserve">        </w:t>
            </w:r>
          </w:p>
        </w:tc>
      </w:tr>
      <w:tr w14:paraId="661CE8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1984BE3">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1.2.2</w:t>
            </w:r>
          </w:p>
        </w:tc>
        <w:tc>
          <w:tcPr>
            <w:tcW w:w="1644" w:type="dxa"/>
            <w:noWrap w:val="0"/>
            <w:vAlign w:val="center"/>
          </w:tcPr>
          <w:p w14:paraId="2B15254C">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出资比例</w:t>
            </w:r>
          </w:p>
        </w:tc>
        <w:tc>
          <w:tcPr>
            <w:tcW w:w="6490" w:type="dxa"/>
            <w:noWrap w:val="0"/>
            <w:vAlign w:val="center"/>
          </w:tcPr>
          <w:p w14:paraId="7CFAC1FC">
            <w:pPr>
              <w:snapToGrid w:val="0"/>
              <w:spacing w:line="400" w:lineRule="exact"/>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100%</w:t>
            </w:r>
          </w:p>
        </w:tc>
      </w:tr>
      <w:tr w14:paraId="1B862F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5F264A96">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1.2.3</w:t>
            </w:r>
          </w:p>
        </w:tc>
        <w:tc>
          <w:tcPr>
            <w:tcW w:w="1644" w:type="dxa"/>
            <w:noWrap w:val="0"/>
            <w:vAlign w:val="center"/>
          </w:tcPr>
          <w:p w14:paraId="5BB18796">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资金落实情况</w:t>
            </w:r>
          </w:p>
        </w:tc>
        <w:tc>
          <w:tcPr>
            <w:tcW w:w="6490" w:type="dxa"/>
            <w:noWrap w:val="0"/>
            <w:vAlign w:val="center"/>
          </w:tcPr>
          <w:p w14:paraId="3810AE0E">
            <w:pPr>
              <w:snapToGrid w:val="0"/>
              <w:spacing w:line="400" w:lineRule="exact"/>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已落实</w:t>
            </w:r>
          </w:p>
        </w:tc>
      </w:tr>
      <w:tr w14:paraId="2021A3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48A235D0">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1.3.1</w:t>
            </w:r>
          </w:p>
        </w:tc>
        <w:tc>
          <w:tcPr>
            <w:tcW w:w="1644" w:type="dxa"/>
            <w:noWrap w:val="0"/>
            <w:vAlign w:val="center"/>
          </w:tcPr>
          <w:p w14:paraId="3702D6CD">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招标范围</w:t>
            </w:r>
          </w:p>
        </w:tc>
        <w:tc>
          <w:tcPr>
            <w:tcW w:w="6490" w:type="dxa"/>
            <w:noWrap w:val="0"/>
            <w:vAlign w:val="center"/>
          </w:tcPr>
          <w:p w14:paraId="3E37DD3F">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u w:val="single"/>
              </w:rPr>
              <w:t xml:space="preserve">        </w:t>
            </w:r>
          </w:p>
          <w:p w14:paraId="6FE96756">
            <w:pPr>
              <w:snapToGrid w:val="0"/>
              <w:spacing w:line="400" w:lineRule="exact"/>
              <w:ind w:firstLine="420" w:firstLineChars="200"/>
              <w:rPr>
                <w:rFonts w:ascii="宋体" w:hAnsi="宋体"/>
                <w:i/>
                <w:color w:val="auto"/>
                <w:szCs w:val="21"/>
                <w:highlight w:val="none"/>
              </w:rPr>
            </w:pPr>
            <w:r>
              <w:rPr>
                <w:rFonts w:ascii="宋体" w:hAnsi="宋体"/>
                <w:i/>
                <w:color w:val="auto"/>
                <w:szCs w:val="21"/>
                <w:highlight w:val="none"/>
              </w:rPr>
              <w:t>[提示：招标范围应准确明了，采用工程专业术语填写</w:t>
            </w:r>
            <w:r>
              <w:rPr>
                <w:rFonts w:hint="eastAsia" w:ascii="宋体" w:hAnsi="宋体"/>
                <w:i/>
                <w:color w:val="auto"/>
                <w:szCs w:val="21"/>
                <w:highlight w:val="none"/>
              </w:rPr>
              <w:t>，且与招标公告描述的招标范围保持一致。</w:t>
            </w:r>
            <w:r>
              <w:rPr>
                <w:rFonts w:ascii="宋体" w:hAnsi="宋体"/>
                <w:i/>
                <w:color w:val="auto"/>
                <w:szCs w:val="21"/>
                <w:highlight w:val="none"/>
              </w:rPr>
              <w:t>]</w:t>
            </w:r>
          </w:p>
        </w:tc>
      </w:tr>
      <w:tr w14:paraId="00B4E0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8CC4CF9">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1.3.2</w:t>
            </w:r>
          </w:p>
        </w:tc>
        <w:tc>
          <w:tcPr>
            <w:tcW w:w="1644" w:type="dxa"/>
            <w:noWrap w:val="0"/>
            <w:vAlign w:val="center"/>
          </w:tcPr>
          <w:p w14:paraId="24E93FE4">
            <w:pPr>
              <w:snapToGrid w:val="0"/>
              <w:spacing w:line="400" w:lineRule="exact"/>
              <w:jc w:val="center"/>
              <w:rPr>
                <w:rFonts w:hint="eastAsia" w:ascii="宋体" w:hAnsi="宋体"/>
                <w:color w:val="auto"/>
                <w:kern w:val="0"/>
                <w:szCs w:val="21"/>
                <w:highlight w:val="none"/>
              </w:rPr>
            </w:pPr>
            <w:r>
              <w:rPr>
                <w:rFonts w:ascii="宋体" w:hAnsi="宋体"/>
                <w:color w:val="auto"/>
                <w:kern w:val="0"/>
                <w:szCs w:val="21"/>
                <w:highlight w:val="none"/>
              </w:rPr>
              <w:t>计划工期</w:t>
            </w:r>
          </w:p>
          <w:p w14:paraId="43A301B9">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缺陷责任期</w:t>
            </w:r>
          </w:p>
        </w:tc>
        <w:tc>
          <w:tcPr>
            <w:tcW w:w="6490" w:type="dxa"/>
            <w:noWrap w:val="0"/>
            <w:vAlign w:val="center"/>
          </w:tcPr>
          <w:p w14:paraId="179ABC47">
            <w:pPr>
              <w:snapToGrid w:val="0"/>
              <w:spacing w:line="400" w:lineRule="exact"/>
              <w:ind w:firstLine="420" w:firstLineChars="200"/>
              <w:rPr>
                <w:rFonts w:hint="eastAsia" w:ascii="宋体" w:hAnsi="宋体"/>
                <w:snapToGrid w:val="0"/>
                <w:color w:val="auto"/>
                <w:kern w:val="0"/>
                <w:szCs w:val="21"/>
                <w:highlight w:val="none"/>
                <w:u w:val="single"/>
              </w:rPr>
            </w:pPr>
            <w:r>
              <w:rPr>
                <w:rFonts w:hint="eastAsia" w:ascii="宋体" w:hAnsi="宋体"/>
                <w:color w:val="auto"/>
                <w:kern w:val="0"/>
                <w:szCs w:val="21"/>
                <w:highlight w:val="none"/>
              </w:rPr>
              <w:t>工期：</w:t>
            </w:r>
            <w:r>
              <w:rPr>
                <w:rFonts w:hint="eastAsia" w:ascii="宋体" w:hAnsi="宋体"/>
                <w:snapToGrid w:val="0"/>
                <w:color w:val="auto"/>
                <w:kern w:val="0"/>
                <w:szCs w:val="21"/>
                <w:highlight w:val="none"/>
                <w:u w:val="single"/>
              </w:rPr>
              <w:t xml:space="preserve">        日历天</w:t>
            </w:r>
          </w:p>
          <w:p w14:paraId="5129E89F">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缺陷责任期：</w:t>
            </w:r>
            <w:r>
              <w:rPr>
                <w:rFonts w:hint="eastAsia" w:ascii="宋体" w:hAnsi="宋体"/>
                <w:snapToGrid w:val="0"/>
                <w:color w:val="auto"/>
                <w:kern w:val="0"/>
                <w:szCs w:val="21"/>
                <w:highlight w:val="none"/>
                <w:u w:val="single"/>
              </w:rPr>
              <w:t xml:space="preserve">        个月</w:t>
            </w:r>
          </w:p>
        </w:tc>
      </w:tr>
      <w:tr w14:paraId="3650AF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1CA3F847">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1.3.3</w:t>
            </w:r>
          </w:p>
        </w:tc>
        <w:tc>
          <w:tcPr>
            <w:tcW w:w="1644" w:type="dxa"/>
            <w:noWrap w:val="0"/>
            <w:vAlign w:val="center"/>
          </w:tcPr>
          <w:p w14:paraId="1F0F1FD3">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质量要求</w:t>
            </w:r>
          </w:p>
        </w:tc>
        <w:tc>
          <w:tcPr>
            <w:tcW w:w="6490" w:type="dxa"/>
            <w:noWrap w:val="0"/>
            <w:vAlign w:val="center"/>
          </w:tcPr>
          <w:p w14:paraId="59B1F342">
            <w:pPr>
              <w:snapToGrid w:val="0"/>
              <w:spacing w:line="400" w:lineRule="exact"/>
              <w:ind w:firstLine="420" w:firstLineChars="200"/>
              <w:rPr>
                <w:rFonts w:hint="eastAsia" w:ascii="宋体" w:hAnsi="宋体"/>
                <w:color w:val="auto"/>
                <w:szCs w:val="21"/>
                <w:highlight w:val="none"/>
              </w:rPr>
            </w:pPr>
            <w:r>
              <w:rPr>
                <w:rFonts w:ascii="宋体" w:hAnsi="宋体"/>
                <w:color w:val="auto"/>
                <w:szCs w:val="21"/>
                <w:highlight w:val="none"/>
                <w:u w:val="single"/>
              </w:rPr>
              <w:t>达到国家和重庆市现行有关施工质量验收规范要求，并达到合格标准</w:t>
            </w:r>
            <w:r>
              <w:rPr>
                <w:rFonts w:ascii="宋体" w:hAnsi="宋体"/>
                <w:color w:val="auto"/>
                <w:szCs w:val="21"/>
                <w:highlight w:val="none"/>
              </w:rPr>
              <w:t>。</w:t>
            </w:r>
          </w:p>
          <w:p w14:paraId="32478643">
            <w:pPr>
              <w:snapToGrid w:val="0"/>
              <w:spacing w:line="400" w:lineRule="exact"/>
              <w:ind w:firstLine="420" w:firstLineChars="200"/>
              <w:rPr>
                <w:rFonts w:ascii="宋体" w:hAnsi="宋体"/>
                <w:color w:val="auto"/>
                <w:szCs w:val="21"/>
                <w:highlight w:val="none"/>
              </w:rPr>
            </w:pPr>
            <w:r>
              <w:rPr>
                <w:rFonts w:hint="eastAsia" w:ascii="宋体" w:hAnsi="宋体"/>
                <w:i/>
                <w:color w:val="auto"/>
                <w:szCs w:val="21"/>
                <w:highlight w:val="none"/>
              </w:rPr>
              <w:t>[提示：根据工程实际情况确定合理的质量要求。]</w:t>
            </w:r>
          </w:p>
        </w:tc>
      </w:tr>
      <w:tr w14:paraId="22D461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AB99AA8">
            <w:pPr>
              <w:snapToGrid w:val="0"/>
              <w:spacing w:line="400" w:lineRule="exact"/>
              <w:jc w:val="center"/>
              <w:rPr>
                <w:rFonts w:ascii="宋体" w:hAnsi="宋体"/>
                <w:color w:val="auto"/>
                <w:kern w:val="0"/>
                <w:szCs w:val="21"/>
                <w:highlight w:val="none"/>
              </w:rPr>
            </w:pPr>
          </w:p>
          <w:p w14:paraId="7819D433">
            <w:pPr>
              <w:snapToGrid w:val="0"/>
              <w:spacing w:line="400" w:lineRule="exact"/>
              <w:jc w:val="center"/>
              <w:rPr>
                <w:rFonts w:ascii="宋体" w:hAnsi="宋体"/>
                <w:color w:val="auto"/>
                <w:kern w:val="0"/>
                <w:szCs w:val="21"/>
                <w:highlight w:val="none"/>
              </w:rPr>
            </w:pPr>
          </w:p>
          <w:p w14:paraId="3D25C24E">
            <w:pPr>
              <w:snapToGrid w:val="0"/>
              <w:spacing w:line="400" w:lineRule="exact"/>
              <w:jc w:val="center"/>
              <w:rPr>
                <w:rFonts w:ascii="宋体" w:hAnsi="宋体"/>
                <w:color w:val="auto"/>
                <w:kern w:val="0"/>
                <w:szCs w:val="21"/>
                <w:highlight w:val="none"/>
              </w:rPr>
            </w:pPr>
          </w:p>
          <w:p w14:paraId="12E1BA4F">
            <w:pPr>
              <w:snapToGrid w:val="0"/>
              <w:spacing w:line="400" w:lineRule="exact"/>
              <w:jc w:val="center"/>
              <w:rPr>
                <w:rFonts w:ascii="宋体" w:hAnsi="宋体"/>
                <w:color w:val="auto"/>
                <w:kern w:val="0"/>
                <w:szCs w:val="21"/>
                <w:highlight w:val="none"/>
              </w:rPr>
            </w:pPr>
          </w:p>
          <w:p w14:paraId="6043A882">
            <w:pPr>
              <w:snapToGrid w:val="0"/>
              <w:spacing w:line="400" w:lineRule="exact"/>
              <w:jc w:val="center"/>
              <w:rPr>
                <w:rFonts w:ascii="宋体" w:hAnsi="宋体"/>
                <w:color w:val="auto"/>
                <w:kern w:val="0"/>
                <w:szCs w:val="21"/>
                <w:highlight w:val="none"/>
              </w:rPr>
            </w:pPr>
          </w:p>
          <w:p w14:paraId="7C748E1A">
            <w:pPr>
              <w:snapToGrid w:val="0"/>
              <w:spacing w:line="400" w:lineRule="exact"/>
              <w:jc w:val="center"/>
              <w:rPr>
                <w:rFonts w:ascii="宋体" w:hAnsi="宋体"/>
                <w:color w:val="auto"/>
                <w:kern w:val="0"/>
                <w:szCs w:val="21"/>
                <w:highlight w:val="none"/>
              </w:rPr>
            </w:pPr>
          </w:p>
          <w:p w14:paraId="7C479384">
            <w:pPr>
              <w:snapToGrid w:val="0"/>
              <w:spacing w:line="400" w:lineRule="exact"/>
              <w:jc w:val="center"/>
              <w:rPr>
                <w:rFonts w:ascii="宋体" w:hAnsi="宋体"/>
                <w:color w:val="auto"/>
                <w:kern w:val="0"/>
                <w:szCs w:val="21"/>
                <w:highlight w:val="none"/>
              </w:rPr>
            </w:pPr>
          </w:p>
          <w:p w14:paraId="090AE55E">
            <w:pPr>
              <w:snapToGrid w:val="0"/>
              <w:spacing w:line="400" w:lineRule="exact"/>
              <w:jc w:val="center"/>
              <w:rPr>
                <w:rFonts w:ascii="宋体" w:hAnsi="宋体"/>
                <w:color w:val="auto"/>
                <w:kern w:val="0"/>
                <w:szCs w:val="21"/>
                <w:highlight w:val="none"/>
              </w:rPr>
            </w:pPr>
          </w:p>
          <w:p w14:paraId="0FB8728E">
            <w:pPr>
              <w:snapToGrid w:val="0"/>
              <w:spacing w:line="400" w:lineRule="exact"/>
              <w:jc w:val="center"/>
              <w:rPr>
                <w:rFonts w:ascii="宋体" w:hAnsi="宋体"/>
                <w:color w:val="auto"/>
                <w:kern w:val="0"/>
                <w:szCs w:val="21"/>
                <w:highlight w:val="none"/>
              </w:rPr>
            </w:pPr>
          </w:p>
          <w:p w14:paraId="34AA5BC9">
            <w:pPr>
              <w:snapToGrid w:val="0"/>
              <w:spacing w:line="400" w:lineRule="exact"/>
              <w:jc w:val="center"/>
              <w:rPr>
                <w:rFonts w:ascii="宋体" w:hAnsi="宋体"/>
                <w:color w:val="auto"/>
                <w:kern w:val="0"/>
                <w:szCs w:val="21"/>
                <w:highlight w:val="none"/>
              </w:rPr>
            </w:pPr>
          </w:p>
          <w:p w14:paraId="1F8FA39D">
            <w:pPr>
              <w:snapToGrid w:val="0"/>
              <w:spacing w:line="400" w:lineRule="exact"/>
              <w:jc w:val="center"/>
              <w:rPr>
                <w:rFonts w:ascii="宋体" w:hAnsi="宋体"/>
                <w:color w:val="auto"/>
                <w:kern w:val="0"/>
                <w:szCs w:val="21"/>
                <w:highlight w:val="none"/>
              </w:rPr>
            </w:pPr>
          </w:p>
          <w:p w14:paraId="213C9A4E">
            <w:pPr>
              <w:snapToGrid w:val="0"/>
              <w:spacing w:line="400" w:lineRule="exact"/>
              <w:jc w:val="center"/>
              <w:rPr>
                <w:rFonts w:ascii="宋体" w:hAnsi="宋体"/>
                <w:color w:val="auto"/>
                <w:kern w:val="0"/>
                <w:szCs w:val="21"/>
                <w:highlight w:val="none"/>
              </w:rPr>
            </w:pPr>
          </w:p>
          <w:p w14:paraId="2594CDD3">
            <w:pPr>
              <w:snapToGrid w:val="0"/>
              <w:spacing w:line="400" w:lineRule="exact"/>
              <w:jc w:val="center"/>
              <w:rPr>
                <w:rFonts w:ascii="宋体" w:hAnsi="宋体"/>
                <w:color w:val="auto"/>
                <w:kern w:val="0"/>
                <w:szCs w:val="21"/>
                <w:highlight w:val="none"/>
              </w:rPr>
            </w:pPr>
          </w:p>
          <w:p w14:paraId="372A2EB0">
            <w:pPr>
              <w:snapToGrid w:val="0"/>
              <w:spacing w:line="400" w:lineRule="exact"/>
              <w:jc w:val="center"/>
              <w:rPr>
                <w:rFonts w:ascii="宋体" w:hAnsi="宋体"/>
                <w:color w:val="auto"/>
                <w:kern w:val="0"/>
                <w:szCs w:val="21"/>
                <w:highlight w:val="none"/>
              </w:rPr>
            </w:pPr>
          </w:p>
          <w:p w14:paraId="3CF62650">
            <w:pPr>
              <w:snapToGrid w:val="0"/>
              <w:spacing w:line="400" w:lineRule="exact"/>
              <w:jc w:val="center"/>
              <w:rPr>
                <w:rFonts w:ascii="宋体" w:hAnsi="宋体"/>
                <w:color w:val="auto"/>
                <w:kern w:val="0"/>
                <w:szCs w:val="21"/>
                <w:highlight w:val="none"/>
              </w:rPr>
            </w:pPr>
          </w:p>
          <w:p w14:paraId="3F11B2B4">
            <w:pPr>
              <w:snapToGrid w:val="0"/>
              <w:spacing w:line="400" w:lineRule="exact"/>
              <w:jc w:val="center"/>
              <w:rPr>
                <w:rFonts w:ascii="宋体" w:hAnsi="宋体"/>
                <w:color w:val="auto"/>
                <w:kern w:val="0"/>
                <w:szCs w:val="21"/>
                <w:highlight w:val="none"/>
              </w:rPr>
            </w:pPr>
          </w:p>
          <w:p w14:paraId="7B883D8A">
            <w:pPr>
              <w:snapToGrid w:val="0"/>
              <w:spacing w:line="400" w:lineRule="exact"/>
              <w:jc w:val="center"/>
              <w:rPr>
                <w:rFonts w:ascii="宋体" w:hAnsi="宋体"/>
                <w:color w:val="auto"/>
                <w:kern w:val="0"/>
                <w:szCs w:val="21"/>
                <w:highlight w:val="none"/>
              </w:rPr>
            </w:pPr>
          </w:p>
          <w:p w14:paraId="1AF17F94">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1.4.1</w:t>
            </w:r>
          </w:p>
          <w:p w14:paraId="1FAB6D3B">
            <w:pPr>
              <w:snapToGrid w:val="0"/>
              <w:spacing w:line="400" w:lineRule="exact"/>
              <w:jc w:val="center"/>
              <w:rPr>
                <w:rFonts w:ascii="宋体" w:hAnsi="宋体"/>
                <w:color w:val="auto"/>
                <w:kern w:val="0"/>
                <w:szCs w:val="21"/>
                <w:highlight w:val="none"/>
              </w:rPr>
            </w:pPr>
          </w:p>
          <w:p w14:paraId="678F2CC7">
            <w:pPr>
              <w:snapToGrid w:val="0"/>
              <w:spacing w:line="400" w:lineRule="exact"/>
              <w:jc w:val="center"/>
              <w:rPr>
                <w:rFonts w:ascii="宋体" w:hAnsi="宋体"/>
                <w:color w:val="auto"/>
                <w:kern w:val="0"/>
                <w:szCs w:val="21"/>
                <w:highlight w:val="none"/>
              </w:rPr>
            </w:pPr>
          </w:p>
          <w:p w14:paraId="1D13F2BF">
            <w:pPr>
              <w:snapToGrid w:val="0"/>
              <w:spacing w:line="400" w:lineRule="exact"/>
              <w:jc w:val="center"/>
              <w:rPr>
                <w:rFonts w:ascii="宋体" w:hAnsi="宋体"/>
                <w:color w:val="auto"/>
                <w:kern w:val="0"/>
                <w:szCs w:val="21"/>
                <w:highlight w:val="none"/>
              </w:rPr>
            </w:pPr>
          </w:p>
          <w:p w14:paraId="6BF1786E">
            <w:pPr>
              <w:snapToGrid w:val="0"/>
              <w:spacing w:line="400" w:lineRule="exact"/>
              <w:jc w:val="center"/>
              <w:rPr>
                <w:rFonts w:ascii="宋体" w:hAnsi="宋体"/>
                <w:color w:val="auto"/>
                <w:kern w:val="0"/>
                <w:szCs w:val="21"/>
                <w:highlight w:val="none"/>
              </w:rPr>
            </w:pPr>
          </w:p>
          <w:p w14:paraId="54E56072">
            <w:pPr>
              <w:snapToGrid w:val="0"/>
              <w:spacing w:line="400" w:lineRule="exact"/>
              <w:jc w:val="center"/>
              <w:rPr>
                <w:rFonts w:ascii="宋体" w:hAnsi="宋体"/>
                <w:color w:val="auto"/>
                <w:kern w:val="0"/>
                <w:szCs w:val="21"/>
                <w:highlight w:val="none"/>
              </w:rPr>
            </w:pPr>
          </w:p>
          <w:p w14:paraId="645F194C">
            <w:pPr>
              <w:snapToGrid w:val="0"/>
              <w:spacing w:line="400" w:lineRule="exact"/>
              <w:jc w:val="center"/>
              <w:rPr>
                <w:rFonts w:ascii="宋体" w:hAnsi="宋体"/>
                <w:color w:val="auto"/>
                <w:kern w:val="0"/>
                <w:szCs w:val="21"/>
                <w:highlight w:val="none"/>
              </w:rPr>
            </w:pPr>
          </w:p>
          <w:p w14:paraId="6A5332CA">
            <w:pPr>
              <w:snapToGrid w:val="0"/>
              <w:spacing w:line="400" w:lineRule="exact"/>
              <w:jc w:val="center"/>
              <w:rPr>
                <w:rFonts w:ascii="宋体" w:hAnsi="宋体"/>
                <w:color w:val="auto"/>
                <w:kern w:val="0"/>
                <w:szCs w:val="21"/>
                <w:highlight w:val="none"/>
              </w:rPr>
            </w:pPr>
          </w:p>
          <w:p w14:paraId="70888693">
            <w:pPr>
              <w:snapToGrid w:val="0"/>
              <w:spacing w:line="400" w:lineRule="exact"/>
              <w:jc w:val="center"/>
              <w:rPr>
                <w:rFonts w:ascii="宋体" w:hAnsi="宋体"/>
                <w:color w:val="auto"/>
                <w:kern w:val="0"/>
                <w:szCs w:val="21"/>
                <w:highlight w:val="none"/>
              </w:rPr>
            </w:pPr>
          </w:p>
          <w:p w14:paraId="396AFCC4">
            <w:pPr>
              <w:snapToGrid w:val="0"/>
              <w:spacing w:line="400" w:lineRule="exact"/>
              <w:jc w:val="center"/>
              <w:rPr>
                <w:rFonts w:ascii="宋体" w:hAnsi="宋体"/>
                <w:color w:val="auto"/>
                <w:kern w:val="0"/>
                <w:szCs w:val="21"/>
                <w:highlight w:val="none"/>
              </w:rPr>
            </w:pPr>
          </w:p>
          <w:p w14:paraId="7597D38A">
            <w:pPr>
              <w:snapToGrid w:val="0"/>
              <w:spacing w:line="400" w:lineRule="exact"/>
              <w:jc w:val="center"/>
              <w:rPr>
                <w:rFonts w:ascii="宋体" w:hAnsi="宋体"/>
                <w:color w:val="auto"/>
                <w:kern w:val="0"/>
                <w:szCs w:val="21"/>
                <w:highlight w:val="none"/>
              </w:rPr>
            </w:pPr>
          </w:p>
          <w:p w14:paraId="63B007AA">
            <w:pPr>
              <w:snapToGrid w:val="0"/>
              <w:spacing w:line="400" w:lineRule="exact"/>
              <w:jc w:val="center"/>
              <w:rPr>
                <w:rFonts w:ascii="宋体" w:hAnsi="宋体"/>
                <w:color w:val="auto"/>
                <w:kern w:val="0"/>
                <w:szCs w:val="21"/>
                <w:highlight w:val="none"/>
              </w:rPr>
            </w:pPr>
          </w:p>
          <w:p w14:paraId="6C1E0C1E">
            <w:pPr>
              <w:snapToGrid w:val="0"/>
              <w:spacing w:line="400" w:lineRule="exact"/>
              <w:jc w:val="center"/>
              <w:rPr>
                <w:rFonts w:ascii="宋体" w:hAnsi="宋体"/>
                <w:color w:val="auto"/>
                <w:kern w:val="0"/>
                <w:szCs w:val="21"/>
                <w:highlight w:val="none"/>
              </w:rPr>
            </w:pPr>
          </w:p>
          <w:p w14:paraId="53AAA281">
            <w:pPr>
              <w:snapToGrid w:val="0"/>
              <w:spacing w:line="400" w:lineRule="exact"/>
              <w:jc w:val="center"/>
              <w:rPr>
                <w:rFonts w:ascii="宋体" w:hAnsi="宋体"/>
                <w:color w:val="auto"/>
                <w:kern w:val="0"/>
                <w:szCs w:val="21"/>
                <w:highlight w:val="none"/>
              </w:rPr>
            </w:pPr>
          </w:p>
          <w:p w14:paraId="4EADDBD9">
            <w:pPr>
              <w:snapToGrid w:val="0"/>
              <w:spacing w:line="400" w:lineRule="exact"/>
              <w:jc w:val="center"/>
              <w:rPr>
                <w:rFonts w:ascii="宋体" w:hAnsi="宋体"/>
                <w:color w:val="auto"/>
                <w:kern w:val="0"/>
                <w:szCs w:val="21"/>
                <w:highlight w:val="none"/>
              </w:rPr>
            </w:pPr>
          </w:p>
          <w:p w14:paraId="0B58D3D7">
            <w:pPr>
              <w:snapToGrid w:val="0"/>
              <w:spacing w:line="400" w:lineRule="exact"/>
              <w:jc w:val="center"/>
              <w:rPr>
                <w:rFonts w:ascii="宋体" w:hAnsi="宋体"/>
                <w:color w:val="auto"/>
                <w:kern w:val="0"/>
                <w:szCs w:val="21"/>
                <w:highlight w:val="none"/>
              </w:rPr>
            </w:pPr>
          </w:p>
          <w:p w14:paraId="68665B0D">
            <w:pPr>
              <w:snapToGrid w:val="0"/>
              <w:spacing w:line="400" w:lineRule="exact"/>
              <w:jc w:val="center"/>
              <w:rPr>
                <w:rFonts w:ascii="宋体" w:hAnsi="宋体"/>
                <w:color w:val="auto"/>
                <w:kern w:val="0"/>
                <w:szCs w:val="21"/>
                <w:highlight w:val="none"/>
              </w:rPr>
            </w:pPr>
          </w:p>
          <w:p w14:paraId="18A05573">
            <w:pPr>
              <w:snapToGrid w:val="0"/>
              <w:spacing w:line="400" w:lineRule="exact"/>
              <w:jc w:val="center"/>
              <w:rPr>
                <w:rFonts w:ascii="宋体" w:hAnsi="宋体"/>
                <w:color w:val="auto"/>
                <w:kern w:val="0"/>
                <w:szCs w:val="21"/>
                <w:highlight w:val="none"/>
              </w:rPr>
            </w:pPr>
          </w:p>
          <w:p w14:paraId="65A07EB3">
            <w:pPr>
              <w:snapToGrid w:val="0"/>
              <w:spacing w:line="400" w:lineRule="exact"/>
              <w:jc w:val="center"/>
              <w:rPr>
                <w:rFonts w:ascii="宋体" w:hAnsi="宋体"/>
                <w:color w:val="auto"/>
                <w:kern w:val="0"/>
                <w:szCs w:val="21"/>
                <w:highlight w:val="none"/>
              </w:rPr>
            </w:pPr>
          </w:p>
          <w:p w14:paraId="05EDBAFF">
            <w:pPr>
              <w:snapToGrid w:val="0"/>
              <w:spacing w:line="400" w:lineRule="exact"/>
              <w:jc w:val="center"/>
              <w:rPr>
                <w:rFonts w:ascii="宋体" w:hAnsi="宋体"/>
                <w:color w:val="auto"/>
                <w:kern w:val="0"/>
                <w:szCs w:val="21"/>
                <w:highlight w:val="none"/>
              </w:rPr>
            </w:pPr>
          </w:p>
          <w:p w14:paraId="36E631A6">
            <w:pPr>
              <w:snapToGrid w:val="0"/>
              <w:spacing w:line="400" w:lineRule="exact"/>
              <w:jc w:val="center"/>
              <w:rPr>
                <w:rFonts w:ascii="宋体" w:hAnsi="宋体"/>
                <w:color w:val="auto"/>
                <w:kern w:val="0"/>
                <w:szCs w:val="21"/>
                <w:highlight w:val="none"/>
              </w:rPr>
            </w:pPr>
          </w:p>
          <w:p w14:paraId="0F6F6396">
            <w:pPr>
              <w:snapToGrid w:val="0"/>
              <w:spacing w:line="400" w:lineRule="exact"/>
              <w:jc w:val="center"/>
              <w:rPr>
                <w:rFonts w:ascii="宋体" w:hAnsi="宋体"/>
                <w:color w:val="auto"/>
                <w:kern w:val="0"/>
                <w:szCs w:val="21"/>
                <w:highlight w:val="none"/>
              </w:rPr>
            </w:pPr>
          </w:p>
          <w:p w14:paraId="216BA375">
            <w:pPr>
              <w:snapToGrid w:val="0"/>
              <w:spacing w:line="400" w:lineRule="exact"/>
              <w:jc w:val="center"/>
              <w:rPr>
                <w:rFonts w:ascii="宋体" w:hAnsi="宋体"/>
                <w:color w:val="auto"/>
                <w:kern w:val="0"/>
                <w:szCs w:val="21"/>
                <w:highlight w:val="none"/>
              </w:rPr>
            </w:pPr>
          </w:p>
          <w:p w14:paraId="1CC6DEA2">
            <w:pPr>
              <w:snapToGrid w:val="0"/>
              <w:spacing w:line="400" w:lineRule="exact"/>
              <w:jc w:val="center"/>
              <w:rPr>
                <w:rFonts w:ascii="宋体" w:hAnsi="宋体"/>
                <w:color w:val="auto"/>
                <w:kern w:val="0"/>
                <w:szCs w:val="21"/>
                <w:highlight w:val="none"/>
              </w:rPr>
            </w:pPr>
          </w:p>
          <w:p w14:paraId="47A92D72">
            <w:pPr>
              <w:snapToGrid w:val="0"/>
              <w:spacing w:line="400" w:lineRule="exact"/>
              <w:jc w:val="center"/>
              <w:rPr>
                <w:rFonts w:ascii="宋体" w:hAnsi="宋体"/>
                <w:color w:val="auto"/>
                <w:kern w:val="0"/>
                <w:szCs w:val="21"/>
                <w:highlight w:val="none"/>
              </w:rPr>
            </w:pPr>
          </w:p>
          <w:p w14:paraId="60D84CF3">
            <w:pPr>
              <w:snapToGrid w:val="0"/>
              <w:spacing w:line="400" w:lineRule="exact"/>
              <w:jc w:val="center"/>
              <w:rPr>
                <w:rFonts w:ascii="宋体" w:hAnsi="宋体"/>
                <w:color w:val="auto"/>
                <w:kern w:val="0"/>
                <w:szCs w:val="21"/>
                <w:highlight w:val="none"/>
              </w:rPr>
            </w:pPr>
          </w:p>
          <w:p w14:paraId="3535B031">
            <w:pPr>
              <w:snapToGrid w:val="0"/>
              <w:spacing w:line="400" w:lineRule="exact"/>
              <w:jc w:val="center"/>
              <w:rPr>
                <w:rFonts w:ascii="宋体" w:hAnsi="宋体"/>
                <w:color w:val="auto"/>
                <w:kern w:val="0"/>
                <w:szCs w:val="21"/>
                <w:highlight w:val="none"/>
              </w:rPr>
            </w:pPr>
          </w:p>
          <w:p w14:paraId="27932BAB">
            <w:pPr>
              <w:snapToGrid w:val="0"/>
              <w:spacing w:line="400" w:lineRule="exact"/>
              <w:jc w:val="center"/>
              <w:rPr>
                <w:rFonts w:ascii="宋体" w:hAnsi="宋体"/>
                <w:color w:val="auto"/>
                <w:kern w:val="0"/>
                <w:szCs w:val="21"/>
                <w:highlight w:val="none"/>
              </w:rPr>
            </w:pPr>
          </w:p>
          <w:p w14:paraId="30362CE3">
            <w:pPr>
              <w:snapToGrid w:val="0"/>
              <w:spacing w:line="400" w:lineRule="exact"/>
              <w:jc w:val="center"/>
              <w:rPr>
                <w:rFonts w:ascii="宋体" w:hAnsi="宋体"/>
                <w:color w:val="auto"/>
                <w:kern w:val="0"/>
                <w:szCs w:val="21"/>
                <w:highlight w:val="none"/>
              </w:rPr>
            </w:pPr>
          </w:p>
          <w:p w14:paraId="5B11B41D">
            <w:pPr>
              <w:snapToGrid w:val="0"/>
              <w:spacing w:line="400" w:lineRule="exact"/>
              <w:jc w:val="center"/>
              <w:rPr>
                <w:rFonts w:ascii="宋体" w:hAnsi="宋体"/>
                <w:color w:val="auto"/>
                <w:kern w:val="0"/>
                <w:szCs w:val="21"/>
                <w:highlight w:val="none"/>
              </w:rPr>
            </w:pPr>
          </w:p>
          <w:p w14:paraId="651B3A43">
            <w:pPr>
              <w:snapToGrid w:val="0"/>
              <w:spacing w:line="400" w:lineRule="exact"/>
              <w:jc w:val="center"/>
              <w:rPr>
                <w:rFonts w:ascii="宋体" w:hAnsi="宋体"/>
                <w:color w:val="auto"/>
                <w:kern w:val="0"/>
                <w:szCs w:val="21"/>
                <w:highlight w:val="none"/>
              </w:rPr>
            </w:pPr>
          </w:p>
          <w:p w14:paraId="5144622D">
            <w:pPr>
              <w:snapToGrid w:val="0"/>
              <w:spacing w:line="400" w:lineRule="exact"/>
              <w:jc w:val="center"/>
              <w:rPr>
                <w:rFonts w:ascii="宋体" w:hAnsi="宋体"/>
                <w:color w:val="auto"/>
                <w:kern w:val="0"/>
                <w:szCs w:val="21"/>
                <w:highlight w:val="none"/>
              </w:rPr>
            </w:pPr>
          </w:p>
          <w:p w14:paraId="1F2ACB0A">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1.4.1</w:t>
            </w:r>
          </w:p>
          <w:p w14:paraId="5DDBF2E9">
            <w:pPr>
              <w:snapToGrid w:val="0"/>
              <w:spacing w:line="400" w:lineRule="exact"/>
              <w:jc w:val="center"/>
              <w:rPr>
                <w:rFonts w:ascii="宋体" w:hAnsi="宋体"/>
                <w:color w:val="auto"/>
                <w:kern w:val="0"/>
                <w:szCs w:val="21"/>
                <w:highlight w:val="none"/>
              </w:rPr>
            </w:pPr>
          </w:p>
          <w:p w14:paraId="637CD976">
            <w:pPr>
              <w:snapToGrid w:val="0"/>
              <w:spacing w:line="400" w:lineRule="exact"/>
              <w:jc w:val="center"/>
              <w:rPr>
                <w:rFonts w:ascii="宋体" w:hAnsi="宋体"/>
                <w:color w:val="auto"/>
                <w:kern w:val="0"/>
                <w:szCs w:val="21"/>
                <w:highlight w:val="none"/>
              </w:rPr>
            </w:pPr>
          </w:p>
          <w:p w14:paraId="3A34CA7E">
            <w:pPr>
              <w:snapToGrid w:val="0"/>
              <w:spacing w:line="400" w:lineRule="exact"/>
              <w:jc w:val="center"/>
              <w:rPr>
                <w:rFonts w:ascii="宋体" w:hAnsi="宋体"/>
                <w:color w:val="auto"/>
                <w:kern w:val="0"/>
                <w:szCs w:val="21"/>
                <w:highlight w:val="none"/>
              </w:rPr>
            </w:pPr>
          </w:p>
          <w:p w14:paraId="671307BB">
            <w:pPr>
              <w:snapToGrid w:val="0"/>
              <w:spacing w:line="400" w:lineRule="exact"/>
              <w:jc w:val="center"/>
              <w:rPr>
                <w:rFonts w:ascii="宋体" w:hAnsi="宋体"/>
                <w:color w:val="auto"/>
                <w:kern w:val="0"/>
                <w:szCs w:val="21"/>
                <w:highlight w:val="none"/>
              </w:rPr>
            </w:pPr>
          </w:p>
          <w:p w14:paraId="0EC5E771">
            <w:pPr>
              <w:snapToGrid w:val="0"/>
              <w:spacing w:line="400" w:lineRule="exact"/>
              <w:jc w:val="center"/>
              <w:rPr>
                <w:rFonts w:ascii="宋体" w:hAnsi="宋体"/>
                <w:color w:val="auto"/>
                <w:kern w:val="0"/>
                <w:szCs w:val="21"/>
                <w:highlight w:val="none"/>
              </w:rPr>
            </w:pPr>
          </w:p>
          <w:p w14:paraId="2228C02F">
            <w:pPr>
              <w:snapToGrid w:val="0"/>
              <w:spacing w:line="400" w:lineRule="exact"/>
              <w:jc w:val="center"/>
              <w:rPr>
                <w:rFonts w:ascii="宋体" w:hAnsi="宋体"/>
                <w:color w:val="auto"/>
                <w:kern w:val="0"/>
                <w:szCs w:val="21"/>
                <w:highlight w:val="none"/>
              </w:rPr>
            </w:pPr>
          </w:p>
          <w:p w14:paraId="6509A10D">
            <w:pPr>
              <w:snapToGrid w:val="0"/>
              <w:spacing w:line="400" w:lineRule="exact"/>
              <w:jc w:val="center"/>
              <w:rPr>
                <w:rFonts w:ascii="宋体" w:hAnsi="宋体"/>
                <w:color w:val="auto"/>
                <w:kern w:val="0"/>
                <w:szCs w:val="21"/>
                <w:highlight w:val="none"/>
              </w:rPr>
            </w:pPr>
          </w:p>
          <w:p w14:paraId="29AA0851">
            <w:pPr>
              <w:snapToGrid w:val="0"/>
              <w:spacing w:line="400" w:lineRule="exact"/>
              <w:jc w:val="center"/>
              <w:rPr>
                <w:rFonts w:ascii="宋体" w:hAnsi="宋体"/>
                <w:color w:val="auto"/>
                <w:kern w:val="0"/>
                <w:szCs w:val="21"/>
                <w:highlight w:val="none"/>
              </w:rPr>
            </w:pPr>
          </w:p>
          <w:p w14:paraId="376B8105">
            <w:pPr>
              <w:snapToGrid w:val="0"/>
              <w:spacing w:line="400" w:lineRule="exact"/>
              <w:jc w:val="center"/>
              <w:rPr>
                <w:rFonts w:ascii="宋体" w:hAnsi="宋体"/>
                <w:color w:val="auto"/>
                <w:kern w:val="0"/>
                <w:szCs w:val="21"/>
                <w:highlight w:val="none"/>
              </w:rPr>
            </w:pPr>
          </w:p>
          <w:p w14:paraId="409FCA46">
            <w:pPr>
              <w:snapToGrid w:val="0"/>
              <w:spacing w:line="400" w:lineRule="exact"/>
              <w:jc w:val="center"/>
              <w:rPr>
                <w:rFonts w:ascii="宋体" w:hAnsi="宋体"/>
                <w:color w:val="auto"/>
                <w:kern w:val="0"/>
                <w:szCs w:val="21"/>
                <w:highlight w:val="none"/>
              </w:rPr>
            </w:pPr>
          </w:p>
          <w:p w14:paraId="1E97FBEF">
            <w:pPr>
              <w:snapToGrid w:val="0"/>
              <w:spacing w:line="400" w:lineRule="exact"/>
              <w:jc w:val="center"/>
              <w:rPr>
                <w:rFonts w:ascii="宋体" w:hAnsi="宋体"/>
                <w:color w:val="auto"/>
                <w:kern w:val="0"/>
                <w:szCs w:val="21"/>
                <w:highlight w:val="none"/>
              </w:rPr>
            </w:pPr>
          </w:p>
          <w:p w14:paraId="2259A4EF">
            <w:pPr>
              <w:snapToGrid w:val="0"/>
              <w:spacing w:line="400" w:lineRule="exact"/>
              <w:jc w:val="center"/>
              <w:rPr>
                <w:rFonts w:ascii="宋体" w:hAnsi="宋体"/>
                <w:color w:val="auto"/>
                <w:kern w:val="0"/>
                <w:szCs w:val="21"/>
                <w:highlight w:val="none"/>
              </w:rPr>
            </w:pPr>
          </w:p>
          <w:p w14:paraId="2E36A8AD">
            <w:pPr>
              <w:snapToGrid w:val="0"/>
              <w:spacing w:line="400" w:lineRule="exact"/>
              <w:jc w:val="center"/>
              <w:rPr>
                <w:rFonts w:ascii="宋体" w:hAnsi="宋体"/>
                <w:color w:val="auto"/>
                <w:kern w:val="0"/>
                <w:szCs w:val="21"/>
                <w:highlight w:val="none"/>
              </w:rPr>
            </w:pPr>
          </w:p>
          <w:p w14:paraId="66DC0ECB">
            <w:pPr>
              <w:snapToGrid w:val="0"/>
              <w:spacing w:line="400" w:lineRule="exact"/>
              <w:jc w:val="center"/>
              <w:rPr>
                <w:rFonts w:ascii="宋体" w:hAnsi="宋体"/>
                <w:color w:val="auto"/>
                <w:kern w:val="0"/>
                <w:szCs w:val="21"/>
                <w:highlight w:val="none"/>
              </w:rPr>
            </w:pPr>
          </w:p>
          <w:p w14:paraId="31CCE3A7">
            <w:pPr>
              <w:snapToGrid w:val="0"/>
              <w:spacing w:line="400" w:lineRule="exact"/>
              <w:jc w:val="center"/>
              <w:rPr>
                <w:rFonts w:ascii="宋体" w:hAnsi="宋体"/>
                <w:color w:val="auto"/>
                <w:kern w:val="0"/>
                <w:szCs w:val="21"/>
                <w:highlight w:val="none"/>
              </w:rPr>
            </w:pPr>
          </w:p>
          <w:p w14:paraId="031F9B2D">
            <w:pPr>
              <w:snapToGrid w:val="0"/>
              <w:spacing w:line="400" w:lineRule="exact"/>
              <w:jc w:val="center"/>
              <w:rPr>
                <w:rFonts w:ascii="宋体" w:hAnsi="宋体"/>
                <w:color w:val="auto"/>
                <w:kern w:val="0"/>
                <w:szCs w:val="21"/>
                <w:highlight w:val="none"/>
              </w:rPr>
            </w:pPr>
          </w:p>
          <w:p w14:paraId="0475B028">
            <w:pPr>
              <w:snapToGrid w:val="0"/>
              <w:spacing w:line="400" w:lineRule="exact"/>
              <w:jc w:val="center"/>
              <w:rPr>
                <w:rFonts w:ascii="宋体" w:hAnsi="宋体"/>
                <w:color w:val="auto"/>
                <w:kern w:val="0"/>
                <w:szCs w:val="21"/>
                <w:highlight w:val="none"/>
              </w:rPr>
            </w:pPr>
          </w:p>
          <w:p w14:paraId="33CA13EC">
            <w:pPr>
              <w:snapToGrid w:val="0"/>
              <w:spacing w:line="400" w:lineRule="exact"/>
              <w:jc w:val="center"/>
              <w:rPr>
                <w:rFonts w:ascii="宋体" w:hAnsi="宋体"/>
                <w:color w:val="auto"/>
                <w:kern w:val="0"/>
                <w:szCs w:val="21"/>
                <w:highlight w:val="none"/>
              </w:rPr>
            </w:pPr>
          </w:p>
          <w:p w14:paraId="7409F07B">
            <w:pPr>
              <w:snapToGrid w:val="0"/>
              <w:spacing w:line="400" w:lineRule="exact"/>
              <w:jc w:val="center"/>
              <w:rPr>
                <w:rFonts w:ascii="宋体" w:hAnsi="宋体"/>
                <w:color w:val="auto"/>
                <w:kern w:val="0"/>
                <w:szCs w:val="21"/>
                <w:highlight w:val="none"/>
              </w:rPr>
            </w:pPr>
          </w:p>
          <w:p w14:paraId="142E34A3">
            <w:pPr>
              <w:snapToGrid w:val="0"/>
              <w:spacing w:line="400" w:lineRule="exact"/>
              <w:jc w:val="center"/>
              <w:rPr>
                <w:rFonts w:ascii="宋体" w:hAnsi="宋体"/>
                <w:color w:val="auto"/>
                <w:kern w:val="0"/>
                <w:szCs w:val="21"/>
                <w:highlight w:val="none"/>
              </w:rPr>
            </w:pPr>
          </w:p>
          <w:p w14:paraId="7CD51DF1">
            <w:pPr>
              <w:snapToGrid w:val="0"/>
              <w:spacing w:line="400" w:lineRule="exact"/>
              <w:jc w:val="center"/>
              <w:rPr>
                <w:rFonts w:ascii="宋体" w:hAnsi="宋体"/>
                <w:color w:val="auto"/>
                <w:kern w:val="0"/>
                <w:szCs w:val="21"/>
                <w:highlight w:val="none"/>
              </w:rPr>
            </w:pPr>
          </w:p>
          <w:p w14:paraId="18AD1EA6">
            <w:pPr>
              <w:snapToGrid w:val="0"/>
              <w:spacing w:line="400" w:lineRule="exact"/>
              <w:jc w:val="center"/>
              <w:rPr>
                <w:rFonts w:ascii="宋体" w:hAnsi="宋体"/>
                <w:color w:val="auto"/>
                <w:kern w:val="0"/>
                <w:szCs w:val="21"/>
                <w:highlight w:val="none"/>
              </w:rPr>
            </w:pPr>
          </w:p>
          <w:p w14:paraId="71038BF9">
            <w:pPr>
              <w:snapToGrid w:val="0"/>
              <w:spacing w:line="400" w:lineRule="exact"/>
              <w:jc w:val="center"/>
              <w:rPr>
                <w:rFonts w:ascii="宋体" w:hAnsi="宋体"/>
                <w:color w:val="auto"/>
                <w:kern w:val="0"/>
                <w:szCs w:val="21"/>
                <w:highlight w:val="none"/>
              </w:rPr>
            </w:pPr>
          </w:p>
          <w:p w14:paraId="60387CA5">
            <w:pPr>
              <w:snapToGrid w:val="0"/>
              <w:spacing w:line="400" w:lineRule="exact"/>
              <w:jc w:val="center"/>
              <w:rPr>
                <w:rFonts w:ascii="宋体" w:hAnsi="宋体"/>
                <w:color w:val="auto"/>
                <w:kern w:val="0"/>
                <w:szCs w:val="21"/>
                <w:highlight w:val="none"/>
              </w:rPr>
            </w:pPr>
          </w:p>
          <w:p w14:paraId="3ACC24E8">
            <w:pPr>
              <w:snapToGrid w:val="0"/>
              <w:spacing w:line="400" w:lineRule="exact"/>
              <w:jc w:val="center"/>
              <w:rPr>
                <w:rFonts w:ascii="宋体" w:hAnsi="宋体"/>
                <w:color w:val="auto"/>
                <w:kern w:val="0"/>
                <w:szCs w:val="21"/>
                <w:highlight w:val="none"/>
              </w:rPr>
            </w:pPr>
          </w:p>
          <w:p w14:paraId="67E8D742">
            <w:pPr>
              <w:snapToGrid w:val="0"/>
              <w:spacing w:line="400" w:lineRule="exact"/>
              <w:jc w:val="center"/>
              <w:rPr>
                <w:rFonts w:ascii="宋体" w:hAnsi="宋体"/>
                <w:color w:val="auto"/>
                <w:kern w:val="0"/>
                <w:szCs w:val="21"/>
                <w:highlight w:val="none"/>
              </w:rPr>
            </w:pPr>
          </w:p>
          <w:p w14:paraId="0FD32904">
            <w:pPr>
              <w:snapToGrid w:val="0"/>
              <w:spacing w:line="400" w:lineRule="exact"/>
              <w:jc w:val="center"/>
              <w:rPr>
                <w:rFonts w:ascii="宋体" w:hAnsi="宋体"/>
                <w:color w:val="auto"/>
                <w:kern w:val="0"/>
                <w:szCs w:val="21"/>
                <w:highlight w:val="none"/>
              </w:rPr>
            </w:pPr>
          </w:p>
          <w:p w14:paraId="216AD4BC">
            <w:pPr>
              <w:snapToGrid w:val="0"/>
              <w:spacing w:line="400" w:lineRule="exact"/>
              <w:jc w:val="center"/>
              <w:rPr>
                <w:rFonts w:ascii="宋体" w:hAnsi="宋体"/>
                <w:color w:val="auto"/>
                <w:kern w:val="0"/>
                <w:szCs w:val="21"/>
                <w:highlight w:val="none"/>
              </w:rPr>
            </w:pPr>
          </w:p>
          <w:p w14:paraId="28A11C0C">
            <w:pPr>
              <w:snapToGrid w:val="0"/>
              <w:spacing w:line="400" w:lineRule="exact"/>
              <w:jc w:val="center"/>
              <w:rPr>
                <w:rFonts w:ascii="宋体" w:hAnsi="宋体"/>
                <w:color w:val="auto"/>
                <w:kern w:val="0"/>
                <w:szCs w:val="21"/>
                <w:highlight w:val="none"/>
              </w:rPr>
            </w:pPr>
          </w:p>
          <w:p w14:paraId="657B78FB">
            <w:pPr>
              <w:snapToGrid w:val="0"/>
              <w:spacing w:line="400" w:lineRule="exact"/>
              <w:jc w:val="center"/>
              <w:rPr>
                <w:rFonts w:ascii="宋体" w:hAnsi="宋体"/>
                <w:color w:val="auto"/>
                <w:kern w:val="0"/>
                <w:szCs w:val="21"/>
                <w:highlight w:val="none"/>
              </w:rPr>
            </w:pPr>
          </w:p>
          <w:p w14:paraId="7A882DE8">
            <w:pPr>
              <w:snapToGrid w:val="0"/>
              <w:spacing w:line="400" w:lineRule="exact"/>
              <w:jc w:val="center"/>
              <w:rPr>
                <w:rFonts w:ascii="宋体" w:hAnsi="宋体"/>
                <w:color w:val="auto"/>
                <w:kern w:val="0"/>
                <w:szCs w:val="21"/>
                <w:highlight w:val="none"/>
              </w:rPr>
            </w:pPr>
          </w:p>
          <w:p w14:paraId="71AC872F">
            <w:pPr>
              <w:snapToGrid w:val="0"/>
              <w:spacing w:line="400" w:lineRule="exact"/>
              <w:jc w:val="center"/>
              <w:rPr>
                <w:rFonts w:ascii="宋体" w:hAnsi="宋体"/>
                <w:color w:val="auto"/>
                <w:kern w:val="0"/>
                <w:szCs w:val="21"/>
                <w:highlight w:val="none"/>
              </w:rPr>
            </w:pPr>
          </w:p>
          <w:p w14:paraId="73AE5B49">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1.4.1</w:t>
            </w:r>
          </w:p>
          <w:p w14:paraId="337CF75C">
            <w:pPr>
              <w:snapToGrid w:val="0"/>
              <w:spacing w:line="400" w:lineRule="exact"/>
              <w:jc w:val="center"/>
              <w:rPr>
                <w:rFonts w:ascii="宋体" w:hAnsi="宋体"/>
                <w:color w:val="auto"/>
                <w:kern w:val="0"/>
                <w:szCs w:val="21"/>
                <w:highlight w:val="none"/>
              </w:rPr>
            </w:pPr>
          </w:p>
          <w:p w14:paraId="33689505">
            <w:pPr>
              <w:snapToGrid w:val="0"/>
              <w:spacing w:line="400" w:lineRule="exact"/>
              <w:jc w:val="center"/>
              <w:rPr>
                <w:rFonts w:ascii="宋体" w:hAnsi="宋体"/>
                <w:color w:val="auto"/>
                <w:kern w:val="0"/>
                <w:szCs w:val="21"/>
                <w:highlight w:val="none"/>
              </w:rPr>
            </w:pPr>
          </w:p>
          <w:p w14:paraId="5D80D112">
            <w:pPr>
              <w:snapToGrid w:val="0"/>
              <w:spacing w:line="400" w:lineRule="exact"/>
              <w:jc w:val="center"/>
              <w:rPr>
                <w:rFonts w:ascii="宋体" w:hAnsi="宋体"/>
                <w:color w:val="auto"/>
                <w:kern w:val="0"/>
                <w:szCs w:val="21"/>
                <w:highlight w:val="none"/>
              </w:rPr>
            </w:pPr>
          </w:p>
          <w:p w14:paraId="7F8A177F">
            <w:pPr>
              <w:snapToGrid w:val="0"/>
              <w:spacing w:line="400" w:lineRule="exact"/>
              <w:jc w:val="center"/>
              <w:rPr>
                <w:rFonts w:ascii="宋体" w:hAnsi="宋体"/>
                <w:color w:val="auto"/>
                <w:kern w:val="0"/>
                <w:szCs w:val="21"/>
                <w:highlight w:val="none"/>
              </w:rPr>
            </w:pPr>
          </w:p>
          <w:p w14:paraId="47A79FBC">
            <w:pPr>
              <w:snapToGrid w:val="0"/>
              <w:spacing w:line="400" w:lineRule="exact"/>
              <w:jc w:val="center"/>
              <w:rPr>
                <w:rFonts w:ascii="宋体" w:hAnsi="宋体"/>
                <w:color w:val="auto"/>
                <w:kern w:val="0"/>
                <w:szCs w:val="21"/>
                <w:highlight w:val="none"/>
              </w:rPr>
            </w:pPr>
          </w:p>
          <w:p w14:paraId="2C4DDD92">
            <w:pPr>
              <w:snapToGrid w:val="0"/>
              <w:spacing w:line="400" w:lineRule="exact"/>
              <w:jc w:val="center"/>
              <w:rPr>
                <w:rFonts w:ascii="宋体" w:hAnsi="宋体"/>
                <w:color w:val="auto"/>
                <w:kern w:val="0"/>
                <w:szCs w:val="21"/>
                <w:highlight w:val="none"/>
              </w:rPr>
            </w:pPr>
          </w:p>
          <w:p w14:paraId="12DF101B">
            <w:pPr>
              <w:snapToGrid w:val="0"/>
              <w:spacing w:line="400" w:lineRule="exact"/>
              <w:jc w:val="center"/>
              <w:rPr>
                <w:rFonts w:ascii="宋体" w:hAnsi="宋体"/>
                <w:color w:val="auto"/>
                <w:kern w:val="0"/>
                <w:szCs w:val="21"/>
                <w:highlight w:val="none"/>
              </w:rPr>
            </w:pPr>
          </w:p>
          <w:p w14:paraId="00E51FFC">
            <w:pPr>
              <w:snapToGrid w:val="0"/>
              <w:spacing w:line="400" w:lineRule="exact"/>
              <w:jc w:val="center"/>
              <w:rPr>
                <w:rFonts w:ascii="宋体" w:hAnsi="宋体"/>
                <w:color w:val="auto"/>
                <w:kern w:val="0"/>
                <w:szCs w:val="21"/>
                <w:highlight w:val="none"/>
              </w:rPr>
            </w:pPr>
          </w:p>
          <w:p w14:paraId="34E79178">
            <w:pPr>
              <w:snapToGrid w:val="0"/>
              <w:spacing w:line="400" w:lineRule="exact"/>
              <w:jc w:val="center"/>
              <w:rPr>
                <w:rFonts w:ascii="宋体" w:hAnsi="宋体"/>
                <w:color w:val="auto"/>
                <w:kern w:val="0"/>
                <w:szCs w:val="21"/>
                <w:highlight w:val="none"/>
              </w:rPr>
            </w:pPr>
          </w:p>
          <w:p w14:paraId="1E79C4F0">
            <w:pPr>
              <w:snapToGrid w:val="0"/>
              <w:spacing w:line="400" w:lineRule="exact"/>
              <w:jc w:val="center"/>
              <w:rPr>
                <w:rFonts w:ascii="宋体" w:hAnsi="宋体"/>
                <w:color w:val="auto"/>
                <w:kern w:val="0"/>
                <w:szCs w:val="21"/>
                <w:highlight w:val="none"/>
              </w:rPr>
            </w:pPr>
          </w:p>
          <w:p w14:paraId="5C76C744">
            <w:pPr>
              <w:snapToGrid w:val="0"/>
              <w:spacing w:line="400" w:lineRule="exact"/>
              <w:jc w:val="center"/>
              <w:rPr>
                <w:rFonts w:ascii="宋体" w:hAnsi="宋体"/>
                <w:color w:val="auto"/>
                <w:kern w:val="0"/>
                <w:szCs w:val="21"/>
                <w:highlight w:val="none"/>
              </w:rPr>
            </w:pPr>
          </w:p>
          <w:p w14:paraId="59B9BC7F">
            <w:pPr>
              <w:snapToGrid w:val="0"/>
              <w:spacing w:line="400" w:lineRule="exact"/>
              <w:jc w:val="center"/>
              <w:rPr>
                <w:rFonts w:ascii="宋体" w:hAnsi="宋体"/>
                <w:color w:val="auto"/>
                <w:kern w:val="0"/>
                <w:szCs w:val="21"/>
                <w:highlight w:val="none"/>
              </w:rPr>
            </w:pPr>
          </w:p>
          <w:p w14:paraId="2B23D572">
            <w:pPr>
              <w:snapToGrid w:val="0"/>
              <w:spacing w:line="400" w:lineRule="exact"/>
              <w:jc w:val="center"/>
              <w:rPr>
                <w:rFonts w:ascii="宋体" w:hAnsi="宋体"/>
                <w:color w:val="auto"/>
                <w:kern w:val="0"/>
                <w:szCs w:val="21"/>
                <w:highlight w:val="none"/>
              </w:rPr>
            </w:pPr>
          </w:p>
          <w:p w14:paraId="456151E8">
            <w:pPr>
              <w:snapToGrid w:val="0"/>
              <w:spacing w:line="400" w:lineRule="exact"/>
              <w:jc w:val="center"/>
              <w:rPr>
                <w:rFonts w:ascii="宋体" w:hAnsi="宋体"/>
                <w:color w:val="auto"/>
                <w:kern w:val="0"/>
                <w:szCs w:val="21"/>
                <w:highlight w:val="none"/>
              </w:rPr>
            </w:pPr>
          </w:p>
          <w:p w14:paraId="5DCE11BE">
            <w:pPr>
              <w:snapToGrid w:val="0"/>
              <w:spacing w:line="400" w:lineRule="exact"/>
              <w:jc w:val="center"/>
              <w:rPr>
                <w:rFonts w:ascii="宋体" w:hAnsi="宋体"/>
                <w:color w:val="auto"/>
                <w:kern w:val="0"/>
                <w:szCs w:val="21"/>
                <w:highlight w:val="none"/>
              </w:rPr>
            </w:pPr>
          </w:p>
          <w:p w14:paraId="2FA68674">
            <w:pPr>
              <w:snapToGrid w:val="0"/>
              <w:spacing w:line="400" w:lineRule="exact"/>
              <w:jc w:val="center"/>
              <w:rPr>
                <w:rFonts w:ascii="宋体" w:hAnsi="宋体"/>
                <w:color w:val="auto"/>
                <w:kern w:val="0"/>
                <w:szCs w:val="21"/>
                <w:highlight w:val="none"/>
              </w:rPr>
            </w:pPr>
          </w:p>
          <w:p w14:paraId="087B5283">
            <w:pPr>
              <w:snapToGrid w:val="0"/>
              <w:spacing w:line="400" w:lineRule="exact"/>
              <w:jc w:val="center"/>
              <w:rPr>
                <w:rFonts w:ascii="宋体" w:hAnsi="宋体"/>
                <w:color w:val="auto"/>
                <w:kern w:val="0"/>
                <w:szCs w:val="21"/>
                <w:highlight w:val="none"/>
              </w:rPr>
            </w:pPr>
          </w:p>
          <w:p w14:paraId="23FBC38C">
            <w:pPr>
              <w:snapToGrid w:val="0"/>
              <w:spacing w:line="400" w:lineRule="exact"/>
              <w:jc w:val="center"/>
              <w:rPr>
                <w:rFonts w:ascii="宋体" w:hAnsi="宋体"/>
                <w:color w:val="auto"/>
                <w:kern w:val="0"/>
                <w:szCs w:val="21"/>
                <w:highlight w:val="none"/>
              </w:rPr>
            </w:pPr>
          </w:p>
          <w:p w14:paraId="20F79F9A">
            <w:pPr>
              <w:snapToGrid w:val="0"/>
              <w:spacing w:line="400" w:lineRule="exact"/>
              <w:jc w:val="center"/>
              <w:rPr>
                <w:rFonts w:ascii="宋体" w:hAnsi="宋体"/>
                <w:color w:val="auto"/>
                <w:kern w:val="0"/>
                <w:szCs w:val="21"/>
                <w:highlight w:val="none"/>
              </w:rPr>
            </w:pPr>
          </w:p>
          <w:p w14:paraId="6ECBE3EB">
            <w:pPr>
              <w:snapToGrid w:val="0"/>
              <w:spacing w:line="400" w:lineRule="exact"/>
              <w:jc w:val="center"/>
              <w:rPr>
                <w:rFonts w:ascii="宋体" w:hAnsi="宋体"/>
                <w:color w:val="auto"/>
                <w:kern w:val="0"/>
                <w:szCs w:val="21"/>
                <w:highlight w:val="none"/>
              </w:rPr>
            </w:pPr>
          </w:p>
          <w:p w14:paraId="7FE1498E">
            <w:pPr>
              <w:snapToGrid w:val="0"/>
              <w:spacing w:line="400" w:lineRule="exact"/>
              <w:jc w:val="center"/>
              <w:rPr>
                <w:rFonts w:ascii="宋体" w:hAnsi="宋体"/>
                <w:color w:val="auto"/>
                <w:kern w:val="0"/>
                <w:szCs w:val="21"/>
                <w:highlight w:val="none"/>
              </w:rPr>
            </w:pPr>
          </w:p>
          <w:p w14:paraId="663310A7">
            <w:pPr>
              <w:snapToGrid w:val="0"/>
              <w:spacing w:line="400" w:lineRule="exact"/>
              <w:jc w:val="center"/>
              <w:rPr>
                <w:rFonts w:ascii="宋体" w:hAnsi="宋体"/>
                <w:color w:val="auto"/>
                <w:kern w:val="0"/>
                <w:szCs w:val="21"/>
                <w:highlight w:val="none"/>
              </w:rPr>
            </w:pPr>
          </w:p>
          <w:p w14:paraId="7D520131">
            <w:pPr>
              <w:snapToGrid w:val="0"/>
              <w:spacing w:line="400" w:lineRule="exact"/>
              <w:jc w:val="center"/>
              <w:rPr>
                <w:rFonts w:ascii="宋体" w:hAnsi="宋体"/>
                <w:color w:val="auto"/>
                <w:kern w:val="0"/>
                <w:szCs w:val="21"/>
                <w:highlight w:val="none"/>
              </w:rPr>
            </w:pPr>
          </w:p>
          <w:p w14:paraId="150D19CC">
            <w:pPr>
              <w:snapToGrid w:val="0"/>
              <w:spacing w:line="400" w:lineRule="exact"/>
              <w:jc w:val="center"/>
              <w:rPr>
                <w:rFonts w:ascii="宋体" w:hAnsi="宋体"/>
                <w:color w:val="auto"/>
                <w:kern w:val="0"/>
                <w:szCs w:val="21"/>
                <w:highlight w:val="none"/>
              </w:rPr>
            </w:pPr>
          </w:p>
          <w:p w14:paraId="0CCF94C3">
            <w:pPr>
              <w:snapToGrid w:val="0"/>
              <w:spacing w:line="400" w:lineRule="exact"/>
              <w:jc w:val="center"/>
              <w:rPr>
                <w:rFonts w:ascii="宋体" w:hAnsi="宋体"/>
                <w:color w:val="auto"/>
                <w:kern w:val="0"/>
                <w:szCs w:val="21"/>
                <w:highlight w:val="none"/>
              </w:rPr>
            </w:pPr>
          </w:p>
          <w:p w14:paraId="435BE472">
            <w:pPr>
              <w:snapToGrid w:val="0"/>
              <w:spacing w:line="400" w:lineRule="exact"/>
              <w:jc w:val="center"/>
              <w:rPr>
                <w:rFonts w:ascii="宋体" w:hAnsi="宋体"/>
                <w:color w:val="auto"/>
                <w:kern w:val="0"/>
                <w:szCs w:val="21"/>
                <w:highlight w:val="none"/>
              </w:rPr>
            </w:pPr>
          </w:p>
          <w:p w14:paraId="25C58A31">
            <w:pPr>
              <w:snapToGrid w:val="0"/>
              <w:spacing w:line="400" w:lineRule="exact"/>
              <w:jc w:val="center"/>
              <w:rPr>
                <w:rFonts w:ascii="宋体" w:hAnsi="宋体"/>
                <w:color w:val="auto"/>
                <w:kern w:val="0"/>
                <w:szCs w:val="21"/>
                <w:highlight w:val="none"/>
              </w:rPr>
            </w:pPr>
          </w:p>
          <w:p w14:paraId="09F20C2E">
            <w:pPr>
              <w:snapToGrid w:val="0"/>
              <w:spacing w:line="400" w:lineRule="exact"/>
              <w:jc w:val="center"/>
              <w:rPr>
                <w:rFonts w:ascii="宋体" w:hAnsi="宋体"/>
                <w:color w:val="auto"/>
                <w:kern w:val="0"/>
                <w:szCs w:val="21"/>
                <w:highlight w:val="none"/>
              </w:rPr>
            </w:pPr>
          </w:p>
          <w:p w14:paraId="64E2C4CF">
            <w:pPr>
              <w:snapToGrid w:val="0"/>
              <w:spacing w:line="400" w:lineRule="exact"/>
              <w:jc w:val="center"/>
              <w:rPr>
                <w:rFonts w:ascii="宋体" w:hAnsi="宋体"/>
                <w:color w:val="auto"/>
                <w:kern w:val="0"/>
                <w:szCs w:val="21"/>
                <w:highlight w:val="none"/>
              </w:rPr>
            </w:pPr>
          </w:p>
          <w:p w14:paraId="521D047D">
            <w:pPr>
              <w:snapToGrid w:val="0"/>
              <w:spacing w:line="400" w:lineRule="exact"/>
              <w:jc w:val="center"/>
              <w:rPr>
                <w:rFonts w:hint="eastAsia" w:ascii="宋体" w:hAnsi="宋体"/>
                <w:color w:val="auto"/>
                <w:kern w:val="0"/>
                <w:szCs w:val="21"/>
                <w:highlight w:val="none"/>
              </w:rPr>
            </w:pPr>
          </w:p>
          <w:p w14:paraId="22FCCCF2">
            <w:pPr>
              <w:snapToGrid w:val="0"/>
              <w:spacing w:line="400" w:lineRule="exact"/>
              <w:jc w:val="center"/>
              <w:rPr>
                <w:rFonts w:ascii="宋体" w:hAnsi="宋体"/>
                <w:color w:val="auto"/>
                <w:kern w:val="0"/>
                <w:szCs w:val="21"/>
                <w:highlight w:val="none"/>
              </w:rPr>
            </w:pPr>
          </w:p>
          <w:p w14:paraId="619A4EAE">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1.4.1</w:t>
            </w:r>
          </w:p>
          <w:p w14:paraId="676C91B2">
            <w:pPr>
              <w:snapToGrid w:val="0"/>
              <w:spacing w:line="400" w:lineRule="exact"/>
              <w:jc w:val="center"/>
              <w:rPr>
                <w:rFonts w:ascii="宋体" w:hAnsi="宋体"/>
                <w:color w:val="auto"/>
                <w:kern w:val="0"/>
                <w:szCs w:val="21"/>
                <w:highlight w:val="none"/>
              </w:rPr>
            </w:pPr>
          </w:p>
          <w:p w14:paraId="432DE009">
            <w:pPr>
              <w:snapToGrid w:val="0"/>
              <w:spacing w:line="400" w:lineRule="exact"/>
              <w:jc w:val="center"/>
              <w:rPr>
                <w:rFonts w:ascii="宋体" w:hAnsi="宋体"/>
                <w:color w:val="auto"/>
                <w:kern w:val="0"/>
                <w:szCs w:val="21"/>
                <w:highlight w:val="none"/>
              </w:rPr>
            </w:pPr>
          </w:p>
          <w:p w14:paraId="2D596C04">
            <w:pPr>
              <w:snapToGrid w:val="0"/>
              <w:spacing w:line="400" w:lineRule="exact"/>
              <w:jc w:val="center"/>
              <w:rPr>
                <w:rFonts w:ascii="宋体" w:hAnsi="宋体"/>
                <w:color w:val="auto"/>
                <w:kern w:val="0"/>
                <w:szCs w:val="21"/>
                <w:highlight w:val="none"/>
              </w:rPr>
            </w:pPr>
          </w:p>
          <w:p w14:paraId="07284475">
            <w:pPr>
              <w:snapToGrid w:val="0"/>
              <w:spacing w:line="400" w:lineRule="exact"/>
              <w:jc w:val="center"/>
              <w:rPr>
                <w:rFonts w:ascii="宋体" w:hAnsi="宋体"/>
                <w:color w:val="auto"/>
                <w:kern w:val="0"/>
                <w:szCs w:val="21"/>
                <w:highlight w:val="none"/>
              </w:rPr>
            </w:pPr>
          </w:p>
          <w:p w14:paraId="79D057E4">
            <w:pPr>
              <w:snapToGrid w:val="0"/>
              <w:spacing w:line="400" w:lineRule="exact"/>
              <w:jc w:val="center"/>
              <w:rPr>
                <w:rFonts w:ascii="宋体" w:hAnsi="宋体"/>
                <w:color w:val="auto"/>
                <w:kern w:val="0"/>
                <w:szCs w:val="21"/>
                <w:highlight w:val="none"/>
              </w:rPr>
            </w:pPr>
          </w:p>
          <w:p w14:paraId="55890715">
            <w:pPr>
              <w:snapToGrid w:val="0"/>
              <w:spacing w:line="400" w:lineRule="exact"/>
              <w:jc w:val="center"/>
              <w:rPr>
                <w:rFonts w:ascii="宋体" w:hAnsi="宋体"/>
                <w:color w:val="auto"/>
                <w:kern w:val="0"/>
                <w:szCs w:val="21"/>
                <w:highlight w:val="none"/>
              </w:rPr>
            </w:pPr>
          </w:p>
          <w:p w14:paraId="0A9767AA">
            <w:pPr>
              <w:snapToGrid w:val="0"/>
              <w:spacing w:line="400" w:lineRule="exact"/>
              <w:jc w:val="center"/>
              <w:rPr>
                <w:rFonts w:ascii="宋体" w:hAnsi="宋体"/>
                <w:color w:val="auto"/>
                <w:kern w:val="0"/>
                <w:szCs w:val="21"/>
                <w:highlight w:val="none"/>
              </w:rPr>
            </w:pPr>
          </w:p>
          <w:p w14:paraId="54301B1D">
            <w:pPr>
              <w:snapToGrid w:val="0"/>
              <w:spacing w:line="400" w:lineRule="exact"/>
              <w:jc w:val="center"/>
              <w:rPr>
                <w:rFonts w:ascii="宋体" w:hAnsi="宋体"/>
                <w:color w:val="auto"/>
                <w:kern w:val="0"/>
                <w:szCs w:val="21"/>
                <w:highlight w:val="none"/>
              </w:rPr>
            </w:pPr>
          </w:p>
          <w:p w14:paraId="419109B3">
            <w:pPr>
              <w:snapToGrid w:val="0"/>
              <w:spacing w:line="400" w:lineRule="exact"/>
              <w:jc w:val="center"/>
              <w:rPr>
                <w:rFonts w:ascii="宋体" w:hAnsi="宋体"/>
                <w:color w:val="auto"/>
                <w:kern w:val="0"/>
                <w:szCs w:val="21"/>
                <w:highlight w:val="none"/>
              </w:rPr>
            </w:pPr>
          </w:p>
          <w:p w14:paraId="4507B087">
            <w:pPr>
              <w:snapToGrid w:val="0"/>
              <w:spacing w:line="400" w:lineRule="exact"/>
              <w:jc w:val="center"/>
              <w:rPr>
                <w:rFonts w:ascii="宋体" w:hAnsi="宋体"/>
                <w:color w:val="auto"/>
                <w:kern w:val="0"/>
                <w:szCs w:val="21"/>
                <w:highlight w:val="none"/>
              </w:rPr>
            </w:pPr>
          </w:p>
          <w:p w14:paraId="1A882C6A">
            <w:pPr>
              <w:snapToGrid w:val="0"/>
              <w:spacing w:line="400" w:lineRule="exact"/>
              <w:jc w:val="center"/>
              <w:rPr>
                <w:rFonts w:ascii="宋体" w:hAnsi="宋体"/>
                <w:color w:val="auto"/>
                <w:kern w:val="0"/>
                <w:szCs w:val="21"/>
                <w:highlight w:val="none"/>
              </w:rPr>
            </w:pPr>
          </w:p>
          <w:p w14:paraId="23FE2557">
            <w:pPr>
              <w:snapToGrid w:val="0"/>
              <w:spacing w:line="400" w:lineRule="exact"/>
              <w:jc w:val="center"/>
              <w:rPr>
                <w:rFonts w:ascii="宋体" w:hAnsi="宋体"/>
                <w:color w:val="auto"/>
                <w:kern w:val="0"/>
                <w:szCs w:val="21"/>
                <w:highlight w:val="none"/>
              </w:rPr>
            </w:pPr>
          </w:p>
          <w:p w14:paraId="53AF5C2C">
            <w:pPr>
              <w:snapToGrid w:val="0"/>
              <w:spacing w:line="400" w:lineRule="exact"/>
              <w:jc w:val="center"/>
              <w:rPr>
                <w:rFonts w:ascii="宋体" w:hAnsi="宋体"/>
                <w:color w:val="auto"/>
                <w:kern w:val="0"/>
                <w:szCs w:val="21"/>
                <w:highlight w:val="none"/>
              </w:rPr>
            </w:pPr>
          </w:p>
          <w:p w14:paraId="19CF47F6">
            <w:pPr>
              <w:snapToGrid w:val="0"/>
              <w:spacing w:line="400" w:lineRule="exact"/>
              <w:jc w:val="center"/>
              <w:rPr>
                <w:rFonts w:ascii="宋体" w:hAnsi="宋体"/>
                <w:color w:val="auto"/>
                <w:kern w:val="0"/>
                <w:szCs w:val="21"/>
                <w:highlight w:val="none"/>
              </w:rPr>
            </w:pPr>
          </w:p>
          <w:p w14:paraId="6162655E">
            <w:pPr>
              <w:snapToGrid w:val="0"/>
              <w:spacing w:line="400" w:lineRule="exact"/>
              <w:jc w:val="center"/>
              <w:rPr>
                <w:rFonts w:ascii="宋体" w:hAnsi="宋体"/>
                <w:color w:val="auto"/>
                <w:kern w:val="0"/>
                <w:szCs w:val="21"/>
                <w:highlight w:val="none"/>
              </w:rPr>
            </w:pPr>
          </w:p>
          <w:p w14:paraId="773B05DE">
            <w:pPr>
              <w:snapToGrid w:val="0"/>
              <w:spacing w:line="400" w:lineRule="exact"/>
              <w:jc w:val="center"/>
              <w:rPr>
                <w:rFonts w:ascii="宋体" w:hAnsi="宋体"/>
                <w:color w:val="auto"/>
                <w:kern w:val="0"/>
                <w:szCs w:val="21"/>
                <w:highlight w:val="none"/>
              </w:rPr>
            </w:pPr>
          </w:p>
          <w:p w14:paraId="05A5646A">
            <w:pPr>
              <w:snapToGrid w:val="0"/>
              <w:spacing w:line="400" w:lineRule="exact"/>
              <w:jc w:val="center"/>
              <w:rPr>
                <w:rFonts w:ascii="宋体" w:hAnsi="宋体"/>
                <w:color w:val="auto"/>
                <w:kern w:val="0"/>
                <w:szCs w:val="21"/>
                <w:highlight w:val="none"/>
              </w:rPr>
            </w:pPr>
          </w:p>
          <w:p w14:paraId="00A15F60">
            <w:pPr>
              <w:snapToGrid w:val="0"/>
              <w:spacing w:line="400" w:lineRule="exact"/>
              <w:jc w:val="center"/>
              <w:rPr>
                <w:rFonts w:ascii="宋体" w:hAnsi="宋体"/>
                <w:color w:val="auto"/>
                <w:kern w:val="0"/>
                <w:szCs w:val="21"/>
                <w:highlight w:val="none"/>
              </w:rPr>
            </w:pPr>
          </w:p>
          <w:p w14:paraId="3E834D6A">
            <w:pPr>
              <w:snapToGrid w:val="0"/>
              <w:spacing w:line="400" w:lineRule="exact"/>
              <w:jc w:val="center"/>
              <w:rPr>
                <w:rFonts w:hint="eastAsia" w:ascii="宋体" w:hAnsi="宋体"/>
                <w:color w:val="auto"/>
                <w:kern w:val="0"/>
                <w:szCs w:val="21"/>
                <w:highlight w:val="none"/>
              </w:rPr>
            </w:pPr>
          </w:p>
          <w:p w14:paraId="363455DE">
            <w:pPr>
              <w:snapToGrid w:val="0"/>
              <w:spacing w:line="400" w:lineRule="exact"/>
              <w:jc w:val="center"/>
              <w:rPr>
                <w:rFonts w:hint="eastAsia" w:ascii="宋体" w:hAnsi="宋体"/>
                <w:color w:val="auto"/>
                <w:kern w:val="0"/>
                <w:szCs w:val="21"/>
                <w:highlight w:val="none"/>
              </w:rPr>
            </w:pPr>
          </w:p>
          <w:p w14:paraId="08BE4E45">
            <w:pPr>
              <w:snapToGrid w:val="0"/>
              <w:spacing w:line="400" w:lineRule="exact"/>
              <w:jc w:val="center"/>
              <w:rPr>
                <w:rFonts w:hint="eastAsia" w:ascii="宋体" w:hAnsi="宋体"/>
                <w:color w:val="auto"/>
                <w:kern w:val="0"/>
                <w:szCs w:val="21"/>
                <w:highlight w:val="none"/>
              </w:rPr>
            </w:pPr>
          </w:p>
        </w:tc>
        <w:tc>
          <w:tcPr>
            <w:tcW w:w="1644" w:type="dxa"/>
            <w:noWrap w:val="0"/>
            <w:vAlign w:val="center"/>
          </w:tcPr>
          <w:p w14:paraId="461BBF8B">
            <w:pPr>
              <w:snapToGrid w:val="0"/>
              <w:spacing w:line="400" w:lineRule="exact"/>
              <w:jc w:val="center"/>
              <w:rPr>
                <w:rFonts w:ascii="宋体" w:hAnsi="宋体"/>
                <w:color w:val="auto"/>
                <w:kern w:val="0"/>
                <w:szCs w:val="21"/>
                <w:highlight w:val="none"/>
              </w:rPr>
            </w:pPr>
          </w:p>
          <w:p w14:paraId="5E4E4550">
            <w:pPr>
              <w:snapToGrid w:val="0"/>
              <w:spacing w:line="400" w:lineRule="exact"/>
              <w:jc w:val="center"/>
              <w:rPr>
                <w:rFonts w:ascii="宋体" w:hAnsi="宋体"/>
                <w:color w:val="auto"/>
                <w:kern w:val="0"/>
                <w:szCs w:val="21"/>
                <w:highlight w:val="none"/>
              </w:rPr>
            </w:pPr>
          </w:p>
          <w:p w14:paraId="639F03D0">
            <w:pPr>
              <w:snapToGrid w:val="0"/>
              <w:spacing w:line="400" w:lineRule="exact"/>
              <w:jc w:val="center"/>
              <w:rPr>
                <w:rFonts w:ascii="宋体" w:hAnsi="宋体"/>
                <w:color w:val="auto"/>
                <w:kern w:val="0"/>
                <w:szCs w:val="21"/>
                <w:highlight w:val="none"/>
              </w:rPr>
            </w:pPr>
          </w:p>
          <w:p w14:paraId="6C8D674C">
            <w:pPr>
              <w:snapToGrid w:val="0"/>
              <w:spacing w:line="400" w:lineRule="exact"/>
              <w:jc w:val="center"/>
              <w:rPr>
                <w:rFonts w:ascii="宋体" w:hAnsi="宋体"/>
                <w:color w:val="auto"/>
                <w:kern w:val="0"/>
                <w:szCs w:val="21"/>
                <w:highlight w:val="none"/>
              </w:rPr>
            </w:pPr>
          </w:p>
          <w:p w14:paraId="40BCE86C">
            <w:pPr>
              <w:snapToGrid w:val="0"/>
              <w:spacing w:line="400" w:lineRule="exact"/>
              <w:jc w:val="center"/>
              <w:rPr>
                <w:rFonts w:ascii="宋体" w:hAnsi="宋体"/>
                <w:color w:val="auto"/>
                <w:kern w:val="0"/>
                <w:szCs w:val="21"/>
                <w:highlight w:val="none"/>
              </w:rPr>
            </w:pPr>
          </w:p>
          <w:p w14:paraId="02DD471B">
            <w:pPr>
              <w:snapToGrid w:val="0"/>
              <w:spacing w:line="400" w:lineRule="exact"/>
              <w:jc w:val="center"/>
              <w:rPr>
                <w:rFonts w:ascii="宋体" w:hAnsi="宋体"/>
                <w:color w:val="auto"/>
                <w:kern w:val="0"/>
                <w:szCs w:val="21"/>
                <w:highlight w:val="none"/>
              </w:rPr>
            </w:pPr>
          </w:p>
          <w:p w14:paraId="48D4BC58">
            <w:pPr>
              <w:snapToGrid w:val="0"/>
              <w:spacing w:line="400" w:lineRule="exact"/>
              <w:jc w:val="center"/>
              <w:rPr>
                <w:rFonts w:ascii="宋体" w:hAnsi="宋体"/>
                <w:color w:val="auto"/>
                <w:kern w:val="0"/>
                <w:szCs w:val="21"/>
                <w:highlight w:val="none"/>
              </w:rPr>
            </w:pPr>
          </w:p>
          <w:p w14:paraId="5528EEAC">
            <w:pPr>
              <w:snapToGrid w:val="0"/>
              <w:spacing w:line="400" w:lineRule="exact"/>
              <w:jc w:val="center"/>
              <w:rPr>
                <w:rFonts w:ascii="宋体" w:hAnsi="宋体"/>
                <w:color w:val="auto"/>
                <w:kern w:val="0"/>
                <w:szCs w:val="21"/>
                <w:highlight w:val="none"/>
              </w:rPr>
            </w:pPr>
          </w:p>
          <w:p w14:paraId="4B5435D4">
            <w:pPr>
              <w:snapToGrid w:val="0"/>
              <w:spacing w:line="400" w:lineRule="exact"/>
              <w:jc w:val="center"/>
              <w:rPr>
                <w:rFonts w:ascii="宋体" w:hAnsi="宋体"/>
                <w:color w:val="auto"/>
                <w:kern w:val="0"/>
                <w:szCs w:val="21"/>
                <w:highlight w:val="none"/>
              </w:rPr>
            </w:pPr>
          </w:p>
          <w:p w14:paraId="7C18D3D7">
            <w:pPr>
              <w:snapToGrid w:val="0"/>
              <w:spacing w:line="400" w:lineRule="exact"/>
              <w:jc w:val="center"/>
              <w:rPr>
                <w:rFonts w:ascii="宋体" w:hAnsi="宋体"/>
                <w:color w:val="auto"/>
                <w:kern w:val="0"/>
                <w:szCs w:val="21"/>
                <w:highlight w:val="none"/>
              </w:rPr>
            </w:pPr>
          </w:p>
          <w:p w14:paraId="64535326">
            <w:pPr>
              <w:snapToGrid w:val="0"/>
              <w:spacing w:line="400" w:lineRule="exact"/>
              <w:jc w:val="center"/>
              <w:rPr>
                <w:rFonts w:ascii="宋体" w:hAnsi="宋体"/>
                <w:color w:val="auto"/>
                <w:kern w:val="0"/>
                <w:szCs w:val="21"/>
                <w:highlight w:val="none"/>
              </w:rPr>
            </w:pPr>
          </w:p>
          <w:p w14:paraId="09039F80">
            <w:pPr>
              <w:snapToGrid w:val="0"/>
              <w:spacing w:line="400" w:lineRule="exact"/>
              <w:jc w:val="center"/>
              <w:rPr>
                <w:rFonts w:ascii="宋体" w:hAnsi="宋体"/>
                <w:color w:val="auto"/>
                <w:kern w:val="0"/>
                <w:szCs w:val="21"/>
                <w:highlight w:val="none"/>
              </w:rPr>
            </w:pPr>
          </w:p>
          <w:p w14:paraId="4445E234">
            <w:pPr>
              <w:snapToGrid w:val="0"/>
              <w:spacing w:line="400" w:lineRule="exact"/>
              <w:jc w:val="center"/>
              <w:rPr>
                <w:rFonts w:ascii="宋体" w:hAnsi="宋体"/>
                <w:color w:val="auto"/>
                <w:kern w:val="0"/>
                <w:szCs w:val="21"/>
                <w:highlight w:val="none"/>
              </w:rPr>
            </w:pPr>
          </w:p>
          <w:p w14:paraId="15AD2EB6">
            <w:pPr>
              <w:snapToGrid w:val="0"/>
              <w:spacing w:line="400" w:lineRule="exact"/>
              <w:jc w:val="center"/>
              <w:rPr>
                <w:rFonts w:ascii="宋体" w:hAnsi="宋体"/>
                <w:color w:val="auto"/>
                <w:kern w:val="0"/>
                <w:szCs w:val="21"/>
                <w:highlight w:val="none"/>
              </w:rPr>
            </w:pPr>
          </w:p>
          <w:p w14:paraId="436EA7A5">
            <w:pPr>
              <w:snapToGrid w:val="0"/>
              <w:spacing w:line="400" w:lineRule="exact"/>
              <w:jc w:val="center"/>
              <w:rPr>
                <w:rFonts w:hint="eastAsia" w:ascii="宋体" w:hAnsi="宋体"/>
                <w:color w:val="auto"/>
                <w:kern w:val="0"/>
                <w:szCs w:val="21"/>
                <w:highlight w:val="none"/>
              </w:rPr>
            </w:pPr>
          </w:p>
          <w:p w14:paraId="6FA22A3B">
            <w:pPr>
              <w:snapToGrid w:val="0"/>
              <w:spacing w:line="400" w:lineRule="exact"/>
              <w:jc w:val="center"/>
              <w:rPr>
                <w:rFonts w:hint="eastAsia" w:ascii="宋体" w:hAnsi="宋体"/>
                <w:color w:val="auto"/>
                <w:kern w:val="0"/>
                <w:szCs w:val="21"/>
                <w:highlight w:val="none"/>
              </w:rPr>
            </w:pPr>
          </w:p>
          <w:p w14:paraId="1273EDE9">
            <w:pPr>
              <w:snapToGrid w:val="0"/>
              <w:spacing w:line="400" w:lineRule="exact"/>
              <w:jc w:val="center"/>
              <w:rPr>
                <w:rFonts w:ascii="宋体" w:hAnsi="宋体"/>
                <w:color w:val="auto"/>
                <w:kern w:val="0"/>
                <w:szCs w:val="21"/>
                <w:highlight w:val="none"/>
              </w:rPr>
            </w:pPr>
          </w:p>
          <w:p w14:paraId="5AFFCCB6">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投标人资质条件、能力和信誉</w:t>
            </w:r>
          </w:p>
          <w:p w14:paraId="64D3F2D8">
            <w:pPr>
              <w:snapToGrid w:val="0"/>
              <w:spacing w:line="400" w:lineRule="exact"/>
              <w:jc w:val="center"/>
              <w:rPr>
                <w:rFonts w:ascii="宋体" w:hAnsi="宋体"/>
                <w:color w:val="auto"/>
                <w:kern w:val="0"/>
                <w:szCs w:val="21"/>
                <w:highlight w:val="none"/>
              </w:rPr>
            </w:pPr>
          </w:p>
          <w:p w14:paraId="25A6B385">
            <w:pPr>
              <w:snapToGrid w:val="0"/>
              <w:spacing w:line="400" w:lineRule="exact"/>
              <w:jc w:val="center"/>
              <w:rPr>
                <w:rFonts w:ascii="宋体" w:hAnsi="宋体"/>
                <w:color w:val="auto"/>
                <w:kern w:val="0"/>
                <w:szCs w:val="21"/>
                <w:highlight w:val="none"/>
              </w:rPr>
            </w:pPr>
          </w:p>
          <w:p w14:paraId="7638677C">
            <w:pPr>
              <w:snapToGrid w:val="0"/>
              <w:spacing w:line="400" w:lineRule="exact"/>
              <w:jc w:val="center"/>
              <w:rPr>
                <w:rFonts w:ascii="宋体" w:hAnsi="宋体"/>
                <w:color w:val="auto"/>
                <w:kern w:val="0"/>
                <w:szCs w:val="21"/>
                <w:highlight w:val="none"/>
              </w:rPr>
            </w:pPr>
          </w:p>
          <w:p w14:paraId="0DDB3099">
            <w:pPr>
              <w:snapToGrid w:val="0"/>
              <w:spacing w:line="400" w:lineRule="exact"/>
              <w:jc w:val="center"/>
              <w:rPr>
                <w:rFonts w:ascii="宋体" w:hAnsi="宋体"/>
                <w:color w:val="auto"/>
                <w:kern w:val="0"/>
                <w:szCs w:val="21"/>
                <w:highlight w:val="none"/>
              </w:rPr>
            </w:pPr>
          </w:p>
          <w:p w14:paraId="3DB16CA2">
            <w:pPr>
              <w:snapToGrid w:val="0"/>
              <w:spacing w:line="400" w:lineRule="exact"/>
              <w:jc w:val="center"/>
              <w:rPr>
                <w:rFonts w:ascii="宋体" w:hAnsi="宋体"/>
                <w:color w:val="auto"/>
                <w:kern w:val="0"/>
                <w:szCs w:val="21"/>
                <w:highlight w:val="none"/>
              </w:rPr>
            </w:pPr>
          </w:p>
          <w:p w14:paraId="4EC9D605">
            <w:pPr>
              <w:snapToGrid w:val="0"/>
              <w:spacing w:line="400" w:lineRule="exact"/>
              <w:jc w:val="center"/>
              <w:rPr>
                <w:rFonts w:ascii="宋体" w:hAnsi="宋体"/>
                <w:color w:val="auto"/>
                <w:kern w:val="0"/>
                <w:szCs w:val="21"/>
                <w:highlight w:val="none"/>
              </w:rPr>
            </w:pPr>
          </w:p>
          <w:p w14:paraId="1DD3DFA2">
            <w:pPr>
              <w:snapToGrid w:val="0"/>
              <w:spacing w:line="400" w:lineRule="exact"/>
              <w:jc w:val="center"/>
              <w:rPr>
                <w:rFonts w:ascii="宋体" w:hAnsi="宋体"/>
                <w:color w:val="auto"/>
                <w:kern w:val="0"/>
                <w:szCs w:val="21"/>
                <w:highlight w:val="none"/>
              </w:rPr>
            </w:pPr>
          </w:p>
          <w:p w14:paraId="67F1AD11">
            <w:pPr>
              <w:snapToGrid w:val="0"/>
              <w:spacing w:line="400" w:lineRule="exact"/>
              <w:jc w:val="center"/>
              <w:rPr>
                <w:rFonts w:ascii="宋体" w:hAnsi="宋体"/>
                <w:color w:val="auto"/>
                <w:kern w:val="0"/>
                <w:szCs w:val="21"/>
                <w:highlight w:val="none"/>
              </w:rPr>
            </w:pPr>
          </w:p>
          <w:p w14:paraId="5D1ECB92">
            <w:pPr>
              <w:snapToGrid w:val="0"/>
              <w:spacing w:line="400" w:lineRule="exact"/>
              <w:jc w:val="center"/>
              <w:rPr>
                <w:rFonts w:ascii="宋体" w:hAnsi="宋体"/>
                <w:color w:val="auto"/>
                <w:kern w:val="0"/>
                <w:szCs w:val="21"/>
                <w:highlight w:val="none"/>
              </w:rPr>
            </w:pPr>
          </w:p>
          <w:p w14:paraId="092ECCF0">
            <w:pPr>
              <w:snapToGrid w:val="0"/>
              <w:spacing w:line="400" w:lineRule="exact"/>
              <w:jc w:val="center"/>
              <w:rPr>
                <w:rFonts w:ascii="宋体" w:hAnsi="宋体"/>
                <w:color w:val="auto"/>
                <w:kern w:val="0"/>
                <w:szCs w:val="21"/>
                <w:highlight w:val="none"/>
              </w:rPr>
            </w:pPr>
          </w:p>
          <w:p w14:paraId="5C7CB71A">
            <w:pPr>
              <w:snapToGrid w:val="0"/>
              <w:spacing w:line="400" w:lineRule="exact"/>
              <w:jc w:val="center"/>
              <w:rPr>
                <w:rFonts w:ascii="宋体" w:hAnsi="宋体"/>
                <w:color w:val="auto"/>
                <w:kern w:val="0"/>
                <w:szCs w:val="21"/>
                <w:highlight w:val="none"/>
              </w:rPr>
            </w:pPr>
          </w:p>
          <w:p w14:paraId="68B4FD0D">
            <w:pPr>
              <w:snapToGrid w:val="0"/>
              <w:spacing w:line="400" w:lineRule="exact"/>
              <w:jc w:val="center"/>
              <w:rPr>
                <w:rFonts w:ascii="宋体" w:hAnsi="宋体"/>
                <w:color w:val="auto"/>
                <w:kern w:val="0"/>
                <w:szCs w:val="21"/>
                <w:highlight w:val="none"/>
              </w:rPr>
            </w:pPr>
          </w:p>
          <w:p w14:paraId="6C0861C4">
            <w:pPr>
              <w:snapToGrid w:val="0"/>
              <w:spacing w:line="400" w:lineRule="exact"/>
              <w:jc w:val="center"/>
              <w:rPr>
                <w:rFonts w:ascii="宋体" w:hAnsi="宋体"/>
                <w:color w:val="auto"/>
                <w:kern w:val="0"/>
                <w:szCs w:val="21"/>
                <w:highlight w:val="none"/>
              </w:rPr>
            </w:pPr>
          </w:p>
          <w:p w14:paraId="194CD040">
            <w:pPr>
              <w:snapToGrid w:val="0"/>
              <w:spacing w:line="400" w:lineRule="exact"/>
              <w:jc w:val="center"/>
              <w:rPr>
                <w:rFonts w:ascii="宋体" w:hAnsi="宋体"/>
                <w:color w:val="auto"/>
                <w:kern w:val="0"/>
                <w:szCs w:val="21"/>
                <w:highlight w:val="none"/>
              </w:rPr>
            </w:pPr>
          </w:p>
          <w:p w14:paraId="363910EF">
            <w:pPr>
              <w:snapToGrid w:val="0"/>
              <w:spacing w:line="400" w:lineRule="exact"/>
              <w:jc w:val="center"/>
              <w:rPr>
                <w:rFonts w:ascii="宋体" w:hAnsi="宋体"/>
                <w:color w:val="auto"/>
                <w:kern w:val="0"/>
                <w:szCs w:val="21"/>
                <w:highlight w:val="none"/>
              </w:rPr>
            </w:pPr>
          </w:p>
          <w:p w14:paraId="54239852">
            <w:pPr>
              <w:snapToGrid w:val="0"/>
              <w:spacing w:line="400" w:lineRule="exact"/>
              <w:jc w:val="center"/>
              <w:rPr>
                <w:rFonts w:ascii="宋体" w:hAnsi="宋体"/>
                <w:color w:val="auto"/>
                <w:kern w:val="0"/>
                <w:szCs w:val="21"/>
                <w:highlight w:val="none"/>
              </w:rPr>
            </w:pPr>
          </w:p>
          <w:p w14:paraId="49439BE7">
            <w:pPr>
              <w:snapToGrid w:val="0"/>
              <w:spacing w:line="400" w:lineRule="exact"/>
              <w:jc w:val="center"/>
              <w:rPr>
                <w:rFonts w:ascii="宋体" w:hAnsi="宋体"/>
                <w:color w:val="auto"/>
                <w:kern w:val="0"/>
                <w:szCs w:val="21"/>
                <w:highlight w:val="none"/>
              </w:rPr>
            </w:pPr>
          </w:p>
          <w:p w14:paraId="00D0AEE7">
            <w:pPr>
              <w:snapToGrid w:val="0"/>
              <w:spacing w:line="400" w:lineRule="exact"/>
              <w:jc w:val="center"/>
              <w:rPr>
                <w:rFonts w:ascii="宋体" w:hAnsi="宋体"/>
                <w:color w:val="auto"/>
                <w:kern w:val="0"/>
                <w:szCs w:val="21"/>
                <w:highlight w:val="none"/>
              </w:rPr>
            </w:pPr>
          </w:p>
          <w:p w14:paraId="0254E53A">
            <w:pPr>
              <w:snapToGrid w:val="0"/>
              <w:spacing w:line="400" w:lineRule="exact"/>
              <w:jc w:val="center"/>
              <w:rPr>
                <w:rFonts w:ascii="宋体" w:hAnsi="宋体"/>
                <w:color w:val="auto"/>
                <w:kern w:val="0"/>
                <w:szCs w:val="21"/>
                <w:highlight w:val="none"/>
              </w:rPr>
            </w:pPr>
          </w:p>
          <w:p w14:paraId="32F92FDA">
            <w:pPr>
              <w:snapToGrid w:val="0"/>
              <w:spacing w:line="400" w:lineRule="exact"/>
              <w:jc w:val="center"/>
              <w:rPr>
                <w:rFonts w:ascii="宋体" w:hAnsi="宋体"/>
                <w:color w:val="auto"/>
                <w:kern w:val="0"/>
                <w:szCs w:val="21"/>
                <w:highlight w:val="none"/>
              </w:rPr>
            </w:pPr>
          </w:p>
          <w:p w14:paraId="4CF33CC9">
            <w:pPr>
              <w:snapToGrid w:val="0"/>
              <w:spacing w:line="400" w:lineRule="exact"/>
              <w:jc w:val="center"/>
              <w:rPr>
                <w:rFonts w:ascii="宋体" w:hAnsi="宋体"/>
                <w:color w:val="auto"/>
                <w:kern w:val="0"/>
                <w:szCs w:val="21"/>
                <w:highlight w:val="none"/>
              </w:rPr>
            </w:pPr>
          </w:p>
          <w:p w14:paraId="5758A3BE">
            <w:pPr>
              <w:snapToGrid w:val="0"/>
              <w:spacing w:line="400" w:lineRule="exact"/>
              <w:jc w:val="center"/>
              <w:rPr>
                <w:rFonts w:ascii="宋体" w:hAnsi="宋体"/>
                <w:color w:val="auto"/>
                <w:kern w:val="0"/>
                <w:szCs w:val="21"/>
                <w:highlight w:val="none"/>
              </w:rPr>
            </w:pPr>
          </w:p>
          <w:p w14:paraId="32A15533">
            <w:pPr>
              <w:snapToGrid w:val="0"/>
              <w:spacing w:line="400" w:lineRule="exact"/>
              <w:jc w:val="center"/>
              <w:rPr>
                <w:rFonts w:ascii="宋体" w:hAnsi="宋体"/>
                <w:color w:val="auto"/>
                <w:kern w:val="0"/>
                <w:szCs w:val="21"/>
                <w:highlight w:val="none"/>
              </w:rPr>
            </w:pPr>
          </w:p>
          <w:p w14:paraId="2AA3C909">
            <w:pPr>
              <w:snapToGrid w:val="0"/>
              <w:spacing w:line="400" w:lineRule="exact"/>
              <w:jc w:val="center"/>
              <w:rPr>
                <w:rFonts w:ascii="宋体" w:hAnsi="宋体"/>
                <w:color w:val="auto"/>
                <w:kern w:val="0"/>
                <w:szCs w:val="21"/>
                <w:highlight w:val="none"/>
              </w:rPr>
            </w:pPr>
          </w:p>
          <w:p w14:paraId="1F12836D">
            <w:pPr>
              <w:snapToGrid w:val="0"/>
              <w:spacing w:line="400" w:lineRule="exact"/>
              <w:jc w:val="center"/>
              <w:rPr>
                <w:rFonts w:ascii="宋体" w:hAnsi="宋体"/>
                <w:color w:val="auto"/>
                <w:kern w:val="0"/>
                <w:szCs w:val="21"/>
                <w:highlight w:val="none"/>
              </w:rPr>
            </w:pPr>
          </w:p>
          <w:p w14:paraId="5E6745A9">
            <w:pPr>
              <w:snapToGrid w:val="0"/>
              <w:spacing w:line="400" w:lineRule="exact"/>
              <w:jc w:val="center"/>
              <w:rPr>
                <w:rFonts w:ascii="宋体" w:hAnsi="宋体"/>
                <w:color w:val="auto"/>
                <w:kern w:val="0"/>
                <w:szCs w:val="21"/>
                <w:highlight w:val="none"/>
              </w:rPr>
            </w:pPr>
          </w:p>
          <w:p w14:paraId="05687680">
            <w:pPr>
              <w:snapToGrid w:val="0"/>
              <w:spacing w:line="400" w:lineRule="exact"/>
              <w:jc w:val="center"/>
              <w:rPr>
                <w:rFonts w:ascii="宋体" w:hAnsi="宋体"/>
                <w:color w:val="auto"/>
                <w:kern w:val="0"/>
                <w:szCs w:val="21"/>
                <w:highlight w:val="none"/>
              </w:rPr>
            </w:pPr>
          </w:p>
          <w:p w14:paraId="2E04BB34">
            <w:pPr>
              <w:snapToGrid w:val="0"/>
              <w:spacing w:line="400" w:lineRule="exact"/>
              <w:jc w:val="center"/>
              <w:rPr>
                <w:rFonts w:ascii="宋体" w:hAnsi="宋体"/>
                <w:color w:val="auto"/>
                <w:kern w:val="0"/>
                <w:szCs w:val="21"/>
                <w:highlight w:val="none"/>
              </w:rPr>
            </w:pPr>
          </w:p>
          <w:p w14:paraId="09F7DCDE">
            <w:pPr>
              <w:snapToGrid w:val="0"/>
              <w:spacing w:line="400" w:lineRule="exact"/>
              <w:jc w:val="center"/>
              <w:rPr>
                <w:rFonts w:ascii="宋体" w:hAnsi="宋体"/>
                <w:color w:val="auto"/>
                <w:kern w:val="0"/>
                <w:szCs w:val="21"/>
                <w:highlight w:val="none"/>
              </w:rPr>
            </w:pPr>
          </w:p>
          <w:p w14:paraId="7594DF28">
            <w:pPr>
              <w:snapToGrid w:val="0"/>
              <w:spacing w:line="400" w:lineRule="exact"/>
              <w:jc w:val="center"/>
              <w:rPr>
                <w:rFonts w:hint="eastAsia" w:ascii="宋体" w:hAnsi="宋体"/>
                <w:color w:val="auto"/>
                <w:kern w:val="0"/>
                <w:szCs w:val="21"/>
                <w:highlight w:val="none"/>
              </w:rPr>
            </w:pPr>
          </w:p>
          <w:p w14:paraId="1A7ACCCF">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投标人资质条件、能力和信誉</w:t>
            </w:r>
          </w:p>
          <w:p w14:paraId="5C1C48E7">
            <w:pPr>
              <w:snapToGrid w:val="0"/>
              <w:spacing w:line="400" w:lineRule="exact"/>
              <w:jc w:val="center"/>
              <w:rPr>
                <w:rFonts w:ascii="宋体" w:hAnsi="宋体"/>
                <w:color w:val="auto"/>
                <w:kern w:val="0"/>
                <w:szCs w:val="21"/>
                <w:highlight w:val="none"/>
              </w:rPr>
            </w:pPr>
          </w:p>
          <w:p w14:paraId="601995A6">
            <w:pPr>
              <w:snapToGrid w:val="0"/>
              <w:spacing w:line="400" w:lineRule="exact"/>
              <w:jc w:val="center"/>
              <w:rPr>
                <w:rFonts w:ascii="宋体" w:hAnsi="宋体"/>
                <w:color w:val="auto"/>
                <w:kern w:val="0"/>
                <w:szCs w:val="21"/>
                <w:highlight w:val="none"/>
              </w:rPr>
            </w:pPr>
          </w:p>
          <w:p w14:paraId="2C2AA53E">
            <w:pPr>
              <w:snapToGrid w:val="0"/>
              <w:spacing w:line="400" w:lineRule="exact"/>
              <w:jc w:val="center"/>
              <w:rPr>
                <w:rFonts w:ascii="宋体" w:hAnsi="宋体"/>
                <w:color w:val="auto"/>
                <w:kern w:val="0"/>
                <w:szCs w:val="21"/>
                <w:highlight w:val="none"/>
              </w:rPr>
            </w:pPr>
          </w:p>
          <w:p w14:paraId="1A793798">
            <w:pPr>
              <w:snapToGrid w:val="0"/>
              <w:spacing w:line="400" w:lineRule="exact"/>
              <w:jc w:val="center"/>
              <w:rPr>
                <w:rFonts w:ascii="宋体" w:hAnsi="宋体"/>
                <w:color w:val="auto"/>
                <w:kern w:val="0"/>
                <w:szCs w:val="21"/>
                <w:highlight w:val="none"/>
              </w:rPr>
            </w:pPr>
          </w:p>
          <w:p w14:paraId="59620241">
            <w:pPr>
              <w:snapToGrid w:val="0"/>
              <w:spacing w:line="400" w:lineRule="exact"/>
              <w:jc w:val="center"/>
              <w:rPr>
                <w:rFonts w:ascii="宋体" w:hAnsi="宋体"/>
                <w:color w:val="auto"/>
                <w:kern w:val="0"/>
                <w:szCs w:val="21"/>
                <w:highlight w:val="none"/>
              </w:rPr>
            </w:pPr>
          </w:p>
          <w:p w14:paraId="7343E71F">
            <w:pPr>
              <w:snapToGrid w:val="0"/>
              <w:spacing w:line="400" w:lineRule="exact"/>
              <w:jc w:val="center"/>
              <w:rPr>
                <w:rFonts w:ascii="宋体" w:hAnsi="宋体"/>
                <w:color w:val="auto"/>
                <w:kern w:val="0"/>
                <w:szCs w:val="21"/>
                <w:highlight w:val="none"/>
              </w:rPr>
            </w:pPr>
          </w:p>
          <w:p w14:paraId="31DED62C">
            <w:pPr>
              <w:snapToGrid w:val="0"/>
              <w:spacing w:line="400" w:lineRule="exact"/>
              <w:jc w:val="center"/>
              <w:rPr>
                <w:rFonts w:ascii="宋体" w:hAnsi="宋体"/>
                <w:color w:val="auto"/>
                <w:kern w:val="0"/>
                <w:szCs w:val="21"/>
                <w:highlight w:val="none"/>
              </w:rPr>
            </w:pPr>
          </w:p>
          <w:p w14:paraId="15875AA3">
            <w:pPr>
              <w:snapToGrid w:val="0"/>
              <w:spacing w:line="400" w:lineRule="exact"/>
              <w:jc w:val="center"/>
              <w:rPr>
                <w:rFonts w:ascii="宋体" w:hAnsi="宋体"/>
                <w:color w:val="auto"/>
                <w:kern w:val="0"/>
                <w:szCs w:val="21"/>
                <w:highlight w:val="none"/>
              </w:rPr>
            </w:pPr>
          </w:p>
          <w:p w14:paraId="2A95EA9F">
            <w:pPr>
              <w:snapToGrid w:val="0"/>
              <w:spacing w:line="400" w:lineRule="exact"/>
              <w:jc w:val="center"/>
              <w:rPr>
                <w:rFonts w:ascii="宋体" w:hAnsi="宋体"/>
                <w:color w:val="auto"/>
                <w:kern w:val="0"/>
                <w:szCs w:val="21"/>
                <w:highlight w:val="none"/>
              </w:rPr>
            </w:pPr>
          </w:p>
          <w:p w14:paraId="65C3BECF">
            <w:pPr>
              <w:snapToGrid w:val="0"/>
              <w:spacing w:line="400" w:lineRule="exact"/>
              <w:jc w:val="center"/>
              <w:rPr>
                <w:rFonts w:ascii="宋体" w:hAnsi="宋体"/>
                <w:color w:val="auto"/>
                <w:kern w:val="0"/>
                <w:szCs w:val="21"/>
                <w:highlight w:val="none"/>
              </w:rPr>
            </w:pPr>
          </w:p>
          <w:p w14:paraId="1AF84CCC">
            <w:pPr>
              <w:snapToGrid w:val="0"/>
              <w:spacing w:line="400" w:lineRule="exact"/>
              <w:jc w:val="center"/>
              <w:rPr>
                <w:rFonts w:ascii="宋体" w:hAnsi="宋体"/>
                <w:color w:val="auto"/>
                <w:kern w:val="0"/>
                <w:szCs w:val="21"/>
                <w:highlight w:val="none"/>
              </w:rPr>
            </w:pPr>
          </w:p>
          <w:p w14:paraId="0E73A57D">
            <w:pPr>
              <w:snapToGrid w:val="0"/>
              <w:spacing w:line="400" w:lineRule="exact"/>
              <w:jc w:val="center"/>
              <w:rPr>
                <w:rFonts w:ascii="宋体" w:hAnsi="宋体"/>
                <w:color w:val="auto"/>
                <w:kern w:val="0"/>
                <w:szCs w:val="21"/>
                <w:highlight w:val="none"/>
              </w:rPr>
            </w:pPr>
          </w:p>
          <w:p w14:paraId="31B3E4F0">
            <w:pPr>
              <w:snapToGrid w:val="0"/>
              <w:spacing w:line="400" w:lineRule="exact"/>
              <w:jc w:val="center"/>
              <w:rPr>
                <w:rFonts w:ascii="宋体" w:hAnsi="宋体"/>
                <w:color w:val="auto"/>
                <w:kern w:val="0"/>
                <w:szCs w:val="21"/>
                <w:highlight w:val="none"/>
              </w:rPr>
            </w:pPr>
          </w:p>
          <w:p w14:paraId="37119524">
            <w:pPr>
              <w:snapToGrid w:val="0"/>
              <w:spacing w:line="400" w:lineRule="exact"/>
              <w:jc w:val="center"/>
              <w:rPr>
                <w:rFonts w:ascii="宋体" w:hAnsi="宋体"/>
                <w:color w:val="auto"/>
                <w:kern w:val="0"/>
                <w:szCs w:val="21"/>
                <w:highlight w:val="none"/>
              </w:rPr>
            </w:pPr>
          </w:p>
          <w:p w14:paraId="5045B2BB">
            <w:pPr>
              <w:snapToGrid w:val="0"/>
              <w:spacing w:line="400" w:lineRule="exact"/>
              <w:jc w:val="center"/>
              <w:rPr>
                <w:rFonts w:ascii="宋体" w:hAnsi="宋体"/>
                <w:color w:val="auto"/>
                <w:kern w:val="0"/>
                <w:szCs w:val="21"/>
                <w:highlight w:val="none"/>
              </w:rPr>
            </w:pPr>
          </w:p>
          <w:p w14:paraId="6C38A708">
            <w:pPr>
              <w:snapToGrid w:val="0"/>
              <w:spacing w:line="400" w:lineRule="exact"/>
              <w:jc w:val="center"/>
              <w:rPr>
                <w:rFonts w:ascii="宋体" w:hAnsi="宋体"/>
                <w:color w:val="auto"/>
                <w:kern w:val="0"/>
                <w:szCs w:val="21"/>
                <w:highlight w:val="none"/>
              </w:rPr>
            </w:pPr>
          </w:p>
          <w:p w14:paraId="354ACAAC">
            <w:pPr>
              <w:snapToGrid w:val="0"/>
              <w:spacing w:line="400" w:lineRule="exact"/>
              <w:jc w:val="center"/>
              <w:rPr>
                <w:rFonts w:ascii="宋体" w:hAnsi="宋体"/>
                <w:color w:val="auto"/>
                <w:kern w:val="0"/>
                <w:szCs w:val="21"/>
                <w:highlight w:val="none"/>
              </w:rPr>
            </w:pPr>
          </w:p>
          <w:p w14:paraId="0F5DEEB8">
            <w:pPr>
              <w:snapToGrid w:val="0"/>
              <w:spacing w:line="400" w:lineRule="exact"/>
              <w:jc w:val="center"/>
              <w:rPr>
                <w:rFonts w:ascii="宋体" w:hAnsi="宋体"/>
                <w:color w:val="auto"/>
                <w:kern w:val="0"/>
                <w:szCs w:val="21"/>
                <w:highlight w:val="none"/>
              </w:rPr>
            </w:pPr>
          </w:p>
          <w:p w14:paraId="7A96EEB3">
            <w:pPr>
              <w:snapToGrid w:val="0"/>
              <w:spacing w:line="400" w:lineRule="exact"/>
              <w:jc w:val="center"/>
              <w:rPr>
                <w:rFonts w:ascii="宋体" w:hAnsi="宋体"/>
                <w:color w:val="auto"/>
                <w:kern w:val="0"/>
                <w:szCs w:val="21"/>
                <w:highlight w:val="none"/>
              </w:rPr>
            </w:pPr>
          </w:p>
          <w:p w14:paraId="1F296BDE">
            <w:pPr>
              <w:snapToGrid w:val="0"/>
              <w:spacing w:line="400" w:lineRule="exact"/>
              <w:jc w:val="center"/>
              <w:rPr>
                <w:rFonts w:ascii="宋体" w:hAnsi="宋体"/>
                <w:color w:val="auto"/>
                <w:kern w:val="0"/>
                <w:szCs w:val="21"/>
                <w:highlight w:val="none"/>
              </w:rPr>
            </w:pPr>
          </w:p>
          <w:p w14:paraId="7CCCC189">
            <w:pPr>
              <w:snapToGrid w:val="0"/>
              <w:spacing w:line="400" w:lineRule="exact"/>
              <w:jc w:val="center"/>
              <w:rPr>
                <w:rFonts w:ascii="宋体" w:hAnsi="宋体"/>
                <w:color w:val="auto"/>
                <w:kern w:val="0"/>
                <w:szCs w:val="21"/>
                <w:highlight w:val="none"/>
              </w:rPr>
            </w:pPr>
          </w:p>
          <w:p w14:paraId="18C2E97A">
            <w:pPr>
              <w:snapToGrid w:val="0"/>
              <w:spacing w:line="400" w:lineRule="exact"/>
              <w:jc w:val="center"/>
              <w:rPr>
                <w:rFonts w:ascii="宋体" w:hAnsi="宋体"/>
                <w:color w:val="auto"/>
                <w:kern w:val="0"/>
                <w:szCs w:val="21"/>
                <w:highlight w:val="none"/>
              </w:rPr>
            </w:pPr>
          </w:p>
          <w:p w14:paraId="005A7C19">
            <w:pPr>
              <w:snapToGrid w:val="0"/>
              <w:spacing w:line="400" w:lineRule="exact"/>
              <w:jc w:val="center"/>
              <w:rPr>
                <w:rFonts w:ascii="宋体" w:hAnsi="宋体"/>
                <w:color w:val="auto"/>
                <w:kern w:val="0"/>
                <w:szCs w:val="21"/>
                <w:highlight w:val="none"/>
              </w:rPr>
            </w:pPr>
          </w:p>
          <w:p w14:paraId="4735A869">
            <w:pPr>
              <w:snapToGrid w:val="0"/>
              <w:spacing w:line="400" w:lineRule="exact"/>
              <w:jc w:val="center"/>
              <w:rPr>
                <w:rFonts w:ascii="宋体" w:hAnsi="宋体"/>
                <w:color w:val="auto"/>
                <w:kern w:val="0"/>
                <w:szCs w:val="21"/>
                <w:highlight w:val="none"/>
              </w:rPr>
            </w:pPr>
          </w:p>
          <w:p w14:paraId="32351F72">
            <w:pPr>
              <w:snapToGrid w:val="0"/>
              <w:spacing w:line="400" w:lineRule="exact"/>
              <w:jc w:val="center"/>
              <w:rPr>
                <w:rFonts w:ascii="宋体" w:hAnsi="宋体"/>
                <w:color w:val="auto"/>
                <w:kern w:val="0"/>
                <w:szCs w:val="21"/>
                <w:highlight w:val="none"/>
              </w:rPr>
            </w:pPr>
          </w:p>
          <w:p w14:paraId="43CC18EC">
            <w:pPr>
              <w:snapToGrid w:val="0"/>
              <w:spacing w:line="400" w:lineRule="exact"/>
              <w:jc w:val="center"/>
              <w:rPr>
                <w:rFonts w:ascii="宋体" w:hAnsi="宋体"/>
                <w:color w:val="auto"/>
                <w:kern w:val="0"/>
                <w:szCs w:val="21"/>
                <w:highlight w:val="none"/>
              </w:rPr>
            </w:pPr>
          </w:p>
          <w:p w14:paraId="460EE0D8">
            <w:pPr>
              <w:snapToGrid w:val="0"/>
              <w:spacing w:line="400" w:lineRule="exact"/>
              <w:jc w:val="center"/>
              <w:rPr>
                <w:rFonts w:ascii="宋体" w:hAnsi="宋体"/>
                <w:color w:val="auto"/>
                <w:kern w:val="0"/>
                <w:szCs w:val="21"/>
                <w:highlight w:val="none"/>
              </w:rPr>
            </w:pPr>
          </w:p>
          <w:p w14:paraId="78C5FDF6">
            <w:pPr>
              <w:snapToGrid w:val="0"/>
              <w:spacing w:line="400" w:lineRule="exact"/>
              <w:jc w:val="center"/>
              <w:rPr>
                <w:rFonts w:ascii="宋体" w:hAnsi="宋体"/>
                <w:color w:val="auto"/>
                <w:kern w:val="0"/>
                <w:szCs w:val="21"/>
                <w:highlight w:val="none"/>
              </w:rPr>
            </w:pPr>
          </w:p>
          <w:p w14:paraId="118721BD">
            <w:pPr>
              <w:snapToGrid w:val="0"/>
              <w:spacing w:line="400" w:lineRule="exact"/>
              <w:jc w:val="center"/>
              <w:rPr>
                <w:rFonts w:ascii="宋体" w:hAnsi="宋体"/>
                <w:color w:val="auto"/>
                <w:kern w:val="0"/>
                <w:szCs w:val="21"/>
                <w:highlight w:val="none"/>
              </w:rPr>
            </w:pPr>
          </w:p>
          <w:p w14:paraId="570DC27C">
            <w:pPr>
              <w:snapToGrid w:val="0"/>
              <w:spacing w:line="400" w:lineRule="exact"/>
              <w:jc w:val="center"/>
              <w:rPr>
                <w:rFonts w:ascii="宋体" w:hAnsi="宋体"/>
                <w:color w:val="auto"/>
                <w:kern w:val="0"/>
                <w:szCs w:val="21"/>
                <w:highlight w:val="none"/>
              </w:rPr>
            </w:pPr>
          </w:p>
          <w:p w14:paraId="6B98DB14">
            <w:pPr>
              <w:snapToGrid w:val="0"/>
              <w:spacing w:line="400" w:lineRule="exact"/>
              <w:jc w:val="center"/>
              <w:rPr>
                <w:rFonts w:ascii="宋体" w:hAnsi="宋体"/>
                <w:color w:val="auto"/>
                <w:kern w:val="0"/>
                <w:szCs w:val="21"/>
                <w:highlight w:val="none"/>
              </w:rPr>
            </w:pPr>
          </w:p>
          <w:p w14:paraId="435AB12A">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投标人资质条件、能力和信誉</w:t>
            </w:r>
          </w:p>
          <w:p w14:paraId="28E27275">
            <w:pPr>
              <w:snapToGrid w:val="0"/>
              <w:spacing w:line="400" w:lineRule="exact"/>
              <w:jc w:val="center"/>
              <w:rPr>
                <w:rFonts w:ascii="宋体" w:hAnsi="宋体"/>
                <w:color w:val="auto"/>
                <w:kern w:val="0"/>
                <w:szCs w:val="21"/>
                <w:highlight w:val="none"/>
              </w:rPr>
            </w:pPr>
          </w:p>
          <w:p w14:paraId="1D4B26C6">
            <w:pPr>
              <w:snapToGrid w:val="0"/>
              <w:spacing w:line="400" w:lineRule="exact"/>
              <w:jc w:val="center"/>
              <w:rPr>
                <w:rFonts w:ascii="宋体" w:hAnsi="宋体"/>
                <w:color w:val="auto"/>
                <w:kern w:val="0"/>
                <w:szCs w:val="21"/>
                <w:highlight w:val="none"/>
              </w:rPr>
            </w:pPr>
          </w:p>
          <w:p w14:paraId="6505025D">
            <w:pPr>
              <w:snapToGrid w:val="0"/>
              <w:spacing w:line="400" w:lineRule="exact"/>
              <w:jc w:val="center"/>
              <w:rPr>
                <w:rFonts w:ascii="宋体" w:hAnsi="宋体"/>
                <w:color w:val="auto"/>
                <w:kern w:val="0"/>
                <w:szCs w:val="21"/>
                <w:highlight w:val="none"/>
              </w:rPr>
            </w:pPr>
          </w:p>
          <w:p w14:paraId="7D4820CC">
            <w:pPr>
              <w:snapToGrid w:val="0"/>
              <w:spacing w:line="400" w:lineRule="exact"/>
              <w:jc w:val="center"/>
              <w:rPr>
                <w:rFonts w:ascii="宋体" w:hAnsi="宋体"/>
                <w:color w:val="auto"/>
                <w:kern w:val="0"/>
                <w:szCs w:val="21"/>
                <w:highlight w:val="none"/>
              </w:rPr>
            </w:pPr>
          </w:p>
          <w:p w14:paraId="4A50B843">
            <w:pPr>
              <w:snapToGrid w:val="0"/>
              <w:spacing w:line="400" w:lineRule="exact"/>
              <w:jc w:val="center"/>
              <w:rPr>
                <w:rFonts w:ascii="宋体" w:hAnsi="宋体"/>
                <w:color w:val="auto"/>
                <w:kern w:val="0"/>
                <w:szCs w:val="21"/>
                <w:highlight w:val="none"/>
              </w:rPr>
            </w:pPr>
          </w:p>
          <w:p w14:paraId="1D0E2908">
            <w:pPr>
              <w:snapToGrid w:val="0"/>
              <w:spacing w:line="400" w:lineRule="exact"/>
              <w:jc w:val="center"/>
              <w:rPr>
                <w:rFonts w:ascii="宋体" w:hAnsi="宋体"/>
                <w:color w:val="auto"/>
                <w:kern w:val="0"/>
                <w:szCs w:val="21"/>
                <w:highlight w:val="none"/>
              </w:rPr>
            </w:pPr>
          </w:p>
          <w:p w14:paraId="7A5C2FCD">
            <w:pPr>
              <w:snapToGrid w:val="0"/>
              <w:spacing w:line="400" w:lineRule="exact"/>
              <w:jc w:val="center"/>
              <w:rPr>
                <w:rFonts w:ascii="宋体" w:hAnsi="宋体"/>
                <w:color w:val="auto"/>
                <w:kern w:val="0"/>
                <w:szCs w:val="21"/>
                <w:highlight w:val="none"/>
              </w:rPr>
            </w:pPr>
          </w:p>
          <w:p w14:paraId="38F6085B">
            <w:pPr>
              <w:snapToGrid w:val="0"/>
              <w:spacing w:line="400" w:lineRule="exact"/>
              <w:jc w:val="center"/>
              <w:rPr>
                <w:rFonts w:ascii="宋体" w:hAnsi="宋体"/>
                <w:color w:val="auto"/>
                <w:kern w:val="0"/>
                <w:szCs w:val="21"/>
                <w:highlight w:val="none"/>
              </w:rPr>
            </w:pPr>
          </w:p>
          <w:p w14:paraId="14CAABC5">
            <w:pPr>
              <w:snapToGrid w:val="0"/>
              <w:spacing w:line="400" w:lineRule="exact"/>
              <w:jc w:val="center"/>
              <w:rPr>
                <w:rFonts w:ascii="宋体" w:hAnsi="宋体"/>
                <w:color w:val="auto"/>
                <w:kern w:val="0"/>
                <w:szCs w:val="21"/>
                <w:highlight w:val="none"/>
              </w:rPr>
            </w:pPr>
          </w:p>
          <w:p w14:paraId="059FACC4">
            <w:pPr>
              <w:snapToGrid w:val="0"/>
              <w:spacing w:line="400" w:lineRule="exact"/>
              <w:jc w:val="center"/>
              <w:rPr>
                <w:rFonts w:ascii="宋体" w:hAnsi="宋体"/>
                <w:color w:val="auto"/>
                <w:kern w:val="0"/>
                <w:szCs w:val="21"/>
                <w:highlight w:val="none"/>
              </w:rPr>
            </w:pPr>
          </w:p>
          <w:p w14:paraId="281DD061">
            <w:pPr>
              <w:snapToGrid w:val="0"/>
              <w:spacing w:line="400" w:lineRule="exact"/>
              <w:jc w:val="center"/>
              <w:rPr>
                <w:rFonts w:ascii="宋体" w:hAnsi="宋体"/>
                <w:color w:val="auto"/>
                <w:kern w:val="0"/>
                <w:szCs w:val="21"/>
                <w:highlight w:val="none"/>
              </w:rPr>
            </w:pPr>
          </w:p>
          <w:p w14:paraId="3DFFA139">
            <w:pPr>
              <w:snapToGrid w:val="0"/>
              <w:spacing w:line="400" w:lineRule="exact"/>
              <w:jc w:val="center"/>
              <w:rPr>
                <w:rFonts w:ascii="宋体" w:hAnsi="宋体"/>
                <w:color w:val="auto"/>
                <w:kern w:val="0"/>
                <w:szCs w:val="21"/>
                <w:highlight w:val="none"/>
              </w:rPr>
            </w:pPr>
          </w:p>
          <w:p w14:paraId="264474AB">
            <w:pPr>
              <w:snapToGrid w:val="0"/>
              <w:spacing w:line="400" w:lineRule="exact"/>
              <w:jc w:val="center"/>
              <w:rPr>
                <w:rFonts w:ascii="宋体" w:hAnsi="宋体"/>
                <w:color w:val="auto"/>
                <w:kern w:val="0"/>
                <w:szCs w:val="21"/>
                <w:highlight w:val="none"/>
              </w:rPr>
            </w:pPr>
          </w:p>
          <w:p w14:paraId="75D5B3E2">
            <w:pPr>
              <w:snapToGrid w:val="0"/>
              <w:spacing w:line="400" w:lineRule="exact"/>
              <w:jc w:val="center"/>
              <w:rPr>
                <w:rFonts w:ascii="宋体" w:hAnsi="宋体"/>
                <w:color w:val="auto"/>
                <w:kern w:val="0"/>
                <w:szCs w:val="21"/>
                <w:highlight w:val="none"/>
              </w:rPr>
            </w:pPr>
          </w:p>
          <w:p w14:paraId="20CDC520">
            <w:pPr>
              <w:snapToGrid w:val="0"/>
              <w:spacing w:line="400" w:lineRule="exact"/>
              <w:jc w:val="center"/>
              <w:rPr>
                <w:rFonts w:ascii="宋体" w:hAnsi="宋体"/>
                <w:color w:val="auto"/>
                <w:kern w:val="0"/>
                <w:szCs w:val="21"/>
                <w:highlight w:val="none"/>
              </w:rPr>
            </w:pPr>
          </w:p>
          <w:p w14:paraId="77904AD5">
            <w:pPr>
              <w:snapToGrid w:val="0"/>
              <w:spacing w:line="400" w:lineRule="exact"/>
              <w:jc w:val="center"/>
              <w:rPr>
                <w:rFonts w:ascii="宋体" w:hAnsi="宋体"/>
                <w:color w:val="auto"/>
                <w:kern w:val="0"/>
                <w:szCs w:val="21"/>
                <w:highlight w:val="none"/>
              </w:rPr>
            </w:pPr>
          </w:p>
          <w:p w14:paraId="64C20408">
            <w:pPr>
              <w:snapToGrid w:val="0"/>
              <w:spacing w:line="400" w:lineRule="exact"/>
              <w:jc w:val="center"/>
              <w:rPr>
                <w:rFonts w:ascii="宋体" w:hAnsi="宋体"/>
                <w:color w:val="auto"/>
                <w:kern w:val="0"/>
                <w:szCs w:val="21"/>
                <w:highlight w:val="none"/>
              </w:rPr>
            </w:pPr>
          </w:p>
          <w:p w14:paraId="15A841E9">
            <w:pPr>
              <w:snapToGrid w:val="0"/>
              <w:spacing w:line="400" w:lineRule="exact"/>
              <w:jc w:val="center"/>
              <w:rPr>
                <w:rFonts w:ascii="宋体" w:hAnsi="宋体"/>
                <w:color w:val="auto"/>
                <w:kern w:val="0"/>
                <w:szCs w:val="21"/>
                <w:highlight w:val="none"/>
              </w:rPr>
            </w:pPr>
          </w:p>
          <w:p w14:paraId="0D414D51">
            <w:pPr>
              <w:snapToGrid w:val="0"/>
              <w:spacing w:line="400" w:lineRule="exact"/>
              <w:jc w:val="center"/>
              <w:rPr>
                <w:rFonts w:ascii="宋体" w:hAnsi="宋体"/>
                <w:color w:val="auto"/>
                <w:kern w:val="0"/>
                <w:szCs w:val="21"/>
                <w:highlight w:val="none"/>
              </w:rPr>
            </w:pPr>
          </w:p>
          <w:p w14:paraId="083E7EC5">
            <w:pPr>
              <w:snapToGrid w:val="0"/>
              <w:spacing w:line="400" w:lineRule="exact"/>
              <w:jc w:val="center"/>
              <w:rPr>
                <w:rFonts w:ascii="宋体" w:hAnsi="宋体"/>
                <w:color w:val="auto"/>
                <w:kern w:val="0"/>
                <w:szCs w:val="21"/>
                <w:highlight w:val="none"/>
              </w:rPr>
            </w:pPr>
          </w:p>
          <w:p w14:paraId="0565F4C8">
            <w:pPr>
              <w:snapToGrid w:val="0"/>
              <w:spacing w:line="400" w:lineRule="exact"/>
              <w:jc w:val="center"/>
              <w:rPr>
                <w:rFonts w:ascii="宋体" w:hAnsi="宋体"/>
                <w:color w:val="auto"/>
                <w:kern w:val="0"/>
                <w:szCs w:val="21"/>
                <w:highlight w:val="none"/>
              </w:rPr>
            </w:pPr>
          </w:p>
          <w:p w14:paraId="7E8ABFA2">
            <w:pPr>
              <w:snapToGrid w:val="0"/>
              <w:spacing w:line="400" w:lineRule="exact"/>
              <w:jc w:val="center"/>
              <w:rPr>
                <w:rFonts w:ascii="宋体" w:hAnsi="宋体"/>
                <w:color w:val="auto"/>
                <w:kern w:val="0"/>
                <w:szCs w:val="21"/>
                <w:highlight w:val="none"/>
              </w:rPr>
            </w:pPr>
          </w:p>
          <w:p w14:paraId="56D81B79">
            <w:pPr>
              <w:snapToGrid w:val="0"/>
              <w:spacing w:line="400" w:lineRule="exact"/>
              <w:jc w:val="center"/>
              <w:rPr>
                <w:rFonts w:ascii="宋体" w:hAnsi="宋体"/>
                <w:color w:val="auto"/>
                <w:kern w:val="0"/>
                <w:szCs w:val="21"/>
                <w:highlight w:val="none"/>
              </w:rPr>
            </w:pPr>
          </w:p>
          <w:p w14:paraId="47264E09">
            <w:pPr>
              <w:snapToGrid w:val="0"/>
              <w:spacing w:line="400" w:lineRule="exact"/>
              <w:jc w:val="center"/>
              <w:rPr>
                <w:rFonts w:ascii="宋体" w:hAnsi="宋体"/>
                <w:color w:val="auto"/>
                <w:kern w:val="0"/>
                <w:szCs w:val="21"/>
                <w:highlight w:val="none"/>
              </w:rPr>
            </w:pPr>
          </w:p>
          <w:p w14:paraId="78B9CAE8">
            <w:pPr>
              <w:snapToGrid w:val="0"/>
              <w:spacing w:line="400" w:lineRule="exact"/>
              <w:jc w:val="center"/>
              <w:rPr>
                <w:rFonts w:ascii="宋体" w:hAnsi="宋体"/>
                <w:color w:val="auto"/>
                <w:kern w:val="0"/>
                <w:szCs w:val="21"/>
                <w:highlight w:val="none"/>
              </w:rPr>
            </w:pPr>
          </w:p>
          <w:p w14:paraId="6772EA9E">
            <w:pPr>
              <w:snapToGrid w:val="0"/>
              <w:spacing w:line="400" w:lineRule="exact"/>
              <w:jc w:val="center"/>
              <w:rPr>
                <w:rFonts w:ascii="宋体" w:hAnsi="宋体"/>
                <w:color w:val="auto"/>
                <w:kern w:val="0"/>
                <w:szCs w:val="21"/>
                <w:highlight w:val="none"/>
              </w:rPr>
            </w:pPr>
          </w:p>
          <w:p w14:paraId="7BFAF79C">
            <w:pPr>
              <w:snapToGrid w:val="0"/>
              <w:spacing w:line="400" w:lineRule="exact"/>
              <w:jc w:val="center"/>
              <w:rPr>
                <w:rFonts w:ascii="宋体" w:hAnsi="宋体"/>
                <w:color w:val="auto"/>
                <w:kern w:val="0"/>
                <w:szCs w:val="21"/>
                <w:highlight w:val="none"/>
              </w:rPr>
            </w:pPr>
          </w:p>
          <w:p w14:paraId="79D5FD72">
            <w:pPr>
              <w:snapToGrid w:val="0"/>
              <w:spacing w:line="400" w:lineRule="exact"/>
              <w:jc w:val="center"/>
              <w:rPr>
                <w:rFonts w:ascii="宋体" w:hAnsi="宋体"/>
                <w:color w:val="auto"/>
                <w:kern w:val="0"/>
                <w:szCs w:val="21"/>
                <w:highlight w:val="none"/>
              </w:rPr>
            </w:pPr>
          </w:p>
          <w:p w14:paraId="2C56E523">
            <w:pPr>
              <w:snapToGrid w:val="0"/>
              <w:spacing w:line="400" w:lineRule="exact"/>
              <w:jc w:val="center"/>
              <w:rPr>
                <w:rFonts w:hint="eastAsia" w:ascii="宋体" w:hAnsi="宋体"/>
                <w:color w:val="auto"/>
                <w:kern w:val="0"/>
                <w:szCs w:val="21"/>
                <w:highlight w:val="none"/>
              </w:rPr>
            </w:pPr>
          </w:p>
          <w:p w14:paraId="55CD5DD4">
            <w:pPr>
              <w:snapToGrid w:val="0"/>
              <w:spacing w:line="400" w:lineRule="exact"/>
              <w:jc w:val="center"/>
              <w:rPr>
                <w:rFonts w:ascii="宋体" w:hAnsi="宋体"/>
                <w:color w:val="auto"/>
                <w:kern w:val="0"/>
                <w:szCs w:val="21"/>
                <w:highlight w:val="none"/>
              </w:rPr>
            </w:pPr>
          </w:p>
          <w:p w14:paraId="3F28FCE6">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投标人资质条件、能力和信誉</w:t>
            </w:r>
          </w:p>
          <w:p w14:paraId="328F09C0">
            <w:pPr>
              <w:snapToGrid w:val="0"/>
              <w:spacing w:line="400" w:lineRule="exact"/>
              <w:jc w:val="center"/>
              <w:rPr>
                <w:rFonts w:ascii="宋体" w:hAnsi="宋体"/>
                <w:color w:val="auto"/>
                <w:kern w:val="0"/>
                <w:szCs w:val="21"/>
                <w:highlight w:val="none"/>
              </w:rPr>
            </w:pPr>
          </w:p>
          <w:p w14:paraId="77D4D4C9">
            <w:pPr>
              <w:snapToGrid w:val="0"/>
              <w:spacing w:line="400" w:lineRule="exact"/>
              <w:jc w:val="center"/>
              <w:rPr>
                <w:rFonts w:ascii="宋体" w:hAnsi="宋体"/>
                <w:color w:val="auto"/>
                <w:kern w:val="0"/>
                <w:szCs w:val="21"/>
                <w:highlight w:val="none"/>
              </w:rPr>
            </w:pPr>
          </w:p>
          <w:p w14:paraId="46BFD78A">
            <w:pPr>
              <w:snapToGrid w:val="0"/>
              <w:spacing w:line="400" w:lineRule="exact"/>
              <w:jc w:val="center"/>
              <w:rPr>
                <w:rFonts w:ascii="宋体" w:hAnsi="宋体"/>
                <w:color w:val="auto"/>
                <w:kern w:val="0"/>
                <w:szCs w:val="21"/>
                <w:highlight w:val="none"/>
              </w:rPr>
            </w:pPr>
          </w:p>
          <w:p w14:paraId="125D010D">
            <w:pPr>
              <w:snapToGrid w:val="0"/>
              <w:spacing w:line="400" w:lineRule="exact"/>
              <w:jc w:val="center"/>
              <w:rPr>
                <w:rFonts w:ascii="宋体" w:hAnsi="宋体"/>
                <w:color w:val="auto"/>
                <w:kern w:val="0"/>
                <w:szCs w:val="21"/>
                <w:highlight w:val="none"/>
              </w:rPr>
            </w:pPr>
          </w:p>
          <w:p w14:paraId="4E50EC23">
            <w:pPr>
              <w:snapToGrid w:val="0"/>
              <w:spacing w:line="400" w:lineRule="exact"/>
              <w:jc w:val="center"/>
              <w:rPr>
                <w:rFonts w:ascii="宋体" w:hAnsi="宋体"/>
                <w:color w:val="auto"/>
                <w:kern w:val="0"/>
                <w:szCs w:val="21"/>
                <w:highlight w:val="none"/>
              </w:rPr>
            </w:pPr>
          </w:p>
          <w:p w14:paraId="1A14F492">
            <w:pPr>
              <w:snapToGrid w:val="0"/>
              <w:spacing w:line="400" w:lineRule="exact"/>
              <w:jc w:val="center"/>
              <w:rPr>
                <w:rFonts w:ascii="宋体" w:hAnsi="宋体"/>
                <w:color w:val="auto"/>
                <w:kern w:val="0"/>
                <w:szCs w:val="21"/>
                <w:highlight w:val="none"/>
              </w:rPr>
            </w:pPr>
          </w:p>
          <w:p w14:paraId="697B1C1B">
            <w:pPr>
              <w:snapToGrid w:val="0"/>
              <w:spacing w:line="400" w:lineRule="exact"/>
              <w:jc w:val="center"/>
              <w:rPr>
                <w:rFonts w:ascii="宋体" w:hAnsi="宋体"/>
                <w:color w:val="auto"/>
                <w:kern w:val="0"/>
                <w:szCs w:val="21"/>
                <w:highlight w:val="none"/>
              </w:rPr>
            </w:pPr>
          </w:p>
          <w:p w14:paraId="736A1841">
            <w:pPr>
              <w:snapToGrid w:val="0"/>
              <w:spacing w:line="400" w:lineRule="exact"/>
              <w:jc w:val="center"/>
              <w:rPr>
                <w:rFonts w:ascii="宋体" w:hAnsi="宋体"/>
                <w:color w:val="auto"/>
                <w:kern w:val="0"/>
                <w:szCs w:val="21"/>
                <w:highlight w:val="none"/>
              </w:rPr>
            </w:pPr>
          </w:p>
          <w:p w14:paraId="0F984310">
            <w:pPr>
              <w:snapToGrid w:val="0"/>
              <w:spacing w:line="400" w:lineRule="exact"/>
              <w:jc w:val="center"/>
              <w:rPr>
                <w:rFonts w:ascii="宋体" w:hAnsi="宋体"/>
                <w:color w:val="auto"/>
                <w:kern w:val="0"/>
                <w:szCs w:val="21"/>
                <w:highlight w:val="none"/>
              </w:rPr>
            </w:pPr>
          </w:p>
          <w:p w14:paraId="452AB4DD">
            <w:pPr>
              <w:snapToGrid w:val="0"/>
              <w:spacing w:line="400" w:lineRule="exact"/>
              <w:jc w:val="center"/>
              <w:rPr>
                <w:rFonts w:ascii="宋体" w:hAnsi="宋体"/>
                <w:color w:val="auto"/>
                <w:kern w:val="0"/>
                <w:szCs w:val="21"/>
                <w:highlight w:val="none"/>
              </w:rPr>
            </w:pPr>
          </w:p>
          <w:p w14:paraId="3A1BAE4D">
            <w:pPr>
              <w:snapToGrid w:val="0"/>
              <w:spacing w:line="400" w:lineRule="exact"/>
              <w:jc w:val="center"/>
              <w:rPr>
                <w:rFonts w:ascii="宋体" w:hAnsi="宋体"/>
                <w:color w:val="auto"/>
                <w:kern w:val="0"/>
                <w:szCs w:val="21"/>
                <w:highlight w:val="none"/>
              </w:rPr>
            </w:pPr>
          </w:p>
          <w:p w14:paraId="3345F307">
            <w:pPr>
              <w:snapToGrid w:val="0"/>
              <w:spacing w:line="400" w:lineRule="exact"/>
              <w:jc w:val="center"/>
              <w:rPr>
                <w:rFonts w:ascii="宋体" w:hAnsi="宋体"/>
                <w:color w:val="auto"/>
                <w:kern w:val="0"/>
                <w:szCs w:val="21"/>
                <w:highlight w:val="none"/>
              </w:rPr>
            </w:pPr>
          </w:p>
          <w:p w14:paraId="23274A59">
            <w:pPr>
              <w:snapToGrid w:val="0"/>
              <w:spacing w:line="400" w:lineRule="exact"/>
              <w:jc w:val="center"/>
              <w:rPr>
                <w:rFonts w:ascii="宋体" w:hAnsi="宋体"/>
                <w:color w:val="auto"/>
                <w:kern w:val="0"/>
                <w:szCs w:val="21"/>
                <w:highlight w:val="none"/>
              </w:rPr>
            </w:pPr>
          </w:p>
          <w:p w14:paraId="6F717FD4">
            <w:pPr>
              <w:snapToGrid w:val="0"/>
              <w:spacing w:line="400" w:lineRule="exact"/>
              <w:jc w:val="center"/>
              <w:rPr>
                <w:rFonts w:ascii="宋体" w:hAnsi="宋体"/>
                <w:color w:val="auto"/>
                <w:kern w:val="0"/>
                <w:szCs w:val="21"/>
                <w:highlight w:val="none"/>
              </w:rPr>
            </w:pPr>
          </w:p>
          <w:p w14:paraId="44D04313">
            <w:pPr>
              <w:snapToGrid w:val="0"/>
              <w:spacing w:line="400" w:lineRule="exact"/>
              <w:jc w:val="center"/>
              <w:rPr>
                <w:rFonts w:ascii="宋体" w:hAnsi="宋体"/>
                <w:color w:val="auto"/>
                <w:kern w:val="0"/>
                <w:szCs w:val="21"/>
                <w:highlight w:val="none"/>
              </w:rPr>
            </w:pPr>
          </w:p>
          <w:p w14:paraId="398EE27E">
            <w:pPr>
              <w:snapToGrid w:val="0"/>
              <w:spacing w:line="400" w:lineRule="exact"/>
              <w:jc w:val="center"/>
              <w:rPr>
                <w:rFonts w:ascii="宋体" w:hAnsi="宋体"/>
                <w:color w:val="auto"/>
                <w:kern w:val="0"/>
                <w:szCs w:val="21"/>
                <w:highlight w:val="none"/>
              </w:rPr>
            </w:pPr>
          </w:p>
          <w:p w14:paraId="2ADF42A9">
            <w:pPr>
              <w:snapToGrid w:val="0"/>
              <w:spacing w:line="400" w:lineRule="exact"/>
              <w:jc w:val="center"/>
              <w:rPr>
                <w:rFonts w:ascii="宋体" w:hAnsi="宋体"/>
                <w:color w:val="auto"/>
                <w:kern w:val="0"/>
                <w:szCs w:val="21"/>
                <w:highlight w:val="none"/>
              </w:rPr>
            </w:pPr>
          </w:p>
          <w:p w14:paraId="74A0DFE0">
            <w:pPr>
              <w:snapToGrid w:val="0"/>
              <w:spacing w:line="400" w:lineRule="exact"/>
              <w:jc w:val="center"/>
              <w:rPr>
                <w:rFonts w:ascii="宋体" w:hAnsi="宋体"/>
                <w:color w:val="auto"/>
                <w:kern w:val="0"/>
                <w:szCs w:val="21"/>
                <w:highlight w:val="none"/>
              </w:rPr>
            </w:pPr>
          </w:p>
        </w:tc>
        <w:tc>
          <w:tcPr>
            <w:tcW w:w="6490" w:type="dxa"/>
            <w:noWrap w:val="0"/>
            <w:vAlign w:val="center"/>
          </w:tcPr>
          <w:p w14:paraId="444FC17E">
            <w:pPr>
              <w:autoSpaceDE w:val="0"/>
              <w:autoSpaceDN w:val="0"/>
              <w:adjustRightInd w:val="0"/>
              <w:snapToGrid w:val="0"/>
              <w:spacing w:before="62" w:beforeLines="20" w:line="400" w:lineRule="exact"/>
              <w:ind w:firstLine="420" w:firstLineChars="200"/>
              <w:rPr>
                <w:rFonts w:ascii="宋体" w:hAnsi="宋体"/>
                <w:i/>
                <w:color w:val="auto"/>
                <w:szCs w:val="21"/>
                <w:highlight w:val="none"/>
              </w:rPr>
            </w:pPr>
            <w:r>
              <w:rPr>
                <w:rFonts w:ascii="宋体" w:hAnsi="宋体"/>
                <w:i/>
                <w:color w:val="auto"/>
                <w:szCs w:val="21"/>
                <w:highlight w:val="none"/>
              </w:rPr>
              <w:t>[提示：适用于</w:t>
            </w:r>
            <w:r>
              <w:rPr>
                <w:rFonts w:hint="eastAsia" w:ascii="宋体" w:hAnsi="宋体"/>
                <w:i/>
                <w:color w:val="auto"/>
                <w:szCs w:val="21"/>
                <w:highlight w:val="none"/>
              </w:rPr>
              <w:t>未进行资格预审</w:t>
            </w:r>
            <w:r>
              <w:rPr>
                <w:rFonts w:ascii="宋体" w:hAnsi="宋体"/>
                <w:i/>
                <w:color w:val="auto"/>
                <w:szCs w:val="21"/>
                <w:highlight w:val="none"/>
              </w:rPr>
              <w:t>的项目，</w:t>
            </w:r>
            <w:r>
              <w:rPr>
                <w:rFonts w:hint="eastAsia" w:ascii="宋体" w:hAnsi="宋体"/>
                <w:i/>
                <w:color w:val="auto"/>
                <w:szCs w:val="21"/>
                <w:highlight w:val="none"/>
              </w:rPr>
              <w:t>第1、4、5、6项必须具备；</w:t>
            </w:r>
            <w:r>
              <w:rPr>
                <w:rFonts w:ascii="宋体" w:hAnsi="宋体"/>
                <w:i/>
                <w:color w:val="auto"/>
                <w:szCs w:val="21"/>
                <w:highlight w:val="none"/>
              </w:rPr>
              <w:t>第2、3项由招标人根据项目情况选设</w:t>
            </w:r>
            <w:r>
              <w:rPr>
                <w:rFonts w:hint="eastAsia" w:ascii="宋体" w:hAnsi="宋体"/>
                <w:i/>
                <w:color w:val="auto"/>
                <w:szCs w:val="21"/>
                <w:highlight w:val="none"/>
              </w:rPr>
              <w:t>。</w:t>
            </w:r>
            <w:r>
              <w:rPr>
                <w:rFonts w:ascii="宋体" w:hAnsi="宋体"/>
                <w:i/>
                <w:color w:val="auto"/>
                <w:szCs w:val="21"/>
                <w:highlight w:val="none"/>
              </w:rPr>
              <w:t>]</w:t>
            </w:r>
          </w:p>
          <w:p w14:paraId="1A43101E">
            <w:pPr>
              <w:autoSpaceDE w:val="0"/>
              <w:autoSpaceDN w:val="0"/>
              <w:adjustRightInd w:val="0"/>
              <w:snapToGrid w:val="0"/>
              <w:spacing w:line="400" w:lineRule="exact"/>
              <w:ind w:firstLine="420" w:firstLineChars="200"/>
              <w:rPr>
                <w:rFonts w:ascii="宋体" w:hAnsi="宋体"/>
                <w:color w:val="auto"/>
                <w:szCs w:val="21"/>
                <w:highlight w:val="none"/>
              </w:rPr>
            </w:pPr>
            <w:bookmarkStart w:id="154" w:name="OLE_LINK1"/>
            <w:r>
              <w:rPr>
                <w:rFonts w:ascii="宋体" w:hAnsi="宋体"/>
                <w:color w:val="auto"/>
                <w:szCs w:val="21"/>
                <w:highlight w:val="none"/>
              </w:rPr>
              <w:t>本工程施工招标实行资格后审，投标人应</w:t>
            </w:r>
            <w:bookmarkStart w:id="155" w:name="一是"/>
            <w:bookmarkEnd w:id="155"/>
            <w:r>
              <w:rPr>
                <w:rFonts w:ascii="宋体" w:hAnsi="宋体"/>
                <w:color w:val="auto"/>
                <w:szCs w:val="21"/>
                <w:highlight w:val="none"/>
              </w:rPr>
              <w:t>具备以下资格条件：</w:t>
            </w:r>
          </w:p>
          <w:bookmarkEnd w:id="154"/>
          <w:p w14:paraId="2DF56230">
            <w:pPr>
              <w:autoSpaceDE w:val="0"/>
              <w:autoSpaceDN w:val="0"/>
              <w:adjustRightInd w:val="0"/>
              <w:snapToGrid w:val="0"/>
              <w:spacing w:line="400" w:lineRule="exact"/>
              <w:ind w:firstLine="422" w:firstLineChars="200"/>
              <w:rPr>
                <w:rFonts w:ascii="宋体" w:hAnsi="宋体"/>
                <w:b/>
                <w:color w:val="auto"/>
                <w:szCs w:val="21"/>
                <w:highlight w:val="none"/>
              </w:rPr>
            </w:pPr>
            <w:r>
              <w:rPr>
                <w:rFonts w:ascii="宋体" w:hAnsi="宋体"/>
                <w:b/>
                <w:color w:val="auto"/>
                <w:szCs w:val="21"/>
                <w:highlight w:val="none"/>
              </w:rPr>
              <w:t>1.资质条件、营业执照及安全生产条件</w:t>
            </w:r>
          </w:p>
          <w:p w14:paraId="687392EC">
            <w:pPr>
              <w:autoSpaceDE w:val="0"/>
              <w:autoSpaceDN w:val="0"/>
              <w:adjustRightInd w:val="0"/>
              <w:snapToGrid w:val="0"/>
              <w:spacing w:line="400" w:lineRule="exact"/>
              <w:ind w:firstLine="420" w:firstLineChars="200"/>
              <w:rPr>
                <w:rFonts w:hint="eastAsia" w:ascii="宋体" w:hAnsi="宋体"/>
                <w:i/>
                <w:color w:val="auto"/>
                <w:szCs w:val="21"/>
                <w:highlight w:val="none"/>
              </w:rPr>
            </w:pPr>
            <w:r>
              <w:rPr>
                <w:rFonts w:hint="eastAsia" w:ascii="宋体" w:hAnsi="宋体"/>
                <w:i/>
                <w:color w:val="auto"/>
                <w:szCs w:val="21"/>
                <w:highlight w:val="none"/>
              </w:rPr>
              <w:t>[</w:t>
            </w:r>
            <w:r>
              <w:rPr>
                <w:rFonts w:ascii="宋体" w:hAnsi="宋体"/>
                <w:i/>
                <w:color w:val="auto"/>
                <w:szCs w:val="21"/>
                <w:highlight w:val="none"/>
              </w:rPr>
              <w:t>提示</w:t>
            </w:r>
            <w:r>
              <w:rPr>
                <w:rFonts w:hint="eastAsia" w:ascii="宋体" w:hAnsi="宋体"/>
                <w:i/>
                <w:color w:val="auto"/>
                <w:szCs w:val="21"/>
                <w:highlight w:val="none"/>
              </w:rPr>
              <w:t>：</w:t>
            </w:r>
            <w:r>
              <w:rPr>
                <w:rFonts w:ascii="宋体" w:hAnsi="宋体"/>
                <w:i/>
                <w:color w:val="auto"/>
                <w:szCs w:val="21"/>
                <w:highlight w:val="none"/>
              </w:rPr>
              <w:t>本工程资质设置严格按照《建筑业企业资质管理规定》（住房城乡建设部第22号令）、《住房城乡建设部关于印发《建筑业企业资质标准》的通知》（建市﹝2014﹞159号文）、住房城乡建设部关于印发《建筑业企业资质管理规定和资质标准实施意见》的通知（建市﹝2015﹞20号）、《住房城</w:t>
            </w:r>
            <w:r>
              <w:rPr>
                <w:rFonts w:ascii="宋体" w:hAnsi="宋体"/>
                <w:i/>
                <w:color w:val="auto"/>
                <w:spacing w:val="2"/>
                <w:szCs w:val="21"/>
                <w:highlight w:val="none"/>
              </w:rPr>
              <w:t>乡建设部关于建筑业企业资质管理有关问题的</w:t>
            </w:r>
            <w:r>
              <w:rPr>
                <w:rFonts w:ascii="宋体" w:hAnsi="宋体"/>
                <w:i/>
                <w:color w:val="auto"/>
                <w:szCs w:val="21"/>
                <w:highlight w:val="none"/>
              </w:rPr>
              <w:t>通知》（建市﹝2015﹞154号）</w:t>
            </w:r>
            <w:r>
              <w:rPr>
                <w:rFonts w:hint="eastAsia" w:ascii="宋体" w:hAnsi="宋体"/>
                <w:i/>
                <w:color w:val="auto"/>
                <w:szCs w:val="21"/>
                <w:highlight w:val="none"/>
              </w:rPr>
              <w:t>、《住房城乡建设部关于取消建筑智能化等4个工程设计与施工资质有关事项的通知》（建市﹝2015﹞102号）、《住房城乡建设部关于简化建筑业企业资质标准部分指标的通知》（建市﹝2016﹞226号）</w:t>
            </w:r>
            <w:r>
              <w:rPr>
                <w:rFonts w:ascii="宋体" w:hAnsi="宋体"/>
                <w:i/>
                <w:color w:val="auto"/>
                <w:szCs w:val="21"/>
                <w:highlight w:val="none"/>
              </w:rPr>
              <w:t>等相关规定执行。</w:t>
            </w:r>
          </w:p>
          <w:p w14:paraId="1FEF16AE">
            <w:pPr>
              <w:autoSpaceDE w:val="0"/>
              <w:autoSpaceDN w:val="0"/>
              <w:adjustRightInd w:val="0"/>
              <w:snapToGrid w:val="0"/>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施工总承包工程应设定施工总承包资质；设有专业承包资质的专业工程单独发包时，应由取得相应专业承包资质的企业承担，设有专业承包资质的两个及以上专业工程同时发包时，应当允许联合体投标；施工总承包工程中有施工总承包资质不能涵盖的工作内容的，应当允许联合体投标或分包。设置施工总承包资质的同时，不得再设置施工总承包已涵盖的任何专业承包资质。]</w:t>
            </w:r>
          </w:p>
          <w:p w14:paraId="34B61081">
            <w:pPr>
              <w:autoSpaceDE w:val="0"/>
              <w:autoSpaceDN w:val="0"/>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（1）具备建设行政主管部门颁发的有效的</w:t>
            </w:r>
            <w:r>
              <w:rPr>
                <w:rFonts w:hint="eastAsia" w:ascii="宋体" w:hAnsi="宋体"/>
                <w:color w:val="auto"/>
                <w:highlight w:val="none"/>
                <w:u w:val="single"/>
              </w:rPr>
              <w:t xml:space="preserve">        </w:t>
            </w:r>
            <w:r>
              <w:rPr>
                <w:rFonts w:ascii="宋体" w:hAnsi="宋体"/>
                <w:color w:val="auto"/>
                <w:szCs w:val="21"/>
                <w:highlight w:val="none"/>
                <w:u w:val="single"/>
              </w:rPr>
              <w:t>及以上</w:t>
            </w:r>
            <w:r>
              <w:rPr>
                <w:rFonts w:hint="eastAsia" w:ascii="宋体" w:hAnsi="宋体"/>
                <w:color w:val="auto"/>
                <w:szCs w:val="21"/>
                <w:highlight w:val="none"/>
              </w:rPr>
              <w:t>资质</w:t>
            </w:r>
            <w:r>
              <w:rPr>
                <w:rFonts w:ascii="宋体" w:hAnsi="宋体"/>
                <w:color w:val="auto"/>
                <w:szCs w:val="21"/>
                <w:highlight w:val="none"/>
              </w:rPr>
              <w:t>。</w:t>
            </w:r>
          </w:p>
          <w:p w14:paraId="2D1C3242">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投标人</w:t>
            </w:r>
            <w:r>
              <w:rPr>
                <w:rFonts w:ascii="宋体" w:hAnsi="宋体"/>
                <w:color w:val="auto"/>
                <w:szCs w:val="21"/>
                <w:highlight w:val="none"/>
              </w:rPr>
              <w:t>须</w:t>
            </w:r>
            <w:r>
              <w:rPr>
                <w:rFonts w:hint="eastAsia" w:ascii="宋体" w:hAnsi="宋体"/>
                <w:color w:val="auto"/>
                <w:szCs w:val="21"/>
                <w:highlight w:val="none"/>
              </w:rPr>
              <w:t>在投标文件资格审查部分</w:t>
            </w:r>
            <w:r>
              <w:rPr>
                <w:rFonts w:ascii="宋体" w:hAnsi="宋体"/>
                <w:color w:val="auto"/>
                <w:szCs w:val="21"/>
                <w:highlight w:val="none"/>
              </w:rPr>
              <w:t>提供</w:t>
            </w:r>
            <w:r>
              <w:rPr>
                <w:rFonts w:hint="eastAsia" w:ascii="宋体" w:hAnsi="宋体"/>
                <w:color w:val="auto"/>
                <w:szCs w:val="21"/>
                <w:highlight w:val="none"/>
              </w:rPr>
              <w:t>有效的带二维码标识的资质证书</w:t>
            </w:r>
            <w:r>
              <w:rPr>
                <w:rFonts w:ascii="宋体" w:hAnsi="宋体"/>
                <w:color w:val="auto"/>
                <w:szCs w:val="21"/>
                <w:highlight w:val="none"/>
              </w:rPr>
              <w:t>。</w:t>
            </w:r>
          </w:p>
          <w:p w14:paraId="3F41128C">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highlight w:val="none"/>
              </w:rPr>
              <w:t>□联合体投标的，按联合体协议约定的分工分别提供相应的资质证书。</w:t>
            </w:r>
          </w:p>
          <w:p w14:paraId="5381EBB6">
            <w:pPr>
              <w:autoSpaceDE w:val="0"/>
              <w:autoSpaceDN w:val="0"/>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（2）具备有效的营业执照。</w:t>
            </w:r>
          </w:p>
          <w:p w14:paraId="03DAD5DF">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投标人</w:t>
            </w:r>
            <w:r>
              <w:rPr>
                <w:rFonts w:ascii="宋体" w:hAnsi="宋体"/>
                <w:color w:val="auto"/>
                <w:szCs w:val="21"/>
                <w:highlight w:val="none"/>
              </w:rPr>
              <w:t>须</w:t>
            </w:r>
            <w:r>
              <w:rPr>
                <w:rFonts w:hint="eastAsia" w:ascii="宋体" w:hAnsi="宋体"/>
                <w:color w:val="auto"/>
                <w:szCs w:val="21"/>
                <w:highlight w:val="none"/>
              </w:rPr>
              <w:t>在投标文件资格审查部分</w:t>
            </w:r>
            <w:r>
              <w:rPr>
                <w:rFonts w:ascii="宋体" w:hAnsi="宋体"/>
                <w:color w:val="auto"/>
                <w:szCs w:val="21"/>
                <w:highlight w:val="none"/>
              </w:rPr>
              <w:t>提供有效的带二维码</w:t>
            </w:r>
            <w:r>
              <w:rPr>
                <w:rFonts w:hint="eastAsia" w:ascii="宋体" w:hAnsi="宋体"/>
                <w:color w:val="auto"/>
                <w:szCs w:val="21"/>
                <w:highlight w:val="none"/>
              </w:rPr>
              <w:t>标识</w:t>
            </w:r>
            <w:r>
              <w:rPr>
                <w:rFonts w:ascii="宋体" w:hAnsi="宋体"/>
                <w:color w:val="auto"/>
                <w:szCs w:val="21"/>
                <w:highlight w:val="none"/>
              </w:rPr>
              <w:t>的营业执照。</w:t>
            </w:r>
          </w:p>
          <w:p w14:paraId="702072D0">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highlight w:val="none"/>
              </w:rPr>
              <w:t>□联合体投标的，联合体各方均需提供营业执照。</w:t>
            </w:r>
          </w:p>
          <w:p w14:paraId="106B3BCB">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ascii="宋体" w:hAnsi="宋体"/>
                <w:color w:val="auto"/>
                <w:szCs w:val="21"/>
                <w:highlight w:val="none"/>
              </w:rPr>
              <w:t>（3）具备建设行政主管部门颁发的有效的安全生产许可证，企业</w:t>
            </w:r>
            <w:r>
              <w:rPr>
                <w:rFonts w:hint="eastAsia" w:ascii="宋体" w:hAnsi="宋体"/>
                <w:color w:val="auto"/>
                <w:szCs w:val="21"/>
                <w:highlight w:val="none"/>
              </w:rPr>
              <w:t>主要</w:t>
            </w:r>
            <w:r>
              <w:rPr>
                <w:rFonts w:ascii="宋体" w:hAnsi="宋体"/>
                <w:color w:val="auto"/>
                <w:szCs w:val="21"/>
                <w:highlight w:val="none"/>
              </w:rPr>
              <w:t>负责人、拟担任该项目项目经理具备相应的由建设行政主管部门颁发的有效的安全生产考核合格证书</w:t>
            </w:r>
            <w:r>
              <w:rPr>
                <w:rFonts w:hint="eastAsia" w:ascii="宋体" w:hAnsi="宋体"/>
                <w:color w:val="auto"/>
                <w:szCs w:val="21"/>
                <w:highlight w:val="none"/>
              </w:rPr>
              <w:t>。</w:t>
            </w:r>
          </w:p>
          <w:p w14:paraId="24D191F8">
            <w:pPr>
              <w:autoSpaceDE w:val="0"/>
              <w:autoSpaceDN w:val="0"/>
              <w:adjustRightInd w:val="0"/>
              <w:snapToGrid w:val="0"/>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[提示：按建质〔2015〕206号文规定执行</w:t>
            </w:r>
            <w:r>
              <w:rPr>
                <w:rFonts w:ascii="宋体" w:hAnsi="宋体"/>
                <w:i/>
                <w:color w:val="auto"/>
                <w:szCs w:val="21"/>
                <w:highlight w:val="none"/>
              </w:rPr>
              <w:t>。</w:t>
            </w:r>
            <w:r>
              <w:rPr>
                <w:rFonts w:hint="eastAsia" w:ascii="宋体" w:hAnsi="宋体"/>
                <w:i/>
                <w:color w:val="auto"/>
                <w:szCs w:val="21"/>
                <w:highlight w:val="none"/>
              </w:rPr>
              <w:t>]</w:t>
            </w:r>
          </w:p>
          <w:p w14:paraId="2ED3B3F5">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投标人须在投标文件资格审查部分提供有效的安全生产许可证</w:t>
            </w:r>
            <w:r>
              <w:rPr>
                <w:rFonts w:ascii="宋体" w:hAnsi="宋体"/>
                <w:color w:val="auto"/>
                <w:szCs w:val="21"/>
                <w:highlight w:val="none"/>
              </w:rPr>
              <w:t>及安全生产考核合格证书。</w:t>
            </w:r>
          </w:p>
          <w:p w14:paraId="698F7126">
            <w:pPr>
              <w:autoSpaceDE w:val="0"/>
              <w:autoSpaceDN w:val="0"/>
              <w:adjustRightInd w:val="0"/>
              <w:snapToGrid w:val="0"/>
              <w:spacing w:line="400" w:lineRule="exact"/>
              <w:ind w:firstLine="420" w:firstLineChars="200"/>
              <w:rPr>
                <w:rFonts w:hint="eastAsia" w:ascii="宋体" w:hAnsi="宋体"/>
                <w:b/>
                <w:color w:val="auto"/>
                <w:szCs w:val="21"/>
                <w:highlight w:val="none"/>
              </w:rPr>
            </w:pPr>
            <w:r>
              <w:rPr>
                <w:rFonts w:hint="eastAsia" w:ascii="宋体" w:hAnsi="宋体"/>
                <w:color w:val="auto"/>
                <w:highlight w:val="none"/>
              </w:rPr>
              <w:t>□联合体投标的，联合体各方均需提供安全生产许可证及安全生产考核合格证书。</w:t>
            </w:r>
          </w:p>
          <w:p w14:paraId="06BB7735">
            <w:pPr>
              <w:autoSpaceDE w:val="0"/>
              <w:autoSpaceDN w:val="0"/>
              <w:adjustRightInd w:val="0"/>
              <w:snapToGrid w:val="0"/>
              <w:spacing w:line="400" w:lineRule="exact"/>
              <w:ind w:firstLine="422" w:firstLineChars="200"/>
              <w:rPr>
                <w:rFonts w:ascii="宋体" w:hAnsi="宋体"/>
                <w:b/>
                <w:color w:val="auto"/>
                <w:szCs w:val="21"/>
                <w:highlight w:val="none"/>
              </w:rPr>
            </w:pPr>
            <w:r>
              <w:rPr>
                <w:rFonts w:hint="eastAsia" w:ascii="宋体" w:hAnsi="宋体"/>
                <w:b/>
                <w:color w:val="auto"/>
                <w:szCs w:val="21"/>
                <w:highlight w:val="none"/>
              </w:rPr>
              <w:t>□</w:t>
            </w:r>
            <w:r>
              <w:rPr>
                <w:rFonts w:ascii="宋体" w:hAnsi="宋体"/>
                <w:b/>
                <w:color w:val="auto"/>
                <w:szCs w:val="21"/>
                <w:highlight w:val="none"/>
              </w:rPr>
              <w:t>2.财务要求</w:t>
            </w:r>
          </w:p>
          <w:p w14:paraId="2C811598">
            <w:pPr>
              <w:autoSpaceDE w:val="0"/>
              <w:autoSpaceDN w:val="0"/>
              <w:adjustRightInd w:val="0"/>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年的年度财务状况不亏损。</w:t>
            </w:r>
          </w:p>
          <w:p w14:paraId="5D8AD70E">
            <w:pPr>
              <w:snapToGrid w:val="0"/>
              <w:spacing w:line="400" w:lineRule="exact"/>
              <w:ind w:firstLine="420" w:firstLineChars="200"/>
              <w:rPr>
                <w:rFonts w:hint="eastAsia" w:ascii="宋体" w:hAnsi="宋体"/>
                <w:color w:val="auto"/>
                <w:kern w:val="0"/>
                <w:szCs w:val="21"/>
                <w:highlight w:val="none"/>
              </w:rPr>
            </w:pPr>
            <w:r>
              <w:rPr>
                <w:rFonts w:hint="eastAsia" w:ascii="宋体" w:hAnsi="宋体"/>
                <w:i/>
                <w:color w:val="auto"/>
                <w:kern w:val="0"/>
                <w:szCs w:val="21"/>
                <w:highlight w:val="none"/>
              </w:rPr>
              <w:t>[提示：招标人可要求提供1至3年的年度财务要求。]</w:t>
            </w:r>
          </w:p>
          <w:p w14:paraId="30998CD4">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投标人须在投标文件资格审查部分提供经会计师事务所或审计机构出具的合法有效的财务审计报告及财务报表，财务报表须至少包括现金流量表、资产负债表、利润表。</w:t>
            </w:r>
          </w:p>
          <w:p w14:paraId="09C3D932">
            <w:pPr>
              <w:autoSpaceDE w:val="0"/>
              <w:autoSpaceDN w:val="0"/>
              <w:adjustRightInd w:val="0"/>
              <w:snapToGrid w:val="0"/>
              <w:spacing w:line="400" w:lineRule="exact"/>
              <w:ind w:firstLine="420" w:firstLineChars="200"/>
              <w:rPr>
                <w:rFonts w:hint="eastAsia" w:ascii="宋体" w:hAnsi="宋体"/>
                <w:b/>
                <w:color w:val="auto"/>
                <w:szCs w:val="21"/>
                <w:highlight w:val="none"/>
              </w:rPr>
            </w:pPr>
            <w:r>
              <w:rPr>
                <w:rFonts w:hint="eastAsia" w:ascii="宋体" w:hAnsi="宋体"/>
                <w:color w:val="auto"/>
                <w:szCs w:val="21"/>
                <w:highlight w:val="none"/>
              </w:rPr>
              <w:t>□联合体投标的，联合体各方均需满足上述财务要求。</w:t>
            </w:r>
          </w:p>
          <w:p w14:paraId="165A1211">
            <w:pPr>
              <w:autoSpaceDE w:val="0"/>
              <w:autoSpaceDN w:val="0"/>
              <w:adjustRightInd w:val="0"/>
              <w:snapToGrid w:val="0"/>
              <w:spacing w:line="400" w:lineRule="exact"/>
              <w:ind w:firstLine="422" w:firstLineChars="200"/>
              <w:rPr>
                <w:rFonts w:ascii="宋体" w:hAnsi="宋体"/>
                <w:b/>
                <w:color w:val="auto"/>
                <w:szCs w:val="21"/>
                <w:highlight w:val="none"/>
              </w:rPr>
            </w:pPr>
            <w:r>
              <w:rPr>
                <w:rFonts w:hint="eastAsia" w:ascii="宋体" w:hAnsi="宋体"/>
                <w:b/>
                <w:color w:val="auto"/>
                <w:szCs w:val="21"/>
                <w:highlight w:val="none"/>
              </w:rPr>
              <w:t>□</w:t>
            </w:r>
            <w:r>
              <w:rPr>
                <w:rFonts w:ascii="宋体" w:hAnsi="宋体"/>
                <w:b/>
                <w:color w:val="auto"/>
                <w:szCs w:val="21"/>
                <w:highlight w:val="none"/>
              </w:rPr>
              <w:t>3.业绩要求</w:t>
            </w:r>
          </w:p>
          <w:p w14:paraId="54E3B466">
            <w:pPr>
              <w:adjustRightInd w:val="0"/>
              <w:snapToGrid w:val="0"/>
              <w:spacing w:line="400" w:lineRule="exact"/>
              <w:ind w:firstLine="420" w:firstLineChars="200"/>
              <w:rPr>
                <w:rFonts w:hint="eastAsia" w:ascii="宋体" w:hAnsi="宋体"/>
                <w:i/>
                <w:color w:val="auto"/>
                <w:szCs w:val="21"/>
                <w:highlight w:val="none"/>
              </w:rPr>
            </w:pPr>
            <w:r>
              <w:rPr>
                <w:rFonts w:hint="eastAsia" w:ascii="宋体" w:hAnsi="宋体"/>
                <w:i/>
                <w:color w:val="auto"/>
                <w:szCs w:val="21"/>
                <w:highlight w:val="none"/>
              </w:rPr>
              <w:t>[提示：1、工程类别的设定原则上应当满足《建设工程分类标准》（GB/T 50841-2013）的要求，其具体要求使用至三级目录为止，具体详见《建设工程分类标准》（GB/T 50841-2013）附录A、附录B、附录C；2、采用金额为业绩条件的，其类似工程业绩金额的设定原则上不高于该招标项目估算价或经批准概算金额或最高限价的四分之三；3、采用工程规模的具体参数为业绩条件的，工程规模的类别设定应当采用《建筑业企业资质标准》（建市〔2014〕159号）中“承包工程范围”中明确设立了的工程规模类别，且工程规模的具体参数原则上不高于招标项目工程规模数值的四分之三（降低了相关规模标准等级的除外），投标人提供的业绩其具体参数应大于等于该业绩条件。后文中项目经理的类似业绩按此要求设置。]</w:t>
            </w:r>
          </w:p>
          <w:p w14:paraId="2262F798">
            <w:pPr>
              <w:autoSpaceDE w:val="0"/>
              <w:autoSpaceDN w:val="0"/>
              <w:adjustRightInd w:val="0"/>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3.1业绩时间要求：</w:t>
            </w:r>
          </w:p>
          <w:p w14:paraId="61B6E206">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ascii="宋体" w:hAnsi="宋体"/>
                <w:color w:val="auto"/>
                <w:kern w:val="0"/>
                <w:szCs w:val="21"/>
                <w:highlight w:val="none"/>
              </w:rPr>
              <w:t>投标截止日前</w:t>
            </w:r>
            <w:r>
              <w:rPr>
                <w:rFonts w:hint="eastAsia" w:ascii="宋体" w:hAnsi="宋体"/>
                <w:color w:val="auto"/>
                <w:kern w:val="0"/>
                <w:szCs w:val="21"/>
                <w:highlight w:val="none"/>
              </w:rPr>
              <w:t>□3□5□8</w:t>
            </w:r>
            <w:r>
              <w:rPr>
                <w:rFonts w:ascii="宋体" w:hAnsi="宋体"/>
                <w:color w:val="auto"/>
                <w:szCs w:val="21"/>
                <w:highlight w:val="none"/>
              </w:rPr>
              <w:t>年</w:t>
            </w:r>
            <w:r>
              <w:rPr>
                <w:rFonts w:hint="eastAsia" w:ascii="宋体" w:hAnsi="宋体"/>
                <w:color w:val="auto"/>
                <w:szCs w:val="21"/>
                <w:highlight w:val="none"/>
                <w:u w:val="single"/>
              </w:rPr>
              <w:t xml:space="preserve">  </w:t>
            </w:r>
            <w:r>
              <w:rPr>
                <w:rFonts w:ascii="宋体" w:hAnsi="宋体"/>
                <w:color w:val="auto"/>
                <w:szCs w:val="21"/>
                <w:highlight w:val="none"/>
              </w:rPr>
              <w:t>年</w:t>
            </w:r>
            <w:r>
              <w:rPr>
                <w:rFonts w:hint="eastAsia" w:ascii="宋体" w:hAnsi="宋体"/>
                <w:i/>
                <w:iCs/>
                <w:color w:val="auto"/>
                <w:szCs w:val="21"/>
                <w:highlight w:val="none"/>
              </w:rPr>
              <w:t>[提示：8年以上选填]</w:t>
            </w:r>
            <w:r>
              <w:rPr>
                <w:rFonts w:ascii="宋体" w:hAnsi="宋体"/>
                <w:color w:val="auto"/>
                <w:szCs w:val="21"/>
                <w:highlight w:val="none"/>
              </w:rPr>
              <w:t>内</w:t>
            </w:r>
            <w:r>
              <w:rPr>
                <w:rFonts w:hint="eastAsia" w:ascii="宋体" w:hAnsi="宋体"/>
                <w:color w:val="auto"/>
                <w:szCs w:val="21"/>
                <w:highlight w:val="none"/>
              </w:rPr>
              <w:t>，指</w:t>
            </w:r>
          </w:p>
          <w:p w14:paraId="5A20E79B">
            <w:pPr>
              <w:autoSpaceDE w:val="0"/>
              <w:autoSpaceDN w:val="0"/>
              <w:adjustRightInd w:val="0"/>
              <w:snapToGrid w:val="0"/>
              <w:spacing w:line="400" w:lineRule="exact"/>
              <w:rPr>
                <w:rFonts w:hint="eastAsia" w:ascii="宋体" w:hAnsi="宋体"/>
                <w:color w:val="auto"/>
                <w:szCs w:val="21"/>
                <w:highlight w:val="none"/>
                <w:u w:val="single"/>
              </w:rPr>
            </w:pPr>
            <w:r>
              <w:rPr>
                <w:rFonts w:hint="eastAsia" w:ascii="宋体" w:hAnsi="宋体"/>
                <w:color w:val="auto"/>
                <w:szCs w:val="21"/>
                <w:highlight w:val="none"/>
                <w:u w:val="single"/>
              </w:rPr>
              <w:t xml:space="preserve">    </w:t>
            </w:r>
            <w:r>
              <w:rPr>
                <w:rFonts w:hint="eastAsia" w:ascii="宋体" w:hAnsi="宋体"/>
                <w:color w:val="auto"/>
                <w:szCs w:val="21"/>
                <w:highlight w:val="none"/>
              </w:rPr>
              <w:t>年1月1日起至投标截止日止（以竣工时间为准）的1个类似项目业绩。</w:t>
            </w:r>
          </w:p>
          <w:p w14:paraId="11C59529">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3.2业绩规模要求：</w:t>
            </w:r>
          </w:p>
          <w:p w14:paraId="04ED8ED9">
            <w:pPr>
              <w:autoSpaceDE w:val="0"/>
              <w:autoSpaceDN w:val="0"/>
              <w:adjustRightInd w:val="0"/>
              <w:snapToGrid w:val="0"/>
              <w:spacing w:line="400" w:lineRule="exact"/>
              <w:ind w:firstLine="420" w:firstLineChars="200"/>
              <w:rPr>
                <w:rFonts w:hint="eastAsia" w:ascii="宋体" w:hAnsi="宋体"/>
                <w:color w:val="auto"/>
                <w:szCs w:val="21"/>
                <w:highlight w:val="none"/>
                <w:u w:val="single"/>
              </w:rPr>
            </w:pPr>
            <w:r>
              <w:rPr>
                <w:rFonts w:hint="eastAsia" w:ascii="宋体" w:hAnsi="宋体"/>
                <w:color w:val="auto"/>
                <w:szCs w:val="21"/>
                <w:highlight w:val="none"/>
              </w:rPr>
              <w:t>工程类别：</w:t>
            </w:r>
            <w:r>
              <w:rPr>
                <w:rFonts w:hint="eastAsia" w:ascii="宋体" w:hAnsi="宋体"/>
                <w:color w:val="auto"/>
                <w:szCs w:val="21"/>
                <w:highlight w:val="none"/>
                <w:u w:val="single"/>
              </w:rPr>
              <w:t xml:space="preserve">        </w:t>
            </w:r>
          </w:p>
          <w:p w14:paraId="3C4A6EA8">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若同时设置了工程造价和工程规模要求，则只须满足其中之一:</w:t>
            </w:r>
          </w:p>
          <w:p w14:paraId="50CC2429">
            <w:pPr>
              <w:autoSpaceDE w:val="0"/>
              <w:autoSpaceDN w:val="0"/>
              <w:adjustRightInd w:val="0"/>
              <w:snapToGrid w:val="0"/>
              <w:spacing w:line="400" w:lineRule="exact"/>
              <w:ind w:firstLine="420" w:firstLineChars="200"/>
              <w:rPr>
                <w:rFonts w:hint="eastAsia" w:ascii="宋体" w:hAnsi="宋体"/>
                <w:color w:val="auto"/>
                <w:szCs w:val="21"/>
                <w:highlight w:val="none"/>
                <w:u w:val="single"/>
              </w:rPr>
            </w:pPr>
            <w:r>
              <w:rPr>
                <w:rFonts w:hint="eastAsia" w:ascii="宋体" w:hAnsi="宋体"/>
                <w:color w:val="auto"/>
                <w:szCs w:val="21"/>
                <w:highlight w:val="none"/>
              </w:rPr>
              <w:t>□工程造价：</w:t>
            </w:r>
            <w:r>
              <w:rPr>
                <w:rFonts w:hint="eastAsia" w:ascii="宋体" w:hAnsi="宋体"/>
                <w:color w:val="auto"/>
                <w:szCs w:val="21"/>
                <w:highlight w:val="none"/>
                <w:u w:val="single"/>
              </w:rPr>
              <w:t xml:space="preserve">        </w:t>
            </w:r>
          </w:p>
          <w:p w14:paraId="59358FEE">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□工程规模：</w:t>
            </w:r>
            <w:r>
              <w:rPr>
                <w:rFonts w:hint="eastAsia" w:ascii="宋体" w:hAnsi="宋体"/>
                <w:color w:val="auto"/>
                <w:szCs w:val="21"/>
                <w:highlight w:val="none"/>
                <w:u w:val="single"/>
              </w:rPr>
              <w:t xml:space="preserve">        </w:t>
            </w:r>
          </w:p>
          <w:p w14:paraId="74602434">
            <w:pPr>
              <w:autoSpaceDE w:val="0"/>
              <w:autoSpaceDN w:val="0"/>
              <w:adjustRightInd w:val="0"/>
              <w:snapToGrid w:val="0"/>
              <w:spacing w:line="400" w:lineRule="exact"/>
              <w:ind w:firstLine="420" w:firstLineChars="200"/>
              <w:rPr>
                <w:rFonts w:hint="eastAsia" w:ascii="宋体" w:hAnsi="宋体"/>
                <w:i/>
                <w:color w:val="auto"/>
                <w:szCs w:val="21"/>
                <w:highlight w:val="none"/>
              </w:rPr>
            </w:pPr>
            <w:r>
              <w:rPr>
                <w:rFonts w:hint="eastAsia" w:ascii="宋体" w:hAnsi="宋体"/>
                <w:i/>
                <w:color w:val="auto"/>
                <w:szCs w:val="21"/>
                <w:highlight w:val="none"/>
              </w:rPr>
              <w:t>[提示：根据招标项目实际情况选用。]</w:t>
            </w:r>
          </w:p>
          <w:p w14:paraId="2929E395">
            <w:pPr>
              <w:autoSpaceDE w:val="0"/>
              <w:autoSpaceDN w:val="0"/>
              <w:adjustRightInd w:val="0"/>
              <w:snapToGrid w:val="0"/>
              <w:spacing w:line="400" w:lineRule="exact"/>
              <w:ind w:firstLine="415" w:firstLineChars="198"/>
              <w:rPr>
                <w:rFonts w:hint="eastAsia" w:ascii="宋体" w:hAnsi="宋体"/>
                <w:color w:val="auto"/>
                <w:szCs w:val="21"/>
                <w:highlight w:val="none"/>
              </w:rPr>
            </w:pPr>
            <w:r>
              <w:rPr>
                <w:rFonts w:hint="eastAsia" w:ascii="宋体" w:hAnsi="宋体"/>
                <w:color w:val="auto"/>
                <w:szCs w:val="21"/>
                <w:highlight w:val="none"/>
              </w:rPr>
              <w:t>□联合体投标的，按联合体协议约定的分工分别提供相应的业绩。</w:t>
            </w:r>
          </w:p>
          <w:p w14:paraId="0B8B935A">
            <w:pPr>
              <w:autoSpaceDE w:val="0"/>
              <w:autoSpaceDN w:val="0"/>
              <w:adjustRightInd w:val="0"/>
              <w:snapToGrid w:val="0"/>
              <w:spacing w:line="400" w:lineRule="exact"/>
              <w:ind w:firstLine="415" w:firstLineChars="198"/>
              <w:rPr>
                <w:rFonts w:hint="eastAsia" w:ascii="宋体" w:hAnsi="宋体"/>
                <w:color w:val="auto"/>
                <w:szCs w:val="21"/>
                <w:highlight w:val="none"/>
              </w:rPr>
            </w:pPr>
            <w:r>
              <w:rPr>
                <w:rFonts w:hint="eastAsia" w:ascii="宋体" w:hAnsi="宋体"/>
                <w:color w:val="auto"/>
                <w:szCs w:val="21"/>
                <w:highlight w:val="none"/>
              </w:rPr>
              <w:t>3.3业绩证明材料要求：</w:t>
            </w:r>
          </w:p>
          <w:p w14:paraId="5E52A3C7">
            <w:pPr>
              <w:autoSpaceDE w:val="0"/>
              <w:autoSpaceDN w:val="0"/>
              <w:adjustRightInd w:val="0"/>
              <w:snapToGrid w:val="0"/>
              <w:spacing w:line="400" w:lineRule="exact"/>
              <w:ind w:firstLine="415" w:firstLineChars="198"/>
              <w:rPr>
                <w:rFonts w:hint="eastAsia" w:ascii="宋体" w:hAnsi="宋体"/>
                <w:color w:val="auto"/>
                <w:szCs w:val="21"/>
                <w:highlight w:val="none"/>
              </w:rPr>
            </w:pPr>
            <w:r>
              <w:rPr>
                <w:rFonts w:hint="eastAsia" w:ascii="宋体" w:hAnsi="宋体"/>
                <w:color w:val="auto"/>
                <w:szCs w:val="21"/>
                <w:highlight w:val="none"/>
              </w:rPr>
              <w:t>投标人须在投标文件资格审查部分提供该业绩在“全国建筑市场监管公共服务平台”的网页截图，截图数量不限但须能反映完整的网站名称、工程名称、中标单位名称（或承包单位名称或施工企业名称），每张截图需清晰并显示完整的网址方为有效。若截图能反映业绩要求对应的业绩信息（如竣工时间、工程类别、工程造价、工程规模等）的，则无需提供其他证明材料；若截图不能反映业绩要求对应的业绩信息（如竣工时间、工程类别、工程造价、工程规模等）的，应提供中标通知书（直接发包的项目可提供项目发包人出具的项目直接发包情况说明或证明文书代替）、合同协议书、工程竣工验收合格证明材料中的一种或几种作为证明材料。若提供的上述业绩证明材料不能体现工程类别、工程规模信息的，应提供业主证明。</w:t>
            </w:r>
          </w:p>
          <w:p w14:paraId="2BBD4007">
            <w:pPr>
              <w:autoSpaceDE w:val="0"/>
              <w:autoSpaceDN w:val="0"/>
              <w:adjustRightInd w:val="0"/>
              <w:snapToGrid w:val="0"/>
              <w:spacing w:line="400" w:lineRule="exact"/>
              <w:ind w:firstLine="415" w:firstLineChars="198"/>
              <w:rPr>
                <w:rFonts w:hint="eastAsia" w:ascii="宋体" w:hAnsi="宋体"/>
                <w:color w:val="auto"/>
                <w:szCs w:val="21"/>
                <w:highlight w:val="none"/>
              </w:rPr>
            </w:pPr>
            <w:r>
              <w:rPr>
                <w:rFonts w:hint="eastAsia" w:ascii="宋体" w:hAnsi="宋体"/>
                <w:color w:val="auto"/>
                <w:szCs w:val="21"/>
                <w:highlight w:val="none"/>
              </w:rPr>
              <w:t>注：投标人应对其提供的业绩证明材料（含截图）的真实性负责。当以上业绩证明材料体现的竣工时间、工程类别、工程造价、工程规模等信息不一致时，按不利于投标人的原则进行解释。</w:t>
            </w:r>
          </w:p>
          <w:p w14:paraId="3B52A85F">
            <w:pPr>
              <w:autoSpaceDE w:val="0"/>
              <w:autoSpaceDN w:val="0"/>
              <w:adjustRightInd w:val="0"/>
              <w:snapToGrid w:val="0"/>
              <w:spacing w:line="400" w:lineRule="exact"/>
              <w:ind w:firstLine="415" w:firstLineChars="198"/>
              <w:rPr>
                <w:rFonts w:ascii="宋体" w:hAnsi="宋体"/>
                <w:color w:val="auto"/>
                <w:szCs w:val="21"/>
                <w:highlight w:val="none"/>
              </w:rPr>
            </w:pPr>
            <w:r>
              <w:rPr>
                <w:rFonts w:hint="eastAsia" w:ascii="宋体" w:hAnsi="宋体"/>
                <w:color w:val="auto"/>
                <w:szCs w:val="21"/>
                <w:highlight w:val="none"/>
              </w:rPr>
              <w:t>不满足上述业绩要求的业绩无效。</w:t>
            </w:r>
          </w:p>
          <w:p w14:paraId="11AF1379">
            <w:pPr>
              <w:adjustRightInd w:val="0"/>
              <w:snapToGrid w:val="0"/>
              <w:spacing w:line="400" w:lineRule="exact"/>
              <w:ind w:firstLine="422" w:firstLineChars="200"/>
              <w:rPr>
                <w:rFonts w:ascii="宋体" w:hAnsi="宋体"/>
                <w:b/>
                <w:color w:val="auto"/>
                <w:szCs w:val="21"/>
                <w:highlight w:val="none"/>
              </w:rPr>
            </w:pPr>
            <w:r>
              <w:rPr>
                <w:rFonts w:ascii="宋体" w:hAnsi="宋体"/>
                <w:b/>
                <w:color w:val="auto"/>
                <w:szCs w:val="21"/>
                <w:highlight w:val="none"/>
              </w:rPr>
              <w:t>4.投标截止日投标资格情况</w:t>
            </w:r>
          </w:p>
          <w:p w14:paraId="5320152B">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投标人自行承诺（格式见第八章投标文件格式）不得存在下列情形之一：</w:t>
            </w:r>
          </w:p>
          <w:p w14:paraId="5F9E4B5D">
            <w:pPr>
              <w:snapToGrid w:val="0"/>
              <w:spacing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（1）被人民法院在“信用中国”网站（www.creditchina.gov.cn）列入失信被执行人名单且在被执行期内；</w:t>
            </w:r>
          </w:p>
          <w:p w14:paraId="7E65325B">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（2）被列入《重庆市工程建设领域招标投标信用管理暂行办法》规定的重点关注名单且记分达到12分且在记分有效期内；</w:t>
            </w:r>
          </w:p>
          <w:p w14:paraId="63F258A8">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（3）被列入《重庆市工程建设领域招标投标信用管理暂行办法》规定的重庆市工程建设领域招标投标失信惩戒对象名单（以下称黑名单）且在记分有效期内；</w:t>
            </w:r>
          </w:p>
          <w:p w14:paraId="25B62FF7">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（4）被国家、重庆市（含市或任意区县）有关行政部门处以暂停投标资格行政处罚，且在处罚期限内；</w:t>
            </w:r>
          </w:p>
          <w:p w14:paraId="70905C93">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（5）被重庆市住房和城乡建设主管部门暂停在渝承揽新业务且在暂停期内。</w:t>
            </w:r>
          </w:p>
          <w:p w14:paraId="0965BBCF">
            <w:pPr>
              <w:spacing w:line="400" w:lineRule="exact"/>
              <w:ind w:firstLine="420" w:firstLineChars="200"/>
              <w:rPr>
                <w:rFonts w:hint="eastAsia"/>
                <w:color w:val="auto"/>
                <w:highlight w:val="none"/>
              </w:rPr>
            </w:pPr>
            <w:r>
              <w:rPr>
                <w:rFonts w:hint="eastAsia"/>
                <w:color w:val="auto"/>
                <w:highlight w:val="none"/>
              </w:rPr>
              <w:t>投标人须在投标文件资格审查部分提供承诺。</w:t>
            </w:r>
          </w:p>
          <w:p w14:paraId="711AEB2C">
            <w:pPr>
              <w:snapToGrid w:val="0"/>
              <w:spacing w:line="400" w:lineRule="exact"/>
              <w:ind w:firstLine="420" w:firstLineChars="200"/>
              <w:rPr>
                <w:rFonts w:hint="eastAsia" w:ascii="宋体" w:hAnsi="宋体"/>
                <w:b/>
                <w:color w:val="auto"/>
                <w:szCs w:val="21"/>
                <w:highlight w:val="none"/>
              </w:rPr>
            </w:pPr>
            <w:r>
              <w:rPr>
                <w:rFonts w:hint="eastAsia"/>
                <w:color w:val="auto"/>
                <w:highlight w:val="none"/>
              </w:rPr>
              <w:t>□联合体投标的，联合体各成员均不得存在以上情形之一，由联合体牵头人代表联合体各成员进行承诺。</w:t>
            </w:r>
          </w:p>
          <w:p w14:paraId="51F95EB8">
            <w:pPr>
              <w:snapToGrid w:val="0"/>
              <w:spacing w:line="400" w:lineRule="exact"/>
              <w:ind w:firstLine="422" w:firstLineChars="200"/>
              <w:rPr>
                <w:rFonts w:ascii="宋体" w:hAnsi="宋体"/>
                <w:b/>
                <w:color w:val="auto"/>
                <w:szCs w:val="21"/>
                <w:highlight w:val="none"/>
              </w:rPr>
            </w:pPr>
            <w:r>
              <w:rPr>
                <w:rFonts w:ascii="宋体" w:hAnsi="宋体"/>
                <w:b/>
                <w:color w:val="auto"/>
                <w:szCs w:val="21"/>
                <w:highlight w:val="none"/>
              </w:rPr>
              <w:t>5.项目经理资格要求</w:t>
            </w:r>
          </w:p>
          <w:p w14:paraId="379C5E64">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5.1</w:t>
            </w:r>
            <w:r>
              <w:rPr>
                <w:rFonts w:hint="eastAsia"/>
                <w:color w:val="auto"/>
                <w:szCs w:val="21"/>
                <w:highlight w:val="none"/>
              </w:rPr>
              <w:t>投标人拟派的</w:t>
            </w:r>
            <w:r>
              <w:rPr>
                <w:color w:val="auto"/>
                <w:szCs w:val="21"/>
                <w:highlight w:val="none"/>
              </w:rPr>
              <w:t>项目经理必须已在</w:t>
            </w:r>
            <w:r>
              <w:rPr>
                <w:rFonts w:hint="eastAsia"/>
                <w:color w:val="auto"/>
                <w:szCs w:val="21"/>
                <w:highlight w:val="none"/>
              </w:rPr>
              <w:t>投标人本</w:t>
            </w:r>
            <w:r>
              <w:rPr>
                <w:color w:val="auto"/>
                <w:szCs w:val="21"/>
                <w:highlight w:val="none"/>
              </w:rPr>
              <w:t>单位注册并应具有</w:t>
            </w:r>
            <w:r>
              <w:rPr>
                <w:rFonts w:hint="eastAsia"/>
                <w:color w:val="auto"/>
                <w:szCs w:val="21"/>
                <w:highlight w:val="none"/>
              </w:rPr>
              <w:t xml:space="preserve">    </w:t>
            </w:r>
            <w:r>
              <w:rPr>
                <w:rFonts w:hint="eastAsia"/>
                <w:i/>
                <w:color w:val="auto"/>
                <w:szCs w:val="21"/>
                <w:highlight w:val="none"/>
              </w:rPr>
              <w:t xml:space="preserve">[提示：按《注册建造师执业管理办法》设置的专业类别规范填写。]  </w:t>
            </w:r>
            <w:r>
              <w:rPr>
                <w:rFonts w:hint="eastAsia"/>
                <w:color w:val="auto"/>
                <w:szCs w:val="21"/>
                <w:highlight w:val="none"/>
              </w:rPr>
              <w:t xml:space="preserve">专业 </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级及以上</w:t>
            </w:r>
            <w:r>
              <w:rPr>
                <w:color w:val="auto"/>
                <w:szCs w:val="21"/>
                <w:highlight w:val="none"/>
              </w:rPr>
              <w:t>注册建造师执业</w:t>
            </w:r>
            <w:r>
              <w:rPr>
                <w:rFonts w:ascii="宋体" w:hAnsi="宋体"/>
                <w:color w:val="auto"/>
                <w:szCs w:val="21"/>
                <w:highlight w:val="none"/>
              </w:rPr>
              <w:t>资格</w:t>
            </w:r>
            <w:r>
              <w:rPr>
                <w:rFonts w:hint="eastAsia" w:ascii="宋体" w:hAnsi="宋体"/>
                <w:color w:val="auto"/>
                <w:szCs w:val="21"/>
                <w:highlight w:val="none"/>
              </w:rPr>
              <w:t>。</w:t>
            </w:r>
          </w:p>
          <w:p w14:paraId="752ED220">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5.2投标人拟派的项目经理须做出到岗履职的承诺（自行承诺拟派项目经理中标后只能在本项目任职，签订合同时拟派的项目经理必须与投标文件中的项目经理一致，并满足办理施工许可手续的相关要求。不能按承诺到岗履约的，按合同相关条款处罚并上报行政主管部门，给招标人造成损失的，投标人依法承担违约赔偿责任）和未被禁止参与投标的承诺（自行承诺拟派项目经理未被重庆市住房和城乡建设主管部门暂停在渝承揽新业务。若被暂停在渝承揽新业务但仍参加投标，将被否决投标；已取得中标候选人资格或中标资格的，招标人有权取消其中标候选人资格或中标资格；给招标人造成损失的，投标人依法承担违约赔偿责任）。未提供上述承诺或承诺内容不符合要求的，由评标委员会作否决投标处理。拟派项目经理中标后不得随意更换。</w:t>
            </w:r>
          </w:p>
          <w:p w14:paraId="3E2B9138">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□联合体投标的，项目经理由联合体牵头人提供。</w:t>
            </w:r>
          </w:p>
          <w:p w14:paraId="26950A49">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kern w:val="0"/>
                <w:szCs w:val="21"/>
                <w:highlight w:val="none"/>
              </w:rPr>
              <w:t>投标人须在投标文件资格审查部分提供有效的拟派项目经理建造师注册证、身份证、投标人为其缴纳的养老保险证明材料，拟派项目经理到岗履职和未被禁止参与投标的承诺（承诺格式见第八章投标文件格式）。</w:t>
            </w:r>
          </w:p>
          <w:p w14:paraId="0239BAF2">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□5.3项目经理业绩</w:t>
            </w:r>
          </w:p>
          <w:p w14:paraId="2809A009">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5.3.1业绩时间要求：</w:t>
            </w:r>
          </w:p>
          <w:p w14:paraId="4D3FC1AC">
            <w:pPr>
              <w:autoSpaceDE w:val="0"/>
              <w:autoSpaceDN w:val="0"/>
              <w:adjustRightInd w:val="0"/>
              <w:snapToGrid w:val="0"/>
              <w:spacing w:line="400" w:lineRule="exact"/>
              <w:ind w:firstLine="420" w:firstLineChars="200"/>
              <w:rPr>
                <w:rFonts w:hint="eastAsia" w:ascii="宋体" w:hAnsi="宋体" w:cs="宋体"/>
                <w:color w:val="auto"/>
                <w:kern w:val="0"/>
                <w:szCs w:val="21"/>
                <w:highlight w:val="none"/>
              </w:rPr>
            </w:pPr>
            <w:r>
              <w:rPr>
                <w:rFonts w:ascii="宋体" w:hAnsi="宋体"/>
                <w:color w:val="auto"/>
                <w:szCs w:val="21"/>
                <w:highlight w:val="none"/>
              </w:rPr>
              <w:t>投标截止日前</w:t>
            </w:r>
            <w:r>
              <w:rPr>
                <w:rFonts w:hint="eastAsia" w:ascii="宋体" w:hAnsi="宋体"/>
                <w:color w:val="auto"/>
                <w:szCs w:val="21"/>
                <w:highlight w:val="none"/>
              </w:rPr>
              <w:t>□3□5□8</w:t>
            </w:r>
            <w:r>
              <w:rPr>
                <w:rFonts w:ascii="宋体" w:hAnsi="宋体"/>
                <w:color w:val="auto"/>
                <w:szCs w:val="21"/>
                <w:highlight w:val="none"/>
              </w:rPr>
              <w:t>年</w:t>
            </w:r>
            <w:r>
              <w:rPr>
                <w:rFonts w:hint="eastAsia" w:ascii="宋体" w:hAnsi="宋体"/>
                <w:color w:val="auto"/>
                <w:szCs w:val="21"/>
                <w:highlight w:val="none"/>
                <w:u w:val="single"/>
              </w:rPr>
              <w:t xml:space="preserve">  </w:t>
            </w:r>
            <w:r>
              <w:rPr>
                <w:rFonts w:ascii="宋体" w:hAnsi="宋体"/>
                <w:color w:val="auto"/>
                <w:szCs w:val="21"/>
                <w:highlight w:val="none"/>
              </w:rPr>
              <w:t>年</w:t>
            </w:r>
            <w:r>
              <w:rPr>
                <w:rFonts w:hint="eastAsia" w:ascii="宋体" w:hAnsi="宋体"/>
                <w:i/>
                <w:iCs/>
                <w:color w:val="auto"/>
                <w:szCs w:val="21"/>
                <w:highlight w:val="none"/>
              </w:rPr>
              <w:t>[提示：8年以上选填]</w:t>
            </w:r>
            <w:r>
              <w:rPr>
                <w:rFonts w:ascii="宋体" w:hAnsi="宋体"/>
                <w:color w:val="auto"/>
                <w:szCs w:val="21"/>
                <w:highlight w:val="none"/>
              </w:rPr>
              <w:t>内</w:t>
            </w:r>
            <w:r>
              <w:rPr>
                <w:rFonts w:hint="eastAsia" w:ascii="宋体" w:hAnsi="宋体"/>
                <w:color w:val="auto"/>
                <w:szCs w:val="21"/>
                <w:highlight w:val="none"/>
              </w:rPr>
              <w:t>，</w:t>
            </w:r>
            <w:r>
              <w:rPr>
                <w:rFonts w:hint="eastAsia" w:ascii="宋体" w:hAnsi="宋体" w:cs="宋体"/>
                <w:color w:val="auto"/>
                <w:kern w:val="0"/>
                <w:szCs w:val="21"/>
                <w:highlight w:val="none"/>
              </w:rPr>
              <w:t>指在</w:t>
            </w:r>
          </w:p>
          <w:p w14:paraId="79F18830">
            <w:pPr>
              <w:autoSpaceDE w:val="0"/>
              <w:autoSpaceDN w:val="0"/>
              <w:adjustRightInd w:val="0"/>
              <w:snapToGrid w:val="0"/>
              <w:spacing w:line="400" w:lineRule="exact"/>
              <w:rPr>
                <w:rFonts w:ascii="宋体" w:hAnsi="宋体"/>
                <w:color w:val="auto"/>
                <w:szCs w:val="21"/>
                <w:highlight w:val="none"/>
                <w:u w:val="single"/>
              </w:rPr>
            </w:pP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年1月1日起至</w:t>
            </w:r>
            <w:r>
              <w:rPr>
                <w:rFonts w:hint="eastAsia" w:ascii="宋体" w:hAnsi="宋体"/>
                <w:color w:val="auto"/>
                <w:kern w:val="0"/>
                <w:szCs w:val="21"/>
                <w:highlight w:val="none"/>
              </w:rPr>
              <w:t>投标截止日止（以竣工时间为准）</w:t>
            </w:r>
            <w:r>
              <w:rPr>
                <w:rFonts w:hint="eastAsia" w:ascii="宋体" w:hAnsi="宋体"/>
                <w:color w:val="auto"/>
                <w:szCs w:val="21"/>
                <w:highlight w:val="none"/>
              </w:rPr>
              <w:t>的1个类似项目中担任项目经理业绩。</w:t>
            </w:r>
          </w:p>
          <w:p w14:paraId="3BB7D25E">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5.3.2业绩规模要求：</w:t>
            </w:r>
          </w:p>
          <w:p w14:paraId="5971A58A">
            <w:pPr>
              <w:autoSpaceDE w:val="0"/>
              <w:autoSpaceDN w:val="0"/>
              <w:adjustRightInd w:val="0"/>
              <w:snapToGrid w:val="0"/>
              <w:spacing w:line="400" w:lineRule="exact"/>
              <w:ind w:firstLine="420" w:firstLineChars="200"/>
              <w:rPr>
                <w:rFonts w:hint="eastAsia" w:ascii="宋体" w:hAnsi="宋体"/>
                <w:color w:val="auto"/>
                <w:szCs w:val="21"/>
                <w:highlight w:val="none"/>
                <w:u w:val="single"/>
              </w:rPr>
            </w:pPr>
            <w:r>
              <w:rPr>
                <w:rFonts w:hint="eastAsia" w:ascii="宋体" w:hAnsi="宋体"/>
                <w:color w:val="auto"/>
                <w:szCs w:val="21"/>
                <w:highlight w:val="none"/>
              </w:rPr>
              <w:t>工程类别：</w:t>
            </w:r>
            <w:r>
              <w:rPr>
                <w:rFonts w:hint="eastAsia" w:ascii="宋体" w:hAnsi="宋体"/>
                <w:color w:val="auto"/>
                <w:szCs w:val="21"/>
                <w:highlight w:val="none"/>
                <w:u w:val="single"/>
              </w:rPr>
              <w:t xml:space="preserve">        </w:t>
            </w:r>
          </w:p>
          <w:p w14:paraId="0B8779DA">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若同时设置了工程造价和工程规模要求，则只须满足其中之一：</w:t>
            </w:r>
          </w:p>
          <w:p w14:paraId="0D5C6E5F">
            <w:pPr>
              <w:autoSpaceDE w:val="0"/>
              <w:autoSpaceDN w:val="0"/>
              <w:adjustRightInd w:val="0"/>
              <w:snapToGrid w:val="0"/>
              <w:spacing w:line="400" w:lineRule="exact"/>
              <w:ind w:firstLine="420" w:firstLineChars="200"/>
              <w:rPr>
                <w:rFonts w:hint="eastAsia" w:ascii="宋体" w:hAnsi="宋体"/>
                <w:color w:val="auto"/>
                <w:szCs w:val="21"/>
                <w:highlight w:val="none"/>
                <w:u w:val="single"/>
              </w:rPr>
            </w:pPr>
            <w:r>
              <w:rPr>
                <w:rFonts w:hint="eastAsia" w:ascii="宋体" w:hAnsi="宋体"/>
                <w:color w:val="auto"/>
                <w:szCs w:val="21"/>
                <w:highlight w:val="none"/>
              </w:rPr>
              <w:t>□工程造价：</w:t>
            </w:r>
            <w:r>
              <w:rPr>
                <w:rFonts w:hint="eastAsia" w:ascii="宋体" w:hAnsi="宋体"/>
                <w:color w:val="auto"/>
                <w:szCs w:val="21"/>
                <w:highlight w:val="none"/>
                <w:u w:val="single"/>
              </w:rPr>
              <w:t xml:space="preserve">        </w:t>
            </w:r>
          </w:p>
          <w:p w14:paraId="5469DAE9">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□工程规模：</w:t>
            </w:r>
            <w:r>
              <w:rPr>
                <w:rFonts w:hint="eastAsia" w:ascii="宋体" w:hAnsi="宋体"/>
                <w:color w:val="auto"/>
                <w:szCs w:val="21"/>
                <w:highlight w:val="none"/>
                <w:u w:val="single"/>
              </w:rPr>
              <w:t xml:space="preserve">        </w:t>
            </w:r>
          </w:p>
          <w:p w14:paraId="5CE832CA">
            <w:pPr>
              <w:autoSpaceDE w:val="0"/>
              <w:autoSpaceDN w:val="0"/>
              <w:adjustRightInd w:val="0"/>
              <w:snapToGrid w:val="0"/>
              <w:spacing w:line="400" w:lineRule="exact"/>
              <w:ind w:firstLine="420" w:firstLineChars="200"/>
              <w:rPr>
                <w:rFonts w:hint="eastAsia" w:ascii="宋体" w:hAnsi="宋体"/>
                <w:i/>
                <w:color w:val="auto"/>
                <w:szCs w:val="21"/>
                <w:highlight w:val="none"/>
              </w:rPr>
            </w:pPr>
            <w:r>
              <w:rPr>
                <w:rFonts w:hint="eastAsia" w:ascii="宋体" w:hAnsi="宋体"/>
                <w:i/>
                <w:color w:val="auto"/>
                <w:szCs w:val="21"/>
                <w:highlight w:val="none"/>
              </w:rPr>
              <w:t>[提示：根据招标项目实际情况选用。]</w:t>
            </w:r>
          </w:p>
          <w:p w14:paraId="5FE5C245">
            <w:pPr>
              <w:autoSpaceDE w:val="0"/>
              <w:autoSpaceDN w:val="0"/>
              <w:adjustRightInd w:val="0"/>
              <w:snapToGrid w:val="0"/>
              <w:spacing w:line="400" w:lineRule="exact"/>
              <w:ind w:firstLine="415" w:firstLineChars="198"/>
              <w:rPr>
                <w:rFonts w:hint="eastAsia" w:ascii="宋体" w:hAnsi="宋体"/>
                <w:color w:val="auto"/>
                <w:szCs w:val="21"/>
                <w:highlight w:val="none"/>
              </w:rPr>
            </w:pPr>
            <w:r>
              <w:rPr>
                <w:rFonts w:hint="eastAsia" w:ascii="宋体" w:hAnsi="宋体"/>
                <w:color w:val="auto"/>
                <w:szCs w:val="21"/>
                <w:highlight w:val="none"/>
              </w:rPr>
              <w:t>5.3.3业绩证明材料要求：</w:t>
            </w:r>
          </w:p>
          <w:p w14:paraId="6F57C4F1">
            <w:pPr>
              <w:autoSpaceDE w:val="0"/>
              <w:autoSpaceDN w:val="0"/>
              <w:adjustRightInd w:val="0"/>
              <w:snapToGrid w:val="0"/>
              <w:spacing w:line="400" w:lineRule="exact"/>
              <w:ind w:firstLine="415" w:firstLineChars="198"/>
              <w:rPr>
                <w:rFonts w:hint="eastAsia" w:ascii="宋体" w:hAnsi="宋体"/>
                <w:color w:val="auto"/>
                <w:szCs w:val="21"/>
                <w:highlight w:val="none"/>
              </w:rPr>
            </w:pPr>
            <w:r>
              <w:rPr>
                <w:rFonts w:hint="eastAsia" w:ascii="宋体" w:hAnsi="宋体"/>
                <w:color w:val="auto"/>
                <w:szCs w:val="21"/>
                <w:highlight w:val="none"/>
              </w:rPr>
              <w:t>投标人须在投标文件资格审查部分提供该业绩在“全国建筑市场监管公共服务平台”的网页截图，截图数量不限但须能反映完整的网站名称、工程名称、中标单位名称（或承包单位名称或施工企业名称），每张截图需清晰并显示完整的网址方为有效。若截图能反映业绩要求对应的业绩信息（如竣工时间、工程类别、工程造价、工程规模、人员姓名职务等）的，则无需提供其他证明材料；若截图不能反映业绩要求对应的业绩信息（如竣工时间、工程类别、工程造价、工程规模、人员姓名职务等）的，应提供中标通知书（直接发包的项目可提供项目发包人出具的项目直接发包情况说明或证明文书代替）、合同协议书、工程竣工验收合格证明材料中的一种或几种作为证明材料。若提供的上述业绩证明材料不能体现工程类别、工程规模、人员姓名职务信息的，应提供业主证明。</w:t>
            </w:r>
          </w:p>
          <w:p w14:paraId="252A5B70">
            <w:pPr>
              <w:autoSpaceDE w:val="0"/>
              <w:autoSpaceDN w:val="0"/>
              <w:adjustRightInd w:val="0"/>
              <w:snapToGrid w:val="0"/>
              <w:spacing w:line="400" w:lineRule="exact"/>
              <w:ind w:firstLine="415" w:firstLineChars="198"/>
              <w:rPr>
                <w:rFonts w:hint="eastAsia" w:ascii="宋体" w:hAnsi="宋体"/>
                <w:color w:val="auto"/>
                <w:szCs w:val="21"/>
                <w:highlight w:val="none"/>
              </w:rPr>
            </w:pPr>
            <w:r>
              <w:rPr>
                <w:rFonts w:hint="eastAsia" w:ascii="宋体" w:hAnsi="宋体"/>
                <w:color w:val="auto"/>
                <w:szCs w:val="21"/>
                <w:highlight w:val="none"/>
              </w:rPr>
              <w:t>注：投标人应对其提供的业绩证明材料（含截图）的真实性负责。当以上业绩证明材料体现的竣工时间、工程类别、工程造价、工程规模、人员姓名职务等信息不一致时，按不利于投标人的原则进行解释。</w:t>
            </w:r>
          </w:p>
          <w:p w14:paraId="0151C794">
            <w:pPr>
              <w:autoSpaceDE w:val="0"/>
              <w:autoSpaceDN w:val="0"/>
              <w:adjustRightInd w:val="0"/>
              <w:snapToGrid w:val="0"/>
              <w:spacing w:line="400" w:lineRule="exact"/>
              <w:ind w:firstLine="415" w:firstLineChars="198"/>
              <w:rPr>
                <w:rFonts w:ascii="宋体" w:hAnsi="宋体"/>
                <w:color w:val="auto"/>
                <w:szCs w:val="21"/>
                <w:highlight w:val="none"/>
              </w:rPr>
            </w:pPr>
            <w:r>
              <w:rPr>
                <w:rFonts w:hint="eastAsia" w:ascii="宋体" w:hAnsi="宋体"/>
                <w:color w:val="auto"/>
                <w:szCs w:val="21"/>
                <w:highlight w:val="none"/>
              </w:rPr>
              <w:t>不满足上述业绩要求的业绩无效。</w:t>
            </w:r>
          </w:p>
          <w:p w14:paraId="218C0C92">
            <w:pPr>
              <w:autoSpaceDE w:val="0"/>
              <w:autoSpaceDN w:val="0"/>
              <w:adjustRightInd w:val="0"/>
              <w:snapToGrid w:val="0"/>
              <w:spacing w:line="400" w:lineRule="exact"/>
              <w:ind w:firstLine="422" w:firstLineChars="200"/>
              <w:rPr>
                <w:rFonts w:ascii="宋体" w:hAnsi="宋体"/>
                <w:b/>
                <w:color w:val="auto"/>
                <w:szCs w:val="21"/>
                <w:highlight w:val="none"/>
              </w:rPr>
            </w:pPr>
            <w:r>
              <w:rPr>
                <w:rFonts w:ascii="宋体" w:hAnsi="宋体"/>
                <w:b/>
                <w:color w:val="auto"/>
                <w:szCs w:val="21"/>
                <w:highlight w:val="none"/>
              </w:rPr>
              <w:t>6.其他要求</w:t>
            </w:r>
          </w:p>
          <w:p w14:paraId="4D5B014D">
            <w:pPr>
              <w:snapToGrid w:val="0"/>
              <w:spacing w:line="400" w:lineRule="exact"/>
              <w:ind w:firstLine="420" w:firstLineChars="200"/>
              <w:rPr>
                <w:rFonts w:ascii="宋体" w:hAnsi="宋体"/>
                <w:color w:val="auto"/>
                <w:szCs w:val="21"/>
                <w:highlight w:val="none"/>
              </w:rPr>
            </w:pPr>
            <w:r>
              <w:rPr>
                <w:rFonts w:ascii="宋体" w:hAnsi="宋体"/>
                <w:color w:val="auto"/>
                <w:kern w:val="0"/>
                <w:szCs w:val="21"/>
                <w:highlight w:val="none"/>
              </w:rPr>
              <w:t>（1）</w:t>
            </w:r>
            <w:r>
              <w:rPr>
                <w:rFonts w:ascii="宋体" w:hAnsi="宋体"/>
                <w:color w:val="auto"/>
                <w:szCs w:val="21"/>
                <w:highlight w:val="none"/>
              </w:rPr>
              <w:t>项目技术负责人：</w:t>
            </w:r>
          </w:p>
          <w:p w14:paraId="71458DCF">
            <w:pPr>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应具有</w:t>
            </w:r>
            <w:r>
              <w:rPr>
                <w:rFonts w:hint="eastAsia" w:ascii="宋体" w:hAnsi="宋体"/>
                <w:color w:val="auto"/>
                <w:szCs w:val="21"/>
                <w:highlight w:val="none"/>
              </w:rPr>
              <w:t>工程类</w:t>
            </w:r>
            <w:r>
              <w:rPr>
                <w:rFonts w:hint="eastAsia" w:ascii="宋体" w:hAnsi="宋体"/>
                <w:color w:val="auto"/>
                <w:szCs w:val="21"/>
                <w:highlight w:val="none"/>
                <w:u w:val="single"/>
              </w:rPr>
              <w:t xml:space="preserve">    </w:t>
            </w:r>
            <w:r>
              <w:rPr>
                <w:rFonts w:ascii="宋体" w:hAnsi="宋体"/>
                <w:color w:val="auto"/>
                <w:szCs w:val="21"/>
                <w:highlight w:val="none"/>
                <w:u w:val="single"/>
              </w:rPr>
              <w:t>级及以上</w:t>
            </w:r>
            <w:r>
              <w:rPr>
                <w:rFonts w:ascii="宋体" w:hAnsi="宋体"/>
                <w:color w:val="auto"/>
                <w:szCs w:val="21"/>
                <w:highlight w:val="none"/>
              </w:rPr>
              <w:t>职称；</w:t>
            </w:r>
          </w:p>
          <w:p w14:paraId="02B920FB">
            <w:pPr>
              <w:autoSpaceDE w:val="0"/>
              <w:autoSpaceDN w:val="0"/>
              <w:adjustRightInd w:val="0"/>
              <w:snapToGrid w:val="0"/>
              <w:spacing w:line="400" w:lineRule="exact"/>
              <w:ind w:firstLine="420" w:firstLineChars="200"/>
              <w:rPr>
                <w:rFonts w:ascii="宋体" w:hAnsi="宋体"/>
                <w:color w:val="auto"/>
                <w:spacing w:val="-24"/>
                <w:kern w:val="0"/>
                <w:szCs w:val="21"/>
                <w:highlight w:val="none"/>
              </w:rPr>
            </w:pPr>
            <w:r>
              <w:rPr>
                <w:rFonts w:hint="eastAsia" w:ascii="宋体" w:hAnsi="宋体"/>
                <w:color w:val="auto"/>
                <w:kern w:val="0"/>
                <w:szCs w:val="21"/>
                <w:highlight w:val="none"/>
              </w:rPr>
              <w:t>投标人须在投标文件资格审查部分提供拟派技术负责人身份证、职称证及投标人本单位为其缴纳的养老保险证明材料。</w:t>
            </w:r>
          </w:p>
          <w:p w14:paraId="54A83DD3">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ascii="宋体" w:hAnsi="宋体"/>
                <w:color w:val="auto"/>
                <w:kern w:val="0"/>
                <w:szCs w:val="21"/>
                <w:highlight w:val="none"/>
              </w:rPr>
              <w:t>（2）</w:t>
            </w:r>
            <w:r>
              <w:rPr>
                <w:rFonts w:ascii="宋体" w:hAnsi="宋体"/>
                <w:color w:val="auto"/>
                <w:szCs w:val="21"/>
                <w:highlight w:val="none"/>
              </w:rPr>
              <w:t>主要管理人员：</w:t>
            </w:r>
          </w:p>
          <w:p w14:paraId="2260AFCF">
            <w:pPr>
              <w:autoSpaceDE w:val="0"/>
              <w:autoSpaceDN w:val="0"/>
              <w:adjustRightIn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投标人自行承诺中标后在签订合同之前，须按照建设行政主管部门的要求组建施工项目部，配置项目管理班子，出具任命文件。任命文件应当明确施工项目部的职责、岗位设置、人员配备，并书面通知建设单位。相关岗位管理人员应持有建设行政主管部门要求的岗位证书，并提供投标人为其缴纳的养老保险证明材料。中标后不能满足该要求的，取消其中标资格，给招标人造成损失的，投标人依法承担违约赔偿责任。</w:t>
            </w:r>
          </w:p>
          <w:p w14:paraId="275D21B6">
            <w:pPr>
              <w:autoSpaceDE w:val="0"/>
              <w:autoSpaceDN w:val="0"/>
              <w:adjustRightIn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投标人须在投标文件资格审查部分提供承诺（承诺格式见第八章投标文件格式）。</w:t>
            </w:r>
          </w:p>
          <w:p w14:paraId="79976142">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3</w:t>
            </w:r>
            <w:r>
              <w:rPr>
                <w:rFonts w:ascii="宋体" w:hAnsi="宋体"/>
                <w:color w:val="auto"/>
                <w:kern w:val="0"/>
                <w:szCs w:val="21"/>
                <w:highlight w:val="none"/>
              </w:rPr>
              <w:t>）委托代理人</w:t>
            </w:r>
            <w:r>
              <w:rPr>
                <w:rFonts w:hint="eastAsia" w:ascii="宋体" w:hAnsi="宋体"/>
                <w:color w:val="auto"/>
                <w:kern w:val="0"/>
                <w:szCs w:val="21"/>
                <w:highlight w:val="none"/>
              </w:rPr>
              <w:t>：</w:t>
            </w:r>
          </w:p>
          <w:p w14:paraId="3F4676B2">
            <w:pPr>
              <w:autoSpaceDE w:val="0"/>
              <w:autoSpaceDN w:val="0"/>
              <w:adjustRightInd w:val="0"/>
              <w:snapToGrid w:val="0"/>
              <w:spacing w:line="400" w:lineRule="exact"/>
              <w:ind w:firstLine="420" w:firstLineChars="200"/>
              <w:rPr>
                <w:rFonts w:hint="eastAsia" w:ascii="宋体" w:hAnsi="宋体"/>
                <w:i/>
                <w:color w:val="auto"/>
                <w:kern w:val="0"/>
                <w:szCs w:val="21"/>
                <w:highlight w:val="none"/>
              </w:rPr>
            </w:pPr>
            <w:r>
              <w:rPr>
                <w:rFonts w:hint="eastAsia" w:ascii="宋体" w:hAnsi="宋体"/>
                <w:i/>
                <w:color w:val="auto"/>
                <w:kern w:val="0"/>
                <w:szCs w:val="21"/>
                <w:highlight w:val="none"/>
              </w:rPr>
              <w:t>[提示：根据授权委托书的授权范围，委托代理人可以以投标人的名义签署、澄清、说明、补正、递交、撤回、修改本项目投标文件、签订合同和处理有关事宜，其法律后果由投标人承担。]</w:t>
            </w:r>
          </w:p>
          <w:p w14:paraId="08D2B385">
            <w:pPr>
              <w:autoSpaceDE w:val="0"/>
              <w:autoSpaceDN w:val="0"/>
              <w:adjustRightInd w:val="0"/>
              <w:snapToGrid w:val="0"/>
              <w:spacing w:line="400" w:lineRule="exact"/>
              <w:ind w:firstLine="420" w:firstLineChars="200"/>
              <w:rPr>
                <w:rFonts w:hint="eastAsia" w:ascii="宋体" w:hAnsi="宋体"/>
                <w:color w:val="auto"/>
                <w:kern w:val="0"/>
                <w:szCs w:val="21"/>
                <w:highlight w:val="none"/>
              </w:rPr>
            </w:pPr>
            <w:r>
              <w:rPr>
                <w:rFonts w:ascii="宋体" w:hAnsi="宋体"/>
                <w:color w:val="auto"/>
                <w:kern w:val="0"/>
                <w:szCs w:val="21"/>
                <w:highlight w:val="none"/>
              </w:rPr>
              <w:t>委托代理人必须为投标人本单位</w:t>
            </w:r>
            <w:r>
              <w:rPr>
                <w:rFonts w:hint="eastAsia" w:ascii="宋体" w:hAnsi="宋体"/>
                <w:color w:val="auto"/>
                <w:kern w:val="0"/>
                <w:szCs w:val="21"/>
                <w:highlight w:val="none"/>
              </w:rPr>
              <w:t>人员</w:t>
            </w:r>
            <w:r>
              <w:rPr>
                <w:rFonts w:ascii="宋体" w:hAnsi="宋体"/>
                <w:color w:val="auto"/>
                <w:kern w:val="0"/>
                <w:szCs w:val="21"/>
                <w:highlight w:val="none"/>
              </w:rPr>
              <w:t>。</w:t>
            </w:r>
          </w:p>
          <w:p w14:paraId="3A0C4DA1">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投标人</w:t>
            </w:r>
            <w:r>
              <w:rPr>
                <w:rFonts w:ascii="宋体" w:hAnsi="宋体"/>
                <w:color w:val="auto"/>
                <w:kern w:val="0"/>
                <w:szCs w:val="21"/>
                <w:highlight w:val="none"/>
              </w:rPr>
              <w:t>须</w:t>
            </w:r>
            <w:r>
              <w:rPr>
                <w:rFonts w:hint="eastAsia" w:ascii="宋体" w:hAnsi="宋体"/>
                <w:color w:val="auto"/>
                <w:kern w:val="0"/>
                <w:szCs w:val="21"/>
                <w:highlight w:val="none"/>
              </w:rPr>
              <w:t>在投标文件资格审查部分</w:t>
            </w:r>
            <w:r>
              <w:rPr>
                <w:rFonts w:ascii="宋体" w:hAnsi="宋体"/>
                <w:color w:val="auto"/>
                <w:kern w:val="0"/>
                <w:szCs w:val="21"/>
                <w:highlight w:val="none"/>
              </w:rPr>
              <w:t>提供</w:t>
            </w:r>
            <w:r>
              <w:rPr>
                <w:rFonts w:hint="eastAsia" w:ascii="宋体" w:hAnsi="宋体"/>
                <w:color w:val="auto"/>
                <w:kern w:val="0"/>
                <w:szCs w:val="21"/>
                <w:highlight w:val="none"/>
              </w:rPr>
              <w:t>投标人为该</w:t>
            </w:r>
            <w:r>
              <w:rPr>
                <w:rFonts w:ascii="宋体" w:hAnsi="宋体"/>
                <w:color w:val="auto"/>
                <w:kern w:val="0"/>
                <w:szCs w:val="21"/>
                <w:highlight w:val="none"/>
              </w:rPr>
              <w:t>委托代理人</w:t>
            </w:r>
            <w:r>
              <w:rPr>
                <w:rFonts w:hint="eastAsia" w:ascii="宋体" w:hAnsi="宋体"/>
                <w:color w:val="auto"/>
                <w:kern w:val="0"/>
                <w:szCs w:val="21"/>
                <w:highlight w:val="none"/>
              </w:rPr>
              <w:t>缴纳的养老保险证明。否则，将由评标委员会作否决投标处理。</w:t>
            </w:r>
          </w:p>
          <w:p w14:paraId="406F8209">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highlight w:val="none"/>
              </w:rPr>
              <w:t>□</w:t>
            </w:r>
            <w:r>
              <w:rPr>
                <w:rFonts w:hint="eastAsia" w:ascii="宋体" w:hAnsi="宋体"/>
                <w:color w:val="auto"/>
                <w:kern w:val="0"/>
                <w:szCs w:val="21"/>
                <w:highlight w:val="none"/>
              </w:rPr>
              <w:t>联合体投标的，由联合体牵头人委派委托代理人，并在联合体协议中明确。</w:t>
            </w:r>
          </w:p>
          <w:p w14:paraId="6A601658">
            <w:pPr>
              <w:autoSpaceDE w:val="0"/>
              <w:autoSpaceDN w:val="0"/>
              <w:adjustRightInd w:val="0"/>
              <w:snapToGrid w:val="0"/>
              <w:spacing w:line="400" w:lineRule="exact"/>
              <w:ind w:firstLine="417" w:firstLineChars="198"/>
              <w:rPr>
                <w:rFonts w:ascii="宋体" w:hAnsi="宋体" w:cs="宋体"/>
                <w:b/>
                <w:color w:val="auto"/>
                <w:szCs w:val="21"/>
                <w:highlight w:val="none"/>
              </w:rPr>
            </w:pPr>
            <w:r>
              <w:rPr>
                <w:rFonts w:hint="eastAsia" w:ascii="宋体" w:hAnsi="宋体" w:cs="宋体"/>
                <w:b/>
                <w:color w:val="auto"/>
                <w:szCs w:val="21"/>
                <w:highlight w:val="none"/>
              </w:rPr>
              <w:t>特别说明：</w:t>
            </w:r>
          </w:p>
          <w:p w14:paraId="59FDE3B3">
            <w:pPr>
              <w:autoSpaceDE w:val="0"/>
              <w:autoSpaceDN w:val="0"/>
              <w:adjustRightInd w:val="0"/>
              <w:snapToGrid w:val="0"/>
              <w:spacing w:line="400" w:lineRule="exact"/>
              <w:ind w:firstLine="415" w:firstLineChars="198"/>
              <w:rPr>
                <w:rFonts w:ascii="宋体" w:hAnsi="宋体" w:cs="宋体"/>
                <w:color w:val="auto"/>
                <w:kern w:val="0"/>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1）上述1～</w:t>
            </w:r>
            <w:r>
              <w:rPr>
                <w:rFonts w:hint="eastAsia" w:ascii="宋体" w:hAnsi="宋体" w:cs="宋体"/>
                <w:color w:val="auto"/>
                <w:szCs w:val="21"/>
                <w:highlight w:val="none"/>
              </w:rPr>
              <w:t>6条所须提交的相关证明材料均为扫描件（扫描件须清晰可辨），且均应加盖投标人合法的电子印章并编入投标文件资格审查部分中，</w:t>
            </w:r>
            <w:r>
              <w:rPr>
                <w:rFonts w:ascii="宋体" w:hAnsi="宋体" w:cs="宋体"/>
                <w:color w:val="auto"/>
                <w:szCs w:val="21"/>
                <w:highlight w:val="none"/>
              </w:rPr>
              <w:t>上述1～</w:t>
            </w:r>
            <w:r>
              <w:rPr>
                <w:rFonts w:hint="eastAsia" w:ascii="宋体" w:hAnsi="宋体" w:cs="宋体"/>
                <w:color w:val="auto"/>
                <w:szCs w:val="21"/>
                <w:highlight w:val="none"/>
              </w:rPr>
              <w:t>6条，</w:t>
            </w:r>
            <w:r>
              <w:rPr>
                <w:rFonts w:hint="eastAsia" w:ascii="宋体" w:hAnsi="宋体" w:cs="宋体"/>
                <w:color w:val="auto"/>
                <w:kern w:val="0"/>
                <w:szCs w:val="21"/>
                <w:highlight w:val="none"/>
              </w:rPr>
              <w:t>有一条不满足则投标文件由评标委员会</w:t>
            </w:r>
            <w:r>
              <w:rPr>
                <w:rFonts w:hint="eastAsia" w:ascii="宋体" w:hAnsi="宋体" w:cs="宋体"/>
                <w:color w:val="auto"/>
                <w:szCs w:val="21"/>
                <w:highlight w:val="none"/>
              </w:rPr>
              <w:t>作否决投标处理</w:t>
            </w:r>
            <w:r>
              <w:rPr>
                <w:rFonts w:hint="eastAsia" w:ascii="宋体" w:hAnsi="宋体" w:cs="宋体"/>
                <w:color w:val="auto"/>
                <w:kern w:val="0"/>
                <w:szCs w:val="21"/>
                <w:highlight w:val="none"/>
              </w:rPr>
              <w:t>。</w:t>
            </w:r>
          </w:p>
          <w:p w14:paraId="22A60295">
            <w:pPr>
              <w:autoSpaceDE w:val="0"/>
              <w:autoSpaceDN w:val="0"/>
              <w:adjustRightInd w:val="0"/>
              <w:snapToGrid w:val="0"/>
              <w:spacing w:line="400" w:lineRule="exact"/>
              <w:ind w:firstLine="415" w:firstLineChars="198"/>
              <w:rPr>
                <w:rFonts w:ascii="宋体" w:hAnsi="宋体" w:cs="宋体"/>
                <w:color w:val="auto"/>
                <w:szCs w:val="21"/>
                <w:highlight w:val="none"/>
              </w:rPr>
            </w:pPr>
            <w:r>
              <w:rPr>
                <w:rFonts w:hint="eastAsia" w:ascii="宋体" w:hAnsi="宋体" w:cs="宋体"/>
                <w:color w:val="auto"/>
                <w:szCs w:val="21"/>
                <w:highlight w:val="none"/>
              </w:rPr>
              <w:t>（2A）投标人须自行承诺其提供的上述相关证明材料真实有效，不存在弄虚作假情形（格式见第八章投标文件格式）。招标人在合同签订前均有权对投标人提供的资料（如业绩截图信息等相关证明材料）进行核实，若发现弄虚作假，取消其中标资格，并按相关法律法规报招标投标监督部门处理，其投标保证金不予退还，投标人承担因此造成的相关责任并赔偿相应损失。</w:t>
            </w:r>
          </w:p>
          <w:p w14:paraId="1586300F">
            <w:pPr>
              <w:autoSpaceDE w:val="0"/>
              <w:autoSpaceDN w:val="0"/>
              <w:adjustRightInd w:val="0"/>
              <w:snapToGrid w:val="0"/>
              <w:spacing w:line="400" w:lineRule="exact"/>
              <w:ind w:firstLine="415" w:firstLineChars="198"/>
              <w:rPr>
                <w:rFonts w:ascii="宋体" w:hAnsi="宋体" w:cs="宋体"/>
                <w:i/>
                <w:color w:val="auto"/>
                <w:kern w:val="0"/>
                <w:szCs w:val="21"/>
                <w:highlight w:val="none"/>
              </w:rPr>
            </w:pPr>
            <w:r>
              <w:rPr>
                <w:rFonts w:hint="eastAsia" w:ascii="宋体" w:hAnsi="宋体" w:cs="宋体"/>
                <w:i/>
                <w:color w:val="auto"/>
                <w:kern w:val="0"/>
                <w:szCs w:val="21"/>
                <w:highlight w:val="none"/>
              </w:rPr>
              <w:t>[提示：适用于未进行资格预审的项目。]</w:t>
            </w:r>
          </w:p>
          <w:p w14:paraId="4922643D">
            <w:pPr>
              <w:autoSpaceDE w:val="0"/>
              <w:autoSpaceDN w:val="0"/>
              <w:adjustRightInd w:val="0"/>
              <w:snapToGrid w:val="0"/>
              <w:spacing w:line="400" w:lineRule="exact"/>
              <w:ind w:firstLine="415" w:firstLineChars="198"/>
              <w:rPr>
                <w:rFonts w:hint="eastAsia" w:ascii="宋体" w:hAnsi="宋体" w:cs="宋体"/>
                <w:color w:val="auto"/>
                <w:kern w:val="0"/>
                <w:szCs w:val="21"/>
                <w:highlight w:val="none"/>
              </w:rPr>
            </w:pPr>
          </w:p>
          <w:p w14:paraId="030BCBEC">
            <w:pPr>
              <w:autoSpaceDE w:val="0"/>
              <w:autoSpaceDN w:val="0"/>
              <w:adjustRightInd w:val="0"/>
              <w:snapToGrid w:val="0"/>
              <w:spacing w:line="400" w:lineRule="exact"/>
              <w:ind w:firstLine="415" w:firstLineChars="198"/>
              <w:rPr>
                <w:rFonts w:ascii="宋体" w:hAnsi="宋体" w:cs="宋体"/>
                <w:color w:val="auto"/>
                <w:kern w:val="0"/>
                <w:szCs w:val="21"/>
                <w:highlight w:val="none"/>
              </w:rPr>
            </w:pPr>
            <w:r>
              <w:rPr>
                <w:rFonts w:hint="eastAsia" w:ascii="宋体" w:hAnsi="宋体" w:cs="宋体"/>
                <w:color w:val="auto"/>
                <w:kern w:val="0"/>
                <w:szCs w:val="21"/>
                <w:highlight w:val="none"/>
              </w:rPr>
              <w:t>（2B）本工程已进行资格预审，投标人应是收到招标人发出投标邀请书的单位。投标人在编制投标文件时，如其涉及资格审查部分的有关情况发生变化，则应按本标段资格预审文件第三章“资格审查办法”详细评审标准，更新或补充其在申请资格预审时提供的资料。要求：</w:t>
            </w:r>
          </w:p>
          <w:p w14:paraId="4E8A645D">
            <w:pPr>
              <w:autoSpaceDE w:val="0"/>
              <w:autoSpaceDN w:val="0"/>
              <w:adjustRightInd w:val="0"/>
              <w:snapToGrid w:val="0"/>
              <w:spacing w:line="400" w:lineRule="exact"/>
              <w:ind w:firstLine="415" w:firstLineChars="198"/>
              <w:rPr>
                <w:rFonts w:ascii="宋体" w:hAnsi="宋体" w:cs="宋体"/>
                <w:color w:val="auto"/>
                <w:kern w:val="0"/>
                <w:szCs w:val="21"/>
                <w:highlight w:val="none"/>
              </w:rPr>
            </w:pPr>
            <w:r>
              <w:rPr>
                <w:rFonts w:hint="eastAsia" w:ascii="宋体" w:hAnsi="宋体" w:cs="宋体"/>
                <w:color w:val="auto"/>
                <w:kern w:val="0"/>
                <w:szCs w:val="21"/>
                <w:highlight w:val="none"/>
              </w:rPr>
              <w:t>①通过资格预审后，投标人发生合法重组等变更名称的，应提供相关部门的合法批件及企业法人营业执照和资质证书的副本变更记录。</w:t>
            </w:r>
          </w:p>
          <w:p w14:paraId="6362E1F6">
            <w:pPr>
              <w:autoSpaceDE w:val="0"/>
              <w:autoSpaceDN w:val="0"/>
              <w:adjustRightInd w:val="0"/>
              <w:snapToGrid w:val="0"/>
              <w:spacing w:line="400" w:lineRule="exact"/>
              <w:ind w:firstLine="415" w:firstLineChars="198"/>
              <w:rPr>
                <w:rFonts w:hint="eastAsia" w:ascii="宋体" w:hAnsi="宋体" w:cs="宋体"/>
                <w:color w:val="auto"/>
                <w:kern w:val="0"/>
                <w:szCs w:val="21"/>
                <w:highlight w:val="none"/>
              </w:rPr>
            </w:pPr>
            <w:r>
              <w:rPr>
                <w:rFonts w:hint="eastAsia" w:ascii="宋体" w:hAnsi="宋体" w:cs="宋体"/>
                <w:color w:val="auto"/>
                <w:kern w:val="0"/>
                <w:szCs w:val="21"/>
                <w:highlight w:val="none"/>
              </w:rPr>
              <w:t>②投标人投标时的资格条件相比资格预审时应没有实质性下降，投标文件仍然满足资格预审中的强制性标准。</w:t>
            </w:r>
          </w:p>
          <w:p w14:paraId="5D8B55DC">
            <w:pPr>
              <w:autoSpaceDE w:val="0"/>
              <w:autoSpaceDN w:val="0"/>
              <w:adjustRightInd w:val="0"/>
              <w:snapToGrid w:val="0"/>
              <w:spacing w:line="400" w:lineRule="exact"/>
              <w:ind w:firstLine="415" w:firstLineChars="198"/>
              <w:rPr>
                <w:rFonts w:ascii="宋体" w:hAnsi="宋体" w:cs="宋体"/>
                <w:i/>
                <w:color w:val="auto"/>
                <w:kern w:val="0"/>
                <w:szCs w:val="21"/>
                <w:highlight w:val="none"/>
              </w:rPr>
            </w:pPr>
            <w:r>
              <w:rPr>
                <w:rFonts w:hint="eastAsia" w:ascii="宋体" w:hAnsi="宋体" w:cs="宋体"/>
                <w:i/>
                <w:color w:val="auto"/>
                <w:kern w:val="0"/>
                <w:szCs w:val="21"/>
                <w:highlight w:val="none"/>
              </w:rPr>
              <w:t>[提示：适用于已进行资格预审的项目，没有变化的不提供。]</w:t>
            </w:r>
          </w:p>
          <w:p w14:paraId="6C3CD798">
            <w:pPr>
              <w:spacing w:line="400" w:lineRule="exact"/>
              <w:ind w:firstLine="420" w:firstLineChars="200"/>
              <w:rPr>
                <w:rFonts w:ascii="宋体" w:hAnsi="宋体"/>
                <w:bCs/>
                <w:color w:val="auto"/>
                <w:kern w:val="0"/>
                <w:szCs w:val="21"/>
                <w:highlight w:val="none"/>
              </w:rPr>
            </w:pPr>
            <w:r>
              <w:rPr>
                <w:rFonts w:hint="eastAsia" w:ascii="宋体" w:hAnsi="宋体"/>
                <w:bCs/>
                <w:color w:val="auto"/>
                <w:kern w:val="0"/>
                <w:szCs w:val="21"/>
                <w:highlight w:val="none"/>
              </w:rPr>
              <w:t>（3）</w:t>
            </w:r>
            <w:r>
              <w:rPr>
                <w:rFonts w:ascii="宋体" w:hAnsi="宋体"/>
                <w:bCs/>
                <w:color w:val="auto"/>
                <w:kern w:val="0"/>
                <w:szCs w:val="21"/>
                <w:highlight w:val="none"/>
              </w:rPr>
              <w:t>本招标文件中所要求的人员</w:t>
            </w:r>
            <w:r>
              <w:rPr>
                <w:rFonts w:hint="eastAsia" w:ascii="宋体" w:hAnsi="宋体"/>
                <w:bCs/>
                <w:color w:val="auto"/>
                <w:kern w:val="0"/>
                <w:szCs w:val="21"/>
                <w:highlight w:val="none"/>
              </w:rPr>
              <w:t>养老保险</w:t>
            </w:r>
            <w:r>
              <w:rPr>
                <w:rFonts w:ascii="宋体" w:hAnsi="宋体"/>
                <w:bCs/>
                <w:color w:val="auto"/>
                <w:kern w:val="0"/>
                <w:szCs w:val="21"/>
                <w:highlight w:val="none"/>
              </w:rPr>
              <w:t>证明要求如下：</w:t>
            </w:r>
          </w:p>
          <w:p w14:paraId="31B1F1E0">
            <w:pPr>
              <w:spacing w:line="400" w:lineRule="exact"/>
              <w:ind w:firstLine="420" w:firstLineChars="200"/>
              <w:rPr>
                <w:rFonts w:ascii="宋体" w:hAnsi="宋体"/>
                <w:bCs/>
                <w:color w:val="auto"/>
                <w:kern w:val="0"/>
                <w:szCs w:val="21"/>
                <w:highlight w:val="none"/>
              </w:rPr>
            </w:pPr>
            <w:r>
              <w:rPr>
                <w:rFonts w:ascii="宋体" w:hAnsi="宋体"/>
                <w:bCs/>
                <w:color w:val="auto"/>
                <w:kern w:val="0"/>
                <w:szCs w:val="21"/>
                <w:highlight w:val="none"/>
              </w:rPr>
              <w:t>①社会单位提供</w:t>
            </w:r>
            <w:r>
              <w:rPr>
                <w:rFonts w:hint="eastAsia" w:ascii="宋体" w:hAnsi="宋体"/>
                <w:bCs/>
                <w:color w:val="auto"/>
                <w:kern w:val="0"/>
                <w:szCs w:val="21"/>
                <w:highlight w:val="none"/>
              </w:rPr>
              <w:t>养老保险</w:t>
            </w:r>
            <w:r>
              <w:rPr>
                <w:rFonts w:ascii="宋体" w:hAnsi="宋体"/>
                <w:bCs/>
                <w:color w:val="auto"/>
                <w:kern w:val="0"/>
                <w:szCs w:val="21"/>
                <w:highlight w:val="none"/>
              </w:rPr>
              <w:t>证明，事业单位提供</w:t>
            </w:r>
            <w:r>
              <w:rPr>
                <w:rFonts w:hint="eastAsia" w:ascii="宋体" w:hAnsi="宋体"/>
                <w:bCs/>
                <w:color w:val="auto"/>
                <w:kern w:val="0"/>
                <w:szCs w:val="21"/>
                <w:highlight w:val="none"/>
              </w:rPr>
              <w:t>养老保险</w:t>
            </w:r>
            <w:r>
              <w:rPr>
                <w:rFonts w:ascii="宋体" w:hAnsi="宋体"/>
                <w:bCs/>
                <w:color w:val="auto"/>
                <w:kern w:val="0"/>
                <w:szCs w:val="21"/>
                <w:highlight w:val="none"/>
              </w:rPr>
              <w:t>证明或行政主管部门在编证明。</w:t>
            </w:r>
          </w:p>
          <w:p w14:paraId="113B2AAB">
            <w:pPr>
              <w:spacing w:line="400" w:lineRule="exact"/>
              <w:ind w:firstLine="420" w:firstLineChars="200"/>
              <w:rPr>
                <w:rFonts w:hint="eastAsia" w:ascii="宋体" w:hAnsi="宋体"/>
                <w:bCs/>
                <w:color w:val="auto"/>
                <w:szCs w:val="21"/>
                <w:highlight w:val="none"/>
              </w:rPr>
            </w:pPr>
            <w:r>
              <w:rPr>
                <w:rFonts w:ascii="宋体" w:hAnsi="宋体"/>
                <w:bCs/>
                <w:color w:val="auto"/>
                <w:kern w:val="0"/>
                <w:szCs w:val="21"/>
                <w:highlight w:val="none"/>
              </w:rPr>
              <w:t>②</w:t>
            </w:r>
            <w:r>
              <w:rPr>
                <w:rFonts w:hint="eastAsia" w:ascii="宋体" w:hAnsi="宋体"/>
                <w:bCs/>
                <w:snapToGrid w:val="0"/>
                <w:color w:val="auto"/>
                <w:kern w:val="0"/>
                <w:szCs w:val="21"/>
                <w:highlight w:val="none"/>
              </w:rPr>
              <w:t>项目经理、</w:t>
            </w:r>
            <w:r>
              <w:rPr>
                <w:rFonts w:ascii="宋体" w:hAnsi="宋体"/>
                <w:bCs/>
                <w:snapToGrid w:val="0"/>
                <w:color w:val="auto"/>
                <w:kern w:val="0"/>
                <w:szCs w:val="21"/>
                <w:highlight w:val="none"/>
              </w:rPr>
              <w:t>项目技术负责人和委托代理人的</w:t>
            </w:r>
            <w:r>
              <w:rPr>
                <w:rFonts w:hint="eastAsia" w:ascii="宋体" w:hAnsi="宋体"/>
                <w:bCs/>
                <w:snapToGrid w:val="0"/>
                <w:color w:val="auto"/>
                <w:kern w:val="0"/>
                <w:szCs w:val="21"/>
                <w:highlight w:val="none"/>
              </w:rPr>
              <w:t>养老保险</w:t>
            </w:r>
            <w:r>
              <w:rPr>
                <w:rFonts w:ascii="宋体" w:hAnsi="宋体"/>
                <w:bCs/>
                <w:snapToGrid w:val="0"/>
                <w:color w:val="auto"/>
                <w:kern w:val="0"/>
                <w:szCs w:val="21"/>
                <w:highlight w:val="none"/>
              </w:rPr>
              <w:t>证明期限为</w:t>
            </w:r>
            <w:r>
              <w:rPr>
                <w:rFonts w:hint="eastAsia" w:ascii="宋体" w:hAnsi="宋体"/>
                <w:bCs/>
                <w:snapToGrid w:val="0"/>
                <w:color w:val="auto"/>
                <w:kern w:val="0"/>
                <w:szCs w:val="21"/>
                <w:highlight w:val="none"/>
                <w:u w:val="single"/>
              </w:rPr>
              <w:t xml:space="preserve">    </w:t>
            </w:r>
            <w:r>
              <w:rPr>
                <w:rFonts w:ascii="宋体" w:hAnsi="宋体"/>
                <w:bCs/>
                <w:snapToGrid w:val="0"/>
                <w:color w:val="auto"/>
                <w:kern w:val="0"/>
                <w:szCs w:val="21"/>
                <w:highlight w:val="none"/>
              </w:rPr>
              <w:t>年</w:t>
            </w:r>
            <w:r>
              <w:rPr>
                <w:rFonts w:hint="eastAsia" w:ascii="宋体" w:hAnsi="宋体"/>
                <w:bCs/>
                <w:snapToGrid w:val="0"/>
                <w:color w:val="auto"/>
                <w:kern w:val="0"/>
                <w:szCs w:val="21"/>
                <w:highlight w:val="none"/>
                <w:u w:val="single"/>
              </w:rPr>
              <w:t xml:space="preserve">  </w:t>
            </w:r>
            <w:r>
              <w:rPr>
                <w:rFonts w:ascii="宋体" w:hAnsi="宋体"/>
                <w:bCs/>
                <w:snapToGrid w:val="0"/>
                <w:color w:val="auto"/>
                <w:kern w:val="0"/>
                <w:szCs w:val="21"/>
                <w:highlight w:val="none"/>
              </w:rPr>
              <w:t>月至</w:t>
            </w:r>
            <w:r>
              <w:rPr>
                <w:rFonts w:hint="eastAsia" w:ascii="宋体" w:hAnsi="宋体"/>
                <w:bCs/>
                <w:snapToGrid w:val="0"/>
                <w:color w:val="auto"/>
                <w:kern w:val="0"/>
                <w:szCs w:val="21"/>
                <w:highlight w:val="none"/>
                <w:u w:val="single"/>
              </w:rPr>
              <w:t xml:space="preserve">    </w:t>
            </w:r>
            <w:r>
              <w:rPr>
                <w:rFonts w:ascii="宋体" w:hAnsi="宋体"/>
                <w:bCs/>
                <w:snapToGrid w:val="0"/>
                <w:color w:val="auto"/>
                <w:kern w:val="0"/>
                <w:szCs w:val="21"/>
                <w:highlight w:val="none"/>
              </w:rPr>
              <w:t>年</w:t>
            </w:r>
            <w:r>
              <w:rPr>
                <w:rFonts w:hint="eastAsia" w:ascii="宋体" w:hAnsi="宋体"/>
                <w:bCs/>
                <w:snapToGrid w:val="0"/>
                <w:color w:val="auto"/>
                <w:kern w:val="0"/>
                <w:szCs w:val="21"/>
                <w:highlight w:val="none"/>
                <w:u w:val="single"/>
              </w:rPr>
              <w:t xml:space="preserve">  </w:t>
            </w:r>
            <w:r>
              <w:rPr>
                <w:rFonts w:ascii="宋体" w:hAnsi="宋体"/>
                <w:bCs/>
                <w:snapToGrid w:val="0"/>
                <w:color w:val="auto"/>
                <w:kern w:val="0"/>
                <w:szCs w:val="21"/>
                <w:highlight w:val="none"/>
              </w:rPr>
              <w:t>月的</w:t>
            </w:r>
            <w:r>
              <w:rPr>
                <w:rFonts w:ascii="宋体" w:hAnsi="宋体"/>
                <w:bCs/>
                <w:color w:val="auto"/>
                <w:szCs w:val="21"/>
                <w:highlight w:val="none"/>
              </w:rPr>
              <w:t>连续</w:t>
            </w:r>
            <w:r>
              <w:rPr>
                <w:rFonts w:hint="eastAsia" w:ascii="宋体" w:hAnsi="宋体"/>
                <w:bCs/>
                <w:color w:val="auto"/>
                <w:szCs w:val="21"/>
                <w:highlight w:val="none"/>
              </w:rPr>
              <w:t>养老保险。提供的养老保险参保证明（个人），必须包含身份证号（或社保号）和参保基本情况、参保缴费明细（养老保险），并带有社保部门公章或社保部门的有效电子印章。</w:t>
            </w:r>
          </w:p>
          <w:p w14:paraId="7EABC010">
            <w:pPr>
              <w:spacing w:line="400" w:lineRule="exact"/>
              <w:ind w:firstLine="420" w:firstLineChars="200"/>
              <w:rPr>
                <w:rFonts w:ascii="宋体" w:hAnsi="宋体"/>
                <w:bCs/>
                <w:snapToGrid w:val="0"/>
                <w:color w:val="auto"/>
                <w:kern w:val="0"/>
                <w:szCs w:val="21"/>
                <w:highlight w:val="none"/>
              </w:rPr>
            </w:pPr>
            <w:r>
              <w:rPr>
                <w:rFonts w:hint="eastAsia" w:ascii="宋体" w:hAnsi="宋体"/>
                <w:bCs/>
                <w:i/>
                <w:color w:val="auto"/>
                <w:szCs w:val="21"/>
                <w:highlight w:val="none"/>
              </w:rPr>
              <w:t xml:space="preserve">[提示：项目经理、项目技术负责人和委托代理人提交的养老保险时间段必须一致；从招标公告发布之日前一月起算，养老保险时间段不少于6个月。] </w:t>
            </w:r>
          </w:p>
        </w:tc>
      </w:tr>
      <w:tr w14:paraId="332439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69155737">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1.4.2</w:t>
            </w:r>
          </w:p>
        </w:tc>
        <w:tc>
          <w:tcPr>
            <w:tcW w:w="1644" w:type="dxa"/>
            <w:noWrap w:val="0"/>
            <w:vAlign w:val="center"/>
          </w:tcPr>
          <w:p w14:paraId="54B76BB4">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是否接受联合体投标</w:t>
            </w:r>
          </w:p>
        </w:tc>
        <w:tc>
          <w:tcPr>
            <w:tcW w:w="6490" w:type="dxa"/>
            <w:noWrap w:val="0"/>
            <w:vAlign w:val="center"/>
          </w:tcPr>
          <w:p w14:paraId="76203FAD">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不接受</w:t>
            </w:r>
          </w:p>
          <w:p w14:paraId="2B5E4A06">
            <w:pPr>
              <w:snapToGrid w:val="0"/>
              <w:spacing w:after="15" w:afterLines="5"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接受，应满足下列要求：</w:t>
            </w:r>
          </w:p>
        </w:tc>
      </w:tr>
      <w:tr w14:paraId="5F35E5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49A1B387">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1.9.1</w:t>
            </w:r>
          </w:p>
        </w:tc>
        <w:tc>
          <w:tcPr>
            <w:tcW w:w="1644" w:type="dxa"/>
            <w:noWrap w:val="0"/>
            <w:vAlign w:val="center"/>
          </w:tcPr>
          <w:p w14:paraId="2DB90A58">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踏勘现场</w:t>
            </w:r>
          </w:p>
        </w:tc>
        <w:tc>
          <w:tcPr>
            <w:tcW w:w="6490" w:type="dxa"/>
            <w:noWrap w:val="0"/>
            <w:vAlign w:val="center"/>
          </w:tcPr>
          <w:p w14:paraId="5E67F4D1">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不组织</w:t>
            </w:r>
          </w:p>
          <w:p w14:paraId="0E76DCC1">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组织，</w:t>
            </w:r>
            <w:r>
              <w:rPr>
                <w:rFonts w:hint="eastAsia" w:ascii="宋体" w:hAnsi="宋体"/>
                <w:color w:val="auto"/>
                <w:kern w:val="0"/>
                <w:szCs w:val="21"/>
                <w:highlight w:val="none"/>
              </w:rPr>
              <w:t>集中</w:t>
            </w:r>
            <w:r>
              <w:rPr>
                <w:rFonts w:ascii="宋体" w:hAnsi="宋体"/>
                <w:color w:val="auto"/>
                <w:kern w:val="0"/>
                <w:szCs w:val="21"/>
                <w:highlight w:val="none"/>
              </w:rPr>
              <w:t>踏勘时间：</w:t>
            </w:r>
          </w:p>
          <w:p w14:paraId="205ABDCC">
            <w:pPr>
              <w:snapToGrid w:val="0"/>
              <w:spacing w:line="400" w:lineRule="exact"/>
              <w:ind w:firstLine="1260" w:firstLineChars="600"/>
              <w:rPr>
                <w:rFonts w:ascii="宋体" w:hAnsi="宋体"/>
                <w:color w:val="auto"/>
                <w:kern w:val="0"/>
                <w:szCs w:val="21"/>
                <w:highlight w:val="none"/>
              </w:rPr>
            </w:pPr>
            <w:r>
              <w:rPr>
                <w:rFonts w:ascii="宋体" w:hAnsi="宋体"/>
                <w:color w:val="auto"/>
                <w:kern w:val="0"/>
                <w:szCs w:val="21"/>
                <w:highlight w:val="none"/>
              </w:rPr>
              <w:t>集中踏勘地点：</w:t>
            </w:r>
          </w:p>
        </w:tc>
      </w:tr>
      <w:tr w14:paraId="568F5E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5112B5F">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1.10.1</w:t>
            </w:r>
          </w:p>
        </w:tc>
        <w:tc>
          <w:tcPr>
            <w:tcW w:w="1644" w:type="dxa"/>
            <w:noWrap w:val="0"/>
            <w:vAlign w:val="center"/>
          </w:tcPr>
          <w:p w14:paraId="2C7584B7">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投标预备会</w:t>
            </w:r>
          </w:p>
        </w:tc>
        <w:tc>
          <w:tcPr>
            <w:tcW w:w="6490" w:type="dxa"/>
            <w:noWrap w:val="0"/>
            <w:vAlign w:val="center"/>
          </w:tcPr>
          <w:p w14:paraId="02EF0686">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不召开</w:t>
            </w:r>
          </w:p>
          <w:p w14:paraId="165D2EF3">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召开，召开时间：</w:t>
            </w:r>
          </w:p>
          <w:p w14:paraId="2CDF2FA3">
            <w:pPr>
              <w:snapToGrid w:val="0"/>
              <w:spacing w:after="15" w:afterLines="5" w:line="400" w:lineRule="exact"/>
              <w:ind w:firstLine="1260" w:firstLineChars="600"/>
              <w:rPr>
                <w:rFonts w:ascii="宋体" w:hAnsi="宋体"/>
                <w:color w:val="auto"/>
                <w:kern w:val="0"/>
                <w:szCs w:val="21"/>
                <w:highlight w:val="none"/>
              </w:rPr>
            </w:pPr>
            <w:r>
              <w:rPr>
                <w:rFonts w:ascii="宋体" w:hAnsi="宋体"/>
                <w:color w:val="auto"/>
                <w:kern w:val="0"/>
                <w:szCs w:val="21"/>
                <w:highlight w:val="none"/>
              </w:rPr>
              <w:t>召开地点：</w:t>
            </w:r>
          </w:p>
        </w:tc>
      </w:tr>
      <w:tr w14:paraId="17A42C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39EE028">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1.11</w:t>
            </w:r>
          </w:p>
        </w:tc>
        <w:tc>
          <w:tcPr>
            <w:tcW w:w="1644" w:type="dxa"/>
            <w:noWrap w:val="0"/>
            <w:vAlign w:val="center"/>
          </w:tcPr>
          <w:p w14:paraId="3836D17D">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分包</w:t>
            </w:r>
          </w:p>
        </w:tc>
        <w:tc>
          <w:tcPr>
            <w:tcW w:w="6490" w:type="dxa"/>
            <w:noWrap w:val="0"/>
            <w:vAlign w:val="center"/>
          </w:tcPr>
          <w:p w14:paraId="34E10270">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不允许</w:t>
            </w:r>
          </w:p>
          <w:p w14:paraId="06C384F5">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允许，分包内容要求：</w:t>
            </w:r>
          </w:p>
          <w:p w14:paraId="651188C4">
            <w:pPr>
              <w:snapToGrid w:val="0"/>
              <w:spacing w:line="400" w:lineRule="exact"/>
              <w:ind w:firstLine="1260" w:firstLineChars="600"/>
              <w:rPr>
                <w:rFonts w:ascii="宋体" w:hAnsi="宋体"/>
                <w:color w:val="auto"/>
                <w:kern w:val="0"/>
                <w:szCs w:val="21"/>
                <w:highlight w:val="none"/>
              </w:rPr>
            </w:pPr>
            <w:r>
              <w:rPr>
                <w:rFonts w:ascii="宋体" w:hAnsi="宋体"/>
                <w:color w:val="auto"/>
                <w:kern w:val="0"/>
                <w:szCs w:val="21"/>
                <w:highlight w:val="none"/>
              </w:rPr>
              <w:t>分包金额要求：</w:t>
            </w:r>
          </w:p>
          <w:p w14:paraId="4D4F1A76">
            <w:pPr>
              <w:snapToGrid w:val="0"/>
              <w:spacing w:after="15" w:afterLines="5" w:line="400" w:lineRule="exact"/>
              <w:rPr>
                <w:rFonts w:ascii="宋体" w:hAnsi="宋体"/>
                <w:color w:val="auto"/>
                <w:kern w:val="0"/>
                <w:szCs w:val="21"/>
                <w:highlight w:val="none"/>
              </w:rPr>
            </w:pPr>
            <w:r>
              <w:rPr>
                <w:rFonts w:ascii="宋体" w:hAnsi="宋体"/>
                <w:color w:val="auto"/>
                <w:kern w:val="0"/>
                <w:szCs w:val="21"/>
                <w:highlight w:val="none"/>
              </w:rPr>
              <w:t>接受分包的第三人资质要求：</w:t>
            </w:r>
          </w:p>
        </w:tc>
      </w:tr>
      <w:tr w14:paraId="6AD1E0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465DE2C">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2.1</w:t>
            </w:r>
          </w:p>
        </w:tc>
        <w:tc>
          <w:tcPr>
            <w:tcW w:w="1644" w:type="dxa"/>
            <w:noWrap w:val="0"/>
            <w:vAlign w:val="center"/>
          </w:tcPr>
          <w:p w14:paraId="4CDD0081">
            <w:pPr>
              <w:snapToGrid w:val="0"/>
              <w:spacing w:after="15" w:afterLines="5" w:line="400" w:lineRule="exact"/>
              <w:jc w:val="center"/>
              <w:rPr>
                <w:rFonts w:ascii="宋体" w:hAnsi="宋体"/>
                <w:color w:val="auto"/>
                <w:kern w:val="0"/>
                <w:szCs w:val="21"/>
                <w:highlight w:val="none"/>
              </w:rPr>
            </w:pPr>
            <w:r>
              <w:rPr>
                <w:rFonts w:ascii="宋体" w:hAnsi="宋体"/>
                <w:color w:val="auto"/>
                <w:kern w:val="0"/>
                <w:szCs w:val="21"/>
                <w:highlight w:val="none"/>
              </w:rPr>
              <w:t>构成招标文件的其他材料</w:t>
            </w:r>
          </w:p>
        </w:tc>
        <w:tc>
          <w:tcPr>
            <w:tcW w:w="6490" w:type="dxa"/>
            <w:noWrap w:val="0"/>
            <w:vAlign w:val="center"/>
          </w:tcPr>
          <w:p w14:paraId="4CD40A65">
            <w:pPr>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招标人发出的</w:t>
            </w:r>
            <w:r>
              <w:rPr>
                <w:rFonts w:hint="eastAsia" w:ascii="宋体" w:hAnsi="宋体"/>
                <w:color w:val="auto"/>
                <w:szCs w:val="21"/>
                <w:highlight w:val="none"/>
              </w:rPr>
              <w:t>澄清</w:t>
            </w:r>
            <w:r>
              <w:rPr>
                <w:rFonts w:ascii="宋体" w:hAnsi="宋体"/>
                <w:color w:val="auto"/>
                <w:szCs w:val="21"/>
                <w:highlight w:val="none"/>
              </w:rPr>
              <w:t>及</w:t>
            </w:r>
            <w:r>
              <w:rPr>
                <w:rFonts w:hint="eastAsia" w:ascii="宋体" w:hAnsi="宋体"/>
                <w:color w:val="auto"/>
                <w:szCs w:val="21"/>
                <w:highlight w:val="none"/>
              </w:rPr>
              <w:t>修改</w:t>
            </w:r>
          </w:p>
        </w:tc>
      </w:tr>
      <w:tr w14:paraId="4297D8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1B6282C1">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2</w:t>
            </w:r>
            <w:r>
              <w:rPr>
                <w:rFonts w:ascii="宋体" w:hAnsi="宋体"/>
                <w:color w:val="auto"/>
                <w:kern w:val="0"/>
                <w:szCs w:val="21"/>
                <w:highlight w:val="none"/>
              </w:rPr>
              <w:t>.</w:t>
            </w:r>
            <w:r>
              <w:rPr>
                <w:rFonts w:hint="eastAsia" w:ascii="宋体" w:hAnsi="宋体"/>
                <w:color w:val="auto"/>
                <w:kern w:val="0"/>
                <w:szCs w:val="21"/>
                <w:highlight w:val="none"/>
              </w:rPr>
              <w:t>2</w:t>
            </w:r>
            <w:r>
              <w:rPr>
                <w:rFonts w:ascii="宋体" w:hAnsi="宋体"/>
                <w:color w:val="auto"/>
                <w:kern w:val="0"/>
                <w:szCs w:val="21"/>
                <w:highlight w:val="none"/>
              </w:rPr>
              <w:t>.</w:t>
            </w:r>
            <w:r>
              <w:rPr>
                <w:rFonts w:hint="eastAsia" w:ascii="宋体" w:hAnsi="宋体"/>
                <w:color w:val="auto"/>
                <w:kern w:val="0"/>
                <w:szCs w:val="21"/>
                <w:highlight w:val="none"/>
              </w:rPr>
              <w:t>1</w:t>
            </w:r>
          </w:p>
        </w:tc>
        <w:tc>
          <w:tcPr>
            <w:tcW w:w="1644" w:type="dxa"/>
            <w:tcBorders>
              <w:bottom w:val="single" w:color="auto" w:sz="4" w:space="0"/>
            </w:tcBorders>
            <w:noWrap w:val="0"/>
            <w:vAlign w:val="center"/>
          </w:tcPr>
          <w:p w14:paraId="346BA313">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投标人对招标文件提出</w:t>
            </w:r>
            <w:r>
              <w:rPr>
                <w:rFonts w:hint="eastAsia" w:ascii="宋体" w:hAnsi="宋体"/>
                <w:color w:val="auto"/>
                <w:kern w:val="0"/>
                <w:szCs w:val="21"/>
                <w:highlight w:val="none"/>
              </w:rPr>
              <w:t>疑问</w:t>
            </w:r>
            <w:r>
              <w:rPr>
                <w:rFonts w:ascii="宋体" w:hAnsi="宋体"/>
                <w:color w:val="auto"/>
                <w:kern w:val="0"/>
                <w:szCs w:val="21"/>
                <w:highlight w:val="none"/>
              </w:rPr>
              <w:t>的截止时间</w:t>
            </w:r>
          </w:p>
        </w:tc>
        <w:tc>
          <w:tcPr>
            <w:tcW w:w="6490" w:type="dxa"/>
            <w:noWrap w:val="0"/>
            <w:vAlign w:val="center"/>
          </w:tcPr>
          <w:p w14:paraId="3F1BB20C">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投标人应仔细</w:t>
            </w:r>
            <w:r>
              <w:rPr>
                <w:rFonts w:hint="eastAsia" w:ascii="宋体" w:hAnsi="宋体"/>
                <w:color w:val="auto"/>
                <w:kern w:val="0"/>
                <w:szCs w:val="21"/>
                <w:highlight w:val="none"/>
              </w:rPr>
              <w:t>阅读</w:t>
            </w:r>
            <w:r>
              <w:rPr>
                <w:rFonts w:ascii="宋体" w:hAnsi="宋体"/>
                <w:color w:val="auto"/>
                <w:kern w:val="0"/>
                <w:szCs w:val="21"/>
                <w:highlight w:val="none"/>
              </w:rPr>
              <w:t>招标文件</w:t>
            </w:r>
            <w:r>
              <w:rPr>
                <w:rFonts w:hint="eastAsia" w:ascii="宋体" w:hAnsi="宋体"/>
                <w:color w:val="auto"/>
                <w:kern w:val="0"/>
                <w:szCs w:val="21"/>
                <w:highlight w:val="none"/>
              </w:rPr>
              <w:t>及附件</w:t>
            </w:r>
            <w:r>
              <w:rPr>
                <w:rFonts w:ascii="宋体" w:hAnsi="宋体"/>
                <w:color w:val="auto"/>
                <w:kern w:val="0"/>
                <w:szCs w:val="21"/>
                <w:highlight w:val="none"/>
              </w:rPr>
              <w:t>的所有内容，如有文字表述不清，图纸尺寸标注不明以及存在错、漏、缺、概念模糊和有可能出现歧义或理解上的偏差的内容等应</w:t>
            </w:r>
            <w:r>
              <w:rPr>
                <w:rFonts w:hint="eastAsia" w:ascii="宋体" w:hAnsi="宋体" w:cs="宋体"/>
                <w:color w:val="auto"/>
                <w:kern w:val="0"/>
                <w:szCs w:val="21"/>
                <w:highlight w:val="none"/>
              </w:rPr>
              <w:t>在招标公告规定的时间</w:t>
            </w:r>
            <w:r>
              <w:rPr>
                <w:rFonts w:ascii="宋体" w:hAnsi="宋体"/>
                <w:color w:val="auto"/>
                <w:kern w:val="0"/>
                <w:szCs w:val="21"/>
                <w:highlight w:val="none"/>
              </w:rPr>
              <w:t>前</w:t>
            </w:r>
            <w:r>
              <w:rPr>
                <w:rFonts w:hint="eastAsia" w:ascii="宋体" w:hAnsi="宋体"/>
                <w:color w:val="auto"/>
                <w:kern w:val="0"/>
                <w:szCs w:val="21"/>
                <w:highlight w:val="none"/>
              </w:rPr>
              <w:t>在本项目招标公告网页下方“我要提问”栏</w:t>
            </w:r>
            <w:r>
              <w:rPr>
                <w:rFonts w:ascii="宋体" w:hAnsi="宋体"/>
                <w:color w:val="auto"/>
                <w:kern w:val="0"/>
                <w:szCs w:val="21"/>
                <w:highlight w:val="none"/>
              </w:rPr>
              <w:t>提交。</w:t>
            </w:r>
          </w:p>
        </w:tc>
      </w:tr>
      <w:tr w14:paraId="1A05EC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75" w:hRule="atLeast"/>
          <w:jc w:val="center"/>
        </w:trPr>
        <w:tc>
          <w:tcPr>
            <w:tcW w:w="1335" w:type="dxa"/>
            <w:vMerge w:val="restart"/>
            <w:noWrap w:val="0"/>
            <w:vAlign w:val="center"/>
          </w:tcPr>
          <w:p w14:paraId="1F824317">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2.2.2</w:t>
            </w:r>
          </w:p>
        </w:tc>
        <w:tc>
          <w:tcPr>
            <w:tcW w:w="1644" w:type="dxa"/>
            <w:tcBorders>
              <w:top w:val="single" w:color="auto" w:sz="4" w:space="0"/>
            </w:tcBorders>
            <w:noWrap w:val="0"/>
            <w:vAlign w:val="center"/>
          </w:tcPr>
          <w:p w14:paraId="3476D862">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招标人对招标文件澄清的截止时间</w:t>
            </w:r>
          </w:p>
        </w:tc>
        <w:tc>
          <w:tcPr>
            <w:tcW w:w="6490" w:type="dxa"/>
            <w:noWrap w:val="0"/>
            <w:vAlign w:val="center"/>
          </w:tcPr>
          <w:p w14:paraId="4283290E">
            <w:pPr>
              <w:snapToGrid w:val="0"/>
              <w:spacing w:line="400" w:lineRule="exact"/>
              <w:ind w:firstLine="420" w:firstLineChars="200"/>
              <w:rPr>
                <w:rFonts w:hint="eastAsia" w:ascii="宋体" w:hAnsi="宋体"/>
                <w:snapToGrid w:val="0"/>
                <w:color w:val="auto"/>
                <w:kern w:val="0"/>
                <w:szCs w:val="21"/>
                <w:highlight w:val="none"/>
              </w:rPr>
            </w:pPr>
            <w:r>
              <w:rPr>
                <w:rFonts w:hint="eastAsia" w:ascii="宋体" w:hAnsi="宋体"/>
                <w:color w:val="auto"/>
                <w:szCs w:val="21"/>
                <w:highlight w:val="none"/>
              </w:rPr>
              <w:t>招标人应在招标公告规定的时间前</w:t>
            </w:r>
            <w:r>
              <w:rPr>
                <w:rFonts w:ascii="宋体" w:hAnsi="宋体"/>
                <w:color w:val="auto"/>
                <w:szCs w:val="21"/>
                <w:highlight w:val="none"/>
              </w:rPr>
              <w:t>，</w:t>
            </w:r>
            <w:r>
              <w:rPr>
                <w:rFonts w:ascii="宋体" w:hAnsi="宋体"/>
                <w:color w:val="auto"/>
                <w:kern w:val="0"/>
                <w:szCs w:val="21"/>
                <w:highlight w:val="none"/>
              </w:rPr>
              <w:t>在</w:t>
            </w:r>
            <w:r>
              <w:rPr>
                <w:rFonts w:hint="eastAsia" w:ascii="宋体" w:hAnsi="宋体"/>
                <w:color w:val="auto"/>
                <w:kern w:val="0"/>
                <w:szCs w:val="21"/>
                <w:highlight w:val="none"/>
                <w:u w:val="single"/>
              </w:rPr>
              <w:t>重庆市公共资源交易网（www.cqggzy.com）</w:t>
            </w:r>
            <w:r>
              <w:rPr>
                <w:rFonts w:ascii="宋体" w:hAnsi="宋体"/>
                <w:color w:val="auto"/>
                <w:kern w:val="0"/>
                <w:szCs w:val="21"/>
                <w:highlight w:val="none"/>
              </w:rPr>
              <w:t>发布</w:t>
            </w:r>
            <w:r>
              <w:rPr>
                <w:rFonts w:hint="eastAsia" w:ascii="宋体" w:hAnsi="宋体"/>
                <w:color w:val="auto"/>
                <w:kern w:val="0"/>
                <w:szCs w:val="21"/>
                <w:highlight w:val="none"/>
              </w:rPr>
              <w:t>澄清</w:t>
            </w:r>
            <w:r>
              <w:rPr>
                <w:rFonts w:ascii="宋体" w:hAnsi="宋体"/>
                <w:color w:val="auto"/>
                <w:kern w:val="0"/>
                <w:szCs w:val="21"/>
                <w:highlight w:val="none"/>
              </w:rPr>
              <w:t>。</w:t>
            </w:r>
          </w:p>
        </w:tc>
      </w:tr>
      <w:tr w14:paraId="2735F0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335" w:type="dxa"/>
            <w:vMerge w:val="continue"/>
            <w:noWrap w:val="0"/>
            <w:vAlign w:val="center"/>
          </w:tcPr>
          <w:p w14:paraId="67495C91">
            <w:pPr>
              <w:snapToGrid w:val="0"/>
              <w:spacing w:line="400" w:lineRule="exact"/>
              <w:jc w:val="center"/>
              <w:rPr>
                <w:rFonts w:ascii="宋体" w:hAnsi="宋体"/>
                <w:color w:val="auto"/>
                <w:kern w:val="0"/>
                <w:szCs w:val="21"/>
                <w:highlight w:val="none"/>
              </w:rPr>
            </w:pPr>
          </w:p>
        </w:tc>
        <w:tc>
          <w:tcPr>
            <w:tcW w:w="1644" w:type="dxa"/>
            <w:noWrap w:val="0"/>
            <w:vAlign w:val="center"/>
          </w:tcPr>
          <w:p w14:paraId="7D3CF030">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投标截止时间</w:t>
            </w:r>
          </w:p>
        </w:tc>
        <w:tc>
          <w:tcPr>
            <w:tcW w:w="6490" w:type="dxa"/>
            <w:noWrap w:val="0"/>
            <w:vAlign w:val="center"/>
          </w:tcPr>
          <w:p w14:paraId="67A5BD06">
            <w:pPr>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详见招标公告规定的投标截止时间。</w:t>
            </w:r>
          </w:p>
        </w:tc>
      </w:tr>
      <w:tr w14:paraId="355B7B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73B906D">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2.2.3</w:t>
            </w:r>
          </w:p>
        </w:tc>
        <w:tc>
          <w:tcPr>
            <w:tcW w:w="1644" w:type="dxa"/>
            <w:noWrap w:val="0"/>
            <w:vAlign w:val="center"/>
          </w:tcPr>
          <w:p w14:paraId="52B31539">
            <w:pPr>
              <w:snapToGrid w:val="0"/>
              <w:spacing w:after="15" w:afterLines="5" w:line="400" w:lineRule="exact"/>
              <w:jc w:val="center"/>
              <w:rPr>
                <w:rFonts w:ascii="宋体" w:hAnsi="宋体"/>
                <w:color w:val="auto"/>
                <w:kern w:val="0"/>
                <w:szCs w:val="21"/>
                <w:highlight w:val="none"/>
              </w:rPr>
            </w:pPr>
            <w:r>
              <w:rPr>
                <w:rFonts w:ascii="宋体" w:hAnsi="宋体"/>
                <w:color w:val="auto"/>
                <w:kern w:val="0"/>
                <w:szCs w:val="21"/>
                <w:highlight w:val="none"/>
              </w:rPr>
              <w:t>招标人对招标文件进行</w:t>
            </w:r>
            <w:r>
              <w:rPr>
                <w:rFonts w:hint="eastAsia" w:ascii="宋体" w:hAnsi="宋体"/>
                <w:color w:val="auto"/>
                <w:kern w:val="0"/>
                <w:szCs w:val="21"/>
                <w:highlight w:val="none"/>
              </w:rPr>
              <w:t>修改</w:t>
            </w:r>
            <w:r>
              <w:rPr>
                <w:rFonts w:ascii="宋体" w:hAnsi="宋体"/>
                <w:color w:val="auto"/>
                <w:kern w:val="0"/>
                <w:szCs w:val="21"/>
                <w:highlight w:val="none"/>
              </w:rPr>
              <w:t>的时间</w:t>
            </w:r>
          </w:p>
        </w:tc>
        <w:tc>
          <w:tcPr>
            <w:tcW w:w="6490" w:type="dxa"/>
            <w:noWrap w:val="0"/>
            <w:vAlign w:val="center"/>
          </w:tcPr>
          <w:p w14:paraId="2EE5A21A">
            <w:pPr>
              <w:snapToGrid w:val="0"/>
              <w:spacing w:line="400" w:lineRule="exact"/>
              <w:ind w:firstLine="420" w:firstLineChars="200"/>
              <w:rPr>
                <w:rFonts w:ascii="宋体" w:hAnsi="宋体"/>
                <w:color w:val="auto"/>
                <w:szCs w:val="21"/>
                <w:highlight w:val="none"/>
              </w:rPr>
            </w:pPr>
            <w:r>
              <w:rPr>
                <w:rFonts w:hint="eastAsia" w:ascii="宋体" w:hAnsi="宋体"/>
                <w:snapToGrid w:val="0"/>
                <w:color w:val="auto"/>
                <w:kern w:val="0"/>
                <w:szCs w:val="21"/>
                <w:highlight w:val="none"/>
              </w:rPr>
              <w:t>修改</w:t>
            </w:r>
            <w:r>
              <w:rPr>
                <w:rFonts w:ascii="宋体" w:hAnsi="宋体"/>
                <w:snapToGrid w:val="0"/>
                <w:color w:val="auto"/>
                <w:kern w:val="0"/>
                <w:szCs w:val="21"/>
                <w:highlight w:val="none"/>
              </w:rPr>
              <w:t>内容可能影响投标文件编制的，须在投标截止时间15日前发布，发布时间至投标截止时间不足15日的，须相应延后投标截止时间。</w:t>
            </w:r>
          </w:p>
        </w:tc>
      </w:tr>
      <w:tr w14:paraId="7BE75E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4BE0CD45">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2.2.4</w:t>
            </w:r>
          </w:p>
        </w:tc>
        <w:tc>
          <w:tcPr>
            <w:tcW w:w="1644" w:type="dxa"/>
            <w:noWrap w:val="0"/>
            <w:vAlign w:val="center"/>
          </w:tcPr>
          <w:p w14:paraId="5E4750BC">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投标人对招标文件及澄清修改提出异议的截止时间</w:t>
            </w:r>
          </w:p>
        </w:tc>
        <w:tc>
          <w:tcPr>
            <w:tcW w:w="6490" w:type="dxa"/>
            <w:noWrap w:val="0"/>
            <w:vAlign w:val="center"/>
          </w:tcPr>
          <w:p w14:paraId="4E09F959">
            <w:pPr>
              <w:snapToGrid w:val="0"/>
              <w:spacing w:line="400" w:lineRule="exact"/>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投标人对招标文件和</w:t>
            </w:r>
            <w:r>
              <w:rPr>
                <w:rFonts w:hint="eastAsia" w:ascii="宋体" w:hAnsi="宋体"/>
                <w:snapToGrid w:val="0"/>
                <w:color w:val="auto"/>
                <w:kern w:val="0"/>
                <w:szCs w:val="21"/>
                <w:highlight w:val="none"/>
              </w:rPr>
              <w:t>澄清修改</w:t>
            </w:r>
            <w:r>
              <w:rPr>
                <w:rFonts w:ascii="宋体" w:hAnsi="宋体"/>
                <w:snapToGrid w:val="0"/>
                <w:color w:val="auto"/>
                <w:kern w:val="0"/>
                <w:szCs w:val="21"/>
                <w:highlight w:val="none"/>
              </w:rPr>
              <w:t>有异议的，应当在投标截止时间10日前，</w:t>
            </w:r>
            <w:r>
              <w:rPr>
                <w:rFonts w:hint="eastAsia" w:ascii="宋体" w:hAnsi="宋体"/>
                <w:snapToGrid w:val="0"/>
                <w:color w:val="auto"/>
                <w:kern w:val="0"/>
                <w:szCs w:val="21"/>
                <w:highlight w:val="none"/>
              </w:rPr>
              <w:t>通过</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提出</w:t>
            </w:r>
            <w:r>
              <w:rPr>
                <w:rFonts w:ascii="宋体" w:hAnsi="宋体"/>
                <w:snapToGrid w:val="0"/>
                <w:color w:val="auto"/>
                <w:kern w:val="0"/>
                <w:szCs w:val="21"/>
                <w:highlight w:val="none"/>
              </w:rPr>
              <w:t>。招标人应当自收到异议之日起3日内做出答复，并将</w:t>
            </w:r>
            <w:r>
              <w:rPr>
                <w:rFonts w:hint="eastAsia" w:ascii="宋体" w:hAnsi="宋体"/>
                <w:snapToGrid w:val="0"/>
                <w:color w:val="auto"/>
                <w:kern w:val="0"/>
                <w:szCs w:val="21"/>
                <w:highlight w:val="none"/>
              </w:rPr>
              <w:t>最终实质性</w:t>
            </w:r>
            <w:r>
              <w:rPr>
                <w:rFonts w:ascii="宋体" w:hAnsi="宋体"/>
                <w:snapToGrid w:val="0"/>
                <w:color w:val="auto"/>
                <w:kern w:val="0"/>
                <w:szCs w:val="21"/>
                <w:highlight w:val="none"/>
              </w:rPr>
              <w:t>答复内容以</w:t>
            </w:r>
            <w:r>
              <w:rPr>
                <w:rFonts w:hint="eastAsia" w:ascii="宋体" w:hAnsi="宋体"/>
                <w:snapToGrid w:val="0"/>
                <w:color w:val="auto"/>
                <w:kern w:val="0"/>
                <w:szCs w:val="21"/>
                <w:highlight w:val="none"/>
              </w:rPr>
              <w:t>修改</w:t>
            </w:r>
            <w:r>
              <w:rPr>
                <w:rFonts w:ascii="宋体" w:hAnsi="宋体"/>
                <w:snapToGrid w:val="0"/>
                <w:color w:val="auto"/>
                <w:kern w:val="0"/>
                <w:szCs w:val="21"/>
                <w:highlight w:val="none"/>
              </w:rPr>
              <w:t>的形式在</w:t>
            </w:r>
            <w:r>
              <w:rPr>
                <w:rFonts w:hint="eastAsia" w:ascii="宋体" w:hAnsi="宋体"/>
                <w:snapToGrid w:val="0"/>
                <w:color w:val="auto"/>
                <w:kern w:val="0"/>
                <w:szCs w:val="21"/>
                <w:highlight w:val="none"/>
                <w:u w:val="single"/>
              </w:rPr>
              <w:t>重庆市公共资源交易网（www.cqggzy.com）</w:t>
            </w:r>
            <w:r>
              <w:rPr>
                <w:rFonts w:hint="eastAsia" w:ascii="宋体" w:hAnsi="宋体"/>
                <w:snapToGrid w:val="0"/>
                <w:color w:val="auto"/>
                <w:kern w:val="0"/>
                <w:szCs w:val="21"/>
                <w:highlight w:val="none"/>
                <w:u w:val="none"/>
              </w:rPr>
              <w:t>澄清修改区</w:t>
            </w:r>
            <w:r>
              <w:rPr>
                <w:rFonts w:ascii="宋体" w:hAnsi="宋体"/>
                <w:snapToGrid w:val="0"/>
                <w:color w:val="auto"/>
                <w:kern w:val="0"/>
                <w:szCs w:val="21"/>
                <w:highlight w:val="none"/>
              </w:rPr>
              <w:t>发布。</w:t>
            </w:r>
            <w:r>
              <w:rPr>
                <w:rFonts w:hint="eastAsia" w:ascii="宋体" w:hAnsi="宋体"/>
                <w:snapToGrid w:val="0"/>
                <w:color w:val="auto"/>
                <w:kern w:val="0"/>
                <w:szCs w:val="21"/>
                <w:highlight w:val="none"/>
              </w:rPr>
              <w:t>修改</w:t>
            </w:r>
            <w:r>
              <w:rPr>
                <w:rFonts w:ascii="宋体" w:hAnsi="宋体"/>
                <w:snapToGrid w:val="0"/>
                <w:color w:val="auto"/>
                <w:kern w:val="0"/>
                <w:szCs w:val="21"/>
                <w:highlight w:val="none"/>
              </w:rPr>
              <w:t>内容可能影响投标文件编制的，须在投标截止时间15日前发布，发布时间至投标截止时间不足15日的，须相应延后投标截止时间。</w:t>
            </w:r>
          </w:p>
        </w:tc>
      </w:tr>
      <w:tr w14:paraId="583C45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64189328">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3.1.1</w:t>
            </w:r>
          </w:p>
        </w:tc>
        <w:tc>
          <w:tcPr>
            <w:tcW w:w="1644" w:type="dxa"/>
            <w:noWrap w:val="0"/>
            <w:vAlign w:val="center"/>
          </w:tcPr>
          <w:p w14:paraId="0D3E1E29">
            <w:pPr>
              <w:snapToGrid w:val="0"/>
              <w:spacing w:after="31" w:afterLines="10" w:line="400" w:lineRule="exact"/>
              <w:jc w:val="center"/>
              <w:rPr>
                <w:rFonts w:ascii="宋体" w:hAnsi="宋体"/>
                <w:color w:val="auto"/>
                <w:kern w:val="0"/>
                <w:szCs w:val="21"/>
                <w:highlight w:val="none"/>
              </w:rPr>
            </w:pPr>
            <w:r>
              <w:rPr>
                <w:rFonts w:ascii="宋体" w:hAnsi="宋体"/>
                <w:color w:val="auto"/>
                <w:kern w:val="0"/>
                <w:szCs w:val="21"/>
                <w:highlight w:val="none"/>
              </w:rPr>
              <w:t>构成投标文件的其他材料</w:t>
            </w:r>
          </w:p>
        </w:tc>
        <w:tc>
          <w:tcPr>
            <w:tcW w:w="6490" w:type="dxa"/>
            <w:noWrap w:val="0"/>
            <w:vAlign w:val="center"/>
          </w:tcPr>
          <w:p w14:paraId="4FCB4782">
            <w:pPr>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投标人的书面澄清、说明和补正（但不得改变投标文件的实质性内容）</w:t>
            </w:r>
          </w:p>
        </w:tc>
      </w:tr>
      <w:tr w14:paraId="0F4D37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FF06DB4">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3.2</w:t>
            </w:r>
          </w:p>
        </w:tc>
        <w:tc>
          <w:tcPr>
            <w:tcW w:w="1644" w:type="dxa"/>
            <w:noWrap w:val="0"/>
            <w:vAlign w:val="center"/>
          </w:tcPr>
          <w:p w14:paraId="2C14C4A8">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投标报价</w:t>
            </w:r>
          </w:p>
        </w:tc>
        <w:tc>
          <w:tcPr>
            <w:tcW w:w="6490" w:type="dxa"/>
            <w:noWrap w:val="0"/>
            <w:vAlign w:val="center"/>
          </w:tcPr>
          <w:p w14:paraId="49B7AB28">
            <w:pPr>
              <w:pStyle w:val="2"/>
              <w:tabs>
                <w:tab w:val="left" w:pos="546"/>
                <w:tab w:val="left" w:pos="711"/>
              </w:tabs>
              <w:snapToGrid w:val="0"/>
              <w:spacing w:after="0" w:line="400" w:lineRule="exact"/>
              <w:ind w:firstLine="420" w:firstLineChars="200"/>
              <w:rPr>
                <w:rFonts w:ascii="宋体" w:hAnsi="宋体" w:cs="宋体"/>
                <w:color w:val="auto"/>
                <w:szCs w:val="21"/>
                <w:highlight w:val="none"/>
              </w:rPr>
            </w:pPr>
            <w:r>
              <w:rPr>
                <w:rFonts w:ascii="宋体" w:hAnsi="宋体"/>
                <w:color w:val="auto"/>
                <w:szCs w:val="21"/>
                <w:highlight w:val="none"/>
              </w:rPr>
              <w:t>1.</w:t>
            </w:r>
            <w:r>
              <w:rPr>
                <w:rFonts w:hint="eastAsia" w:ascii="宋体" w:hAnsi="宋体" w:cs="宋体"/>
                <w:color w:val="auto"/>
                <w:szCs w:val="21"/>
                <w:highlight w:val="none"/>
              </w:rPr>
              <w:t>使用国有资金投资的建设工程发承包，必须采用工程量清单计价。工程量清单应采用综合单价计价。</w:t>
            </w:r>
          </w:p>
          <w:p w14:paraId="2711D4C2">
            <w:pPr>
              <w:pStyle w:val="2"/>
              <w:tabs>
                <w:tab w:val="left" w:pos="546"/>
                <w:tab w:val="left" w:pos="711"/>
              </w:tabs>
              <w:snapToGrid w:val="0"/>
              <w:spacing w:after="0" w:line="400" w:lineRule="exact"/>
              <w:ind w:left="6" w:leftChars="3" w:firstLine="420" w:firstLineChars="200"/>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投标人应按《建设工程工程量清单计价规范》（GB50500-2013）及重庆市相关工程量清单计价规则的要求填写相应清单表格。投标人应按本须知、《重庆市建设工程费用定额》（CQFYDE-2018）、《重庆市住房和城乡建设委员会关于适用增值税新税率调整建设工程计价依据的通知》（渝建〔2019〕143号）和第五章“工程量清单”的要求填写相应清单表格。投标人的投标报价应是本章投标人须知前附表第1.3.1项中所述的本工程合同段招标范围内的全部工程的投标报价，并以投标人在工程量清单中提出的单价或总价</w:t>
            </w:r>
            <w:r>
              <w:rPr>
                <w:rFonts w:ascii="宋体" w:hAnsi="宋体" w:cs="宋体"/>
                <w:color w:val="auto"/>
                <w:szCs w:val="21"/>
                <w:highlight w:val="none"/>
              </w:rPr>
              <w:footnoteReference w:id="0"/>
            </w:r>
            <w:r>
              <w:rPr>
                <w:rFonts w:hint="eastAsia" w:ascii="宋体" w:hAnsi="宋体" w:cs="宋体"/>
                <w:color w:val="auto"/>
                <w:szCs w:val="21"/>
                <w:highlight w:val="none"/>
              </w:rPr>
              <w:t>为依据。</w:t>
            </w:r>
          </w:p>
          <w:p w14:paraId="13E3C7A7">
            <w:pPr>
              <w:tabs>
                <w:tab w:val="left" w:pos="546"/>
                <w:tab w:val="left" w:pos="711"/>
              </w:tabs>
              <w:snapToGrid w:val="0"/>
              <w:spacing w:line="400" w:lineRule="exact"/>
              <w:ind w:left="6" w:leftChars="3" w:firstLine="420" w:firstLineChars="200"/>
              <w:rPr>
                <w:rFonts w:ascii="宋体" w:hAnsi="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投标人应认真填写工程量清单中所列的本合同各工程子目的单价或总价。投标人没有填入单价或总价的工程子目，招标人将认为该子目的价款已包括在工程量清单其他子目的单价和总价中。投标人必须按招标工程量清单填报价格。项目编码、项目名称、项目特征、计量单位、工程量必须与招标工程量清单一致。否则交由评标委员会作</w:t>
            </w:r>
            <w:r>
              <w:rPr>
                <w:rFonts w:hint="eastAsia" w:ascii="宋体" w:hAnsi="宋体"/>
                <w:color w:val="auto"/>
                <w:szCs w:val="21"/>
                <w:highlight w:val="none"/>
              </w:rPr>
              <w:t>否决投标处理。</w:t>
            </w:r>
          </w:p>
          <w:p w14:paraId="15F51541">
            <w:pPr>
              <w:tabs>
                <w:tab w:val="left" w:pos="546"/>
                <w:tab w:val="left" w:pos="711"/>
              </w:tabs>
              <w:snapToGrid w:val="0"/>
              <w:spacing w:line="400" w:lineRule="exact"/>
              <w:ind w:left="6" w:leftChars="3" w:firstLine="420" w:firstLineChars="200"/>
              <w:rPr>
                <w:rFonts w:ascii="宋体" w:hAnsi="宋体" w:cs="宋体"/>
                <w:color w:val="auto"/>
                <w:szCs w:val="21"/>
                <w:highlight w:val="none"/>
              </w:rPr>
            </w:pPr>
            <w:r>
              <w:rPr>
                <w:rFonts w:ascii="宋体" w:hAnsi="宋体" w:cs="宋体"/>
                <w:color w:val="auto"/>
                <w:szCs w:val="21"/>
                <w:highlight w:val="none"/>
              </w:rPr>
              <w:t>4.</w:t>
            </w:r>
            <w:r>
              <w:rPr>
                <w:rFonts w:hint="eastAsia" w:ascii="宋体" w:hAnsi="宋体" w:cs="宋体"/>
                <w:color w:val="auto"/>
                <w:szCs w:val="21"/>
                <w:highlight w:val="none"/>
              </w:rPr>
              <w:t>投标函中的总报价必须与已标价工程量清单总报价一致,且工程量清单总报价与依据单价、工程数量、分部分项工程合价计算出的结果应一致，否则由评标委员会作否决投标处理。</w:t>
            </w:r>
          </w:p>
          <w:p w14:paraId="06EB4871">
            <w:pPr>
              <w:pStyle w:val="2"/>
              <w:tabs>
                <w:tab w:val="left" w:pos="546"/>
                <w:tab w:val="left" w:pos="711"/>
              </w:tabs>
              <w:snapToGrid w:val="0"/>
              <w:spacing w:after="0" w:line="400" w:lineRule="exact"/>
              <w:ind w:left="6" w:leftChars="3" w:firstLine="420" w:firstLineChars="200"/>
              <w:rPr>
                <w:rFonts w:hint="eastAsia" w:ascii="宋体" w:hAnsi="宋体" w:cs="宋体"/>
                <w:color w:val="auto"/>
                <w:szCs w:val="21"/>
                <w:highlight w:val="none"/>
              </w:rPr>
            </w:pPr>
            <w:r>
              <w:rPr>
                <w:rFonts w:ascii="宋体" w:hAnsi="宋体" w:cs="宋体"/>
                <w:color w:val="auto"/>
                <w:szCs w:val="21"/>
                <w:highlight w:val="none"/>
              </w:rPr>
              <w:t>5.</w:t>
            </w:r>
            <w:r>
              <w:rPr>
                <w:rFonts w:hint="eastAsia" w:ascii="宋体" w:hAnsi="宋体" w:cs="宋体"/>
                <w:color w:val="auto"/>
                <w:szCs w:val="21"/>
                <w:highlight w:val="none"/>
                <w:u w:val="single"/>
              </w:rPr>
              <w:t>（1）在合同实施期间，单价和总价按专用合同条款第11条的规定可调整。</w:t>
            </w:r>
          </w:p>
          <w:p w14:paraId="4FE62B39">
            <w:pPr>
              <w:pStyle w:val="2"/>
              <w:tabs>
                <w:tab w:val="left" w:pos="546"/>
                <w:tab w:val="left" w:pos="711"/>
              </w:tabs>
              <w:snapToGrid w:val="0"/>
              <w:spacing w:after="0" w:line="400" w:lineRule="exact"/>
              <w:ind w:left="6" w:leftChars="3"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（2）增值税计税方法由招标人依据国家税法规定选择：</w:t>
            </w:r>
          </w:p>
          <w:p w14:paraId="7CB43A23">
            <w:pPr>
              <w:pStyle w:val="2"/>
              <w:tabs>
                <w:tab w:val="left" w:pos="546"/>
                <w:tab w:val="left" w:pos="711"/>
              </w:tabs>
              <w:snapToGrid w:val="0"/>
              <w:spacing w:after="0" w:line="400" w:lineRule="exact"/>
              <w:ind w:left="6" w:leftChars="3"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□一般计税法</w:t>
            </w:r>
          </w:p>
          <w:p w14:paraId="5FB12840">
            <w:pPr>
              <w:pStyle w:val="2"/>
              <w:tabs>
                <w:tab w:val="left" w:pos="546"/>
                <w:tab w:val="left" w:pos="711"/>
              </w:tabs>
              <w:snapToGrid w:val="0"/>
              <w:spacing w:after="0" w:line="400" w:lineRule="exact"/>
              <w:ind w:left="6" w:leftChars="3" w:firstLine="420" w:firstLineChars="200"/>
              <w:rPr>
                <w:rFonts w:hint="eastAsia" w:ascii="宋体" w:hAnsi="宋体" w:cs="宋体"/>
                <w:color w:val="auto"/>
                <w:szCs w:val="21"/>
                <w:highlight w:val="none"/>
              </w:rPr>
            </w:pPr>
            <w:r>
              <w:rPr>
                <w:rFonts w:hint="eastAsia" w:ascii="宋体" w:hAnsi="宋体" w:cs="宋体"/>
                <w:color w:val="auto"/>
                <w:szCs w:val="21"/>
                <w:highlight w:val="none"/>
              </w:rPr>
              <w:t>□简易计税法</w:t>
            </w:r>
          </w:p>
          <w:p w14:paraId="4B301909">
            <w:pPr>
              <w:pStyle w:val="2"/>
              <w:tabs>
                <w:tab w:val="left" w:pos="546"/>
                <w:tab w:val="left" w:pos="711"/>
              </w:tabs>
              <w:snapToGrid w:val="0"/>
              <w:spacing w:after="0" w:line="400" w:lineRule="exact"/>
              <w:ind w:left="6" w:leftChars="3" w:firstLine="420" w:firstLineChars="200"/>
              <w:rPr>
                <w:rFonts w:ascii="宋体" w:hAnsi="宋体" w:cs="宋体"/>
                <w:i/>
                <w:color w:val="auto"/>
                <w:szCs w:val="21"/>
                <w:highlight w:val="none"/>
              </w:rPr>
            </w:pPr>
            <w:r>
              <w:rPr>
                <w:rFonts w:hint="eastAsia" w:ascii="宋体" w:hAnsi="宋体" w:cs="宋体"/>
                <w:i/>
                <w:color w:val="auto"/>
                <w:szCs w:val="21"/>
                <w:highlight w:val="none"/>
              </w:rPr>
              <w:t>[提示：招标人在编制招标文件时增值税计算方法选其一。]</w:t>
            </w:r>
          </w:p>
          <w:p w14:paraId="6D6566C7">
            <w:pPr>
              <w:pStyle w:val="2"/>
              <w:tabs>
                <w:tab w:val="left" w:pos="546"/>
                <w:tab w:val="left" w:pos="711"/>
              </w:tabs>
              <w:snapToGrid w:val="0"/>
              <w:spacing w:after="0" w:line="400" w:lineRule="exact"/>
              <w:ind w:left="6" w:leftChars="3" w:firstLine="420" w:firstLineChars="200"/>
              <w:rPr>
                <w:rFonts w:ascii="宋体" w:hAnsi="宋体" w:cs="宋体"/>
                <w:color w:val="auto"/>
                <w:szCs w:val="21"/>
                <w:highlight w:val="none"/>
              </w:rPr>
            </w:pPr>
            <w:r>
              <w:rPr>
                <w:rFonts w:ascii="宋体" w:hAnsi="宋体" w:cs="宋体"/>
                <w:color w:val="auto"/>
                <w:szCs w:val="21"/>
                <w:highlight w:val="none"/>
              </w:rPr>
              <w:t>6.</w:t>
            </w:r>
            <w:r>
              <w:rPr>
                <w:rFonts w:hint="eastAsia" w:ascii="宋体" w:hAnsi="宋体" w:cs="宋体"/>
                <w:color w:val="auto"/>
                <w:szCs w:val="21"/>
                <w:highlight w:val="none"/>
              </w:rPr>
              <w:t>如发现工程量清单中的数量与图纸中数量不一致，应于本须知第2.2.1项中规定的时间前书面通知招标人核查，除非招标人以修改的形式予以更正，否则，应以工程量清单中列出的数量为准。</w:t>
            </w:r>
          </w:p>
          <w:p w14:paraId="6FB40F60">
            <w:pPr>
              <w:tabs>
                <w:tab w:val="left" w:pos="546"/>
                <w:tab w:val="left" w:pos="711"/>
              </w:tabs>
              <w:snapToGrid w:val="0"/>
              <w:spacing w:line="400" w:lineRule="exact"/>
              <w:ind w:firstLine="420" w:firstLineChars="200"/>
              <w:rPr>
                <w:rFonts w:ascii="宋体" w:hAnsi="宋体"/>
                <w:color w:val="auto"/>
                <w:szCs w:val="21"/>
                <w:highlight w:val="none"/>
              </w:rPr>
            </w:pPr>
            <w:r>
              <w:rPr>
                <w:rFonts w:ascii="宋体" w:hAnsi="宋体" w:cs="宋体"/>
                <w:color w:val="auto"/>
                <w:szCs w:val="21"/>
                <w:highlight w:val="none"/>
              </w:rPr>
              <w:t>7.</w:t>
            </w:r>
            <w:r>
              <w:rPr>
                <w:rFonts w:hint="eastAsia" w:ascii="宋体" w:hAnsi="宋体" w:cs="宋体"/>
                <w:color w:val="auto"/>
                <w:szCs w:val="21"/>
                <w:highlight w:val="none"/>
              </w:rPr>
              <w:t>招标人在工程量清单中所列出的价格（包括暂列金额、暂估价等），投标人不得修改</w:t>
            </w:r>
            <w:r>
              <w:rPr>
                <w:rFonts w:hint="eastAsia" w:ascii="宋体" w:hAnsi="宋体"/>
                <w:color w:val="auto"/>
                <w:szCs w:val="21"/>
                <w:highlight w:val="none"/>
              </w:rPr>
              <w:t>，否则由评标委员会作否决投标处理。</w:t>
            </w:r>
          </w:p>
          <w:p w14:paraId="6F8ACD79">
            <w:pPr>
              <w:tabs>
                <w:tab w:val="left" w:pos="546"/>
                <w:tab w:val="left" w:pos="711"/>
              </w:tabs>
              <w:snapToGrid w:val="0"/>
              <w:spacing w:line="400" w:lineRule="exact"/>
              <w:ind w:firstLine="420" w:firstLineChars="200"/>
              <w:rPr>
                <w:rFonts w:hint="eastAsia" w:ascii="宋体" w:hAnsi="宋体"/>
                <w:color w:val="auto"/>
                <w:szCs w:val="21"/>
                <w:highlight w:val="none"/>
              </w:rPr>
            </w:pPr>
            <w:r>
              <w:rPr>
                <w:rFonts w:ascii="宋体" w:hAnsi="宋体" w:cs="宋体"/>
                <w:color w:val="auto"/>
                <w:szCs w:val="21"/>
                <w:highlight w:val="none"/>
              </w:rPr>
              <w:t>8.</w:t>
            </w:r>
            <w:r>
              <w:rPr>
                <w:rFonts w:hint="eastAsia" w:ascii="宋体" w:hAnsi="宋体" w:cs="宋体"/>
                <w:color w:val="auto"/>
                <w:szCs w:val="21"/>
                <w:highlight w:val="none"/>
              </w:rPr>
              <w:t>本工程招标将设置投标总报价最高限价，投标总报价最高限价最迟应于投标截止日15日前发布，投标人的投标总报价不得超过投标总报价最高限价，否则由评标委员会作</w:t>
            </w:r>
            <w:r>
              <w:rPr>
                <w:rFonts w:hint="eastAsia" w:ascii="宋体" w:hAnsi="宋体"/>
                <w:color w:val="auto"/>
                <w:szCs w:val="21"/>
                <w:highlight w:val="none"/>
              </w:rPr>
              <w:t>否决投标处理。</w:t>
            </w:r>
          </w:p>
          <w:p w14:paraId="5C9C2DB7">
            <w:pPr>
              <w:tabs>
                <w:tab w:val="left" w:pos="546"/>
                <w:tab w:val="left" w:pos="711"/>
              </w:tabs>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本工程招标将设置全部清单综合单价最高限价，全部清单综合单价最高限价最迟应于投标截止日15日前发布，投标人的每项清单综合单价报价不得超过每项清单综合单价最高限价，否则由评标委员会作否决投标处理。</w:t>
            </w:r>
          </w:p>
          <w:p w14:paraId="13B878F5">
            <w:pPr>
              <w:pStyle w:val="2"/>
              <w:tabs>
                <w:tab w:val="left" w:pos="546"/>
                <w:tab w:val="left" w:pos="711"/>
              </w:tabs>
              <w:snapToGrid w:val="0"/>
              <w:spacing w:after="0" w:line="400" w:lineRule="exact"/>
              <w:ind w:firstLine="420" w:firstLineChars="200"/>
              <w:rPr>
                <w:rFonts w:ascii="宋体" w:hAnsi="宋体" w:cs="宋体"/>
                <w:i/>
                <w:color w:val="auto"/>
                <w:szCs w:val="21"/>
                <w:highlight w:val="none"/>
              </w:rPr>
            </w:pPr>
            <w:r>
              <w:rPr>
                <w:rFonts w:hint="eastAsia" w:ascii="宋体" w:hAnsi="宋体" w:cs="宋体"/>
                <w:i/>
                <w:color w:val="auto"/>
                <w:szCs w:val="21"/>
                <w:highlight w:val="none"/>
              </w:rPr>
              <w:t>[提示：国有资金投资的建设工程招标，招标人必须编制最高限价；不设最高限价的，编制招标文件时取消本条。]</w:t>
            </w:r>
          </w:p>
          <w:p w14:paraId="7C2F70E8">
            <w:pPr>
              <w:pStyle w:val="2"/>
              <w:spacing w:after="0" w:line="400" w:lineRule="exact"/>
              <w:ind w:firstLine="420" w:firstLineChars="200"/>
              <w:rPr>
                <w:rFonts w:ascii="宋体" w:hAnsi="宋体" w:cs="宋体"/>
                <w:color w:val="auto"/>
                <w:szCs w:val="21"/>
                <w:highlight w:val="none"/>
              </w:rPr>
            </w:pPr>
            <w:r>
              <w:rPr>
                <w:rFonts w:ascii="宋体" w:hAnsi="宋体" w:cs="宋体"/>
                <w:color w:val="auto"/>
                <w:szCs w:val="21"/>
                <w:highlight w:val="none"/>
              </w:rPr>
              <w:t>9.安全文明施工费：</w:t>
            </w:r>
          </w:p>
          <w:p w14:paraId="0DB25633">
            <w:pPr>
              <w:pStyle w:val="2"/>
              <w:tabs>
                <w:tab w:val="left" w:pos="546"/>
                <w:tab w:val="left" w:pos="711"/>
              </w:tabs>
              <w:snapToGrid w:val="0"/>
              <w:spacing w:after="0" w:line="400" w:lineRule="exact"/>
              <w:ind w:firstLine="420" w:firstLineChars="200"/>
              <w:rPr>
                <w:rFonts w:ascii="宋体" w:hAnsi="宋体" w:cs="宋体"/>
                <w:color w:val="auto"/>
                <w:szCs w:val="21"/>
                <w:highlight w:val="none"/>
              </w:rPr>
            </w:pPr>
            <w:r>
              <w:rPr>
                <w:rFonts w:ascii="宋体" w:hAnsi="宋体" w:cs="宋体"/>
                <w:color w:val="auto"/>
                <w:szCs w:val="21"/>
                <w:highlight w:val="none"/>
              </w:rPr>
              <w:t>9.1</w:t>
            </w:r>
            <w:r>
              <w:rPr>
                <w:rFonts w:hint="eastAsia" w:ascii="宋体" w:hAnsi="宋体" w:cs="宋体"/>
                <w:color w:val="auto"/>
                <w:szCs w:val="21"/>
                <w:highlight w:val="none"/>
              </w:rPr>
              <w:t>根据《重庆城乡建设委员会关于印发</w:t>
            </w:r>
            <w:r>
              <w:rPr>
                <w:rFonts w:ascii="宋体" w:hAnsi="宋体" w:cs="宋体"/>
                <w:color w:val="auto"/>
                <w:szCs w:val="21"/>
                <w:highlight w:val="none"/>
              </w:rPr>
              <w:t>&lt;</w:t>
            </w:r>
            <w:r>
              <w:rPr>
                <w:rFonts w:hint="eastAsia" w:ascii="宋体" w:hAnsi="宋体" w:cs="宋体"/>
                <w:color w:val="auto"/>
                <w:szCs w:val="21"/>
                <w:highlight w:val="none"/>
              </w:rPr>
              <w:t>重庆市建设工程安全文明施工费计取及使用管理规定</w:t>
            </w:r>
            <w:r>
              <w:rPr>
                <w:rFonts w:ascii="宋体" w:hAnsi="宋体" w:cs="宋体"/>
                <w:color w:val="auto"/>
                <w:szCs w:val="21"/>
                <w:highlight w:val="none"/>
              </w:rPr>
              <w:t>&gt;</w:t>
            </w:r>
            <w:r>
              <w:rPr>
                <w:rFonts w:hint="eastAsia" w:ascii="宋体" w:hAnsi="宋体" w:cs="宋体"/>
                <w:color w:val="auto"/>
                <w:szCs w:val="21"/>
                <w:highlight w:val="none"/>
              </w:rPr>
              <w:t>的通知》（渝建发〔2014〕25号）规定，安全文明施工费由安全施工费、文明施工费、环境保护费及临时设施费组成。</w:t>
            </w:r>
          </w:p>
          <w:p w14:paraId="2CBA01DE">
            <w:pPr>
              <w:pStyle w:val="84"/>
              <w:spacing w:line="400" w:lineRule="exact"/>
              <w:ind w:firstLineChars="200"/>
              <w:rPr>
                <w:color w:val="auto"/>
                <w:sz w:val="21"/>
                <w:szCs w:val="21"/>
                <w:highlight w:val="none"/>
              </w:rPr>
            </w:pPr>
            <w:r>
              <w:rPr>
                <w:color w:val="auto"/>
                <w:sz w:val="21"/>
                <w:szCs w:val="21"/>
                <w:highlight w:val="none"/>
              </w:rPr>
              <w:t>9.2本工程安全文明施工费由招标人根据《建设工程工程量清单计价规范》（GB50500-2013）、《重庆市建设工程工程量清单计价规则》（CQJJGZ-2013）、《</w:t>
            </w:r>
            <w:r>
              <w:rPr>
                <w:rFonts w:hint="eastAsia"/>
                <w:color w:val="auto"/>
                <w:sz w:val="21"/>
                <w:szCs w:val="21"/>
                <w:highlight w:val="none"/>
              </w:rPr>
              <w:t>重庆市城乡建设委员会</w:t>
            </w:r>
            <w:r>
              <w:rPr>
                <w:color w:val="auto"/>
                <w:sz w:val="21"/>
                <w:szCs w:val="21"/>
                <w:highlight w:val="none"/>
              </w:rPr>
              <w:t>关于印发&lt;重庆市建设工程安全文明施工费计取及使用管理规定&gt;的通知》（渝建发</w:t>
            </w:r>
            <w:r>
              <w:rPr>
                <w:rFonts w:hint="eastAsia"/>
                <w:color w:val="auto"/>
                <w:sz w:val="21"/>
                <w:szCs w:val="21"/>
                <w:highlight w:val="none"/>
              </w:rPr>
              <w:t>〔</w:t>
            </w:r>
            <w:r>
              <w:rPr>
                <w:color w:val="auto"/>
                <w:sz w:val="21"/>
                <w:szCs w:val="21"/>
                <w:highlight w:val="none"/>
              </w:rPr>
              <w:t>2014</w:t>
            </w:r>
            <w:r>
              <w:rPr>
                <w:rFonts w:hint="eastAsia"/>
                <w:color w:val="auto"/>
                <w:sz w:val="21"/>
                <w:szCs w:val="21"/>
                <w:highlight w:val="none"/>
              </w:rPr>
              <w:t>〕</w:t>
            </w:r>
            <w:r>
              <w:rPr>
                <w:color w:val="auto"/>
                <w:sz w:val="21"/>
                <w:szCs w:val="21"/>
                <w:highlight w:val="none"/>
              </w:rPr>
              <w:t>25号）</w:t>
            </w:r>
            <w:r>
              <w:rPr>
                <w:rFonts w:hint="eastAsia"/>
                <w:color w:val="auto"/>
                <w:sz w:val="21"/>
                <w:szCs w:val="21"/>
                <w:highlight w:val="none"/>
              </w:rPr>
              <w:t>、《重庆市住房和城乡建设委员会关于调整建设施工现场形象品质提升安全文明施工费计取的通知》（渝建管〔2020〕97号）</w:t>
            </w:r>
            <w:r>
              <w:rPr>
                <w:color w:val="auto"/>
                <w:sz w:val="21"/>
                <w:szCs w:val="21"/>
                <w:highlight w:val="none"/>
              </w:rPr>
              <w:t>、</w:t>
            </w:r>
            <w:r>
              <w:rPr>
                <w:rFonts w:hint="eastAsia"/>
                <w:color w:val="auto"/>
                <w:sz w:val="21"/>
                <w:szCs w:val="21"/>
                <w:highlight w:val="none"/>
              </w:rPr>
              <w:t>《重庆市建设工程费用定额》（CQFYDE-2018）、《重庆市住房和城乡建设委员会关于适用增值税新税率调整建设工程计价依据的通知》（渝建〔2019〕143号）</w:t>
            </w:r>
            <w:r>
              <w:rPr>
                <w:color w:val="auto"/>
                <w:sz w:val="21"/>
                <w:szCs w:val="21"/>
                <w:highlight w:val="none"/>
              </w:rPr>
              <w:t>的相关规定和费用标准单列计算，安全文明施工费为暂定金额，与最高限价一起公布。《投标函》及工程量清单报价中的安全文明施工费必须按照招标人给出的暂定金额填报，否则视为对招标文件不作实质性响应，其投标文件</w:t>
            </w:r>
            <w:r>
              <w:rPr>
                <w:rFonts w:hint="eastAsia"/>
                <w:color w:val="auto"/>
                <w:sz w:val="21"/>
                <w:szCs w:val="21"/>
                <w:highlight w:val="none"/>
              </w:rPr>
              <w:t>由评标委员会</w:t>
            </w:r>
            <w:r>
              <w:rPr>
                <w:color w:val="auto"/>
                <w:sz w:val="21"/>
                <w:szCs w:val="21"/>
                <w:highlight w:val="none"/>
              </w:rPr>
              <w:t>作否决投标处理。</w:t>
            </w:r>
          </w:p>
          <w:p w14:paraId="35E4925D">
            <w:pPr>
              <w:tabs>
                <w:tab w:val="left" w:pos="546"/>
                <w:tab w:val="left" w:pos="711"/>
              </w:tabs>
              <w:snapToGrid w:val="0"/>
              <w:spacing w:line="400" w:lineRule="exact"/>
              <w:ind w:firstLine="420" w:firstLineChars="200"/>
              <w:rPr>
                <w:rFonts w:ascii="宋体" w:hAnsi="宋体" w:cs="宋体"/>
                <w:color w:val="auto"/>
                <w:szCs w:val="21"/>
                <w:highlight w:val="none"/>
              </w:rPr>
            </w:pPr>
            <w:r>
              <w:rPr>
                <w:rFonts w:ascii="宋体" w:hAnsi="宋体"/>
                <w:color w:val="auto"/>
                <w:szCs w:val="21"/>
                <w:highlight w:val="none"/>
              </w:rPr>
              <w:t>10.</w:t>
            </w:r>
            <w:r>
              <w:rPr>
                <w:rFonts w:hint="eastAsia" w:ascii="宋体" w:hAnsi="宋体"/>
                <w:color w:val="auto"/>
                <w:szCs w:val="21"/>
                <w:highlight w:val="none"/>
              </w:rPr>
              <w:t>本工程所需材料（含设备）价格由投标人参照重庆市建设工</w:t>
            </w:r>
            <w:r>
              <w:rPr>
                <w:rFonts w:hint="eastAsia" w:ascii="宋体" w:hAnsi="宋体" w:cs="宋体"/>
                <w:color w:val="auto"/>
                <w:szCs w:val="21"/>
                <w:highlight w:val="none"/>
              </w:rPr>
              <w:t>程造价管理总站发布的《重庆工程造价信息》或工程造价管理机构发布的工程造价信息（造价信息引用时限为招标公告发布日期前一期），并结合市场行情及自身实力进行自主报价。</w:t>
            </w:r>
          </w:p>
          <w:p w14:paraId="4A9C3144">
            <w:pPr>
              <w:pStyle w:val="2"/>
              <w:tabs>
                <w:tab w:val="left" w:pos="546"/>
                <w:tab w:val="left" w:pos="711"/>
              </w:tabs>
              <w:snapToGrid w:val="0"/>
              <w:spacing w:after="0" w:line="400" w:lineRule="exact"/>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11.本项目建筑安装材料价格风险按照《重庆市城乡建设委员会关于进一步加强建筑安装材料价格风险管控的指导意见》（渝建〔2018〕61号）执行。本项目主要材料及设备价格风险内容、范围及调整方法为：</w:t>
            </w:r>
            <w:r>
              <w:rPr>
                <w:rFonts w:hint="eastAsia" w:ascii="宋体" w:hAnsi="宋体" w:cs="宋体"/>
                <w:color w:val="auto"/>
                <w:szCs w:val="21"/>
                <w:highlight w:val="none"/>
                <w:u w:val="single"/>
              </w:rPr>
              <w:t xml:space="preserve">        </w:t>
            </w:r>
          </w:p>
          <w:p w14:paraId="21B00A64">
            <w:pPr>
              <w:pStyle w:val="2"/>
              <w:tabs>
                <w:tab w:val="left" w:pos="546"/>
                <w:tab w:val="left" w:pos="711"/>
              </w:tabs>
              <w:snapToGrid w:val="0"/>
              <w:spacing w:after="0" w:line="400" w:lineRule="exact"/>
              <w:ind w:firstLine="420" w:firstLineChars="200"/>
              <w:rPr>
                <w:rFonts w:ascii="宋体" w:hAnsi="宋体" w:cs="宋体"/>
                <w:color w:val="auto"/>
                <w:szCs w:val="21"/>
                <w:highlight w:val="none"/>
              </w:rPr>
            </w:pPr>
            <w:r>
              <w:rPr>
                <w:rFonts w:ascii="宋体" w:hAnsi="宋体" w:cs="宋体"/>
                <w:color w:val="auto"/>
                <w:szCs w:val="21"/>
                <w:highlight w:val="none"/>
              </w:rPr>
              <w:t>1</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本项目所采用技术、工艺和产品等必须执行重庆市住房和城乡建设委员会关于发布《重庆市建设领域禁止、限制使用落后技术通告（2019年版）（渝建发〔2019〕25号）的规定。</w:t>
            </w:r>
          </w:p>
          <w:p w14:paraId="78DA5897">
            <w:pPr>
              <w:pStyle w:val="2"/>
              <w:tabs>
                <w:tab w:val="left" w:pos="546"/>
                <w:tab w:val="left" w:pos="711"/>
              </w:tabs>
              <w:snapToGrid w:val="0"/>
              <w:spacing w:after="0" w:line="400" w:lineRule="exact"/>
              <w:ind w:firstLine="420" w:firstLineChars="200"/>
              <w:rPr>
                <w:rFonts w:ascii="宋体" w:hAnsi="宋体" w:cs="宋体"/>
                <w:color w:val="auto"/>
                <w:szCs w:val="21"/>
                <w:highlight w:val="none"/>
              </w:rPr>
            </w:pPr>
            <w:r>
              <w:rPr>
                <w:rFonts w:ascii="宋体" w:hAnsi="宋体" w:cs="宋体"/>
                <w:color w:val="auto"/>
                <w:szCs w:val="21"/>
                <w:highlight w:val="none"/>
              </w:rPr>
              <w:t>1</w:t>
            </w:r>
            <w:r>
              <w:rPr>
                <w:rFonts w:hint="eastAsia" w:ascii="宋体" w:hAnsi="宋体" w:cs="宋体"/>
                <w:color w:val="auto"/>
                <w:szCs w:val="21"/>
                <w:highlight w:val="none"/>
              </w:rPr>
              <w:t>3</w:t>
            </w:r>
            <w:r>
              <w:rPr>
                <w:rFonts w:ascii="宋体" w:hAnsi="宋体" w:cs="宋体"/>
                <w:color w:val="auto"/>
                <w:szCs w:val="21"/>
                <w:highlight w:val="none"/>
              </w:rPr>
              <w:t>.</w:t>
            </w:r>
            <w:r>
              <w:rPr>
                <w:rFonts w:hint="eastAsia" w:ascii="宋体" w:hAnsi="宋体" w:cs="宋体"/>
                <w:color w:val="auto"/>
                <w:szCs w:val="21"/>
                <w:highlight w:val="none"/>
              </w:rPr>
              <w:t>本工程主体结构若需混凝土，则必须使用商品混凝土，不得自建搅拌站。</w:t>
            </w:r>
          </w:p>
          <w:p w14:paraId="4E7AA47E">
            <w:pPr>
              <w:pStyle w:val="2"/>
              <w:tabs>
                <w:tab w:val="left" w:pos="546"/>
                <w:tab w:val="left" w:pos="711"/>
              </w:tabs>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1</w:t>
            </w:r>
            <w:r>
              <w:rPr>
                <w:rFonts w:hint="eastAsia" w:ascii="宋体" w:hAnsi="宋体" w:cs="宋体"/>
                <w:color w:val="auto"/>
                <w:szCs w:val="21"/>
                <w:highlight w:val="none"/>
              </w:rPr>
              <w:t>4</w:t>
            </w:r>
            <w:r>
              <w:rPr>
                <w:rFonts w:ascii="宋体" w:hAnsi="宋体" w:cs="宋体"/>
                <w:color w:val="auto"/>
                <w:szCs w:val="21"/>
                <w:highlight w:val="none"/>
              </w:rPr>
              <w:t>.</w:t>
            </w:r>
            <w:r>
              <w:rPr>
                <w:rFonts w:hint="eastAsia" w:ascii="宋体" w:hAnsi="宋体" w:cs="宋体"/>
                <w:color w:val="auto"/>
                <w:szCs w:val="21"/>
                <w:highlight w:val="none"/>
              </w:rPr>
              <w:t>本工程存在跨越既有城市道路的桥梁施工，要求采用无支架施工技术，其技术方案和投标报价按照无支架施工编、报。</w:t>
            </w:r>
          </w:p>
          <w:p w14:paraId="31A2CF50">
            <w:pPr>
              <w:pStyle w:val="2"/>
              <w:tabs>
                <w:tab w:val="left" w:pos="546"/>
                <w:tab w:val="left" w:pos="711"/>
              </w:tabs>
              <w:snapToGrid w:val="0"/>
              <w:spacing w:after="0" w:line="400" w:lineRule="exact"/>
              <w:ind w:firstLine="420" w:firstLineChars="200"/>
              <w:rPr>
                <w:rFonts w:ascii="宋体" w:hAnsi="宋体" w:cs="宋体"/>
                <w:i/>
                <w:color w:val="auto"/>
                <w:szCs w:val="21"/>
                <w:highlight w:val="none"/>
              </w:rPr>
            </w:pPr>
            <w:r>
              <w:rPr>
                <w:rFonts w:hint="eastAsia" w:ascii="宋体" w:hAnsi="宋体" w:cs="宋体"/>
                <w:i/>
                <w:color w:val="auto"/>
                <w:szCs w:val="21"/>
                <w:highlight w:val="none"/>
              </w:rPr>
              <w:t>[提示1：存在跨越既有城市道路的桥梁施工项目招标必须使用此条]</w:t>
            </w:r>
          </w:p>
          <w:p w14:paraId="70F3A48B">
            <w:pPr>
              <w:tabs>
                <w:tab w:val="left" w:pos="546"/>
                <w:tab w:val="left" w:pos="711"/>
              </w:tabs>
              <w:snapToGrid w:val="0"/>
              <w:spacing w:line="400" w:lineRule="exact"/>
              <w:ind w:firstLine="420" w:firstLineChars="200"/>
              <w:rPr>
                <w:rFonts w:ascii="宋体" w:hAnsi="宋体"/>
                <w:color w:val="auto"/>
                <w:szCs w:val="21"/>
                <w:highlight w:val="none"/>
              </w:rPr>
            </w:pPr>
            <w:r>
              <w:rPr>
                <w:rFonts w:hint="eastAsia" w:ascii="宋体" w:hAnsi="宋体" w:cs="宋体"/>
                <w:i/>
                <w:color w:val="auto"/>
                <w:szCs w:val="21"/>
                <w:highlight w:val="none"/>
              </w:rPr>
              <w:t>[提示2：招标人在编制招标文件时，可根据实际情况在3.2款中予以增加相关内容，但增加的内容不得违背法律、法规及规范性文件的规定。]</w:t>
            </w:r>
          </w:p>
        </w:tc>
      </w:tr>
      <w:tr w14:paraId="27F5AE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EFB4AF2">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3.3.1</w:t>
            </w:r>
          </w:p>
        </w:tc>
        <w:tc>
          <w:tcPr>
            <w:tcW w:w="1644" w:type="dxa"/>
            <w:noWrap w:val="0"/>
            <w:vAlign w:val="center"/>
          </w:tcPr>
          <w:p w14:paraId="1DD1DFD6">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投标有效期</w:t>
            </w:r>
          </w:p>
        </w:tc>
        <w:tc>
          <w:tcPr>
            <w:tcW w:w="6490" w:type="dxa"/>
            <w:noWrap w:val="0"/>
            <w:vAlign w:val="center"/>
          </w:tcPr>
          <w:p w14:paraId="2915D724">
            <w:pPr>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u w:val="single"/>
              </w:rPr>
              <w:t xml:space="preserve">       </w:t>
            </w:r>
            <w:r>
              <w:rPr>
                <w:rFonts w:ascii="宋体" w:hAnsi="宋体"/>
                <w:color w:val="auto"/>
                <w:szCs w:val="21"/>
                <w:highlight w:val="none"/>
              </w:rPr>
              <w:t>日历天（从提交投标文件截止日起计算）</w:t>
            </w:r>
          </w:p>
        </w:tc>
      </w:tr>
      <w:tr w14:paraId="1F575C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71E1AC1A">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3.4</w:t>
            </w:r>
          </w:p>
        </w:tc>
        <w:tc>
          <w:tcPr>
            <w:tcW w:w="1644" w:type="dxa"/>
            <w:noWrap w:val="0"/>
            <w:vAlign w:val="center"/>
          </w:tcPr>
          <w:p w14:paraId="465ED827">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投标保证金</w:t>
            </w:r>
          </w:p>
        </w:tc>
        <w:tc>
          <w:tcPr>
            <w:tcW w:w="6490" w:type="dxa"/>
            <w:noWrap w:val="0"/>
            <w:vAlign w:val="center"/>
          </w:tcPr>
          <w:p w14:paraId="42D6E18E">
            <w:pPr>
              <w:snapToGrid w:val="0"/>
              <w:spacing w:line="400" w:lineRule="exact"/>
              <w:ind w:firstLine="420" w:firstLineChars="200"/>
              <w:rPr>
                <w:color w:val="auto"/>
                <w:highlight w:val="none"/>
              </w:rPr>
            </w:pPr>
            <w:r>
              <w:rPr>
                <w:rFonts w:hint="eastAsia"/>
                <w:color w:val="auto"/>
                <w:highlight w:val="none"/>
              </w:rPr>
              <w:t>投标保证金的交纳方式：投标人可选择以下</w:t>
            </w:r>
            <w:r>
              <w:rPr>
                <w:rFonts w:hint="eastAsia"/>
                <w:color w:val="auto"/>
                <w:highlight w:val="none"/>
                <w:lang w:val="en-US" w:eastAsia="zh-CN"/>
              </w:rPr>
              <w:t>三</w:t>
            </w:r>
            <w:r>
              <w:rPr>
                <w:rFonts w:hint="eastAsia"/>
                <w:color w:val="auto"/>
                <w:highlight w:val="none"/>
              </w:rPr>
              <w:t>种方式之一。</w:t>
            </w:r>
          </w:p>
          <w:p w14:paraId="19C9B8E7">
            <w:pPr>
              <w:snapToGrid w:val="0"/>
              <w:spacing w:line="400" w:lineRule="exact"/>
              <w:ind w:firstLine="420" w:firstLineChars="200"/>
              <w:rPr>
                <w:color w:val="auto"/>
                <w:highlight w:val="none"/>
              </w:rPr>
            </w:pPr>
            <w:r>
              <w:rPr>
                <w:rFonts w:hint="eastAsia"/>
                <w:color w:val="auto"/>
                <w:highlight w:val="none"/>
              </w:rPr>
              <w:t>方式一</w:t>
            </w:r>
          </w:p>
          <w:p w14:paraId="0ABE39D5">
            <w:pPr>
              <w:snapToGrid w:val="0"/>
              <w:spacing w:line="400" w:lineRule="exact"/>
              <w:ind w:firstLine="420" w:firstLineChars="200"/>
              <w:rPr>
                <w:color w:val="auto"/>
                <w:highlight w:val="none"/>
              </w:rPr>
            </w:pPr>
            <w:r>
              <w:rPr>
                <w:color w:val="auto"/>
                <w:highlight w:val="none"/>
              </w:rPr>
              <w:t>一、</w:t>
            </w:r>
            <w:r>
              <w:rPr>
                <w:rFonts w:hint="eastAsia"/>
                <w:color w:val="auto"/>
                <w:highlight w:val="none"/>
              </w:rPr>
              <w:t>以电子投标保函形式交纳投标保证金</w:t>
            </w:r>
          </w:p>
          <w:p w14:paraId="4623E95E">
            <w:pPr>
              <w:snapToGrid w:val="0"/>
              <w:spacing w:line="400" w:lineRule="exact"/>
              <w:ind w:firstLine="420" w:firstLineChars="200"/>
              <w:rPr>
                <w:rFonts w:hint="eastAsia"/>
                <w:color w:val="auto"/>
                <w:highlight w:val="none"/>
              </w:rPr>
            </w:pPr>
            <w:r>
              <w:rPr>
                <w:rFonts w:hint="eastAsia"/>
                <w:color w:val="auto"/>
                <w:highlight w:val="none"/>
              </w:rPr>
              <w:t xml:space="preserve">1. </w:t>
            </w:r>
            <w:r>
              <w:rPr>
                <w:rFonts w:hint="eastAsia"/>
                <w:color w:val="auto"/>
                <w:highlight w:val="none"/>
                <w:lang w:val="en-US" w:eastAsia="zh-CN"/>
              </w:rPr>
              <w:t>电子投标保函</w:t>
            </w:r>
            <w:r>
              <w:rPr>
                <w:rFonts w:hint="eastAsia"/>
                <w:color w:val="auto"/>
                <w:highlight w:val="none"/>
              </w:rPr>
              <w:t>交纳形式及要求：投标人在投标截止时间前通过重庆市公共资源交易金融服务平台</w:t>
            </w:r>
            <w:r>
              <w:rPr>
                <w:rFonts w:hint="eastAsia"/>
                <w:color w:val="auto"/>
                <w:highlight w:val="none"/>
                <w:lang w:val="en-US" w:eastAsia="zh-CN"/>
              </w:rPr>
              <w:t>电子投标保函系统</w:t>
            </w:r>
            <w:r>
              <w:rPr>
                <w:rFonts w:hint="eastAsia"/>
                <w:color w:val="auto"/>
                <w:highlight w:val="none"/>
              </w:rPr>
              <w:t>向金融机构申请开具电子投标保函，电子投标保函应至少体现如下内容：①担保项目必须为本项目；②受益人必须为本项目招标人；③保函担保金额必须满足本项目要求；④保函生效时间必须在投标截止时间前，有效期限必须至少包含整个投标有效期；⑤保函须不可撤销且见索即付。</w:t>
            </w:r>
          </w:p>
          <w:p w14:paraId="03CC6E02">
            <w:pPr>
              <w:snapToGrid w:val="0"/>
              <w:spacing w:line="400" w:lineRule="exact"/>
              <w:ind w:firstLine="420" w:firstLineChars="200"/>
              <w:rPr>
                <w:rFonts w:hint="eastAsia"/>
                <w:color w:val="auto"/>
                <w:highlight w:val="none"/>
              </w:rPr>
            </w:pPr>
            <w:r>
              <w:rPr>
                <w:rFonts w:hint="eastAsia"/>
                <w:color w:val="auto"/>
                <w:highlight w:val="none"/>
              </w:rPr>
              <w:t>若投标截止时间延期，则</w:t>
            </w:r>
            <w:r>
              <w:rPr>
                <w:rFonts w:hint="eastAsia"/>
                <w:color w:val="auto"/>
                <w:highlight w:val="none"/>
                <w:lang w:val="en-US" w:eastAsia="zh-CN"/>
              </w:rPr>
              <w:t>电子投标保函</w:t>
            </w:r>
            <w:r>
              <w:rPr>
                <w:rFonts w:hint="eastAsia"/>
                <w:color w:val="auto"/>
                <w:highlight w:val="none"/>
              </w:rPr>
              <w:t>提交的截止时间和投标截止时间</w:t>
            </w:r>
            <w:r>
              <w:rPr>
                <w:rFonts w:hint="eastAsia"/>
                <w:color w:val="auto"/>
                <w:highlight w:val="none"/>
                <w:lang w:val="en-US" w:eastAsia="zh-CN"/>
              </w:rPr>
              <w:t>应当</w:t>
            </w:r>
            <w:r>
              <w:rPr>
                <w:rFonts w:hint="eastAsia"/>
                <w:color w:val="auto"/>
                <w:highlight w:val="none"/>
              </w:rPr>
              <w:t>保持一致。</w:t>
            </w:r>
          </w:p>
          <w:p w14:paraId="45545976">
            <w:pPr>
              <w:snapToGrid w:val="0"/>
              <w:spacing w:line="400" w:lineRule="exact"/>
              <w:ind w:firstLine="420" w:firstLineChars="200"/>
              <w:rPr>
                <w:color w:val="auto"/>
                <w:highlight w:val="none"/>
              </w:rPr>
            </w:pPr>
            <w:r>
              <w:rPr>
                <w:rFonts w:hint="eastAsia" w:ascii="宋体" w:hAnsi="宋体"/>
                <w:color w:val="auto"/>
                <w:kern w:val="0"/>
                <w:szCs w:val="21"/>
                <w:highlight w:val="none"/>
                <w:lang w:val="en-US" w:eastAsia="zh-CN"/>
              </w:rPr>
              <w:t>不满足上述要求的电子</w:t>
            </w:r>
            <w:r>
              <w:rPr>
                <w:rFonts w:ascii="宋体" w:hAnsi="宋体"/>
                <w:color w:val="auto"/>
                <w:kern w:val="0"/>
                <w:szCs w:val="21"/>
                <w:highlight w:val="none"/>
              </w:rPr>
              <w:t>投标保函无效。</w:t>
            </w:r>
          </w:p>
          <w:p w14:paraId="774AA5BA">
            <w:pPr>
              <w:snapToGrid w:val="0"/>
              <w:spacing w:line="400" w:lineRule="exact"/>
              <w:ind w:firstLine="420" w:firstLineChars="200"/>
              <w:rPr>
                <w:color w:val="auto"/>
                <w:highlight w:val="none"/>
              </w:rPr>
            </w:pPr>
            <w:r>
              <w:rPr>
                <w:color w:val="auto"/>
                <w:highlight w:val="none"/>
              </w:rPr>
              <w:t>2</w:t>
            </w:r>
            <w:r>
              <w:rPr>
                <w:rFonts w:hint="eastAsia"/>
                <w:color w:val="auto"/>
                <w:highlight w:val="none"/>
              </w:rPr>
              <w:t>. 以</w:t>
            </w:r>
            <w:r>
              <w:rPr>
                <w:rFonts w:hint="eastAsia"/>
                <w:color w:val="auto"/>
                <w:highlight w:val="none"/>
                <w:lang w:val="en-US" w:eastAsia="zh-CN"/>
              </w:rPr>
              <w:t>电子投标</w:t>
            </w:r>
            <w:r>
              <w:rPr>
                <w:rFonts w:hint="eastAsia"/>
                <w:color w:val="auto"/>
                <w:highlight w:val="none"/>
              </w:rPr>
              <w:t>保函形式担保的</w:t>
            </w:r>
            <w:r>
              <w:rPr>
                <w:color w:val="auto"/>
                <w:highlight w:val="none"/>
              </w:rPr>
              <w:t>投标保证金的金额：</w:t>
            </w:r>
            <w:r>
              <w:rPr>
                <w:color w:val="auto"/>
                <w:highlight w:val="none"/>
                <w:u w:val="single"/>
              </w:rPr>
              <w:t xml:space="preserve">    </w:t>
            </w:r>
            <w:r>
              <w:rPr>
                <w:rFonts w:hint="eastAsia"/>
                <w:color w:val="auto"/>
                <w:highlight w:val="none"/>
                <w:u w:val="single"/>
                <w:lang w:val="en-US" w:eastAsia="zh-CN"/>
              </w:rPr>
              <w:t xml:space="preserve">  </w:t>
            </w:r>
            <w:r>
              <w:rPr>
                <w:color w:val="auto"/>
                <w:highlight w:val="none"/>
              </w:rPr>
              <w:t>万元整（人民币）</w:t>
            </w:r>
          </w:p>
          <w:p w14:paraId="6EF11F33">
            <w:pPr>
              <w:snapToGrid w:val="0"/>
              <w:spacing w:line="400" w:lineRule="exact"/>
              <w:ind w:firstLine="420" w:firstLineChars="200"/>
              <w:rPr>
                <w:color w:val="auto"/>
                <w:highlight w:val="none"/>
              </w:rPr>
            </w:pPr>
            <w:r>
              <w:rPr>
                <w:rFonts w:hint="eastAsia"/>
                <w:i/>
                <w:iCs/>
                <w:color w:val="auto"/>
                <w:highlight w:val="none"/>
              </w:rPr>
              <w:t>[提示：投标保证金金额不超过该招标项目估算价或经批准的概算金额或最高限价的2%，重庆市工程建设领域招标投标守信激励对象名单（以下称红名单）中的投标人投标保证金金额可减半</w:t>
            </w:r>
            <w:r>
              <w:rPr>
                <w:rFonts w:hint="default" w:ascii="Times New Roman" w:hAnsi="Times New Roman"/>
                <w:i/>
                <w:iCs/>
                <w:color w:val="auto"/>
                <w:kern w:val="2"/>
                <w:szCs w:val="24"/>
                <w:highlight w:val="none"/>
                <w:u w:val="none"/>
              </w:rPr>
              <w:t>（红名单建立完善后使用；联合体投标的，须联合体牵头人在红名单中）</w:t>
            </w:r>
            <w:r>
              <w:rPr>
                <w:rFonts w:hint="eastAsia"/>
                <w:i/>
                <w:iCs/>
                <w:color w:val="auto"/>
                <w:highlight w:val="none"/>
              </w:rPr>
              <w:t>。]</w:t>
            </w:r>
          </w:p>
          <w:p w14:paraId="605A5BF6">
            <w:pPr>
              <w:rPr>
                <w:color w:val="auto"/>
                <w:highlight w:val="none"/>
              </w:rPr>
            </w:pPr>
            <w:r>
              <w:rPr>
                <w:rFonts w:hint="eastAsia"/>
                <w:color w:val="auto"/>
                <w:highlight w:val="none"/>
              </w:rPr>
              <w:t xml:space="preserve">3. </w:t>
            </w:r>
            <w:r>
              <w:rPr>
                <w:rFonts w:hint="eastAsia"/>
                <w:color w:val="auto"/>
                <w:highlight w:val="none"/>
                <w:lang w:val="en-US" w:eastAsia="zh-CN"/>
              </w:rPr>
              <w:t>电子</w:t>
            </w:r>
            <w:r>
              <w:rPr>
                <w:rFonts w:hint="eastAsia"/>
                <w:color w:val="auto"/>
                <w:highlight w:val="none"/>
              </w:rPr>
              <w:t>投标保函</w:t>
            </w:r>
          </w:p>
          <w:p w14:paraId="169FDE98">
            <w:pPr>
              <w:snapToGrid w:val="0"/>
              <w:spacing w:line="400" w:lineRule="exact"/>
              <w:ind w:firstLine="420" w:firstLineChars="200"/>
              <w:rPr>
                <w:color w:val="auto"/>
                <w:highlight w:val="none"/>
              </w:rPr>
            </w:pPr>
            <w:r>
              <w:rPr>
                <w:rFonts w:hint="eastAsia"/>
                <w:color w:val="auto"/>
                <w:highlight w:val="none"/>
              </w:rPr>
              <w:t>以</w:t>
            </w:r>
            <w:r>
              <w:rPr>
                <w:rFonts w:hint="eastAsia"/>
                <w:color w:val="auto"/>
                <w:highlight w:val="none"/>
                <w:u w:val="single"/>
              </w:rPr>
              <w:t>重庆市公共资源交易中心</w:t>
            </w:r>
            <w:r>
              <w:rPr>
                <w:rFonts w:hint="eastAsia"/>
                <w:color w:val="auto"/>
                <w:highlight w:val="none"/>
              </w:rPr>
              <w:t>开标现场</w:t>
            </w:r>
            <w:r>
              <w:rPr>
                <w:rFonts w:hint="eastAsia"/>
                <w:color w:val="auto"/>
                <w:highlight w:val="none"/>
                <w:lang w:val="en-US" w:eastAsia="zh-CN"/>
              </w:rPr>
              <w:t>展示</w:t>
            </w:r>
            <w:r>
              <w:rPr>
                <w:rFonts w:hint="eastAsia"/>
                <w:color w:val="auto"/>
                <w:highlight w:val="none"/>
              </w:rPr>
              <w:t>的</w:t>
            </w:r>
            <w:r>
              <w:rPr>
                <w:rFonts w:hint="eastAsia"/>
                <w:color w:val="auto"/>
                <w:highlight w:val="none"/>
                <w:lang w:val="en-US" w:eastAsia="zh-CN"/>
              </w:rPr>
              <w:t>电子</w:t>
            </w:r>
            <w:r>
              <w:rPr>
                <w:rFonts w:hint="eastAsia"/>
                <w:color w:val="auto"/>
                <w:highlight w:val="none"/>
              </w:rPr>
              <w:t>投标保函交纳情况为准。</w:t>
            </w:r>
          </w:p>
          <w:p w14:paraId="68FBD001">
            <w:pPr>
              <w:snapToGrid w:val="0"/>
              <w:spacing w:line="400" w:lineRule="exact"/>
              <w:ind w:firstLine="420" w:firstLineChars="200"/>
              <w:rPr>
                <w:color w:val="auto"/>
                <w:highlight w:val="none"/>
              </w:rPr>
            </w:pPr>
            <w:r>
              <w:rPr>
                <w:rFonts w:hint="eastAsia"/>
                <w:color w:val="auto"/>
                <w:highlight w:val="none"/>
              </w:rPr>
              <w:t>4.</w:t>
            </w:r>
            <w:r>
              <w:rPr>
                <w:color w:val="auto"/>
                <w:highlight w:val="none"/>
              </w:rPr>
              <w:t xml:space="preserve"> </w:t>
            </w:r>
            <w:r>
              <w:rPr>
                <w:rFonts w:hint="eastAsia"/>
                <w:color w:val="auto"/>
                <w:highlight w:val="none"/>
              </w:rPr>
              <w:t>若投标人为联合体，则由联合体牵头人提供</w:t>
            </w:r>
            <w:r>
              <w:rPr>
                <w:rFonts w:hint="eastAsia"/>
                <w:color w:val="auto"/>
                <w:highlight w:val="none"/>
                <w:lang w:val="en-US" w:eastAsia="zh-CN"/>
              </w:rPr>
              <w:t>电子</w:t>
            </w:r>
            <w:r>
              <w:rPr>
                <w:rFonts w:hint="eastAsia"/>
                <w:color w:val="auto"/>
                <w:highlight w:val="none"/>
              </w:rPr>
              <w:t>投标保函。</w:t>
            </w:r>
          </w:p>
          <w:p w14:paraId="4A9715BD">
            <w:pPr>
              <w:snapToGrid w:val="0"/>
              <w:spacing w:line="400" w:lineRule="exact"/>
              <w:ind w:firstLine="420" w:firstLineChars="200"/>
              <w:rPr>
                <w:color w:val="auto"/>
                <w:highlight w:val="none"/>
              </w:rPr>
            </w:pPr>
            <w:r>
              <w:rPr>
                <w:color w:val="auto"/>
                <w:highlight w:val="none"/>
              </w:rPr>
              <w:t>二、</w:t>
            </w:r>
            <w:r>
              <w:rPr>
                <w:rFonts w:hint="eastAsia"/>
                <w:color w:val="auto"/>
                <w:highlight w:val="none"/>
                <w:lang w:val="en-US" w:eastAsia="zh-CN"/>
              </w:rPr>
              <w:t>电子</w:t>
            </w:r>
            <w:r>
              <w:rPr>
                <w:color w:val="auto"/>
                <w:highlight w:val="none"/>
              </w:rPr>
              <w:t>投标保函的</w:t>
            </w:r>
            <w:r>
              <w:rPr>
                <w:rFonts w:hint="eastAsia"/>
                <w:color w:val="auto"/>
                <w:highlight w:val="none"/>
              </w:rPr>
              <w:t>注销</w:t>
            </w:r>
          </w:p>
          <w:p w14:paraId="4330F891">
            <w:pPr>
              <w:snapToGrid w:val="0"/>
              <w:spacing w:line="400" w:lineRule="exact"/>
              <w:ind w:firstLine="420" w:firstLineChars="200"/>
              <w:rPr>
                <w:color w:val="auto"/>
                <w:highlight w:val="none"/>
              </w:rPr>
            </w:pPr>
            <w:r>
              <w:rPr>
                <w:rFonts w:hint="eastAsia"/>
                <w:color w:val="auto"/>
                <w:highlight w:val="none"/>
              </w:rPr>
              <w:t>招标人应当在法定时间内确定中标人。招标人应当在中标通知书发出后2个工作日内将中标通知书和</w:t>
            </w:r>
            <w:r>
              <w:rPr>
                <w:rFonts w:hint="eastAsia"/>
                <w:color w:val="auto"/>
                <w:highlight w:val="none"/>
                <w:lang w:eastAsia="zh-CN"/>
              </w:rPr>
              <w:t>电子投标保函</w:t>
            </w:r>
            <w:r>
              <w:rPr>
                <w:rFonts w:hint="eastAsia"/>
                <w:color w:val="auto"/>
                <w:highlight w:val="none"/>
              </w:rPr>
              <w:t>退还通知抄告</w:t>
            </w:r>
            <w:r>
              <w:rPr>
                <w:rFonts w:hint="eastAsia"/>
                <w:color w:val="auto"/>
                <w:highlight w:val="none"/>
                <w:u w:val="single"/>
              </w:rPr>
              <w:t>重庆市公共资源交易中心</w:t>
            </w:r>
            <w:r>
              <w:rPr>
                <w:rFonts w:hint="eastAsia"/>
                <w:color w:val="auto"/>
                <w:highlight w:val="none"/>
              </w:rPr>
              <w:t>，</w:t>
            </w:r>
            <w:r>
              <w:rPr>
                <w:rFonts w:hint="eastAsia"/>
                <w:color w:val="auto"/>
                <w:highlight w:val="none"/>
                <w:u w:val="single"/>
              </w:rPr>
              <w:t>重庆市公共资源交易中心</w:t>
            </w:r>
            <w:r>
              <w:rPr>
                <w:rFonts w:hint="eastAsia"/>
                <w:color w:val="auto"/>
                <w:highlight w:val="none"/>
              </w:rPr>
              <w:t>在收到</w:t>
            </w:r>
            <w:r>
              <w:rPr>
                <w:rFonts w:hint="eastAsia"/>
                <w:color w:val="auto"/>
                <w:highlight w:val="none"/>
                <w:lang w:eastAsia="zh-CN"/>
              </w:rPr>
              <w:t>电子投标保函</w:t>
            </w:r>
            <w:r>
              <w:rPr>
                <w:rFonts w:hint="eastAsia"/>
                <w:color w:val="auto"/>
                <w:highlight w:val="none"/>
              </w:rPr>
              <w:t>退还通知后2个工作日内，将保函注销信息推送给重庆市公共资源交易金融服务平台，由保函出具机构注销除中标人和中标候选人以外的投标人电子投标保函。</w:t>
            </w:r>
          </w:p>
          <w:p w14:paraId="4DC69F15">
            <w:pPr>
              <w:spacing w:line="400" w:lineRule="exact"/>
              <w:ind w:firstLine="420" w:firstLineChars="200"/>
              <w:rPr>
                <w:color w:val="auto"/>
                <w:highlight w:val="none"/>
              </w:rPr>
            </w:pPr>
            <w:r>
              <w:rPr>
                <w:rFonts w:hint="eastAsia"/>
                <w:color w:val="auto"/>
                <w:highlight w:val="none"/>
              </w:rPr>
              <w:t>招标人应当在法定时间内和中标人签订合同。招标人应当在合同生效后2个工作日内将签订的合同和</w:t>
            </w:r>
            <w:r>
              <w:rPr>
                <w:rFonts w:hint="eastAsia"/>
                <w:color w:val="auto"/>
                <w:highlight w:val="none"/>
                <w:lang w:eastAsia="zh-CN"/>
              </w:rPr>
              <w:t>电子投标保函</w:t>
            </w:r>
            <w:r>
              <w:rPr>
                <w:rFonts w:hint="eastAsia"/>
                <w:color w:val="auto"/>
                <w:highlight w:val="none"/>
              </w:rPr>
              <w:t>退还通知抄告</w:t>
            </w:r>
            <w:r>
              <w:rPr>
                <w:rFonts w:hint="eastAsia"/>
                <w:color w:val="auto"/>
                <w:highlight w:val="none"/>
                <w:u w:val="single"/>
              </w:rPr>
              <w:t>重庆市公共资源交易中心</w:t>
            </w:r>
            <w:r>
              <w:rPr>
                <w:rFonts w:hint="eastAsia"/>
                <w:color w:val="auto"/>
                <w:highlight w:val="none"/>
              </w:rPr>
              <w:t>，</w:t>
            </w:r>
            <w:r>
              <w:rPr>
                <w:rFonts w:hint="eastAsia"/>
                <w:color w:val="auto"/>
                <w:highlight w:val="none"/>
                <w:u w:val="single"/>
              </w:rPr>
              <w:t>重庆市公共资源交易中心</w:t>
            </w:r>
            <w:r>
              <w:rPr>
                <w:rFonts w:hint="eastAsia"/>
                <w:color w:val="auto"/>
                <w:highlight w:val="none"/>
              </w:rPr>
              <w:t>在收到</w:t>
            </w:r>
            <w:r>
              <w:rPr>
                <w:rFonts w:hint="eastAsia"/>
                <w:color w:val="auto"/>
                <w:highlight w:val="none"/>
                <w:lang w:eastAsia="zh-CN"/>
              </w:rPr>
              <w:t>电子投标保函</w:t>
            </w:r>
            <w:r>
              <w:rPr>
                <w:rFonts w:hint="eastAsia"/>
                <w:color w:val="auto"/>
                <w:highlight w:val="none"/>
              </w:rPr>
              <w:t>退还通知后2个工作日内，将保函注销信息推送给重庆市公共资源交易金融服务平台，由保函出具机构注销中标人和中标候选人</w:t>
            </w:r>
            <w:r>
              <w:rPr>
                <w:rFonts w:hint="eastAsia"/>
                <w:color w:val="auto"/>
                <w:highlight w:val="none"/>
                <w:lang w:val="en-US" w:eastAsia="zh-CN"/>
              </w:rPr>
              <w:t>的</w:t>
            </w:r>
            <w:r>
              <w:rPr>
                <w:rFonts w:hint="eastAsia"/>
                <w:color w:val="auto"/>
                <w:highlight w:val="none"/>
              </w:rPr>
              <w:t>电子投标保函。</w:t>
            </w:r>
          </w:p>
          <w:p w14:paraId="42C1574E">
            <w:pPr>
              <w:snapToGrid w:val="0"/>
              <w:spacing w:line="400" w:lineRule="exact"/>
              <w:ind w:firstLine="420" w:firstLineChars="200"/>
              <w:rPr>
                <w:color w:val="auto"/>
                <w:highlight w:val="none"/>
              </w:rPr>
            </w:pPr>
          </w:p>
          <w:p w14:paraId="5220C84D">
            <w:pPr>
              <w:snapToGrid w:val="0"/>
              <w:spacing w:line="400" w:lineRule="exact"/>
              <w:ind w:firstLine="420" w:firstLineChars="200"/>
              <w:rPr>
                <w:color w:val="auto"/>
                <w:highlight w:val="none"/>
              </w:rPr>
            </w:pPr>
            <w:r>
              <w:rPr>
                <w:rFonts w:hint="eastAsia"/>
                <w:color w:val="auto"/>
                <w:highlight w:val="none"/>
              </w:rPr>
              <w:t>方式二</w:t>
            </w:r>
          </w:p>
          <w:p w14:paraId="36898902">
            <w:pPr>
              <w:snapToGrid w:val="0"/>
              <w:spacing w:line="400" w:lineRule="exact"/>
              <w:ind w:firstLine="420" w:firstLineChars="200"/>
              <w:rPr>
                <w:color w:val="auto"/>
                <w:highlight w:val="none"/>
              </w:rPr>
            </w:pPr>
            <w:r>
              <w:rPr>
                <w:rFonts w:hint="eastAsia"/>
                <w:color w:val="auto"/>
                <w:highlight w:val="none"/>
              </w:rPr>
              <w:t>一、以转账支票或电汇形式交纳投标保证金</w:t>
            </w:r>
          </w:p>
          <w:p w14:paraId="45DB0538">
            <w:pPr>
              <w:snapToGrid w:val="0"/>
              <w:spacing w:line="400" w:lineRule="exact"/>
              <w:ind w:firstLine="420" w:firstLineChars="200"/>
              <w:rPr>
                <w:color w:val="auto"/>
                <w:highlight w:val="none"/>
              </w:rPr>
            </w:pPr>
            <w:r>
              <w:rPr>
                <w:rFonts w:hint="eastAsia"/>
                <w:color w:val="auto"/>
                <w:highlight w:val="none"/>
              </w:rPr>
              <w:t>1、投标保证金交款形式及要求：投标人从企业的基本账户（开户行）在投标截止时间前通过转账支票直接划付或以电汇方式直接划付至下面指定的投标保证金账户。若投标截止时间延期，则投标保证金提交的截止时间和投标截止时间</w:t>
            </w:r>
            <w:r>
              <w:rPr>
                <w:rFonts w:hint="eastAsia"/>
                <w:color w:val="auto"/>
                <w:highlight w:val="none"/>
                <w:lang w:val="en-US" w:eastAsia="zh-CN"/>
              </w:rPr>
              <w:t>应当</w:t>
            </w:r>
            <w:r>
              <w:rPr>
                <w:rFonts w:hint="eastAsia"/>
                <w:color w:val="auto"/>
                <w:highlight w:val="none"/>
              </w:rPr>
              <w:t>保持一致。</w:t>
            </w:r>
            <w:r>
              <w:rPr>
                <w:rFonts w:hint="eastAsia" w:ascii="宋体" w:hAnsi="宋体"/>
                <w:color w:val="auto"/>
                <w:kern w:val="0"/>
                <w:szCs w:val="21"/>
                <w:highlight w:val="none"/>
                <w:lang w:val="en-US" w:eastAsia="zh-CN"/>
              </w:rPr>
              <w:t>不满足上述要求的投标保证金</w:t>
            </w:r>
            <w:r>
              <w:rPr>
                <w:rFonts w:ascii="宋体" w:hAnsi="宋体"/>
                <w:color w:val="auto"/>
                <w:kern w:val="0"/>
                <w:szCs w:val="21"/>
                <w:highlight w:val="none"/>
              </w:rPr>
              <w:t>无效。</w:t>
            </w:r>
          </w:p>
          <w:p w14:paraId="7A6091F8">
            <w:pPr>
              <w:snapToGrid w:val="0"/>
              <w:spacing w:line="400" w:lineRule="exact"/>
              <w:ind w:firstLine="420" w:firstLineChars="200"/>
              <w:rPr>
                <w:color w:val="auto"/>
                <w:highlight w:val="none"/>
              </w:rPr>
            </w:pPr>
            <w:r>
              <w:rPr>
                <w:rFonts w:hint="eastAsia"/>
                <w:color w:val="auto"/>
                <w:highlight w:val="none"/>
              </w:rPr>
              <w:t>投标人自行考虑汇入时间风险，如同城汇入、异地汇入、跨行汇入的时间要求。</w:t>
            </w:r>
          </w:p>
          <w:p w14:paraId="6A00F4F0">
            <w:pPr>
              <w:snapToGrid w:val="0"/>
              <w:spacing w:line="400" w:lineRule="exact"/>
              <w:ind w:firstLine="420" w:firstLineChars="200"/>
              <w:rPr>
                <w:color w:val="auto"/>
                <w:highlight w:val="none"/>
              </w:rPr>
            </w:pPr>
            <w:r>
              <w:rPr>
                <w:rFonts w:hint="eastAsia"/>
                <w:color w:val="auto"/>
                <w:highlight w:val="none"/>
              </w:rPr>
              <w:t>2、以转账支票或电汇形式提交投标保证金的金额：</w:t>
            </w:r>
            <w:r>
              <w:rPr>
                <w:rFonts w:hint="eastAsia"/>
                <w:color w:val="auto"/>
                <w:highlight w:val="none"/>
                <w:u w:val="single"/>
              </w:rPr>
              <w:t xml:space="preserve">    </w:t>
            </w:r>
            <w:r>
              <w:rPr>
                <w:rFonts w:hint="eastAsia"/>
                <w:color w:val="auto"/>
                <w:highlight w:val="none"/>
              </w:rPr>
              <w:t>万元整（人民币）</w:t>
            </w:r>
          </w:p>
          <w:p w14:paraId="635AA8E5">
            <w:pPr>
              <w:snapToGrid w:val="0"/>
              <w:spacing w:line="400" w:lineRule="exact"/>
              <w:ind w:firstLine="420" w:firstLineChars="200"/>
              <w:rPr>
                <w:i/>
                <w:iCs/>
                <w:color w:val="auto"/>
                <w:highlight w:val="none"/>
              </w:rPr>
            </w:pPr>
            <w:bookmarkStart w:id="156" w:name="_Hlk45893164"/>
            <w:r>
              <w:rPr>
                <w:rFonts w:hint="eastAsia"/>
                <w:i/>
                <w:iCs/>
                <w:color w:val="auto"/>
                <w:highlight w:val="none"/>
              </w:rPr>
              <w:t>[提示：投标保证金金额不超过该招标项目估算价或经批准的概算金额或最高限价的2%，红名单中的投标人投标保证金金额可减半</w:t>
            </w:r>
            <w:r>
              <w:rPr>
                <w:rFonts w:hint="default" w:ascii="Times New Roman" w:hAnsi="Times New Roman"/>
                <w:i/>
                <w:iCs/>
                <w:color w:val="auto"/>
                <w:kern w:val="2"/>
                <w:szCs w:val="24"/>
                <w:highlight w:val="none"/>
                <w:u w:val="none"/>
              </w:rPr>
              <w:t>（红名单建立完善后使用；联合体投标的，须联合体牵头人在红名单中）</w:t>
            </w:r>
            <w:r>
              <w:rPr>
                <w:rFonts w:hint="eastAsia"/>
                <w:i/>
                <w:iCs/>
                <w:color w:val="auto"/>
                <w:highlight w:val="none"/>
              </w:rPr>
              <w:t>。]</w:t>
            </w:r>
          </w:p>
          <w:bookmarkEnd w:id="156"/>
          <w:p w14:paraId="0840BF15">
            <w:pPr>
              <w:snapToGrid w:val="0"/>
              <w:spacing w:line="400" w:lineRule="exact"/>
              <w:ind w:firstLine="420" w:firstLineChars="200"/>
              <w:rPr>
                <w:color w:val="auto"/>
                <w:highlight w:val="none"/>
              </w:rPr>
            </w:pPr>
            <w:r>
              <w:rPr>
                <w:rFonts w:hint="eastAsia"/>
                <w:color w:val="auto"/>
                <w:highlight w:val="none"/>
              </w:rPr>
              <w:t>3、投标保证金账户及账号（任选其一）：</w:t>
            </w:r>
          </w:p>
          <w:p w14:paraId="340FBCE7">
            <w:pPr>
              <w:snapToGrid w:val="0"/>
              <w:spacing w:line="400" w:lineRule="exact"/>
              <w:ind w:firstLine="420" w:firstLineChars="200"/>
              <w:rPr>
                <w:color w:val="auto"/>
                <w:highlight w:val="none"/>
              </w:rPr>
            </w:pPr>
            <w:r>
              <w:rPr>
                <w:rFonts w:hint="eastAsia"/>
                <w:color w:val="auto"/>
                <w:highlight w:val="none"/>
              </w:rPr>
              <w:t>详见</w:t>
            </w:r>
            <w:r>
              <w:rPr>
                <w:rFonts w:hint="eastAsia"/>
                <w:color w:val="auto"/>
                <w:highlight w:val="none"/>
                <w:u w:val="single"/>
              </w:rPr>
              <w:t>重庆市公共资源交易网（www.cqggzy.com）</w:t>
            </w:r>
            <w:r>
              <w:rPr>
                <w:rFonts w:hint="eastAsia"/>
                <w:color w:val="auto"/>
                <w:highlight w:val="none"/>
              </w:rPr>
              <w:t>对应本项目招标公告信息栏中的保证金信息。</w:t>
            </w:r>
          </w:p>
          <w:p w14:paraId="0FBF7D1D">
            <w:pPr>
              <w:snapToGrid w:val="0"/>
              <w:spacing w:line="400" w:lineRule="exact"/>
              <w:ind w:firstLine="420" w:firstLineChars="200"/>
              <w:rPr>
                <w:color w:val="auto"/>
                <w:highlight w:val="none"/>
              </w:rPr>
            </w:pPr>
            <w:r>
              <w:rPr>
                <w:rFonts w:hint="eastAsia"/>
                <w:color w:val="auto"/>
                <w:highlight w:val="none"/>
              </w:rPr>
              <w:t>投标保证金以</w:t>
            </w:r>
            <w:r>
              <w:rPr>
                <w:rFonts w:hint="eastAsia"/>
                <w:color w:val="auto"/>
                <w:highlight w:val="none"/>
                <w:u w:val="single"/>
              </w:rPr>
              <w:t>重庆市公共资源交易中心</w:t>
            </w:r>
            <w:r>
              <w:rPr>
                <w:rFonts w:hint="eastAsia"/>
                <w:color w:val="auto"/>
                <w:highlight w:val="none"/>
              </w:rPr>
              <w:t>开标现场</w:t>
            </w:r>
            <w:r>
              <w:rPr>
                <w:rFonts w:hint="eastAsia"/>
                <w:color w:val="auto"/>
                <w:highlight w:val="none"/>
                <w:lang w:val="en-US" w:eastAsia="zh-CN"/>
              </w:rPr>
              <w:t>展示</w:t>
            </w:r>
            <w:r>
              <w:rPr>
                <w:rFonts w:hint="eastAsia"/>
                <w:color w:val="auto"/>
                <w:highlight w:val="none"/>
              </w:rPr>
              <w:t>的保证金交纳情况为准。投标人须在投标文件资格审查部分</w:t>
            </w:r>
            <w:r>
              <w:rPr>
                <w:rFonts w:hint="eastAsia" w:ascii="宋体" w:hAnsi="宋体"/>
                <w:color w:val="auto"/>
                <w:kern w:val="0"/>
                <w:szCs w:val="21"/>
                <w:highlight w:val="none"/>
                <w:lang w:val="en-US" w:eastAsia="zh-CN"/>
              </w:rPr>
              <w:t>“（八）其他资料”中</w:t>
            </w:r>
            <w:r>
              <w:rPr>
                <w:rFonts w:hint="eastAsia"/>
                <w:color w:val="auto"/>
                <w:highlight w:val="none"/>
              </w:rPr>
              <w:t>提供企业基本账户开户证明文件。</w:t>
            </w:r>
          </w:p>
          <w:p w14:paraId="5EF4433B">
            <w:pPr>
              <w:snapToGrid w:val="0"/>
              <w:spacing w:line="400" w:lineRule="exact"/>
              <w:ind w:firstLine="420" w:firstLineChars="200"/>
              <w:rPr>
                <w:rFonts w:hint="eastAsia"/>
                <w:color w:val="auto"/>
                <w:highlight w:val="none"/>
                <w:u w:val="single"/>
              </w:rPr>
            </w:pPr>
            <w:r>
              <w:rPr>
                <w:rFonts w:hint="eastAsia"/>
                <w:color w:val="auto"/>
                <w:highlight w:val="none"/>
              </w:rPr>
              <w:t>4、投标人必须在付款凭证备注栏中注明是“</w:t>
            </w:r>
            <w:r>
              <w:rPr>
                <w:rFonts w:hint="eastAsia"/>
                <w:color w:val="auto"/>
                <w:highlight w:val="none"/>
                <w:u w:val="single"/>
              </w:rPr>
              <w:t xml:space="preserve">        </w:t>
            </w:r>
            <w:r>
              <w:rPr>
                <w:rFonts w:hint="eastAsia"/>
                <w:color w:val="auto"/>
                <w:highlight w:val="none"/>
              </w:rPr>
              <w:t>项目投标保证金”。项目名称可简写成：</w:t>
            </w:r>
            <w:r>
              <w:rPr>
                <w:rFonts w:hint="eastAsia"/>
                <w:color w:val="auto"/>
                <w:highlight w:val="none"/>
                <w:u w:val="single"/>
              </w:rPr>
              <w:t xml:space="preserve">        </w:t>
            </w:r>
            <w:r>
              <w:rPr>
                <w:rFonts w:hint="eastAsia"/>
                <w:color w:val="auto"/>
                <w:highlight w:val="none"/>
                <w:u w:val="none"/>
                <w:lang w:eastAsia="zh-CN"/>
              </w:rPr>
              <w:t>。</w:t>
            </w:r>
          </w:p>
          <w:p w14:paraId="01163718">
            <w:pPr>
              <w:snapToGrid w:val="0"/>
              <w:spacing w:line="400" w:lineRule="exact"/>
              <w:ind w:firstLine="420" w:firstLineChars="200"/>
              <w:rPr>
                <w:color w:val="auto"/>
                <w:highlight w:val="none"/>
              </w:rPr>
            </w:pPr>
            <w:r>
              <w:rPr>
                <w:rFonts w:hint="eastAsia"/>
                <w:color w:val="auto"/>
                <w:highlight w:val="none"/>
              </w:rPr>
              <w:t>5、投标保证金有效期与投标有效期一致。</w:t>
            </w:r>
          </w:p>
          <w:p w14:paraId="4F747262">
            <w:pPr>
              <w:snapToGrid w:val="0"/>
              <w:spacing w:line="400" w:lineRule="exact"/>
              <w:ind w:firstLine="420" w:firstLineChars="200"/>
              <w:rPr>
                <w:color w:val="auto"/>
                <w:highlight w:val="none"/>
              </w:rPr>
            </w:pPr>
            <w:r>
              <w:rPr>
                <w:rFonts w:hint="eastAsia"/>
                <w:color w:val="auto"/>
                <w:highlight w:val="none"/>
                <w:u w:val="single"/>
              </w:rPr>
              <w:t>6、根据重庆市公共资源交易中心《关于开展公共资源交易市场主体信息登记工作的公告》的要求，投标人在开标前</w:t>
            </w:r>
            <w:r>
              <w:rPr>
                <w:rFonts w:hint="eastAsia"/>
                <w:color w:val="auto"/>
                <w:highlight w:val="none"/>
                <w:u w:val="single"/>
                <w:lang w:val="en-US" w:eastAsia="zh-CN"/>
              </w:rPr>
              <w:t>需</w:t>
            </w:r>
            <w:r>
              <w:rPr>
                <w:rFonts w:hint="eastAsia"/>
                <w:color w:val="auto"/>
                <w:highlight w:val="none"/>
                <w:u w:val="single"/>
              </w:rPr>
              <w:t>在重庆市公共资源交易网（www.cqggzy.com）办理市场主体信息登记手续。</w:t>
            </w:r>
          </w:p>
          <w:p w14:paraId="1EF81D43">
            <w:pPr>
              <w:snapToGrid w:val="0"/>
              <w:spacing w:line="400" w:lineRule="exact"/>
              <w:ind w:firstLine="420" w:firstLineChars="200"/>
              <w:rPr>
                <w:color w:val="auto"/>
                <w:highlight w:val="none"/>
              </w:rPr>
            </w:pPr>
            <w:r>
              <w:rPr>
                <w:rFonts w:hint="eastAsia"/>
                <w:color w:val="auto"/>
                <w:highlight w:val="none"/>
              </w:rPr>
              <w:t>7、若投标人为联合体，则由联合体牵头人提交投标保证金。</w:t>
            </w:r>
          </w:p>
          <w:p w14:paraId="03EF8B5F">
            <w:pPr>
              <w:snapToGrid w:val="0"/>
              <w:spacing w:line="400" w:lineRule="exact"/>
              <w:ind w:firstLine="420" w:firstLineChars="200"/>
              <w:rPr>
                <w:color w:val="auto"/>
                <w:highlight w:val="none"/>
              </w:rPr>
            </w:pPr>
            <w:r>
              <w:rPr>
                <w:rFonts w:hint="eastAsia"/>
                <w:color w:val="auto"/>
                <w:highlight w:val="none"/>
              </w:rPr>
              <w:t>二、投标保证金的退还</w:t>
            </w:r>
          </w:p>
          <w:p w14:paraId="31EACBEF">
            <w:pPr>
              <w:snapToGrid w:val="0"/>
              <w:spacing w:line="400" w:lineRule="exact"/>
              <w:ind w:firstLine="420" w:firstLineChars="200"/>
              <w:rPr>
                <w:color w:val="auto"/>
                <w:highlight w:val="none"/>
              </w:rPr>
            </w:pPr>
            <w:r>
              <w:rPr>
                <w:rFonts w:hint="eastAsia"/>
                <w:color w:val="auto"/>
                <w:highlight w:val="none"/>
              </w:rPr>
              <w:t>招标人应当在法定时间内确定中标人。招标人应当在中标通知书发出后2个工作日内将中标通知书和保证金退还通知抄告</w:t>
            </w:r>
            <w:r>
              <w:rPr>
                <w:rFonts w:hint="eastAsia"/>
                <w:color w:val="auto"/>
                <w:highlight w:val="none"/>
                <w:u w:val="single"/>
              </w:rPr>
              <w:t>重庆市公共资源交易中心</w:t>
            </w:r>
            <w:r>
              <w:rPr>
                <w:rFonts w:hint="eastAsia"/>
                <w:color w:val="auto"/>
                <w:highlight w:val="none"/>
              </w:rPr>
              <w:t>，</w:t>
            </w:r>
            <w:r>
              <w:rPr>
                <w:rFonts w:hint="eastAsia"/>
                <w:color w:val="auto"/>
                <w:highlight w:val="none"/>
                <w:u w:val="single"/>
              </w:rPr>
              <w:t>重庆市公共资源交易中心</w:t>
            </w:r>
            <w:r>
              <w:rPr>
                <w:rFonts w:hint="eastAsia"/>
                <w:color w:val="auto"/>
                <w:highlight w:val="none"/>
              </w:rPr>
              <w:t>在收到保证金退还通知后2个工作日内，向除中标人和中标候选人以外的投标人，退还投标保证金及银行同期活期存款利息。</w:t>
            </w:r>
          </w:p>
          <w:p w14:paraId="04BC1736">
            <w:pPr>
              <w:snapToGrid w:val="0"/>
              <w:spacing w:line="400" w:lineRule="exact"/>
              <w:ind w:firstLine="420" w:firstLineChars="200"/>
              <w:rPr>
                <w:color w:val="auto"/>
                <w:highlight w:val="none"/>
              </w:rPr>
            </w:pPr>
            <w:r>
              <w:rPr>
                <w:rFonts w:hint="eastAsia"/>
                <w:color w:val="auto"/>
                <w:highlight w:val="none"/>
              </w:rPr>
              <w:t>招标人应当在法定时间内和中标人签订合同。招标人应当在合同生效后2个工作日内将签订的合同和保证金退还通知抄告</w:t>
            </w:r>
            <w:r>
              <w:rPr>
                <w:rFonts w:hint="eastAsia"/>
                <w:color w:val="auto"/>
                <w:highlight w:val="none"/>
                <w:u w:val="single"/>
              </w:rPr>
              <w:t>重庆市公共资源交易中心</w:t>
            </w:r>
            <w:r>
              <w:rPr>
                <w:rFonts w:hint="eastAsia"/>
                <w:color w:val="auto"/>
                <w:highlight w:val="none"/>
              </w:rPr>
              <w:t>，</w:t>
            </w:r>
            <w:r>
              <w:rPr>
                <w:rFonts w:hint="eastAsia"/>
                <w:color w:val="auto"/>
                <w:highlight w:val="none"/>
                <w:u w:val="single"/>
              </w:rPr>
              <w:t>重庆市公共资源交易中心</w:t>
            </w:r>
            <w:r>
              <w:rPr>
                <w:rFonts w:hint="eastAsia"/>
                <w:color w:val="auto"/>
                <w:highlight w:val="none"/>
              </w:rPr>
              <w:t>在收到保证金退还通知后2个工作日内，向中标人和中标候选人退还投标保证金及银行同期活期存款利息。</w:t>
            </w:r>
          </w:p>
          <w:p w14:paraId="549148A8">
            <w:pPr>
              <w:snapToGrid w:val="0"/>
              <w:spacing w:line="400" w:lineRule="exact"/>
              <w:ind w:firstLine="420" w:firstLineChars="200"/>
              <w:jc w:val="left"/>
              <w:rPr>
                <w:rFonts w:hint="eastAsia"/>
                <w:color w:val="auto"/>
                <w:highlight w:val="none"/>
              </w:rPr>
            </w:pPr>
            <w:r>
              <w:rPr>
                <w:rFonts w:hint="eastAsia"/>
                <w:color w:val="auto"/>
                <w:highlight w:val="none"/>
              </w:rPr>
              <w:t>投标保证金专用账户由</w:t>
            </w:r>
            <w:r>
              <w:rPr>
                <w:rFonts w:hint="eastAsia"/>
                <w:color w:val="auto"/>
                <w:highlight w:val="none"/>
                <w:u w:val="single"/>
              </w:rPr>
              <w:t>重庆市公共资源交易中心</w:t>
            </w:r>
            <w:r>
              <w:rPr>
                <w:rFonts w:hint="eastAsia"/>
                <w:color w:val="auto"/>
                <w:highlight w:val="none"/>
              </w:rPr>
              <w:t>制定，关于保证金相关情况的问题请咨询</w:t>
            </w:r>
            <w:r>
              <w:rPr>
                <w:rFonts w:hint="eastAsia"/>
                <w:color w:val="auto"/>
                <w:highlight w:val="none"/>
                <w:u w:val="single"/>
              </w:rPr>
              <w:t>重庆市公共资源交易中心</w:t>
            </w:r>
            <w:r>
              <w:rPr>
                <w:rFonts w:hint="eastAsia"/>
                <w:color w:val="auto"/>
                <w:highlight w:val="none"/>
              </w:rPr>
              <w:t>，联系电话023-</w:t>
            </w:r>
            <w:r>
              <w:rPr>
                <w:rFonts w:hint="eastAsia"/>
                <w:color w:val="auto"/>
                <w:highlight w:val="none"/>
                <w:u w:val="single"/>
              </w:rPr>
              <w:t xml:space="preserve">     </w:t>
            </w:r>
            <w:r>
              <w:rPr>
                <w:rFonts w:hint="eastAsia"/>
                <w:color w:val="auto"/>
                <w:highlight w:val="none"/>
              </w:rPr>
              <w:t>。</w:t>
            </w:r>
          </w:p>
          <w:p w14:paraId="58F762F3">
            <w:pPr>
              <w:snapToGrid w:val="0"/>
              <w:spacing w:line="400" w:lineRule="exact"/>
              <w:ind w:firstLine="420" w:firstLineChars="200"/>
              <w:rPr>
                <w:rFonts w:hint="eastAsia" w:ascii="宋体" w:hAnsi="宋体" w:cs="MingLiU"/>
                <w:b w:val="0"/>
                <w:bCs/>
                <w:color w:val="auto"/>
                <w:kern w:val="0"/>
                <w:szCs w:val="21"/>
                <w:highlight w:val="none"/>
              </w:rPr>
            </w:pPr>
          </w:p>
          <w:p w14:paraId="054922FE">
            <w:pPr>
              <w:snapToGrid w:val="0"/>
              <w:spacing w:line="400" w:lineRule="exact"/>
              <w:ind w:firstLine="420" w:firstLineChars="200"/>
              <w:rPr>
                <w:rFonts w:ascii="宋体" w:hAnsi="宋体" w:cs="MingLiU"/>
                <w:b w:val="0"/>
                <w:bCs/>
                <w:color w:val="auto"/>
                <w:kern w:val="0"/>
                <w:szCs w:val="21"/>
                <w:highlight w:val="none"/>
              </w:rPr>
            </w:pPr>
            <w:r>
              <w:rPr>
                <w:rFonts w:hint="eastAsia" w:ascii="宋体" w:hAnsi="宋体" w:cs="MingLiU"/>
                <w:b w:val="0"/>
                <w:bCs/>
                <w:color w:val="auto"/>
                <w:kern w:val="0"/>
                <w:szCs w:val="21"/>
                <w:highlight w:val="none"/>
              </w:rPr>
              <w:t>方式三</w:t>
            </w:r>
          </w:p>
          <w:p w14:paraId="7E8396F5">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一、</w:t>
            </w:r>
            <w:r>
              <w:rPr>
                <w:rFonts w:hint="eastAsia" w:ascii="宋体" w:hAnsi="宋体"/>
                <w:color w:val="auto"/>
                <w:kern w:val="0"/>
                <w:szCs w:val="21"/>
                <w:highlight w:val="none"/>
              </w:rPr>
              <w:t>以纸质投标保函形式交纳投标保证金</w:t>
            </w:r>
          </w:p>
          <w:p w14:paraId="74743BBC">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1</w:t>
            </w:r>
            <w:r>
              <w:rPr>
                <w:rFonts w:hint="eastAsia" w:ascii="宋体" w:hAnsi="宋体"/>
                <w:color w:val="auto"/>
                <w:kern w:val="0"/>
                <w:szCs w:val="21"/>
                <w:highlight w:val="none"/>
              </w:rPr>
              <w:t xml:space="preserve">. </w:t>
            </w:r>
            <w:r>
              <w:rPr>
                <w:rFonts w:hint="eastAsia" w:ascii="宋体" w:hAnsi="宋体"/>
                <w:color w:val="auto"/>
                <w:kern w:val="0"/>
                <w:szCs w:val="21"/>
                <w:highlight w:val="none"/>
                <w:lang w:val="en-US" w:eastAsia="zh-CN"/>
              </w:rPr>
              <w:t>纸质投标保函</w:t>
            </w:r>
            <w:r>
              <w:rPr>
                <w:rFonts w:ascii="宋体" w:hAnsi="宋体"/>
                <w:color w:val="auto"/>
                <w:kern w:val="0"/>
                <w:szCs w:val="21"/>
                <w:highlight w:val="none"/>
              </w:rPr>
              <w:t>交纳形式及要求：</w:t>
            </w:r>
          </w:p>
          <w:p w14:paraId="59F9894B">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（1）缴纳形式：投标人提供</w:t>
            </w:r>
            <w:r>
              <w:rPr>
                <w:rFonts w:hint="eastAsia"/>
                <w:color w:val="auto"/>
                <w:highlight w:val="none"/>
              </w:rPr>
              <w:t>不可撤销且见索即付</w:t>
            </w:r>
            <w:r>
              <w:rPr>
                <w:rFonts w:ascii="宋体" w:hAnsi="宋体"/>
                <w:color w:val="auto"/>
                <w:kern w:val="0"/>
                <w:szCs w:val="21"/>
                <w:highlight w:val="none"/>
              </w:rPr>
              <w:t>的</w:t>
            </w:r>
            <w:r>
              <w:rPr>
                <w:rFonts w:hint="eastAsia" w:ascii="宋体" w:hAnsi="宋体"/>
                <w:color w:val="auto"/>
                <w:kern w:val="0"/>
                <w:szCs w:val="21"/>
                <w:highlight w:val="none"/>
                <w:lang w:val="en-US" w:eastAsia="zh-CN"/>
              </w:rPr>
              <w:t>银行</w:t>
            </w:r>
            <w:r>
              <w:rPr>
                <w:rFonts w:ascii="宋体" w:hAnsi="宋体"/>
                <w:color w:val="auto"/>
                <w:kern w:val="0"/>
                <w:szCs w:val="21"/>
                <w:highlight w:val="none"/>
              </w:rPr>
              <w:t>保函；</w:t>
            </w:r>
          </w:p>
          <w:p w14:paraId="044ED79D">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（2）具体要求：投标人</w:t>
            </w:r>
            <w:r>
              <w:rPr>
                <w:rFonts w:hint="eastAsia" w:ascii="宋体" w:hAnsi="宋体"/>
                <w:color w:val="auto"/>
                <w:kern w:val="0"/>
                <w:szCs w:val="21"/>
                <w:highlight w:val="none"/>
              </w:rPr>
              <w:t>须在投标文件</w:t>
            </w:r>
            <w:r>
              <w:rPr>
                <w:rFonts w:hint="eastAsia" w:ascii="宋体" w:hAnsi="宋体"/>
                <w:color w:val="auto"/>
                <w:kern w:val="0"/>
                <w:szCs w:val="21"/>
                <w:highlight w:val="none"/>
                <w:lang w:val="en-US" w:eastAsia="zh-CN"/>
              </w:rPr>
              <w:t>资格审查部分“（八）其他资料”中</w:t>
            </w:r>
            <w:r>
              <w:rPr>
                <w:rFonts w:ascii="宋体" w:hAnsi="宋体"/>
                <w:color w:val="auto"/>
                <w:kern w:val="0"/>
                <w:szCs w:val="21"/>
                <w:highlight w:val="none"/>
              </w:rPr>
              <w:t>提供银行开具的</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投标保函正本</w:t>
            </w:r>
            <w:r>
              <w:rPr>
                <w:rFonts w:hint="eastAsia" w:ascii="宋体" w:hAnsi="宋体"/>
                <w:color w:val="auto"/>
                <w:kern w:val="0"/>
                <w:szCs w:val="21"/>
                <w:highlight w:val="none"/>
                <w:lang w:val="en-US" w:eastAsia="zh-CN"/>
              </w:rPr>
              <w:t>扫描件</w:t>
            </w:r>
            <w:r>
              <w:rPr>
                <w:rFonts w:hint="eastAsia" w:ascii="宋体" w:hAnsi="宋体"/>
                <w:color w:val="auto"/>
                <w:kern w:val="0"/>
                <w:szCs w:val="21"/>
                <w:highlight w:val="none"/>
              </w:rPr>
              <w:t>，</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投标保函正本</w:t>
            </w:r>
            <w:r>
              <w:rPr>
                <w:rFonts w:hint="eastAsia" w:ascii="宋体" w:hAnsi="宋体"/>
                <w:color w:val="auto"/>
                <w:kern w:val="0"/>
                <w:szCs w:val="21"/>
                <w:highlight w:val="none"/>
                <w:lang w:val="en-US" w:eastAsia="zh-CN"/>
              </w:rPr>
              <w:t>原件应当于投标截止时间前在开标现场</w:t>
            </w:r>
            <w:r>
              <w:rPr>
                <w:rFonts w:hint="eastAsia" w:ascii="宋体" w:hAnsi="宋体"/>
                <w:color w:val="auto"/>
                <w:kern w:val="0"/>
                <w:szCs w:val="21"/>
                <w:highlight w:val="none"/>
              </w:rPr>
              <w:t>递交招标人保管。</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投标保函应至少体现如下内容：①担保项目必须为本项目；②受益人必须为本项目招标人；③保函担保金额必须满足本项目要求；④保函生效</w:t>
            </w:r>
            <w:r>
              <w:rPr>
                <w:rFonts w:hint="eastAsia" w:ascii="宋体" w:hAnsi="宋体"/>
                <w:color w:val="auto"/>
                <w:kern w:val="0"/>
                <w:szCs w:val="21"/>
                <w:highlight w:val="none"/>
              </w:rPr>
              <w:t>时间</w:t>
            </w:r>
            <w:r>
              <w:rPr>
                <w:rFonts w:ascii="宋体" w:hAnsi="宋体"/>
                <w:color w:val="auto"/>
                <w:kern w:val="0"/>
                <w:szCs w:val="21"/>
                <w:highlight w:val="none"/>
              </w:rPr>
              <w:t>必须在投标截止时间前，有效期限必须至少包含整个投标有效期</w:t>
            </w:r>
            <w:r>
              <w:rPr>
                <w:rFonts w:hint="eastAsia" w:ascii="宋体" w:hAnsi="宋体"/>
                <w:color w:val="auto"/>
                <w:kern w:val="0"/>
                <w:szCs w:val="21"/>
                <w:highlight w:val="none"/>
              </w:rPr>
              <w:t>；⑤保函须不可撤销且见索即付</w:t>
            </w:r>
            <w:r>
              <w:rPr>
                <w:rFonts w:ascii="宋体" w:hAnsi="宋体"/>
                <w:color w:val="auto"/>
                <w:kern w:val="0"/>
                <w:szCs w:val="21"/>
                <w:highlight w:val="none"/>
              </w:rPr>
              <w:t>。</w:t>
            </w:r>
          </w:p>
          <w:p w14:paraId="5A543A93">
            <w:pPr>
              <w:snapToGrid w:val="0"/>
              <w:spacing w:line="400" w:lineRule="exact"/>
              <w:ind w:firstLine="420" w:firstLineChars="200"/>
              <w:rPr>
                <w:rFonts w:hint="eastAsia"/>
                <w:color w:val="auto"/>
                <w:highlight w:val="none"/>
              </w:rPr>
            </w:pPr>
            <w:r>
              <w:rPr>
                <w:rFonts w:hint="eastAsia"/>
                <w:color w:val="auto"/>
                <w:highlight w:val="none"/>
              </w:rPr>
              <w:t>若投标截止时间延期，则</w:t>
            </w:r>
            <w:r>
              <w:rPr>
                <w:rFonts w:hint="eastAsia"/>
                <w:color w:val="auto"/>
                <w:highlight w:val="none"/>
                <w:lang w:val="en-US" w:eastAsia="zh-CN"/>
              </w:rPr>
              <w:t>纸质投标保函递</w:t>
            </w:r>
            <w:r>
              <w:rPr>
                <w:rFonts w:hint="eastAsia"/>
                <w:color w:val="auto"/>
                <w:highlight w:val="none"/>
              </w:rPr>
              <w:t>交的截止时间和投标截止时间保持一致。</w:t>
            </w:r>
          </w:p>
          <w:p w14:paraId="7037AA3F">
            <w:pPr>
              <w:snapToGrid w:val="0"/>
              <w:spacing w:line="400" w:lineRule="exact"/>
              <w:ind w:firstLine="420" w:firstLineChars="200"/>
              <w:rPr>
                <w:color w:val="auto"/>
                <w:highlight w:val="none"/>
              </w:rPr>
            </w:pPr>
            <w:r>
              <w:rPr>
                <w:rFonts w:hint="eastAsia" w:ascii="宋体" w:hAnsi="宋体"/>
                <w:color w:val="auto"/>
                <w:kern w:val="0"/>
                <w:szCs w:val="21"/>
                <w:highlight w:val="none"/>
                <w:lang w:val="en-US" w:eastAsia="zh-CN"/>
              </w:rPr>
              <w:t>不满足上述要求的纸质</w:t>
            </w:r>
            <w:r>
              <w:rPr>
                <w:rFonts w:ascii="宋体" w:hAnsi="宋体"/>
                <w:color w:val="auto"/>
                <w:kern w:val="0"/>
                <w:szCs w:val="21"/>
                <w:highlight w:val="none"/>
              </w:rPr>
              <w:t>投标保函无效。</w:t>
            </w:r>
          </w:p>
          <w:p w14:paraId="53757353">
            <w:pPr>
              <w:snapToGrid w:val="0"/>
              <w:spacing w:line="400" w:lineRule="exact"/>
              <w:ind w:firstLine="420" w:firstLineChars="200"/>
              <w:rPr>
                <w:rFonts w:hint="eastAsia" w:ascii="宋体" w:hAnsi="宋体"/>
                <w:color w:val="auto"/>
                <w:kern w:val="0"/>
                <w:szCs w:val="21"/>
                <w:highlight w:val="none"/>
              </w:rPr>
            </w:pPr>
            <w:r>
              <w:rPr>
                <w:rFonts w:ascii="宋体" w:hAnsi="宋体"/>
                <w:color w:val="auto"/>
                <w:kern w:val="0"/>
                <w:szCs w:val="21"/>
                <w:highlight w:val="none"/>
              </w:rPr>
              <w:t>2</w:t>
            </w:r>
            <w:r>
              <w:rPr>
                <w:rFonts w:hint="eastAsia" w:ascii="宋体" w:hAnsi="宋体"/>
                <w:color w:val="auto"/>
                <w:kern w:val="0"/>
                <w:szCs w:val="21"/>
                <w:highlight w:val="none"/>
              </w:rPr>
              <w:t xml:space="preserve">. </w:t>
            </w:r>
            <w:r>
              <w:rPr>
                <w:rFonts w:hint="eastAsia"/>
                <w:color w:val="auto"/>
                <w:highlight w:val="none"/>
              </w:rPr>
              <w:t>以</w:t>
            </w:r>
            <w:r>
              <w:rPr>
                <w:rFonts w:hint="eastAsia"/>
                <w:color w:val="auto"/>
                <w:highlight w:val="none"/>
                <w:lang w:val="en-US" w:eastAsia="zh-CN"/>
              </w:rPr>
              <w:t>纸质投标</w:t>
            </w:r>
            <w:r>
              <w:rPr>
                <w:rFonts w:hint="eastAsia"/>
                <w:color w:val="auto"/>
                <w:highlight w:val="none"/>
              </w:rPr>
              <w:t>保函形式担保的</w:t>
            </w:r>
            <w:r>
              <w:rPr>
                <w:color w:val="auto"/>
                <w:highlight w:val="none"/>
              </w:rPr>
              <w:t>投标保证金的金额</w:t>
            </w:r>
            <w:r>
              <w:rPr>
                <w:rFonts w:ascii="宋体" w:hAnsi="宋体"/>
                <w:color w:val="auto"/>
                <w:kern w:val="0"/>
                <w:szCs w:val="21"/>
                <w:highlight w:val="none"/>
              </w:rPr>
              <w:t>：</w:t>
            </w:r>
            <w:r>
              <w:rPr>
                <w:rFonts w:ascii="宋体" w:hAnsi="宋体"/>
                <w:color w:val="auto"/>
                <w:kern w:val="0"/>
                <w:szCs w:val="21"/>
                <w:highlight w:val="none"/>
                <w:u w:val="single"/>
              </w:rPr>
              <w:t xml:space="preserve">    </w:t>
            </w:r>
            <w:r>
              <w:rPr>
                <w:rFonts w:ascii="宋体" w:hAnsi="宋体"/>
                <w:color w:val="auto"/>
                <w:kern w:val="0"/>
                <w:szCs w:val="21"/>
                <w:highlight w:val="none"/>
              </w:rPr>
              <w:t>万元整（人民币）</w:t>
            </w:r>
          </w:p>
          <w:p w14:paraId="365ECBED">
            <w:pPr>
              <w:snapToGrid w:val="0"/>
              <w:spacing w:line="400" w:lineRule="exact"/>
              <w:ind w:firstLine="420" w:firstLineChars="200"/>
              <w:rPr>
                <w:rFonts w:ascii="宋体" w:hAnsi="宋体"/>
                <w:i/>
                <w:color w:val="auto"/>
                <w:kern w:val="0"/>
                <w:szCs w:val="21"/>
                <w:highlight w:val="none"/>
              </w:rPr>
            </w:pPr>
            <w:r>
              <w:rPr>
                <w:rFonts w:hint="eastAsia" w:ascii="宋体" w:hAnsi="宋体"/>
                <w:i/>
                <w:color w:val="auto"/>
                <w:kern w:val="0"/>
                <w:szCs w:val="21"/>
                <w:highlight w:val="none"/>
              </w:rPr>
              <w:t>[提示：投标保证金金额不超过该招标项目估算价或经批准</w:t>
            </w:r>
            <w:r>
              <w:rPr>
                <w:rFonts w:hint="eastAsia" w:ascii="宋体" w:hAnsi="宋体"/>
                <w:i/>
                <w:color w:val="auto"/>
                <w:kern w:val="0"/>
                <w:szCs w:val="21"/>
                <w:highlight w:val="none"/>
                <w:lang w:eastAsia="zh-CN"/>
              </w:rPr>
              <w:t>的</w:t>
            </w:r>
            <w:r>
              <w:rPr>
                <w:rFonts w:hint="eastAsia" w:ascii="宋体" w:hAnsi="宋体"/>
                <w:i/>
                <w:color w:val="auto"/>
                <w:kern w:val="0"/>
                <w:szCs w:val="21"/>
                <w:highlight w:val="none"/>
              </w:rPr>
              <w:t>概算金额或最高限价的2%，红名单中的投标人投标保证金金额可减半（红名单建立完善后使用；联合体投标的，须联合体牵头人在红名单中）。]</w:t>
            </w:r>
          </w:p>
          <w:p w14:paraId="77BECF42">
            <w:pPr>
              <w:snapToGrid w:val="0"/>
              <w:spacing w:line="400" w:lineRule="exact"/>
              <w:ind w:firstLine="420" w:firstLineChars="200"/>
              <w:rPr>
                <w:rFonts w:hint="eastAsia" w:ascii="宋体" w:hAnsi="宋体"/>
                <w:color w:val="auto"/>
                <w:kern w:val="0"/>
                <w:szCs w:val="21"/>
                <w:highlight w:val="none"/>
                <w:lang w:eastAsia="zh-CN"/>
              </w:rPr>
            </w:pPr>
            <w:r>
              <w:rPr>
                <w:rFonts w:hint="eastAsia" w:ascii="宋体" w:hAnsi="宋体"/>
                <w:color w:val="auto"/>
                <w:kern w:val="0"/>
                <w:szCs w:val="21"/>
                <w:highlight w:val="none"/>
                <w:lang w:val="en-US" w:eastAsia="zh-CN"/>
              </w:rPr>
              <w:t xml:space="preserve">3. </w:t>
            </w:r>
            <w:r>
              <w:rPr>
                <w:rFonts w:ascii="宋体" w:hAnsi="宋体"/>
                <w:color w:val="auto"/>
                <w:kern w:val="0"/>
                <w:szCs w:val="21"/>
                <w:highlight w:val="none"/>
              </w:rPr>
              <w:t>投标人</w:t>
            </w:r>
            <w:r>
              <w:rPr>
                <w:rFonts w:ascii="宋体" w:hAnsi="宋体"/>
                <w:strike w:val="0"/>
                <w:color w:val="auto"/>
                <w:kern w:val="0"/>
                <w:szCs w:val="21"/>
                <w:highlight w:val="none"/>
              </w:rPr>
              <w:t>须</w:t>
            </w:r>
            <w:r>
              <w:rPr>
                <w:rFonts w:hint="eastAsia" w:ascii="宋体" w:hAnsi="宋体"/>
                <w:strike w:val="0"/>
                <w:color w:val="auto"/>
                <w:kern w:val="0"/>
                <w:szCs w:val="21"/>
                <w:highlight w:val="none"/>
                <w:lang w:val="en-US" w:eastAsia="zh-CN"/>
              </w:rPr>
              <w:t>确保其递交的纸质</w:t>
            </w:r>
            <w:r>
              <w:rPr>
                <w:rFonts w:ascii="宋体" w:hAnsi="宋体"/>
                <w:strike w:val="0"/>
                <w:color w:val="auto"/>
                <w:kern w:val="0"/>
                <w:szCs w:val="21"/>
                <w:highlight w:val="none"/>
              </w:rPr>
              <w:t>投标保函能在重庆市</w:t>
            </w:r>
            <w:r>
              <w:rPr>
                <w:rFonts w:hint="eastAsia" w:ascii="宋体" w:hAnsi="宋体"/>
                <w:strike w:val="0"/>
                <w:color w:val="auto"/>
                <w:kern w:val="0"/>
                <w:szCs w:val="21"/>
                <w:highlight w:val="none"/>
                <w:lang w:val="en-US" w:eastAsia="zh-CN"/>
              </w:rPr>
              <w:t>中心城区</w:t>
            </w:r>
            <w:r>
              <w:rPr>
                <w:rFonts w:hint="eastAsia" w:ascii="宋体" w:hAnsi="宋体"/>
                <w:strike w:val="0"/>
                <w:color w:val="auto"/>
                <w:kern w:val="0"/>
                <w:szCs w:val="21"/>
                <w:highlight w:val="none"/>
              </w:rPr>
              <w:t>（区县项目应在重庆市</w:t>
            </w:r>
            <w:r>
              <w:rPr>
                <w:rFonts w:hint="eastAsia" w:ascii="宋体" w:hAnsi="宋体"/>
                <w:strike w:val="0"/>
                <w:color w:val="auto"/>
                <w:kern w:val="0"/>
                <w:szCs w:val="21"/>
                <w:highlight w:val="none"/>
                <w:lang w:val="en-US" w:eastAsia="zh-CN"/>
              </w:rPr>
              <w:t>中心城区</w:t>
            </w:r>
            <w:r>
              <w:rPr>
                <w:rFonts w:hint="eastAsia" w:ascii="宋体" w:hAnsi="宋体"/>
                <w:strike w:val="0"/>
                <w:color w:val="auto"/>
                <w:kern w:val="0"/>
                <w:szCs w:val="21"/>
                <w:highlight w:val="none"/>
              </w:rPr>
              <w:t>或项目所在区县）</w:t>
            </w:r>
            <w:r>
              <w:rPr>
                <w:rFonts w:ascii="宋体" w:hAnsi="宋体"/>
                <w:strike w:val="0"/>
                <w:color w:val="auto"/>
                <w:kern w:val="0"/>
                <w:szCs w:val="21"/>
                <w:highlight w:val="none"/>
              </w:rPr>
              <w:t>相关银行</w:t>
            </w:r>
            <w:r>
              <w:rPr>
                <w:rFonts w:hint="eastAsia" w:ascii="宋体" w:hAnsi="宋体"/>
                <w:strike w:val="0"/>
                <w:color w:val="auto"/>
                <w:kern w:val="0"/>
                <w:szCs w:val="21"/>
                <w:highlight w:val="none"/>
                <w:lang w:eastAsia="zh-CN"/>
              </w:rPr>
              <w:t>核验</w:t>
            </w:r>
            <w:r>
              <w:rPr>
                <w:rFonts w:ascii="宋体" w:hAnsi="宋体"/>
                <w:strike w:val="0"/>
                <w:color w:val="auto"/>
                <w:kern w:val="0"/>
                <w:szCs w:val="21"/>
                <w:highlight w:val="none"/>
              </w:rPr>
              <w:t>真伪</w:t>
            </w: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并</w:t>
            </w:r>
            <w:r>
              <w:rPr>
                <w:rFonts w:hint="eastAsia"/>
                <w:color w:val="auto"/>
                <w:highlight w:val="none"/>
              </w:rPr>
              <w:t>在投标文件资格审查部分</w:t>
            </w:r>
            <w:r>
              <w:rPr>
                <w:rFonts w:hint="eastAsia" w:ascii="宋体" w:hAnsi="宋体"/>
                <w:color w:val="auto"/>
                <w:kern w:val="0"/>
                <w:szCs w:val="21"/>
                <w:highlight w:val="none"/>
                <w:lang w:val="en-US" w:eastAsia="zh-CN"/>
              </w:rPr>
              <w:t>“（八）其他资料”中</w:t>
            </w:r>
            <w:r>
              <w:rPr>
                <w:rFonts w:ascii="宋体" w:hAnsi="宋体"/>
                <w:color w:val="auto"/>
                <w:kern w:val="0"/>
                <w:szCs w:val="21"/>
                <w:highlight w:val="none"/>
              </w:rPr>
              <w:t>提供</w:t>
            </w:r>
            <w:r>
              <w:rPr>
                <w:rFonts w:hint="eastAsia" w:ascii="宋体" w:hAnsi="宋体"/>
                <w:color w:val="auto"/>
                <w:kern w:val="0"/>
                <w:szCs w:val="21"/>
                <w:highlight w:val="none"/>
                <w:lang w:val="en-US" w:eastAsia="zh-CN"/>
              </w:rPr>
              <w:t>纸质</w:t>
            </w:r>
            <w:r>
              <w:rPr>
                <w:rFonts w:hint="eastAsia" w:ascii="宋体" w:hAnsi="宋体"/>
                <w:color w:val="auto"/>
                <w:kern w:val="0"/>
                <w:szCs w:val="21"/>
                <w:highlight w:val="none"/>
              </w:rPr>
              <w:t>投标保函的</w:t>
            </w:r>
            <w:r>
              <w:rPr>
                <w:rFonts w:hint="eastAsia" w:ascii="宋体" w:hAnsi="宋体"/>
                <w:color w:val="auto"/>
                <w:kern w:val="0"/>
                <w:szCs w:val="21"/>
                <w:highlight w:val="none"/>
                <w:lang w:eastAsia="zh-CN"/>
              </w:rPr>
              <w:t>核验</w:t>
            </w:r>
            <w:r>
              <w:rPr>
                <w:rFonts w:hint="eastAsia" w:ascii="宋体" w:hAnsi="宋体"/>
                <w:color w:val="auto"/>
                <w:kern w:val="0"/>
                <w:szCs w:val="21"/>
                <w:highlight w:val="none"/>
              </w:rPr>
              <w:t>地点、方式和联系人</w:t>
            </w:r>
            <w:r>
              <w:rPr>
                <w:rFonts w:hint="eastAsia" w:ascii="宋体" w:hAnsi="宋体"/>
                <w:color w:val="auto"/>
                <w:kern w:val="0"/>
                <w:szCs w:val="21"/>
                <w:highlight w:val="none"/>
                <w:lang w:eastAsia="zh-CN"/>
              </w:rPr>
              <w:t>，</w:t>
            </w:r>
            <w:r>
              <w:rPr>
                <w:rFonts w:ascii="宋体" w:hAnsi="宋体"/>
                <w:color w:val="auto"/>
                <w:kern w:val="0"/>
                <w:szCs w:val="21"/>
                <w:highlight w:val="none"/>
              </w:rPr>
              <w:t>否则</w:t>
            </w:r>
            <w:r>
              <w:rPr>
                <w:rFonts w:hint="eastAsia" w:ascii="宋体" w:hAnsi="宋体"/>
                <w:color w:val="auto"/>
                <w:kern w:val="0"/>
                <w:szCs w:val="21"/>
                <w:highlight w:val="none"/>
                <w:lang w:val="en-US" w:eastAsia="zh-CN"/>
              </w:rPr>
              <w:t>该纸质投标保函视为无效</w:t>
            </w:r>
            <w:r>
              <w:rPr>
                <w:rFonts w:hint="eastAsia" w:ascii="宋体" w:hAnsi="宋体"/>
                <w:color w:val="auto"/>
                <w:kern w:val="0"/>
                <w:szCs w:val="21"/>
                <w:highlight w:val="none"/>
                <w:lang w:eastAsia="zh-CN"/>
              </w:rPr>
              <w:t>。</w:t>
            </w:r>
          </w:p>
          <w:p w14:paraId="65689015">
            <w:pPr>
              <w:snapToGrid w:val="0"/>
              <w:spacing w:line="400" w:lineRule="exact"/>
              <w:ind w:firstLine="420" w:firstLineChars="200"/>
              <w:rPr>
                <w:rFonts w:hint="default"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4. 投标人在开标现场递交的纸质投标保函原件应与投标文件中提供的纸质投标保函扫描件一致，否则由评标委员会作否决投标处理。</w:t>
            </w:r>
          </w:p>
          <w:p w14:paraId="7569A8FE">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lang w:val="en-US" w:eastAsia="zh-CN"/>
              </w:rPr>
              <w:t xml:space="preserve">5. </w:t>
            </w:r>
            <w:r>
              <w:rPr>
                <w:rFonts w:hint="eastAsia" w:ascii="宋体" w:hAnsi="宋体"/>
                <w:color w:val="auto"/>
                <w:kern w:val="0"/>
                <w:szCs w:val="21"/>
                <w:highlight w:val="none"/>
              </w:rPr>
              <w:t>在</w:t>
            </w:r>
            <w:r>
              <w:rPr>
                <w:rFonts w:hint="eastAsia" w:ascii="宋体" w:hAnsi="宋体"/>
                <w:color w:val="auto"/>
                <w:kern w:val="0"/>
                <w:szCs w:val="21"/>
                <w:highlight w:val="none"/>
                <w:lang w:val="en-US" w:eastAsia="zh-CN"/>
              </w:rPr>
              <w:t>发出中标通知书前</w:t>
            </w:r>
            <w:r>
              <w:rPr>
                <w:rFonts w:hint="eastAsia" w:ascii="宋体" w:hAnsi="宋体"/>
                <w:color w:val="auto"/>
                <w:kern w:val="0"/>
                <w:szCs w:val="21"/>
                <w:highlight w:val="none"/>
              </w:rPr>
              <w:t>，</w:t>
            </w:r>
            <w:r>
              <w:rPr>
                <w:rFonts w:hint="eastAsia" w:ascii="宋体" w:hAnsi="宋体"/>
                <w:color w:val="auto"/>
                <w:kern w:val="0"/>
                <w:szCs w:val="21"/>
                <w:highlight w:val="none"/>
                <w:lang w:eastAsia="zh-CN"/>
              </w:rPr>
              <w:t>招标人</w:t>
            </w:r>
            <w:r>
              <w:rPr>
                <w:rFonts w:hint="eastAsia" w:ascii="宋体" w:hAnsi="宋体"/>
                <w:color w:val="auto"/>
                <w:kern w:val="0"/>
                <w:szCs w:val="21"/>
                <w:highlight w:val="none"/>
                <w:lang w:val="en-US" w:eastAsia="zh-CN"/>
              </w:rPr>
              <w:t>应当</w:t>
            </w:r>
            <w:r>
              <w:rPr>
                <w:rFonts w:hint="eastAsia" w:ascii="宋体" w:hAnsi="宋体"/>
                <w:color w:val="auto"/>
                <w:kern w:val="0"/>
                <w:szCs w:val="21"/>
                <w:highlight w:val="none"/>
                <w:lang w:eastAsia="zh-CN"/>
              </w:rPr>
              <w:t>对投标人（至少中标候选人或中标人）的纸质投标保函开展核验</w:t>
            </w:r>
            <w:r>
              <w:rPr>
                <w:rFonts w:hint="eastAsia" w:ascii="宋体" w:hAnsi="宋体"/>
                <w:color w:val="auto"/>
                <w:kern w:val="0"/>
                <w:szCs w:val="21"/>
                <w:highlight w:val="none"/>
                <w:lang w:val="en-US" w:eastAsia="zh-CN"/>
              </w:rPr>
              <w:t>。招标人按照投标人提供的</w:t>
            </w:r>
            <w:r>
              <w:rPr>
                <w:rFonts w:hint="eastAsia" w:ascii="宋体" w:hAnsi="宋体"/>
                <w:color w:val="auto"/>
                <w:kern w:val="0"/>
                <w:szCs w:val="21"/>
                <w:highlight w:val="none"/>
                <w:lang w:eastAsia="zh-CN"/>
              </w:rPr>
              <w:t>核验</w:t>
            </w:r>
            <w:r>
              <w:rPr>
                <w:rFonts w:hint="eastAsia" w:ascii="宋体" w:hAnsi="宋体"/>
                <w:color w:val="auto"/>
                <w:kern w:val="0"/>
                <w:szCs w:val="21"/>
                <w:highlight w:val="none"/>
              </w:rPr>
              <w:t>地点、方式和联系人</w:t>
            </w:r>
            <w:r>
              <w:rPr>
                <w:rFonts w:hint="eastAsia" w:ascii="宋体" w:hAnsi="宋体"/>
                <w:color w:val="auto"/>
                <w:kern w:val="0"/>
                <w:szCs w:val="21"/>
                <w:highlight w:val="none"/>
                <w:lang w:val="en-US" w:eastAsia="zh-CN"/>
              </w:rPr>
              <w:t>等信息无法对该纸质投标保函进行核验的，或发现投标人递交的纸质投标保函弄虚作假的，对</w:t>
            </w:r>
            <w:r>
              <w:rPr>
                <w:rFonts w:hint="eastAsia" w:ascii="宋体" w:hAnsi="宋体"/>
                <w:color w:val="auto"/>
                <w:szCs w:val="21"/>
                <w:highlight w:val="none"/>
              </w:rPr>
              <w:t>已取得中标候选人资格或中标资格的</w:t>
            </w:r>
            <w:r>
              <w:rPr>
                <w:rFonts w:hint="eastAsia" w:ascii="宋体" w:hAnsi="宋体"/>
                <w:color w:val="auto"/>
                <w:szCs w:val="21"/>
                <w:highlight w:val="none"/>
                <w:lang w:val="en-US" w:eastAsia="zh-CN"/>
              </w:rPr>
              <w:t>投标人</w:t>
            </w:r>
            <w:r>
              <w:rPr>
                <w:rFonts w:hint="eastAsia" w:ascii="宋体" w:hAnsi="宋体"/>
                <w:color w:val="auto"/>
                <w:szCs w:val="21"/>
                <w:highlight w:val="none"/>
              </w:rPr>
              <w:t>，取消中标候选人资格或中标资格</w:t>
            </w:r>
            <w:r>
              <w:rPr>
                <w:rFonts w:hint="eastAsia" w:ascii="宋体" w:hAnsi="宋体"/>
                <w:color w:val="auto"/>
                <w:kern w:val="0"/>
                <w:szCs w:val="21"/>
                <w:highlight w:val="none"/>
                <w:lang w:eastAsia="zh-CN"/>
              </w:rPr>
              <w:t>，</w:t>
            </w:r>
            <w:r>
              <w:rPr>
                <w:rFonts w:hint="eastAsia" w:ascii="宋体" w:hAnsi="宋体"/>
                <w:color w:val="auto"/>
                <w:szCs w:val="21"/>
                <w:highlight w:val="none"/>
              </w:rPr>
              <w:t>给招标人造成损失的，投标人依法承担赔偿责任</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招标人对纸质投标保函无法核验的，</w:t>
            </w:r>
            <w:r>
              <w:rPr>
                <w:rFonts w:hint="eastAsia" w:ascii="宋体" w:hAnsi="宋体"/>
                <w:color w:val="auto"/>
                <w:kern w:val="0"/>
                <w:szCs w:val="21"/>
                <w:highlight w:val="none"/>
                <w:lang w:val="en-US" w:eastAsia="zh-CN"/>
              </w:rPr>
              <w:t>应当</w:t>
            </w:r>
            <w:r>
              <w:rPr>
                <w:rFonts w:ascii="宋体" w:hAnsi="宋体"/>
                <w:color w:val="auto"/>
                <w:kern w:val="0"/>
                <w:szCs w:val="21"/>
                <w:highlight w:val="none"/>
              </w:rPr>
              <w:t>报行政</w:t>
            </w:r>
            <w:r>
              <w:rPr>
                <w:rFonts w:hint="eastAsia" w:ascii="宋体" w:hAnsi="宋体"/>
                <w:color w:val="auto"/>
                <w:kern w:val="0"/>
                <w:szCs w:val="21"/>
                <w:highlight w:val="none"/>
                <w:lang w:val="en-US" w:eastAsia="zh-CN"/>
              </w:rPr>
              <w:t>监管</w:t>
            </w:r>
            <w:r>
              <w:rPr>
                <w:rFonts w:ascii="宋体" w:hAnsi="宋体"/>
                <w:color w:val="auto"/>
                <w:kern w:val="0"/>
                <w:szCs w:val="21"/>
                <w:highlight w:val="none"/>
              </w:rPr>
              <w:t>部门</w:t>
            </w:r>
            <w:r>
              <w:rPr>
                <w:rFonts w:hint="eastAsia" w:ascii="宋体" w:hAnsi="宋体"/>
                <w:color w:val="auto"/>
                <w:kern w:val="0"/>
                <w:szCs w:val="21"/>
                <w:highlight w:val="none"/>
                <w:lang w:val="en-US" w:eastAsia="zh-CN"/>
              </w:rPr>
              <w:t>依法依规处理</w:t>
            </w: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对纸质投标保函</w:t>
            </w:r>
            <w:r>
              <w:rPr>
                <w:rFonts w:hint="eastAsia" w:ascii="宋体" w:hAnsi="宋体"/>
                <w:color w:val="auto"/>
                <w:szCs w:val="21"/>
                <w:highlight w:val="none"/>
                <w:lang w:val="en-US" w:eastAsia="zh-CN"/>
              </w:rPr>
              <w:t>弄虚作假的，</w:t>
            </w:r>
            <w:r>
              <w:rPr>
                <w:rFonts w:hint="eastAsia" w:ascii="宋体" w:hAnsi="宋体"/>
                <w:color w:val="auto"/>
                <w:kern w:val="0"/>
                <w:szCs w:val="21"/>
                <w:highlight w:val="none"/>
                <w:lang w:val="en-US" w:eastAsia="zh-CN"/>
              </w:rPr>
              <w:t>应当</w:t>
            </w:r>
            <w:r>
              <w:rPr>
                <w:rFonts w:ascii="宋体" w:hAnsi="宋体"/>
                <w:color w:val="auto"/>
                <w:kern w:val="0"/>
                <w:szCs w:val="21"/>
                <w:highlight w:val="none"/>
              </w:rPr>
              <w:t>报行政</w:t>
            </w:r>
            <w:r>
              <w:rPr>
                <w:rFonts w:hint="eastAsia" w:ascii="宋体" w:hAnsi="宋体"/>
                <w:color w:val="auto"/>
                <w:kern w:val="0"/>
                <w:szCs w:val="21"/>
                <w:highlight w:val="none"/>
                <w:lang w:val="en-US" w:eastAsia="zh-CN"/>
              </w:rPr>
              <w:t>监管</w:t>
            </w:r>
            <w:r>
              <w:rPr>
                <w:rFonts w:ascii="宋体" w:hAnsi="宋体"/>
                <w:color w:val="auto"/>
                <w:kern w:val="0"/>
                <w:szCs w:val="21"/>
                <w:highlight w:val="none"/>
              </w:rPr>
              <w:t>部门</w:t>
            </w:r>
            <w:r>
              <w:rPr>
                <w:rFonts w:hint="eastAsia" w:ascii="宋体" w:hAnsi="宋体"/>
                <w:color w:val="auto"/>
                <w:kern w:val="0"/>
                <w:szCs w:val="21"/>
                <w:highlight w:val="none"/>
                <w:lang w:val="en-US" w:eastAsia="zh-CN"/>
              </w:rPr>
              <w:t>和公安机关依法依规处理</w:t>
            </w:r>
            <w:r>
              <w:rPr>
                <w:rFonts w:ascii="宋体" w:hAnsi="宋体"/>
                <w:color w:val="auto"/>
                <w:kern w:val="0"/>
                <w:szCs w:val="21"/>
                <w:highlight w:val="none"/>
              </w:rPr>
              <w:t>。</w:t>
            </w:r>
          </w:p>
          <w:p w14:paraId="5625987A">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lang w:val="en-US" w:eastAsia="zh-CN"/>
              </w:rPr>
              <w:t>6</w:t>
            </w:r>
            <w:r>
              <w:rPr>
                <w:rFonts w:hint="eastAsia" w:ascii="宋体" w:hAnsi="宋体"/>
                <w:color w:val="auto"/>
                <w:kern w:val="0"/>
                <w:szCs w:val="21"/>
                <w:highlight w:val="none"/>
              </w:rPr>
              <w:t>.</w:t>
            </w:r>
            <w:r>
              <w:rPr>
                <w:rFonts w:hint="eastAsia" w:ascii="宋体" w:hAnsi="宋体"/>
                <w:color w:val="auto"/>
                <w:kern w:val="0"/>
                <w:szCs w:val="21"/>
                <w:highlight w:val="none"/>
                <w:lang w:val="en-US" w:eastAsia="zh-CN"/>
              </w:rPr>
              <w:t xml:space="preserve"> </w:t>
            </w:r>
            <w:r>
              <w:rPr>
                <w:rFonts w:hint="eastAsia" w:ascii="宋体" w:hAnsi="宋体"/>
                <w:color w:val="auto"/>
                <w:kern w:val="0"/>
                <w:szCs w:val="21"/>
                <w:highlight w:val="none"/>
              </w:rPr>
              <w:t>若投标人为联合体，则由联合体牵头人提供</w:t>
            </w:r>
            <w:r>
              <w:rPr>
                <w:rFonts w:hint="eastAsia" w:ascii="宋体" w:hAnsi="宋体"/>
                <w:color w:val="auto"/>
                <w:kern w:val="0"/>
                <w:szCs w:val="21"/>
                <w:highlight w:val="none"/>
                <w:lang w:val="en-US" w:eastAsia="zh-CN"/>
              </w:rPr>
              <w:t>纸质</w:t>
            </w:r>
            <w:r>
              <w:rPr>
                <w:rFonts w:hint="eastAsia" w:ascii="宋体" w:hAnsi="宋体"/>
                <w:color w:val="auto"/>
                <w:kern w:val="0"/>
                <w:szCs w:val="21"/>
                <w:highlight w:val="none"/>
              </w:rPr>
              <w:t>投标保函。</w:t>
            </w:r>
          </w:p>
          <w:p w14:paraId="5D21498A">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二、</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投标保函的</w:t>
            </w:r>
            <w:r>
              <w:rPr>
                <w:rFonts w:hint="eastAsia" w:ascii="宋体" w:hAnsi="宋体"/>
                <w:color w:val="auto"/>
                <w:kern w:val="0"/>
                <w:szCs w:val="21"/>
                <w:highlight w:val="none"/>
              </w:rPr>
              <w:t>退还、注销</w:t>
            </w:r>
          </w:p>
          <w:p w14:paraId="381ADB44">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招标人应当在法定时间内确定中标人，向中标人发出中标通知书，同时向除中标候选人以外的其他投标人退还</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投标保函正本并书面通知相关银行本项目准予提前注销</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投标保函。具体注销事宜由投标人与银行协商。</w:t>
            </w:r>
          </w:p>
          <w:p w14:paraId="6B4E7107">
            <w:pPr>
              <w:snapToGrid w:val="0"/>
              <w:spacing w:line="400" w:lineRule="exact"/>
              <w:ind w:firstLine="420" w:firstLineChars="200"/>
              <w:jc w:val="left"/>
              <w:rPr>
                <w:rFonts w:hint="eastAsia" w:ascii="宋体" w:hAnsi="宋体" w:cs="宋体"/>
                <w:color w:val="auto"/>
                <w:kern w:val="0"/>
                <w:szCs w:val="21"/>
                <w:highlight w:val="none"/>
              </w:rPr>
            </w:pPr>
            <w:r>
              <w:rPr>
                <w:rFonts w:ascii="宋体" w:hAnsi="宋体"/>
                <w:color w:val="auto"/>
                <w:kern w:val="0"/>
                <w:szCs w:val="21"/>
                <w:highlight w:val="none"/>
              </w:rPr>
              <w:t>招标人应在法定时间内和中标人</w:t>
            </w:r>
            <w:r>
              <w:rPr>
                <w:rFonts w:hint="eastAsia" w:ascii="宋体" w:hAnsi="宋体"/>
                <w:color w:val="auto"/>
                <w:kern w:val="0"/>
                <w:szCs w:val="21"/>
                <w:highlight w:val="none"/>
              </w:rPr>
              <w:t>签订</w:t>
            </w:r>
            <w:r>
              <w:rPr>
                <w:rFonts w:ascii="宋体" w:hAnsi="宋体"/>
                <w:color w:val="auto"/>
                <w:kern w:val="0"/>
                <w:szCs w:val="21"/>
                <w:highlight w:val="none"/>
              </w:rPr>
              <w:t>合同，并同时书面通知相关银行向中标人和其他中标候选人注销</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投标保函。具体注销事宜由投标人与银行协商。</w:t>
            </w:r>
          </w:p>
        </w:tc>
      </w:tr>
      <w:tr w14:paraId="1DEB6F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B1A196E">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3.6</w:t>
            </w:r>
          </w:p>
        </w:tc>
        <w:tc>
          <w:tcPr>
            <w:tcW w:w="1644" w:type="dxa"/>
            <w:noWrap w:val="0"/>
            <w:vAlign w:val="center"/>
          </w:tcPr>
          <w:p w14:paraId="122DAD53">
            <w:pPr>
              <w:snapToGrid w:val="0"/>
              <w:spacing w:line="400" w:lineRule="exact"/>
              <w:jc w:val="center"/>
              <w:rPr>
                <w:rFonts w:hint="eastAsia" w:ascii="宋体" w:hAnsi="宋体"/>
                <w:color w:val="auto"/>
                <w:kern w:val="0"/>
                <w:szCs w:val="21"/>
                <w:highlight w:val="none"/>
              </w:rPr>
            </w:pPr>
            <w:r>
              <w:rPr>
                <w:rFonts w:ascii="宋体" w:hAnsi="宋体"/>
                <w:color w:val="auto"/>
                <w:kern w:val="0"/>
                <w:szCs w:val="21"/>
                <w:highlight w:val="none"/>
              </w:rPr>
              <w:t>是否允许递交</w:t>
            </w:r>
          </w:p>
          <w:p w14:paraId="7043634E">
            <w:pPr>
              <w:snapToGrid w:val="0"/>
              <w:spacing w:after="93" w:afterLines="30" w:line="400" w:lineRule="exact"/>
              <w:jc w:val="center"/>
              <w:rPr>
                <w:rFonts w:ascii="宋体" w:hAnsi="宋体"/>
                <w:color w:val="auto"/>
                <w:kern w:val="0"/>
                <w:szCs w:val="21"/>
                <w:highlight w:val="none"/>
              </w:rPr>
            </w:pPr>
            <w:r>
              <w:rPr>
                <w:rFonts w:ascii="宋体" w:hAnsi="宋体"/>
                <w:color w:val="auto"/>
                <w:kern w:val="0"/>
                <w:szCs w:val="21"/>
                <w:highlight w:val="none"/>
              </w:rPr>
              <w:t>备选投标方案</w:t>
            </w:r>
          </w:p>
        </w:tc>
        <w:tc>
          <w:tcPr>
            <w:tcW w:w="6490" w:type="dxa"/>
            <w:noWrap w:val="0"/>
            <w:vAlign w:val="center"/>
          </w:tcPr>
          <w:p w14:paraId="75218448">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口不允许</w:t>
            </w:r>
          </w:p>
          <w:p w14:paraId="3C136742">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口允许</w:t>
            </w:r>
          </w:p>
        </w:tc>
      </w:tr>
      <w:tr w14:paraId="38CBFC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5897D67C">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3.7.1</w:t>
            </w:r>
          </w:p>
        </w:tc>
        <w:tc>
          <w:tcPr>
            <w:tcW w:w="1644" w:type="dxa"/>
            <w:noWrap w:val="0"/>
            <w:vAlign w:val="center"/>
          </w:tcPr>
          <w:p w14:paraId="2A6E6731">
            <w:pPr>
              <w:snapToGrid w:val="0"/>
              <w:spacing w:after="93" w:afterLines="30"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投标文件格式要求</w:t>
            </w:r>
          </w:p>
        </w:tc>
        <w:tc>
          <w:tcPr>
            <w:tcW w:w="6490" w:type="dxa"/>
            <w:noWrap w:val="0"/>
            <w:vAlign w:val="center"/>
          </w:tcPr>
          <w:p w14:paraId="7BA1662F">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编制投标文件时不得对第八章“投标文件格式”的相应要素作实质性修改，否则视为重大偏差，由评标委员会作否决投标处理。</w:t>
            </w:r>
          </w:p>
        </w:tc>
      </w:tr>
      <w:tr w14:paraId="1BE338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7ACB2B2A">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3.7.3</w:t>
            </w:r>
          </w:p>
        </w:tc>
        <w:tc>
          <w:tcPr>
            <w:tcW w:w="1644" w:type="dxa"/>
            <w:noWrap w:val="0"/>
            <w:vAlign w:val="center"/>
          </w:tcPr>
          <w:p w14:paraId="50D6DD1B">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签字盖章要求</w:t>
            </w:r>
          </w:p>
        </w:tc>
        <w:tc>
          <w:tcPr>
            <w:tcW w:w="6490" w:type="dxa"/>
            <w:noWrap w:val="0"/>
            <w:vAlign w:val="center"/>
          </w:tcPr>
          <w:p w14:paraId="27C04FBD">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投标文件应使用专用的“新点投标文件制作软件（重庆版）”编制而成。第八章 投标文件格式要求法定代表人或其委托代理人签字（或盖章）的须齐全，要求加盖单位法人章的，应使用 CA 数字证书加盖投标人的单位电子印章。</w:t>
            </w:r>
          </w:p>
          <w:p w14:paraId="275C2A96">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若投标单位为联合体，则联合体协议书中各联合体成员单位签字（或盖章）须齐全，要求各联合体成员盖单位法人章的，各联合体成员盖章须齐全；联合体协议书以外的投标文件格式中，要求法定代表人或其委托代理人签字（或盖章）的均由联合体牵头人法定代表人或其委托代理人签字（或盖章），要求投标人加盖单位法人章的，均由联合体牵头人使用 CA 数字证书加盖其单位电子印章。</w:t>
            </w:r>
          </w:p>
          <w:p w14:paraId="2B66B6A2">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未按上述规定执行的，交由评标委员会作否决投标处理。</w:t>
            </w:r>
          </w:p>
        </w:tc>
      </w:tr>
      <w:tr w14:paraId="1737E5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774710F6">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3.7.4</w:t>
            </w:r>
          </w:p>
        </w:tc>
        <w:tc>
          <w:tcPr>
            <w:tcW w:w="1644" w:type="dxa"/>
            <w:noWrap w:val="0"/>
            <w:vAlign w:val="center"/>
          </w:tcPr>
          <w:p w14:paraId="65B2C47F">
            <w:pPr>
              <w:snapToGrid w:val="0"/>
              <w:spacing w:line="400" w:lineRule="exact"/>
              <w:rPr>
                <w:rFonts w:ascii="宋体" w:hAnsi="宋体"/>
                <w:color w:val="auto"/>
                <w:spacing w:val="-6"/>
                <w:kern w:val="0"/>
                <w:szCs w:val="21"/>
                <w:highlight w:val="none"/>
              </w:rPr>
            </w:pPr>
            <w:r>
              <w:rPr>
                <w:rFonts w:ascii="宋体" w:hAnsi="宋体"/>
                <w:color w:val="auto"/>
                <w:spacing w:val="-6"/>
                <w:kern w:val="0"/>
                <w:szCs w:val="21"/>
                <w:highlight w:val="none"/>
              </w:rPr>
              <w:t>投标文件的份数</w:t>
            </w:r>
          </w:p>
        </w:tc>
        <w:tc>
          <w:tcPr>
            <w:tcW w:w="6490" w:type="dxa"/>
            <w:noWrap w:val="0"/>
            <w:vAlign w:val="center"/>
          </w:tcPr>
          <w:p w14:paraId="11472E07">
            <w:pPr>
              <w:autoSpaceDE w:val="0"/>
              <w:autoSpaceDN w:val="0"/>
              <w:adjustRightInd w:val="0"/>
              <w:snapToGrid w:val="0"/>
              <w:spacing w:after="93" w:afterLines="30" w:line="400" w:lineRule="exact"/>
              <w:ind w:firstLine="420" w:firstLineChars="200"/>
              <w:rPr>
                <w:rFonts w:ascii="宋体" w:hAnsi="宋体"/>
                <w:i/>
                <w:color w:val="auto"/>
                <w:kern w:val="0"/>
                <w:szCs w:val="21"/>
                <w:highlight w:val="none"/>
              </w:rPr>
            </w:pPr>
            <w:r>
              <w:rPr>
                <w:rFonts w:hint="eastAsia" w:ascii="宋体" w:hAnsi="宋体"/>
                <w:color w:val="auto"/>
                <w:kern w:val="0"/>
                <w:szCs w:val="21"/>
                <w:highlight w:val="none"/>
              </w:rPr>
              <w:t>本工程采用全流程电子招标投标，投标人提供的投标文件为：加密电子投标文件（网上递交）一份。</w:t>
            </w:r>
          </w:p>
        </w:tc>
      </w:tr>
      <w:tr w14:paraId="7BB436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335" w:type="dxa"/>
            <w:noWrap w:val="0"/>
            <w:vAlign w:val="center"/>
          </w:tcPr>
          <w:p w14:paraId="7C253AA0">
            <w:pPr>
              <w:snapToGrid w:val="0"/>
              <w:spacing w:line="400" w:lineRule="exact"/>
              <w:jc w:val="center"/>
              <w:rPr>
                <w:rFonts w:hint="eastAsia" w:ascii="宋体" w:hAnsi="宋体"/>
                <w:color w:val="auto"/>
                <w:kern w:val="0"/>
                <w:szCs w:val="21"/>
                <w:highlight w:val="none"/>
              </w:rPr>
            </w:pPr>
            <w:r>
              <w:rPr>
                <w:rFonts w:ascii="宋体" w:hAnsi="宋体"/>
                <w:color w:val="auto"/>
                <w:kern w:val="0"/>
                <w:szCs w:val="21"/>
                <w:highlight w:val="none"/>
              </w:rPr>
              <w:t>3.7.5</w:t>
            </w:r>
          </w:p>
        </w:tc>
        <w:tc>
          <w:tcPr>
            <w:tcW w:w="1644" w:type="dxa"/>
            <w:noWrap w:val="0"/>
            <w:vAlign w:val="center"/>
          </w:tcPr>
          <w:p w14:paraId="2585AB36">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编制</w:t>
            </w:r>
            <w:r>
              <w:rPr>
                <w:rFonts w:ascii="宋体" w:hAnsi="宋体"/>
                <w:color w:val="auto"/>
                <w:kern w:val="0"/>
                <w:szCs w:val="21"/>
                <w:highlight w:val="none"/>
              </w:rPr>
              <w:t>要求</w:t>
            </w:r>
          </w:p>
        </w:tc>
        <w:tc>
          <w:tcPr>
            <w:tcW w:w="6490" w:type="dxa"/>
            <w:noWrap w:val="0"/>
            <w:vAlign w:val="center"/>
          </w:tcPr>
          <w:p w14:paraId="44745DB2">
            <w:pPr>
              <w:adjustRightInd w:val="0"/>
              <w:snapToGrid w:val="0"/>
              <w:spacing w:line="400" w:lineRule="exact"/>
              <w:ind w:firstLine="420" w:firstLineChars="200"/>
              <w:rPr>
                <w:rFonts w:ascii="宋体" w:hAnsi="宋体"/>
                <w:i/>
                <w:color w:val="auto"/>
                <w:szCs w:val="21"/>
                <w:highlight w:val="none"/>
              </w:rPr>
            </w:pPr>
            <w:r>
              <w:rPr>
                <w:rFonts w:ascii="宋体" w:hAnsi="宋体"/>
                <w:i/>
                <w:color w:val="auto"/>
                <w:szCs w:val="21"/>
                <w:highlight w:val="none"/>
              </w:rPr>
              <w:t>[提示：适用于电子标暗标</w:t>
            </w:r>
            <w:r>
              <w:rPr>
                <w:rFonts w:hint="eastAsia" w:ascii="宋体" w:hAnsi="宋体"/>
                <w:i/>
                <w:color w:val="auto"/>
                <w:szCs w:val="21"/>
                <w:highlight w:val="none"/>
              </w:rPr>
              <w:t>编制</w:t>
            </w:r>
            <w:r>
              <w:rPr>
                <w:rFonts w:ascii="宋体" w:hAnsi="宋体"/>
                <w:i/>
                <w:color w:val="auto"/>
                <w:szCs w:val="21"/>
                <w:highlight w:val="none"/>
              </w:rPr>
              <w:t>要求]</w:t>
            </w:r>
          </w:p>
          <w:p w14:paraId="66B41773">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（1）电子投标文件由投标人使用专用的“新点投标文件制作软件（重庆版）”制作生成。</w:t>
            </w:r>
          </w:p>
          <w:p w14:paraId="0C26AC8B">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（2）投标人在编制电子投标文件时应当建立分级目录，并按照标签提示导入相关内容。</w:t>
            </w:r>
          </w:p>
          <w:p w14:paraId="6DAFBDF3">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（3）按本章前附表第3.7.3项签字盖章要求进行投标文件的签署。</w:t>
            </w:r>
          </w:p>
          <w:p w14:paraId="1E27369E">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（4）电子投标文件制作完成后，将生成一份加密的电子投标文件（后缀名为. CQTF）和一份不加密的电子投标文件（后缀名为. nCQTF）。</w:t>
            </w:r>
          </w:p>
          <w:p w14:paraId="37DB6EAF">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（5）投标人</w:t>
            </w:r>
            <w:r>
              <w:rPr>
                <w:rFonts w:hint="eastAsia" w:ascii="宋体" w:hAnsi="宋体" w:cs="宋体"/>
                <w:color w:val="auto"/>
                <w:szCs w:val="21"/>
                <w:highlight w:val="none"/>
              </w:rPr>
              <w:t>如需递交不加密电子投标文件的，应</w:t>
            </w:r>
            <w:r>
              <w:rPr>
                <w:rFonts w:hint="eastAsia" w:ascii="宋体" w:hAnsi="宋体"/>
                <w:color w:val="auto"/>
                <w:szCs w:val="21"/>
                <w:highlight w:val="none"/>
              </w:rPr>
              <w:t>将不加密的电子投标文件复制到一张光盘中</w:t>
            </w:r>
            <w:r>
              <w:rPr>
                <w:rFonts w:hint="eastAsia" w:ascii="宋体" w:hAnsi="宋体" w:cs="宋体"/>
                <w:color w:val="auto"/>
                <w:szCs w:val="21"/>
                <w:highlight w:val="none"/>
              </w:rPr>
              <w:t>（光盘备份，仅作为非投标人原因造成的未解密情况补救使用，下同）</w:t>
            </w:r>
            <w:r>
              <w:rPr>
                <w:rFonts w:hint="eastAsia" w:ascii="宋体" w:hAnsi="宋体"/>
                <w:color w:val="auto"/>
                <w:szCs w:val="21"/>
                <w:highlight w:val="none"/>
              </w:rPr>
              <w:t>，光盘表面粘贴标签贴加盖单位法人章，并将招标项目名称、投标人名称等信息填写在标签贴上。</w:t>
            </w:r>
          </w:p>
          <w:p w14:paraId="29F6673A">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（6）电子投标文件制作的具体方法详见“新点投标文件制作软件（重庆版）”中的帮助文档。</w:t>
            </w:r>
          </w:p>
          <w:p w14:paraId="0146CF25">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具体要求：</w:t>
            </w:r>
          </w:p>
          <w:p w14:paraId="5BE4A772">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（1）投标函部分</w:t>
            </w:r>
          </w:p>
          <w:p w14:paraId="40E520EE">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应按照第八章规定格式排版，并应编制目录。</w:t>
            </w:r>
          </w:p>
          <w:p w14:paraId="5F5E595E">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（2）经济部分</w:t>
            </w:r>
          </w:p>
          <w:p w14:paraId="7DC08142">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应按照第八章规定格式排版，并应编制目录。</w:t>
            </w:r>
          </w:p>
          <w:p w14:paraId="6E091F04">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（3）技术部分</w:t>
            </w:r>
            <w:r>
              <w:rPr>
                <w:rFonts w:hint="eastAsia" w:ascii="宋体" w:hAnsi="宋体"/>
                <w:iCs/>
                <w:color w:val="auto"/>
                <w:szCs w:val="21"/>
                <w:highlight w:val="none"/>
              </w:rPr>
              <w:t>（如有）</w:t>
            </w:r>
          </w:p>
          <w:p w14:paraId="121902E0">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电子投标文件技术暗标不设封面，整个《技术方案》均不得出现白页和倒页；不得出现与本工程无关的内容；不得显示与投标人企业有关的任何信息；《技术方案》文字部分采用四号仿宋字体；图表内的字体、字号大小不限；文字、图表不得使用彩色和不得编制页码。违反上述任何一项，采用经评审的最低投标价法的其投标文件《技术方案》符合性评审不合格，由评标委员会作否决投标处理；采用综合评估法的其投标文件《技术方案》部分为零分。</w:t>
            </w:r>
          </w:p>
          <w:p w14:paraId="0BDD5936">
            <w:pPr>
              <w:adjustRightInd w:val="0"/>
              <w:snapToGrid w:val="0"/>
              <w:spacing w:line="400" w:lineRule="exact"/>
              <w:ind w:firstLine="420" w:firstLineChars="200"/>
              <w:rPr>
                <w:rStyle w:val="54"/>
                <w:color w:val="auto"/>
                <w:highlight w:val="none"/>
              </w:rPr>
            </w:pPr>
            <w:r>
              <w:rPr>
                <w:rFonts w:hint="eastAsia" w:ascii="宋体" w:hAnsi="宋体"/>
                <w:color w:val="auto"/>
                <w:szCs w:val="21"/>
                <w:highlight w:val="none"/>
              </w:rPr>
              <w:t>（技术方案原则上不超过</w:t>
            </w:r>
            <w:r>
              <w:rPr>
                <w:rFonts w:hint="eastAsia" w:ascii="宋体" w:hAnsi="宋体"/>
                <w:color w:val="auto"/>
                <w:szCs w:val="21"/>
                <w:highlight w:val="none"/>
                <w:u w:val="single"/>
              </w:rPr>
              <w:t xml:space="preserve">    </w:t>
            </w:r>
            <w:r>
              <w:rPr>
                <w:rFonts w:hint="eastAsia" w:ascii="宋体" w:hAnsi="宋体"/>
                <w:color w:val="auto"/>
                <w:szCs w:val="21"/>
                <w:highlight w:val="none"/>
              </w:rPr>
              <w:t>页。）</w:t>
            </w:r>
          </w:p>
          <w:p w14:paraId="1F827639">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（4）资格审查部分</w:t>
            </w:r>
          </w:p>
          <w:p w14:paraId="1996201F">
            <w:pPr>
              <w:adjustRightInd w:val="0"/>
              <w:snapToGrid w:val="0"/>
              <w:spacing w:line="400" w:lineRule="exact"/>
              <w:ind w:firstLine="420" w:firstLineChars="200"/>
              <w:rPr>
                <w:rStyle w:val="54"/>
                <w:color w:val="auto"/>
                <w:highlight w:val="none"/>
              </w:rPr>
            </w:pPr>
            <w:r>
              <w:rPr>
                <w:rFonts w:hint="eastAsia" w:ascii="宋体" w:hAnsi="宋体"/>
                <w:color w:val="auto"/>
                <w:szCs w:val="21"/>
                <w:highlight w:val="none"/>
              </w:rPr>
              <w:t>应按照第八章规定格式排版，并应编制目录。</w:t>
            </w:r>
          </w:p>
        </w:tc>
      </w:tr>
      <w:tr w14:paraId="6978FE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48541066">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3.7.5</w:t>
            </w:r>
          </w:p>
        </w:tc>
        <w:tc>
          <w:tcPr>
            <w:tcW w:w="1644" w:type="dxa"/>
            <w:noWrap w:val="0"/>
            <w:vAlign w:val="center"/>
          </w:tcPr>
          <w:p w14:paraId="6F928D54">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编制要求</w:t>
            </w:r>
          </w:p>
        </w:tc>
        <w:tc>
          <w:tcPr>
            <w:tcW w:w="6490" w:type="dxa"/>
            <w:noWrap w:val="0"/>
            <w:vAlign w:val="center"/>
          </w:tcPr>
          <w:p w14:paraId="20B29D64">
            <w:pPr>
              <w:adjustRightInd w:val="0"/>
              <w:snapToGrid w:val="0"/>
              <w:spacing w:line="400" w:lineRule="exact"/>
              <w:ind w:firstLine="420" w:firstLineChars="200"/>
              <w:rPr>
                <w:rFonts w:ascii="宋体" w:hAnsi="宋体"/>
                <w:i/>
                <w:color w:val="auto"/>
                <w:szCs w:val="21"/>
                <w:highlight w:val="none"/>
              </w:rPr>
            </w:pPr>
            <w:r>
              <w:rPr>
                <w:rFonts w:ascii="宋体" w:hAnsi="宋体"/>
                <w:i/>
                <w:color w:val="auto"/>
                <w:szCs w:val="21"/>
                <w:highlight w:val="none"/>
              </w:rPr>
              <w:t>[提示：适用于电子标明标</w:t>
            </w:r>
            <w:r>
              <w:rPr>
                <w:rFonts w:hint="eastAsia" w:ascii="宋体" w:hAnsi="宋体"/>
                <w:i/>
                <w:color w:val="auto"/>
                <w:szCs w:val="21"/>
                <w:highlight w:val="none"/>
              </w:rPr>
              <w:t>编制</w:t>
            </w:r>
            <w:r>
              <w:rPr>
                <w:rFonts w:ascii="宋体" w:hAnsi="宋体"/>
                <w:i/>
                <w:color w:val="auto"/>
                <w:szCs w:val="21"/>
                <w:highlight w:val="none"/>
              </w:rPr>
              <w:t>要求]</w:t>
            </w:r>
          </w:p>
          <w:p w14:paraId="207A4A17">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（1）电子投标文件由投标人使用专用的“新点投标文件制作软件（重庆版）”制作生成。</w:t>
            </w:r>
          </w:p>
          <w:p w14:paraId="479B89D2">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（2）投标人在编制电子投标文件时应当建立分级目录，并按照标签提示导入相关内容。</w:t>
            </w:r>
          </w:p>
          <w:p w14:paraId="7A381ED9">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（3）按本章前附表第3.7.3项签字盖章要求进行投标文件的签署。</w:t>
            </w:r>
          </w:p>
          <w:p w14:paraId="1B80AFAA">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（4）电子投标文件制作完成后，将生成一份加密的电子投标文件（后缀名为. CQTF）和一份不加密的电子投标文件（后缀名为. nCQTF）。</w:t>
            </w:r>
          </w:p>
          <w:p w14:paraId="3BE655B7">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（5）投标人</w:t>
            </w:r>
            <w:r>
              <w:rPr>
                <w:rFonts w:hint="eastAsia" w:ascii="宋体" w:hAnsi="宋体" w:cs="宋体"/>
                <w:color w:val="auto"/>
                <w:szCs w:val="21"/>
                <w:highlight w:val="none"/>
              </w:rPr>
              <w:t>如需递交不加密电子投标文件的，应</w:t>
            </w:r>
            <w:r>
              <w:rPr>
                <w:rFonts w:hint="eastAsia" w:ascii="宋体" w:hAnsi="宋体"/>
                <w:color w:val="auto"/>
                <w:szCs w:val="21"/>
                <w:highlight w:val="none"/>
              </w:rPr>
              <w:t>将不加密的电子投标文件复制到一张光盘中</w:t>
            </w:r>
            <w:r>
              <w:rPr>
                <w:rFonts w:hint="eastAsia" w:ascii="宋体" w:hAnsi="宋体" w:cs="宋体"/>
                <w:color w:val="auto"/>
                <w:szCs w:val="21"/>
                <w:highlight w:val="none"/>
              </w:rPr>
              <w:t>（光盘备份，仅作为非投标人原因造成的未解密情况补救使用，下同）</w:t>
            </w:r>
            <w:r>
              <w:rPr>
                <w:rFonts w:hint="eastAsia" w:ascii="宋体" w:hAnsi="宋体"/>
                <w:color w:val="auto"/>
                <w:szCs w:val="21"/>
                <w:highlight w:val="none"/>
              </w:rPr>
              <w:t>，光盘表面粘贴标签贴，并将招标项目名称、投标人名称等信息填写在标签贴上。</w:t>
            </w:r>
          </w:p>
          <w:p w14:paraId="179B9DE8">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（6）电子投标文件制作的具体方法详见“新点投标文件制作软件（重庆版）”中的帮助文档。</w:t>
            </w:r>
          </w:p>
          <w:p w14:paraId="52D451EF">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具体要求：</w:t>
            </w:r>
          </w:p>
          <w:p w14:paraId="76E84BC5">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（1）投标函部分</w:t>
            </w:r>
          </w:p>
          <w:p w14:paraId="0B5BC630">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应按照第八章规定格式排版，并应编制目录。</w:t>
            </w:r>
          </w:p>
          <w:p w14:paraId="63C20424">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（2）经济部分</w:t>
            </w:r>
          </w:p>
          <w:p w14:paraId="44CCD5E9">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应按照第八章规定格式排版，并应编制目录。</w:t>
            </w:r>
          </w:p>
          <w:p w14:paraId="1802E43E">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（3）技术部分</w:t>
            </w:r>
            <w:r>
              <w:rPr>
                <w:rFonts w:hint="eastAsia" w:ascii="宋体" w:hAnsi="宋体"/>
                <w:iCs/>
                <w:color w:val="auto"/>
                <w:szCs w:val="21"/>
                <w:highlight w:val="none"/>
              </w:rPr>
              <w:t>（如有）</w:t>
            </w:r>
          </w:p>
          <w:p w14:paraId="1DC8C3C3">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电子投标文件技术明标不设封面，应按照第八章规定格式排版，并应编制目录，标注页码。</w:t>
            </w:r>
          </w:p>
          <w:p w14:paraId="4B6B762B">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（技术方案原则上不超过</w:t>
            </w:r>
            <w:r>
              <w:rPr>
                <w:rFonts w:hint="eastAsia" w:ascii="宋体" w:hAnsi="宋体"/>
                <w:color w:val="auto"/>
                <w:szCs w:val="21"/>
                <w:highlight w:val="none"/>
                <w:u w:val="single"/>
              </w:rPr>
              <w:t xml:space="preserve">    </w:t>
            </w:r>
            <w:r>
              <w:rPr>
                <w:rFonts w:hint="eastAsia" w:ascii="宋体" w:hAnsi="宋体"/>
                <w:color w:val="auto"/>
                <w:szCs w:val="21"/>
                <w:highlight w:val="none"/>
              </w:rPr>
              <w:t>页。）</w:t>
            </w:r>
          </w:p>
          <w:p w14:paraId="7413E0FC">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（4）资格审查部分</w:t>
            </w:r>
          </w:p>
          <w:p w14:paraId="52D2E91C">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应按照第八章规定格式排版，并应编制目录。</w:t>
            </w:r>
          </w:p>
        </w:tc>
      </w:tr>
      <w:tr w14:paraId="320135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7C5312D3">
            <w:pPr>
              <w:snapToGrid w:val="0"/>
              <w:spacing w:line="400" w:lineRule="exact"/>
              <w:jc w:val="center"/>
              <w:rPr>
                <w:rFonts w:hint="eastAsia" w:ascii="宋体" w:hAnsi="宋体"/>
                <w:color w:val="auto"/>
                <w:kern w:val="0"/>
                <w:szCs w:val="21"/>
                <w:highlight w:val="none"/>
              </w:rPr>
            </w:pPr>
            <w:r>
              <w:rPr>
                <w:rFonts w:ascii="宋体" w:hAnsi="宋体"/>
                <w:color w:val="auto"/>
                <w:kern w:val="0"/>
                <w:szCs w:val="21"/>
                <w:highlight w:val="none"/>
              </w:rPr>
              <w:t>4.1.1</w:t>
            </w:r>
          </w:p>
        </w:tc>
        <w:tc>
          <w:tcPr>
            <w:tcW w:w="1644" w:type="dxa"/>
            <w:noWrap w:val="0"/>
            <w:vAlign w:val="center"/>
          </w:tcPr>
          <w:p w14:paraId="6E3AE40B">
            <w:pPr>
              <w:snapToGrid w:val="0"/>
              <w:spacing w:line="400" w:lineRule="exact"/>
              <w:jc w:val="center"/>
              <w:rPr>
                <w:rFonts w:hint="eastAsia" w:ascii="宋体" w:hAnsi="宋体"/>
                <w:color w:val="auto"/>
                <w:spacing w:val="-6"/>
                <w:kern w:val="0"/>
                <w:szCs w:val="21"/>
                <w:highlight w:val="none"/>
              </w:rPr>
            </w:pPr>
            <w:r>
              <w:rPr>
                <w:rFonts w:ascii="宋体" w:hAnsi="宋体"/>
                <w:color w:val="auto"/>
                <w:spacing w:val="-6"/>
                <w:kern w:val="0"/>
                <w:szCs w:val="21"/>
                <w:highlight w:val="none"/>
              </w:rPr>
              <w:t>投标文件的密封</w:t>
            </w:r>
          </w:p>
        </w:tc>
        <w:tc>
          <w:tcPr>
            <w:tcW w:w="6490" w:type="dxa"/>
            <w:noWrap w:val="0"/>
            <w:vAlign w:val="center"/>
          </w:tcPr>
          <w:p w14:paraId="07CB6DB0">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电子投标文件的加密</w:t>
            </w:r>
          </w:p>
          <w:p w14:paraId="668D7BB1">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加密的电子投标文件应按照本章第4.1.3项要求制作并加密，未按要求加密的电子投标文件，将无法上传至</w:t>
            </w:r>
            <w:r>
              <w:rPr>
                <w:rFonts w:hint="eastAsia" w:ascii="宋体" w:hAnsi="宋体"/>
                <w:color w:val="auto"/>
                <w:szCs w:val="21"/>
                <w:highlight w:val="none"/>
                <w:u w:val="none"/>
              </w:rPr>
              <w:t>重庆市电子招投标系统</w:t>
            </w:r>
            <w:r>
              <w:rPr>
                <w:rFonts w:hint="eastAsia" w:ascii="宋体" w:hAnsi="宋体"/>
                <w:color w:val="auto"/>
                <w:szCs w:val="21"/>
                <w:highlight w:val="none"/>
              </w:rPr>
              <w:t>，逾期未完成上传投标文件的，视为撤回投标文件。</w:t>
            </w:r>
          </w:p>
          <w:p w14:paraId="041F768B">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投标人如需递交不加密电子投标文件，应用“投标文件”袋单独封装，并在封口处加盖投标人单位法人章，同时“投标文件”袋应按本表第4.1.2项的规定写明相应内容。“投标文件”袋未按要求密封的，招标人或代理机构应该拒收。</w:t>
            </w:r>
          </w:p>
        </w:tc>
      </w:tr>
      <w:tr w14:paraId="0A5D34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79723476">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4.1.2</w:t>
            </w:r>
          </w:p>
        </w:tc>
        <w:tc>
          <w:tcPr>
            <w:tcW w:w="1644" w:type="dxa"/>
            <w:noWrap w:val="0"/>
            <w:vAlign w:val="center"/>
          </w:tcPr>
          <w:p w14:paraId="2EB1AC61">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封套上写明</w:t>
            </w:r>
          </w:p>
        </w:tc>
        <w:tc>
          <w:tcPr>
            <w:tcW w:w="6490" w:type="dxa"/>
            <w:noWrap w:val="0"/>
            <w:vAlign w:val="center"/>
          </w:tcPr>
          <w:p w14:paraId="1352E6B4">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应在</w:t>
            </w:r>
            <w:r>
              <w:rPr>
                <w:rFonts w:ascii="宋体" w:hAnsi="宋体"/>
                <w:color w:val="auto"/>
                <w:szCs w:val="21"/>
                <w:highlight w:val="none"/>
              </w:rPr>
              <w:t xml:space="preserve"> </w:t>
            </w:r>
            <w:r>
              <w:rPr>
                <w:rFonts w:ascii="宋体" w:hAnsi="宋体"/>
                <w:color w:val="auto"/>
                <w:kern w:val="0"/>
                <w:szCs w:val="21"/>
                <w:highlight w:val="none"/>
              </w:rPr>
              <w:t>“投标文件”袋封套上写明如下内容：</w:t>
            </w:r>
          </w:p>
          <w:p w14:paraId="495E847B">
            <w:pPr>
              <w:snapToGrid w:val="0"/>
              <w:spacing w:line="400" w:lineRule="exact"/>
              <w:ind w:firstLine="420" w:firstLineChars="200"/>
              <w:rPr>
                <w:rFonts w:hint="eastAsia" w:ascii="宋体" w:hAnsi="宋体"/>
                <w:color w:val="auto"/>
                <w:kern w:val="0"/>
                <w:szCs w:val="21"/>
                <w:highlight w:val="none"/>
                <w:u w:val="single"/>
              </w:rPr>
            </w:pPr>
            <w:r>
              <w:rPr>
                <w:rFonts w:ascii="宋体" w:hAnsi="宋体"/>
                <w:color w:val="auto"/>
                <w:kern w:val="0"/>
                <w:szCs w:val="21"/>
                <w:highlight w:val="none"/>
              </w:rPr>
              <w:t>招标人名称：</w:t>
            </w:r>
            <w:r>
              <w:rPr>
                <w:rFonts w:hint="eastAsia" w:ascii="宋体" w:hAnsi="宋体"/>
                <w:color w:val="auto"/>
                <w:kern w:val="0"/>
                <w:szCs w:val="21"/>
                <w:highlight w:val="none"/>
                <w:u w:val="single"/>
              </w:rPr>
              <w:t xml:space="preserve">            </w:t>
            </w:r>
          </w:p>
          <w:p w14:paraId="4A848F7A">
            <w:pPr>
              <w:snapToGrid w:val="0"/>
              <w:spacing w:line="400" w:lineRule="exact"/>
              <w:ind w:firstLine="420" w:firstLineChars="200"/>
              <w:rPr>
                <w:rFonts w:ascii="宋体" w:hAnsi="宋体"/>
                <w:color w:val="auto"/>
                <w:kern w:val="0"/>
                <w:szCs w:val="21"/>
                <w:highlight w:val="none"/>
                <w:u w:val="single"/>
              </w:rPr>
            </w:pPr>
            <w:r>
              <w:rPr>
                <w:rFonts w:hint="eastAsia" w:ascii="宋体" w:hAnsi="宋体"/>
                <w:color w:val="auto"/>
                <w:kern w:val="0"/>
                <w:szCs w:val="21"/>
                <w:highlight w:val="none"/>
              </w:rPr>
              <w:t>投标人名称：</w:t>
            </w:r>
            <w:r>
              <w:rPr>
                <w:rFonts w:hint="eastAsia" w:ascii="宋体" w:hAnsi="宋体"/>
                <w:color w:val="auto"/>
                <w:kern w:val="0"/>
                <w:szCs w:val="21"/>
                <w:highlight w:val="none"/>
                <w:u w:val="single"/>
              </w:rPr>
              <w:t xml:space="preserve">            </w:t>
            </w:r>
          </w:p>
          <w:p w14:paraId="4733E9CB">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u w:val="single"/>
              </w:rPr>
              <w:t xml:space="preserve">                （项目名称）</w:t>
            </w:r>
            <w:r>
              <w:rPr>
                <w:rFonts w:ascii="宋体" w:hAnsi="宋体"/>
                <w:color w:val="auto"/>
                <w:kern w:val="0"/>
                <w:szCs w:val="21"/>
                <w:highlight w:val="none"/>
              </w:rPr>
              <w:t>投标文件</w:t>
            </w:r>
          </w:p>
          <w:p w14:paraId="7A418BD1">
            <w:pPr>
              <w:snapToGrid w:val="0"/>
              <w:spacing w:line="400" w:lineRule="exact"/>
              <w:ind w:firstLine="420" w:firstLineChars="200"/>
              <w:rPr>
                <w:rFonts w:ascii="宋体" w:hAnsi="宋体"/>
                <w:color w:val="auto"/>
                <w:szCs w:val="21"/>
                <w:highlight w:val="none"/>
              </w:rPr>
            </w:pPr>
            <w:r>
              <w:rPr>
                <w:rFonts w:ascii="宋体" w:hAnsi="宋体"/>
                <w:color w:val="auto"/>
                <w:kern w:val="0"/>
                <w:szCs w:val="21"/>
                <w:highlight w:val="none"/>
              </w:rPr>
              <w:t>在</w:t>
            </w: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时</w:t>
            </w:r>
            <w:r>
              <w:rPr>
                <w:rFonts w:hint="eastAsia" w:ascii="宋体" w:hAnsi="宋体"/>
                <w:color w:val="auto"/>
                <w:kern w:val="0"/>
                <w:szCs w:val="21"/>
                <w:highlight w:val="none"/>
                <w:u w:val="single"/>
              </w:rPr>
              <w:t xml:space="preserve">    </w:t>
            </w:r>
            <w:r>
              <w:rPr>
                <w:rFonts w:ascii="宋体" w:hAnsi="宋体"/>
                <w:color w:val="auto"/>
                <w:kern w:val="0"/>
                <w:szCs w:val="21"/>
                <w:highlight w:val="none"/>
              </w:rPr>
              <w:t>分前不得开启</w:t>
            </w:r>
          </w:p>
        </w:tc>
      </w:tr>
      <w:tr w14:paraId="60C29E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E924156">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4.2.2</w:t>
            </w:r>
          </w:p>
        </w:tc>
        <w:tc>
          <w:tcPr>
            <w:tcW w:w="1644" w:type="dxa"/>
            <w:noWrap w:val="0"/>
            <w:vAlign w:val="center"/>
          </w:tcPr>
          <w:p w14:paraId="1204CCF0">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递交投标文件地点</w:t>
            </w:r>
          </w:p>
        </w:tc>
        <w:tc>
          <w:tcPr>
            <w:tcW w:w="6490" w:type="dxa"/>
            <w:noWrap w:val="0"/>
            <w:vAlign w:val="center"/>
          </w:tcPr>
          <w:p w14:paraId="2512F892">
            <w:pPr>
              <w:snapToGrid w:val="0"/>
              <w:spacing w:line="400" w:lineRule="exact"/>
              <w:ind w:firstLine="420" w:firstLineChars="200"/>
              <w:rPr>
                <w:rFonts w:hint="eastAsia" w:ascii="宋体" w:hAnsi="宋体"/>
                <w:bCs/>
                <w:color w:val="auto"/>
                <w:szCs w:val="21"/>
                <w:highlight w:val="none"/>
              </w:rPr>
            </w:pPr>
            <w:r>
              <w:rPr>
                <w:rFonts w:hint="eastAsia" w:ascii="宋体" w:hAnsi="宋体"/>
                <w:bCs/>
                <w:color w:val="auto"/>
                <w:szCs w:val="21"/>
                <w:highlight w:val="none"/>
              </w:rPr>
              <w:t>投标人应当在投标截止时间前，通过互联网使用CA数字证书登录</w:t>
            </w:r>
            <w:r>
              <w:rPr>
                <w:rFonts w:hint="eastAsia" w:ascii="宋体" w:hAnsi="宋体"/>
                <w:bCs/>
                <w:color w:val="auto"/>
                <w:szCs w:val="21"/>
                <w:highlight w:val="none"/>
                <w:u w:val="none"/>
              </w:rPr>
              <w:t>重庆市电子招投标系统</w:t>
            </w:r>
            <w:r>
              <w:rPr>
                <w:rFonts w:hint="eastAsia" w:ascii="宋体" w:hAnsi="宋体"/>
                <w:bCs/>
                <w:color w:val="auto"/>
                <w:szCs w:val="21"/>
                <w:highlight w:val="none"/>
              </w:rPr>
              <w:t>，将加密的电子投标文件上传。</w:t>
            </w:r>
          </w:p>
          <w:p w14:paraId="62F9CB28">
            <w:pPr>
              <w:snapToGrid w:val="0"/>
              <w:spacing w:line="400" w:lineRule="exact"/>
              <w:ind w:firstLine="420" w:firstLineChars="200"/>
              <w:rPr>
                <w:rFonts w:hint="eastAsia" w:ascii="宋体" w:hAnsi="宋体"/>
                <w:bCs/>
                <w:color w:val="auto"/>
                <w:szCs w:val="21"/>
                <w:highlight w:val="none"/>
              </w:rPr>
            </w:pPr>
            <w:r>
              <w:rPr>
                <w:rFonts w:hint="eastAsia" w:ascii="宋体" w:hAnsi="宋体"/>
                <w:bCs/>
                <w:color w:val="auto"/>
                <w:szCs w:val="21"/>
                <w:highlight w:val="none"/>
              </w:rPr>
              <w:t>特别注意：投标人如需现场递交不加密电子投标文件（光盘备份）等备用资料，则须在投标截止时间前递交，递交地点为</w:t>
            </w:r>
            <w:r>
              <w:rPr>
                <w:rFonts w:hint="eastAsia" w:ascii="宋体" w:hAnsi="宋体"/>
                <w:bCs/>
                <w:color w:val="auto"/>
                <w:szCs w:val="21"/>
                <w:highlight w:val="none"/>
                <w:u w:val="single"/>
              </w:rPr>
              <w:t>重庆市公共资源交易中心</w:t>
            </w:r>
            <w:r>
              <w:rPr>
                <w:rFonts w:hint="eastAsia" w:ascii="宋体" w:hAnsi="宋体"/>
                <w:bCs/>
                <w:color w:val="auto"/>
                <w:szCs w:val="21"/>
                <w:highlight w:val="none"/>
              </w:rPr>
              <w:t>开标区（具体</w:t>
            </w:r>
            <w:r>
              <w:rPr>
                <w:rFonts w:hint="eastAsia" w:ascii="宋体" w:hAnsi="宋体"/>
                <w:bCs/>
                <w:color w:val="auto"/>
                <w:szCs w:val="21"/>
                <w:highlight w:val="none"/>
                <w:lang w:eastAsia="zh-CN"/>
              </w:rPr>
              <w:t>请登录</w:t>
            </w:r>
            <w:r>
              <w:rPr>
                <w:rFonts w:hint="eastAsia" w:ascii="宋体" w:hAnsi="宋体"/>
                <w:bCs/>
                <w:color w:val="auto"/>
                <w:szCs w:val="21"/>
                <w:highlight w:val="none"/>
                <w:u w:val="single"/>
              </w:rPr>
              <w:t>重庆市公共资源交易网（www.cqggzy.com）</w:t>
            </w:r>
            <w:r>
              <w:rPr>
                <w:rFonts w:hint="eastAsia" w:ascii="宋体" w:hAnsi="宋体"/>
                <w:bCs/>
                <w:color w:val="auto"/>
                <w:szCs w:val="21"/>
                <w:highlight w:val="none"/>
              </w:rPr>
              <w:t>查询或递交文件当日见交易中心大厅电子显示屏）。</w:t>
            </w:r>
          </w:p>
        </w:tc>
      </w:tr>
      <w:tr w14:paraId="4C3BC7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EE0B9EA">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4.2.3</w:t>
            </w:r>
          </w:p>
        </w:tc>
        <w:tc>
          <w:tcPr>
            <w:tcW w:w="1644" w:type="dxa"/>
            <w:noWrap w:val="0"/>
            <w:vAlign w:val="center"/>
          </w:tcPr>
          <w:p w14:paraId="136C75C5">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是否退还投标文件</w:t>
            </w:r>
          </w:p>
        </w:tc>
        <w:tc>
          <w:tcPr>
            <w:tcW w:w="6490" w:type="dxa"/>
            <w:noWrap w:val="0"/>
            <w:vAlign w:val="center"/>
          </w:tcPr>
          <w:p w14:paraId="5C5BC5D4">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否</w:t>
            </w:r>
          </w:p>
        </w:tc>
      </w:tr>
      <w:tr w14:paraId="0D5B4D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7DD89B8B">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5.1</w:t>
            </w:r>
            <w:r>
              <w:rPr>
                <w:rFonts w:hint="eastAsia" w:ascii="宋体" w:hAnsi="宋体"/>
                <w:color w:val="auto"/>
                <w:kern w:val="0"/>
                <w:szCs w:val="21"/>
                <w:highlight w:val="none"/>
              </w:rPr>
              <w:t>.1</w:t>
            </w:r>
          </w:p>
        </w:tc>
        <w:tc>
          <w:tcPr>
            <w:tcW w:w="1644" w:type="dxa"/>
            <w:noWrap w:val="0"/>
            <w:vAlign w:val="center"/>
          </w:tcPr>
          <w:p w14:paraId="0BA6F5B3">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开标时间和</w:t>
            </w:r>
          </w:p>
          <w:p w14:paraId="68978918">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地点</w:t>
            </w:r>
          </w:p>
        </w:tc>
        <w:tc>
          <w:tcPr>
            <w:tcW w:w="6490" w:type="dxa"/>
            <w:noWrap w:val="0"/>
            <w:vAlign w:val="center"/>
          </w:tcPr>
          <w:p w14:paraId="26404433">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开标时间：同投标截止时间</w:t>
            </w:r>
          </w:p>
          <w:p w14:paraId="14209F55">
            <w:pPr>
              <w:snapToGrid w:val="0"/>
              <w:spacing w:line="400" w:lineRule="exact"/>
              <w:ind w:firstLine="420" w:firstLineChars="200"/>
              <w:rPr>
                <w:rFonts w:hint="eastAsia" w:ascii="宋体" w:hAnsi="宋体"/>
                <w:bCs/>
                <w:color w:val="auto"/>
                <w:szCs w:val="21"/>
                <w:highlight w:val="none"/>
              </w:rPr>
            </w:pPr>
            <w:r>
              <w:rPr>
                <w:rFonts w:ascii="宋体" w:hAnsi="宋体"/>
                <w:color w:val="auto"/>
                <w:kern w:val="0"/>
                <w:szCs w:val="21"/>
                <w:highlight w:val="none"/>
              </w:rPr>
              <w:t>开标地点：</w:t>
            </w:r>
            <w:r>
              <w:rPr>
                <w:rFonts w:ascii="宋体" w:hAnsi="宋体"/>
                <w:bCs/>
                <w:color w:val="auto"/>
                <w:szCs w:val="21"/>
                <w:highlight w:val="none"/>
                <w:u w:val="single"/>
              </w:rPr>
              <w:t>重庆市</w:t>
            </w:r>
            <w:r>
              <w:rPr>
                <w:rFonts w:hint="eastAsia" w:ascii="宋体" w:hAnsi="宋体"/>
                <w:bCs/>
                <w:color w:val="auto"/>
                <w:szCs w:val="21"/>
                <w:highlight w:val="none"/>
                <w:u w:val="single"/>
              </w:rPr>
              <w:t>公共资源</w:t>
            </w:r>
            <w:r>
              <w:rPr>
                <w:rFonts w:ascii="宋体" w:hAnsi="宋体"/>
                <w:bCs/>
                <w:color w:val="auto"/>
                <w:szCs w:val="21"/>
                <w:highlight w:val="none"/>
                <w:u w:val="single"/>
              </w:rPr>
              <w:t>交易中心</w:t>
            </w:r>
            <w:r>
              <w:rPr>
                <w:rFonts w:ascii="宋体" w:hAnsi="宋体"/>
                <w:bCs/>
                <w:color w:val="auto"/>
                <w:szCs w:val="21"/>
                <w:highlight w:val="none"/>
              </w:rPr>
              <w:t>开标室（具体</w:t>
            </w:r>
            <w:r>
              <w:rPr>
                <w:rFonts w:hint="eastAsia" w:ascii="宋体" w:hAnsi="宋体"/>
                <w:bCs/>
                <w:color w:val="auto"/>
                <w:szCs w:val="21"/>
                <w:highlight w:val="none"/>
                <w:lang w:eastAsia="zh-CN"/>
              </w:rPr>
              <w:t>请登录</w:t>
            </w:r>
            <w:r>
              <w:rPr>
                <w:rFonts w:hint="eastAsia" w:ascii="宋体" w:hAnsi="宋体"/>
                <w:bCs/>
                <w:color w:val="auto"/>
                <w:szCs w:val="21"/>
                <w:highlight w:val="none"/>
                <w:u w:val="single"/>
              </w:rPr>
              <w:t>重庆市公共资源交易网（www.cqggzy.com）</w:t>
            </w:r>
            <w:r>
              <w:rPr>
                <w:rFonts w:ascii="宋体" w:hAnsi="宋体"/>
                <w:bCs/>
                <w:color w:val="auto"/>
                <w:szCs w:val="21"/>
                <w:highlight w:val="none"/>
              </w:rPr>
              <w:t>查询或递交文件当日见交易中心大厅电子显示屏）。</w:t>
            </w:r>
          </w:p>
          <w:p w14:paraId="75BEDE01">
            <w:pPr>
              <w:snapToGrid w:val="0"/>
              <w:spacing w:line="400" w:lineRule="exact"/>
              <w:ind w:firstLine="420" w:firstLineChars="200"/>
              <w:rPr>
                <w:rFonts w:ascii="宋体" w:hAnsi="宋体"/>
                <w:bCs/>
                <w:color w:val="auto"/>
                <w:szCs w:val="21"/>
                <w:highlight w:val="none"/>
              </w:rPr>
            </w:pPr>
            <w:r>
              <w:rPr>
                <w:rFonts w:hint="eastAsia" w:ascii="宋体" w:hAnsi="宋体"/>
                <w:bCs/>
                <w:color w:val="auto"/>
                <w:szCs w:val="21"/>
                <w:highlight w:val="none"/>
              </w:rPr>
              <w:t>特别注意：解密投标文件需使用加密电子投标文件的CA数字证</w:t>
            </w:r>
            <w:bookmarkStart w:id="2401" w:name="_GoBack"/>
            <w:bookmarkEnd w:id="2401"/>
            <w:r>
              <w:rPr>
                <w:rFonts w:hint="eastAsia" w:ascii="宋体" w:hAnsi="宋体"/>
                <w:bCs/>
                <w:color w:val="auto"/>
                <w:szCs w:val="21"/>
                <w:highlight w:val="none"/>
              </w:rPr>
              <w:t>书。投标人代表可携带该CA数字证书到开标现场完成投标文件解密工作，或通过互联网使用该CA数字证书登录</w:t>
            </w:r>
            <w:r>
              <w:rPr>
                <w:rFonts w:hint="eastAsia" w:ascii="宋体" w:hAnsi="宋体"/>
                <w:bCs/>
                <w:color w:val="auto"/>
                <w:szCs w:val="21"/>
                <w:highlight w:val="none"/>
                <w:u w:val="none"/>
              </w:rPr>
              <w:t>重庆市电子招投标系统</w:t>
            </w:r>
            <w:r>
              <w:rPr>
                <w:rFonts w:hint="eastAsia" w:ascii="宋体" w:hAnsi="宋体"/>
                <w:bCs/>
                <w:color w:val="auto"/>
                <w:szCs w:val="21"/>
                <w:highlight w:val="none"/>
              </w:rPr>
              <w:t>，采用远程解密的方式在投标须知前附表规定的时间内完成投标文件解密工作。</w:t>
            </w:r>
          </w:p>
        </w:tc>
      </w:tr>
      <w:tr w14:paraId="367291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14909575">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5.1.2</w:t>
            </w:r>
          </w:p>
        </w:tc>
        <w:tc>
          <w:tcPr>
            <w:tcW w:w="1644" w:type="dxa"/>
            <w:noWrap w:val="0"/>
            <w:vAlign w:val="center"/>
          </w:tcPr>
          <w:p w14:paraId="35D9F78F">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解密时间</w:t>
            </w:r>
          </w:p>
        </w:tc>
        <w:tc>
          <w:tcPr>
            <w:tcW w:w="6490" w:type="dxa"/>
            <w:noWrap w:val="0"/>
            <w:vAlign w:val="center"/>
          </w:tcPr>
          <w:p w14:paraId="60858798">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投标截止时间后 30 分钟内</w:t>
            </w:r>
          </w:p>
          <w:p w14:paraId="6DA254F1">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特别注意：因非投标人原因影响解密时间的，招标人可根据现场实际情况延长解密时间；因投标人原因未完成解密工作的，视为撤销其投标文件，其投标保证金不予退还。</w:t>
            </w:r>
          </w:p>
        </w:tc>
      </w:tr>
      <w:tr w14:paraId="7742B9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5618893C">
            <w:pPr>
              <w:snapToGrid w:val="0"/>
              <w:spacing w:line="400" w:lineRule="exact"/>
              <w:jc w:val="center"/>
              <w:rPr>
                <w:rFonts w:ascii="宋体" w:hAnsi="宋体"/>
                <w:color w:val="auto"/>
                <w:szCs w:val="21"/>
                <w:highlight w:val="none"/>
              </w:rPr>
            </w:pPr>
            <w:r>
              <w:rPr>
                <w:rFonts w:hint="eastAsia" w:ascii="宋体" w:hAnsi="宋体"/>
                <w:color w:val="auto"/>
                <w:szCs w:val="21"/>
                <w:highlight w:val="none"/>
              </w:rPr>
              <w:t>5.2</w:t>
            </w:r>
          </w:p>
        </w:tc>
        <w:tc>
          <w:tcPr>
            <w:tcW w:w="1644" w:type="dxa"/>
            <w:noWrap w:val="0"/>
            <w:vAlign w:val="center"/>
          </w:tcPr>
          <w:p w14:paraId="2E1F2353">
            <w:pPr>
              <w:snapToGrid w:val="0"/>
              <w:spacing w:line="400" w:lineRule="exact"/>
              <w:jc w:val="center"/>
              <w:rPr>
                <w:rFonts w:hint="eastAsia" w:ascii="宋体" w:hAnsi="宋体"/>
                <w:color w:val="auto"/>
                <w:szCs w:val="21"/>
                <w:highlight w:val="none"/>
              </w:rPr>
            </w:pPr>
            <w:r>
              <w:rPr>
                <w:rFonts w:hint="eastAsia" w:ascii="宋体" w:hAnsi="宋体"/>
                <w:color w:val="auto"/>
                <w:szCs w:val="21"/>
                <w:highlight w:val="none"/>
              </w:rPr>
              <w:t>开标程序</w:t>
            </w:r>
          </w:p>
        </w:tc>
        <w:tc>
          <w:tcPr>
            <w:tcW w:w="6490" w:type="dxa"/>
            <w:noWrap w:val="0"/>
            <w:vAlign w:val="center"/>
          </w:tcPr>
          <w:p w14:paraId="507D7E8A">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主持人按下列程序进行开标：</w:t>
            </w:r>
          </w:p>
          <w:p w14:paraId="37D7883C">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 开标时间（应与投标截止时间一致），交易系统自动提取所有在投标截止时间前成功投递的投标文件。经招标人或代理机构确认开标开始后，系统进入开标环节，公布投标人名单。</w:t>
            </w:r>
          </w:p>
          <w:p w14:paraId="0E7AC7F1">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 投标文件提取完成，经招标人或代理机构确认开始解密环节，系统提示投标人在招标文件规定的时间内自行解密其经加密的电子投标文件。</w:t>
            </w:r>
          </w:p>
          <w:p w14:paraId="35C699BF">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在规定的时间内未成功解密的投标文件处理方式：①对</w:t>
            </w:r>
            <w:r>
              <w:rPr>
                <w:rFonts w:hint="eastAsia" w:ascii="宋体" w:hAnsi="宋体"/>
                <w:color w:val="auto"/>
                <w:szCs w:val="21"/>
                <w:highlight w:val="none"/>
                <w:u w:val="none"/>
              </w:rPr>
              <w:t>重庆市电子招投标系统</w:t>
            </w:r>
            <w:r>
              <w:rPr>
                <w:rFonts w:hint="eastAsia" w:ascii="宋体" w:hAnsi="宋体"/>
                <w:color w:val="auto"/>
                <w:szCs w:val="21"/>
                <w:highlight w:val="none"/>
              </w:rPr>
              <w:t>等非投标人原因造成的未解密情况，采取导入由相应投标人提供的不加密的电子投标文件（光盘备份）作为补救措施；②对因未提供不加密的电子投标文件（光盘备份）等投标人自身原因造成的未解密情况，视为投标人撤销投标文件。</w:t>
            </w:r>
          </w:p>
          <w:p w14:paraId="45D03A73">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 解密全部完成或招标文件规定的解密时间截止后，经招标人或代理机构确认，进入唱标环节。交易系统展示最终解密结果，公布成功解密投标人名单，并备注投标文件未成功解密的原因（若有）。</w:t>
            </w:r>
          </w:p>
          <w:p w14:paraId="028BB8E1">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4. 汇总投标保证金交纳情况</w:t>
            </w:r>
          </w:p>
          <w:p w14:paraId="7F5EDA66">
            <w:pPr>
              <w:autoSpaceDE w:val="0"/>
              <w:autoSpaceDN w:val="0"/>
              <w:adjustRightInd w:val="0"/>
              <w:snapToGrid w:val="0"/>
              <w:spacing w:line="400" w:lineRule="exact"/>
              <w:ind w:firstLine="420" w:firstLineChars="200"/>
              <w:rPr>
                <w:color w:val="auto"/>
                <w:highlight w:val="none"/>
              </w:rPr>
            </w:pPr>
            <w:r>
              <w:rPr>
                <w:rFonts w:hint="eastAsia" w:ascii="宋体" w:hAnsi="宋体"/>
                <w:color w:val="auto"/>
                <w:szCs w:val="21"/>
                <w:highlight w:val="none"/>
              </w:rPr>
              <w:t>4.1 展示以</w:t>
            </w:r>
            <w:r>
              <w:rPr>
                <w:rFonts w:hint="eastAsia" w:ascii="宋体" w:hAnsi="宋体"/>
                <w:color w:val="auto"/>
                <w:szCs w:val="21"/>
                <w:highlight w:val="none"/>
                <w:lang w:val="en-US" w:eastAsia="zh-CN"/>
              </w:rPr>
              <w:t>电子</w:t>
            </w:r>
            <w:r>
              <w:rPr>
                <w:rFonts w:hint="eastAsia" w:ascii="宋体" w:hAnsi="宋体"/>
                <w:color w:val="auto"/>
                <w:szCs w:val="21"/>
                <w:highlight w:val="none"/>
              </w:rPr>
              <w:t>投标保函方式递交投标保证金的保证金交纳</w:t>
            </w:r>
            <w:r>
              <w:rPr>
                <w:rFonts w:hint="eastAsia" w:ascii="宋体" w:hAnsi="宋体"/>
                <w:color w:val="auto"/>
                <w:szCs w:val="21"/>
                <w:highlight w:val="none"/>
                <w:lang w:val="en-US" w:eastAsia="zh-CN"/>
              </w:rPr>
              <w:t>情况</w:t>
            </w:r>
            <w:r>
              <w:rPr>
                <w:rFonts w:hint="eastAsia" w:ascii="宋体" w:hAnsi="宋体"/>
                <w:color w:val="auto"/>
                <w:szCs w:val="21"/>
                <w:highlight w:val="none"/>
              </w:rPr>
              <w:t>，应至少包含投标人名称、金额、投标保函提交时间等。电子投标保函应在投标截止时间前提交至指定系统，异常情况在开标记录表</w:t>
            </w:r>
            <w:r>
              <w:rPr>
                <w:rFonts w:hint="eastAsia" w:ascii="宋体" w:hAnsi="宋体"/>
                <w:color w:val="auto"/>
                <w:szCs w:val="21"/>
                <w:highlight w:val="none"/>
                <w:lang w:val="en-US" w:eastAsia="zh-CN"/>
              </w:rPr>
              <w:t>“异常情况”栏中</w:t>
            </w:r>
            <w:r>
              <w:rPr>
                <w:rFonts w:hint="eastAsia" w:ascii="宋体" w:hAnsi="宋体"/>
                <w:color w:val="auto"/>
                <w:szCs w:val="21"/>
                <w:highlight w:val="none"/>
              </w:rPr>
              <w:t>记录并交由评标委员会评审。</w:t>
            </w:r>
          </w:p>
          <w:p w14:paraId="38E2F535">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4.2 展示以电子转账方式递交投标保证金的保证金交纳</w:t>
            </w:r>
            <w:r>
              <w:rPr>
                <w:rFonts w:hint="eastAsia" w:ascii="宋体" w:hAnsi="宋体"/>
                <w:color w:val="auto"/>
                <w:szCs w:val="21"/>
                <w:highlight w:val="none"/>
                <w:lang w:val="en-US" w:eastAsia="zh-CN"/>
              </w:rPr>
              <w:t>情况</w:t>
            </w:r>
            <w:r>
              <w:rPr>
                <w:rFonts w:hint="eastAsia" w:ascii="宋体" w:hAnsi="宋体"/>
                <w:color w:val="auto"/>
                <w:szCs w:val="21"/>
                <w:highlight w:val="none"/>
              </w:rPr>
              <w:t>，应至少包含投标人名称、金额、投标保证金打入指定账户的时间等，异常情况在开标记录表</w:t>
            </w:r>
            <w:r>
              <w:rPr>
                <w:rFonts w:hint="eastAsia" w:ascii="宋体" w:hAnsi="宋体"/>
                <w:color w:val="auto"/>
                <w:szCs w:val="21"/>
                <w:highlight w:val="none"/>
                <w:lang w:val="en-US" w:eastAsia="zh-CN"/>
              </w:rPr>
              <w:t>“异常情况”栏中</w:t>
            </w:r>
            <w:r>
              <w:rPr>
                <w:rFonts w:hint="eastAsia" w:ascii="宋体" w:hAnsi="宋体"/>
                <w:color w:val="auto"/>
                <w:szCs w:val="21"/>
                <w:highlight w:val="none"/>
              </w:rPr>
              <w:t>记录并交由评标委员会评审。保证金来款账户非基本账户的，交由评标委员会作否决投标处理。</w:t>
            </w:r>
          </w:p>
          <w:p w14:paraId="2D298C9A">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4.</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展示以</w:t>
            </w:r>
            <w:r>
              <w:rPr>
                <w:rFonts w:hint="eastAsia" w:ascii="宋体" w:hAnsi="宋体"/>
                <w:color w:val="auto"/>
                <w:szCs w:val="21"/>
                <w:highlight w:val="none"/>
                <w:lang w:val="en-US" w:eastAsia="zh-CN"/>
              </w:rPr>
              <w:t>纸质投标保函</w:t>
            </w:r>
            <w:r>
              <w:rPr>
                <w:rFonts w:hint="eastAsia" w:ascii="宋体" w:hAnsi="宋体"/>
                <w:color w:val="auto"/>
                <w:szCs w:val="21"/>
                <w:highlight w:val="none"/>
              </w:rPr>
              <w:t>方式递交投标保证金的保证金交纳</w:t>
            </w:r>
            <w:r>
              <w:rPr>
                <w:rFonts w:hint="eastAsia" w:ascii="宋体" w:hAnsi="宋体"/>
                <w:color w:val="auto"/>
                <w:szCs w:val="21"/>
                <w:highlight w:val="none"/>
                <w:lang w:val="en-US" w:eastAsia="zh-CN"/>
              </w:rPr>
              <w:t>情况</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并记录在“纸质投标保函递交情况一览表”中</w:t>
            </w:r>
            <w:r>
              <w:rPr>
                <w:rFonts w:hint="eastAsia" w:ascii="宋体" w:hAnsi="宋体"/>
                <w:color w:val="auto"/>
                <w:szCs w:val="21"/>
                <w:highlight w:val="none"/>
                <w:lang w:eastAsia="zh-CN"/>
              </w:rPr>
              <w:t>，</w:t>
            </w:r>
            <w:r>
              <w:rPr>
                <w:rFonts w:hint="eastAsia" w:ascii="宋体" w:hAnsi="宋体"/>
                <w:color w:val="auto"/>
                <w:szCs w:val="21"/>
                <w:highlight w:val="none"/>
              </w:rPr>
              <w:t>异常情况在开标记录表</w:t>
            </w:r>
            <w:r>
              <w:rPr>
                <w:rFonts w:hint="eastAsia" w:ascii="宋体" w:hAnsi="宋体"/>
                <w:color w:val="auto"/>
                <w:szCs w:val="21"/>
                <w:highlight w:val="none"/>
                <w:lang w:val="en-US" w:eastAsia="zh-CN"/>
              </w:rPr>
              <w:t>“异常情况”栏中记录。纸质投标保函原件与纸质投标保函递交情况一览表、</w:t>
            </w:r>
            <w:r>
              <w:rPr>
                <w:rFonts w:hint="eastAsia" w:ascii="宋体" w:hAnsi="宋体"/>
                <w:color w:val="auto"/>
                <w:szCs w:val="21"/>
                <w:highlight w:val="none"/>
              </w:rPr>
              <w:t>开标记录表</w:t>
            </w:r>
            <w:r>
              <w:rPr>
                <w:rFonts w:hint="eastAsia" w:ascii="宋体" w:hAnsi="宋体"/>
                <w:color w:val="auto"/>
                <w:szCs w:val="21"/>
                <w:highlight w:val="none"/>
                <w:lang w:val="en-US" w:eastAsia="zh-CN"/>
              </w:rPr>
              <w:t>一并</w:t>
            </w:r>
            <w:r>
              <w:rPr>
                <w:rFonts w:hint="eastAsia" w:ascii="宋体" w:hAnsi="宋体"/>
                <w:color w:val="auto"/>
                <w:szCs w:val="21"/>
                <w:highlight w:val="none"/>
              </w:rPr>
              <w:t>交由评标委员会评审</w:t>
            </w:r>
            <w:r>
              <w:rPr>
                <w:rFonts w:hint="eastAsia" w:ascii="宋体" w:hAnsi="宋体"/>
                <w:color w:val="auto"/>
                <w:szCs w:val="21"/>
                <w:highlight w:val="none"/>
                <w:lang w:eastAsia="zh-CN"/>
              </w:rPr>
              <w:t>。</w:t>
            </w:r>
          </w:p>
          <w:p w14:paraId="102A7811">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4.</w:t>
            </w:r>
            <w:r>
              <w:rPr>
                <w:rFonts w:hint="eastAsia" w:ascii="宋体" w:hAnsi="宋体"/>
                <w:color w:val="auto"/>
                <w:szCs w:val="21"/>
                <w:highlight w:val="none"/>
                <w:lang w:val="en-US" w:eastAsia="zh-CN"/>
              </w:rPr>
              <w:t>4</w:t>
            </w:r>
            <w:r>
              <w:rPr>
                <w:rFonts w:hint="eastAsia" w:ascii="宋体" w:hAnsi="宋体"/>
                <w:color w:val="auto"/>
                <w:szCs w:val="21"/>
                <w:highlight w:val="none"/>
              </w:rPr>
              <w:t xml:space="preserve"> 打印所有投标人的投标保证金交纳情況，</w:t>
            </w:r>
            <w:r>
              <w:rPr>
                <w:rFonts w:hint="eastAsia" w:ascii="宋体" w:hAnsi="宋体"/>
                <w:color w:val="auto"/>
                <w:szCs w:val="21"/>
                <w:highlight w:val="none"/>
                <w:lang w:val="en-US" w:eastAsia="zh-CN"/>
              </w:rPr>
              <w:t>并由</w:t>
            </w:r>
            <w:r>
              <w:rPr>
                <w:rFonts w:hint="eastAsia" w:ascii="宋体" w:hAnsi="宋体"/>
                <w:color w:val="auto"/>
                <w:szCs w:val="21"/>
                <w:highlight w:val="none"/>
              </w:rPr>
              <w:t>招标人代表、监标人、记录人签字确认。</w:t>
            </w:r>
          </w:p>
          <w:p w14:paraId="20A89B43">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 公布最高限价，采用经评审最低投标价法的还需计算最高限价的85%数值，以便评标委员会评审。</w:t>
            </w:r>
          </w:p>
          <w:p w14:paraId="462B0A1E">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6. 公布投标人名称、投标报价、质量目标、工期及其他内容。</w:t>
            </w:r>
          </w:p>
          <w:p w14:paraId="70332CA7">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7. 对经批准采用综合评估法的项目，需要抽取评标基准价浮动值或下浮比例的，在开标现场完成抽取。</w:t>
            </w:r>
          </w:p>
          <w:p w14:paraId="7641FAC1">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8. 投标人对开标有异议的，应当场或在线提出，由招标人或代理机构当场或在线答复，并记录到开标记录表中。异议处理完毕后，汇总开标情况，打印开标记录表。</w:t>
            </w:r>
          </w:p>
          <w:p w14:paraId="0F4E7129">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9. 投标人代表、招标人代表、监标人、主持人、记录人等有关人员在开标记录上签字确认。因其他原因未能签字的，视为默认开标结果。</w:t>
            </w:r>
          </w:p>
          <w:p w14:paraId="391A698A">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10. 开标结束。</w:t>
            </w:r>
          </w:p>
        </w:tc>
      </w:tr>
      <w:tr w14:paraId="7B74C2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64C57754">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6.1.1</w:t>
            </w:r>
          </w:p>
        </w:tc>
        <w:tc>
          <w:tcPr>
            <w:tcW w:w="1644" w:type="dxa"/>
            <w:noWrap w:val="0"/>
            <w:vAlign w:val="center"/>
          </w:tcPr>
          <w:p w14:paraId="673A878B">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评标委员会的组建</w:t>
            </w:r>
          </w:p>
        </w:tc>
        <w:tc>
          <w:tcPr>
            <w:tcW w:w="6490" w:type="dxa"/>
            <w:noWrap w:val="0"/>
            <w:vAlign w:val="center"/>
          </w:tcPr>
          <w:p w14:paraId="4BE688F1">
            <w:pPr>
              <w:autoSpaceDE w:val="0"/>
              <w:autoSpaceDN w:val="0"/>
              <w:adjustRightInd w:val="0"/>
              <w:snapToGrid w:val="0"/>
              <w:spacing w:line="400" w:lineRule="exact"/>
              <w:ind w:firstLine="436" w:firstLineChars="200"/>
              <w:rPr>
                <w:rFonts w:ascii="宋体" w:hAnsi="宋体"/>
                <w:color w:val="auto"/>
                <w:kern w:val="0"/>
                <w:szCs w:val="21"/>
                <w:highlight w:val="none"/>
              </w:rPr>
            </w:pPr>
            <w:r>
              <w:rPr>
                <w:rFonts w:hint="eastAsia" w:ascii="宋体" w:hAnsi="宋体"/>
                <w:color w:val="auto"/>
                <w:spacing w:val="4"/>
                <w:kern w:val="0"/>
                <w:szCs w:val="21"/>
                <w:highlight w:val="none"/>
              </w:rPr>
              <w:t>由招标人按法律法规及相关规定依法组建评标委员会</w:t>
            </w:r>
            <w:r>
              <w:rPr>
                <w:rFonts w:hint="eastAsia" w:ascii="宋体" w:hAnsi="宋体"/>
                <w:color w:val="auto"/>
                <w:kern w:val="0"/>
                <w:szCs w:val="21"/>
                <w:highlight w:val="none"/>
              </w:rPr>
              <w:t>。</w:t>
            </w:r>
          </w:p>
        </w:tc>
      </w:tr>
      <w:tr w14:paraId="4C86F8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0A4D6E31">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7.1</w:t>
            </w:r>
          </w:p>
        </w:tc>
        <w:tc>
          <w:tcPr>
            <w:tcW w:w="1644" w:type="dxa"/>
            <w:noWrap w:val="0"/>
            <w:vAlign w:val="center"/>
          </w:tcPr>
          <w:p w14:paraId="36DB8D7D">
            <w:pPr>
              <w:snapToGrid w:val="0"/>
              <w:spacing w:after="62" w:afterLines="20" w:line="400" w:lineRule="exact"/>
              <w:jc w:val="center"/>
              <w:rPr>
                <w:rFonts w:ascii="宋体" w:hAnsi="宋体"/>
                <w:color w:val="auto"/>
                <w:kern w:val="0"/>
                <w:szCs w:val="21"/>
                <w:highlight w:val="none"/>
              </w:rPr>
            </w:pPr>
            <w:r>
              <w:rPr>
                <w:rFonts w:ascii="宋体" w:hAnsi="宋体"/>
                <w:color w:val="auto"/>
                <w:kern w:val="0"/>
                <w:szCs w:val="21"/>
                <w:highlight w:val="none"/>
              </w:rPr>
              <w:t>是否授权评标委员会确定中标人</w:t>
            </w:r>
          </w:p>
        </w:tc>
        <w:tc>
          <w:tcPr>
            <w:tcW w:w="6490" w:type="dxa"/>
            <w:noWrap w:val="0"/>
            <w:vAlign w:val="center"/>
          </w:tcPr>
          <w:p w14:paraId="197BD41D">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是</w:t>
            </w:r>
          </w:p>
          <w:p w14:paraId="3CC49549">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□A</w:t>
            </w:r>
            <w:r>
              <w:rPr>
                <w:rFonts w:ascii="宋体" w:hAnsi="宋体"/>
                <w:color w:val="auto"/>
                <w:kern w:val="0"/>
                <w:szCs w:val="21"/>
                <w:highlight w:val="none"/>
              </w:rPr>
              <w:t>否，推荐经评审合格的</w:t>
            </w:r>
            <w:r>
              <w:rPr>
                <w:rFonts w:hint="eastAsia" w:ascii="宋体" w:hAnsi="宋体"/>
                <w:color w:val="auto"/>
                <w:kern w:val="0"/>
                <w:szCs w:val="21"/>
                <w:highlight w:val="none"/>
              </w:rPr>
              <w:t>报价</w:t>
            </w:r>
            <w:r>
              <w:rPr>
                <w:rFonts w:ascii="宋体" w:hAnsi="宋体"/>
                <w:color w:val="auto"/>
                <w:kern w:val="0"/>
                <w:szCs w:val="21"/>
                <w:highlight w:val="none"/>
              </w:rPr>
              <w:t>由低到高排名前三名为中标候选人。</w:t>
            </w:r>
          </w:p>
          <w:p w14:paraId="75EA9D91">
            <w:pPr>
              <w:snapToGrid w:val="0"/>
              <w:spacing w:line="400" w:lineRule="exact"/>
              <w:ind w:firstLine="420" w:firstLineChars="200"/>
              <w:rPr>
                <w:rFonts w:ascii="宋体" w:hAnsi="宋体"/>
                <w:i/>
                <w:color w:val="auto"/>
                <w:kern w:val="0"/>
                <w:szCs w:val="21"/>
                <w:highlight w:val="none"/>
              </w:rPr>
            </w:pPr>
            <w:r>
              <w:rPr>
                <w:rFonts w:hint="eastAsia" w:ascii="宋体" w:hAnsi="宋体"/>
                <w:i/>
                <w:color w:val="auto"/>
                <w:kern w:val="0"/>
                <w:szCs w:val="21"/>
                <w:highlight w:val="none"/>
              </w:rPr>
              <w:t>[提示：经评审的最低投标价法适用]</w:t>
            </w:r>
          </w:p>
          <w:p w14:paraId="154F12DC">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□B</w:t>
            </w:r>
            <w:r>
              <w:rPr>
                <w:rFonts w:ascii="宋体" w:hAnsi="宋体"/>
                <w:color w:val="auto"/>
                <w:kern w:val="0"/>
                <w:szCs w:val="21"/>
                <w:highlight w:val="none"/>
              </w:rPr>
              <w:t>否，推荐经评审综合得分由高到低排名前三名为中标候选人。</w:t>
            </w:r>
          </w:p>
          <w:p w14:paraId="66345949">
            <w:pPr>
              <w:snapToGrid w:val="0"/>
              <w:spacing w:line="400" w:lineRule="exact"/>
              <w:ind w:firstLine="420" w:firstLineChars="200"/>
              <w:rPr>
                <w:rFonts w:ascii="宋体" w:hAnsi="宋体"/>
                <w:i/>
                <w:color w:val="auto"/>
                <w:kern w:val="0"/>
                <w:szCs w:val="21"/>
                <w:highlight w:val="none"/>
              </w:rPr>
            </w:pPr>
            <w:r>
              <w:rPr>
                <w:rFonts w:hint="eastAsia" w:ascii="宋体" w:hAnsi="宋体"/>
                <w:i/>
                <w:color w:val="auto"/>
                <w:kern w:val="0"/>
                <w:szCs w:val="21"/>
                <w:highlight w:val="none"/>
              </w:rPr>
              <w:t>[提示：综合评估法适用]</w:t>
            </w:r>
            <w:r>
              <w:rPr>
                <w:rFonts w:ascii="宋体" w:hAnsi="宋体"/>
                <w:i/>
                <w:color w:val="auto"/>
                <w:kern w:val="0"/>
                <w:szCs w:val="21"/>
                <w:highlight w:val="none"/>
              </w:rPr>
              <w:t xml:space="preserve"> </w:t>
            </w:r>
          </w:p>
        </w:tc>
      </w:tr>
      <w:tr w14:paraId="14AB14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98E436A">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7.2</w:t>
            </w:r>
          </w:p>
        </w:tc>
        <w:tc>
          <w:tcPr>
            <w:tcW w:w="1644" w:type="dxa"/>
            <w:noWrap w:val="0"/>
            <w:vAlign w:val="center"/>
          </w:tcPr>
          <w:p w14:paraId="4146589D">
            <w:pPr>
              <w:snapToGrid w:val="0"/>
              <w:spacing w:after="62" w:afterLines="20" w:line="400" w:lineRule="exact"/>
              <w:jc w:val="center"/>
              <w:rPr>
                <w:rFonts w:ascii="宋体" w:hAnsi="宋体"/>
                <w:color w:val="auto"/>
                <w:kern w:val="0"/>
                <w:szCs w:val="21"/>
                <w:highlight w:val="none"/>
              </w:rPr>
            </w:pPr>
            <w:r>
              <w:rPr>
                <w:rFonts w:ascii="宋体" w:hAnsi="宋体"/>
                <w:color w:val="auto"/>
                <w:kern w:val="0"/>
                <w:szCs w:val="21"/>
                <w:highlight w:val="none"/>
              </w:rPr>
              <w:t>中标公示</w:t>
            </w:r>
          </w:p>
        </w:tc>
        <w:tc>
          <w:tcPr>
            <w:tcW w:w="6490" w:type="dxa"/>
            <w:noWrap w:val="0"/>
            <w:vAlign w:val="center"/>
          </w:tcPr>
          <w:p w14:paraId="00B1325B">
            <w:pPr>
              <w:snapToGrid w:val="0"/>
              <w:spacing w:line="400" w:lineRule="exact"/>
              <w:ind w:firstLine="420" w:firstLineChars="200"/>
              <w:rPr>
                <w:rFonts w:hint="eastAsia" w:ascii="宋体" w:hAnsi="宋体"/>
                <w:color w:val="auto"/>
                <w:kern w:val="0"/>
                <w:szCs w:val="21"/>
                <w:highlight w:val="none"/>
              </w:rPr>
            </w:pPr>
            <w:r>
              <w:rPr>
                <w:rFonts w:hint="eastAsia" w:ascii="宋体" w:hAnsi="宋体" w:cs="宋体"/>
                <w:color w:val="auto"/>
                <w:szCs w:val="21"/>
                <w:highlight w:val="none"/>
              </w:rPr>
              <w:t>招标人在收到评标报告后3日内将评标结果在</w:t>
            </w:r>
            <w:r>
              <w:rPr>
                <w:rFonts w:hint="eastAsia" w:ascii="宋体" w:hAnsi="宋体" w:cs="宋体"/>
                <w:color w:val="auto"/>
                <w:szCs w:val="21"/>
                <w:highlight w:val="none"/>
                <w:u w:val="single"/>
              </w:rPr>
              <w:t xml:space="preserve">    （相应网站）  </w:t>
            </w:r>
            <w:r>
              <w:rPr>
                <w:rFonts w:hint="eastAsia" w:ascii="宋体" w:hAnsi="宋体" w:cs="宋体"/>
                <w:color w:val="auto"/>
                <w:szCs w:val="21"/>
                <w:highlight w:val="none"/>
              </w:rPr>
              <w:t>上进行公示，公示期为3日。为深化信息公开，接受社会监督，本项目将按照《招标公告和公示信息发布管理办法》（国家发改委令第10号）的要求，公示内容包括中标候选人名称、排序、投标报价、质量、工期；中标候选人资质、投标业绩名称，中标候选人项目经理姓名及其相关证书名称和编号、投标业绩名称；否决投标情况及理由；提出异议、投诉的渠道和方式。</w:t>
            </w:r>
          </w:p>
        </w:tc>
      </w:tr>
      <w:tr w14:paraId="338D02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43611F8B">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7.3.1</w:t>
            </w:r>
          </w:p>
        </w:tc>
        <w:tc>
          <w:tcPr>
            <w:tcW w:w="1644" w:type="dxa"/>
            <w:noWrap w:val="0"/>
            <w:vAlign w:val="center"/>
          </w:tcPr>
          <w:p w14:paraId="24AD4A27">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履约担保</w:t>
            </w:r>
          </w:p>
        </w:tc>
        <w:tc>
          <w:tcPr>
            <w:tcW w:w="6490" w:type="dxa"/>
            <w:noWrap w:val="0"/>
            <w:vAlign w:val="center"/>
          </w:tcPr>
          <w:p w14:paraId="0E86D345">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1、中标人是否提供履约担保：</w:t>
            </w:r>
            <w:r>
              <w:rPr>
                <w:rFonts w:hint="eastAsia" w:ascii="宋体" w:hAnsi="宋体"/>
                <w:color w:val="auto"/>
                <w:kern w:val="0"/>
                <w:szCs w:val="21"/>
                <w:highlight w:val="none"/>
                <w:u w:val="single"/>
              </w:rPr>
              <w:t>提供</w:t>
            </w:r>
            <w:r>
              <w:rPr>
                <w:rFonts w:hint="eastAsia" w:ascii="宋体" w:hAnsi="宋体"/>
                <w:color w:val="auto"/>
                <w:kern w:val="0"/>
                <w:szCs w:val="21"/>
                <w:highlight w:val="none"/>
              </w:rPr>
              <w:t>。</w:t>
            </w:r>
            <w:r>
              <w:rPr>
                <w:rFonts w:hint="eastAsia" w:ascii="宋体" w:hAnsi="宋体"/>
                <w:i/>
                <w:color w:val="auto"/>
                <w:kern w:val="0"/>
                <w:szCs w:val="21"/>
                <w:highlight w:val="none"/>
              </w:rPr>
              <w:t>[提示：招标人要求中标人提供履约担保的，应向中标人提供相应的支付担保。]</w:t>
            </w:r>
          </w:p>
          <w:p w14:paraId="23BB524B">
            <w:pPr>
              <w:snapToGrid w:val="0"/>
              <w:spacing w:line="400" w:lineRule="exact"/>
              <w:ind w:firstLine="420" w:firstLineChars="200"/>
              <w:rPr>
                <w:rFonts w:hint="eastAsia" w:ascii="宋体" w:hAnsi="宋体"/>
                <w:color w:val="auto"/>
                <w:kern w:val="0"/>
                <w:szCs w:val="21"/>
                <w:highlight w:val="none"/>
              </w:rPr>
            </w:pPr>
            <w:r>
              <w:rPr>
                <w:rFonts w:hint="eastAsia"/>
                <w:color w:val="auto"/>
                <w:highlight w:val="none"/>
              </w:rPr>
              <w:t>□联合体投标的</w:t>
            </w:r>
            <w:r>
              <w:rPr>
                <w:rFonts w:hint="eastAsia" w:ascii="宋体" w:hAnsi="宋体"/>
                <w:color w:val="auto"/>
                <w:kern w:val="0"/>
                <w:szCs w:val="21"/>
                <w:highlight w:val="none"/>
              </w:rPr>
              <w:t>，由联合体牵头人或按照联合体协议的约定提交履约担保。</w:t>
            </w:r>
          </w:p>
          <w:p w14:paraId="7619A201">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2、中标人提供履约担保的形式、金额及期限：</w:t>
            </w:r>
          </w:p>
          <w:p w14:paraId="2143877A">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（1）履约担保的形式：</w:t>
            </w:r>
            <w:r>
              <w:rPr>
                <w:rFonts w:hint="eastAsia" w:ascii="宋体" w:hAnsi="宋体"/>
                <w:color w:val="auto"/>
                <w:kern w:val="0"/>
                <w:szCs w:val="21"/>
                <w:highlight w:val="none"/>
                <w:u w:val="none"/>
              </w:rPr>
              <w:t>现金或银行保函或现金+银行保函的组合；采用银行保函形式的，保函必须为不可撤销且见索即付</w:t>
            </w:r>
            <w:r>
              <w:rPr>
                <w:rFonts w:hint="eastAsia" w:ascii="宋体" w:hAnsi="宋体"/>
                <w:color w:val="auto"/>
                <w:kern w:val="0"/>
                <w:szCs w:val="21"/>
                <w:highlight w:val="none"/>
              </w:rPr>
              <w:t>；</w:t>
            </w:r>
          </w:p>
          <w:p w14:paraId="25118AED">
            <w:pPr>
              <w:snapToGrid w:val="0"/>
              <w:spacing w:line="400" w:lineRule="exact"/>
              <w:ind w:firstLine="420" w:firstLineChars="200"/>
              <w:rPr>
                <w:rFonts w:hint="eastAsia" w:ascii="宋体" w:hAnsi="宋体" w:cs="宋体"/>
                <w:i/>
                <w:color w:val="auto"/>
                <w:kern w:val="0"/>
                <w:szCs w:val="21"/>
                <w:highlight w:val="none"/>
                <w:u w:val="none"/>
              </w:rPr>
            </w:pPr>
            <w:r>
              <w:rPr>
                <w:rFonts w:hint="eastAsia" w:ascii="宋体" w:hAnsi="宋体" w:cs="宋体"/>
                <w:i/>
                <w:color w:val="auto"/>
                <w:kern w:val="0"/>
                <w:szCs w:val="21"/>
                <w:highlight w:val="none"/>
                <w:u w:val="none"/>
              </w:rPr>
              <w:t>[提示：由招标人根据发改办法规〔2019〕862号和渝府办发〔2019〕114号文的相关规定确定履约担保的形式。]</w:t>
            </w:r>
          </w:p>
          <w:p w14:paraId="3D127CF3">
            <w:pPr>
              <w:snapToGrid w:val="0"/>
              <w:spacing w:line="400" w:lineRule="exact"/>
              <w:ind w:firstLine="420" w:firstLineChars="200"/>
              <w:rPr>
                <w:rFonts w:hint="eastAsia" w:ascii="宋体" w:hAnsi="宋体"/>
                <w:color w:val="auto"/>
                <w:kern w:val="0"/>
                <w:szCs w:val="21"/>
                <w:highlight w:val="none"/>
                <w:u w:val="single"/>
              </w:rPr>
            </w:pPr>
            <w:r>
              <w:rPr>
                <w:rFonts w:hint="eastAsia" w:ascii="宋体" w:hAnsi="宋体"/>
                <w:color w:val="auto"/>
                <w:kern w:val="0"/>
                <w:szCs w:val="21"/>
                <w:highlight w:val="none"/>
              </w:rPr>
              <w:t>（2）履约担保的金额：</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14:paraId="0848BEB8">
            <w:pPr>
              <w:snapToGrid w:val="0"/>
              <w:spacing w:line="400" w:lineRule="exact"/>
              <w:ind w:firstLine="420" w:firstLineChars="200"/>
              <w:rPr>
                <w:rFonts w:hint="eastAsia" w:ascii="宋体" w:hAnsi="宋体"/>
                <w:i/>
                <w:color w:val="auto"/>
                <w:kern w:val="0"/>
                <w:szCs w:val="21"/>
                <w:highlight w:val="none"/>
              </w:rPr>
            </w:pPr>
            <w:r>
              <w:rPr>
                <w:rFonts w:hint="eastAsia" w:ascii="宋体" w:hAnsi="宋体"/>
                <w:i/>
                <w:color w:val="auto"/>
                <w:kern w:val="0"/>
                <w:szCs w:val="21"/>
                <w:highlight w:val="none"/>
                <w:u w:val="none"/>
              </w:rPr>
              <w:t>[提示：不超过中标合同金额的10%，</w:t>
            </w:r>
            <w:r>
              <w:rPr>
                <w:rFonts w:hint="eastAsia" w:ascii="宋体" w:hAnsi="宋体" w:cs="宋体"/>
                <w:i/>
                <w:color w:val="auto"/>
                <w:kern w:val="0"/>
                <w:szCs w:val="21"/>
                <w:highlight w:val="none"/>
                <w:u w:val="none"/>
              </w:rPr>
              <w:t>红名单中的中标人履约担保金额减半（红名单建立完善后使用；联合体中标的，须联合体牵头人在红名单中）</w:t>
            </w:r>
            <w:r>
              <w:rPr>
                <w:rFonts w:hint="eastAsia" w:ascii="宋体" w:hAnsi="宋体"/>
                <w:i/>
                <w:color w:val="auto"/>
                <w:kern w:val="0"/>
                <w:szCs w:val="21"/>
                <w:highlight w:val="none"/>
                <w:u w:val="none"/>
              </w:rPr>
              <w:t>]</w:t>
            </w:r>
          </w:p>
          <w:p w14:paraId="0016ABF8">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（3）履约担保的提交时间：见专用合同条款。</w:t>
            </w:r>
          </w:p>
          <w:p w14:paraId="48DE1674">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（4）履约担保的期限：见专用合同条款。</w:t>
            </w:r>
          </w:p>
          <w:p w14:paraId="17F3B3CF">
            <w:pPr>
              <w:snapToGrid w:val="0"/>
              <w:spacing w:after="62" w:afterLines="20"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（5）履约担保的退还时间：见专用合同条款。</w:t>
            </w:r>
          </w:p>
        </w:tc>
      </w:tr>
      <w:tr w14:paraId="4F39D7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07AB2888">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7.4.1</w:t>
            </w:r>
          </w:p>
        </w:tc>
        <w:tc>
          <w:tcPr>
            <w:tcW w:w="1644" w:type="dxa"/>
            <w:noWrap w:val="0"/>
            <w:vAlign w:val="center"/>
          </w:tcPr>
          <w:p w14:paraId="2879281B">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签订合同</w:t>
            </w:r>
          </w:p>
        </w:tc>
        <w:tc>
          <w:tcPr>
            <w:tcW w:w="6490" w:type="dxa"/>
            <w:noWrap w:val="0"/>
            <w:vAlign w:val="center"/>
          </w:tcPr>
          <w:p w14:paraId="67C807A1">
            <w:pPr>
              <w:snapToGrid w:val="0"/>
              <w:spacing w:after="62" w:afterLines="20"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依法必须进行招标的项目，中标人有《招标投标法实施条例》第七十四条规定行为的，视为特别严重信用不良行为且情节特别严重，按信用记分上限一次性记12分，纳入黑名单管理；中标人有《招标投标法实施条例》第七十四条规定行为的，按中标项目金额10‰罚款上限予以行政处罚，按信用记分上限一次性并处记12分，纳入黑名单管理。</w:t>
            </w:r>
          </w:p>
        </w:tc>
      </w:tr>
      <w:tr w14:paraId="0CEBD4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68710E9">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8.1</w:t>
            </w:r>
          </w:p>
        </w:tc>
        <w:tc>
          <w:tcPr>
            <w:tcW w:w="1644" w:type="dxa"/>
            <w:noWrap w:val="0"/>
            <w:vAlign w:val="center"/>
          </w:tcPr>
          <w:p w14:paraId="28C5304D">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重新招标</w:t>
            </w:r>
          </w:p>
        </w:tc>
        <w:tc>
          <w:tcPr>
            <w:tcW w:w="6490" w:type="dxa"/>
            <w:noWrap w:val="0"/>
            <w:vAlign w:val="center"/>
          </w:tcPr>
          <w:p w14:paraId="4B9F92F9">
            <w:pPr>
              <w:snapToGrid w:val="0"/>
              <w:spacing w:line="400" w:lineRule="exact"/>
              <w:ind w:firstLine="420" w:firstLineChars="200"/>
              <w:rPr>
                <w:rFonts w:hint="eastAsia" w:ascii="宋体" w:hAnsi="宋体"/>
                <w:color w:val="auto"/>
                <w:kern w:val="0"/>
                <w:szCs w:val="21"/>
                <w:highlight w:val="none"/>
              </w:rPr>
            </w:pPr>
            <w:r>
              <w:rPr>
                <w:rFonts w:ascii="宋体" w:hAnsi="宋体"/>
                <w:color w:val="auto"/>
                <w:kern w:val="0"/>
                <w:szCs w:val="21"/>
                <w:highlight w:val="none"/>
              </w:rPr>
              <w:t>1.按投标人须知第8.1（1）执行；</w:t>
            </w:r>
          </w:p>
          <w:p w14:paraId="34DCC410">
            <w:pPr>
              <w:snapToGrid w:val="0"/>
              <w:spacing w:line="400" w:lineRule="exact"/>
              <w:ind w:firstLine="420" w:firstLineChars="200"/>
              <w:rPr>
                <w:rFonts w:hint="eastAsia" w:ascii="宋体" w:hAnsi="宋体"/>
                <w:color w:val="auto"/>
                <w:kern w:val="0"/>
                <w:szCs w:val="21"/>
                <w:highlight w:val="none"/>
              </w:rPr>
            </w:pPr>
            <w:r>
              <w:rPr>
                <w:rFonts w:ascii="宋体" w:hAnsi="宋体"/>
                <w:color w:val="auto"/>
                <w:kern w:val="0"/>
                <w:szCs w:val="21"/>
                <w:highlight w:val="none"/>
              </w:rPr>
              <w:t>2.按投标人须知第8.1（2）执行；</w:t>
            </w:r>
          </w:p>
          <w:p w14:paraId="40F777AE">
            <w:pPr>
              <w:snapToGrid w:val="0"/>
              <w:spacing w:line="400" w:lineRule="exact"/>
              <w:ind w:firstLine="420" w:firstLineChars="200"/>
              <w:rPr>
                <w:rFonts w:hint="eastAsia" w:ascii="宋体" w:hAnsi="宋体"/>
                <w:color w:val="auto"/>
                <w:kern w:val="0"/>
                <w:szCs w:val="21"/>
                <w:highlight w:val="none"/>
              </w:rPr>
            </w:pPr>
            <w:r>
              <w:rPr>
                <w:rFonts w:ascii="宋体" w:hAnsi="宋体"/>
                <w:snapToGrid w:val="0"/>
                <w:color w:val="auto"/>
                <w:kern w:val="0"/>
                <w:szCs w:val="21"/>
                <w:highlight w:val="none"/>
              </w:rPr>
              <w:t>3.</w:t>
            </w:r>
            <w:r>
              <w:rPr>
                <w:rFonts w:ascii="宋体" w:hAnsi="宋体"/>
                <w:color w:val="auto"/>
                <w:kern w:val="0"/>
                <w:szCs w:val="21"/>
                <w:highlight w:val="none"/>
              </w:rPr>
              <w:t>按投标人须知第8.1（3）执行；</w:t>
            </w:r>
          </w:p>
          <w:p w14:paraId="0A0AE917">
            <w:pPr>
              <w:snapToGrid w:val="0"/>
              <w:spacing w:line="400" w:lineRule="exact"/>
              <w:ind w:firstLine="420" w:firstLineChars="200"/>
              <w:rPr>
                <w:rFonts w:hint="eastAsia" w:ascii="宋体" w:hAnsi="宋体"/>
                <w:color w:val="auto"/>
                <w:kern w:val="0"/>
                <w:szCs w:val="21"/>
                <w:highlight w:val="none"/>
              </w:rPr>
            </w:pPr>
            <w:r>
              <w:rPr>
                <w:rFonts w:ascii="宋体" w:hAnsi="宋体"/>
                <w:snapToGrid w:val="0"/>
                <w:color w:val="auto"/>
                <w:kern w:val="0"/>
                <w:szCs w:val="21"/>
                <w:highlight w:val="none"/>
              </w:rPr>
              <w:t>4.</w:t>
            </w:r>
            <w:r>
              <w:rPr>
                <w:rFonts w:ascii="宋体" w:hAnsi="宋体"/>
                <w:color w:val="auto"/>
                <w:kern w:val="0"/>
                <w:szCs w:val="21"/>
                <w:highlight w:val="none"/>
              </w:rPr>
              <w:t>按投标人须知第8.1（4）执行</w:t>
            </w:r>
            <w:r>
              <w:rPr>
                <w:rFonts w:hint="eastAsia" w:ascii="宋体" w:hAnsi="宋体"/>
                <w:color w:val="auto"/>
                <w:kern w:val="0"/>
                <w:szCs w:val="21"/>
                <w:highlight w:val="none"/>
              </w:rPr>
              <w:t>；</w:t>
            </w:r>
          </w:p>
          <w:p w14:paraId="46736443">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5.电子投标文件解密成功的和非投标人原因解密失败采用备份光盘的投标人之和少于3个的。</w:t>
            </w:r>
          </w:p>
        </w:tc>
      </w:tr>
      <w:tr w14:paraId="3F3B0D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5BA9F486">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8.2</w:t>
            </w:r>
          </w:p>
        </w:tc>
        <w:tc>
          <w:tcPr>
            <w:tcW w:w="1644" w:type="dxa"/>
            <w:noWrap w:val="0"/>
            <w:vAlign w:val="center"/>
          </w:tcPr>
          <w:p w14:paraId="247A9276">
            <w:pPr>
              <w:snapToGrid w:val="0"/>
              <w:spacing w:line="400" w:lineRule="exact"/>
              <w:jc w:val="center"/>
              <w:rPr>
                <w:color w:val="auto"/>
                <w:highlight w:val="none"/>
              </w:rPr>
            </w:pPr>
            <w:bookmarkStart w:id="157" w:name="_Toc536628250"/>
            <w:bookmarkStart w:id="158" w:name="_Toc13210670"/>
            <w:bookmarkStart w:id="159" w:name="_Toc509218709"/>
            <w:bookmarkStart w:id="160" w:name="_Toc16930431"/>
            <w:bookmarkStart w:id="161" w:name="_Toc430530434"/>
            <w:r>
              <w:rPr>
                <w:rFonts w:ascii="宋体" w:hAnsi="宋体"/>
                <w:color w:val="auto"/>
                <w:kern w:val="0"/>
                <w:szCs w:val="21"/>
                <w:highlight w:val="none"/>
              </w:rPr>
              <w:t>二次招标和不再招标</w:t>
            </w:r>
            <w:bookmarkEnd w:id="157"/>
            <w:bookmarkEnd w:id="158"/>
            <w:bookmarkEnd w:id="159"/>
            <w:bookmarkEnd w:id="160"/>
            <w:bookmarkEnd w:id="161"/>
          </w:p>
        </w:tc>
        <w:tc>
          <w:tcPr>
            <w:tcW w:w="6490" w:type="dxa"/>
            <w:noWrap w:val="0"/>
            <w:vAlign w:val="center"/>
          </w:tcPr>
          <w:p w14:paraId="13865F84">
            <w:pPr>
              <w:autoSpaceDE w:val="0"/>
              <w:autoSpaceDN w:val="0"/>
              <w:adjustRightInd w:val="0"/>
              <w:snapToGrid w:val="0"/>
              <w:spacing w:after="62" w:afterLines="20" w:line="400" w:lineRule="exact"/>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r>
              <w:rPr>
                <w:rFonts w:ascii="宋体" w:hAnsi="宋体"/>
                <w:snapToGrid w:val="0"/>
                <w:color w:val="auto"/>
                <w:kern w:val="0"/>
                <w:szCs w:val="21"/>
                <w:highlight w:val="none"/>
              </w:rPr>
              <w:t>。</w:t>
            </w:r>
          </w:p>
        </w:tc>
      </w:tr>
      <w:tr w14:paraId="2AAAEF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73EA845">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10</w:t>
            </w:r>
          </w:p>
        </w:tc>
        <w:tc>
          <w:tcPr>
            <w:tcW w:w="8134" w:type="dxa"/>
            <w:gridSpan w:val="2"/>
            <w:noWrap w:val="0"/>
            <w:vAlign w:val="center"/>
          </w:tcPr>
          <w:p w14:paraId="78892514">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需要补充的其他内容</w:t>
            </w:r>
          </w:p>
        </w:tc>
      </w:tr>
      <w:tr w14:paraId="7DEC75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4F76B43F">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10.1</w:t>
            </w:r>
          </w:p>
        </w:tc>
        <w:tc>
          <w:tcPr>
            <w:tcW w:w="1644" w:type="dxa"/>
            <w:noWrap w:val="0"/>
            <w:vAlign w:val="center"/>
          </w:tcPr>
          <w:p w14:paraId="3D083FC2">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支付担保</w:t>
            </w:r>
          </w:p>
        </w:tc>
        <w:tc>
          <w:tcPr>
            <w:tcW w:w="6490" w:type="dxa"/>
            <w:noWrap w:val="0"/>
            <w:vAlign w:val="center"/>
          </w:tcPr>
          <w:p w14:paraId="12312F63">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招标人应按第四章合同专用条款约定向中标人提供相应的支付担保</w:t>
            </w:r>
            <w:r>
              <w:rPr>
                <w:rFonts w:ascii="宋体" w:hAnsi="宋体"/>
                <w:color w:val="auto"/>
                <w:kern w:val="0"/>
                <w:szCs w:val="21"/>
                <w:highlight w:val="none"/>
              </w:rPr>
              <w:t>。</w:t>
            </w:r>
          </w:p>
          <w:p w14:paraId="34F5B44D">
            <w:pPr>
              <w:snapToGrid w:val="0"/>
              <w:spacing w:after="124" w:afterLines="40"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招标人将在</w:t>
            </w:r>
            <w:r>
              <w:rPr>
                <w:rFonts w:hint="eastAsia" w:ascii="宋体" w:hAnsi="宋体"/>
                <w:color w:val="auto"/>
                <w:kern w:val="0"/>
                <w:szCs w:val="21"/>
                <w:highlight w:val="none"/>
              </w:rPr>
              <w:t>中标人</w:t>
            </w:r>
            <w:r>
              <w:rPr>
                <w:rFonts w:ascii="宋体" w:hAnsi="宋体"/>
                <w:color w:val="auto"/>
                <w:kern w:val="0"/>
                <w:szCs w:val="21"/>
                <w:highlight w:val="none"/>
              </w:rPr>
              <w:t>提供履约担保后，签订合同协议书之前向中标人提交支付担保。</w:t>
            </w:r>
          </w:p>
        </w:tc>
      </w:tr>
      <w:tr w14:paraId="3835EA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140EDF73">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10.2</w:t>
            </w:r>
          </w:p>
        </w:tc>
        <w:tc>
          <w:tcPr>
            <w:tcW w:w="1644" w:type="dxa"/>
            <w:noWrap w:val="0"/>
            <w:vAlign w:val="center"/>
          </w:tcPr>
          <w:p w14:paraId="60E98700">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项目经理答辩</w:t>
            </w:r>
          </w:p>
        </w:tc>
        <w:tc>
          <w:tcPr>
            <w:tcW w:w="6490" w:type="dxa"/>
            <w:noWrap w:val="0"/>
            <w:vAlign w:val="center"/>
          </w:tcPr>
          <w:p w14:paraId="653A0BBF">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项目经理答辩</w:t>
            </w:r>
            <w:r>
              <w:rPr>
                <w:rFonts w:hint="eastAsia" w:ascii="宋体" w:hAnsi="宋体"/>
                <w:color w:val="auto"/>
                <w:kern w:val="0"/>
                <w:szCs w:val="21"/>
                <w:highlight w:val="none"/>
              </w:rPr>
              <w:t>（综合评估法可选用）</w:t>
            </w:r>
            <w:r>
              <w:rPr>
                <w:rFonts w:ascii="宋体" w:hAnsi="宋体"/>
                <w:color w:val="auto"/>
                <w:kern w:val="0"/>
                <w:szCs w:val="21"/>
                <w:highlight w:val="none"/>
              </w:rPr>
              <w:t>：</w:t>
            </w:r>
            <w:r>
              <w:rPr>
                <w:rFonts w:hint="eastAsia" w:ascii="宋体" w:hAnsi="宋体"/>
                <w:color w:val="auto"/>
                <w:kern w:val="0"/>
                <w:szCs w:val="21"/>
                <w:highlight w:val="none"/>
              </w:rPr>
              <w:t>□</w:t>
            </w:r>
            <w:r>
              <w:rPr>
                <w:rFonts w:ascii="宋体" w:hAnsi="宋体"/>
                <w:color w:val="auto"/>
                <w:kern w:val="0"/>
                <w:szCs w:val="21"/>
                <w:highlight w:val="none"/>
              </w:rPr>
              <w:t>有</w:t>
            </w:r>
            <w:r>
              <w:rPr>
                <w:rFonts w:hint="eastAsia" w:ascii="宋体" w:hAnsi="宋体"/>
                <w:color w:val="auto"/>
                <w:kern w:val="0"/>
                <w:szCs w:val="21"/>
                <w:highlight w:val="none"/>
              </w:rPr>
              <w:t>；□</w:t>
            </w:r>
            <w:r>
              <w:rPr>
                <w:rFonts w:ascii="宋体" w:hAnsi="宋体"/>
                <w:color w:val="auto"/>
                <w:kern w:val="0"/>
                <w:szCs w:val="21"/>
                <w:highlight w:val="none"/>
              </w:rPr>
              <w:t>无。</w:t>
            </w:r>
            <w:r>
              <w:rPr>
                <w:rFonts w:hint="eastAsia" w:ascii="宋体" w:hAnsi="宋体"/>
                <w:i/>
                <w:iCs/>
                <w:color w:val="auto"/>
                <w:kern w:val="0"/>
                <w:szCs w:val="21"/>
                <w:highlight w:val="none"/>
              </w:rPr>
              <w:t>[提示：评标办法采用综合评估法时选用。]</w:t>
            </w:r>
          </w:p>
          <w:p w14:paraId="3C7F8C7E">
            <w:pPr>
              <w:widowControl/>
              <w:spacing w:after="124" w:afterLines="40"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招标人设有项目经理答辩的，则整个答辩过程均通过语音系统来完成，项目经理不得与评标委员会面对面接触。</w:t>
            </w:r>
          </w:p>
        </w:tc>
      </w:tr>
      <w:tr w14:paraId="06CCD7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58D2C50">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10.3</w:t>
            </w:r>
          </w:p>
        </w:tc>
        <w:tc>
          <w:tcPr>
            <w:tcW w:w="1644" w:type="dxa"/>
            <w:noWrap w:val="0"/>
            <w:vAlign w:val="center"/>
          </w:tcPr>
          <w:p w14:paraId="1331AC98">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异议、</w:t>
            </w:r>
            <w:r>
              <w:rPr>
                <w:rFonts w:ascii="宋体" w:hAnsi="宋体"/>
                <w:color w:val="auto"/>
                <w:kern w:val="0"/>
                <w:szCs w:val="21"/>
                <w:highlight w:val="none"/>
              </w:rPr>
              <w:t>投诉处理</w:t>
            </w:r>
          </w:p>
        </w:tc>
        <w:tc>
          <w:tcPr>
            <w:tcW w:w="6490" w:type="dxa"/>
            <w:noWrap w:val="0"/>
            <w:vAlign w:val="center"/>
          </w:tcPr>
          <w:p w14:paraId="34B543A8">
            <w:pPr>
              <w:widowControl/>
              <w:spacing w:line="400" w:lineRule="exact"/>
              <w:ind w:firstLine="420" w:firstLineChars="200"/>
              <w:rPr>
                <w:rFonts w:hint="eastAsia" w:ascii="宋体" w:hAnsi="宋体"/>
                <w:color w:val="auto"/>
                <w:kern w:val="0"/>
                <w:szCs w:val="21"/>
                <w:highlight w:val="none"/>
              </w:rPr>
            </w:pPr>
            <w:r>
              <w:rPr>
                <w:rFonts w:ascii="宋体" w:hAnsi="宋体"/>
                <w:color w:val="auto"/>
                <w:kern w:val="0"/>
                <w:szCs w:val="21"/>
                <w:highlight w:val="none"/>
              </w:rPr>
              <w:t>1.</w:t>
            </w:r>
            <w:r>
              <w:rPr>
                <w:rFonts w:hint="eastAsia" w:ascii="宋体" w:hAnsi="宋体"/>
                <w:color w:val="auto"/>
                <w:kern w:val="0"/>
                <w:szCs w:val="21"/>
                <w:highlight w:val="none"/>
              </w:rPr>
              <w:t xml:space="preserve"> </w:t>
            </w:r>
            <w:r>
              <w:rPr>
                <w:rFonts w:ascii="宋体" w:hAnsi="宋体"/>
                <w:color w:val="auto"/>
                <w:kern w:val="0"/>
                <w:szCs w:val="21"/>
                <w:highlight w:val="none"/>
              </w:rPr>
              <w:t>投标人或者其他利害关系人就本项目的招标文件</w:t>
            </w:r>
            <w:r>
              <w:rPr>
                <w:rFonts w:hint="eastAsia" w:ascii="宋体" w:hAnsi="宋体"/>
                <w:color w:val="auto"/>
                <w:kern w:val="0"/>
                <w:szCs w:val="21"/>
                <w:highlight w:val="none"/>
              </w:rPr>
              <w:t>（含澄清修改）、开标情况、</w:t>
            </w:r>
            <w:r>
              <w:rPr>
                <w:rFonts w:ascii="宋体" w:hAnsi="宋体"/>
                <w:color w:val="auto"/>
                <w:kern w:val="0"/>
                <w:szCs w:val="21"/>
                <w:highlight w:val="none"/>
              </w:rPr>
              <w:t>评标结果等事项提出投诉</w:t>
            </w:r>
            <w:r>
              <w:rPr>
                <w:rFonts w:hint="eastAsia" w:ascii="宋体" w:hAnsi="宋体"/>
                <w:color w:val="auto"/>
                <w:kern w:val="0"/>
                <w:szCs w:val="21"/>
                <w:highlight w:val="none"/>
              </w:rPr>
              <w:t>的</w:t>
            </w:r>
            <w:r>
              <w:rPr>
                <w:rFonts w:ascii="宋体" w:hAnsi="宋体"/>
                <w:color w:val="auto"/>
                <w:kern w:val="0"/>
                <w:szCs w:val="21"/>
                <w:highlight w:val="none"/>
              </w:rPr>
              <w:t>，应当先向招标人提出异议；招标人应当在规定时间内答复；对招标人的答复不满意，可向行政监督部门投诉。</w:t>
            </w:r>
          </w:p>
          <w:p w14:paraId="287C52F9">
            <w:pPr>
              <w:widowControl/>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提出异议或投诉时应当包括下列内容：</w:t>
            </w:r>
          </w:p>
          <w:p w14:paraId="44F5448F">
            <w:pPr>
              <w:widowControl/>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（1）异议或投诉人的名称、地址及有效联系方式；</w:t>
            </w:r>
          </w:p>
          <w:p w14:paraId="1CC4F058">
            <w:pPr>
              <w:widowControl/>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（2）被异议或投诉人的名称、地址及有效联系方式；</w:t>
            </w:r>
          </w:p>
          <w:p w14:paraId="20155D4D">
            <w:pPr>
              <w:widowControl/>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（3）异议或投诉事项的基本事实；</w:t>
            </w:r>
          </w:p>
          <w:p w14:paraId="446C0B26">
            <w:pPr>
              <w:widowControl/>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（4）请求及主张；</w:t>
            </w:r>
          </w:p>
          <w:p w14:paraId="5F4627C1">
            <w:pPr>
              <w:widowControl/>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（5）涉及事项的证据、证明材料。</w:t>
            </w:r>
          </w:p>
          <w:p w14:paraId="43AF0DB6">
            <w:pPr>
              <w:widowControl/>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异议或投诉的主体必须为法人，异议书必须由其法定代表人和委托代理人签字并加盖单位公章。如有关材料是外文，应当同时提供中文译本。</w:t>
            </w:r>
          </w:p>
          <w:p w14:paraId="69D45556">
            <w:pPr>
              <w:widowControl/>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2.</w:t>
            </w:r>
            <w:r>
              <w:rPr>
                <w:rFonts w:hint="eastAsia" w:ascii="宋体" w:hAnsi="宋体"/>
                <w:color w:val="auto"/>
                <w:kern w:val="0"/>
                <w:szCs w:val="21"/>
                <w:highlight w:val="none"/>
              </w:rPr>
              <w:t xml:space="preserve"> </w:t>
            </w:r>
            <w:r>
              <w:rPr>
                <w:rFonts w:ascii="宋体" w:hAnsi="宋体"/>
                <w:color w:val="auto"/>
                <w:kern w:val="0"/>
                <w:szCs w:val="21"/>
                <w:highlight w:val="none"/>
              </w:rPr>
              <w:t>行政监督部门依照《</w:t>
            </w:r>
            <w:r>
              <w:rPr>
                <w:rFonts w:hint="eastAsia" w:ascii="宋体" w:hAnsi="宋体"/>
                <w:color w:val="auto"/>
                <w:kern w:val="0"/>
                <w:szCs w:val="21"/>
                <w:highlight w:val="none"/>
              </w:rPr>
              <w:t>中华人民共和国</w:t>
            </w:r>
            <w:r>
              <w:rPr>
                <w:rFonts w:ascii="宋体" w:hAnsi="宋体"/>
                <w:color w:val="auto"/>
                <w:kern w:val="0"/>
                <w:szCs w:val="21"/>
                <w:highlight w:val="none"/>
              </w:rPr>
              <w:t>招标投标法》、《</w:t>
            </w:r>
            <w:r>
              <w:rPr>
                <w:rFonts w:hint="eastAsia" w:ascii="宋体" w:hAnsi="宋体"/>
                <w:color w:val="auto"/>
                <w:kern w:val="0"/>
                <w:szCs w:val="21"/>
                <w:highlight w:val="none"/>
              </w:rPr>
              <w:t>中华人民共和国</w:t>
            </w:r>
            <w:r>
              <w:rPr>
                <w:rFonts w:ascii="宋体" w:hAnsi="宋体"/>
                <w:color w:val="auto"/>
                <w:kern w:val="0"/>
                <w:szCs w:val="21"/>
                <w:highlight w:val="none"/>
              </w:rPr>
              <w:t>招标投标法实施条例》、《重庆市招标投标条例》、《工程建设项目招标投标活动投诉处理办法》（七部委令第11号（根据九部门2013年第23号令修正））、《重庆市招标投标活动投诉处理实施细则》（渝发改标</w:t>
            </w:r>
            <w:r>
              <w:rPr>
                <w:rFonts w:hint="eastAsia" w:ascii="宋体" w:hAnsi="宋体"/>
                <w:color w:val="auto"/>
                <w:kern w:val="0"/>
                <w:szCs w:val="21"/>
                <w:highlight w:val="none"/>
              </w:rPr>
              <w:t>〔</w:t>
            </w:r>
            <w:r>
              <w:rPr>
                <w:rFonts w:ascii="宋体" w:hAnsi="宋体"/>
                <w:color w:val="auto"/>
                <w:kern w:val="0"/>
                <w:szCs w:val="21"/>
                <w:highlight w:val="none"/>
              </w:rPr>
              <w:t>2014</w:t>
            </w:r>
            <w:r>
              <w:rPr>
                <w:rFonts w:hint="eastAsia" w:ascii="宋体" w:hAnsi="宋体"/>
                <w:color w:val="auto"/>
                <w:kern w:val="0"/>
                <w:szCs w:val="21"/>
                <w:highlight w:val="none"/>
              </w:rPr>
              <w:t>〕</w:t>
            </w:r>
            <w:r>
              <w:rPr>
                <w:rFonts w:ascii="宋体" w:hAnsi="宋体"/>
                <w:color w:val="auto"/>
                <w:kern w:val="0"/>
                <w:szCs w:val="21"/>
                <w:highlight w:val="none"/>
              </w:rPr>
              <w:t>1168号）等法律法规文件处理投诉。</w:t>
            </w:r>
          </w:p>
          <w:p w14:paraId="6115710B">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3. 根据《重庆市工程建设领域招标投标信用管理暂行办法》的规定，投标人捏造事实、伪造材料，或者以非法手段获取证明材料进行质疑或者投诉的，将被列入黑名单管理；</w:t>
            </w:r>
            <w:r>
              <w:rPr>
                <w:rFonts w:ascii="宋体" w:hAnsi="宋体"/>
                <w:color w:val="auto"/>
                <w:kern w:val="0"/>
                <w:szCs w:val="21"/>
                <w:highlight w:val="none"/>
              </w:rPr>
              <w:t>给他人造成损失的，依法承担赔偿责任。</w:t>
            </w:r>
          </w:p>
          <w:p w14:paraId="187B5083">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4.</w:t>
            </w:r>
            <w:r>
              <w:rPr>
                <w:rFonts w:hint="eastAsia"/>
                <w:color w:val="auto"/>
                <w:highlight w:val="none"/>
              </w:rPr>
              <w:t xml:space="preserve"> </w:t>
            </w:r>
            <w:r>
              <w:rPr>
                <w:rFonts w:hint="eastAsia" w:ascii="宋体" w:hAnsi="宋体"/>
                <w:color w:val="auto"/>
                <w:kern w:val="0"/>
                <w:szCs w:val="21"/>
                <w:highlight w:val="none"/>
              </w:rPr>
              <w:t>异议受理单位：</w:t>
            </w:r>
          </w:p>
          <w:p w14:paraId="7EDD2B68">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联系电话：</w:t>
            </w:r>
          </w:p>
          <w:p w14:paraId="13734BC2">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投诉受理部门：</w:t>
            </w:r>
          </w:p>
          <w:p w14:paraId="75F369A0">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联系电话：</w:t>
            </w:r>
          </w:p>
        </w:tc>
      </w:tr>
      <w:tr w14:paraId="08C78C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5D0A7753">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10.4</w:t>
            </w:r>
          </w:p>
        </w:tc>
        <w:tc>
          <w:tcPr>
            <w:tcW w:w="1644" w:type="dxa"/>
            <w:noWrap w:val="0"/>
            <w:vAlign w:val="center"/>
          </w:tcPr>
          <w:p w14:paraId="722E04C0">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工程量清单</w:t>
            </w:r>
          </w:p>
          <w:p w14:paraId="015A6455">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编制说明</w:t>
            </w:r>
          </w:p>
        </w:tc>
        <w:tc>
          <w:tcPr>
            <w:tcW w:w="6490" w:type="dxa"/>
            <w:noWrap w:val="0"/>
            <w:vAlign w:val="center"/>
          </w:tcPr>
          <w:p w14:paraId="60D4819D">
            <w:pPr>
              <w:widowControl/>
              <w:spacing w:line="400" w:lineRule="exact"/>
              <w:ind w:firstLine="420" w:firstLineChars="200"/>
              <w:rPr>
                <w:rFonts w:ascii="宋体" w:hAnsi="宋体"/>
                <w:color w:val="auto"/>
                <w:kern w:val="0"/>
                <w:szCs w:val="21"/>
                <w:highlight w:val="none"/>
              </w:rPr>
            </w:pPr>
            <w:r>
              <w:rPr>
                <w:rFonts w:hint="eastAsia" w:ascii="宋体" w:hAnsi="宋体"/>
                <w:i/>
                <w:color w:val="auto"/>
                <w:kern w:val="0"/>
                <w:szCs w:val="21"/>
                <w:highlight w:val="none"/>
              </w:rPr>
              <w:t>[提示：由招标人根据项目实际情况，自行编制。工程量清单编制说明中不得有违背相关法律法规及规范性文件规定的内容，若有涉及否决投标的规定必须集中在后文“否决投标情况一览表”中，否则以“否决投标情况一览表”为准。]</w:t>
            </w:r>
          </w:p>
        </w:tc>
      </w:tr>
      <w:tr w14:paraId="6C4A28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060BA141">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10.5</w:t>
            </w:r>
          </w:p>
        </w:tc>
        <w:tc>
          <w:tcPr>
            <w:tcW w:w="1644" w:type="dxa"/>
            <w:noWrap w:val="0"/>
            <w:vAlign w:val="center"/>
          </w:tcPr>
          <w:p w14:paraId="57BB9E29">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建筑</w:t>
            </w:r>
            <w:r>
              <w:rPr>
                <w:rFonts w:ascii="宋体" w:hAnsi="宋体"/>
                <w:color w:val="auto"/>
                <w:kern w:val="0"/>
                <w:szCs w:val="21"/>
                <w:highlight w:val="none"/>
              </w:rPr>
              <w:t>领域实施农民工工资专用账户相关</w:t>
            </w:r>
            <w:r>
              <w:rPr>
                <w:rFonts w:hint="eastAsia" w:ascii="宋体" w:hAnsi="宋体"/>
                <w:color w:val="auto"/>
                <w:kern w:val="0"/>
                <w:szCs w:val="21"/>
                <w:highlight w:val="none"/>
              </w:rPr>
              <w:t>要求</w:t>
            </w:r>
          </w:p>
        </w:tc>
        <w:tc>
          <w:tcPr>
            <w:tcW w:w="6490" w:type="dxa"/>
            <w:noWrap w:val="0"/>
            <w:vAlign w:val="center"/>
          </w:tcPr>
          <w:p w14:paraId="20BD5DD3">
            <w:pPr>
              <w:widowControl/>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本项目在</w:t>
            </w:r>
            <w:r>
              <w:rPr>
                <w:rFonts w:ascii="宋体" w:hAnsi="宋体"/>
                <w:color w:val="auto"/>
                <w:kern w:val="0"/>
                <w:szCs w:val="21"/>
                <w:highlight w:val="none"/>
              </w:rPr>
              <w:t>实施过程中</w:t>
            </w:r>
            <w:r>
              <w:rPr>
                <w:rFonts w:hint="eastAsia" w:ascii="宋体" w:hAnsi="宋体"/>
                <w:color w:val="auto"/>
                <w:kern w:val="0"/>
                <w:szCs w:val="21"/>
                <w:highlight w:val="none"/>
              </w:rPr>
              <w:t>，中标人</w:t>
            </w:r>
            <w:r>
              <w:rPr>
                <w:rFonts w:ascii="宋体" w:hAnsi="宋体"/>
                <w:color w:val="auto"/>
                <w:kern w:val="0"/>
                <w:szCs w:val="21"/>
                <w:highlight w:val="none"/>
              </w:rPr>
              <w:t>必须执行</w:t>
            </w:r>
            <w:r>
              <w:rPr>
                <w:rFonts w:hint="eastAsia" w:ascii="宋体" w:hAnsi="宋体"/>
                <w:color w:val="auto"/>
                <w:kern w:val="0"/>
                <w:szCs w:val="21"/>
                <w:highlight w:val="none"/>
              </w:rPr>
              <w:t>《保障农民工工资支付条例》（中华人民共和国国务院令第724号）、《重庆市人民政府办公厅关于全面治理拖欠农民工工资问题的实施意见》（渝府办发〔2016〕101号）、《重庆市</w:t>
            </w:r>
            <w:r>
              <w:rPr>
                <w:rFonts w:ascii="宋体" w:hAnsi="宋体"/>
                <w:color w:val="auto"/>
                <w:kern w:val="0"/>
                <w:szCs w:val="21"/>
                <w:highlight w:val="none"/>
              </w:rPr>
              <w:t>城乡建设</w:t>
            </w:r>
            <w:r>
              <w:rPr>
                <w:rFonts w:hint="eastAsia" w:ascii="宋体" w:hAnsi="宋体"/>
                <w:color w:val="auto"/>
                <w:kern w:val="0"/>
                <w:szCs w:val="21"/>
                <w:highlight w:val="none"/>
              </w:rPr>
              <w:t>委员会</w:t>
            </w:r>
            <w:r>
              <w:rPr>
                <w:rFonts w:ascii="宋体" w:hAnsi="宋体"/>
                <w:color w:val="auto"/>
                <w:kern w:val="0"/>
                <w:szCs w:val="21"/>
                <w:highlight w:val="none"/>
              </w:rPr>
              <w:t>、中国人民银行重庆营业管理部、中国银行业</w:t>
            </w:r>
            <w:r>
              <w:rPr>
                <w:rFonts w:hint="eastAsia" w:ascii="宋体" w:hAnsi="宋体"/>
                <w:color w:val="auto"/>
                <w:kern w:val="0"/>
                <w:szCs w:val="21"/>
                <w:highlight w:val="none"/>
              </w:rPr>
              <w:t>监督</w:t>
            </w:r>
            <w:r>
              <w:rPr>
                <w:rFonts w:ascii="宋体" w:hAnsi="宋体"/>
                <w:color w:val="auto"/>
                <w:kern w:val="0"/>
                <w:szCs w:val="21"/>
                <w:highlight w:val="none"/>
              </w:rPr>
              <w:t>管理委员会重庆监管局</w:t>
            </w:r>
            <w:r>
              <w:rPr>
                <w:rFonts w:hint="eastAsia" w:ascii="宋体" w:hAnsi="宋体"/>
                <w:color w:val="auto"/>
                <w:kern w:val="0"/>
                <w:szCs w:val="21"/>
                <w:highlight w:val="none"/>
              </w:rPr>
              <w:t>关于</w:t>
            </w:r>
            <w:r>
              <w:rPr>
                <w:rFonts w:ascii="宋体" w:hAnsi="宋体"/>
                <w:color w:val="auto"/>
                <w:kern w:val="0"/>
                <w:szCs w:val="21"/>
                <w:highlight w:val="none"/>
              </w:rPr>
              <w:t>建筑领域实施农民工工资专用账户管理及银行代发制度（</w:t>
            </w:r>
            <w:r>
              <w:rPr>
                <w:rFonts w:hint="eastAsia" w:ascii="宋体" w:hAnsi="宋体"/>
                <w:color w:val="auto"/>
                <w:kern w:val="0"/>
                <w:szCs w:val="21"/>
                <w:highlight w:val="none"/>
              </w:rPr>
              <w:t>试行</w:t>
            </w:r>
            <w:r>
              <w:rPr>
                <w:rFonts w:ascii="宋体" w:hAnsi="宋体"/>
                <w:color w:val="auto"/>
                <w:kern w:val="0"/>
                <w:szCs w:val="21"/>
                <w:highlight w:val="none"/>
              </w:rPr>
              <w:t>）</w:t>
            </w:r>
            <w:r>
              <w:rPr>
                <w:rFonts w:hint="eastAsia" w:ascii="宋体" w:hAnsi="宋体"/>
                <w:color w:val="auto"/>
                <w:kern w:val="0"/>
                <w:szCs w:val="21"/>
                <w:highlight w:val="none"/>
              </w:rPr>
              <w:t>的</w:t>
            </w:r>
            <w:r>
              <w:rPr>
                <w:rFonts w:ascii="宋体" w:hAnsi="宋体"/>
                <w:color w:val="auto"/>
                <w:kern w:val="0"/>
                <w:szCs w:val="21"/>
                <w:highlight w:val="none"/>
              </w:rPr>
              <w:t>通知</w:t>
            </w:r>
            <w:r>
              <w:rPr>
                <w:rFonts w:hint="eastAsia" w:ascii="宋体" w:hAnsi="宋体"/>
                <w:color w:val="auto"/>
                <w:kern w:val="0"/>
                <w:szCs w:val="21"/>
                <w:highlight w:val="none"/>
              </w:rPr>
              <w:t>》（渝</w:t>
            </w:r>
            <w:r>
              <w:rPr>
                <w:rFonts w:ascii="宋体" w:hAnsi="宋体"/>
                <w:color w:val="auto"/>
                <w:kern w:val="0"/>
                <w:szCs w:val="21"/>
                <w:highlight w:val="none"/>
              </w:rPr>
              <w:t>建发</w:t>
            </w:r>
            <w:r>
              <w:rPr>
                <w:rFonts w:hint="eastAsia" w:ascii="宋体" w:hAnsi="宋体"/>
                <w:color w:val="auto"/>
                <w:kern w:val="0"/>
                <w:szCs w:val="21"/>
                <w:highlight w:val="none"/>
              </w:rPr>
              <w:t>〔201</w:t>
            </w:r>
            <w:r>
              <w:rPr>
                <w:rFonts w:ascii="宋体" w:hAnsi="宋体"/>
                <w:color w:val="auto"/>
                <w:kern w:val="0"/>
                <w:szCs w:val="21"/>
                <w:highlight w:val="none"/>
              </w:rPr>
              <w:t>7</w:t>
            </w:r>
            <w:r>
              <w:rPr>
                <w:rFonts w:hint="eastAsia" w:ascii="宋体" w:hAnsi="宋体"/>
                <w:color w:val="auto"/>
                <w:kern w:val="0"/>
                <w:szCs w:val="21"/>
                <w:highlight w:val="none"/>
              </w:rPr>
              <w:t>〕13号）及《重庆市建设工程造价管理总站关于建筑领域农民工工资专户管理网络系统正式运行有关事宜的通知》，实行农民工工资专用账户管理及银行代发制度，填报相应的网络管理系统。</w:t>
            </w:r>
          </w:p>
          <w:p w14:paraId="00764906">
            <w:pPr>
              <w:widowControl/>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投标人中标后，在与发包人签订的合同中，必须明确在我市的农民工工资专用账户信息、人工费（工资款）支付比例；在项目开工后，为农民工办理平安卡和工资卡，委托银行通过农民工工资专用账户直接将农民工工资发放至工资卡，并按照有关规定在“工资专户管理网络系统”中填报相关信息</w:t>
            </w:r>
            <w:r>
              <w:rPr>
                <w:rFonts w:ascii="宋体" w:hAnsi="宋体"/>
                <w:color w:val="auto"/>
                <w:kern w:val="0"/>
                <w:szCs w:val="21"/>
                <w:highlight w:val="none"/>
              </w:rPr>
              <w:t>。</w:t>
            </w:r>
          </w:p>
        </w:tc>
      </w:tr>
      <w:tr w14:paraId="73C303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4C622CDF">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10.6</w:t>
            </w:r>
          </w:p>
        </w:tc>
        <w:tc>
          <w:tcPr>
            <w:tcW w:w="1644" w:type="dxa"/>
            <w:noWrap w:val="0"/>
            <w:vAlign w:val="center"/>
          </w:tcPr>
          <w:p w14:paraId="1C75E3D5">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低价风险担保</w:t>
            </w:r>
          </w:p>
          <w:p w14:paraId="0D2FE70A">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（采用经评审的最低投标价法适用）</w:t>
            </w:r>
          </w:p>
        </w:tc>
        <w:tc>
          <w:tcPr>
            <w:tcW w:w="6490" w:type="dxa"/>
            <w:noWrap w:val="0"/>
            <w:vAlign w:val="center"/>
          </w:tcPr>
          <w:p w14:paraId="4FBE5E01">
            <w:pPr>
              <w:autoSpaceDE w:val="0"/>
              <w:autoSpaceDN w:val="0"/>
              <w:adjustRightInd w:val="0"/>
              <w:snapToGrid w:val="0"/>
              <w:spacing w:line="400" w:lineRule="exact"/>
              <w:ind w:firstLine="420" w:firstLineChars="200"/>
              <w:rPr>
                <w:rFonts w:hint="eastAsia" w:ascii="宋体" w:hAnsi="宋体"/>
                <w:i/>
                <w:color w:val="auto"/>
                <w:kern w:val="0"/>
                <w:szCs w:val="21"/>
                <w:highlight w:val="none"/>
              </w:rPr>
            </w:pPr>
            <w:r>
              <w:rPr>
                <w:rFonts w:hint="eastAsia" w:ascii="宋体" w:hAnsi="宋体"/>
                <w:i/>
                <w:color w:val="auto"/>
                <w:kern w:val="0"/>
                <w:szCs w:val="21"/>
                <w:highlight w:val="none"/>
              </w:rPr>
              <w:t>[提示：采用经评审的最低投标价法的招标项目，招标人应当在招标文件中要求拟中标人提供低价风险担保，并明确担保方式和扣减担保金额的情形。担保金额为最高限价的85%与中标价格差额的一至三倍，且最高不超过最高限价的85%。担保方式可以采用现金、银行保函等方式。</w:t>
            </w:r>
          </w:p>
          <w:p w14:paraId="3FA348AA">
            <w:pPr>
              <w:autoSpaceDE w:val="0"/>
              <w:autoSpaceDN w:val="0"/>
              <w:adjustRightInd w:val="0"/>
              <w:snapToGrid w:val="0"/>
              <w:spacing w:line="400" w:lineRule="exact"/>
              <w:ind w:firstLine="420" w:firstLineChars="200"/>
              <w:rPr>
                <w:rFonts w:hint="eastAsia" w:ascii="宋体" w:hAnsi="宋体"/>
                <w:i/>
                <w:color w:val="auto"/>
                <w:kern w:val="0"/>
                <w:szCs w:val="21"/>
                <w:highlight w:val="none"/>
              </w:rPr>
            </w:pPr>
            <w:r>
              <w:rPr>
                <w:rFonts w:hint="eastAsia" w:ascii="宋体" w:hAnsi="宋体"/>
                <w:i/>
                <w:color w:val="auto"/>
                <w:kern w:val="0"/>
                <w:szCs w:val="21"/>
                <w:highlight w:val="none"/>
              </w:rPr>
              <w:t>招标人在发出中标通知书前，应当书面告知拟中标人提供低价风险担保，明确担保金额、提交截止日期等具体要求。招标人应当充分考虑拟中标人低价风险担保提交、手续办理时间等因素，从招标人低价风险担保书面通知送达拟中标人之日起到拟中标人将低价风险担保提交送达至招标人之日止，原则上不得少于10个工作日。中标通知书发出后，中标人拒不提交或者在约定期限内未按要求提交低价风险担保的，招标人应当撤销中标通知书，并在约定的低价风险担保送达截止之日起3个工作日内将处理结果书面告知中标人。]</w:t>
            </w:r>
          </w:p>
          <w:p w14:paraId="27F63611">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1、低价风险担保：中标价低于最高限价的85%时提供，如不按时足额提供，视为中标人放弃中标，招标人有权不退还其投标保证金，</w:t>
            </w:r>
            <w:r>
              <w:rPr>
                <w:rFonts w:hint="eastAsia"/>
                <w:color w:val="auto"/>
                <w:highlight w:val="none"/>
              </w:rPr>
              <w:t>并报招标投标行政监督部门按照信用管理办法的规定处理，对中标人的不良行为直接记12分，纳入重点关注名单。若投标人为联合体，由联合体牵头人或按照联合体协议的约定提交低价风险担保</w:t>
            </w:r>
            <w:r>
              <w:rPr>
                <w:rFonts w:hint="eastAsia" w:ascii="宋体" w:hAnsi="宋体"/>
                <w:color w:val="auto"/>
                <w:kern w:val="0"/>
                <w:szCs w:val="21"/>
                <w:highlight w:val="none"/>
              </w:rPr>
              <w:t>。</w:t>
            </w:r>
          </w:p>
          <w:p w14:paraId="09C0E4A6">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2、中标人提供低价风险担保的形式、金额及期限：</w:t>
            </w:r>
          </w:p>
          <w:p w14:paraId="37A0F62C">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1</w:t>
            </w:r>
            <w:r>
              <w:rPr>
                <w:rFonts w:hint="eastAsia" w:ascii="宋体" w:hAnsi="宋体"/>
                <w:color w:val="auto"/>
                <w:kern w:val="0"/>
                <w:szCs w:val="21"/>
                <w:highlight w:val="none"/>
              </w:rPr>
              <w:t>）低价风险担保的形式：</w:t>
            </w:r>
            <w:r>
              <w:rPr>
                <w:rFonts w:hint="eastAsia" w:ascii="宋体" w:hAnsi="宋体"/>
                <w:color w:val="auto"/>
                <w:kern w:val="0"/>
                <w:szCs w:val="21"/>
                <w:highlight w:val="none"/>
                <w:u w:val="none"/>
              </w:rPr>
              <w:t>现金或银行保函</w:t>
            </w:r>
            <w:r>
              <w:rPr>
                <w:rFonts w:hint="eastAsia"/>
                <w:color w:val="auto"/>
                <w:highlight w:val="none"/>
                <w:u w:val="none"/>
              </w:rPr>
              <w:t>或现金+银行保函的组合；采用银行保函形式的，保函必须为不可撤销且见索即付</w:t>
            </w:r>
            <w:r>
              <w:rPr>
                <w:rFonts w:hint="eastAsia" w:ascii="宋体" w:hAnsi="宋体"/>
                <w:color w:val="auto"/>
                <w:kern w:val="0"/>
                <w:szCs w:val="21"/>
                <w:highlight w:val="none"/>
              </w:rPr>
              <w:t>。</w:t>
            </w:r>
          </w:p>
          <w:p w14:paraId="1588ACE5">
            <w:pPr>
              <w:autoSpaceDE w:val="0"/>
              <w:autoSpaceDN w:val="0"/>
              <w:adjustRightInd w:val="0"/>
              <w:snapToGrid w:val="0"/>
              <w:spacing w:line="400" w:lineRule="exact"/>
              <w:ind w:firstLine="420" w:firstLineChars="200"/>
              <w:rPr>
                <w:rFonts w:hint="eastAsia" w:ascii="宋体" w:hAnsi="宋体"/>
                <w:i/>
                <w:color w:val="auto"/>
                <w:kern w:val="0"/>
                <w:szCs w:val="21"/>
                <w:highlight w:val="none"/>
                <w:u w:val="none"/>
              </w:rPr>
            </w:pPr>
            <w:r>
              <w:rPr>
                <w:rFonts w:hint="eastAsia" w:ascii="宋体" w:hAnsi="宋体"/>
                <w:i/>
                <w:color w:val="auto"/>
                <w:kern w:val="0"/>
                <w:szCs w:val="21"/>
                <w:highlight w:val="none"/>
                <w:u w:val="none"/>
              </w:rPr>
              <w:t>[提示：由招标人根据渝府办发[2019]114号文的相关规定确定低价风险担保的形式。]</w:t>
            </w:r>
          </w:p>
          <w:p w14:paraId="27E34248">
            <w:pPr>
              <w:autoSpaceDE w:val="0"/>
              <w:autoSpaceDN w:val="0"/>
              <w:adjustRightInd w:val="0"/>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2</w:t>
            </w:r>
            <w:r>
              <w:rPr>
                <w:rFonts w:hint="eastAsia" w:ascii="宋体" w:hAnsi="宋体"/>
                <w:color w:val="auto"/>
                <w:kern w:val="0"/>
                <w:szCs w:val="21"/>
                <w:highlight w:val="none"/>
              </w:rPr>
              <w:t>）低价风险担保的金额：</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（最高限价×</w:t>
            </w:r>
            <w:r>
              <w:rPr>
                <w:rFonts w:ascii="宋体" w:hAnsi="宋体"/>
                <w:color w:val="auto"/>
                <w:kern w:val="0"/>
                <w:szCs w:val="21"/>
                <w:highlight w:val="none"/>
              </w:rPr>
              <w:t>85%-</w:t>
            </w:r>
            <w:r>
              <w:rPr>
                <w:rFonts w:hint="eastAsia" w:ascii="宋体" w:hAnsi="宋体"/>
                <w:color w:val="auto"/>
                <w:kern w:val="0"/>
                <w:szCs w:val="21"/>
                <w:highlight w:val="none"/>
              </w:rPr>
              <w:t>中标价）×□1□2□3</w:t>
            </w:r>
            <w:r>
              <w:rPr>
                <w:rStyle w:val="54"/>
                <w:rFonts w:hint="eastAsia"/>
                <w:color w:val="auto"/>
                <w:highlight w:val="none"/>
              </w:rPr>
              <w:t>，</w:t>
            </w:r>
            <w:r>
              <w:rPr>
                <w:rStyle w:val="54"/>
                <w:color w:val="auto"/>
                <w:highlight w:val="none"/>
              </w:rPr>
              <w:t>且最高不超过最高限价的85%</w:t>
            </w:r>
            <w:r>
              <w:rPr>
                <w:rStyle w:val="54"/>
                <w:rFonts w:hint="eastAsia"/>
                <w:color w:val="auto"/>
                <w:highlight w:val="none"/>
              </w:rPr>
              <w:t>，</w:t>
            </w:r>
            <w:r>
              <w:rPr>
                <w:rFonts w:hint="eastAsia"/>
                <w:i w:val="0"/>
                <w:color w:val="auto"/>
                <w:highlight w:val="none"/>
              </w:rPr>
              <w:t>红名单中的中标人低价风险担保金额可减半（红名单建立完善后使用；联合体中标的，须联合体牵头人在红名单中）</w:t>
            </w:r>
            <w:r>
              <w:rPr>
                <w:rFonts w:hint="eastAsia" w:ascii="宋体" w:hAnsi="宋体"/>
                <w:color w:val="auto"/>
                <w:kern w:val="0"/>
                <w:szCs w:val="21"/>
                <w:highlight w:val="none"/>
              </w:rPr>
              <w:t>；</w:t>
            </w:r>
          </w:p>
          <w:p w14:paraId="23595731">
            <w:pPr>
              <w:autoSpaceDE w:val="0"/>
              <w:autoSpaceDN w:val="0"/>
              <w:adjustRightInd w:val="0"/>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3</w:t>
            </w:r>
            <w:r>
              <w:rPr>
                <w:rFonts w:hint="eastAsia" w:ascii="宋体" w:hAnsi="宋体"/>
                <w:color w:val="auto"/>
                <w:kern w:val="0"/>
                <w:szCs w:val="21"/>
                <w:highlight w:val="none"/>
              </w:rPr>
              <w:t>）低价风险担保送达招标人的时间：</w:t>
            </w:r>
            <w:r>
              <w:rPr>
                <w:rFonts w:hint="eastAsia"/>
                <w:color w:val="auto"/>
                <w:szCs w:val="21"/>
                <w:highlight w:val="none"/>
              </w:rPr>
              <w:t>从招标人低价风险担保书面通知送达拟中标人之日起</w:t>
            </w:r>
            <w:r>
              <w:rPr>
                <w:rFonts w:hint="eastAsia"/>
                <w:color w:val="auto"/>
                <w:szCs w:val="21"/>
                <w:highlight w:val="none"/>
                <w:u w:val="single"/>
              </w:rPr>
              <w:t xml:space="preserve">    </w:t>
            </w:r>
            <w:r>
              <w:rPr>
                <w:rFonts w:hint="eastAsia"/>
                <w:color w:val="auto"/>
                <w:szCs w:val="21"/>
                <w:highlight w:val="none"/>
              </w:rPr>
              <w:t>工作日内</w:t>
            </w:r>
            <w:r>
              <w:rPr>
                <w:rFonts w:hint="eastAsia" w:ascii="宋体" w:hAnsi="宋体"/>
                <w:color w:val="auto"/>
                <w:kern w:val="0"/>
                <w:szCs w:val="21"/>
                <w:highlight w:val="none"/>
              </w:rPr>
              <w:t>；</w:t>
            </w:r>
          </w:p>
          <w:p w14:paraId="14372220">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（4）中标人因自身原因未按中标通知书规定的时限与招标人签订合同的，招标人有权扣除其低价风险担保并取消中标资格。</w:t>
            </w:r>
          </w:p>
          <w:p w14:paraId="24AD4394">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（5）低价风险担保的期限：</w:t>
            </w:r>
            <w:r>
              <w:rPr>
                <w:rFonts w:hint="eastAsia" w:ascii="宋体" w:hAnsi="宋体"/>
                <w:color w:val="auto"/>
                <w:kern w:val="0"/>
                <w:szCs w:val="21"/>
                <w:highlight w:val="none"/>
                <w:u w:val="single"/>
              </w:rPr>
              <w:t>自低价风险担保生效之日起至竣工验收合格之日止</w:t>
            </w:r>
            <w:r>
              <w:rPr>
                <w:rFonts w:hint="eastAsia" w:ascii="宋体" w:hAnsi="宋体"/>
                <w:color w:val="auto"/>
                <w:kern w:val="0"/>
                <w:szCs w:val="21"/>
                <w:highlight w:val="none"/>
              </w:rPr>
              <w:t>。</w:t>
            </w:r>
          </w:p>
          <w:p w14:paraId="705C1C37">
            <w:pPr>
              <w:widowControl/>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3、低价风险担保的退还时间：见专用合同条款。</w:t>
            </w:r>
          </w:p>
          <w:p w14:paraId="524AB3E0">
            <w:pPr>
              <w:widowControl/>
              <w:spacing w:line="400" w:lineRule="exact"/>
              <w:ind w:firstLine="420" w:firstLineChars="200"/>
              <w:rPr>
                <w:rFonts w:hint="eastAsia" w:ascii="宋体" w:hAnsi="宋体"/>
                <w:color w:val="auto"/>
                <w:kern w:val="0"/>
                <w:szCs w:val="21"/>
                <w:highlight w:val="none"/>
              </w:rPr>
            </w:pPr>
            <w:r>
              <w:rPr>
                <w:rFonts w:hint="eastAsia"/>
                <w:color w:val="auto"/>
                <w:highlight w:val="none"/>
              </w:rPr>
              <w:t>4、采用经评审最低投标价法的项目，拟中标人或者中标人放弃中标项目，无正当理由不与招标人签订合同，在签订合同时向招标人提出附加条件或者更改合同实质性内容，或者拒不按照招标文件规定提交低价风险担保或履约担保的，取消其中标资格，投标保证金不予退还，给招标人造成的损失超过投标保证金数额的，拟中标人或中标人应对超过部分予以赔偿。</w:t>
            </w:r>
          </w:p>
        </w:tc>
      </w:tr>
      <w:tr w14:paraId="6F12DE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06983771">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10.7</w:t>
            </w:r>
          </w:p>
        </w:tc>
        <w:tc>
          <w:tcPr>
            <w:tcW w:w="1644" w:type="dxa"/>
            <w:noWrap w:val="0"/>
            <w:vAlign w:val="center"/>
          </w:tcPr>
          <w:p w14:paraId="6233023A">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关于对招标文件及投标争议的解释</w:t>
            </w:r>
          </w:p>
        </w:tc>
        <w:tc>
          <w:tcPr>
            <w:tcW w:w="6490" w:type="dxa"/>
            <w:noWrap w:val="0"/>
            <w:vAlign w:val="center"/>
          </w:tcPr>
          <w:p w14:paraId="3639C43F">
            <w:pPr>
              <w:autoSpaceDE w:val="0"/>
              <w:autoSpaceDN w:val="0"/>
              <w:adjustRightInd w:val="0"/>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对资格预审文件或者招标文件的评标标准和方法，以及资格审查和否决投标条款理解有争议的，应当作出不利于招标人的解释，但违背国家利益、社会公共利益的除外。</w:t>
            </w:r>
          </w:p>
          <w:p w14:paraId="55659405">
            <w:pPr>
              <w:autoSpaceDE w:val="0"/>
              <w:autoSpaceDN w:val="0"/>
              <w:adjustRightInd w:val="0"/>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对投标文件理解有争议的，应当作出不利于提交该投标文件的投标人的解释。</w:t>
            </w:r>
          </w:p>
        </w:tc>
      </w:tr>
      <w:tr w14:paraId="72835C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03950BB3">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10.8</w:t>
            </w:r>
          </w:p>
        </w:tc>
        <w:tc>
          <w:tcPr>
            <w:tcW w:w="1644" w:type="dxa"/>
            <w:noWrap w:val="0"/>
            <w:vAlign w:val="center"/>
          </w:tcPr>
          <w:p w14:paraId="3E3C145F">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投标人注意事项</w:t>
            </w:r>
          </w:p>
        </w:tc>
        <w:tc>
          <w:tcPr>
            <w:tcW w:w="6490" w:type="dxa"/>
            <w:noWrap w:val="0"/>
            <w:vAlign w:val="center"/>
          </w:tcPr>
          <w:p w14:paraId="52B40AA1">
            <w:pPr>
              <w:autoSpaceDE w:val="0"/>
              <w:autoSpaceDN w:val="0"/>
              <w:adjustRightInd w:val="0"/>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1. 本次投标采用全流程电子开评标模式，第一次参与投标的单位务必在</w:t>
            </w:r>
            <w:r>
              <w:rPr>
                <w:rFonts w:hint="eastAsia" w:ascii="宋体" w:hAnsi="宋体"/>
                <w:color w:val="auto"/>
                <w:kern w:val="0"/>
                <w:szCs w:val="21"/>
                <w:highlight w:val="none"/>
                <w:u w:val="single"/>
              </w:rPr>
              <w:t>重庆市公共资源交易网（www.cqggzy.com）</w:t>
            </w:r>
            <w:r>
              <w:rPr>
                <w:rFonts w:hint="eastAsia" w:ascii="宋体" w:hAnsi="宋体"/>
                <w:color w:val="auto"/>
                <w:kern w:val="0"/>
                <w:szCs w:val="21"/>
                <w:highlight w:val="none"/>
              </w:rPr>
              <w:t>完成市场主体信息登记以及 CA 数字证书办理，并且下载新点投标文件制作软件（重庆版）制作投标文件。</w:t>
            </w:r>
          </w:p>
          <w:p w14:paraId="1316CEE2">
            <w:pPr>
              <w:autoSpaceDE w:val="0"/>
              <w:autoSpaceDN w:val="0"/>
              <w:adjustRightInd w:val="0"/>
              <w:snapToGrid w:val="0"/>
              <w:spacing w:line="400" w:lineRule="exact"/>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2. 制作投标文件需要使用CA 数字证书加密，并且加盖电子印章，CA 数字证书购买及办理方式请参见</w:t>
            </w:r>
            <w:r>
              <w:rPr>
                <w:rFonts w:hint="eastAsia" w:ascii="宋体" w:hAnsi="宋体"/>
                <w:color w:val="auto"/>
                <w:kern w:val="0"/>
                <w:szCs w:val="21"/>
                <w:highlight w:val="none"/>
                <w:u w:val="single"/>
              </w:rPr>
              <w:t>重庆市公共资源交易网（www.cqggzy.com）</w:t>
            </w:r>
            <w:r>
              <w:rPr>
                <w:rFonts w:hint="eastAsia" w:ascii="宋体" w:hAnsi="宋体"/>
                <w:color w:val="auto"/>
                <w:kern w:val="0"/>
                <w:szCs w:val="21"/>
                <w:highlight w:val="none"/>
              </w:rPr>
              <w:t>导航栏“主体信息”页面中“市场主体信息登记”“CA数字证书办理”。</w:t>
            </w:r>
          </w:p>
          <w:p w14:paraId="76F632B6">
            <w:pPr>
              <w:autoSpaceDE w:val="0"/>
              <w:autoSpaceDN w:val="0"/>
              <w:adjustRightInd w:val="0"/>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3.投标人应当在投标截止时间前，通过互联网使用CA数字证书登录</w:t>
            </w:r>
            <w:r>
              <w:rPr>
                <w:rFonts w:hint="eastAsia" w:ascii="宋体" w:hAnsi="宋体"/>
                <w:color w:val="auto"/>
                <w:kern w:val="0"/>
                <w:szCs w:val="21"/>
                <w:highlight w:val="none"/>
                <w:u w:val="none"/>
              </w:rPr>
              <w:t>重庆市电子招投标系统</w:t>
            </w:r>
            <w:r>
              <w:rPr>
                <w:rFonts w:hint="eastAsia" w:ascii="宋体" w:hAnsi="宋体"/>
                <w:color w:val="auto"/>
                <w:kern w:val="0"/>
                <w:szCs w:val="21"/>
                <w:highlight w:val="none"/>
              </w:rPr>
              <w:t>，将加密的电子投标文件上传，未按规定加密将无法上传。投标人应充分考虑上传文件时的不可预见因素，逾期未完成上传投标文件的，视为撤回投标文件。</w:t>
            </w:r>
          </w:p>
        </w:tc>
      </w:tr>
      <w:tr w14:paraId="02FBE9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C435430">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10.9</w:t>
            </w:r>
          </w:p>
        </w:tc>
        <w:tc>
          <w:tcPr>
            <w:tcW w:w="1644" w:type="dxa"/>
            <w:noWrap w:val="0"/>
            <w:vAlign w:val="center"/>
          </w:tcPr>
          <w:p w14:paraId="57D7F5E4">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其他</w:t>
            </w:r>
          </w:p>
        </w:tc>
        <w:tc>
          <w:tcPr>
            <w:tcW w:w="6490" w:type="dxa"/>
            <w:noWrap w:val="0"/>
            <w:vAlign w:val="center"/>
          </w:tcPr>
          <w:p w14:paraId="7C73B180">
            <w:pPr>
              <w:autoSpaceDE w:val="0"/>
              <w:autoSpaceDN w:val="0"/>
              <w:adjustRightInd w:val="0"/>
              <w:snapToGrid w:val="0"/>
              <w:spacing w:line="400" w:lineRule="exact"/>
              <w:ind w:firstLine="420"/>
              <w:rPr>
                <w:rFonts w:hint="eastAsia" w:ascii="宋体" w:hAnsi="宋体"/>
                <w:i/>
                <w:color w:val="auto"/>
                <w:kern w:val="0"/>
                <w:szCs w:val="21"/>
                <w:highlight w:val="none"/>
              </w:rPr>
            </w:pPr>
            <w:r>
              <w:rPr>
                <w:rFonts w:hint="eastAsia" w:ascii="宋体" w:hAnsi="宋体"/>
                <w:i/>
                <w:color w:val="auto"/>
                <w:kern w:val="0"/>
                <w:szCs w:val="21"/>
                <w:highlight w:val="none"/>
              </w:rPr>
              <w:t>[提示：招标人认为需要增加的，且与本表前述条款不重复的，不涉及资格和否决投标的内容]</w:t>
            </w:r>
          </w:p>
        </w:tc>
      </w:tr>
    </w:tbl>
    <w:p w14:paraId="7F01895D">
      <w:pPr>
        <w:pStyle w:val="4"/>
        <w:spacing w:before="0" w:after="0" w:line="20" w:lineRule="exact"/>
        <w:rPr>
          <w:rFonts w:ascii="宋体" w:hAnsi="宋体"/>
          <w:b w:val="0"/>
          <w:snapToGrid w:val="0"/>
          <w:color w:val="auto"/>
          <w:highlight w:val="none"/>
        </w:rPr>
      </w:pPr>
      <w:bookmarkStart w:id="162" w:name="_Toc200513126"/>
      <w:bookmarkStart w:id="163" w:name="_Toc287607746"/>
      <w:bookmarkStart w:id="164" w:name="_Toc224103317"/>
      <w:bookmarkStart w:id="165" w:name="_Toc277082552"/>
      <w:bookmarkStart w:id="166" w:name="_Toc430530435"/>
      <w:bookmarkStart w:id="167" w:name="_Toc287620685"/>
    </w:p>
    <w:p w14:paraId="62838064">
      <w:pPr>
        <w:pStyle w:val="4"/>
        <w:spacing w:before="0" w:after="0" w:line="200" w:lineRule="exact"/>
        <w:rPr>
          <w:rFonts w:hint="eastAsia" w:ascii="宋体" w:hAnsi="宋体"/>
          <w:b w:val="0"/>
          <w:snapToGrid w:val="0"/>
          <w:color w:val="auto"/>
          <w:highlight w:val="none"/>
        </w:rPr>
      </w:pPr>
      <w:r>
        <w:rPr>
          <w:rFonts w:ascii="宋体" w:hAnsi="宋体"/>
          <w:b w:val="0"/>
          <w:snapToGrid w:val="0"/>
          <w:color w:val="auto"/>
          <w:highlight w:val="none"/>
        </w:rPr>
        <w:br w:type="page"/>
      </w:r>
    </w:p>
    <w:p w14:paraId="24705493">
      <w:pPr>
        <w:pStyle w:val="4"/>
        <w:spacing w:before="0" w:after="0" w:line="360" w:lineRule="auto"/>
        <w:rPr>
          <w:rFonts w:ascii="宋体" w:hAnsi="宋体"/>
          <w:b w:val="0"/>
          <w:snapToGrid w:val="0"/>
          <w:color w:val="auto"/>
          <w:highlight w:val="none"/>
        </w:rPr>
      </w:pPr>
      <w:bookmarkStart w:id="168" w:name="_Toc509218710"/>
      <w:bookmarkStart w:id="169" w:name="_Toc57820560"/>
      <w:r>
        <w:rPr>
          <w:rFonts w:ascii="宋体" w:hAnsi="宋体"/>
          <w:b w:val="0"/>
          <w:snapToGrid w:val="0"/>
          <w:color w:val="auto"/>
          <w:highlight w:val="none"/>
        </w:rPr>
        <w:t>1.  总则</w:t>
      </w:r>
      <w:bookmarkEnd w:id="162"/>
      <w:bookmarkEnd w:id="163"/>
      <w:bookmarkEnd w:id="164"/>
      <w:bookmarkEnd w:id="165"/>
      <w:bookmarkEnd w:id="166"/>
      <w:bookmarkEnd w:id="167"/>
      <w:bookmarkEnd w:id="168"/>
      <w:bookmarkEnd w:id="169"/>
    </w:p>
    <w:p w14:paraId="3147ED59">
      <w:pPr>
        <w:pStyle w:val="5"/>
        <w:snapToGrid w:val="0"/>
        <w:spacing w:before="0" w:after="0" w:line="360" w:lineRule="auto"/>
        <w:rPr>
          <w:rFonts w:ascii="宋体" w:hAnsi="宋体"/>
          <w:b w:val="0"/>
          <w:snapToGrid w:val="0"/>
          <w:color w:val="auto"/>
          <w:sz w:val="24"/>
          <w:szCs w:val="24"/>
          <w:highlight w:val="none"/>
        </w:rPr>
      </w:pPr>
      <w:bookmarkStart w:id="170" w:name="_Toc224103318"/>
      <w:bookmarkStart w:id="171" w:name="_Toc287607747"/>
      <w:bookmarkStart w:id="172" w:name="_Toc200513127"/>
      <w:bookmarkStart w:id="173" w:name="_Toc57820561"/>
      <w:bookmarkStart w:id="174" w:name="_Toc430530436"/>
      <w:bookmarkStart w:id="175" w:name="_Toc287620686"/>
      <w:bookmarkStart w:id="176" w:name="_Toc277082553"/>
      <w:bookmarkStart w:id="177" w:name="_Toc509218711"/>
      <w:r>
        <w:rPr>
          <w:rFonts w:ascii="宋体" w:hAnsi="宋体"/>
          <w:b w:val="0"/>
          <w:snapToGrid w:val="0"/>
          <w:color w:val="auto"/>
          <w:sz w:val="24"/>
          <w:szCs w:val="24"/>
          <w:highlight w:val="none"/>
        </w:rPr>
        <w:t>1.1  项目概况</w:t>
      </w:r>
      <w:bookmarkEnd w:id="170"/>
      <w:bookmarkEnd w:id="171"/>
      <w:bookmarkEnd w:id="172"/>
      <w:bookmarkEnd w:id="173"/>
      <w:bookmarkEnd w:id="174"/>
      <w:bookmarkEnd w:id="175"/>
      <w:bookmarkEnd w:id="176"/>
      <w:bookmarkEnd w:id="177"/>
    </w:p>
    <w:p w14:paraId="1DA8F292">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1.1.1  根据《中华人民共和国招标投标法》等有关法律、法规和规章的规定，本招标项目已具备招标条件，现对本</w:t>
      </w:r>
      <w:r>
        <w:rPr>
          <w:rFonts w:hint="eastAsia" w:ascii="宋体" w:hAnsi="宋体"/>
          <w:snapToGrid w:val="0"/>
          <w:color w:val="auto"/>
          <w:kern w:val="0"/>
          <w:szCs w:val="21"/>
          <w:highlight w:val="none"/>
        </w:rPr>
        <w:t>项目</w:t>
      </w:r>
      <w:r>
        <w:rPr>
          <w:rFonts w:ascii="宋体" w:hAnsi="宋体"/>
          <w:snapToGrid w:val="0"/>
          <w:color w:val="auto"/>
          <w:kern w:val="0"/>
          <w:szCs w:val="21"/>
          <w:highlight w:val="none"/>
        </w:rPr>
        <w:t>施工进行招标。</w:t>
      </w:r>
    </w:p>
    <w:p w14:paraId="3077163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1.1.2  本招标项目招标人：见投标人须知前附表。</w:t>
      </w:r>
    </w:p>
    <w:p w14:paraId="050A5E9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1.1.3  本招标项目招标代理机构：见投标人须知前附表。</w:t>
      </w:r>
    </w:p>
    <w:p w14:paraId="5177C712">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1.1.</w:t>
      </w:r>
      <w:r>
        <w:rPr>
          <w:rFonts w:hint="eastAsia" w:ascii="宋体" w:hAnsi="宋体"/>
          <w:snapToGrid w:val="0"/>
          <w:color w:val="auto"/>
          <w:kern w:val="0"/>
          <w:szCs w:val="21"/>
          <w:highlight w:val="none"/>
        </w:rPr>
        <w:t>4</w:t>
      </w:r>
      <w:r>
        <w:rPr>
          <w:rFonts w:ascii="宋体" w:hAnsi="宋体"/>
          <w:snapToGrid w:val="0"/>
          <w:color w:val="auto"/>
          <w:kern w:val="0"/>
          <w:szCs w:val="21"/>
          <w:highlight w:val="none"/>
        </w:rPr>
        <w:t xml:space="preserve">  本招标项目名称：见投标人须知前附表。</w:t>
      </w:r>
    </w:p>
    <w:p w14:paraId="1EFBEC2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1.1.5  本招标项目建设地点：见投标人须知前附表。</w:t>
      </w:r>
    </w:p>
    <w:p w14:paraId="4388B286">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1.1.6  本招标项目建设规模：见投标人须知前附表。</w:t>
      </w:r>
    </w:p>
    <w:p w14:paraId="74B34957">
      <w:pPr>
        <w:pStyle w:val="5"/>
        <w:snapToGrid w:val="0"/>
        <w:spacing w:before="0" w:after="0" w:line="360" w:lineRule="auto"/>
        <w:rPr>
          <w:rFonts w:ascii="宋体" w:hAnsi="宋体"/>
          <w:b w:val="0"/>
          <w:snapToGrid w:val="0"/>
          <w:color w:val="auto"/>
          <w:sz w:val="24"/>
          <w:szCs w:val="24"/>
          <w:highlight w:val="none"/>
        </w:rPr>
      </w:pPr>
      <w:bookmarkStart w:id="178" w:name="_Toc57820562"/>
      <w:bookmarkStart w:id="179" w:name="_Toc287607748"/>
      <w:bookmarkStart w:id="180" w:name="_Toc430530437"/>
      <w:bookmarkStart w:id="181" w:name="_Toc509218712"/>
      <w:bookmarkStart w:id="182" w:name="_Toc200513128"/>
      <w:bookmarkStart w:id="183" w:name="_Toc277082554"/>
      <w:bookmarkStart w:id="184" w:name="_Toc287620687"/>
      <w:bookmarkStart w:id="185" w:name="_Toc224103319"/>
      <w:r>
        <w:rPr>
          <w:rFonts w:ascii="宋体" w:hAnsi="宋体"/>
          <w:b w:val="0"/>
          <w:snapToGrid w:val="0"/>
          <w:color w:val="auto"/>
          <w:sz w:val="24"/>
          <w:szCs w:val="24"/>
          <w:highlight w:val="none"/>
        </w:rPr>
        <w:t>1.2  资金来源和落实情况</w:t>
      </w:r>
      <w:bookmarkEnd w:id="178"/>
      <w:bookmarkEnd w:id="179"/>
      <w:bookmarkEnd w:id="180"/>
      <w:bookmarkEnd w:id="181"/>
      <w:bookmarkEnd w:id="182"/>
      <w:bookmarkEnd w:id="183"/>
      <w:bookmarkEnd w:id="184"/>
      <w:bookmarkEnd w:id="185"/>
    </w:p>
    <w:p w14:paraId="5B7C00AF">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1.2.1  本招标项目的资金来源：见投标人须知前附表。</w:t>
      </w:r>
    </w:p>
    <w:p w14:paraId="1340061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1.2.2  本招标项目的出资比例：见投标人须知前附表。</w:t>
      </w:r>
    </w:p>
    <w:p w14:paraId="1869AFE2">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1.2.3  本招标项目的资金落实情况：见投标人须知前附表。</w:t>
      </w:r>
    </w:p>
    <w:p w14:paraId="405BEE56">
      <w:pPr>
        <w:pStyle w:val="5"/>
        <w:snapToGrid w:val="0"/>
        <w:spacing w:before="0" w:after="0" w:line="360" w:lineRule="auto"/>
        <w:rPr>
          <w:rFonts w:ascii="宋体" w:hAnsi="宋体"/>
          <w:b w:val="0"/>
          <w:snapToGrid w:val="0"/>
          <w:color w:val="auto"/>
          <w:sz w:val="24"/>
          <w:szCs w:val="24"/>
          <w:highlight w:val="none"/>
        </w:rPr>
      </w:pPr>
      <w:bookmarkStart w:id="186" w:name="_Toc224103320"/>
      <w:bookmarkStart w:id="187" w:name="_Toc287607749"/>
      <w:bookmarkStart w:id="188" w:name="_Toc287620688"/>
      <w:bookmarkStart w:id="189" w:name="_Toc200513129"/>
      <w:bookmarkStart w:id="190" w:name="_Toc430530438"/>
      <w:bookmarkStart w:id="191" w:name="_Toc509218713"/>
      <w:bookmarkStart w:id="192" w:name="_Toc57820563"/>
      <w:bookmarkStart w:id="193" w:name="_Toc277082555"/>
      <w:r>
        <w:rPr>
          <w:rFonts w:ascii="宋体" w:hAnsi="宋体"/>
          <w:b w:val="0"/>
          <w:snapToGrid w:val="0"/>
          <w:color w:val="auto"/>
          <w:sz w:val="24"/>
          <w:szCs w:val="24"/>
          <w:highlight w:val="none"/>
        </w:rPr>
        <w:t>1.3  招标范围、计划工期和质量要求</w:t>
      </w:r>
      <w:bookmarkEnd w:id="186"/>
      <w:bookmarkEnd w:id="187"/>
      <w:bookmarkEnd w:id="188"/>
      <w:bookmarkEnd w:id="189"/>
      <w:bookmarkEnd w:id="190"/>
      <w:bookmarkEnd w:id="191"/>
      <w:bookmarkEnd w:id="192"/>
      <w:bookmarkEnd w:id="193"/>
    </w:p>
    <w:p w14:paraId="190C3CD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1.3.1  招标范围：见投标人须知前附表。</w:t>
      </w:r>
    </w:p>
    <w:p w14:paraId="30E2153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1.3.2  计划工期：见投标人须知前附表。</w:t>
      </w:r>
    </w:p>
    <w:p w14:paraId="3C9D8619">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1.3.3  质量要求：见投标人须知前附表。</w:t>
      </w:r>
    </w:p>
    <w:p w14:paraId="09028B5F">
      <w:pPr>
        <w:pStyle w:val="5"/>
        <w:snapToGrid w:val="0"/>
        <w:spacing w:before="0" w:after="0" w:line="360" w:lineRule="auto"/>
        <w:rPr>
          <w:rFonts w:ascii="宋体" w:hAnsi="宋体"/>
          <w:b w:val="0"/>
          <w:snapToGrid w:val="0"/>
          <w:color w:val="auto"/>
          <w:sz w:val="24"/>
          <w:szCs w:val="24"/>
          <w:highlight w:val="none"/>
        </w:rPr>
      </w:pPr>
      <w:bookmarkStart w:id="194" w:name="_Toc287620689"/>
      <w:bookmarkStart w:id="195" w:name="_Toc430530439"/>
      <w:bookmarkStart w:id="196" w:name="_Toc224103321"/>
      <w:bookmarkStart w:id="197" w:name="_Toc277082556"/>
      <w:bookmarkStart w:id="198" w:name="_Toc200513130"/>
      <w:bookmarkStart w:id="199" w:name="_Toc287607750"/>
      <w:bookmarkStart w:id="200" w:name="_Toc509218714"/>
      <w:bookmarkStart w:id="201" w:name="_Toc57820564"/>
      <w:r>
        <w:rPr>
          <w:rFonts w:ascii="宋体" w:hAnsi="宋体"/>
          <w:b w:val="0"/>
          <w:snapToGrid w:val="0"/>
          <w:color w:val="auto"/>
          <w:sz w:val="24"/>
          <w:szCs w:val="24"/>
          <w:highlight w:val="none"/>
        </w:rPr>
        <w:t>1.4</w:t>
      </w:r>
      <w:r>
        <w:rPr>
          <w:rFonts w:hint="eastAsia" w:ascii="宋体" w:hAnsi="宋体"/>
          <w:b w:val="0"/>
          <w:snapToGrid w:val="0"/>
          <w:color w:val="auto"/>
          <w:sz w:val="24"/>
          <w:szCs w:val="24"/>
          <w:highlight w:val="none"/>
        </w:rPr>
        <w:t>A</w:t>
      </w:r>
      <w:r>
        <w:rPr>
          <w:rFonts w:ascii="宋体" w:hAnsi="宋体"/>
          <w:b w:val="0"/>
          <w:snapToGrid w:val="0"/>
          <w:color w:val="auto"/>
          <w:sz w:val="24"/>
          <w:szCs w:val="24"/>
          <w:highlight w:val="none"/>
        </w:rPr>
        <w:t xml:space="preserve">  投标人资格要求（</w:t>
      </w:r>
      <w:r>
        <w:rPr>
          <w:rFonts w:hint="eastAsia" w:ascii="宋体" w:hAnsi="宋体"/>
          <w:b w:val="0"/>
          <w:snapToGrid w:val="0"/>
          <w:color w:val="auto"/>
          <w:sz w:val="24"/>
          <w:szCs w:val="24"/>
          <w:highlight w:val="none"/>
        </w:rPr>
        <w:t>适用于已进行资格预审的</w:t>
      </w:r>
      <w:r>
        <w:rPr>
          <w:rFonts w:ascii="宋体" w:hAnsi="宋体"/>
          <w:b w:val="0"/>
          <w:snapToGrid w:val="0"/>
          <w:color w:val="auto"/>
          <w:sz w:val="24"/>
          <w:szCs w:val="24"/>
          <w:highlight w:val="none"/>
        </w:rPr>
        <w:t>）</w:t>
      </w:r>
      <w:bookmarkEnd w:id="194"/>
      <w:bookmarkEnd w:id="195"/>
      <w:bookmarkEnd w:id="196"/>
      <w:bookmarkEnd w:id="197"/>
      <w:bookmarkEnd w:id="198"/>
      <w:bookmarkEnd w:id="199"/>
      <w:bookmarkEnd w:id="200"/>
      <w:bookmarkEnd w:id="201"/>
    </w:p>
    <w:p w14:paraId="179E99D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投标人应是收到招标人发出投标邀请书的单位。</w:t>
      </w:r>
    </w:p>
    <w:p w14:paraId="48A18335">
      <w:pPr>
        <w:pStyle w:val="5"/>
        <w:snapToGrid w:val="0"/>
        <w:spacing w:before="0" w:after="0" w:line="360" w:lineRule="auto"/>
        <w:rPr>
          <w:rFonts w:ascii="宋体" w:hAnsi="宋体"/>
          <w:b w:val="0"/>
          <w:snapToGrid w:val="0"/>
          <w:color w:val="auto"/>
          <w:sz w:val="24"/>
          <w:szCs w:val="24"/>
          <w:highlight w:val="none"/>
        </w:rPr>
      </w:pPr>
      <w:bookmarkStart w:id="202" w:name="_Toc287607751"/>
      <w:bookmarkStart w:id="203" w:name="_Toc224103322"/>
      <w:bookmarkStart w:id="204" w:name="_Toc200513131"/>
      <w:bookmarkStart w:id="205" w:name="_Toc277082557"/>
      <w:bookmarkStart w:id="206" w:name="_Toc430530440"/>
      <w:bookmarkStart w:id="207" w:name="_Toc287620690"/>
      <w:bookmarkStart w:id="208" w:name="_Toc509218715"/>
      <w:bookmarkStart w:id="209" w:name="_Toc57820565"/>
      <w:r>
        <w:rPr>
          <w:rFonts w:ascii="宋体" w:hAnsi="宋体"/>
          <w:b w:val="0"/>
          <w:snapToGrid w:val="0"/>
          <w:color w:val="auto"/>
          <w:sz w:val="24"/>
          <w:szCs w:val="24"/>
          <w:highlight w:val="none"/>
        </w:rPr>
        <w:t>1.4</w:t>
      </w:r>
      <w:r>
        <w:rPr>
          <w:rFonts w:hint="eastAsia" w:ascii="宋体" w:hAnsi="宋体"/>
          <w:b w:val="0"/>
          <w:snapToGrid w:val="0"/>
          <w:color w:val="auto"/>
          <w:sz w:val="24"/>
          <w:szCs w:val="24"/>
          <w:highlight w:val="none"/>
        </w:rPr>
        <w:t>B</w:t>
      </w:r>
      <w:r>
        <w:rPr>
          <w:rFonts w:ascii="宋体" w:hAnsi="宋体"/>
          <w:b w:val="0"/>
          <w:snapToGrid w:val="0"/>
          <w:color w:val="auto"/>
          <w:sz w:val="24"/>
          <w:szCs w:val="24"/>
          <w:highlight w:val="none"/>
        </w:rPr>
        <w:t xml:space="preserve">  投标人资格要求（</w:t>
      </w:r>
      <w:r>
        <w:rPr>
          <w:rFonts w:hint="eastAsia" w:ascii="宋体" w:hAnsi="宋体"/>
          <w:b w:val="0"/>
          <w:snapToGrid w:val="0"/>
          <w:color w:val="auto"/>
          <w:sz w:val="24"/>
          <w:szCs w:val="24"/>
          <w:highlight w:val="none"/>
        </w:rPr>
        <w:t>适用于未进行资格预审的</w:t>
      </w:r>
      <w:r>
        <w:rPr>
          <w:rFonts w:ascii="宋体" w:hAnsi="宋体"/>
          <w:b w:val="0"/>
          <w:snapToGrid w:val="0"/>
          <w:color w:val="auto"/>
          <w:sz w:val="24"/>
          <w:szCs w:val="24"/>
          <w:highlight w:val="none"/>
        </w:rPr>
        <w:t>）</w:t>
      </w:r>
      <w:bookmarkEnd w:id="202"/>
      <w:bookmarkEnd w:id="203"/>
      <w:bookmarkEnd w:id="204"/>
      <w:bookmarkEnd w:id="205"/>
      <w:bookmarkEnd w:id="206"/>
      <w:bookmarkEnd w:id="207"/>
      <w:bookmarkEnd w:id="208"/>
      <w:bookmarkEnd w:id="209"/>
    </w:p>
    <w:p w14:paraId="5349E8B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1.4.1 投标人应具备承担本标段施工的资质条件、能力和信誉。</w:t>
      </w:r>
    </w:p>
    <w:p w14:paraId="15F3B2E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w:t>
      </w:r>
      <w:r>
        <w:rPr>
          <w:rFonts w:ascii="宋体" w:hAnsi="宋体"/>
          <w:color w:val="auto"/>
          <w:szCs w:val="21"/>
          <w:highlight w:val="none"/>
        </w:rPr>
        <w:t>资质条件、营业执照及安全生产条件</w:t>
      </w:r>
      <w:r>
        <w:rPr>
          <w:rFonts w:ascii="宋体" w:hAnsi="宋体"/>
          <w:snapToGrid w:val="0"/>
          <w:color w:val="auto"/>
          <w:kern w:val="0"/>
          <w:szCs w:val="21"/>
          <w:highlight w:val="none"/>
        </w:rPr>
        <w:t>：见投标人须知前附表；</w:t>
      </w:r>
    </w:p>
    <w:p w14:paraId="47E8CE0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（2）财务要求：见投标人须知前附表；</w:t>
      </w:r>
    </w:p>
    <w:p w14:paraId="5CC1443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（3）业绩要求：见投标人须知前附表；</w:t>
      </w:r>
    </w:p>
    <w:p w14:paraId="7236837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w:t>
      </w:r>
      <w:r>
        <w:rPr>
          <w:rFonts w:hint="eastAsia" w:ascii="宋体" w:hAnsi="宋体"/>
          <w:snapToGrid w:val="0"/>
          <w:color w:val="auto"/>
          <w:kern w:val="0"/>
          <w:szCs w:val="21"/>
          <w:highlight w:val="none"/>
        </w:rPr>
        <w:t>投标截止日投标资格情况</w:t>
      </w:r>
      <w:r>
        <w:rPr>
          <w:rFonts w:ascii="宋体" w:hAnsi="宋体"/>
          <w:snapToGrid w:val="0"/>
          <w:color w:val="auto"/>
          <w:kern w:val="0"/>
          <w:szCs w:val="21"/>
          <w:highlight w:val="none"/>
        </w:rPr>
        <w:t>：见投标人须知前附表；</w:t>
      </w:r>
    </w:p>
    <w:p w14:paraId="0C69881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（5）项目经理资格</w:t>
      </w:r>
      <w:r>
        <w:rPr>
          <w:rFonts w:hint="eastAsia" w:ascii="宋体" w:hAnsi="宋体"/>
          <w:snapToGrid w:val="0"/>
          <w:color w:val="auto"/>
          <w:kern w:val="0"/>
          <w:szCs w:val="21"/>
          <w:highlight w:val="none"/>
        </w:rPr>
        <w:t>要求</w:t>
      </w:r>
      <w:r>
        <w:rPr>
          <w:rFonts w:ascii="宋体" w:hAnsi="宋体"/>
          <w:snapToGrid w:val="0"/>
          <w:color w:val="auto"/>
          <w:kern w:val="0"/>
          <w:szCs w:val="21"/>
          <w:highlight w:val="none"/>
        </w:rPr>
        <w:t>：见投标人须知前附表；</w:t>
      </w:r>
    </w:p>
    <w:p w14:paraId="5432B79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（6）其他要求：见投标人须知前附表。</w:t>
      </w:r>
    </w:p>
    <w:p w14:paraId="4CDA7656">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1.4.2  投标人须知前附表规定接受联合体投标的，除应符合本章第1.4.1项和投标人须知前附表的要求外，还应遵守以下规定：</w:t>
      </w:r>
    </w:p>
    <w:p w14:paraId="1ACB28B6">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（1）联合体各方应按招标文件提供的格式签订联合体协议书，明确联合体牵头人和各方权利义务；</w:t>
      </w:r>
    </w:p>
    <w:p w14:paraId="03890717">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（2）联合体各方均应当具备承担招标项目的相应能力；联合体协议约定同一专业分工由两个及以上单位共同承担的，</w:t>
      </w:r>
      <w:r>
        <w:rPr>
          <w:rFonts w:hint="eastAsia" w:ascii="宋体" w:hAnsi="宋体"/>
          <w:snapToGrid w:val="0"/>
          <w:color w:val="auto"/>
          <w:kern w:val="0"/>
          <w:szCs w:val="21"/>
          <w:highlight w:val="none"/>
        </w:rPr>
        <w:t>按照资质等级较低的单位确定资质等级</w:t>
      </w:r>
      <w:r>
        <w:rPr>
          <w:rFonts w:ascii="宋体" w:hAnsi="宋体"/>
          <w:snapToGrid w:val="0"/>
          <w:color w:val="auto"/>
          <w:kern w:val="0"/>
          <w:szCs w:val="21"/>
          <w:highlight w:val="none"/>
        </w:rPr>
        <w:t>；</w:t>
      </w:r>
    </w:p>
    <w:p w14:paraId="03710FA6">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（3）联合体各方不得再以自己名义单独或参加其他联合体在同一标段中投标。</w:t>
      </w:r>
    </w:p>
    <w:p w14:paraId="31A6492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1.4.3  投标人不得存在下列情形之一：</w:t>
      </w:r>
    </w:p>
    <w:p w14:paraId="42A58CD9">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position w:val="-2"/>
          <w:szCs w:val="21"/>
          <w:highlight w:val="none"/>
        </w:rPr>
        <w:t>（1）与招标人存在利害关系可能影响招标公正性的法人、其他组织或者个人；</w:t>
      </w:r>
    </w:p>
    <w:p w14:paraId="38802A5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（2）为本标段前期准备提供设计或咨询服务的，但设计施工总承包的除外；</w:t>
      </w:r>
    </w:p>
    <w:p w14:paraId="30E1BA9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（3）为本标段的监理人；</w:t>
      </w:r>
    </w:p>
    <w:p w14:paraId="22CAC192">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（4）为本标段的代建人；</w:t>
      </w:r>
    </w:p>
    <w:p w14:paraId="5FAF6656">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（5）为本标段提供招标代理服务的；</w:t>
      </w:r>
    </w:p>
    <w:p w14:paraId="7EF627C7">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（6）与本标段的监理人或代建人或招标代理机构同为一个法定代表人的；</w:t>
      </w:r>
    </w:p>
    <w:p w14:paraId="0C24349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（7）与本标段的监理人或代建人或招标代理机构相互控股或参股的；</w:t>
      </w:r>
    </w:p>
    <w:p w14:paraId="4AD157F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（8）与本标段的监理人或代建人或招标代理机构相互任职或工作的；</w:t>
      </w:r>
    </w:p>
    <w:p w14:paraId="67F5DFA8">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（9）被责令停业的；</w:t>
      </w:r>
    </w:p>
    <w:p w14:paraId="7270DECD">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（10）</w:t>
      </w:r>
      <w:r>
        <w:rPr>
          <w:rFonts w:hint="eastAsia" w:ascii="宋体" w:hAnsi="宋体"/>
          <w:snapToGrid w:val="0"/>
          <w:color w:val="auto"/>
          <w:kern w:val="0"/>
          <w:szCs w:val="21"/>
          <w:highlight w:val="none"/>
        </w:rPr>
        <w:t>被国家、重庆市（含市或任意区县）有关行政部门处以暂停投标资格行政处罚，且在处罚期限内的</w:t>
      </w:r>
      <w:r>
        <w:rPr>
          <w:rFonts w:ascii="宋体" w:hAnsi="宋体"/>
          <w:snapToGrid w:val="0"/>
          <w:color w:val="auto"/>
          <w:kern w:val="0"/>
          <w:szCs w:val="21"/>
          <w:highlight w:val="none"/>
        </w:rPr>
        <w:t>；</w:t>
      </w:r>
    </w:p>
    <w:p w14:paraId="4408877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（11）财产被接管或冻结的；</w:t>
      </w:r>
    </w:p>
    <w:p w14:paraId="5BF7251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（12）</w:t>
      </w:r>
      <w:r>
        <w:rPr>
          <w:rFonts w:ascii="宋体" w:hAnsi="宋体"/>
          <w:color w:val="auto"/>
          <w:szCs w:val="21"/>
          <w:highlight w:val="none"/>
        </w:rPr>
        <w:t>单位负责人为同一人或者存在控股、管理关系的不同单位，不得在同一标段中同时投标</w:t>
      </w:r>
      <w:r>
        <w:rPr>
          <w:rFonts w:ascii="宋体" w:hAnsi="宋体"/>
          <w:snapToGrid w:val="0"/>
          <w:color w:val="auto"/>
          <w:kern w:val="0"/>
          <w:szCs w:val="21"/>
          <w:highlight w:val="none"/>
        </w:rPr>
        <w:t>。</w:t>
      </w:r>
    </w:p>
    <w:p w14:paraId="1CB9D5D2">
      <w:pPr>
        <w:pStyle w:val="5"/>
        <w:snapToGrid w:val="0"/>
        <w:spacing w:before="0" w:after="0" w:line="360" w:lineRule="auto"/>
        <w:rPr>
          <w:rFonts w:ascii="宋体" w:hAnsi="宋体"/>
          <w:b w:val="0"/>
          <w:snapToGrid w:val="0"/>
          <w:color w:val="auto"/>
          <w:sz w:val="24"/>
          <w:szCs w:val="24"/>
          <w:highlight w:val="none"/>
        </w:rPr>
      </w:pPr>
      <w:bookmarkStart w:id="210" w:name="_Toc200513132"/>
      <w:bookmarkStart w:id="211" w:name="_Toc277082558"/>
      <w:bookmarkStart w:id="212" w:name="_Toc287607752"/>
      <w:bookmarkStart w:id="213" w:name="_Toc287620691"/>
      <w:bookmarkStart w:id="214" w:name="_Toc224103323"/>
      <w:bookmarkStart w:id="215" w:name="_Toc430530441"/>
      <w:bookmarkStart w:id="216" w:name="_Toc509218716"/>
      <w:bookmarkStart w:id="217" w:name="_Toc57820566"/>
      <w:r>
        <w:rPr>
          <w:rFonts w:ascii="宋体" w:hAnsi="宋体"/>
          <w:b w:val="0"/>
          <w:snapToGrid w:val="0"/>
          <w:color w:val="auto"/>
          <w:sz w:val="24"/>
          <w:szCs w:val="24"/>
          <w:highlight w:val="none"/>
        </w:rPr>
        <w:t>1.5  费用承担</w:t>
      </w:r>
      <w:bookmarkEnd w:id="210"/>
      <w:bookmarkEnd w:id="211"/>
      <w:bookmarkEnd w:id="212"/>
      <w:bookmarkEnd w:id="213"/>
      <w:bookmarkEnd w:id="214"/>
      <w:bookmarkEnd w:id="215"/>
      <w:bookmarkEnd w:id="216"/>
      <w:bookmarkEnd w:id="217"/>
    </w:p>
    <w:p w14:paraId="4A4C803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投标人准备和参加投标活动发生的费用自理。</w:t>
      </w:r>
    </w:p>
    <w:p w14:paraId="572B5FF3">
      <w:pPr>
        <w:pStyle w:val="5"/>
        <w:snapToGrid w:val="0"/>
        <w:spacing w:before="0" w:after="0" w:line="360" w:lineRule="auto"/>
        <w:rPr>
          <w:rFonts w:ascii="宋体" w:hAnsi="宋体"/>
          <w:b w:val="0"/>
          <w:snapToGrid w:val="0"/>
          <w:color w:val="auto"/>
          <w:sz w:val="24"/>
          <w:szCs w:val="24"/>
          <w:highlight w:val="none"/>
        </w:rPr>
      </w:pPr>
      <w:bookmarkStart w:id="218" w:name="_Toc200513133"/>
      <w:bookmarkStart w:id="219" w:name="_Toc224103324"/>
      <w:bookmarkStart w:id="220" w:name="_Toc277082559"/>
      <w:bookmarkStart w:id="221" w:name="_Toc287607753"/>
      <w:bookmarkStart w:id="222" w:name="_Toc287620692"/>
      <w:bookmarkStart w:id="223" w:name="_Toc430530442"/>
      <w:bookmarkStart w:id="224" w:name="_Toc509218717"/>
      <w:bookmarkStart w:id="225" w:name="_Toc57820567"/>
      <w:r>
        <w:rPr>
          <w:rFonts w:ascii="宋体" w:hAnsi="宋体"/>
          <w:b w:val="0"/>
          <w:snapToGrid w:val="0"/>
          <w:color w:val="auto"/>
          <w:sz w:val="24"/>
          <w:szCs w:val="24"/>
          <w:highlight w:val="none"/>
        </w:rPr>
        <w:t>1.6  保密</w:t>
      </w:r>
      <w:bookmarkEnd w:id="218"/>
      <w:bookmarkEnd w:id="219"/>
      <w:bookmarkEnd w:id="220"/>
      <w:bookmarkEnd w:id="221"/>
      <w:bookmarkEnd w:id="222"/>
      <w:bookmarkEnd w:id="223"/>
      <w:bookmarkEnd w:id="224"/>
      <w:bookmarkEnd w:id="225"/>
    </w:p>
    <w:p w14:paraId="47B281E7">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参与招标投标活动的各方应对招标文件和投标文件中的商业和技术等秘密保密，违者应对由此造成的后果承担法律责任。</w:t>
      </w:r>
    </w:p>
    <w:p w14:paraId="45DB7130">
      <w:pPr>
        <w:pStyle w:val="5"/>
        <w:snapToGrid w:val="0"/>
        <w:spacing w:before="0" w:after="0" w:line="360" w:lineRule="auto"/>
        <w:rPr>
          <w:rFonts w:ascii="宋体" w:hAnsi="宋体"/>
          <w:b w:val="0"/>
          <w:snapToGrid w:val="0"/>
          <w:color w:val="auto"/>
          <w:sz w:val="24"/>
          <w:szCs w:val="24"/>
          <w:highlight w:val="none"/>
        </w:rPr>
      </w:pPr>
      <w:bookmarkStart w:id="226" w:name="_Toc200513134"/>
      <w:bookmarkStart w:id="227" w:name="_Toc277082560"/>
      <w:bookmarkStart w:id="228" w:name="_Toc287620693"/>
      <w:bookmarkStart w:id="229" w:name="_Toc57820568"/>
      <w:bookmarkStart w:id="230" w:name="_Toc224103325"/>
      <w:bookmarkStart w:id="231" w:name="_Toc509218718"/>
      <w:bookmarkStart w:id="232" w:name="_Toc430530443"/>
      <w:bookmarkStart w:id="233" w:name="_Toc287607754"/>
      <w:r>
        <w:rPr>
          <w:rFonts w:ascii="宋体" w:hAnsi="宋体"/>
          <w:b w:val="0"/>
          <w:snapToGrid w:val="0"/>
          <w:color w:val="auto"/>
          <w:sz w:val="24"/>
          <w:szCs w:val="24"/>
          <w:highlight w:val="none"/>
        </w:rPr>
        <w:t>1.7  语言文字</w:t>
      </w:r>
      <w:bookmarkEnd w:id="226"/>
      <w:bookmarkEnd w:id="227"/>
      <w:bookmarkEnd w:id="228"/>
      <w:bookmarkEnd w:id="229"/>
      <w:bookmarkEnd w:id="230"/>
      <w:bookmarkEnd w:id="231"/>
      <w:bookmarkEnd w:id="232"/>
      <w:bookmarkEnd w:id="233"/>
    </w:p>
    <w:p w14:paraId="31A5230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除专用术语外，与招标投标有关的语言均使用中文。必要时专用术语应附有中文注释。</w:t>
      </w:r>
    </w:p>
    <w:p w14:paraId="576EE64F">
      <w:pPr>
        <w:pStyle w:val="5"/>
        <w:snapToGrid w:val="0"/>
        <w:spacing w:before="0" w:after="0" w:line="360" w:lineRule="auto"/>
        <w:rPr>
          <w:rFonts w:ascii="宋体" w:hAnsi="宋体"/>
          <w:b w:val="0"/>
          <w:snapToGrid w:val="0"/>
          <w:color w:val="auto"/>
          <w:sz w:val="24"/>
          <w:szCs w:val="24"/>
          <w:highlight w:val="none"/>
        </w:rPr>
      </w:pPr>
      <w:bookmarkStart w:id="234" w:name="_Toc200513135"/>
      <w:bookmarkStart w:id="235" w:name="_Toc287607755"/>
      <w:bookmarkStart w:id="236" w:name="_Toc224103326"/>
      <w:bookmarkStart w:id="237" w:name="_Toc430530444"/>
      <w:bookmarkStart w:id="238" w:name="_Toc509218719"/>
      <w:bookmarkStart w:id="239" w:name="_Toc277082561"/>
      <w:bookmarkStart w:id="240" w:name="_Toc57820569"/>
      <w:bookmarkStart w:id="241" w:name="_Toc287620694"/>
      <w:r>
        <w:rPr>
          <w:rFonts w:ascii="宋体" w:hAnsi="宋体"/>
          <w:b w:val="0"/>
          <w:snapToGrid w:val="0"/>
          <w:color w:val="auto"/>
          <w:sz w:val="24"/>
          <w:szCs w:val="24"/>
          <w:highlight w:val="none"/>
        </w:rPr>
        <w:t>1.8  计量单位</w:t>
      </w:r>
      <w:bookmarkEnd w:id="234"/>
      <w:bookmarkEnd w:id="235"/>
      <w:bookmarkEnd w:id="236"/>
      <w:bookmarkEnd w:id="237"/>
      <w:bookmarkEnd w:id="238"/>
      <w:bookmarkEnd w:id="239"/>
      <w:bookmarkEnd w:id="240"/>
      <w:bookmarkEnd w:id="241"/>
    </w:p>
    <w:p w14:paraId="62A9D1D9">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ascii="宋体" w:hAnsi="宋体"/>
          <w:snapToGrid w:val="0"/>
          <w:color w:val="auto"/>
          <w:kern w:val="0"/>
          <w:szCs w:val="21"/>
          <w:highlight w:val="none"/>
        </w:rPr>
        <w:t>所有计量均采用中华人民共和国法定计量单位。</w:t>
      </w:r>
    </w:p>
    <w:p w14:paraId="7DE6CE60">
      <w:pPr>
        <w:pStyle w:val="5"/>
        <w:snapToGrid w:val="0"/>
        <w:spacing w:before="0" w:after="0" w:line="360" w:lineRule="auto"/>
        <w:rPr>
          <w:rFonts w:ascii="宋体" w:hAnsi="宋体"/>
          <w:b w:val="0"/>
          <w:snapToGrid w:val="0"/>
          <w:color w:val="auto"/>
          <w:sz w:val="24"/>
          <w:szCs w:val="24"/>
          <w:highlight w:val="none"/>
        </w:rPr>
      </w:pPr>
      <w:bookmarkStart w:id="242" w:name="_Toc277082562"/>
      <w:bookmarkStart w:id="243" w:name="_Toc57820570"/>
      <w:bookmarkStart w:id="244" w:name="_Toc200513136"/>
      <w:bookmarkStart w:id="245" w:name="_Toc224103327"/>
      <w:bookmarkStart w:id="246" w:name="_Toc287607756"/>
      <w:bookmarkStart w:id="247" w:name="_Toc287620695"/>
      <w:bookmarkStart w:id="248" w:name="_Toc430530445"/>
      <w:bookmarkStart w:id="249" w:name="_Toc509218720"/>
      <w:r>
        <w:rPr>
          <w:rFonts w:ascii="宋体" w:hAnsi="宋体"/>
          <w:b w:val="0"/>
          <w:snapToGrid w:val="0"/>
          <w:color w:val="auto"/>
          <w:sz w:val="24"/>
          <w:szCs w:val="24"/>
          <w:highlight w:val="none"/>
        </w:rPr>
        <w:t>1.9  踏勘现场</w:t>
      </w:r>
      <w:bookmarkEnd w:id="242"/>
      <w:bookmarkEnd w:id="243"/>
      <w:bookmarkEnd w:id="244"/>
      <w:bookmarkEnd w:id="245"/>
      <w:bookmarkEnd w:id="246"/>
      <w:bookmarkEnd w:id="247"/>
      <w:bookmarkEnd w:id="248"/>
      <w:bookmarkEnd w:id="249"/>
    </w:p>
    <w:p w14:paraId="47BAE8C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1.9.1  投标人须知前附表规定组织踏勘现场的，招标人按投标人须知前附表规定的时间、 地点组织投标人踏勘项目现场。</w:t>
      </w:r>
    </w:p>
    <w:p w14:paraId="6AA6554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1.9.2  投标人踏勘现场发生的费用自理。</w:t>
      </w:r>
    </w:p>
    <w:p w14:paraId="23467F6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1.9.3  除招标人的原因外，投标人自行负责在踏勘现场中所发生的人员伤亡和财产损失。</w:t>
      </w:r>
    </w:p>
    <w:p w14:paraId="0FC9E298">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1.9.4  招标人在踏勘现场中介绍的工程场地和相关的周边环境情况，供投标人在编制投标文件时参考，招标人不对投标人据此做出的判断和决策负责。</w:t>
      </w:r>
    </w:p>
    <w:p w14:paraId="39D1EEBA">
      <w:pPr>
        <w:pStyle w:val="5"/>
        <w:snapToGrid w:val="0"/>
        <w:spacing w:before="0" w:after="0" w:line="360" w:lineRule="auto"/>
        <w:rPr>
          <w:rFonts w:ascii="宋体" w:hAnsi="宋体"/>
          <w:b w:val="0"/>
          <w:snapToGrid w:val="0"/>
          <w:color w:val="auto"/>
          <w:sz w:val="24"/>
          <w:szCs w:val="24"/>
          <w:highlight w:val="none"/>
        </w:rPr>
      </w:pPr>
      <w:bookmarkStart w:id="250" w:name="_Toc224103328"/>
      <w:bookmarkStart w:id="251" w:name="_Toc287607757"/>
      <w:bookmarkStart w:id="252" w:name="_Toc200513137"/>
      <w:bookmarkStart w:id="253" w:name="_Toc57820571"/>
      <w:bookmarkStart w:id="254" w:name="_Toc430530446"/>
      <w:bookmarkStart w:id="255" w:name="_Toc277082563"/>
      <w:bookmarkStart w:id="256" w:name="_Toc287620696"/>
      <w:bookmarkStart w:id="257" w:name="_Toc509218721"/>
      <w:r>
        <w:rPr>
          <w:rFonts w:ascii="宋体" w:hAnsi="宋体"/>
          <w:b w:val="0"/>
          <w:snapToGrid w:val="0"/>
          <w:color w:val="auto"/>
          <w:sz w:val="24"/>
          <w:szCs w:val="24"/>
          <w:highlight w:val="none"/>
        </w:rPr>
        <w:t>1.10  投标预备会</w:t>
      </w:r>
      <w:bookmarkEnd w:id="250"/>
      <w:bookmarkEnd w:id="251"/>
      <w:bookmarkEnd w:id="252"/>
      <w:bookmarkEnd w:id="253"/>
      <w:bookmarkEnd w:id="254"/>
      <w:bookmarkEnd w:id="255"/>
      <w:bookmarkEnd w:id="256"/>
      <w:bookmarkEnd w:id="257"/>
    </w:p>
    <w:p w14:paraId="596B1053">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1.10.1  投标人须知前附表规定召开投标预备会的，招标人按投标人须知前附表规定的时间和地点召开投标预备会，澄清投标人提出的问题。</w:t>
      </w:r>
    </w:p>
    <w:p w14:paraId="20D56A31">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1.10.2  投标人应在投标人须知前附表第</w:t>
      </w:r>
      <w:r>
        <w:rPr>
          <w:rFonts w:ascii="宋体" w:hAnsi="宋体"/>
          <w:color w:val="auto"/>
          <w:kern w:val="0"/>
          <w:szCs w:val="21"/>
          <w:highlight w:val="none"/>
        </w:rPr>
        <w:t>2.2.4项</w:t>
      </w:r>
      <w:r>
        <w:rPr>
          <w:rFonts w:ascii="宋体" w:hAnsi="宋体"/>
          <w:snapToGrid w:val="0"/>
          <w:color w:val="auto"/>
          <w:kern w:val="0"/>
          <w:szCs w:val="21"/>
          <w:highlight w:val="none"/>
        </w:rPr>
        <w:t>规定的时间前，以书面形式将提出的问题送达招标人，以便招标人澄清。</w:t>
      </w:r>
    </w:p>
    <w:p w14:paraId="0560C95F">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ascii="宋体" w:hAnsi="宋体"/>
          <w:snapToGrid w:val="0"/>
          <w:color w:val="auto"/>
          <w:kern w:val="0"/>
          <w:szCs w:val="21"/>
          <w:highlight w:val="none"/>
        </w:rPr>
        <w:t>1.10.3  招标人在投标人须知前附表规定的时间内，将对投标人所提</w:t>
      </w:r>
      <w:r>
        <w:rPr>
          <w:rFonts w:ascii="宋体" w:hAnsi="宋体"/>
          <w:snapToGrid w:val="0"/>
          <w:color w:val="auto"/>
          <w:kern w:val="0"/>
          <w:position w:val="-2"/>
          <w:szCs w:val="21"/>
          <w:highlight w:val="none"/>
        </w:rPr>
        <w:t>的</w:t>
      </w:r>
      <w:r>
        <w:rPr>
          <w:rFonts w:ascii="宋体" w:hAnsi="宋体"/>
          <w:snapToGrid w:val="0"/>
          <w:color w:val="auto"/>
          <w:kern w:val="0"/>
          <w:szCs w:val="21"/>
          <w:highlight w:val="none"/>
        </w:rPr>
        <w:t>问题</w:t>
      </w:r>
      <w:r>
        <w:rPr>
          <w:rFonts w:ascii="宋体" w:hAnsi="宋体"/>
          <w:snapToGrid w:val="0"/>
          <w:color w:val="auto"/>
          <w:kern w:val="0"/>
          <w:position w:val="-2"/>
          <w:szCs w:val="21"/>
          <w:highlight w:val="none"/>
        </w:rPr>
        <w:t>进行澄清。该澄清内容为招标文件的组成部分。</w:t>
      </w:r>
    </w:p>
    <w:p w14:paraId="5F61458E">
      <w:pPr>
        <w:pStyle w:val="5"/>
        <w:snapToGrid w:val="0"/>
        <w:spacing w:before="0" w:after="0" w:line="360" w:lineRule="auto"/>
        <w:rPr>
          <w:rFonts w:ascii="宋体" w:hAnsi="宋体"/>
          <w:b w:val="0"/>
          <w:snapToGrid w:val="0"/>
          <w:color w:val="auto"/>
          <w:sz w:val="24"/>
          <w:szCs w:val="24"/>
          <w:highlight w:val="none"/>
        </w:rPr>
      </w:pPr>
      <w:bookmarkStart w:id="258" w:name="_Toc224103329"/>
      <w:bookmarkStart w:id="259" w:name="_Toc57820572"/>
      <w:bookmarkStart w:id="260" w:name="_Toc430530447"/>
      <w:bookmarkStart w:id="261" w:name="_Toc509218722"/>
      <w:bookmarkStart w:id="262" w:name="_Toc287607758"/>
      <w:bookmarkStart w:id="263" w:name="_Toc277082564"/>
      <w:bookmarkStart w:id="264" w:name="_Toc200513138"/>
      <w:bookmarkStart w:id="265" w:name="_Toc287620697"/>
      <w:r>
        <w:rPr>
          <w:rFonts w:ascii="宋体" w:hAnsi="宋体"/>
          <w:b w:val="0"/>
          <w:snapToGrid w:val="0"/>
          <w:color w:val="auto"/>
          <w:sz w:val="24"/>
          <w:szCs w:val="24"/>
          <w:highlight w:val="none"/>
        </w:rPr>
        <w:t>1.11  分包</w:t>
      </w:r>
      <w:bookmarkEnd w:id="258"/>
      <w:bookmarkEnd w:id="259"/>
      <w:bookmarkEnd w:id="260"/>
      <w:bookmarkEnd w:id="261"/>
      <w:bookmarkEnd w:id="262"/>
      <w:bookmarkEnd w:id="263"/>
      <w:bookmarkEnd w:id="264"/>
      <w:bookmarkEnd w:id="265"/>
    </w:p>
    <w:p w14:paraId="787B94FA">
      <w:pPr>
        <w:autoSpaceDE w:val="0"/>
        <w:autoSpaceDN w:val="0"/>
        <w:adjustRightInd w:val="0"/>
        <w:snapToGrid w:val="0"/>
        <w:spacing w:line="360" w:lineRule="auto"/>
        <w:ind w:firstLine="426"/>
        <w:rPr>
          <w:rFonts w:ascii="宋体" w:hAnsi="宋体"/>
          <w:snapToGrid w:val="0"/>
          <w:color w:val="auto"/>
          <w:kern w:val="0"/>
          <w:szCs w:val="21"/>
          <w:highlight w:val="none"/>
        </w:rPr>
      </w:pPr>
      <w:r>
        <w:rPr>
          <w:rFonts w:ascii="宋体" w:hAnsi="宋体"/>
          <w:snapToGrid w:val="0"/>
          <w:color w:val="auto"/>
          <w:kern w:val="0"/>
          <w:szCs w:val="21"/>
          <w:highlight w:val="none"/>
        </w:rPr>
        <w:t>投标人拟在中标后将中标项目的部分非主体、非关键性工作进行分包的，应符合投标人须知前附表规定的分包内容、分包金额和接受分包的第三人资质要求等限制性条件。</w:t>
      </w:r>
    </w:p>
    <w:p w14:paraId="6B076294">
      <w:pPr>
        <w:pStyle w:val="5"/>
        <w:snapToGrid w:val="0"/>
        <w:spacing w:before="0" w:after="0" w:line="360" w:lineRule="auto"/>
        <w:rPr>
          <w:rFonts w:ascii="宋体" w:hAnsi="宋体"/>
          <w:b w:val="0"/>
          <w:snapToGrid w:val="0"/>
          <w:color w:val="auto"/>
          <w:sz w:val="24"/>
          <w:szCs w:val="24"/>
          <w:highlight w:val="none"/>
        </w:rPr>
      </w:pPr>
      <w:bookmarkStart w:id="266" w:name="_Toc430530448"/>
      <w:bookmarkStart w:id="267" w:name="_Toc509218723"/>
      <w:bookmarkStart w:id="268" w:name="_Toc287607759"/>
      <w:bookmarkStart w:id="269" w:name="_Toc277082565"/>
      <w:bookmarkStart w:id="270" w:name="_Toc224103330"/>
      <w:bookmarkStart w:id="271" w:name="_Toc287620698"/>
      <w:bookmarkStart w:id="272" w:name="_Toc200513139"/>
      <w:bookmarkStart w:id="273" w:name="_Toc57820573"/>
      <w:r>
        <w:rPr>
          <w:rFonts w:ascii="宋体" w:hAnsi="宋体"/>
          <w:b w:val="0"/>
          <w:snapToGrid w:val="0"/>
          <w:color w:val="auto"/>
          <w:sz w:val="24"/>
          <w:szCs w:val="24"/>
          <w:highlight w:val="none"/>
        </w:rPr>
        <w:t>1.12  偏离</w:t>
      </w:r>
      <w:bookmarkEnd w:id="266"/>
      <w:bookmarkEnd w:id="267"/>
      <w:bookmarkEnd w:id="268"/>
      <w:bookmarkEnd w:id="269"/>
      <w:bookmarkEnd w:id="270"/>
      <w:bookmarkEnd w:id="271"/>
      <w:bookmarkEnd w:id="272"/>
      <w:bookmarkEnd w:id="273"/>
    </w:p>
    <w:p w14:paraId="5F37D42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投标人须知前附表允许投标文件偏离招标文件某些要求的，偏离应当符合招标文件规定 的偏离范围和幅度。</w:t>
      </w:r>
    </w:p>
    <w:p w14:paraId="2927A399">
      <w:pPr>
        <w:pStyle w:val="4"/>
        <w:spacing w:before="0" w:after="0" w:line="360" w:lineRule="auto"/>
        <w:rPr>
          <w:rFonts w:ascii="宋体" w:hAnsi="宋体"/>
          <w:b w:val="0"/>
          <w:snapToGrid w:val="0"/>
          <w:color w:val="auto"/>
          <w:highlight w:val="none"/>
        </w:rPr>
      </w:pPr>
      <w:bookmarkStart w:id="274" w:name="_Toc200513140"/>
      <w:bookmarkStart w:id="275" w:name="_Toc224103331"/>
      <w:bookmarkStart w:id="276" w:name="_Toc277082566"/>
      <w:bookmarkStart w:id="277" w:name="_Toc57820574"/>
      <w:bookmarkStart w:id="278" w:name="_Toc430530449"/>
      <w:bookmarkStart w:id="279" w:name="_Toc287607760"/>
      <w:bookmarkStart w:id="280" w:name="_Toc287620699"/>
      <w:bookmarkStart w:id="281" w:name="_Toc509218724"/>
      <w:r>
        <w:rPr>
          <w:rFonts w:ascii="宋体" w:hAnsi="宋体"/>
          <w:b w:val="0"/>
          <w:snapToGrid w:val="0"/>
          <w:color w:val="auto"/>
          <w:highlight w:val="none"/>
        </w:rPr>
        <w:t>2.  招标文件</w:t>
      </w:r>
      <w:bookmarkEnd w:id="274"/>
      <w:bookmarkEnd w:id="275"/>
      <w:bookmarkEnd w:id="276"/>
      <w:bookmarkEnd w:id="277"/>
      <w:bookmarkEnd w:id="278"/>
      <w:bookmarkEnd w:id="279"/>
      <w:bookmarkEnd w:id="280"/>
      <w:bookmarkEnd w:id="281"/>
    </w:p>
    <w:p w14:paraId="29B7768A">
      <w:pPr>
        <w:pStyle w:val="5"/>
        <w:snapToGrid w:val="0"/>
        <w:spacing w:before="0" w:after="0" w:line="360" w:lineRule="auto"/>
        <w:rPr>
          <w:rFonts w:ascii="宋体" w:hAnsi="宋体"/>
          <w:b w:val="0"/>
          <w:snapToGrid w:val="0"/>
          <w:color w:val="auto"/>
          <w:sz w:val="24"/>
          <w:szCs w:val="24"/>
          <w:highlight w:val="none"/>
        </w:rPr>
      </w:pPr>
      <w:bookmarkStart w:id="282" w:name="_Toc200513141"/>
      <w:bookmarkStart w:id="283" w:name="_Toc287607761"/>
      <w:bookmarkStart w:id="284" w:name="_Toc224103332"/>
      <w:bookmarkStart w:id="285" w:name="_Toc277082567"/>
      <w:bookmarkStart w:id="286" w:name="_Toc287620700"/>
      <w:bookmarkStart w:id="287" w:name="_Toc430530450"/>
      <w:bookmarkStart w:id="288" w:name="_Toc509218725"/>
      <w:bookmarkStart w:id="289" w:name="_Toc57820575"/>
      <w:r>
        <w:rPr>
          <w:rFonts w:ascii="宋体" w:hAnsi="宋体"/>
          <w:b w:val="0"/>
          <w:snapToGrid w:val="0"/>
          <w:color w:val="auto"/>
          <w:sz w:val="24"/>
          <w:szCs w:val="24"/>
          <w:highlight w:val="none"/>
        </w:rPr>
        <w:t>2.1  招标文件的组成</w:t>
      </w:r>
      <w:bookmarkEnd w:id="282"/>
      <w:bookmarkEnd w:id="283"/>
      <w:bookmarkEnd w:id="284"/>
      <w:bookmarkEnd w:id="285"/>
      <w:bookmarkEnd w:id="286"/>
      <w:bookmarkEnd w:id="287"/>
      <w:bookmarkEnd w:id="288"/>
      <w:bookmarkEnd w:id="289"/>
    </w:p>
    <w:p w14:paraId="1C6E1A0B">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本招标文件包括：</w:t>
      </w:r>
    </w:p>
    <w:p w14:paraId="12D9AE38">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（1）招标公告（或投标邀请书）；</w:t>
      </w:r>
    </w:p>
    <w:p w14:paraId="1B3ABAC6">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（2）投标人须知；</w:t>
      </w:r>
    </w:p>
    <w:p w14:paraId="2837976D">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（3）评标办法；</w:t>
      </w:r>
    </w:p>
    <w:p w14:paraId="36FD6F67">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（4）合同条款及格式；</w:t>
      </w:r>
    </w:p>
    <w:p w14:paraId="555A7962">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（5）工程量清单；</w:t>
      </w:r>
    </w:p>
    <w:p w14:paraId="1F14711B">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（6）图纸；</w:t>
      </w:r>
    </w:p>
    <w:p w14:paraId="340B10FC">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（7）技术标准和要求；</w:t>
      </w:r>
    </w:p>
    <w:p w14:paraId="6EAB4093">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（8）投标文件格式；</w:t>
      </w:r>
    </w:p>
    <w:p w14:paraId="66176E0C">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（9）投标人须知前附表规定的其他材料。</w:t>
      </w:r>
    </w:p>
    <w:p w14:paraId="35C5A8CD">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根据本章第1.10款、第2.2款和第2.3款对招标文件所作的澄清、修改，构成招标文件的组成部分。</w:t>
      </w:r>
    </w:p>
    <w:p w14:paraId="3B3225A0">
      <w:pPr>
        <w:pStyle w:val="5"/>
        <w:snapToGrid w:val="0"/>
        <w:spacing w:before="0" w:after="0" w:line="360" w:lineRule="auto"/>
        <w:rPr>
          <w:rFonts w:ascii="宋体" w:hAnsi="宋体"/>
          <w:b w:val="0"/>
          <w:snapToGrid w:val="0"/>
          <w:color w:val="auto"/>
          <w:sz w:val="24"/>
          <w:szCs w:val="24"/>
          <w:highlight w:val="none"/>
        </w:rPr>
      </w:pPr>
      <w:bookmarkStart w:id="290" w:name="_Toc509218726"/>
      <w:bookmarkStart w:id="291" w:name="_Toc430530451"/>
      <w:bookmarkStart w:id="292" w:name="_Toc57820576"/>
      <w:r>
        <w:rPr>
          <w:rFonts w:ascii="宋体" w:hAnsi="宋体"/>
          <w:b w:val="0"/>
          <w:snapToGrid w:val="0"/>
          <w:color w:val="auto"/>
          <w:sz w:val="24"/>
          <w:szCs w:val="24"/>
          <w:highlight w:val="none"/>
        </w:rPr>
        <w:t>2.2  招标文件的澄清</w:t>
      </w:r>
      <w:bookmarkEnd w:id="290"/>
      <w:bookmarkEnd w:id="291"/>
      <w:bookmarkEnd w:id="292"/>
    </w:p>
    <w:p w14:paraId="4B057241">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2.2.1  投标人应仔细阅读和检查招标文件的全部内容。如发现缺页或附件不全，应及时向招标人提出，以便补齐。如有疑问，应在投标人须知前附表规定的时间前</w:t>
      </w:r>
      <w:r>
        <w:rPr>
          <w:rFonts w:ascii="宋体" w:hAnsi="宋体"/>
          <w:color w:val="auto"/>
          <w:kern w:val="0"/>
          <w:szCs w:val="21"/>
          <w:highlight w:val="none"/>
        </w:rPr>
        <w:t>在</w:t>
      </w:r>
      <w:r>
        <w:rPr>
          <w:rFonts w:hint="eastAsia" w:ascii="宋体" w:hAnsi="宋体"/>
          <w:color w:val="auto"/>
          <w:kern w:val="0"/>
          <w:szCs w:val="21"/>
          <w:highlight w:val="none"/>
        </w:rPr>
        <w:t>相应法定网站提问</w:t>
      </w:r>
      <w:r>
        <w:rPr>
          <w:rFonts w:ascii="宋体" w:hAnsi="宋体"/>
          <w:snapToGrid w:val="0"/>
          <w:color w:val="auto"/>
          <w:kern w:val="0"/>
          <w:szCs w:val="21"/>
          <w:highlight w:val="none"/>
        </w:rPr>
        <w:t>，要求招标人对招标文件予以澄清。</w:t>
      </w:r>
    </w:p>
    <w:p w14:paraId="35959E2D">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2.2.2  招标文件的澄清将在投标人须知前附表规定的投标截止时间15天前</w:t>
      </w:r>
      <w:r>
        <w:rPr>
          <w:rFonts w:ascii="宋体" w:hAnsi="宋体"/>
          <w:color w:val="auto"/>
          <w:kern w:val="0"/>
          <w:szCs w:val="21"/>
          <w:highlight w:val="none"/>
        </w:rPr>
        <w:t>在</w:t>
      </w:r>
      <w:r>
        <w:rPr>
          <w:rFonts w:hint="eastAsia" w:ascii="宋体" w:hAnsi="宋体"/>
          <w:color w:val="auto"/>
          <w:kern w:val="0"/>
          <w:szCs w:val="21"/>
          <w:highlight w:val="none"/>
        </w:rPr>
        <w:t>相应法定网站</w:t>
      </w:r>
      <w:r>
        <w:rPr>
          <w:rFonts w:ascii="宋体" w:hAnsi="宋体"/>
          <w:color w:val="auto"/>
          <w:kern w:val="0"/>
          <w:szCs w:val="21"/>
          <w:highlight w:val="none"/>
        </w:rPr>
        <w:t>发布，</w:t>
      </w:r>
      <w:r>
        <w:rPr>
          <w:rFonts w:ascii="宋体" w:hAnsi="宋体"/>
          <w:snapToGrid w:val="0"/>
          <w:color w:val="auto"/>
          <w:kern w:val="0"/>
          <w:szCs w:val="21"/>
          <w:highlight w:val="none"/>
        </w:rPr>
        <w:t>但不指明澄清问题的来源。如果澄清发出的时间距投标截止时间不足15天，相应延长投标截止时间。</w:t>
      </w:r>
    </w:p>
    <w:p w14:paraId="74348C40">
      <w:pPr>
        <w:autoSpaceDE w:val="0"/>
        <w:autoSpaceDN w:val="0"/>
        <w:adjustRightInd w:val="0"/>
        <w:snapToGrid w:val="0"/>
        <w:spacing w:line="360" w:lineRule="auto"/>
        <w:ind w:firstLine="420"/>
        <w:rPr>
          <w:rFonts w:hint="eastAsia" w:ascii="宋体" w:hAnsi="宋体"/>
          <w:snapToGrid w:val="0"/>
          <w:color w:val="auto"/>
          <w:kern w:val="0"/>
          <w:szCs w:val="21"/>
          <w:highlight w:val="none"/>
        </w:rPr>
      </w:pPr>
      <w:r>
        <w:rPr>
          <w:rFonts w:ascii="宋体" w:hAnsi="宋体"/>
          <w:snapToGrid w:val="0"/>
          <w:color w:val="auto"/>
          <w:kern w:val="0"/>
          <w:szCs w:val="21"/>
          <w:highlight w:val="none"/>
        </w:rPr>
        <w:t xml:space="preserve">2.2.3  </w:t>
      </w:r>
      <w:r>
        <w:rPr>
          <w:rFonts w:ascii="宋体" w:hAnsi="宋体"/>
          <w:color w:val="auto"/>
          <w:kern w:val="0"/>
          <w:szCs w:val="21"/>
          <w:highlight w:val="none"/>
        </w:rPr>
        <w:t>招标人对招标文件的</w:t>
      </w:r>
      <w:r>
        <w:rPr>
          <w:rFonts w:hint="eastAsia" w:ascii="宋体" w:hAnsi="宋体"/>
          <w:snapToGrid w:val="0"/>
          <w:color w:val="auto"/>
          <w:kern w:val="0"/>
          <w:szCs w:val="21"/>
          <w:highlight w:val="none"/>
        </w:rPr>
        <w:t>修改</w:t>
      </w:r>
      <w:r>
        <w:rPr>
          <w:rFonts w:ascii="宋体" w:hAnsi="宋体"/>
          <w:snapToGrid w:val="0"/>
          <w:color w:val="auto"/>
          <w:kern w:val="0"/>
          <w:szCs w:val="21"/>
          <w:highlight w:val="none"/>
        </w:rPr>
        <w:t>内容可能影响投标文件编制的，须在投标截止时间15日前发布，发布时间至投标截止时间不足15日的，须相应延后投标截止时间。</w:t>
      </w:r>
    </w:p>
    <w:p w14:paraId="46C7F60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position w:val="-2"/>
          <w:szCs w:val="21"/>
          <w:highlight w:val="none"/>
        </w:rPr>
        <w:t>2.2.4  投标人对招标文件和</w:t>
      </w:r>
      <w:r>
        <w:rPr>
          <w:rFonts w:hint="eastAsia" w:ascii="宋体" w:hAnsi="宋体"/>
          <w:snapToGrid w:val="0"/>
          <w:color w:val="auto"/>
          <w:kern w:val="0"/>
          <w:position w:val="-2"/>
          <w:szCs w:val="21"/>
          <w:highlight w:val="none"/>
        </w:rPr>
        <w:t>澄清</w:t>
      </w:r>
      <w:r>
        <w:rPr>
          <w:rFonts w:ascii="宋体" w:hAnsi="宋体"/>
          <w:snapToGrid w:val="0"/>
          <w:color w:val="auto"/>
          <w:kern w:val="0"/>
          <w:position w:val="-2"/>
          <w:szCs w:val="21"/>
          <w:highlight w:val="none"/>
        </w:rPr>
        <w:t>修改仍有</w:t>
      </w:r>
      <w:r>
        <w:rPr>
          <w:rFonts w:hint="eastAsia" w:ascii="宋体" w:hAnsi="宋体"/>
          <w:snapToGrid w:val="0"/>
          <w:color w:val="auto"/>
          <w:kern w:val="0"/>
          <w:position w:val="-2"/>
          <w:szCs w:val="21"/>
          <w:highlight w:val="none"/>
        </w:rPr>
        <w:t>异议</w:t>
      </w:r>
      <w:r>
        <w:rPr>
          <w:rFonts w:ascii="宋体" w:hAnsi="宋体"/>
          <w:snapToGrid w:val="0"/>
          <w:color w:val="auto"/>
          <w:kern w:val="0"/>
          <w:position w:val="-2"/>
          <w:szCs w:val="21"/>
          <w:highlight w:val="none"/>
        </w:rPr>
        <w:t>的，可于投标截止时间10日前，</w:t>
      </w:r>
      <w:r>
        <w:rPr>
          <w:rFonts w:hint="eastAsia" w:ascii="宋体" w:hAnsi="宋体" w:cs="宋体"/>
          <w:snapToGrid w:val="0"/>
          <w:color w:val="auto"/>
          <w:position w:val="-2"/>
          <w:szCs w:val="21"/>
          <w:highlight w:val="none"/>
        </w:rPr>
        <w:t>通过</w:t>
      </w:r>
      <w:r>
        <w:rPr>
          <w:rFonts w:hint="eastAsia" w:ascii="宋体" w:hAnsi="宋体" w:cs="宋体"/>
          <w:snapToGrid w:val="0"/>
          <w:color w:val="auto"/>
          <w:position w:val="-2"/>
          <w:szCs w:val="21"/>
          <w:highlight w:val="none"/>
          <w:u w:val="none"/>
        </w:rPr>
        <w:t>重庆市电子招投标系统</w:t>
      </w:r>
      <w:r>
        <w:rPr>
          <w:rFonts w:hint="eastAsia" w:ascii="宋体" w:hAnsi="宋体" w:cs="宋体"/>
          <w:snapToGrid w:val="0"/>
          <w:color w:val="auto"/>
          <w:position w:val="-2"/>
          <w:szCs w:val="21"/>
          <w:highlight w:val="none"/>
        </w:rPr>
        <w:t>提出</w:t>
      </w:r>
      <w:r>
        <w:rPr>
          <w:rFonts w:ascii="宋体" w:hAnsi="宋体"/>
          <w:snapToGrid w:val="0"/>
          <w:color w:val="auto"/>
          <w:kern w:val="0"/>
          <w:szCs w:val="21"/>
          <w:highlight w:val="none"/>
        </w:rPr>
        <w:t>。招标人应将答复以</w:t>
      </w:r>
      <w:r>
        <w:rPr>
          <w:rFonts w:hint="eastAsia" w:ascii="宋体" w:hAnsi="宋体"/>
          <w:snapToGrid w:val="0"/>
          <w:color w:val="auto"/>
          <w:kern w:val="0"/>
          <w:szCs w:val="21"/>
          <w:highlight w:val="none"/>
        </w:rPr>
        <w:t>修改</w:t>
      </w:r>
      <w:r>
        <w:rPr>
          <w:rFonts w:ascii="宋体" w:hAnsi="宋体"/>
          <w:snapToGrid w:val="0"/>
          <w:color w:val="auto"/>
          <w:kern w:val="0"/>
          <w:szCs w:val="21"/>
          <w:highlight w:val="none"/>
        </w:rPr>
        <w:t>的形式在</w:t>
      </w:r>
      <w:r>
        <w:rPr>
          <w:rFonts w:hint="eastAsia" w:ascii="宋体" w:hAnsi="宋体"/>
          <w:color w:val="auto"/>
          <w:kern w:val="0"/>
          <w:szCs w:val="21"/>
          <w:highlight w:val="none"/>
        </w:rPr>
        <w:t>相应法定网站</w:t>
      </w:r>
      <w:r>
        <w:rPr>
          <w:rFonts w:ascii="宋体" w:hAnsi="宋体"/>
          <w:color w:val="auto"/>
          <w:kern w:val="0"/>
          <w:szCs w:val="21"/>
          <w:highlight w:val="none"/>
        </w:rPr>
        <w:t>发布</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修改</w:t>
      </w:r>
      <w:r>
        <w:rPr>
          <w:rFonts w:ascii="宋体" w:hAnsi="宋体"/>
          <w:snapToGrid w:val="0"/>
          <w:color w:val="auto"/>
          <w:kern w:val="0"/>
          <w:szCs w:val="21"/>
          <w:highlight w:val="none"/>
        </w:rPr>
        <w:t>内容可能影响投标文件编制的，须在投标截止时间15日前发布，发布时间至投标截止时间不足15日的，须相应延后投标截止时间。</w:t>
      </w:r>
    </w:p>
    <w:p w14:paraId="4019BF65">
      <w:pPr>
        <w:pStyle w:val="5"/>
        <w:snapToGrid w:val="0"/>
        <w:spacing w:before="0" w:after="0" w:line="360" w:lineRule="auto"/>
        <w:rPr>
          <w:rFonts w:ascii="宋体" w:hAnsi="宋体"/>
          <w:b w:val="0"/>
          <w:snapToGrid w:val="0"/>
          <w:color w:val="auto"/>
          <w:sz w:val="24"/>
          <w:szCs w:val="24"/>
          <w:highlight w:val="none"/>
        </w:rPr>
      </w:pPr>
      <w:bookmarkStart w:id="293" w:name="_Toc509218727"/>
      <w:bookmarkStart w:id="294" w:name="_Toc430530452"/>
      <w:bookmarkStart w:id="295" w:name="_Toc287607763"/>
      <w:bookmarkStart w:id="296" w:name="_Toc57820577"/>
      <w:bookmarkStart w:id="297" w:name="_Toc224103334"/>
      <w:bookmarkStart w:id="298" w:name="_Toc277082569"/>
      <w:bookmarkStart w:id="299" w:name="_Toc287620702"/>
      <w:bookmarkStart w:id="300" w:name="_Toc200513143"/>
      <w:r>
        <w:rPr>
          <w:rFonts w:ascii="宋体" w:hAnsi="宋体"/>
          <w:b w:val="0"/>
          <w:snapToGrid w:val="0"/>
          <w:color w:val="auto"/>
          <w:sz w:val="24"/>
          <w:szCs w:val="24"/>
          <w:highlight w:val="none"/>
        </w:rPr>
        <w:t>2.3  招标文件的修改</w:t>
      </w:r>
      <w:bookmarkEnd w:id="293"/>
      <w:bookmarkEnd w:id="294"/>
      <w:bookmarkEnd w:id="295"/>
      <w:bookmarkEnd w:id="296"/>
      <w:bookmarkEnd w:id="297"/>
      <w:bookmarkEnd w:id="298"/>
      <w:bookmarkEnd w:id="299"/>
      <w:bookmarkEnd w:id="300"/>
    </w:p>
    <w:p w14:paraId="099516DB">
      <w:pPr>
        <w:autoSpaceDE w:val="0"/>
        <w:autoSpaceDN w:val="0"/>
        <w:adjustRightInd w:val="0"/>
        <w:snapToGrid w:val="0"/>
        <w:spacing w:line="360" w:lineRule="auto"/>
        <w:ind w:firstLine="420"/>
        <w:rPr>
          <w:rFonts w:ascii="宋体" w:hAnsi="宋体"/>
          <w:snapToGrid w:val="0"/>
          <w:color w:val="auto"/>
          <w:highlight w:val="none"/>
        </w:rPr>
      </w:pPr>
      <w:bookmarkStart w:id="301" w:name="_Toc287620703"/>
      <w:bookmarkStart w:id="302" w:name="_Toc287607764"/>
      <w:bookmarkStart w:id="303" w:name="_Toc277082570"/>
      <w:bookmarkStart w:id="304" w:name="_Toc200513144"/>
      <w:bookmarkStart w:id="305" w:name="_Toc224103335"/>
      <w:r>
        <w:rPr>
          <w:rFonts w:ascii="宋体" w:hAnsi="宋体"/>
          <w:snapToGrid w:val="0"/>
          <w:color w:val="auto"/>
          <w:highlight w:val="none"/>
        </w:rPr>
        <w:t>按照本章第2.2款招标文件的澄清相关内容及方式执行。</w:t>
      </w:r>
    </w:p>
    <w:p w14:paraId="354BAB6A">
      <w:pPr>
        <w:pStyle w:val="4"/>
        <w:spacing w:before="0" w:after="0" w:line="360" w:lineRule="auto"/>
        <w:rPr>
          <w:rFonts w:ascii="宋体" w:hAnsi="宋体"/>
          <w:b w:val="0"/>
          <w:snapToGrid w:val="0"/>
          <w:color w:val="auto"/>
          <w:highlight w:val="none"/>
        </w:rPr>
      </w:pPr>
      <w:bookmarkStart w:id="306" w:name="_Toc430530453"/>
      <w:bookmarkStart w:id="307" w:name="_Toc509218728"/>
      <w:bookmarkStart w:id="308" w:name="_Toc57820578"/>
      <w:r>
        <w:rPr>
          <w:rFonts w:ascii="宋体" w:hAnsi="宋体"/>
          <w:b w:val="0"/>
          <w:snapToGrid w:val="0"/>
          <w:color w:val="auto"/>
          <w:highlight w:val="none"/>
        </w:rPr>
        <w:t>3.  投标文件</w:t>
      </w:r>
      <w:bookmarkEnd w:id="301"/>
      <w:bookmarkEnd w:id="302"/>
      <w:bookmarkEnd w:id="303"/>
      <w:bookmarkEnd w:id="304"/>
      <w:bookmarkEnd w:id="305"/>
      <w:bookmarkEnd w:id="306"/>
      <w:bookmarkEnd w:id="307"/>
      <w:bookmarkEnd w:id="308"/>
    </w:p>
    <w:p w14:paraId="0ABAA2FD">
      <w:pPr>
        <w:pStyle w:val="5"/>
        <w:snapToGrid w:val="0"/>
        <w:spacing w:before="0" w:after="0" w:line="360" w:lineRule="auto"/>
        <w:rPr>
          <w:rFonts w:ascii="宋体" w:hAnsi="宋体"/>
          <w:b w:val="0"/>
          <w:snapToGrid w:val="0"/>
          <w:color w:val="auto"/>
          <w:sz w:val="24"/>
          <w:szCs w:val="24"/>
          <w:highlight w:val="none"/>
        </w:rPr>
      </w:pPr>
      <w:bookmarkStart w:id="309" w:name="_Toc57820579"/>
      <w:bookmarkStart w:id="310" w:name="_Toc287607765"/>
      <w:bookmarkStart w:id="311" w:name="_Toc430530454"/>
      <w:bookmarkStart w:id="312" w:name="_Toc277082571"/>
      <w:bookmarkStart w:id="313" w:name="_Toc200513145"/>
      <w:bookmarkStart w:id="314" w:name="_Toc224103336"/>
      <w:bookmarkStart w:id="315" w:name="_Toc287620704"/>
      <w:bookmarkStart w:id="316" w:name="_Toc509218729"/>
      <w:r>
        <w:rPr>
          <w:rFonts w:ascii="宋体" w:hAnsi="宋体"/>
          <w:b w:val="0"/>
          <w:snapToGrid w:val="0"/>
          <w:color w:val="auto"/>
          <w:sz w:val="24"/>
          <w:szCs w:val="24"/>
          <w:highlight w:val="none"/>
        </w:rPr>
        <w:t>3.1  投标文件的组成</w:t>
      </w:r>
      <w:bookmarkEnd w:id="309"/>
      <w:bookmarkEnd w:id="310"/>
      <w:bookmarkEnd w:id="311"/>
      <w:bookmarkEnd w:id="312"/>
      <w:bookmarkEnd w:id="313"/>
      <w:bookmarkEnd w:id="314"/>
      <w:bookmarkEnd w:id="315"/>
      <w:bookmarkEnd w:id="316"/>
    </w:p>
    <w:p w14:paraId="46615B9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3.1.1 投标文件应包括下列内容：</w:t>
      </w:r>
    </w:p>
    <w:p w14:paraId="369235FF">
      <w:pPr>
        <w:spacing w:line="360" w:lineRule="auto"/>
        <w:ind w:firstLine="420" w:firstLineChars="200"/>
        <w:rPr>
          <w:rFonts w:hint="eastAsia" w:ascii="宋体" w:hAnsi="宋体"/>
          <w:color w:val="auto"/>
          <w:highlight w:val="none"/>
        </w:rPr>
      </w:pPr>
      <w:r>
        <w:rPr>
          <w:rFonts w:hint="eastAsia" w:ascii="宋体" w:hAnsi="宋体"/>
          <w:color w:val="auto"/>
          <w:highlight w:val="none"/>
        </w:rPr>
        <w:t>3.1.1.1投标函部分</w:t>
      </w:r>
    </w:p>
    <w:p w14:paraId="75AEADD4">
      <w:pPr>
        <w:spacing w:line="360" w:lineRule="auto"/>
        <w:ind w:firstLine="420" w:firstLineChars="200"/>
        <w:rPr>
          <w:rFonts w:hint="eastAsia" w:ascii="宋体" w:hAnsi="宋体"/>
          <w:color w:val="auto"/>
          <w:highlight w:val="none"/>
        </w:rPr>
      </w:pPr>
      <w:r>
        <w:rPr>
          <w:rFonts w:hint="eastAsia" w:ascii="宋体" w:hAnsi="宋体"/>
          <w:color w:val="auto"/>
          <w:highlight w:val="none"/>
        </w:rPr>
        <w:t>（1）投标函</w:t>
      </w:r>
    </w:p>
    <w:p w14:paraId="0EA2E24C">
      <w:pPr>
        <w:spacing w:line="360" w:lineRule="auto"/>
        <w:ind w:firstLine="420" w:firstLineChars="200"/>
        <w:rPr>
          <w:rFonts w:hint="eastAsia" w:ascii="宋体" w:hAnsi="宋体"/>
          <w:color w:val="auto"/>
          <w:highlight w:val="none"/>
        </w:rPr>
      </w:pPr>
      <w:r>
        <w:rPr>
          <w:rFonts w:hint="eastAsia" w:ascii="宋体" w:hAnsi="宋体"/>
          <w:color w:val="auto"/>
          <w:highlight w:val="none"/>
        </w:rPr>
        <w:t>（2）投标函附录</w:t>
      </w:r>
    </w:p>
    <w:p w14:paraId="6EA16B53">
      <w:pPr>
        <w:spacing w:line="360" w:lineRule="auto"/>
        <w:ind w:firstLine="420" w:firstLineChars="200"/>
        <w:rPr>
          <w:rFonts w:hint="eastAsia" w:ascii="宋体" w:hAnsi="宋体"/>
          <w:color w:val="auto"/>
          <w:highlight w:val="none"/>
        </w:rPr>
      </w:pPr>
      <w:r>
        <w:rPr>
          <w:rFonts w:hint="eastAsia" w:ascii="宋体" w:hAnsi="宋体"/>
          <w:color w:val="auto"/>
          <w:highlight w:val="none"/>
        </w:rPr>
        <w:t>（3）法定代表人身份证明或附有法定代表人身份证明的授权委托书</w:t>
      </w:r>
    </w:p>
    <w:p w14:paraId="654C6407">
      <w:pPr>
        <w:spacing w:line="360" w:lineRule="auto"/>
        <w:ind w:firstLine="420" w:firstLineChars="200"/>
        <w:rPr>
          <w:rFonts w:hint="eastAsia" w:ascii="宋体" w:hAnsi="宋体"/>
          <w:color w:val="auto"/>
          <w:highlight w:val="none"/>
        </w:rPr>
      </w:pPr>
      <w:r>
        <w:rPr>
          <w:rFonts w:hint="eastAsia" w:ascii="宋体" w:hAnsi="宋体"/>
          <w:color w:val="auto"/>
          <w:highlight w:val="none"/>
        </w:rPr>
        <w:t>（4）低价风险担保交纳承诺书（如有）</w:t>
      </w:r>
    </w:p>
    <w:p w14:paraId="1673ECF4">
      <w:pPr>
        <w:spacing w:line="360" w:lineRule="auto"/>
        <w:ind w:firstLine="420" w:firstLineChars="200"/>
        <w:rPr>
          <w:rFonts w:hint="eastAsia" w:ascii="宋体" w:hAnsi="宋体"/>
          <w:color w:val="auto"/>
          <w:highlight w:val="none"/>
        </w:rPr>
      </w:pPr>
      <w:r>
        <w:rPr>
          <w:rFonts w:hint="eastAsia" w:ascii="宋体" w:hAnsi="宋体"/>
          <w:color w:val="auto"/>
          <w:highlight w:val="none"/>
        </w:rPr>
        <w:t>（5）联合体协议书（如有）</w:t>
      </w:r>
    </w:p>
    <w:p w14:paraId="136BABF9">
      <w:pPr>
        <w:spacing w:line="360" w:lineRule="auto"/>
        <w:ind w:firstLine="420" w:firstLineChars="200"/>
        <w:rPr>
          <w:rFonts w:hint="eastAsia" w:ascii="宋体" w:hAnsi="宋体"/>
          <w:color w:val="auto"/>
          <w:highlight w:val="none"/>
        </w:rPr>
      </w:pPr>
      <w:r>
        <w:rPr>
          <w:rFonts w:hint="eastAsia" w:ascii="宋体" w:hAnsi="宋体"/>
          <w:color w:val="auto"/>
          <w:highlight w:val="none"/>
        </w:rPr>
        <w:t>3.1.1.2经济部分</w:t>
      </w:r>
    </w:p>
    <w:p w14:paraId="12B3E3E8">
      <w:pPr>
        <w:spacing w:line="360" w:lineRule="auto"/>
        <w:ind w:firstLine="420" w:firstLineChars="200"/>
        <w:rPr>
          <w:rFonts w:hint="eastAsia" w:ascii="宋体" w:hAnsi="宋体"/>
          <w:color w:val="auto"/>
          <w:highlight w:val="none"/>
        </w:rPr>
      </w:pPr>
      <w:r>
        <w:rPr>
          <w:rFonts w:hint="eastAsia" w:ascii="宋体" w:hAnsi="宋体"/>
          <w:color w:val="auto"/>
          <w:highlight w:val="none"/>
        </w:rPr>
        <w:t>（1）已标价工程量清单</w:t>
      </w:r>
    </w:p>
    <w:p w14:paraId="204897E8">
      <w:pPr>
        <w:spacing w:line="360" w:lineRule="auto"/>
        <w:ind w:firstLine="420" w:firstLineChars="200"/>
        <w:rPr>
          <w:rFonts w:hint="eastAsia" w:ascii="宋体" w:hAnsi="宋体"/>
          <w:color w:val="auto"/>
          <w:highlight w:val="none"/>
        </w:rPr>
      </w:pPr>
      <w:r>
        <w:rPr>
          <w:rFonts w:hint="eastAsia" w:ascii="宋体" w:hAnsi="宋体"/>
          <w:color w:val="auto"/>
          <w:highlight w:val="none"/>
        </w:rPr>
        <w:t>3.1.1.3技术部分（不设置技术方案评审的不设此部分）</w:t>
      </w:r>
    </w:p>
    <w:p w14:paraId="65E7B04B">
      <w:pPr>
        <w:spacing w:line="360" w:lineRule="auto"/>
        <w:ind w:firstLine="420" w:firstLineChars="200"/>
        <w:rPr>
          <w:rFonts w:hint="eastAsia" w:ascii="宋体" w:hAnsi="宋体"/>
          <w:color w:val="auto"/>
          <w:highlight w:val="none"/>
        </w:rPr>
      </w:pPr>
      <w:r>
        <w:rPr>
          <w:rFonts w:hint="eastAsia" w:ascii="宋体" w:hAnsi="宋体"/>
          <w:color w:val="auto"/>
          <w:highlight w:val="none"/>
        </w:rPr>
        <w:t>3.1.1.4资格审查部分</w:t>
      </w:r>
    </w:p>
    <w:p w14:paraId="4E83C058">
      <w:pPr>
        <w:spacing w:line="360" w:lineRule="auto"/>
        <w:ind w:firstLine="420" w:firstLineChars="200"/>
        <w:rPr>
          <w:rFonts w:hint="eastAsia" w:ascii="宋体" w:hAnsi="宋体"/>
          <w:color w:val="auto"/>
          <w:highlight w:val="none"/>
        </w:rPr>
      </w:pPr>
      <w:r>
        <w:rPr>
          <w:rFonts w:hint="eastAsia" w:ascii="宋体" w:hAnsi="宋体"/>
          <w:color w:val="auto"/>
          <w:highlight w:val="none"/>
        </w:rPr>
        <w:t>（1）法定代表人身份证明或附有法定代表人身份证明的授权委托书</w:t>
      </w:r>
    </w:p>
    <w:p w14:paraId="25CD54B3">
      <w:pPr>
        <w:spacing w:line="360" w:lineRule="auto"/>
        <w:ind w:firstLine="420" w:firstLineChars="200"/>
        <w:rPr>
          <w:rFonts w:hint="eastAsia" w:ascii="宋体" w:hAnsi="宋体"/>
          <w:color w:val="auto"/>
          <w:highlight w:val="none"/>
        </w:rPr>
      </w:pPr>
      <w:r>
        <w:rPr>
          <w:rFonts w:hint="eastAsia" w:ascii="宋体" w:hAnsi="宋体"/>
          <w:color w:val="auto"/>
          <w:highlight w:val="none"/>
        </w:rPr>
        <w:t>（2）联合体协议书（如有）</w:t>
      </w:r>
    </w:p>
    <w:p w14:paraId="69EFEF99">
      <w:pPr>
        <w:spacing w:line="360" w:lineRule="auto"/>
        <w:ind w:firstLine="420" w:firstLineChars="200"/>
        <w:rPr>
          <w:rFonts w:hint="eastAsia" w:ascii="宋体" w:hAnsi="宋体"/>
          <w:color w:val="auto"/>
          <w:highlight w:val="none"/>
        </w:rPr>
      </w:pPr>
      <w:r>
        <w:rPr>
          <w:rFonts w:hint="eastAsia" w:ascii="宋体" w:hAnsi="宋体"/>
          <w:color w:val="auto"/>
          <w:highlight w:val="none"/>
        </w:rPr>
        <w:t>（3）投标人基本情况表</w:t>
      </w:r>
    </w:p>
    <w:p w14:paraId="581B1D61">
      <w:pPr>
        <w:spacing w:line="360" w:lineRule="auto"/>
        <w:ind w:firstLine="420" w:firstLineChars="200"/>
        <w:rPr>
          <w:rFonts w:hint="eastAsia" w:ascii="宋体" w:hAnsi="宋体"/>
          <w:color w:val="auto"/>
          <w:highlight w:val="none"/>
        </w:rPr>
      </w:pPr>
      <w:r>
        <w:rPr>
          <w:rFonts w:hint="eastAsia" w:ascii="宋体" w:hAnsi="宋体"/>
          <w:color w:val="auto"/>
          <w:highlight w:val="none"/>
        </w:rPr>
        <w:t>（4）项目管理机构</w:t>
      </w:r>
    </w:p>
    <w:p w14:paraId="2B69CD50">
      <w:pPr>
        <w:spacing w:line="360" w:lineRule="auto"/>
        <w:ind w:firstLine="420" w:firstLineChars="200"/>
        <w:rPr>
          <w:rFonts w:hint="eastAsia" w:ascii="宋体" w:hAnsi="宋体"/>
          <w:color w:val="auto"/>
          <w:highlight w:val="none"/>
        </w:rPr>
      </w:pPr>
      <w:r>
        <w:rPr>
          <w:rFonts w:hint="eastAsia" w:ascii="宋体" w:hAnsi="宋体"/>
          <w:color w:val="auto"/>
          <w:highlight w:val="none"/>
        </w:rPr>
        <w:t>（5）近年财务状况表</w:t>
      </w:r>
    </w:p>
    <w:p w14:paraId="1464CD7D">
      <w:pPr>
        <w:spacing w:line="360" w:lineRule="auto"/>
        <w:ind w:firstLine="420" w:firstLineChars="200"/>
        <w:rPr>
          <w:rFonts w:hint="eastAsia" w:ascii="宋体" w:hAnsi="宋体"/>
          <w:color w:val="auto"/>
          <w:highlight w:val="none"/>
        </w:rPr>
      </w:pPr>
      <w:r>
        <w:rPr>
          <w:rFonts w:hint="eastAsia" w:ascii="宋体" w:hAnsi="宋体"/>
          <w:color w:val="auto"/>
          <w:highlight w:val="none"/>
        </w:rPr>
        <w:t>（6）类似项目情况表</w:t>
      </w:r>
    </w:p>
    <w:p w14:paraId="16BEB7A0">
      <w:pPr>
        <w:spacing w:line="360" w:lineRule="auto"/>
        <w:ind w:firstLine="420" w:firstLineChars="200"/>
        <w:rPr>
          <w:rFonts w:hint="eastAsia" w:ascii="宋体" w:hAnsi="宋体"/>
          <w:color w:val="auto"/>
          <w:highlight w:val="none"/>
        </w:rPr>
      </w:pPr>
      <w:r>
        <w:rPr>
          <w:rFonts w:hint="eastAsia" w:ascii="宋体" w:hAnsi="宋体"/>
          <w:color w:val="auto"/>
          <w:highlight w:val="none"/>
        </w:rPr>
        <w:t>（7）承诺</w:t>
      </w:r>
    </w:p>
    <w:p w14:paraId="45CE2E51">
      <w:pPr>
        <w:spacing w:line="360" w:lineRule="auto"/>
        <w:ind w:firstLine="420" w:firstLineChars="200"/>
        <w:rPr>
          <w:rFonts w:ascii="宋体" w:hAnsi="宋体"/>
          <w:color w:val="auto"/>
          <w:highlight w:val="none"/>
        </w:rPr>
      </w:pPr>
      <w:r>
        <w:rPr>
          <w:rFonts w:hint="eastAsia" w:ascii="宋体" w:hAnsi="宋体"/>
          <w:color w:val="auto"/>
          <w:highlight w:val="none"/>
        </w:rPr>
        <w:t>（8）其他资料</w:t>
      </w:r>
    </w:p>
    <w:p w14:paraId="130BA0ED">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3.1.2  投标人须知前附表规定不接受联合体投标的，或投标人没有组成联合体的，投标文件不包括联合体协议书。</w:t>
      </w:r>
    </w:p>
    <w:p w14:paraId="5B6282A7">
      <w:pPr>
        <w:pStyle w:val="5"/>
        <w:snapToGrid w:val="0"/>
        <w:spacing w:before="0" w:after="0" w:line="360" w:lineRule="auto"/>
        <w:rPr>
          <w:rFonts w:ascii="宋体" w:hAnsi="宋体"/>
          <w:b w:val="0"/>
          <w:snapToGrid w:val="0"/>
          <w:color w:val="auto"/>
          <w:sz w:val="24"/>
          <w:szCs w:val="24"/>
          <w:highlight w:val="none"/>
        </w:rPr>
      </w:pPr>
      <w:bookmarkStart w:id="317" w:name="_Toc224103337"/>
      <w:bookmarkStart w:id="318" w:name="_Toc277082572"/>
      <w:bookmarkStart w:id="319" w:name="_Toc287607766"/>
      <w:bookmarkStart w:id="320" w:name="_Toc200513146"/>
      <w:bookmarkStart w:id="321" w:name="_Toc509218730"/>
      <w:bookmarkStart w:id="322" w:name="_Toc287620705"/>
      <w:bookmarkStart w:id="323" w:name="_Toc430530455"/>
      <w:bookmarkStart w:id="324" w:name="_Toc57820580"/>
      <w:r>
        <w:rPr>
          <w:rFonts w:ascii="宋体" w:hAnsi="宋体"/>
          <w:b w:val="0"/>
          <w:snapToGrid w:val="0"/>
          <w:color w:val="auto"/>
          <w:sz w:val="24"/>
          <w:szCs w:val="24"/>
          <w:highlight w:val="none"/>
        </w:rPr>
        <w:t>3.2  投标报价</w:t>
      </w:r>
      <w:bookmarkEnd w:id="317"/>
      <w:bookmarkEnd w:id="318"/>
      <w:bookmarkEnd w:id="319"/>
      <w:bookmarkEnd w:id="320"/>
      <w:bookmarkEnd w:id="321"/>
      <w:bookmarkEnd w:id="322"/>
      <w:bookmarkEnd w:id="323"/>
      <w:bookmarkEnd w:id="324"/>
    </w:p>
    <w:p w14:paraId="5ED8EB2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3.2.1  投标人应按第五章“工程量清单”的要求填写相应表格。</w:t>
      </w:r>
    </w:p>
    <w:p w14:paraId="31C9996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3.2.2</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投标人在投标截止时间前修改投标函中的投标总报价，应同时修改第五章“工程量清单”中的相应报价。此修改须符合本章第 4.3 款的有关要求。</w:t>
      </w:r>
    </w:p>
    <w:p w14:paraId="038490D8">
      <w:pPr>
        <w:pStyle w:val="5"/>
        <w:snapToGrid w:val="0"/>
        <w:spacing w:before="0" w:after="0" w:line="360" w:lineRule="auto"/>
        <w:rPr>
          <w:rFonts w:ascii="宋体" w:hAnsi="宋体"/>
          <w:b w:val="0"/>
          <w:snapToGrid w:val="0"/>
          <w:color w:val="auto"/>
          <w:sz w:val="24"/>
          <w:szCs w:val="24"/>
          <w:highlight w:val="none"/>
        </w:rPr>
      </w:pPr>
      <w:bookmarkStart w:id="325" w:name="_Toc224103338"/>
      <w:bookmarkStart w:id="326" w:name="_Toc509218731"/>
      <w:bookmarkStart w:id="327" w:name="_Toc200513147"/>
      <w:bookmarkStart w:id="328" w:name="_Toc287620706"/>
      <w:bookmarkStart w:id="329" w:name="_Toc430530456"/>
      <w:bookmarkStart w:id="330" w:name="_Toc57820581"/>
      <w:bookmarkStart w:id="331" w:name="_Toc287607767"/>
      <w:bookmarkStart w:id="332" w:name="_Toc277082573"/>
      <w:r>
        <w:rPr>
          <w:rFonts w:ascii="宋体" w:hAnsi="宋体"/>
          <w:b w:val="0"/>
          <w:snapToGrid w:val="0"/>
          <w:color w:val="auto"/>
          <w:sz w:val="24"/>
          <w:szCs w:val="24"/>
          <w:highlight w:val="none"/>
        </w:rPr>
        <w:t>3.3  投标有效期</w:t>
      </w:r>
      <w:bookmarkEnd w:id="325"/>
      <w:bookmarkEnd w:id="326"/>
      <w:bookmarkEnd w:id="327"/>
      <w:bookmarkEnd w:id="328"/>
      <w:bookmarkEnd w:id="329"/>
      <w:bookmarkEnd w:id="330"/>
      <w:bookmarkEnd w:id="331"/>
      <w:bookmarkEnd w:id="332"/>
    </w:p>
    <w:p w14:paraId="5A8E95A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3.3.1  在投标人须知前附表规定的投标有效期内，投标人不得要求撤销或修改其投标文件。</w:t>
      </w:r>
    </w:p>
    <w:p w14:paraId="15E78FD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3.3.2  出现特殊情况需要延长投标有效期的，招标人以书面形式通知所有投标人延长投标有效期。投标人同意延长的，应相应延长其投标保函的有效期，但不得要求或被允许修改或撤销其投标文件；投标人拒绝延长的，其投标失效，但投标人有权收回其投标保函。</w:t>
      </w:r>
      <w:r>
        <w:rPr>
          <w:rFonts w:hint="eastAsia" w:ascii="宋体" w:hAnsi="宋体"/>
          <w:snapToGrid w:val="0"/>
          <w:color w:val="auto"/>
          <w:kern w:val="0"/>
          <w:szCs w:val="21"/>
          <w:highlight w:val="none"/>
        </w:rPr>
        <w:t>（适用于投标保证金采用投标保函形式的）</w:t>
      </w:r>
    </w:p>
    <w:p w14:paraId="4401786A">
      <w:pPr>
        <w:autoSpaceDE w:val="0"/>
        <w:autoSpaceDN w:val="0"/>
        <w:adjustRightInd w:val="0"/>
        <w:snapToGrid w:val="0"/>
        <w:spacing w:line="360" w:lineRule="auto"/>
        <w:ind w:firstLine="420" w:firstLineChars="200"/>
        <w:rPr>
          <w:rFonts w:ascii="宋体" w:hAnsi="宋体" w:cs="MingLiU"/>
          <w:snapToGrid w:val="0"/>
          <w:color w:val="auto"/>
          <w:kern w:val="0"/>
          <w:szCs w:val="21"/>
          <w:highlight w:val="none"/>
        </w:rPr>
      </w:pPr>
      <w:r>
        <w:rPr>
          <w:rFonts w:hint="eastAsia" w:ascii="宋体" w:hAnsi="宋体" w:cs="MingLiU"/>
          <w:snapToGrid w:val="0"/>
          <w:color w:val="auto"/>
          <w:kern w:val="0"/>
          <w:szCs w:val="21"/>
          <w:highlight w:val="none"/>
        </w:rPr>
        <w:t>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适用于投标保证金采用银行转账形式的）</w:t>
      </w:r>
    </w:p>
    <w:p w14:paraId="23D671D5">
      <w:pPr>
        <w:pStyle w:val="5"/>
        <w:keepNext w:val="0"/>
        <w:keepLines w:val="0"/>
        <w:snapToGrid w:val="0"/>
        <w:spacing w:before="0" w:after="0" w:line="360" w:lineRule="auto"/>
        <w:rPr>
          <w:rFonts w:ascii="宋体" w:hAnsi="宋体"/>
          <w:b w:val="0"/>
          <w:snapToGrid w:val="0"/>
          <w:color w:val="auto"/>
          <w:sz w:val="24"/>
          <w:szCs w:val="24"/>
          <w:highlight w:val="none"/>
        </w:rPr>
      </w:pPr>
      <w:bookmarkStart w:id="333" w:name="_Toc277082574"/>
      <w:bookmarkStart w:id="334" w:name="_Toc287607768"/>
      <w:bookmarkStart w:id="335" w:name="_Toc430530457"/>
      <w:bookmarkStart w:id="336" w:name="_Toc287620707"/>
      <w:bookmarkStart w:id="337" w:name="_Toc509218732"/>
      <w:bookmarkStart w:id="338" w:name="_Toc200513148"/>
      <w:bookmarkStart w:id="339" w:name="_Toc224103339"/>
      <w:bookmarkStart w:id="340" w:name="_Toc57820582"/>
      <w:r>
        <w:rPr>
          <w:rFonts w:ascii="宋体" w:hAnsi="宋体"/>
          <w:b w:val="0"/>
          <w:snapToGrid w:val="0"/>
          <w:color w:val="auto"/>
          <w:sz w:val="24"/>
          <w:szCs w:val="24"/>
          <w:highlight w:val="none"/>
        </w:rPr>
        <w:t>3.4  投标</w:t>
      </w:r>
      <w:bookmarkEnd w:id="333"/>
      <w:bookmarkEnd w:id="334"/>
      <w:bookmarkEnd w:id="335"/>
      <w:bookmarkEnd w:id="336"/>
      <w:bookmarkEnd w:id="337"/>
      <w:bookmarkEnd w:id="338"/>
      <w:bookmarkEnd w:id="339"/>
      <w:r>
        <w:rPr>
          <w:rFonts w:hint="eastAsia" w:ascii="宋体" w:hAnsi="宋体"/>
          <w:b w:val="0"/>
          <w:snapToGrid w:val="0"/>
          <w:color w:val="auto"/>
          <w:sz w:val="24"/>
          <w:szCs w:val="24"/>
          <w:highlight w:val="none"/>
        </w:rPr>
        <w:t>保证金</w:t>
      </w:r>
      <w:bookmarkEnd w:id="340"/>
    </w:p>
    <w:p w14:paraId="4ABAB05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3.4.1  投标人在递交投标文件的同时，应按投标人须知前附表的规定递交投标保证金，并作为其投标文件的组成部分。联合体投标的，其投标保证金由牵头人递交，并应符合投标人须知前附表的规定。</w:t>
      </w:r>
    </w:p>
    <w:p w14:paraId="1AFDAAF0">
      <w:pPr>
        <w:autoSpaceDE w:val="0"/>
        <w:autoSpaceDN w:val="0"/>
        <w:adjustRightInd w:val="0"/>
        <w:snapToGrid w:val="0"/>
        <w:spacing w:line="360" w:lineRule="auto"/>
        <w:ind w:left="13" w:leftChars="6" w:firstLine="405" w:firstLineChars="193"/>
        <w:rPr>
          <w:rFonts w:ascii="宋体" w:hAnsi="宋体"/>
          <w:snapToGrid w:val="0"/>
          <w:color w:val="auto"/>
          <w:kern w:val="0"/>
          <w:szCs w:val="21"/>
          <w:highlight w:val="none"/>
        </w:rPr>
      </w:pPr>
      <w:r>
        <w:rPr>
          <w:rFonts w:ascii="宋体" w:hAnsi="宋体"/>
          <w:snapToGrid w:val="0"/>
          <w:color w:val="auto"/>
          <w:kern w:val="0"/>
          <w:szCs w:val="21"/>
          <w:highlight w:val="none"/>
        </w:rPr>
        <w:t>3.4.2  投标人不按本章第 3.4.1 项要求提交投标保证金的，其投标文件作否决投标处理。</w:t>
      </w:r>
    </w:p>
    <w:p w14:paraId="5A234D9F">
      <w:pPr>
        <w:autoSpaceDE w:val="0"/>
        <w:autoSpaceDN w:val="0"/>
        <w:adjustRightInd w:val="0"/>
        <w:snapToGrid w:val="0"/>
        <w:spacing w:line="360" w:lineRule="auto"/>
        <w:ind w:left="13" w:leftChars="6" w:firstLine="405" w:firstLineChars="193"/>
        <w:rPr>
          <w:rFonts w:ascii="宋体" w:hAnsi="宋体"/>
          <w:snapToGrid w:val="0"/>
          <w:color w:val="auto"/>
          <w:kern w:val="0"/>
          <w:szCs w:val="21"/>
          <w:highlight w:val="none"/>
        </w:rPr>
      </w:pPr>
      <w:r>
        <w:rPr>
          <w:rFonts w:ascii="宋体" w:hAnsi="宋体"/>
          <w:snapToGrid w:val="0"/>
          <w:color w:val="auto"/>
          <w:kern w:val="0"/>
          <w:szCs w:val="21"/>
          <w:highlight w:val="none"/>
        </w:rPr>
        <w:t>3.4.3  投标</w:t>
      </w:r>
      <w:r>
        <w:rPr>
          <w:rFonts w:ascii="宋体" w:hAnsi="宋体"/>
          <w:snapToGrid w:val="0"/>
          <w:color w:val="auto"/>
          <w:kern w:val="0"/>
          <w:position w:val="-2"/>
          <w:szCs w:val="21"/>
          <w:highlight w:val="none"/>
        </w:rPr>
        <w:t>保证金（投标保函）</w:t>
      </w:r>
      <w:r>
        <w:rPr>
          <w:rFonts w:ascii="宋体" w:hAnsi="宋体"/>
          <w:snapToGrid w:val="0"/>
          <w:color w:val="auto"/>
          <w:kern w:val="0"/>
          <w:szCs w:val="21"/>
          <w:highlight w:val="none"/>
        </w:rPr>
        <w:t>退还：见投标人须知前附表</w:t>
      </w:r>
      <w:r>
        <w:rPr>
          <w:rFonts w:ascii="宋体" w:hAnsi="宋体"/>
          <w:snapToGrid w:val="0"/>
          <w:color w:val="auto"/>
          <w:kern w:val="0"/>
          <w:position w:val="-2"/>
          <w:szCs w:val="21"/>
          <w:highlight w:val="none"/>
        </w:rPr>
        <w:t>。</w:t>
      </w:r>
    </w:p>
    <w:p w14:paraId="097236F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3.4.4  有下列情形之一的，投标保证金将不予退还：</w:t>
      </w:r>
    </w:p>
    <w:p w14:paraId="401E6D0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（1）投标人在规定的投标有效期内撤销或修改其投标文件；</w:t>
      </w:r>
    </w:p>
    <w:p w14:paraId="1FCD9E4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（2）中标人在收到中标通知书后，无正当理由拒</w:t>
      </w:r>
      <w:r>
        <w:rPr>
          <w:rFonts w:hint="eastAsia" w:ascii="宋体" w:hAnsi="宋体"/>
          <w:snapToGrid w:val="0"/>
          <w:color w:val="auto"/>
          <w:kern w:val="0"/>
          <w:szCs w:val="21"/>
          <w:highlight w:val="none"/>
        </w:rPr>
        <w:t>不与招标人签订合同，</w:t>
      </w:r>
      <w:r>
        <w:rPr>
          <w:rFonts w:ascii="宋体" w:hAnsi="宋体"/>
          <w:snapToGrid w:val="0"/>
          <w:color w:val="auto"/>
          <w:kern w:val="0"/>
          <w:szCs w:val="21"/>
          <w:highlight w:val="none"/>
        </w:rPr>
        <w:t>或未按招标文件规定提交</w:t>
      </w:r>
      <w:r>
        <w:rPr>
          <w:rFonts w:hint="eastAsia" w:ascii="宋体" w:hAnsi="宋体"/>
          <w:snapToGrid w:val="0"/>
          <w:color w:val="auto"/>
          <w:kern w:val="0"/>
          <w:szCs w:val="21"/>
          <w:highlight w:val="none"/>
        </w:rPr>
        <w:t>低价风险担保（适用于经评审的最低投标价法）或</w:t>
      </w:r>
      <w:r>
        <w:rPr>
          <w:rFonts w:ascii="宋体" w:hAnsi="宋体"/>
          <w:snapToGrid w:val="0"/>
          <w:color w:val="auto"/>
          <w:kern w:val="0"/>
          <w:szCs w:val="21"/>
          <w:highlight w:val="none"/>
        </w:rPr>
        <w:t>履约担保；</w:t>
      </w:r>
    </w:p>
    <w:p w14:paraId="6441E611">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（3）违反本章第9.2</w:t>
      </w:r>
      <w:r>
        <w:rPr>
          <w:rFonts w:hint="eastAsia" w:ascii="宋体" w:hAnsi="宋体"/>
          <w:snapToGrid w:val="0"/>
          <w:color w:val="auto"/>
          <w:kern w:val="0"/>
          <w:szCs w:val="21"/>
          <w:highlight w:val="none"/>
        </w:rPr>
        <w:t>款</w:t>
      </w:r>
      <w:r>
        <w:rPr>
          <w:rFonts w:ascii="宋体" w:hAnsi="宋体"/>
          <w:snapToGrid w:val="0"/>
          <w:color w:val="auto"/>
          <w:kern w:val="0"/>
          <w:szCs w:val="21"/>
          <w:highlight w:val="none"/>
        </w:rPr>
        <w:t>对投标人的纪律要求的；</w:t>
      </w:r>
    </w:p>
    <w:p w14:paraId="14378580">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（4）因投标人原因未完成解密工作的；</w:t>
      </w:r>
    </w:p>
    <w:p w14:paraId="4C0EC7E7">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w:t>
      </w:r>
      <w:r>
        <w:rPr>
          <w:rFonts w:hint="eastAsia" w:ascii="宋体" w:hAnsi="宋体"/>
          <w:snapToGrid w:val="0"/>
          <w:color w:val="auto"/>
          <w:kern w:val="0"/>
          <w:szCs w:val="21"/>
          <w:highlight w:val="none"/>
        </w:rPr>
        <w:t>5</w:t>
      </w:r>
      <w:r>
        <w:rPr>
          <w:rFonts w:ascii="宋体" w:hAnsi="宋体"/>
          <w:snapToGrid w:val="0"/>
          <w:color w:val="auto"/>
          <w:kern w:val="0"/>
          <w:szCs w:val="21"/>
          <w:highlight w:val="none"/>
        </w:rPr>
        <w:t>）法律法规规定的其他情形。</w:t>
      </w:r>
    </w:p>
    <w:p w14:paraId="45E0D674">
      <w:pPr>
        <w:tabs>
          <w:tab w:val="left" w:pos="611"/>
          <w:tab w:val="left" w:pos="669"/>
        </w:tabs>
        <w:snapToGrid w:val="0"/>
        <w:spacing w:line="360" w:lineRule="auto"/>
        <w:ind w:firstLine="420" w:firstLineChars="200"/>
        <w:rPr>
          <w:rFonts w:hint="eastAsia" w:ascii="宋体" w:hAnsi="宋体"/>
          <w:color w:val="auto"/>
          <w:kern w:val="0"/>
          <w:highlight w:val="none"/>
        </w:rPr>
      </w:pPr>
      <w:r>
        <w:rPr>
          <w:rFonts w:ascii="宋体" w:hAnsi="宋体"/>
          <w:snapToGrid w:val="0"/>
          <w:color w:val="auto"/>
          <w:kern w:val="0"/>
          <w:szCs w:val="21"/>
          <w:highlight w:val="none"/>
        </w:rPr>
        <w:t>3.4.5</w:t>
      </w:r>
      <w:r>
        <w:rPr>
          <w:rFonts w:ascii="宋体" w:hAnsi="宋体"/>
          <w:color w:val="auto"/>
          <w:kern w:val="0"/>
          <w:highlight w:val="none"/>
        </w:rPr>
        <w:t>（1）投标保证金为无条件担保；</w:t>
      </w:r>
    </w:p>
    <w:p w14:paraId="648D68C0">
      <w:pPr>
        <w:tabs>
          <w:tab w:val="left" w:pos="611"/>
          <w:tab w:val="left" w:pos="669"/>
        </w:tabs>
        <w:snapToGrid w:val="0"/>
        <w:spacing w:line="360" w:lineRule="auto"/>
        <w:ind w:firstLine="945" w:firstLineChars="450"/>
        <w:rPr>
          <w:rFonts w:ascii="宋体" w:hAnsi="宋体"/>
          <w:color w:val="auto"/>
          <w:kern w:val="0"/>
          <w:highlight w:val="none"/>
        </w:rPr>
      </w:pPr>
      <w:r>
        <w:rPr>
          <w:rFonts w:ascii="宋体" w:hAnsi="宋体"/>
          <w:color w:val="auto"/>
          <w:kern w:val="0"/>
          <w:highlight w:val="none"/>
        </w:rPr>
        <w:t>（2）投标保证金的受益人为招标人</w:t>
      </w:r>
      <w:r>
        <w:rPr>
          <w:rFonts w:hint="eastAsia" w:ascii="宋体" w:hAnsi="宋体"/>
          <w:color w:val="auto"/>
          <w:kern w:val="0"/>
          <w:highlight w:val="none"/>
        </w:rPr>
        <w:t>。</w:t>
      </w:r>
    </w:p>
    <w:p w14:paraId="22F3D0E9">
      <w:pPr>
        <w:pStyle w:val="5"/>
        <w:keepNext w:val="0"/>
        <w:keepLines w:val="0"/>
        <w:snapToGrid w:val="0"/>
        <w:spacing w:before="0" w:after="0" w:line="360" w:lineRule="auto"/>
        <w:rPr>
          <w:rFonts w:ascii="宋体" w:hAnsi="宋体"/>
          <w:b w:val="0"/>
          <w:snapToGrid w:val="0"/>
          <w:color w:val="auto"/>
          <w:sz w:val="24"/>
          <w:szCs w:val="24"/>
          <w:highlight w:val="none"/>
        </w:rPr>
      </w:pPr>
      <w:bookmarkStart w:id="341" w:name="_Toc200513149"/>
      <w:bookmarkStart w:id="342" w:name="_Toc57820583"/>
      <w:bookmarkStart w:id="343" w:name="_Toc509218733"/>
      <w:bookmarkStart w:id="344" w:name="_Toc287620708"/>
      <w:bookmarkStart w:id="345" w:name="_Toc287607769"/>
      <w:bookmarkStart w:id="346" w:name="_Toc277082575"/>
      <w:bookmarkStart w:id="347" w:name="_Toc430530458"/>
      <w:bookmarkStart w:id="348" w:name="_Toc224103340"/>
      <w:r>
        <w:rPr>
          <w:rFonts w:ascii="宋体" w:hAnsi="宋体"/>
          <w:b w:val="0"/>
          <w:snapToGrid w:val="0"/>
          <w:color w:val="auto"/>
          <w:sz w:val="24"/>
          <w:szCs w:val="24"/>
          <w:highlight w:val="none"/>
        </w:rPr>
        <w:t>3.5</w:t>
      </w:r>
      <w:r>
        <w:rPr>
          <w:rFonts w:hint="eastAsia" w:ascii="宋体" w:hAnsi="宋体"/>
          <w:b w:val="0"/>
          <w:snapToGrid w:val="0"/>
          <w:color w:val="auto"/>
          <w:sz w:val="24"/>
          <w:szCs w:val="24"/>
          <w:highlight w:val="none"/>
        </w:rPr>
        <w:t>A</w:t>
      </w:r>
      <w:r>
        <w:rPr>
          <w:rFonts w:ascii="宋体" w:hAnsi="宋体"/>
          <w:b w:val="0"/>
          <w:snapToGrid w:val="0"/>
          <w:color w:val="auto"/>
          <w:sz w:val="24"/>
          <w:szCs w:val="24"/>
          <w:highlight w:val="none"/>
        </w:rPr>
        <w:t xml:space="preserve">  资格审查资料</w:t>
      </w:r>
      <w:bookmarkEnd w:id="341"/>
      <w:bookmarkEnd w:id="342"/>
      <w:bookmarkEnd w:id="343"/>
      <w:bookmarkEnd w:id="344"/>
      <w:bookmarkEnd w:id="345"/>
      <w:bookmarkEnd w:id="346"/>
      <w:bookmarkEnd w:id="347"/>
      <w:bookmarkEnd w:id="348"/>
    </w:p>
    <w:p w14:paraId="0F2B7A47">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投标人在编制投标文件时，应按新情况更新或补充其在申请资格预审时提供的资料，以证实其各项资格条件仍能继续满足资格预审文件的要求，具备承担本标段施工的资质条件、能力和信誉。</w:t>
      </w:r>
    </w:p>
    <w:p w14:paraId="11CED471">
      <w:pPr>
        <w:autoSpaceDE w:val="0"/>
        <w:autoSpaceDN w:val="0"/>
        <w:adjustRightInd w:val="0"/>
        <w:snapToGrid w:val="0"/>
        <w:spacing w:line="360" w:lineRule="auto"/>
        <w:ind w:firstLine="420" w:firstLineChars="200"/>
        <w:rPr>
          <w:rFonts w:ascii="宋体" w:hAnsi="宋体"/>
          <w:i/>
          <w:snapToGrid w:val="0"/>
          <w:color w:val="auto"/>
          <w:kern w:val="0"/>
          <w:szCs w:val="21"/>
          <w:highlight w:val="none"/>
        </w:rPr>
      </w:pPr>
      <w:r>
        <w:rPr>
          <w:rFonts w:hint="eastAsia" w:ascii="宋体" w:hAnsi="宋体"/>
          <w:i/>
          <w:snapToGrid w:val="0"/>
          <w:color w:val="auto"/>
          <w:kern w:val="0"/>
          <w:szCs w:val="21"/>
          <w:highlight w:val="none"/>
        </w:rPr>
        <w:t>[提示：适用于已进行资格预审的。]</w:t>
      </w:r>
    </w:p>
    <w:p w14:paraId="365FDCB2">
      <w:pPr>
        <w:pStyle w:val="5"/>
        <w:keepNext w:val="0"/>
        <w:keepLines w:val="0"/>
        <w:snapToGrid w:val="0"/>
        <w:spacing w:before="0" w:after="0" w:line="360" w:lineRule="auto"/>
        <w:rPr>
          <w:rFonts w:ascii="宋体" w:hAnsi="宋体"/>
          <w:b w:val="0"/>
          <w:snapToGrid w:val="0"/>
          <w:color w:val="auto"/>
          <w:sz w:val="24"/>
          <w:szCs w:val="24"/>
          <w:highlight w:val="none"/>
        </w:rPr>
      </w:pPr>
      <w:bookmarkStart w:id="349" w:name="_Toc287620709"/>
      <w:bookmarkStart w:id="350" w:name="_Toc200513150"/>
      <w:bookmarkStart w:id="351" w:name="_Toc57820584"/>
      <w:bookmarkStart w:id="352" w:name="_Toc430530459"/>
      <w:bookmarkStart w:id="353" w:name="_Toc509218734"/>
      <w:bookmarkStart w:id="354" w:name="_Toc277082576"/>
      <w:bookmarkStart w:id="355" w:name="_Toc224103341"/>
      <w:bookmarkStart w:id="356" w:name="_Toc287607770"/>
      <w:r>
        <w:rPr>
          <w:rFonts w:ascii="宋体" w:hAnsi="宋体"/>
          <w:b w:val="0"/>
          <w:snapToGrid w:val="0"/>
          <w:color w:val="auto"/>
          <w:sz w:val="24"/>
          <w:szCs w:val="24"/>
          <w:highlight w:val="none"/>
        </w:rPr>
        <w:t>3.5</w:t>
      </w:r>
      <w:r>
        <w:rPr>
          <w:rFonts w:hint="eastAsia" w:ascii="宋体" w:hAnsi="宋体"/>
          <w:b w:val="0"/>
          <w:snapToGrid w:val="0"/>
          <w:color w:val="auto"/>
          <w:sz w:val="24"/>
          <w:szCs w:val="24"/>
          <w:highlight w:val="none"/>
        </w:rPr>
        <w:t>B</w:t>
      </w:r>
      <w:r>
        <w:rPr>
          <w:rFonts w:ascii="宋体" w:hAnsi="宋体"/>
          <w:b w:val="0"/>
          <w:snapToGrid w:val="0"/>
          <w:color w:val="auto"/>
          <w:sz w:val="24"/>
          <w:szCs w:val="24"/>
          <w:highlight w:val="none"/>
        </w:rPr>
        <w:t xml:space="preserve">  资格审查资料</w:t>
      </w:r>
      <w:bookmarkEnd w:id="349"/>
      <w:bookmarkEnd w:id="350"/>
      <w:bookmarkEnd w:id="351"/>
      <w:bookmarkEnd w:id="352"/>
      <w:bookmarkEnd w:id="353"/>
      <w:bookmarkEnd w:id="354"/>
      <w:bookmarkEnd w:id="355"/>
      <w:bookmarkEnd w:id="356"/>
    </w:p>
    <w:p w14:paraId="29673472">
      <w:pPr>
        <w:autoSpaceDE w:val="0"/>
        <w:autoSpaceDN w:val="0"/>
        <w:adjustRightInd w:val="0"/>
        <w:snapToGrid w:val="0"/>
        <w:spacing w:line="360" w:lineRule="auto"/>
        <w:ind w:left="103" w:leftChars="49" w:right="37" w:firstLine="420" w:firstLineChars="200"/>
        <w:rPr>
          <w:rFonts w:hint="eastAsia" w:ascii="宋体" w:hAnsi="宋体"/>
          <w:color w:val="auto"/>
          <w:szCs w:val="21"/>
          <w:highlight w:val="none"/>
        </w:rPr>
      </w:pPr>
      <w:r>
        <w:rPr>
          <w:rFonts w:ascii="宋体" w:hAnsi="宋体"/>
          <w:color w:val="auto"/>
          <w:szCs w:val="21"/>
          <w:highlight w:val="none"/>
        </w:rPr>
        <w:t>投标人</w:t>
      </w:r>
      <w:r>
        <w:rPr>
          <w:rFonts w:hint="eastAsia" w:ascii="宋体" w:hAnsi="宋体"/>
          <w:color w:val="auto"/>
          <w:szCs w:val="21"/>
          <w:highlight w:val="none"/>
        </w:rPr>
        <w:t>应附</w:t>
      </w:r>
      <w:r>
        <w:rPr>
          <w:rFonts w:hint="eastAsia" w:ascii="宋体" w:hAnsi="宋体"/>
          <w:color w:val="auto"/>
          <w:kern w:val="0"/>
          <w:szCs w:val="21"/>
          <w:highlight w:val="none"/>
        </w:rPr>
        <w:t>投标人须知前附表第1</w:t>
      </w:r>
      <w:r>
        <w:rPr>
          <w:rFonts w:ascii="宋体" w:hAnsi="宋体"/>
          <w:color w:val="auto"/>
          <w:kern w:val="0"/>
          <w:szCs w:val="21"/>
          <w:highlight w:val="none"/>
        </w:rPr>
        <w:t>.4.1项</w:t>
      </w:r>
      <w:r>
        <w:rPr>
          <w:rFonts w:hint="eastAsia" w:ascii="宋体" w:hAnsi="宋体"/>
          <w:color w:val="auto"/>
          <w:kern w:val="0"/>
          <w:szCs w:val="21"/>
          <w:highlight w:val="none"/>
        </w:rPr>
        <w:t>中要求的相关证明材料</w:t>
      </w:r>
      <w:r>
        <w:rPr>
          <w:rFonts w:ascii="宋体" w:hAnsi="宋体"/>
          <w:color w:val="auto"/>
          <w:szCs w:val="21"/>
          <w:highlight w:val="none"/>
        </w:rPr>
        <w:t>。</w:t>
      </w:r>
    </w:p>
    <w:p w14:paraId="62AD7219">
      <w:pPr>
        <w:autoSpaceDE w:val="0"/>
        <w:autoSpaceDN w:val="0"/>
        <w:adjustRightInd w:val="0"/>
        <w:snapToGrid w:val="0"/>
        <w:spacing w:line="360" w:lineRule="auto"/>
        <w:ind w:left="103" w:leftChars="49" w:right="37"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投标人须知前附表规定接受联合体投标的，详见投标人须知前附表联合体投标相关内容。</w:t>
      </w:r>
    </w:p>
    <w:p w14:paraId="429A66F2">
      <w:pPr>
        <w:autoSpaceDE w:val="0"/>
        <w:autoSpaceDN w:val="0"/>
        <w:adjustRightInd w:val="0"/>
        <w:snapToGrid w:val="0"/>
        <w:spacing w:line="360" w:lineRule="auto"/>
        <w:ind w:firstLine="420" w:firstLineChars="200"/>
        <w:rPr>
          <w:rFonts w:ascii="宋体" w:hAnsi="宋体"/>
          <w:i/>
          <w:snapToGrid w:val="0"/>
          <w:color w:val="auto"/>
          <w:kern w:val="0"/>
          <w:szCs w:val="21"/>
          <w:highlight w:val="none"/>
        </w:rPr>
      </w:pPr>
      <w:r>
        <w:rPr>
          <w:rFonts w:hint="eastAsia" w:ascii="宋体" w:hAnsi="宋体"/>
          <w:i/>
          <w:snapToGrid w:val="0"/>
          <w:color w:val="auto"/>
          <w:kern w:val="0"/>
          <w:szCs w:val="21"/>
          <w:highlight w:val="none"/>
        </w:rPr>
        <w:t>[提示：适用于未进行资格预审的。]</w:t>
      </w:r>
    </w:p>
    <w:p w14:paraId="7ADC0517">
      <w:pPr>
        <w:pStyle w:val="5"/>
        <w:snapToGrid w:val="0"/>
        <w:spacing w:before="0" w:after="0" w:line="360" w:lineRule="auto"/>
        <w:rPr>
          <w:rFonts w:ascii="宋体" w:hAnsi="宋体"/>
          <w:b w:val="0"/>
          <w:snapToGrid w:val="0"/>
          <w:color w:val="auto"/>
          <w:sz w:val="24"/>
          <w:szCs w:val="24"/>
          <w:highlight w:val="none"/>
        </w:rPr>
      </w:pPr>
      <w:bookmarkStart w:id="357" w:name="_Toc224103342"/>
      <w:bookmarkStart w:id="358" w:name="_Toc277082577"/>
      <w:bookmarkStart w:id="359" w:name="_Toc287607771"/>
      <w:bookmarkStart w:id="360" w:name="_Toc200513151"/>
      <w:bookmarkStart w:id="361" w:name="_Toc57820585"/>
      <w:bookmarkStart w:id="362" w:name="_Toc287620710"/>
      <w:bookmarkStart w:id="363" w:name="_Toc509218735"/>
      <w:bookmarkStart w:id="364" w:name="_Toc430530460"/>
      <w:r>
        <w:rPr>
          <w:rFonts w:ascii="宋体" w:hAnsi="宋体"/>
          <w:b w:val="0"/>
          <w:snapToGrid w:val="0"/>
          <w:color w:val="auto"/>
          <w:sz w:val="24"/>
          <w:szCs w:val="24"/>
          <w:highlight w:val="none"/>
        </w:rPr>
        <w:t>3.6  备选投标方案</w:t>
      </w:r>
      <w:bookmarkEnd w:id="357"/>
      <w:bookmarkEnd w:id="358"/>
      <w:bookmarkEnd w:id="359"/>
      <w:bookmarkEnd w:id="360"/>
      <w:bookmarkEnd w:id="361"/>
      <w:bookmarkEnd w:id="362"/>
      <w:bookmarkEnd w:id="363"/>
      <w:bookmarkEnd w:id="364"/>
    </w:p>
    <w:p w14:paraId="1CE43AC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除投标人须知前附表另有规定外，投标人不得递交备选投标方案。允许投标人递交备选投标方案的，只有中标人所递交的备选投标方案方可予以考虑。评标委员会认为中标人的备 选投标方案优于其按照招标文件要求编制的投标方案的，招标人可以接受该备选投标方案。</w:t>
      </w:r>
    </w:p>
    <w:p w14:paraId="085E3A1D">
      <w:pPr>
        <w:pStyle w:val="5"/>
        <w:snapToGrid w:val="0"/>
        <w:spacing w:before="0" w:after="0" w:line="360" w:lineRule="auto"/>
        <w:rPr>
          <w:rFonts w:ascii="宋体" w:hAnsi="宋体"/>
          <w:b w:val="0"/>
          <w:snapToGrid w:val="0"/>
          <w:color w:val="auto"/>
          <w:sz w:val="24"/>
          <w:szCs w:val="24"/>
          <w:highlight w:val="none"/>
        </w:rPr>
      </w:pPr>
      <w:bookmarkStart w:id="365" w:name="_Toc200513152"/>
      <w:bookmarkStart w:id="366" w:name="_Toc224103343"/>
      <w:bookmarkStart w:id="367" w:name="_Toc277082578"/>
      <w:bookmarkStart w:id="368" w:name="_Toc287607772"/>
      <w:bookmarkStart w:id="369" w:name="_Toc430530461"/>
      <w:bookmarkStart w:id="370" w:name="_Toc287620711"/>
      <w:bookmarkStart w:id="371" w:name="_Toc509218736"/>
      <w:bookmarkStart w:id="372" w:name="_Toc57820586"/>
      <w:r>
        <w:rPr>
          <w:rFonts w:ascii="宋体" w:hAnsi="宋体"/>
          <w:b w:val="0"/>
          <w:snapToGrid w:val="0"/>
          <w:color w:val="auto"/>
          <w:sz w:val="24"/>
          <w:szCs w:val="24"/>
          <w:highlight w:val="none"/>
        </w:rPr>
        <w:t>3.7  投标文件的编制</w:t>
      </w:r>
      <w:bookmarkEnd w:id="365"/>
      <w:bookmarkEnd w:id="366"/>
      <w:bookmarkEnd w:id="367"/>
      <w:bookmarkEnd w:id="368"/>
      <w:bookmarkEnd w:id="369"/>
      <w:bookmarkEnd w:id="370"/>
      <w:bookmarkEnd w:id="371"/>
      <w:bookmarkEnd w:id="372"/>
    </w:p>
    <w:p w14:paraId="10CAD7B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3.7.1  投标文件应按第八章“投标文件格式”进行编写，如有必要，可以增加附页，作为投标文件的组成部分。其中，投标函附录在满足招标文件实质性要求的基础上，可以提出比招标文件要求更有利于招标人的承诺。</w:t>
      </w:r>
    </w:p>
    <w:p w14:paraId="00242AB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3.7.2  投标文件应当对招标文件有关工期、投标有效期、质量要求、技术标准和要求、招标范围等实质性内容做出响应。</w:t>
      </w:r>
    </w:p>
    <w:p w14:paraId="2B0CAEDA">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position w:val="-2"/>
          <w:szCs w:val="21"/>
          <w:highlight w:val="none"/>
        </w:rPr>
        <w:t xml:space="preserve">3.7.3  </w:t>
      </w:r>
      <w:r>
        <w:rPr>
          <w:rFonts w:hint="eastAsia" w:ascii="宋体" w:hAnsi="宋体"/>
          <w:snapToGrid w:val="0"/>
          <w:color w:val="auto"/>
          <w:kern w:val="0"/>
          <w:position w:val="-2"/>
          <w:szCs w:val="21"/>
          <w:highlight w:val="none"/>
        </w:rPr>
        <w:t>投标文件的签字盖章要求：按本章投标人须知前附表第3.7.3项执行。</w:t>
      </w:r>
    </w:p>
    <w:p w14:paraId="610153AB">
      <w:pPr>
        <w:autoSpaceDE w:val="0"/>
        <w:autoSpaceDN w:val="0"/>
        <w:adjustRightInd w:val="0"/>
        <w:snapToGrid w:val="0"/>
        <w:spacing w:line="360" w:lineRule="auto"/>
        <w:ind w:right="-164"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 xml:space="preserve">3.7.4  </w:t>
      </w:r>
      <w:r>
        <w:rPr>
          <w:rFonts w:hint="eastAsia" w:ascii="宋体" w:hAnsi="宋体"/>
          <w:snapToGrid w:val="0"/>
          <w:color w:val="auto"/>
          <w:kern w:val="0"/>
          <w:szCs w:val="21"/>
          <w:highlight w:val="none"/>
        </w:rPr>
        <w:t>投标文件份数：</w:t>
      </w:r>
      <w:r>
        <w:rPr>
          <w:rFonts w:hint="eastAsia" w:ascii="宋体" w:hAnsi="宋体"/>
          <w:color w:val="auto"/>
          <w:kern w:val="0"/>
          <w:szCs w:val="21"/>
          <w:highlight w:val="none"/>
        </w:rPr>
        <w:t>投标人网上提交加密投标文件一份</w:t>
      </w:r>
      <w:r>
        <w:rPr>
          <w:rFonts w:ascii="宋体" w:hAnsi="宋体"/>
          <w:color w:val="auto"/>
          <w:kern w:val="0"/>
          <w:szCs w:val="21"/>
          <w:highlight w:val="none"/>
        </w:rPr>
        <w:t>。</w:t>
      </w:r>
    </w:p>
    <w:p w14:paraId="6DAA5A78">
      <w:pPr>
        <w:autoSpaceDE w:val="0"/>
        <w:autoSpaceDN w:val="0"/>
        <w:adjustRightInd w:val="0"/>
        <w:snapToGrid w:val="0"/>
        <w:spacing w:line="360" w:lineRule="auto"/>
        <w:ind w:right="-109"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3.7.5  投标文件</w:t>
      </w:r>
      <w:r>
        <w:rPr>
          <w:rFonts w:hint="eastAsia" w:ascii="宋体" w:hAnsi="宋体"/>
          <w:snapToGrid w:val="0"/>
          <w:color w:val="auto"/>
          <w:kern w:val="0"/>
          <w:szCs w:val="21"/>
          <w:highlight w:val="none"/>
        </w:rPr>
        <w:t>应按规定格式排版</w:t>
      </w:r>
      <w:r>
        <w:rPr>
          <w:rFonts w:ascii="宋体" w:hAnsi="宋体"/>
          <w:snapToGrid w:val="0"/>
          <w:color w:val="auto"/>
          <w:kern w:val="0"/>
          <w:szCs w:val="21"/>
          <w:highlight w:val="none"/>
        </w:rPr>
        <w:t>，并编制目录，具体</w:t>
      </w:r>
      <w:r>
        <w:rPr>
          <w:rFonts w:hint="eastAsia" w:ascii="宋体" w:hAnsi="宋体"/>
          <w:snapToGrid w:val="0"/>
          <w:color w:val="auto"/>
          <w:kern w:val="0"/>
          <w:szCs w:val="21"/>
          <w:highlight w:val="none"/>
        </w:rPr>
        <w:t>编制</w:t>
      </w:r>
      <w:r>
        <w:rPr>
          <w:rFonts w:ascii="宋体" w:hAnsi="宋体"/>
          <w:snapToGrid w:val="0"/>
          <w:color w:val="auto"/>
          <w:kern w:val="0"/>
          <w:szCs w:val="21"/>
          <w:highlight w:val="none"/>
        </w:rPr>
        <w:t>要求见投标人须知前附表规定。</w:t>
      </w:r>
    </w:p>
    <w:p w14:paraId="28651356">
      <w:pPr>
        <w:autoSpaceDE w:val="0"/>
        <w:autoSpaceDN w:val="0"/>
        <w:adjustRightInd w:val="0"/>
        <w:snapToGrid w:val="0"/>
        <w:spacing w:line="360" w:lineRule="auto"/>
        <w:ind w:right="-109"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3.7.6  电子投标文件制作</w:t>
      </w:r>
    </w:p>
    <w:p w14:paraId="2DE91367">
      <w:pPr>
        <w:autoSpaceDE w:val="0"/>
        <w:autoSpaceDN w:val="0"/>
        <w:adjustRightInd w:val="0"/>
        <w:snapToGrid w:val="0"/>
        <w:spacing w:line="360" w:lineRule="auto"/>
        <w:ind w:right="-109"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（1）电子投标文件由投标人使用专用的“新点投标文件制作软件（重庆版）”制作生成。</w:t>
      </w:r>
    </w:p>
    <w:p w14:paraId="17B7CC0B">
      <w:pPr>
        <w:autoSpaceDE w:val="0"/>
        <w:autoSpaceDN w:val="0"/>
        <w:adjustRightInd w:val="0"/>
        <w:snapToGrid w:val="0"/>
        <w:spacing w:line="360" w:lineRule="auto"/>
        <w:ind w:right="-109"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（2）投标人在编制电子投标文件时应当建立分级目录，并按照标签提示导入相关内容。</w:t>
      </w:r>
    </w:p>
    <w:p w14:paraId="0EB1EBC5">
      <w:pPr>
        <w:autoSpaceDE w:val="0"/>
        <w:autoSpaceDN w:val="0"/>
        <w:adjustRightInd w:val="0"/>
        <w:snapToGrid w:val="0"/>
        <w:spacing w:line="360" w:lineRule="auto"/>
        <w:ind w:right="-109"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（3）第八章 投标文件格式要求法定代表人或其委托代理人签字（或盖章）的须齐全，要求加盖单位法人章的，应使用 CA 数字证书加盖投标人的单位电子印章。</w:t>
      </w:r>
    </w:p>
    <w:p w14:paraId="75E791B6">
      <w:pPr>
        <w:autoSpaceDE w:val="0"/>
        <w:autoSpaceDN w:val="0"/>
        <w:adjustRightInd w:val="0"/>
        <w:snapToGrid w:val="0"/>
        <w:spacing w:line="360" w:lineRule="auto"/>
        <w:ind w:right="-109"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（4）电子投标文件制作完成后，将生成一份加密的电子投标文件（后缀名为.CQTF）和一份不加密的电子投标文件（后缀名为.nCQTF）。</w:t>
      </w:r>
    </w:p>
    <w:p w14:paraId="09FC95DA">
      <w:pPr>
        <w:autoSpaceDE w:val="0"/>
        <w:autoSpaceDN w:val="0"/>
        <w:adjustRightInd w:val="0"/>
        <w:snapToGrid w:val="0"/>
        <w:spacing w:line="360" w:lineRule="auto"/>
        <w:ind w:right="-109"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（5）投标人</w:t>
      </w:r>
      <w:r>
        <w:rPr>
          <w:rFonts w:hint="eastAsia" w:ascii="宋体" w:hAnsi="宋体" w:cs="宋体"/>
          <w:color w:val="auto"/>
          <w:szCs w:val="21"/>
          <w:highlight w:val="none"/>
        </w:rPr>
        <w:t>如需递交不加密电子投标文件的，应</w:t>
      </w:r>
      <w:r>
        <w:rPr>
          <w:rFonts w:hint="eastAsia" w:ascii="宋体" w:hAnsi="宋体"/>
          <w:snapToGrid w:val="0"/>
          <w:color w:val="auto"/>
          <w:kern w:val="0"/>
          <w:szCs w:val="21"/>
          <w:highlight w:val="none"/>
        </w:rPr>
        <w:t>将不加密的电子投标文件复制到一张光盘中，光盘表面粘贴标签贴，并将招标项目名称、投标人名称等信息填写在标签贴上。</w:t>
      </w:r>
    </w:p>
    <w:p w14:paraId="63657587">
      <w:pPr>
        <w:autoSpaceDE w:val="0"/>
        <w:autoSpaceDN w:val="0"/>
        <w:adjustRightInd w:val="0"/>
        <w:snapToGrid w:val="0"/>
        <w:spacing w:line="360" w:lineRule="auto"/>
        <w:ind w:right="-109"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（6）电子投标文件制作的具体方法详见“新点投标文件制作软件（重庆版）”中的帮助文档。</w:t>
      </w:r>
    </w:p>
    <w:p w14:paraId="4EA32E14">
      <w:pPr>
        <w:pStyle w:val="4"/>
        <w:keepNext w:val="0"/>
        <w:keepLines w:val="0"/>
        <w:spacing w:before="0" w:after="0" w:line="360" w:lineRule="auto"/>
        <w:rPr>
          <w:rFonts w:ascii="宋体" w:hAnsi="宋体"/>
          <w:b w:val="0"/>
          <w:snapToGrid w:val="0"/>
          <w:color w:val="auto"/>
          <w:highlight w:val="none"/>
        </w:rPr>
      </w:pPr>
      <w:bookmarkStart w:id="373" w:name="_Toc200513153"/>
      <w:bookmarkStart w:id="374" w:name="_Toc224103344"/>
      <w:bookmarkStart w:id="375" w:name="_Toc277082579"/>
      <w:bookmarkStart w:id="376" w:name="_Toc287607773"/>
      <w:bookmarkStart w:id="377" w:name="_Toc509218737"/>
      <w:bookmarkStart w:id="378" w:name="_Toc287620712"/>
      <w:bookmarkStart w:id="379" w:name="_Toc430530462"/>
      <w:bookmarkStart w:id="380" w:name="_Toc57820587"/>
      <w:r>
        <w:rPr>
          <w:rFonts w:ascii="宋体" w:hAnsi="宋体"/>
          <w:b w:val="0"/>
          <w:snapToGrid w:val="0"/>
          <w:color w:val="auto"/>
          <w:highlight w:val="none"/>
        </w:rPr>
        <w:t>4.  投标</w:t>
      </w:r>
      <w:bookmarkEnd w:id="373"/>
      <w:bookmarkEnd w:id="374"/>
      <w:bookmarkEnd w:id="375"/>
      <w:bookmarkEnd w:id="376"/>
      <w:bookmarkEnd w:id="377"/>
      <w:bookmarkEnd w:id="378"/>
      <w:bookmarkEnd w:id="379"/>
      <w:bookmarkEnd w:id="380"/>
    </w:p>
    <w:p w14:paraId="305F2DFA">
      <w:pPr>
        <w:pStyle w:val="5"/>
        <w:keepNext w:val="0"/>
        <w:keepLines w:val="0"/>
        <w:snapToGrid w:val="0"/>
        <w:spacing w:before="0" w:after="0" w:line="360" w:lineRule="auto"/>
        <w:rPr>
          <w:rFonts w:ascii="宋体" w:hAnsi="宋体"/>
          <w:b w:val="0"/>
          <w:snapToGrid w:val="0"/>
          <w:color w:val="auto"/>
          <w:sz w:val="24"/>
          <w:szCs w:val="24"/>
          <w:highlight w:val="none"/>
        </w:rPr>
      </w:pPr>
      <w:bookmarkStart w:id="381" w:name="_Toc224103345"/>
      <w:bookmarkStart w:id="382" w:name="_Toc57820588"/>
      <w:bookmarkStart w:id="383" w:name="_Toc430530463"/>
      <w:bookmarkStart w:id="384" w:name="_Toc509218738"/>
      <w:bookmarkStart w:id="385" w:name="_Toc287607774"/>
      <w:bookmarkStart w:id="386" w:name="_Toc277082580"/>
      <w:bookmarkStart w:id="387" w:name="_Toc200513154"/>
      <w:bookmarkStart w:id="388" w:name="_Toc287620713"/>
      <w:r>
        <w:rPr>
          <w:rFonts w:ascii="宋体" w:hAnsi="宋体"/>
          <w:b w:val="0"/>
          <w:snapToGrid w:val="0"/>
          <w:color w:val="auto"/>
          <w:sz w:val="24"/>
          <w:szCs w:val="24"/>
          <w:highlight w:val="none"/>
        </w:rPr>
        <w:t>4.1  投标文件的密封和标记</w:t>
      </w:r>
      <w:bookmarkEnd w:id="381"/>
      <w:bookmarkEnd w:id="382"/>
      <w:bookmarkEnd w:id="383"/>
      <w:bookmarkEnd w:id="384"/>
      <w:bookmarkEnd w:id="385"/>
      <w:bookmarkEnd w:id="386"/>
      <w:bookmarkEnd w:id="387"/>
      <w:bookmarkEnd w:id="388"/>
    </w:p>
    <w:p w14:paraId="48DA078F">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bookmarkStart w:id="389" w:name="_Toc200513155"/>
      <w:r>
        <w:rPr>
          <w:rFonts w:ascii="宋体" w:hAnsi="宋体"/>
          <w:snapToGrid w:val="0"/>
          <w:color w:val="auto"/>
          <w:kern w:val="0"/>
          <w:szCs w:val="21"/>
          <w:highlight w:val="none"/>
        </w:rPr>
        <w:t>4.1.1  投标文件的密封</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见投标人须知前附表。</w:t>
      </w:r>
    </w:p>
    <w:p w14:paraId="0D10102C">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4.1.2  投标文件的封套上应写明的内容</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见投标人须知前附表。</w:t>
      </w:r>
    </w:p>
    <w:p w14:paraId="47E4C829">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4.1.3  电子投标文件的加密</w:t>
      </w:r>
    </w:p>
    <w:p w14:paraId="5B5BC659">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加密的电子投标文件应按照本章第3.7.6项要求制作并加密，未按要求加密的电子投标文件，将无法上传至</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，逾期未完成上传投标文件的，视为撤回投标文件。</w:t>
      </w:r>
    </w:p>
    <w:p w14:paraId="609013B3">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4.1.4  不加密电子投标文件的密封</w:t>
      </w:r>
    </w:p>
    <w:p w14:paraId="63E8DDEA">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投标人如需递交不加密电子投标文件（光盘备份）应单独封装，并在封套的封口处加盖投标人单位法人章。</w:t>
      </w:r>
    </w:p>
    <w:p w14:paraId="38D875D6">
      <w:pPr>
        <w:pStyle w:val="5"/>
        <w:keepNext w:val="0"/>
        <w:keepLines w:val="0"/>
        <w:snapToGrid w:val="0"/>
        <w:spacing w:before="0" w:after="0" w:line="360" w:lineRule="auto"/>
        <w:rPr>
          <w:rFonts w:ascii="宋体" w:hAnsi="宋体"/>
          <w:b w:val="0"/>
          <w:snapToGrid w:val="0"/>
          <w:color w:val="auto"/>
          <w:sz w:val="24"/>
          <w:szCs w:val="24"/>
          <w:highlight w:val="none"/>
        </w:rPr>
      </w:pPr>
      <w:bookmarkStart w:id="390" w:name="_Toc509218739"/>
      <w:bookmarkStart w:id="391" w:name="_Toc430530464"/>
      <w:bookmarkStart w:id="392" w:name="_Toc287620714"/>
      <w:bookmarkStart w:id="393" w:name="_Toc287607775"/>
      <w:bookmarkStart w:id="394" w:name="_Toc277082581"/>
      <w:bookmarkStart w:id="395" w:name="_Toc57820589"/>
      <w:bookmarkStart w:id="396" w:name="_Toc224103346"/>
      <w:r>
        <w:rPr>
          <w:rFonts w:ascii="宋体" w:hAnsi="宋体"/>
          <w:b w:val="0"/>
          <w:snapToGrid w:val="0"/>
          <w:color w:val="auto"/>
          <w:sz w:val="24"/>
          <w:szCs w:val="24"/>
          <w:highlight w:val="none"/>
        </w:rPr>
        <w:t>4.2  投标文件的递交</w:t>
      </w:r>
      <w:bookmarkEnd w:id="389"/>
      <w:bookmarkEnd w:id="390"/>
      <w:bookmarkEnd w:id="391"/>
      <w:bookmarkEnd w:id="392"/>
      <w:bookmarkEnd w:id="393"/>
      <w:bookmarkEnd w:id="394"/>
      <w:bookmarkEnd w:id="395"/>
      <w:bookmarkEnd w:id="396"/>
    </w:p>
    <w:p w14:paraId="0649114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4.2.1  投标人应在投标人须知前附表第 2.2.2 项规定的投标截止时间前递交投标文件。</w:t>
      </w:r>
    </w:p>
    <w:p w14:paraId="22455BB6">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4.2.2  投标人递交投标文件的地点：见投标人须知前附表。</w:t>
      </w:r>
    </w:p>
    <w:p w14:paraId="6706EA5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4.2.3  除投标人须知前附表另有规定外，投标人所递交的投标文件不予退还。</w:t>
      </w:r>
    </w:p>
    <w:p w14:paraId="0250417D">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4.2.4  招标人收到投标文件后，由</w:t>
      </w:r>
      <w:r>
        <w:rPr>
          <w:rFonts w:hint="eastAsia" w:ascii="宋体" w:hAnsi="宋体" w:cs="宋体"/>
          <w:color w:val="auto"/>
          <w:szCs w:val="21"/>
          <w:highlight w:val="none"/>
          <w:u w:val="none"/>
        </w:rPr>
        <w:t>重庆市电子招投标系统</w:t>
      </w:r>
      <w:r>
        <w:rPr>
          <w:rFonts w:ascii="宋体" w:hAnsi="宋体"/>
          <w:snapToGrid w:val="0"/>
          <w:color w:val="auto"/>
          <w:kern w:val="0"/>
          <w:szCs w:val="21"/>
          <w:highlight w:val="none"/>
        </w:rPr>
        <w:t>向投标人出具签收凭证。</w:t>
      </w:r>
    </w:p>
    <w:p w14:paraId="22355DAD">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4.2.5  逾期送达的或者未送达指定地点的投标文件，招标人不予受理。</w:t>
      </w:r>
    </w:p>
    <w:p w14:paraId="1A24272A">
      <w:pPr>
        <w:pStyle w:val="5"/>
        <w:keepNext w:val="0"/>
        <w:keepLines w:val="0"/>
        <w:snapToGrid w:val="0"/>
        <w:spacing w:before="0" w:after="0" w:line="360" w:lineRule="auto"/>
        <w:rPr>
          <w:rFonts w:ascii="宋体" w:hAnsi="宋体"/>
          <w:b w:val="0"/>
          <w:snapToGrid w:val="0"/>
          <w:color w:val="auto"/>
          <w:sz w:val="24"/>
          <w:szCs w:val="24"/>
          <w:highlight w:val="none"/>
        </w:rPr>
      </w:pPr>
      <w:bookmarkStart w:id="397" w:name="_Toc57820590"/>
      <w:bookmarkStart w:id="398" w:name="_Toc287607776"/>
      <w:bookmarkStart w:id="399" w:name="_Toc224103347"/>
      <w:bookmarkStart w:id="400" w:name="_Toc277082582"/>
      <w:bookmarkStart w:id="401" w:name="_Toc430530465"/>
      <w:bookmarkStart w:id="402" w:name="_Toc287620715"/>
      <w:bookmarkStart w:id="403" w:name="_Toc509218740"/>
      <w:bookmarkStart w:id="404" w:name="_Toc200513156"/>
      <w:r>
        <w:rPr>
          <w:rFonts w:ascii="宋体" w:hAnsi="宋体"/>
          <w:b w:val="0"/>
          <w:snapToGrid w:val="0"/>
          <w:color w:val="auto"/>
          <w:sz w:val="24"/>
          <w:szCs w:val="24"/>
          <w:highlight w:val="none"/>
        </w:rPr>
        <w:t>4.3  投标文件的修改与撤回</w:t>
      </w:r>
      <w:bookmarkEnd w:id="397"/>
      <w:bookmarkEnd w:id="398"/>
      <w:bookmarkEnd w:id="399"/>
      <w:bookmarkEnd w:id="400"/>
      <w:bookmarkEnd w:id="401"/>
      <w:bookmarkEnd w:id="402"/>
      <w:bookmarkEnd w:id="403"/>
      <w:bookmarkEnd w:id="404"/>
    </w:p>
    <w:p w14:paraId="66137396">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4.3.1  在投标人须知前附表第2.2.2项规定的投标截止时间前，投标人可以修改或撤回已递交的投标文件。</w:t>
      </w:r>
      <w:r>
        <w:rPr>
          <w:rFonts w:hint="eastAsia" w:ascii="宋体" w:hAnsi="宋体" w:cs="宋体"/>
          <w:color w:val="auto"/>
          <w:szCs w:val="21"/>
          <w:highlight w:val="none"/>
        </w:rPr>
        <w:t>投标人修改投标文件的，应按照本章第 3.7.3 项的要求重新对投标文件进行电子签章，再按照本章第 4.2 款的要求提交。</w:t>
      </w:r>
    </w:p>
    <w:p w14:paraId="2DA484CD">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4.3.2  投标人对加密的电子投标文件进行撤回的，在</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直接进行撤回操作；任何情况下，投标人都有义务保证其递交的加密的电子投标文件和不加密电子投标文件（光盘备份）的内容保持一致，否则造成的后果由投标人自行承担。</w:t>
      </w:r>
    </w:p>
    <w:p w14:paraId="778DD679">
      <w:pPr>
        <w:pStyle w:val="4"/>
        <w:keepNext w:val="0"/>
        <w:keepLines w:val="0"/>
        <w:spacing w:before="0" w:after="0" w:line="360" w:lineRule="auto"/>
        <w:rPr>
          <w:rFonts w:ascii="宋体" w:hAnsi="宋体"/>
          <w:b w:val="0"/>
          <w:snapToGrid w:val="0"/>
          <w:color w:val="auto"/>
          <w:highlight w:val="none"/>
        </w:rPr>
      </w:pPr>
      <w:bookmarkStart w:id="405" w:name="_Toc430530466"/>
      <w:bookmarkStart w:id="406" w:name="_Toc287620716"/>
      <w:bookmarkStart w:id="407" w:name="_Toc200513157"/>
      <w:bookmarkStart w:id="408" w:name="_Toc509218741"/>
      <w:bookmarkStart w:id="409" w:name="_Toc57820591"/>
      <w:bookmarkStart w:id="410" w:name="_Toc287607777"/>
      <w:bookmarkStart w:id="411" w:name="_Toc224103348"/>
      <w:bookmarkStart w:id="412" w:name="_Toc277082583"/>
      <w:r>
        <w:rPr>
          <w:rFonts w:ascii="宋体" w:hAnsi="宋体"/>
          <w:b w:val="0"/>
          <w:snapToGrid w:val="0"/>
          <w:color w:val="auto"/>
          <w:highlight w:val="none"/>
        </w:rPr>
        <w:t>5.  开标</w:t>
      </w:r>
      <w:bookmarkEnd w:id="405"/>
      <w:bookmarkEnd w:id="406"/>
      <w:bookmarkEnd w:id="407"/>
      <w:bookmarkEnd w:id="408"/>
      <w:bookmarkEnd w:id="409"/>
      <w:bookmarkEnd w:id="410"/>
      <w:bookmarkEnd w:id="411"/>
      <w:bookmarkEnd w:id="412"/>
    </w:p>
    <w:p w14:paraId="5579086F">
      <w:pPr>
        <w:pStyle w:val="5"/>
        <w:keepNext w:val="0"/>
        <w:keepLines w:val="0"/>
        <w:snapToGrid w:val="0"/>
        <w:spacing w:before="0" w:after="0" w:line="360" w:lineRule="auto"/>
        <w:rPr>
          <w:rFonts w:ascii="宋体" w:hAnsi="宋体"/>
          <w:b w:val="0"/>
          <w:snapToGrid w:val="0"/>
          <w:color w:val="auto"/>
          <w:sz w:val="24"/>
          <w:szCs w:val="24"/>
          <w:highlight w:val="none"/>
        </w:rPr>
      </w:pPr>
      <w:bookmarkStart w:id="413" w:name="_Toc200513158"/>
      <w:bookmarkStart w:id="414" w:name="_Toc277082584"/>
      <w:bookmarkStart w:id="415" w:name="_Toc57820592"/>
      <w:bookmarkStart w:id="416" w:name="_Toc509218742"/>
      <w:bookmarkStart w:id="417" w:name="_Toc224103349"/>
      <w:bookmarkStart w:id="418" w:name="_Toc287620717"/>
      <w:bookmarkStart w:id="419" w:name="_Toc287607778"/>
      <w:bookmarkStart w:id="420" w:name="_Toc430530467"/>
      <w:r>
        <w:rPr>
          <w:rFonts w:ascii="宋体" w:hAnsi="宋体"/>
          <w:b w:val="0"/>
          <w:snapToGrid w:val="0"/>
          <w:color w:val="auto"/>
          <w:sz w:val="24"/>
          <w:szCs w:val="24"/>
          <w:highlight w:val="none"/>
        </w:rPr>
        <w:t>5.1  开标时间和地点</w:t>
      </w:r>
      <w:bookmarkEnd w:id="413"/>
      <w:bookmarkEnd w:id="414"/>
      <w:bookmarkEnd w:id="415"/>
      <w:bookmarkEnd w:id="416"/>
      <w:bookmarkEnd w:id="417"/>
      <w:bookmarkEnd w:id="418"/>
      <w:bookmarkEnd w:id="419"/>
      <w:bookmarkEnd w:id="420"/>
    </w:p>
    <w:p w14:paraId="1E242AA5">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 xml:space="preserve">5.1.1  </w:t>
      </w:r>
      <w:r>
        <w:rPr>
          <w:rFonts w:ascii="宋体" w:hAnsi="宋体"/>
          <w:snapToGrid w:val="0"/>
          <w:color w:val="auto"/>
          <w:kern w:val="0"/>
          <w:szCs w:val="21"/>
          <w:highlight w:val="none"/>
        </w:rPr>
        <w:t>招标人在投标人须知前附表第 2.2.2 项规定的投标截止时间（开标时间）和投标人须知前附表规定的地点公开开标，并邀请所有投标人的法定代表人或其委托代理人准时参加。</w:t>
      </w:r>
    </w:p>
    <w:p w14:paraId="0E75BBA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5.1.2  投标人在投标人须知前附表第 5.1.2 项规定的解密时间内在线或到开标现场完成投标文件解密工作。</w:t>
      </w:r>
    </w:p>
    <w:p w14:paraId="02DF105C">
      <w:pPr>
        <w:pStyle w:val="5"/>
        <w:keepNext w:val="0"/>
        <w:keepLines w:val="0"/>
        <w:snapToGrid w:val="0"/>
        <w:spacing w:before="0" w:after="0" w:line="360" w:lineRule="auto"/>
        <w:rPr>
          <w:rFonts w:ascii="宋体" w:hAnsi="宋体"/>
          <w:b w:val="0"/>
          <w:snapToGrid w:val="0"/>
          <w:color w:val="auto"/>
          <w:sz w:val="24"/>
          <w:szCs w:val="24"/>
          <w:highlight w:val="none"/>
        </w:rPr>
      </w:pPr>
      <w:bookmarkStart w:id="421" w:name="_Toc287620718"/>
      <w:bookmarkStart w:id="422" w:name="_Toc430530468"/>
      <w:bookmarkStart w:id="423" w:name="_Toc277082585"/>
      <w:bookmarkStart w:id="424" w:name="_Toc57820593"/>
      <w:bookmarkStart w:id="425" w:name="_Toc200513159"/>
      <w:bookmarkStart w:id="426" w:name="_Toc224103350"/>
      <w:bookmarkStart w:id="427" w:name="_Toc287607779"/>
      <w:bookmarkStart w:id="428" w:name="_Toc509218743"/>
      <w:r>
        <w:rPr>
          <w:rFonts w:ascii="宋体" w:hAnsi="宋体"/>
          <w:b w:val="0"/>
          <w:snapToGrid w:val="0"/>
          <w:color w:val="auto"/>
          <w:sz w:val="24"/>
          <w:szCs w:val="24"/>
          <w:highlight w:val="none"/>
        </w:rPr>
        <w:t>5.2  开标程序</w:t>
      </w:r>
      <w:bookmarkEnd w:id="421"/>
      <w:bookmarkEnd w:id="422"/>
      <w:bookmarkEnd w:id="423"/>
      <w:bookmarkEnd w:id="424"/>
      <w:bookmarkEnd w:id="425"/>
      <w:bookmarkEnd w:id="426"/>
      <w:bookmarkEnd w:id="427"/>
      <w:bookmarkEnd w:id="428"/>
    </w:p>
    <w:p w14:paraId="39E407B5">
      <w:pPr>
        <w:autoSpaceDE w:val="0"/>
        <w:autoSpaceDN w:val="0"/>
        <w:adjustRightInd w:val="0"/>
        <w:snapToGrid w:val="0"/>
        <w:spacing w:line="360" w:lineRule="auto"/>
        <w:ind w:firstLine="420" w:firstLineChars="200"/>
        <w:rPr>
          <w:rFonts w:hint="eastAsia" w:ascii="宋体" w:hAnsi="宋体"/>
          <w:color w:val="auto"/>
          <w:szCs w:val="21"/>
          <w:highlight w:val="none"/>
        </w:rPr>
      </w:pPr>
      <w:bookmarkStart w:id="429" w:name="_Toc287607780"/>
      <w:bookmarkStart w:id="430" w:name="_Toc287620719"/>
      <w:bookmarkStart w:id="431" w:name="_Toc200513160"/>
      <w:bookmarkStart w:id="432" w:name="_Toc277082586"/>
      <w:bookmarkStart w:id="433" w:name="_Toc224103351"/>
      <w:r>
        <w:rPr>
          <w:rFonts w:ascii="宋体" w:hAnsi="宋体"/>
          <w:color w:val="auto"/>
          <w:szCs w:val="21"/>
          <w:highlight w:val="none"/>
        </w:rPr>
        <w:t>详见投标人须知前附表第5.2款开标程序。</w:t>
      </w:r>
    </w:p>
    <w:p w14:paraId="63442DDB">
      <w:pPr>
        <w:pStyle w:val="5"/>
        <w:keepNext w:val="0"/>
        <w:keepLines w:val="0"/>
        <w:snapToGrid w:val="0"/>
        <w:spacing w:before="0" w:after="0" w:line="360" w:lineRule="auto"/>
        <w:rPr>
          <w:rFonts w:ascii="宋体" w:hAnsi="宋体"/>
          <w:b w:val="0"/>
          <w:snapToGrid w:val="0"/>
          <w:color w:val="auto"/>
          <w:sz w:val="24"/>
          <w:szCs w:val="24"/>
          <w:highlight w:val="none"/>
        </w:rPr>
      </w:pPr>
      <w:bookmarkStart w:id="434" w:name="_Toc57820594"/>
      <w:r>
        <w:rPr>
          <w:rFonts w:ascii="宋体" w:hAnsi="宋体"/>
          <w:b w:val="0"/>
          <w:snapToGrid w:val="0"/>
          <w:color w:val="auto"/>
          <w:sz w:val="24"/>
          <w:szCs w:val="24"/>
          <w:highlight w:val="none"/>
        </w:rPr>
        <w:t>5.</w:t>
      </w:r>
      <w:r>
        <w:rPr>
          <w:rFonts w:hint="eastAsia" w:ascii="宋体" w:hAnsi="宋体"/>
          <w:b w:val="0"/>
          <w:snapToGrid w:val="0"/>
          <w:color w:val="auto"/>
          <w:sz w:val="24"/>
          <w:szCs w:val="24"/>
          <w:highlight w:val="none"/>
        </w:rPr>
        <w:t>3</w:t>
      </w:r>
      <w:r>
        <w:rPr>
          <w:rFonts w:ascii="宋体" w:hAnsi="宋体"/>
          <w:b w:val="0"/>
          <w:snapToGrid w:val="0"/>
          <w:color w:val="auto"/>
          <w:sz w:val="24"/>
          <w:szCs w:val="24"/>
          <w:highlight w:val="none"/>
        </w:rPr>
        <w:t xml:space="preserve">  </w:t>
      </w:r>
      <w:r>
        <w:rPr>
          <w:rFonts w:hint="eastAsia" w:ascii="宋体" w:hAnsi="宋体"/>
          <w:b w:val="0"/>
          <w:snapToGrid w:val="0"/>
          <w:color w:val="auto"/>
          <w:sz w:val="24"/>
          <w:szCs w:val="24"/>
          <w:highlight w:val="none"/>
        </w:rPr>
        <w:t>开标异议</w:t>
      </w:r>
      <w:bookmarkEnd w:id="434"/>
    </w:p>
    <w:p w14:paraId="6CE58BA4">
      <w:pPr>
        <w:autoSpaceDE w:val="0"/>
        <w:autoSpaceDN w:val="0"/>
        <w:adjustRightInd w:val="0"/>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投标人对开标有异议的，应在开标现场提出，招标人当场作出答复，并制作记录，有异议的投标人代表、招标人代表、主持人、记录人等有关人员在记录上签字确认</w:t>
      </w:r>
      <w:r>
        <w:rPr>
          <w:rFonts w:ascii="宋体" w:hAnsi="宋体"/>
          <w:color w:val="auto"/>
          <w:szCs w:val="21"/>
          <w:highlight w:val="none"/>
        </w:rPr>
        <w:t>。</w:t>
      </w:r>
    </w:p>
    <w:p w14:paraId="3C612F8A">
      <w:pPr>
        <w:pStyle w:val="4"/>
        <w:keepNext w:val="0"/>
        <w:keepLines w:val="0"/>
        <w:spacing w:before="0" w:after="0" w:line="360" w:lineRule="auto"/>
        <w:rPr>
          <w:rFonts w:ascii="宋体" w:hAnsi="宋体"/>
          <w:b w:val="0"/>
          <w:snapToGrid w:val="0"/>
          <w:color w:val="auto"/>
          <w:highlight w:val="none"/>
        </w:rPr>
      </w:pPr>
      <w:bookmarkStart w:id="435" w:name="_Toc430530469"/>
      <w:bookmarkStart w:id="436" w:name="_Toc57820595"/>
      <w:bookmarkStart w:id="437" w:name="_Toc509218744"/>
      <w:r>
        <w:rPr>
          <w:rFonts w:ascii="宋体" w:hAnsi="宋体"/>
          <w:b w:val="0"/>
          <w:snapToGrid w:val="0"/>
          <w:color w:val="auto"/>
          <w:highlight w:val="none"/>
        </w:rPr>
        <w:t>6.  评标</w:t>
      </w:r>
      <w:bookmarkEnd w:id="429"/>
      <w:bookmarkEnd w:id="430"/>
      <w:bookmarkEnd w:id="431"/>
      <w:bookmarkEnd w:id="432"/>
      <w:bookmarkEnd w:id="433"/>
      <w:bookmarkEnd w:id="435"/>
      <w:bookmarkEnd w:id="436"/>
      <w:bookmarkEnd w:id="437"/>
    </w:p>
    <w:p w14:paraId="5892DAA9">
      <w:pPr>
        <w:pStyle w:val="5"/>
        <w:keepNext w:val="0"/>
        <w:keepLines w:val="0"/>
        <w:snapToGrid w:val="0"/>
        <w:spacing w:before="0" w:after="0" w:line="360" w:lineRule="auto"/>
        <w:rPr>
          <w:rFonts w:ascii="宋体" w:hAnsi="宋体"/>
          <w:b w:val="0"/>
          <w:snapToGrid w:val="0"/>
          <w:color w:val="auto"/>
          <w:sz w:val="24"/>
          <w:szCs w:val="24"/>
          <w:highlight w:val="none"/>
        </w:rPr>
      </w:pPr>
      <w:bookmarkStart w:id="438" w:name="_Toc57820596"/>
      <w:bookmarkStart w:id="439" w:name="_Toc509218745"/>
      <w:bookmarkStart w:id="440" w:name="_Toc224103352"/>
      <w:bookmarkStart w:id="441" w:name="_Toc287620720"/>
      <w:bookmarkStart w:id="442" w:name="_Toc200513161"/>
      <w:bookmarkStart w:id="443" w:name="_Toc277082587"/>
      <w:bookmarkStart w:id="444" w:name="_Toc287607781"/>
      <w:bookmarkStart w:id="445" w:name="_Toc430530470"/>
      <w:r>
        <w:rPr>
          <w:rFonts w:ascii="宋体" w:hAnsi="宋体"/>
          <w:b w:val="0"/>
          <w:snapToGrid w:val="0"/>
          <w:color w:val="auto"/>
          <w:sz w:val="24"/>
          <w:szCs w:val="24"/>
          <w:highlight w:val="none"/>
        </w:rPr>
        <w:t>6.1  评标委员会</w:t>
      </w:r>
      <w:bookmarkEnd w:id="438"/>
      <w:bookmarkEnd w:id="439"/>
      <w:bookmarkEnd w:id="440"/>
      <w:bookmarkEnd w:id="441"/>
      <w:bookmarkEnd w:id="442"/>
      <w:bookmarkEnd w:id="443"/>
      <w:bookmarkEnd w:id="444"/>
      <w:bookmarkEnd w:id="445"/>
    </w:p>
    <w:p w14:paraId="71CCEB21">
      <w:pPr>
        <w:autoSpaceDE w:val="0"/>
        <w:autoSpaceDN w:val="0"/>
        <w:adjustRightInd w:val="0"/>
        <w:snapToGrid w:val="0"/>
        <w:spacing w:line="360" w:lineRule="auto"/>
        <w:ind w:firstLine="420" w:firstLineChars="200"/>
        <w:rPr>
          <w:rFonts w:ascii="宋体" w:hAnsi="宋体"/>
          <w:b/>
          <w:snapToGrid w:val="0"/>
          <w:color w:val="auto"/>
          <w:kern w:val="0"/>
          <w:szCs w:val="21"/>
          <w:highlight w:val="none"/>
        </w:rPr>
      </w:pPr>
      <w:r>
        <w:rPr>
          <w:rFonts w:ascii="宋体" w:hAnsi="宋体"/>
          <w:snapToGrid w:val="0"/>
          <w:color w:val="auto"/>
          <w:kern w:val="0"/>
          <w:szCs w:val="21"/>
          <w:highlight w:val="none"/>
        </w:rPr>
        <w:t>6.1.1  评标由招标人依据法律法规和相关规范性文件组建的评标委员会负责。</w:t>
      </w:r>
    </w:p>
    <w:p w14:paraId="0E1AD357">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6.1.2  评标委员会成员有下列情形之一的，应当回避：</w:t>
      </w:r>
    </w:p>
    <w:p w14:paraId="634ADAE7">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（1）投标人或投标人的主要负责人的近亲属；</w:t>
      </w:r>
    </w:p>
    <w:p w14:paraId="1C231A27">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（2）项目主管部门或者</w:t>
      </w:r>
      <w:r>
        <w:rPr>
          <w:rFonts w:hint="eastAsia" w:ascii="宋体" w:hAnsi="宋体"/>
          <w:snapToGrid w:val="0"/>
          <w:color w:val="auto"/>
          <w:kern w:val="0"/>
          <w:szCs w:val="21"/>
          <w:highlight w:val="none"/>
        </w:rPr>
        <w:t>项目</w:t>
      </w:r>
      <w:r>
        <w:rPr>
          <w:rFonts w:ascii="宋体" w:hAnsi="宋体"/>
          <w:snapToGrid w:val="0"/>
          <w:color w:val="auto"/>
          <w:kern w:val="0"/>
          <w:szCs w:val="21"/>
          <w:highlight w:val="none"/>
        </w:rPr>
        <w:t>行政监督部门的人员；</w:t>
      </w:r>
    </w:p>
    <w:p w14:paraId="65639407">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（3）与投标人有利害关系，可能影响对投标公正评审的；</w:t>
      </w:r>
    </w:p>
    <w:p w14:paraId="59B306C2">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（4）曾因在招标、评标以及其他与招标投标有关活动中从事违法行为而受过行政处罚或刑事处罚的</w:t>
      </w:r>
      <w:r>
        <w:rPr>
          <w:rFonts w:hint="eastAsia" w:ascii="宋体" w:hAnsi="宋体"/>
          <w:snapToGrid w:val="0"/>
          <w:color w:val="auto"/>
          <w:kern w:val="0"/>
          <w:szCs w:val="21"/>
          <w:highlight w:val="none"/>
        </w:rPr>
        <w:t>；</w:t>
      </w:r>
    </w:p>
    <w:p w14:paraId="311E2182">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（5）法律法规规定的其他情形。</w:t>
      </w:r>
    </w:p>
    <w:p w14:paraId="50C2B613">
      <w:pPr>
        <w:pStyle w:val="98"/>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6.1.3  评标过程中，评标委员会成员有回避事由、擅离职守或者因健康等原因不能继续评标的，应当及时更换。被更换的评标委员会成员作出的评审结论无效，由更换后的评标委员会成员重新进行评审。</w:t>
      </w:r>
    </w:p>
    <w:p w14:paraId="3F77F96A">
      <w:pPr>
        <w:pStyle w:val="5"/>
        <w:snapToGrid w:val="0"/>
        <w:spacing w:before="0" w:after="0" w:line="360" w:lineRule="auto"/>
        <w:rPr>
          <w:rFonts w:ascii="宋体" w:hAnsi="宋体"/>
          <w:b w:val="0"/>
          <w:snapToGrid w:val="0"/>
          <w:color w:val="auto"/>
          <w:sz w:val="24"/>
          <w:szCs w:val="24"/>
          <w:highlight w:val="none"/>
        </w:rPr>
      </w:pPr>
      <w:bookmarkStart w:id="446" w:name="_Toc277082588"/>
      <w:bookmarkStart w:id="447" w:name="_Toc200513162"/>
      <w:bookmarkStart w:id="448" w:name="_Toc430530471"/>
      <w:bookmarkStart w:id="449" w:name="_Toc57820597"/>
      <w:bookmarkStart w:id="450" w:name="_Toc287607782"/>
      <w:bookmarkStart w:id="451" w:name="_Toc287620721"/>
      <w:bookmarkStart w:id="452" w:name="_Toc509218746"/>
      <w:bookmarkStart w:id="453" w:name="_Toc224103353"/>
      <w:r>
        <w:rPr>
          <w:rFonts w:ascii="宋体" w:hAnsi="宋体"/>
          <w:b w:val="0"/>
          <w:snapToGrid w:val="0"/>
          <w:color w:val="auto"/>
          <w:sz w:val="24"/>
          <w:szCs w:val="24"/>
          <w:highlight w:val="none"/>
        </w:rPr>
        <w:t>6.2  评标原则</w:t>
      </w:r>
      <w:bookmarkEnd w:id="446"/>
      <w:bookmarkEnd w:id="447"/>
      <w:bookmarkEnd w:id="448"/>
      <w:bookmarkEnd w:id="449"/>
      <w:bookmarkEnd w:id="450"/>
      <w:bookmarkEnd w:id="451"/>
      <w:bookmarkEnd w:id="452"/>
      <w:bookmarkEnd w:id="453"/>
    </w:p>
    <w:p w14:paraId="4D56334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评标活动遵循公平、公正、科学和择优的原则。</w:t>
      </w:r>
    </w:p>
    <w:p w14:paraId="3848A766">
      <w:pPr>
        <w:pStyle w:val="5"/>
        <w:snapToGrid w:val="0"/>
        <w:spacing w:before="0" w:after="0" w:line="360" w:lineRule="auto"/>
        <w:rPr>
          <w:rFonts w:ascii="宋体" w:hAnsi="宋体"/>
          <w:b w:val="0"/>
          <w:snapToGrid w:val="0"/>
          <w:color w:val="auto"/>
          <w:sz w:val="24"/>
          <w:szCs w:val="24"/>
          <w:highlight w:val="none"/>
        </w:rPr>
      </w:pPr>
      <w:bookmarkStart w:id="454" w:name="_Toc200513163"/>
      <w:bookmarkStart w:id="455" w:name="_Toc224103354"/>
      <w:bookmarkStart w:id="456" w:name="_Toc277082589"/>
      <w:bookmarkStart w:id="457" w:name="_Toc287607783"/>
      <w:bookmarkStart w:id="458" w:name="_Toc430530472"/>
      <w:bookmarkStart w:id="459" w:name="_Toc287620722"/>
      <w:bookmarkStart w:id="460" w:name="_Toc509218747"/>
      <w:bookmarkStart w:id="461" w:name="_Toc57820598"/>
      <w:r>
        <w:rPr>
          <w:rFonts w:ascii="宋体" w:hAnsi="宋体"/>
          <w:b w:val="0"/>
          <w:snapToGrid w:val="0"/>
          <w:color w:val="auto"/>
          <w:sz w:val="24"/>
          <w:szCs w:val="24"/>
          <w:highlight w:val="none"/>
        </w:rPr>
        <w:t>6.3  评标</w:t>
      </w:r>
      <w:bookmarkEnd w:id="454"/>
      <w:bookmarkEnd w:id="455"/>
      <w:bookmarkEnd w:id="456"/>
      <w:bookmarkEnd w:id="457"/>
      <w:bookmarkEnd w:id="458"/>
      <w:bookmarkEnd w:id="459"/>
      <w:bookmarkEnd w:id="460"/>
      <w:bookmarkEnd w:id="461"/>
    </w:p>
    <w:p w14:paraId="54ACA5FB">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评标委员会按照第三章“评标办法”规定的方法、评审因素、标准和程序对投标文件进行评审。第三章“评标办法”没有规定的方法、评审因素和标准，不得作为评标依据。</w:t>
      </w:r>
    </w:p>
    <w:p w14:paraId="0E132234">
      <w:pPr>
        <w:pStyle w:val="4"/>
        <w:spacing w:before="0" w:after="0" w:line="360" w:lineRule="auto"/>
        <w:rPr>
          <w:rFonts w:ascii="宋体" w:hAnsi="宋体"/>
          <w:b w:val="0"/>
          <w:snapToGrid w:val="0"/>
          <w:color w:val="auto"/>
          <w:highlight w:val="none"/>
        </w:rPr>
      </w:pPr>
      <w:bookmarkStart w:id="462" w:name="_Toc200513164"/>
      <w:bookmarkStart w:id="463" w:name="_Toc224103355"/>
      <w:bookmarkStart w:id="464" w:name="_Toc277082590"/>
      <w:bookmarkStart w:id="465" w:name="_Toc287607784"/>
      <w:bookmarkStart w:id="466" w:name="_Toc287620723"/>
      <w:bookmarkStart w:id="467" w:name="_Toc57820599"/>
      <w:bookmarkStart w:id="468" w:name="_Toc509218748"/>
      <w:bookmarkStart w:id="469" w:name="_Toc430530473"/>
      <w:r>
        <w:rPr>
          <w:rFonts w:ascii="宋体" w:hAnsi="宋体"/>
          <w:b w:val="0"/>
          <w:snapToGrid w:val="0"/>
          <w:color w:val="auto"/>
          <w:highlight w:val="none"/>
        </w:rPr>
        <w:t>7.  合同授予</w:t>
      </w:r>
      <w:bookmarkEnd w:id="462"/>
      <w:bookmarkEnd w:id="463"/>
      <w:bookmarkEnd w:id="464"/>
      <w:bookmarkEnd w:id="465"/>
      <w:bookmarkEnd w:id="466"/>
      <w:bookmarkEnd w:id="467"/>
      <w:bookmarkEnd w:id="468"/>
      <w:bookmarkEnd w:id="469"/>
    </w:p>
    <w:p w14:paraId="57C466F9">
      <w:pPr>
        <w:pStyle w:val="5"/>
        <w:snapToGrid w:val="0"/>
        <w:spacing w:before="0" w:after="0" w:line="360" w:lineRule="auto"/>
        <w:rPr>
          <w:rFonts w:ascii="宋体" w:hAnsi="宋体"/>
          <w:b w:val="0"/>
          <w:snapToGrid w:val="0"/>
          <w:color w:val="auto"/>
          <w:sz w:val="24"/>
          <w:szCs w:val="24"/>
          <w:highlight w:val="none"/>
        </w:rPr>
      </w:pPr>
      <w:bookmarkStart w:id="470" w:name="_Toc277082591"/>
      <w:bookmarkStart w:id="471" w:name="_Toc287607785"/>
      <w:bookmarkStart w:id="472" w:name="_Toc287620724"/>
      <w:bookmarkStart w:id="473" w:name="_Toc430530474"/>
      <w:bookmarkStart w:id="474" w:name="_Toc200513165"/>
      <w:bookmarkStart w:id="475" w:name="_Toc224103356"/>
      <w:bookmarkStart w:id="476" w:name="_Toc57820600"/>
      <w:bookmarkStart w:id="477" w:name="_Toc509218749"/>
      <w:r>
        <w:rPr>
          <w:rFonts w:ascii="宋体" w:hAnsi="宋体"/>
          <w:b w:val="0"/>
          <w:snapToGrid w:val="0"/>
          <w:color w:val="auto"/>
          <w:sz w:val="24"/>
          <w:szCs w:val="24"/>
          <w:highlight w:val="none"/>
        </w:rPr>
        <w:t>7.1  定标方式</w:t>
      </w:r>
      <w:bookmarkEnd w:id="470"/>
      <w:bookmarkEnd w:id="471"/>
      <w:bookmarkEnd w:id="472"/>
      <w:bookmarkEnd w:id="473"/>
      <w:bookmarkEnd w:id="474"/>
      <w:bookmarkEnd w:id="475"/>
      <w:bookmarkEnd w:id="476"/>
      <w:bookmarkEnd w:id="477"/>
    </w:p>
    <w:p w14:paraId="64C53205">
      <w:pPr>
        <w:spacing w:line="360" w:lineRule="auto"/>
        <w:ind w:firstLine="420" w:firstLineChars="200"/>
        <w:rPr>
          <w:rFonts w:hint="eastAsia" w:ascii="宋体" w:hAnsi="宋体"/>
          <w:color w:val="auto"/>
          <w:szCs w:val="21"/>
          <w:highlight w:val="none"/>
        </w:rPr>
      </w:pPr>
      <w:r>
        <w:rPr>
          <w:rFonts w:ascii="宋体" w:hAnsi="宋体"/>
          <w:color w:val="auto"/>
          <w:szCs w:val="21"/>
          <w:highlight w:val="none"/>
        </w:rPr>
        <w:t>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33CB828B">
      <w:pPr>
        <w:spacing w:line="360" w:lineRule="auto"/>
        <w:ind w:firstLine="420" w:firstLineChars="200"/>
        <w:rPr>
          <w:rFonts w:ascii="宋体" w:hAnsi="宋体"/>
          <w:color w:val="auto"/>
          <w:szCs w:val="21"/>
          <w:highlight w:val="none"/>
        </w:rPr>
      </w:pPr>
      <w:r>
        <w:rPr>
          <w:rFonts w:ascii="宋体" w:hAnsi="宋体"/>
          <w:snapToGrid w:val="0"/>
          <w:color w:val="auto"/>
          <w:kern w:val="0"/>
          <w:szCs w:val="21"/>
          <w:highlight w:val="none"/>
        </w:rPr>
        <w:t>评标委员会推荐中标候选人的人数</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见投标人须知前附表。</w:t>
      </w:r>
    </w:p>
    <w:p w14:paraId="2A862B20">
      <w:pPr>
        <w:pStyle w:val="5"/>
        <w:snapToGrid w:val="0"/>
        <w:spacing w:before="0" w:after="0" w:line="360" w:lineRule="auto"/>
        <w:rPr>
          <w:rFonts w:ascii="宋体" w:hAnsi="宋体"/>
          <w:b w:val="0"/>
          <w:snapToGrid w:val="0"/>
          <w:color w:val="auto"/>
          <w:sz w:val="24"/>
          <w:szCs w:val="24"/>
          <w:highlight w:val="none"/>
        </w:rPr>
      </w:pPr>
      <w:bookmarkStart w:id="478" w:name="_Toc509218750"/>
      <w:bookmarkStart w:id="479" w:name="_Toc430530475"/>
      <w:bookmarkStart w:id="480" w:name="_Toc57820601"/>
      <w:r>
        <w:rPr>
          <w:rFonts w:ascii="宋体" w:hAnsi="宋体"/>
          <w:b w:val="0"/>
          <w:snapToGrid w:val="0"/>
          <w:color w:val="auto"/>
          <w:sz w:val="24"/>
          <w:szCs w:val="24"/>
          <w:highlight w:val="none"/>
        </w:rPr>
        <w:t>7.2  中标公示及中标通知</w:t>
      </w:r>
      <w:bookmarkEnd w:id="478"/>
      <w:bookmarkEnd w:id="479"/>
      <w:bookmarkEnd w:id="480"/>
    </w:p>
    <w:p w14:paraId="1D35E3D3">
      <w:pPr>
        <w:autoSpaceDE w:val="0"/>
        <w:autoSpaceDN w:val="0"/>
        <w:adjustRightInd w:val="0"/>
        <w:snapToGrid w:val="0"/>
        <w:spacing w:line="360" w:lineRule="auto"/>
        <w:ind w:firstLine="420" w:firstLineChars="200"/>
        <w:rPr>
          <w:rFonts w:hint="eastAsia" w:ascii="宋体" w:hAnsi="宋体"/>
          <w:color w:val="auto"/>
          <w:szCs w:val="21"/>
          <w:highlight w:val="none"/>
        </w:rPr>
      </w:pPr>
      <w:r>
        <w:rPr>
          <w:rFonts w:ascii="宋体" w:hAnsi="宋体"/>
          <w:snapToGrid w:val="0"/>
          <w:color w:val="auto"/>
          <w:kern w:val="0"/>
          <w:szCs w:val="21"/>
          <w:highlight w:val="none"/>
        </w:rPr>
        <w:t>招标人在收到评标报告之日起3日内公示中标候选人，公示期不得少于3日</w:t>
      </w:r>
      <w:r>
        <w:rPr>
          <w:rFonts w:hint="eastAsia" w:ascii="宋体" w:hAnsi="宋体"/>
          <w:color w:val="auto"/>
          <w:szCs w:val="21"/>
          <w:highlight w:val="none"/>
        </w:rPr>
        <w:t>。</w:t>
      </w:r>
    </w:p>
    <w:p w14:paraId="0492982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在本章第 3.3 款规定的投标有效期内，且未有投标人的异议与投诉，招标人以书面形式向中标人发出中标通知书。</w:t>
      </w:r>
    </w:p>
    <w:p w14:paraId="5934F6CF">
      <w:pPr>
        <w:pStyle w:val="5"/>
        <w:snapToGrid w:val="0"/>
        <w:spacing w:before="0" w:after="0" w:line="360" w:lineRule="auto"/>
        <w:rPr>
          <w:rFonts w:ascii="宋体" w:hAnsi="宋体"/>
          <w:b w:val="0"/>
          <w:snapToGrid w:val="0"/>
          <w:color w:val="auto"/>
          <w:sz w:val="24"/>
          <w:szCs w:val="24"/>
          <w:highlight w:val="none"/>
        </w:rPr>
      </w:pPr>
      <w:bookmarkStart w:id="481" w:name="_Toc200513167"/>
      <w:bookmarkStart w:id="482" w:name="_Toc224103358"/>
      <w:bookmarkStart w:id="483" w:name="_Toc287607787"/>
      <w:bookmarkStart w:id="484" w:name="_Toc287620726"/>
      <w:bookmarkStart w:id="485" w:name="_Toc277082593"/>
      <w:bookmarkStart w:id="486" w:name="_Toc430530476"/>
      <w:bookmarkStart w:id="487" w:name="_Toc57820602"/>
      <w:bookmarkStart w:id="488" w:name="_Toc509218751"/>
      <w:r>
        <w:rPr>
          <w:rFonts w:ascii="宋体" w:hAnsi="宋体"/>
          <w:b w:val="0"/>
          <w:snapToGrid w:val="0"/>
          <w:color w:val="auto"/>
          <w:sz w:val="24"/>
          <w:szCs w:val="24"/>
          <w:highlight w:val="none"/>
        </w:rPr>
        <w:t>7.3  履约担保</w:t>
      </w:r>
      <w:bookmarkEnd w:id="481"/>
      <w:bookmarkEnd w:id="482"/>
      <w:bookmarkEnd w:id="483"/>
      <w:bookmarkEnd w:id="484"/>
      <w:bookmarkEnd w:id="485"/>
      <w:bookmarkEnd w:id="486"/>
      <w:bookmarkEnd w:id="487"/>
      <w:bookmarkEnd w:id="488"/>
    </w:p>
    <w:p w14:paraId="7BB3336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7.3.1  在签订合同前，中标人应按投标人须知前附表规定的金额、担保形式和招标文件第四章“合同条款及格式”规定的履约担保格式向招标人提交履约担保。联合体中标的，其履约担保由牵头人递交，并应符合投标人须知前附表规定的金额、担保形式和招标文件第四章“合同条款及格式”规定的履约担保格式要求。</w:t>
      </w:r>
    </w:p>
    <w:p w14:paraId="53E3E51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7.3.2  中标人不能按本章第 7.3.1 项要求提交履约担保的，视为放弃中标，其投标保证金不予退还，给招标人造成的损失超过投标保证金数额的，中标人还应当对超过部分予以赔偿。</w:t>
      </w:r>
    </w:p>
    <w:p w14:paraId="08958E8A">
      <w:pPr>
        <w:pStyle w:val="5"/>
        <w:snapToGrid w:val="0"/>
        <w:spacing w:before="0" w:after="0" w:line="360" w:lineRule="auto"/>
        <w:rPr>
          <w:rFonts w:ascii="宋体" w:hAnsi="宋体"/>
          <w:b w:val="0"/>
          <w:snapToGrid w:val="0"/>
          <w:color w:val="auto"/>
          <w:sz w:val="24"/>
          <w:szCs w:val="24"/>
          <w:highlight w:val="none"/>
        </w:rPr>
      </w:pPr>
      <w:bookmarkStart w:id="489" w:name="_Toc224103359"/>
      <w:bookmarkStart w:id="490" w:name="_Toc200513168"/>
      <w:bookmarkStart w:id="491" w:name="_Toc287607788"/>
      <w:bookmarkStart w:id="492" w:name="_Toc430530477"/>
      <w:bookmarkStart w:id="493" w:name="_Toc509218752"/>
      <w:bookmarkStart w:id="494" w:name="_Toc57820603"/>
      <w:bookmarkStart w:id="495" w:name="_Toc287620727"/>
      <w:bookmarkStart w:id="496" w:name="_Toc277082594"/>
      <w:r>
        <w:rPr>
          <w:rFonts w:ascii="宋体" w:hAnsi="宋体"/>
          <w:b w:val="0"/>
          <w:snapToGrid w:val="0"/>
          <w:color w:val="auto"/>
          <w:sz w:val="24"/>
          <w:szCs w:val="24"/>
          <w:highlight w:val="none"/>
        </w:rPr>
        <w:t>7.4  签订合同</w:t>
      </w:r>
      <w:bookmarkEnd w:id="489"/>
      <w:bookmarkEnd w:id="490"/>
      <w:bookmarkEnd w:id="491"/>
      <w:bookmarkEnd w:id="492"/>
      <w:bookmarkEnd w:id="493"/>
      <w:bookmarkEnd w:id="494"/>
      <w:bookmarkEnd w:id="495"/>
      <w:bookmarkEnd w:id="496"/>
    </w:p>
    <w:p w14:paraId="79720DF3">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 xml:space="preserve">7.4.1 </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招标人和中标人应当自中标通知书发出之日起 30 天内，根据招标文件和中标人的投标文件订立书面合同。中标人</w:t>
      </w:r>
      <w:r>
        <w:rPr>
          <w:rFonts w:hint="eastAsia" w:ascii="宋体" w:hAnsi="宋体"/>
          <w:snapToGrid w:val="0"/>
          <w:color w:val="auto"/>
          <w:kern w:val="0"/>
          <w:szCs w:val="21"/>
          <w:highlight w:val="none"/>
        </w:rPr>
        <w:t>放弃中标项目，</w:t>
      </w:r>
      <w:r>
        <w:rPr>
          <w:rFonts w:ascii="宋体" w:hAnsi="宋体"/>
          <w:snapToGrid w:val="0"/>
          <w:color w:val="auto"/>
          <w:kern w:val="0"/>
          <w:szCs w:val="21"/>
          <w:highlight w:val="none"/>
        </w:rPr>
        <w:t>无正当理由</w:t>
      </w:r>
      <w:r>
        <w:rPr>
          <w:rFonts w:hint="eastAsia" w:ascii="宋体" w:hAnsi="宋体"/>
          <w:snapToGrid w:val="0"/>
          <w:color w:val="auto"/>
          <w:kern w:val="0"/>
          <w:szCs w:val="21"/>
          <w:highlight w:val="none"/>
        </w:rPr>
        <w:t>不与招标人签订合同，在签订合同时向招标人提出附加条件或者更改合同实质性内容</w:t>
      </w:r>
      <w:r>
        <w:rPr>
          <w:rFonts w:ascii="宋体" w:hAnsi="宋体"/>
          <w:snapToGrid w:val="0"/>
          <w:color w:val="auto"/>
          <w:kern w:val="0"/>
          <w:szCs w:val="21"/>
          <w:highlight w:val="none"/>
        </w:rPr>
        <w:t>，</w:t>
      </w:r>
      <w:r>
        <w:rPr>
          <w:rFonts w:hint="eastAsia" w:ascii="宋体" w:hAnsi="宋体" w:cs="宋体"/>
          <w:color w:val="auto"/>
          <w:szCs w:val="21"/>
          <w:highlight w:val="none"/>
        </w:rPr>
        <w:t>或不按照招标文件要求提交低价风险担保（适用于经评审最低投标价法）或履约保证金的，</w:t>
      </w:r>
      <w:r>
        <w:rPr>
          <w:rFonts w:ascii="宋体" w:hAnsi="宋体"/>
          <w:snapToGrid w:val="0"/>
          <w:color w:val="auto"/>
          <w:kern w:val="0"/>
          <w:szCs w:val="21"/>
          <w:highlight w:val="none"/>
        </w:rPr>
        <w:t>招标人取消其中标资格，其投标保证金不予退还；给招标人造成的损失超过投标保证金数额的，中标人还应当对超过部分予以赔偿。</w:t>
      </w:r>
    </w:p>
    <w:p w14:paraId="545ACB8B">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7.4.2  发出中标通知书后，招标人无正当理由拒签合同的，招标人向中标人退还投标保证金；给中标人造成损失的，还应当赔偿损失。</w:t>
      </w:r>
    </w:p>
    <w:p w14:paraId="12CD1E87">
      <w:pPr>
        <w:pStyle w:val="4"/>
        <w:spacing w:before="0" w:after="0" w:line="360" w:lineRule="auto"/>
        <w:rPr>
          <w:rFonts w:ascii="宋体" w:hAnsi="宋体"/>
          <w:b w:val="0"/>
          <w:snapToGrid w:val="0"/>
          <w:color w:val="auto"/>
          <w:highlight w:val="none"/>
        </w:rPr>
      </w:pPr>
      <w:bookmarkStart w:id="497" w:name="_Toc200513169"/>
      <w:bookmarkStart w:id="498" w:name="_Toc287620728"/>
      <w:bookmarkStart w:id="499" w:name="_Toc57820604"/>
      <w:bookmarkStart w:id="500" w:name="_Toc224103360"/>
      <w:bookmarkStart w:id="501" w:name="_Toc277082595"/>
      <w:bookmarkStart w:id="502" w:name="_Toc287607789"/>
      <w:bookmarkStart w:id="503" w:name="_Toc430530478"/>
      <w:bookmarkStart w:id="504" w:name="_Toc509218753"/>
      <w:r>
        <w:rPr>
          <w:rFonts w:ascii="宋体" w:hAnsi="宋体"/>
          <w:b w:val="0"/>
          <w:snapToGrid w:val="0"/>
          <w:color w:val="auto"/>
          <w:highlight w:val="none"/>
        </w:rPr>
        <w:t>8.  重新招标和不再招标</w:t>
      </w:r>
      <w:bookmarkEnd w:id="497"/>
      <w:bookmarkEnd w:id="498"/>
      <w:bookmarkEnd w:id="499"/>
      <w:bookmarkEnd w:id="500"/>
      <w:bookmarkEnd w:id="501"/>
      <w:bookmarkEnd w:id="502"/>
      <w:bookmarkEnd w:id="503"/>
      <w:bookmarkEnd w:id="504"/>
    </w:p>
    <w:p w14:paraId="26A267F7">
      <w:pPr>
        <w:pStyle w:val="5"/>
        <w:snapToGrid w:val="0"/>
        <w:spacing w:before="0" w:after="0" w:line="360" w:lineRule="auto"/>
        <w:rPr>
          <w:rFonts w:ascii="宋体" w:hAnsi="宋体"/>
          <w:b w:val="0"/>
          <w:snapToGrid w:val="0"/>
          <w:color w:val="auto"/>
          <w:sz w:val="24"/>
          <w:szCs w:val="24"/>
          <w:highlight w:val="none"/>
        </w:rPr>
      </w:pPr>
      <w:bookmarkStart w:id="505" w:name="_Toc287607790"/>
      <w:bookmarkStart w:id="506" w:name="_Toc287620729"/>
      <w:bookmarkStart w:id="507" w:name="_Toc430530479"/>
      <w:bookmarkStart w:id="508" w:name="_Toc509218754"/>
      <w:bookmarkStart w:id="509" w:name="_Toc277082596"/>
      <w:bookmarkStart w:id="510" w:name="_Toc57820605"/>
      <w:bookmarkStart w:id="511" w:name="_Toc200513170"/>
      <w:bookmarkStart w:id="512" w:name="_Toc224103361"/>
      <w:r>
        <w:rPr>
          <w:rFonts w:ascii="宋体" w:hAnsi="宋体"/>
          <w:b w:val="0"/>
          <w:snapToGrid w:val="0"/>
          <w:color w:val="auto"/>
          <w:sz w:val="24"/>
          <w:szCs w:val="24"/>
          <w:highlight w:val="none"/>
        </w:rPr>
        <w:t>8.1  重新招标</w:t>
      </w:r>
      <w:bookmarkEnd w:id="505"/>
      <w:bookmarkEnd w:id="506"/>
      <w:bookmarkEnd w:id="507"/>
      <w:bookmarkEnd w:id="508"/>
      <w:bookmarkEnd w:id="509"/>
      <w:bookmarkEnd w:id="510"/>
      <w:bookmarkEnd w:id="511"/>
      <w:bookmarkEnd w:id="512"/>
    </w:p>
    <w:p w14:paraId="29E33B75">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有下列情形之一的，招标人将重新招标：</w:t>
      </w:r>
    </w:p>
    <w:p w14:paraId="07496C65">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（1）投标截止时间止，投标人少于 3 个的；</w:t>
      </w:r>
    </w:p>
    <w:p w14:paraId="7CD381A7">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（2）经评标委员会评审后否决所有投标的；</w:t>
      </w:r>
    </w:p>
    <w:p w14:paraId="008F49CD">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（3）</w:t>
      </w:r>
      <w:r>
        <w:rPr>
          <w:rFonts w:hint="eastAsia" w:ascii="宋体" w:hAnsi="宋体"/>
          <w:snapToGrid w:val="0"/>
          <w:color w:val="auto"/>
          <w:kern w:val="0"/>
          <w:szCs w:val="21"/>
          <w:highlight w:val="none"/>
        </w:rPr>
        <w:t>经评标委员会评审后部分投标被否决，导致有效投标人不足三个的，评标委员会应当否决所有投标。但是有效投标人的经济、技术等指标仍然具有市场竞争力，能够满足招标文件要求的，评标委员会可以继续评标并确定中标候选人</w:t>
      </w:r>
      <w:r>
        <w:rPr>
          <w:rFonts w:ascii="宋体" w:hAnsi="宋体"/>
          <w:snapToGrid w:val="0"/>
          <w:color w:val="auto"/>
          <w:kern w:val="0"/>
          <w:szCs w:val="21"/>
          <w:highlight w:val="none"/>
        </w:rPr>
        <w:t>；</w:t>
      </w:r>
    </w:p>
    <w:p w14:paraId="09B65BC9">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（4）法律法规规定的其他情形。</w:t>
      </w:r>
    </w:p>
    <w:p w14:paraId="051D7EB9">
      <w:pPr>
        <w:pStyle w:val="5"/>
        <w:snapToGrid w:val="0"/>
        <w:spacing w:before="0" w:after="0" w:line="360" w:lineRule="auto"/>
        <w:rPr>
          <w:rFonts w:ascii="宋体" w:hAnsi="宋体"/>
          <w:b w:val="0"/>
          <w:snapToGrid w:val="0"/>
          <w:color w:val="auto"/>
          <w:sz w:val="24"/>
          <w:szCs w:val="24"/>
          <w:highlight w:val="none"/>
        </w:rPr>
      </w:pPr>
      <w:bookmarkStart w:id="513" w:name="_Toc57820606"/>
      <w:bookmarkStart w:id="514" w:name="_Toc509218755"/>
      <w:bookmarkStart w:id="515" w:name="_Toc430530480"/>
      <w:bookmarkStart w:id="516" w:name="_Toc277082597"/>
      <w:bookmarkStart w:id="517" w:name="_Toc224103362"/>
      <w:bookmarkStart w:id="518" w:name="_Toc287620730"/>
      <w:bookmarkStart w:id="519" w:name="_Toc200513171"/>
      <w:bookmarkStart w:id="520" w:name="_Toc287607791"/>
      <w:r>
        <w:rPr>
          <w:rFonts w:ascii="宋体" w:hAnsi="宋体"/>
          <w:b w:val="0"/>
          <w:snapToGrid w:val="0"/>
          <w:color w:val="auto"/>
          <w:sz w:val="24"/>
          <w:szCs w:val="24"/>
          <w:highlight w:val="none"/>
        </w:rPr>
        <w:t>8.2  二次招标和不再招标</w:t>
      </w:r>
      <w:bookmarkEnd w:id="513"/>
      <w:bookmarkEnd w:id="514"/>
      <w:bookmarkEnd w:id="515"/>
      <w:bookmarkEnd w:id="516"/>
      <w:bookmarkEnd w:id="517"/>
      <w:bookmarkEnd w:id="518"/>
      <w:bookmarkEnd w:id="519"/>
      <w:bookmarkEnd w:id="520"/>
    </w:p>
    <w:p w14:paraId="2B1213B4">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hint="eastAsia" w:ascii="宋体" w:hAnsi="宋体"/>
          <w:snapToGrid w:val="0"/>
          <w:color w:val="auto"/>
          <w:kern w:val="0"/>
          <w:szCs w:val="21"/>
          <w:highlight w:val="none"/>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r>
        <w:rPr>
          <w:rFonts w:ascii="宋体" w:hAnsi="宋体"/>
          <w:snapToGrid w:val="0"/>
          <w:color w:val="auto"/>
          <w:kern w:val="0"/>
          <w:szCs w:val="21"/>
          <w:highlight w:val="none"/>
        </w:rPr>
        <w:t>。</w:t>
      </w:r>
    </w:p>
    <w:p w14:paraId="0FBF2DB3">
      <w:pPr>
        <w:pStyle w:val="4"/>
        <w:spacing w:before="0" w:after="0" w:line="360" w:lineRule="auto"/>
        <w:rPr>
          <w:rFonts w:ascii="宋体" w:hAnsi="宋体"/>
          <w:b w:val="0"/>
          <w:snapToGrid w:val="0"/>
          <w:color w:val="auto"/>
          <w:highlight w:val="none"/>
        </w:rPr>
      </w:pPr>
      <w:bookmarkStart w:id="521" w:name="_Toc509218756"/>
      <w:bookmarkStart w:id="522" w:name="_Toc287620731"/>
      <w:bookmarkStart w:id="523" w:name="_Toc200513172"/>
      <w:bookmarkStart w:id="524" w:name="_Toc287607792"/>
      <w:bookmarkStart w:id="525" w:name="_Toc224103363"/>
      <w:bookmarkStart w:id="526" w:name="_Toc430530481"/>
      <w:bookmarkStart w:id="527" w:name="_Toc57820607"/>
      <w:bookmarkStart w:id="528" w:name="_Toc277082598"/>
      <w:r>
        <w:rPr>
          <w:rFonts w:ascii="宋体" w:hAnsi="宋体"/>
          <w:b w:val="0"/>
          <w:snapToGrid w:val="0"/>
          <w:color w:val="auto"/>
          <w:highlight w:val="none"/>
        </w:rPr>
        <w:t>9.  纪律和监督</w:t>
      </w:r>
      <w:bookmarkEnd w:id="521"/>
      <w:bookmarkEnd w:id="522"/>
      <w:bookmarkEnd w:id="523"/>
      <w:bookmarkEnd w:id="524"/>
      <w:bookmarkEnd w:id="525"/>
      <w:bookmarkEnd w:id="526"/>
      <w:bookmarkEnd w:id="527"/>
      <w:bookmarkEnd w:id="528"/>
    </w:p>
    <w:p w14:paraId="683931ED">
      <w:pPr>
        <w:pStyle w:val="5"/>
        <w:snapToGrid w:val="0"/>
        <w:spacing w:before="0" w:after="0" w:line="360" w:lineRule="auto"/>
        <w:rPr>
          <w:rFonts w:ascii="宋体" w:hAnsi="宋体"/>
          <w:b w:val="0"/>
          <w:snapToGrid w:val="0"/>
          <w:color w:val="auto"/>
          <w:sz w:val="24"/>
          <w:szCs w:val="24"/>
          <w:highlight w:val="none"/>
        </w:rPr>
      </w:pPr>
      <w:bookmarkStart w:id="529" w:name="_Toc287620732"/>
      <w:bookmarkStart w:id="530" w:name="_Toc509218757"/>
      <w:bookmarkStart w:id="531" w:name="_Toc57820608"/>
      <w:bookmarkStart w:id="532" w:name="_Toc224103364"/>
      <w:bookmarkStart w:id="533" w:name="_Toc200513173"/>
      <w:bookmarkStart w:id="534" w:name="_Toc287607793"/>
      <w:bookmarkStart w:id="535" w:name="_Toc430530482"/>
      <w:bookmarkStart w:id="536" w:name="_Toc277082599"/>
      <w:r>
        <w:rPr>
          <w:rFonts w:ascii="宋体" w:hAnsi="宋体"/>
          <w:b w:val="0"/>
          <w:snapToGrid w:val="0"/>
          <w:color w:val="auto"/>
          <w:sz w:val="24"/>
          <w:szCs w:val="24"/>
          <w:highlight w:val="none"/>
        </w:rPr>
        <w:t>9.1  对招标人的纪律要求</w:t>
      </w:r>
      <w:bookmarkEnd w:id="529"/>
      <w:bookmarkEnd w:id="530"/>
      <w:bookmarkEnd w:id="531"/>
      <w:bookmarkEnd w:id="532"/>
      <w:bookmarkEnd w:id="533"/>
      <w:bookmarkEnd w:id="534"/>
      <w:bookmarkEnd w:id="535"/>
      <w:bookmarkEnd w:id="536"/>
    </w:p>
    <w:p w14:paraId="379793D0">
      <w:pPr>
        <w:autoSpaceDE w:val="0"/>
        <w:autoSpaceDN w:val="0"/>
        <w:adjustRightInd w:val="0"/>
        <w:snapToGrid w:val="0"/>
        <w:spacing w:line="360" w:lineRule="auto"/>
        <w:ind w:firstLine="420"/>
        <w:rPr>
          <w:rFonts w:hint="eastAsia" w:ascii="宋体" w:hAnsi="宋体"/>
          <w:color w:val="auto"/>
          <w:highlight w:val="none"/>
        </w:rPr>
      </w:pPr>
      <w:r>
        <w:rPr>
          <w:rFonts w:ascii="宋体" w:hAnsi="宋体"/>
          <w:snapToGrid w:val="0"/>
          <w:color w:val="auto"/>
          <w:kern w:val="0"/>
          <w:szCs w:val="21"/>
          <w:highlight w:val="none"/>
        </w:rPr>
        <w:t>招标人不得泄漏招标投标活动中应当保密的情况和资料，不得与投标人串通损害国家利 益、社会公共利益或者他人合法权益，</w:t>
      </w:r>
      <w:r>
        <w:rPr>
          <w:rFonts w:ascii="宋体" w:hAnsi="宋体"/>
          <w:color w:val="auto"/>
          <w:highlight w:val="none"/>
        </w:rPr>
        <w:t>禁止招标人与投标人串通投标。</w:t>
      </w:r>
    </w:p>
    <w:p w14:paraId="25806492">
      <w:pPr>
        <w:autoSpaceDE w:val="0"/>
        <w:autoSpaceDN w:val="0"/>
        <w:adjustRightInd w:val="0"/>
        <w:snapToGrid w:val="0"/>
        <w:spacing w:line="360" w:lineRule="auto"/>
        <w:ind w:firstLine="420"/>
        <w:rPr>
          <w:rFonts w:hint="eastAsia" w:ascii="宋体" w:hAnsi="宋体"/>
          <w:color w:val="auto"/>
          <w:highlight w:val="none"/>
        </w:rPr>
      </w:pPr>
      <w:r>
        <w:rPr>
          <w:rFonts w:ascii="宋体" w:hAnsi="宋体"/>
          <w:color w:val="auto"/>
          <w:highlight w:val="none"/>
        </w:rPr>
        <w:t>有下列情形之一的，属于招标人与投标人串通投标：</w:t>
      </w:r>
    </w:p>
    <w:p w14:paraId="1392F0E9">
      <w:pPr>
        <w:autoSpaceDE w:val="0"/>
        <w:autoSpaceDN w:val="0"/>
        <w:adjustRightInd w:val="0"/>
        <w:snapToGrid w:val="0"/>
        <w:spacing w:line="360" w:lineRule="auto"/>
        <w:ind w:firstLine="420"/>
        <w:rPr>
          <w:rFonts w:hint="eastAsia" w:ascii="宋体" w:hAnsi="宋体"/>
          <w:color w:val="auto"/>
          <w:highlight w:val="none"/>
        </w:rPr>
      </w:pPr>
      <w:r>
        <w:rPr>
          <w:rFonts w:ascii="宋体" w:hAnsi="宋体"/>
          <w:color w:val="auto"/>
          <w:highlight w:val="none"/>
        </w:rPr>
        <w:t>（1）招标人在开标前开启投标文件并将有关信息泄露给其他投标人</w:t>
      </w:r>
      <w:r>
        <w:rPr>
          <w:rFonts w:hint="eastAsia" w:ascii="宋体" w:hAnsi="宋体"/>
          <w:color w:val="auto"/>
          <w:highlight w:val="none"/>
        </w:rPr>
        <w:t>；</w:t>
      </w:r>
    </w:p>
    <w:p w14:paraId="7221A62E">
      <w:pPr>
        <w:autoSpaceDE w:val="0"/>
        <w:autoSpaceDN w:val="0"/>
        <w:adjustRightInd w:val="0"/>
        <w:snapToGrid w:val="0"/>
        <w:spacing w:line="360" w:lineRule="auto"/>
        <w:ind w:firstLine="420"/>
        <w:rPr>
          <w:rFonts w:hint="eastAsia" w:ascii="宋体" w:hAnsi="宋体"/>
          <w:color w:val="auto"/>
          <w:highlight w:val="none"/>
        </w:rPr>
      </w:pPr>
      <w:r>
        <w:rPr>
          <w:rFonts w:ascii="宋体" w:hAnsi="宋体"/>
          <w:color w:val="auto"/>
          <w:highlight w:val="none"/>
        </w:rPr>
        <w:t>（2）招标人直接或者间接向投标人泄露标底、评标委员会成员等信息；</w:t>
      </w:r>
    </w:p>
    <w:p w14:paraId="10DF0E9E">
      <w:pPr>
        <w:autoSpaceDE w:val="0"/>
        <w:autoSpaceDN w:val="0"/>
        <w:adjustRightInd w:val="0"/>
        <w:snapToGrid w:val="0"/>
        <w:spacing w:line="360" w:lineRule="auto"/>
        <w:ind w:firstLine="420"/>
        <w:rPr>
          <w:rFonts w:hint="eastAsia" w:ascii="宋体" w:hAnsi="宋体"/>
          <w:color w:val="auto"/>
          <w:highlight w:val="none"/>
        </w:rPr>
      </w:pPr>
      <w:r>
        <w:rPr>
          <w:rFonts w:ascii="宋体" w:hAnsi="宋体"/>
          <w:color w:val="auto"/>
          <w:highlight w:val="none"/>
        </w:rPr>
        <w:t>（3）招标人明示或者暗示投标人压低或者抬高投标报价；</w:t>
      </w:r>
    </w:p>
    <w:p w14:paraId="60B53A4B">
      <w:pPr>
        <w:autoSpaceDE w:val="0"/>
        <w:autoSpaceDN w:val="0"/>
        <w:adjustRightInd w:val="0"/>
        <w:snapToGrid w:val="0"/>
        <w:spacing w:line="360" w:lineRule="auto"/>
        <w:ind w:firstLine="420"/>
        <w:rPr>
          <w:rFonts w:hint="eastAsia" w:ascii="宋体" w:hAnsi="宋体"/>
          <w:color w:val="auto"/>
          <w:highlight w:val="none"/>
        </w:rPr>
      </w:pPr>
      <w:r>
        <w:rPr>
          <w:rFonts w:ascii="宋体" w:hAnsi="宋体"/>
          <w:color w:val="auto"/>
          <w:highlight w:val="none"/>
        </w:rPr>
        <w:t>（4）招标人授意投标人撤换、修改投标文件；</w:t>
      </w:r>
    </w:p>
    <w:p w14:paraId="55CF550B">
      <w:pPr>
        <w:autoSpaceDE w:val="0"/>
        <w:autoSpaceDN w:val="0"/>
        <w:adjustRightInd w:val="0"/>
        <w:snapToGrid w:val="0"/>
        <w:spacing w:line="360" w:lineRule="auto"/>
        <w:ind w:firstLine="420"/>
        <w:rPr>
          <w:rFonts w:hint="eastAsia" w:ascii="宋体" w:hAnsi="宋体"/>
          <w:color w:val="auto"/>
          <w:highlight w:val="none"/>
        </w:rPr>
      </w:pPr>
      <w:r>
        <w:rPr>
          <w:rFonts w:ascii="宋体" w:hAnsi="宋体"/>
          <w:color w:val="auto"/>
          <w:highlight w:val="none"/>
        </w:rPr>
        <w:t>（5）招标人明示或者暗示投标人为特定投标人中标提供方便；</w:t>
      </w:r>
    </w:p>
    <w:p w14:paraId="32D8175D">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color w:val="auto"/>
          <w:highlight w:val="none"/>
        </w:rPr>
        <w:t>（6）招标人与投标人为谋求特定投标人中标而采取的其他串通行为。</w:t>
      </w:r>
    </w:p>
    <w:p w14:paraId="35DD209D">
      <w:pPr>
        <w:pStyle w:val="5"/>
        <w:snapToGrid w:val="0"/>
        <w:spacing w:before="0" w:after="0" w:line="360" w:lineRule="auto"/>
        <w:ind w:firstLine="480" w:firstLineChars="200"/>
        <w:rPr>
          <w:rFonts w:ascii="宋体" w:hAnsi="宋体"/>
          <w:b w:val="0"/>
          <w:snapToGrid w:val="0"/>
          <w:color w:val="auto"/>
          <w:sz w:val="24"/>
          <w:szCs w:val="24"/>
          <w:highlight w:val="none"/>
        </w:rPr>
      </w:pPr>
      <w:bookmarkStart w:id="537" w:name="_Toc200513174"/>
      <w:bookmarkStart w:id="538" w:name="_Toc224103365"/>
      <w:bookmarkStart w:id="539" w:name="_Toc277082600"/>
      <w:bookmarkStart w:id="540" w:name="_Toc509218758"/>
      <w:bookmarkStart w:id="541" w:name="_Toc287620733"/>
      <w:bookmarkStart w:id="542" w:name="_Toc287607794"/>
      <w:bookmarkStart w:id="543" w:name="_Toc57820609"/>
      <w:bookmarkStart w:id="544" w:name="_Toc430530483"/>
      <w:r>
        <w:rPr>
          <w:rFonts w:ascii="宋体" w:hAnsi="宋体"/>
          <w:b w:val="0"/>
          <w:snapToGrid w:val="0"/>
          <w:color w:val="auto"/>
          <w:sz w:val="24"/>
          <w:szCs w:val="24"/>
          <w:highlight w:val="none"/>
        </w:rPr>
        <w:t>9.2  对投标人的纪律要求</w:t>
      </w:r>
      <w:bookmarkEnd w:id="537"/>
      <w:bookmarkEnd w:id="538"/>
      <w:bookmarkEnd w:id="539"/>
      <w:bookmarkEnd w:id="540"/>
      <w:bookmarkEnd w:id="541"/>
      <w:bookmarkEnd w:id="542"/>
      <w:bookmarkEnd w:id="543"/>
      <w:bookmarkEnd w:id="544"/>
    </w:p>
    <w:p w14:paraId="7C4E75F5">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200B5A22">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 xml:space="preserve">9.2.1  </w:t>
      </w:r>
      <w:r>
        <w:rPr>
          <w:rFonts w:ascii="宋体" w:hAnsi="宋体"/>
          <w:color w:val="auto"/>
          <w:highlight w:val="none"/>
        </w:rPr>
        <w:t>有下列情形之一的，属于投标人相互串通投标：</w:t>
      </w:r>
    </w:p>
    <w:p w14:paraId="0DBB4B10">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（1）投标人之间协商投标报价等投标文件的实质性内容；</w:t>
      </w:r>
    </w:p>
    <w:p w14:paraId="13B91C7E">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（2）投标人之间约定中标人；</w:t>
      </w:r>
    </w:p>
    <w:p w14:paraId="1C54C640">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（3）投标人之间约定部分投标人放弃投标或者中标；</w:t>
      </w:r>
    </w:p>
    <w:p w14:paraId="40DB9682">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（4）属于同一集团、协会、商会等组织成员的投标人按照该组织要求协同投标；</w:t>
      </w:r>
    </w:p>
    <w:p w14:paraId="25BF3497">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（5）投标人之间为谋取中标或者排斥特定投标人而采取的其他联合行动。</w:t>
      </w:r>
    </w:p>
    <w:p w14:paraId="008F582E">
      <w:pPr>
        <w:autoSpaceDE w:val="0"/>
        <w:autoSpaceDN w:val="0"/>
        <w:adjustRightInd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 xml:space="preserve">9.2.2  </w:t>
      </w:r>
      <w:r>
        <w:rPr>
          <w:rFonts w:ascii="宋体" w:hAnsi="宋体"/>
          <w:color w:val="auto"/>
          <w:highlight w:val="none"/>
        </w:rPr>
        <w:t>有下列情形之一的，视为投标人相互串通投标：</w:t>
      </w:r>
    </w:p>
    <w:p w14:paraId="1407D562">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（1）不同投标人的投标文件由同一单位或者个人编制；</w:t>
      </w:r>
    </w:p>
    <w:p w14:paraId="3D7DB386">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（2）不同投标人委托同一单位或者个人办理投标事宜；</w:t>
      </w:r>
    </w:p>
    <w:p w14:paraId="1FC188E4">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（3）不同投标人的投标文件载明的项目管理成员为同一人；</w:t>
      </w:r>
    </w:p>
    <w:p w14:paraId="1CEBB21B">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（4）不同投标人的投标文件异常一致或者投标报价呈规律性差异；</w:t>
      </w:r>
    </w:p>
    <w:p w14:paraId="5C8DB1F7">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（5）不同投标人的投标文件相互混装；</w:t>
      </w:r>
    </w:p>
    <w:p w14:paraId="20624793">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（6）不同投标人的投标保证金从同一单位或者个人的账户转出</w:t>
      </w:r>
      <w:r>
        <w:rPr>
          <w:rFonts w:hint="eastAsia" w:ascii="宋体" w:hAnsi="宋体"/>
          <w:color w:val="auto"/>
          <w:highlight w:val="none"/>
        </w:rPr>
        <w:t>；</w:t>
      </w:r>
    </w:p>
    <w:p w14:paraId="608F4DC5">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（7）不同投标人的电子投标文件MAC地址相同。</w:t>
      </w:r>
    </w:p>
    <w:p w14:paraId="60AE824D">
      <w:pPr>
        <w:autoSpaceDE w:val="0"/>
        <w:autoSpaceDN w:val="0"/>
        <w:adjustRightInd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 xml:space="preserve">9.2.3  </w:t>
      </w:r>
      <w:r>
        <w:rPr>
          <w:rFonts w:ascii="宋体" w:hAnsi="宋体"/>
          <w:color w:val="auto"/>
          <w:highlight w:val="none"/>
        </w:rPr>
        <w:t>使用通过受让或者租借等方式获取的资格、资质证书投标的，属于以他人名义投标。</w:t>
      </w:r>
    </w:p>
    <w:p w14:paraId="78526D9B">
      <w:pPr>
        <w:autoSpaceDE w:val="0"/>
        <w:autoSpaceDN w:val="0"/>
        <w:adjustRightInd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 xml:space="preserve">9.2.4  </w:t>
      </w:r>
      <w:r>
        <w:rPr>
          <w:rFonts w:ascii="宋体" w:hAnsi="宋体"/>
          <w:color w:val="auto"/>
          <w:highlight w:val="none"/>
        </w:rPr>
        <w:t>投标人有下列情形之一的，属于以其他方式弄虚作假的行为：</w:t>
      </w:r>
    </w:p>
    <w:p w14:paraId="784B1D4F">
      <w:pPr>
        <w:autoSpaceDE w:val="0"/>
        <w:autoSpaceDN w:val="0"/>
        <w:adjustRightInd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（1）</w:t>
      </w:r>
      <w:r>
        <w:rPr>
          <w:rFonts w:ascii="宋体" w:hAnsi="宋体"/>
          <w:color w:val="auto"/>
          <w:highlight w:val="none"/>
        </w:rPr>
        <w:t>使用伪造、变造的许可证件；</w:t>
      </w:r>
    </w:p>
    <w:p w14:paraId="26437167">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w:t>
      </w:r>
      <w:r>
        <w:rPr>
          <w:rFonts w:hint="eastAsia" w:ascii="宋体" w:hAnsi="宋体"/>
          <w:color w:val="auto"/>
          <w:highlight w:val="none"/>
        </w:rPr>
        <w:t>2</w:t>
      </w:r>
      <w:r>
        <w:rPr>
          <w:rFonts w:ascii="宋体" w:hAnsi="宋体"/>
          <w:color w:val="auto"/>
          <w:highlight w:val="none"/>
        </w:rPr>
        <w:t>）提供虚假的财务状况或者业绩；</w:t>
      </w:r>
    </w:p>
    <w:p w14:paraId="1DFE01BD">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w:t>
      </w:r>
      <w:r>
        <w:rPr>
          <w:rFonts w:hint="eastAsia" w:ascii="宋体" w:hAnsi="宋体"/>
          <w:color w:val="auto"/>
          <w:highlight w:val="none"/>
        </w:rPr>
        <w:t>3</w:t>
      </w:r>
      <w:r>
        <w:rPr>
          <w:rFonts w:ascii="宋体" w:hAnsi="宋体"/>
          <w:color w:val="auto"/>
          <w:highlight w:val="none"/>
        </w:rPr>
        <w:t>）提供虚假的项目负责人或者主要技术人员简历、劳动关系证明；</w:t>
      </w:r>
    </w:p>
    <w:p w14:paraId="0F7F335F">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w:t>
      </w:r>
      <w:r>
        <w:rPr>
          <w:rFonts w:hint="eastAsia" w:ascii="宋体" w:hAnsi="宋体"/>
          <w:color w:val="auto"/>
          <w:highlight w:val="none"/>
        </w:rPr>
        <w:t>4</w:t>
      </w:r>
      <w:r>
        <w:rPr>
          <w:rFonts w:ascii="宋体" w:hAnsi="宋体"/>
          <w:color w:val="auto"/>
          <w:highlight w:val="none"/>
        </w:rPr>
        <w:t>）提供虚假的信用状况；</w:t>
      </w:r>
    </w:p>
    <w:p w14:paraId="56206D6D">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color w:val="auto"/>
          <w:highlight w:val="none"/>
        </w:rPr>
        <w:t>（</w:t>
      </w:r>
      <w:r>
        <w:rPr>
          <w:rFonts w:hint="eastAsia" w:ascii="宋体" w:hAnsi="宋体"/>
          <w:color w:val="auto"/>
          <w:highlight w:val="none"/>
        </w:rPr>
        <w:t>5</w:t>
      </w:r>
      <w:r>
        <w:rPr>
          <w:rFonts w:ascii="宋体" w:hAnsi="宋体"/>
          <w:color w:val="auto"/>
          <w:highlight w:val="none"/>
        </w:rPr>
        <w:t>）其他弄虚作假的行为。</w:t>
      </w:r>
    </w:p>
    <w:p w14:paraId="4BE0223A">
      <w:pPr>
        <w:pStyle w:val="5"/>
        <w:snapToGrid w:val="0"/>
        <w:spacing w:before="0" w:after="0" w:line="360" w:lineRule="auto"/>
        <w:rPr>
          <w:rFonts w:ascii="宋体" w:hAnsi="宋体"/>
          <w:b w:val="0"/>
          <w:snapToGrid w:val="0"/>
          <w:color w:val="auto"/>
          <w:sz w:val="24"/>
          <w:szCs w:val="24"/>
          <w:highlight w:val="none"/>
        </w:rPr>
      </w:pPr>
      <w:bookmarkStart w:id="545" w:name="_Toc224103366"/>
      <w:bookmarkStart w:id="546" w:name="_Toc287607795"/>
      <w:bookmarkStart w:id="547" w:name="_Toc57820610"/>
      <w:bookmarkStart w:id="548" w:name="_Toc200513175"/>
      <w:bookmarkStart w:id="549" w:name="_Toc277082601"/>
      <w:bookmarkStart w:id="550" w:name="_Toc287620734"/>
      <w:bookmarkStart w:id="551" w:name="_Toc430530484"/>
      <w:bookmarkStart w:id="552" w:name="_Toc509218759"/>
      <w:r>
        <w:rPr>
          <w:rFonts w:ascii="宋体" w:hAnsi="宋体"/>
          <w:b w:val="0"/>
          <w:snapToGrid w:val="0"/>
          <w:color w:val="auto"/>
          <w:sz w:val="24"/>
          <w:szCs w:val="24"/>
          <w:highlight w:val="none"/>
        </w:rPr>
        <w:t>9.3  对评标委员会成员的纪律要求</w:t>
      </w:r>
      <w:bookmarkEnd w:id="545"/>
      <w:bookmarkEnd w:id="546"/>
      <w:bookmarkEnd w:id="547"/>
      <w:bookmarkEnd w:id="548"/>
      <w:bookmarkEnd w:id="549"/>
      <w:bookmarkEnd w:id="550"/>
      <w:bookmarkEnd w:id="551"/>
      <w:bookmarkEnd w:id="552"/>
    </w:p>
    <w:p w14:paraId="23EA90C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r>
        <w:rPr>
          <w:rFonts w:hint="eastAsia" w:ascii="宋体" w:hAnsi="宋体"/>
          <w:snapToGrid w:val="0"/>
          <w:color w:val="auto"/>
          <w:kern w:val="0"/>
          <w:szCs w:val="21"/>
          <w:highlight w:val="none"/>
        </w:rPr>
        <w:t>，不得对招标文件中《否决投标情况一览表》以外的内容予以否决投标，否则对评标委员会成员按《重庆市综合评标专家库和评标专家管理暂行办法》进行处理。</w:t>
      </w:r>
    </w:p>
    <w:p w14:paraId="79C3D4DC">
      <w:pPr>
        <w:pStyle w:val="5"/>
        <w:snapToGrid w:val="0"/>
        <w:spacing w:before="0" w:after="0" w:line="360" w:lineRule="auto"/>
        <w:rPr>
          <w:rFonts w:ascii="宋体" w:hAnsi="宋体"/>
          <w:b w:val="0"/>
          <w:snapToGrid w:val="0"/>
          <w:color w:val="auto"/>
          <w:sz w:val="24"/>
          <w:szCs w:val="24"/>
          <w:highlight w:val="none"/>
        </w:rPr>
      </w:pPr>
      <w:bookmarkStart w:id="553" w:name="_Toc57820611"/>
      <w:bookmarkStart w:id="554" w:name="_Toc224103367"/>
      <w:bookmarkStart w:id="555" w:name="_Toc277082602"/>
      <w:bookmarkStart w:id="556" w:name="_Toc430530485"/>
      <w:bookmarkStart w:id="557" w:name="_Toc200513176"/>
      <w:bookmarkStart w:id="558" w:name="_Toc287607796"/>
      <w:bookmarkStart w:id="559" w:name="_Toc287620735"/>
      <w:bookmarkStart w:id="560" w:name="_Toc509218760"/>
      <w:r>
        <w:rPr>
          <w:rFonts w:ascii="宋体" w:hAnsi="宋体"/>
          <w:b w:val="0"/>
          <w:snapToGrid w:val="0"/>
          <w:color w:val="auto"/>
          <w:sz w:val="24"/>
          <w:szCs w:val="24"/>
          <w:highlight w:val="none"/>
        </w:rPr>
        <w:t>9.4  对与评标活动有关的工作人员的纪律要求</w:t>
      </w:r>
      <w:bookmarkEnd w:id="553"/>
      <w:bookmarkEnd w:id="554"/>
      <w:bookmarkEnd w:id="555"/>
      <w:bookmarkEnd w:id="556"/>
      <w:bookmarkEnd w:id="557"/>
      <w:bookmarkEnd w:id="558"/>
      <w:bookmarkEnd w:id="559"/>
      <w:bookmarkEnd w:id="560"/>
    </w:p>
    <w:p w14:paraId="5A7591C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与评标活动有关的工作人员不得收受他人的财物或者其他好处，不得向他人透漏对投标文件的评审和比较、中标候选人的推荐情况以及与评标有关的其他情况。在评标活动中，与评标活动有关的工作人员不得擅离职守，影响评标程序正常进行。</w:t>
      </w:r>
    </w:p>
    <w:p w14:paraId="4E49DBA9">
      <w:pPr>
        <w:pStyle w:val="5"/>
        <w:snapToGrid w:val="0"/>
        <w:spacing w:before="0" w:after="0" w:line="360" w:lineRule="auto"/>
        <w:rPr>
          <w:rFonts w:ascii="宋体" w:hAnsi="宋体"/>
          <w:b w:val="0"/>
          <w:snapToGrid w:val="0"/>
          <w:color w:val="auto"/>
          <w:sz w:val="24"/>
          <w:szCs w:val="24"/>
          <w:highlight w:val="none"/>
        </w:rPr>
      </w:pPr>
      <w:bookmarkStart w:id="561" w:name="_Toc287607797"/>
      <w:bookmarkStart w:id="562" w:name="_Toc57820612"/>
      <w:bookmarkStart w:id="563" w:name="_Toc224103368"/>
      <w:bookmarkStart w:id="564" w:name="_Toc277082603"/>
      <w:bookmarkStart w:id="565" w:name="_Toc287620736"/>
      <w:bookmarkStart w:id="566" w:name="_Toc430530486"/>
      <w:bookmarkStart w:id="567" w:name="_Toc200513177"/>
      <w:bookmarkStart w:id="568" w:name="_Toc509218761"/>
      <w:r>
        <w:rPr>
          <w:rFonts w:ascii="宋体" w:hAnsi="宋体"/>
          <w:b w:val="0"/>
          <w:snapToGrid w:val="0"/>
          <w:color w:val="auto"/>
          <w:sz w:val="24"/>
          <w:szCs w:val="24"/>
          <w:highlight w:val="none"/>
        </w:rPr>
        <w:t>9.5  投诉</w:t>
      </w:r>
      <w:bookmarkEnd w:id="561"/>
      <w:bookmarkEnd w:id="562"/>
      <w:bookmarkEnd w:id="563"/>
      <w:bookmarkEnd w:id="564"/>
      <w:bookmarkEnd w:id="565"/>
      <w:bookmarkEnd w:id="566"/>
      <w:bookmarkEnd w:id="567"/>
      <w:bookmarkEnd w:id="568"/>
    </w:p>
    <w:p w14:paraId="25E2458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投标人和其他利害关系人认为本次招标活动违反法律、法规和规章规定的，有权向有关行政监督部门投诉。</w:t>
      </w:r>
    </w:p>
    <w:p w14:paraId="6D8F3892">
      <w:pPr>
        <w:pStyle w:val="4"/>
        <w:spacing w:before="0" w:after="0" w:line="360" w:lineRule="auto"/>
        <w:rPr>
          <w:rFonts w:ascii="宋体" w:hAnsi="宋体"/>
          <w:b w:val="0"/>
          <w:snapToGrid w:val="0"/>
          <w:color w:val="auto"/>
          <w:highlight w:val="none"/>
        </w:rPr>
      </w:pPr>
      <w:bookmarkStart w:id="569" w:name="_Toc430530487"/>
      <w:bookmarkStart w:id="570" w:name="_Toc224103369"/>
      <w:bookmarkStart w:id="571" w:name="_Toc200513178"/>
      <w:bookmarkStart w:id="572" w:name="_Toc277082604"/>
      <w:bookmarkStart w:id="573" w:name="_Toc509218762"/>
      <w:bookmarkStart w:id="574" w:name="_Toc57820613"/>
      <w:bookmarkStart w:id="575" w:name="_Toc287620737"/>
      <w:bookmarkStart w:id="576" w:name="_Toc287607798"/>
      <w:r>
        <w:rPr>
          <w:rFonts w:ascii="宋体" w:hAnsi="宋体"/>
          <w:b w:val="0"/>
          <w:snapToGrid w:val="0"/>
          <w:color w:val="auto"/>
          <w:highlight w:val="none"/>
        </w:rPr>
        <w:t>10. 需要补充的其他内容</w:t>
      </w:r>
      <w:bookmarkEnd w:id="569"/>
      <w:bookmarkEnd w:id="570"/>
      <w:bookmarkEnd w:id="571"/>
      <w:bookmarkEnd w:id="572"/>
      <w:bookmarkEnd w:id="573"/>
      <w:bookmarkEnd w:id="574"/>
      <w:bookmarkEnd w:id="575"/>
      <w:bookmarkEnd w:id="576"/>
    </w:p>
    <w:p w14:paraId="2486362F">
      <w:pPr>
        <w:autoSpaceDE w:val="0"/>
        <w:autoSpaceDN w:val="0"/>
        <w:adjustRightInd w:val="0"/>
        <w:snapToGrid w:val="0"/>
        <w:spacing w:line="360" w:lineRule="auto"/>
        <w:ind w:firstLine="420" w:firstLineChars="200"/>
        <w:rPr>
          <w:rFonts w:ascii="宋体" w:hAnsi="宋体"/>
          <w:snapToGrid w:val="0"/>
          <w:color w:val="auto"/>
          <w:kern w:val="0"/>
          <w:szCs w:val="21"/>
          <w:highlight w:val="none"/>
        </w:rPr>
        <w:sectPr>
          <w:footerReference r:id="rId10" w:type="default"/>
          <w:footerReference r:id="rId11" w:type="even"/>
          <w:pgSz w:w="11906" w:h="16838"/>
          <w:pgMar w:top="1304" w:right="1134" w:bottom="1304" w:left="1304" w:header="851" w:footer="992" w:gutter="0"/>
          <w:cols w:space="720" w:num="1"/>
          <w:docGrid w:type="lines" w:linePitch="312" w:charSpace="0"/>
        </w:sectPr>
      </w:pPr>
      <w:r>
        <w:rPr>
          <w:rFonts w:ascii="宋体" w:hAnsi="宋体"/>
          <w:snapToGrid w:val="0"/>
          <w:color w:val="auto"/>
          <w:kern w:val="0"/>
          <w:szCs w:val="21"/>
          <w:highlight w:val="none"/>
        </w:rPr>
        <w:t>需要补充的其他内容：见投标人须知前附表。</w:t>
      </w:r>
    </w:p>
    <w:p w14:paraId="63297B2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p>
    <w:p w14:paraId="089BA9F1">
      <w:pPr>
        <w:autoSpaceDE w:val="0"/>
        <w:autoSpaceDN w:val="0"/>
        <w:adjustRightInd w:val="0"/>
        <w:snapToGrid w:val="0"/>
        <w:spacing w:line="360" w:lineRule="auto"/>
        <w:jc w:val="left"/>
        <w:rPr>
          <w:rFonts w:hint="eastAsia" w:ascii="宋体" w:hAnsi="宋体"/>
          <w:b/>
          <w:snapToGrid w:val="0"/>
          <w:color w:val="auto"/>
          <w:kern w:val="0"/>
          <w:highlight w:val="none"/>
        </w:rPr>
      </w:pPr>
      <w:r>
        <w:rPr>
          <w:rFonts w:ascii="宋体" w:hAnsi="宋体"/>
          <w:b/>
          <w:snapToGrid w:val="0"/>
          <w:color w:val="auto"/>
          <w:kern w:val="0"/>
          <w:highlight w:val="none"/>
        </w:rPr>
        <w:t>附表一：开标记录表</w:t>
      </w:r>
    </w:p>
    <w:p w14:paraId="5C87FA56">
      <w:pPr>
        <w:autoSpaceDE w:val="0"/>
        <w:autoSpaceDN w:val="0"/>
        <w:adjustRightInd w:val="0"/>
        <w:snapToGrid w:val="0"/>
        <w:spacing w:line="360" w:lineRule="auto"/>
        <w:jc w:val="left"/>
        <w:rPr>
          <w:rFonts w:hint="eastAsia" w:ascii="宋体" w:hAnsi="宋体"/>
          <w:b/>
          <w:snapToGrid w:val="0"/>
          <w:color w:val="auto"/>
          <w:kern w:val="0"/>
          <w:highlight w:val="none"/>
        </w:rPr>
      </w:pPr>
    </w:p>
    <w:p w14:paraId="019FCF34">
      <w:pPr>
        <w:tabs>
          <w:tab w:val="left" w:pos="3529"/>
          <w:tab w:val="left" w:pos="5060"/>
        </w:tabs>
        <w:autoSpaceDE w:val="0"/>
        <w:autoSpaceDN w:val="0"/>
        <w:adjustRightInd w:val="0"/>
        <w:snapToGrid w:val="0"/>
        <w:spacing w:line="360" w:lineRule="auto"/>
        <w:ind w:firstLine="3324" w:firstLineChars="600"/>
        <w:jc w:val="left"/>
        <w:rPr>
          <w:rFonts w:ascii="宋体" w:hAnsi="宋体"/>
          <w:b/>
          <w:snapToGrid w:val="0"/>
          <w:color w:val="auto"/>
          <w:kern w:val="0"/>
          <w:sz w:val="28"/>
          <w:szCs w:val="28"/>
          <w:highlight w:val="none"/>
        </w:rPr>
      </w:pPr>
      <w:r>
        <w:rPr>
          <w:rFonts w:hint="eastAsia" w:ascii="宋体" w:hAnsi="宋体" w:cs="MingLiU"/>
          <w:snapToGrid w:val="0"/>
          <w:color w:val="auto"/>
          <w:w w:val="198"/>
          <w:kern w:val="0"/>
          <w:sz w:val="28"/>
          <w:szCs w:val="28"/>
          <w:highlight w:val="none"/>
          <w:u w:val="single"/>
        </w:rPr>
        <w:t xml:space="preserve">              </w:t>
      </w:r>
      <w:r>
        <w:rPr>
          <w:rFonts w:hint="eastAsia" w:ascii="宋体" w:hAnsi="宋体"/>
          <w:snapToGrid w:val="0"/>
          <w:color w:val="auto"/>
          <w:kern w:val="0"/>
          <w:sz w:val="28"/>
          <w:szCs w:val="28"/>
          <w:highlight w:val="none"/>
          <w:u w:val="single"/>
        </w:rPr>
        <w:t xml:space="preserve"> </w:t>
      </w:r>
      <w:r>
        <w:rPr>
          <w:rFonts w:ascii="宋体" w:hAnsi="宋体"/>
          <w:b/>
          <w:snapToGrid w:val="0"/>
          <w:color w:val="auto"/>
          <w:w w:val="99"/>
          <w:kern w:val="0"/>
          <w:sz w:val="28"/>
          <w:szCs w:val="28"/>
          <w:highlight w:val="none"/>
          <w:u w:val="single"/>
        </w:rPr>
        <w:t>（项目名称）</w:t>
      </w:r>
      <w:r>
        <w:rPr>
          <w:rFonts w:ascii="宋体" w:hAnsi="宋体"/>
          <w:b/>
          <w:snapToGrid w:val="0"/>
          <w:color w:val="auto"/>
          <w:w w:val="99"/>
          <w:kern w:val="0"/>
          <w:sz w:val="28"/>
          <w:szCs w:val="28"/>
          <w:highlight w:val="none"/>
        </w:rPr>
        <w:t>开标记录表</w:t>
      </w:r>
    </w:p>
    <w:p w14:paraId="7A7A7930">
      <w:pPr>
        <w:tabs>
          <w:tab w:val="left" w:pos="2260"/>
          <w:tab w:val="left" w:pos="5060"/>
        </w:tabs>
        <w:autoSpaceDE w:val="0"/>
        <w:autoSpaceDN w:val="0"/>
        <w:adjustRightInd w:val="0"/>
        <w:snapToGrid w:val="0"/>
        <w:spacing w:line="360" w:lineRule="auto"/>
        <w:jc w:val="right"/>
        <w:rPr>
          <w:rFonts w:ascii="宋体" w:hAnsi="宋体"/>
          <w:snapToGrid w:val="0"/>
          <w:color w:val="auto"/>
          <w:kern w:val="0"/>
          <w:szCs w:val="21"/>
          <w:highlight w:val="none"/>
        </w:rPr>
      </w:pPr>
      <w:r>
        <w:rPr>
          <w:rFonts w:ascii="宋体" w:hAnsi="宋体"/>
          <w:b/>
          <w:snapToGrid w:val="0"/>
          <w:color w:val="auto"/>
          <w:kern w:val="0"/>
          <w:sz w:val="28"/>
          <w:szCs w:val="28"/>
          <w:highlight w:val="none"/>
        </w:rPr>
        <w:t xml:space="preserve">                             </w:t>
      </w:r>
      <w:r>
        <w:rPr>
          <w:rFonts w:ascii="宋体" w:hAnsi="宋体"/>
          <w:snapToGrid w:val="0"/>
          <w:color w:val="auto"/>
          <w:kern w:val="0"/>
          <w:szCs w:val="21"/>
          <w:highlight w:val="none"/>
        </w:rPr>
        <w:t>开标时间：</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分</w:t>
      </w:r>
    </w:p>
    <w:tbl>
      <w:tblPr>
        <w:tblStyle w:val="45"/>
        <w:tblW w:w="0" w:type="auto"/>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433"/>
        <w:gridCol w:w="3260"/>
        <w:gridCol w:w="1134"/>
        <w:gridCol w:w="1559"/>
        <w:gridCol w:w="1560"/>
        <w:gridCol w:w="1275"/>
        <w:gridCol w:w="993"/>
        <w:gridCol w:w="1285"/>
        <w:gridCol w:w="947"/>
        <w:gridCol w:w="1311"/>
      </w:tblGrid>
      <w:tr w14:paraId="5137646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jc w:val="center"/>
        </w:trPr>
        <w:tc>
          <w:tcPr>
            <w:tcW w:w="433" w:type="dxa"/>
            <w:noWrap w:val="0"/>
            <w:vAlign w:val="center"/>
          </w:tcPr>
          <w:p w14:paraId="48493438">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序号</w:t>
            </w:r>
          </w:p>
        </w:tc>
        <w:tc>
          <w:tcPr>
            <w:tcW w:w="3260" w:type="dxa"/>
            <w:noWrap w:val="0"/>
            <w:vAlign w:val="center"/>
          </w:tcPr>
          <w:p w14:paraId="5E6BE941">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投标人</w:t>
            </w:r>
          </w:p>
        </w:tc>
        <w:tc>
          <w:tcPr>
            <w:tcW w:w="1134" w:type="dxa"/>
            <w:noWrap w:val="0"/>
            <w:vAlign w:val="center"/>
          </w:tcPr>
          <w:p w14:paraId="2D24E890">
            <w:pPr>
              <w:autoSpaceDE w:val="0"/>
              <w:autoSpaceDN w:val="0"/>
              <w:adjustRightInd w:val="0"/>
              <w:snapToGrid w:val="0"/>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解密情况</w:t>
            </w:r>
          </w:p>
        </w:tc>
        <w:tc>
          <w:tcPr>
            <w:tcW w:w="1559" w:type="dxa"/>
            <w:tcBorders>
              <w:right w:val="single" w:color="auto" w:sz="4" w:space="0"/>
            </w:tcBorders>
            <w:noWrap w:val="0"/>
            <w:vAlign w:val="center"/>
          </w:tcPr>
          <w:p w14:paraId="129B0287">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投标总报价</w:t>
            </w:r>
          </w:p>
        </w:tc>
        <w:tc>
          <w:tcPr>
            <w:tcW w:w="1560" w:type="dxa"/>
            <w:tcBorders>
              <w:left w:val="single" w:color="auto" w:sz="4" w:space="0"/>
            </w:tcBorders>
            <w:noWrap w:val="0"/>
            <w:vAlign w:val="center"/>
          </w:tcPr>
          <w:p w14:paraId="62DCB876">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安全文明施工费暂定金额</w:t>
            </w:r>
          </w:p>
        </w:tc>
        <w:tc>
          <w:tcPr>
            <w:tcW w:w="1275" w:type="dxa"/>
            <w:noWrap w:val="0"/>
            <w:vAlign w:val="center"/>
          </w:tcPr>
          <w:p w14:paraId="19AEEDC4">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质量目标</w:t>
            </w:r>
          </w:p>
        </w:tc>
        <w:tc>
          <w:tcPr>
            <w:tcW w:w="993" w:type="dxa"/>
            <w:noWrap w:val="0"/>
            <w:vAlign w:val="center"/>
          </w:tcPr>
          <w:p w14:paraId="3A66782A">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工期</w:t>
            </w:r>
          </w:p>
        </w:tc>
        <w:tc>
          <w:tcPr>
            <w:tcW w:w="1285" w:type="dxa"/>
            <w:noWrap w:val="0"/>
            <w:vAlign w:val="center"/>
          </w:tcPr>
          <w:p w14:paraId="561D9FC9">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项目经理</w:t>
            </w:r>
          </w:p>
        </w:tc>
        <w:tc>
          <w:tcPr>
            <w:tcW w:w="947" w:type="dxa"/>
            <w:noWrap w:val="0"/>
            <w:vAlign w:val="center"/>
          </w:tcPr>
          <w:p w14:paraId="6F46FCB7">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备注</w:t>
            </w:r>
          </w:p>
        </w:tc>
        <w:tc>
          <w:tcPr>
            <w:tcW w:w="1311" w:type="dxa"/>
            <w:noWrap w:val="0"/>
            <w:vAlign w:val="center"/>
          </w:tcPr>
          <w:p w14:paraId="42BF926B">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签名</w:t>
            </w:r>
          </w:p>
        </w:tc>
      </w:tr>
      <w:tr w14:paraId="426A47B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noWrap w:val="0"/>
            <w:vAlign w:val="center"/>
          </w:tcPr>
          <w:p w14:paraId="32FDABD0">
            <w:pPr>
              <w:autoSpaceDE w:val="0"/>
              <w:autoSpaceDN w:val="0"/>
              <w:adjustRightInd w:val="0"/>
              <w:snapToGrid w:val="0"/>
              <w:jc w:val="left"/>
              <w:rPr>
                <w:rFonts w:ascii="宋体" w:hAnsi="宋体"/>
                <w:snapToGrid w:val="0"/>
                <w:color w:val="auto"/>
                <w:kern w:val="0"/>
                <w:sz w:val="28"/>
                <w:szCs w:val="28"/>
                <w:highlight w:val="none"/>
              </w:rPr>
            </w:pPr>
          </w:p>
        </w:tc>
        <w:tc>
          <w:tcPr>
            <w:tcW w:w="3260" w:type="dxa"/>
            <w:noWrap w:val="0"/>
            <w:vAlign w:val="center"/>
          </w:tcPr>
          <w:p w14:paraId="27AA82D9">
            <w:pPr>
              <w:autoSpaceDE w:val="0"/>
              <w:autoSpaceDN w:val="0"/>
              <w:adjustRightInd w:val="0"/>
              <w:snapToGrid w:val="0"/>
              <w:jc w:val="left"/>
              <w:rPr>
                <w:rFonts w:ascii="宋体" w:hAnsi="宋体"/>
                <w:snapToGrid w:val="0"/>
                <w:color w:val="auto"/>
                <w:kern w:val="0"/>
                <w:sz w:val="28"/>
                <w:szCs w:val="28"/>
                <w:highlight w:val="none"/>
              </w:rPr>
            </w:pPr>
          </w:p>
        </w:tc>
        <w:tc>
          <w:tcPr>
            <w:tcW w:w="1134" w:type="dxa"/>
            <w:noWrap w:val="0"/>
            <w:vAlign w:val="center"/>
          </w:tcPr>
          <w:p w14:paraId="4F0028F9">
            <w:pPr>
              <w:autoSpaceDE w:val="0"/>
              <w:autoSpaceDN w:val="0"/>
              <w:adjustRightInd w:val="0"/>
              <w:snapToGrid w:val="0"/>
              <w:jc w:val="left"/>
              <w:rPr>
                <w:rFonts w:ascii="宋体" w:hAnsi="宋体"/>
                <w:snapToGrid w:val="0"/>
                <w:color w:val="auto"/>
                <w:kern w:val="0"/>
                <w:sz w:val="28"/>
                <w:szCs w:val="28"/>
                <w:highlight w:val="none"/>
              </w:rPr>
            </w:pPr>
          </w:p>
        </w:tc>
        <w:tc>
          <w:tcPr>
            <w:tcW w:w="1559" w:type="dxa"/>
            <w:tcBorders>
              <w:right w:val="single" w:color="auto" w:sz="4" w:space="0"/>
            </w:tcBorders>
            <w:noWrap w:val="0"/>
            <w:vAlign w:val="center"/>
          </w:tcPr>
          <w:p w14:paraId="57D9190B">
            <w:pPr>
              <w:autoSpaceDE w:val="0"/>
              <w:autoSpaceDN w:val="0"/>
              <w:adjustRightInd w:val="0"/>
              <w:snapToGrid w:val="0"/>
              <w:jc w:val="left"/>
              <w:rPr>
                <w:rFonts w:ascii="宋体" w:hAnsi="宋体"/>
                <w:snapToGrid w:val="0"/>
                <w:color w:val="auto"/>
                <w:kern w:val="0"/>
                <w:sz w:val="28"/>
                <w:szCs w:val="28"/>
                <w:highlight w:val="none"/>
              </w:rPr>
            </w:pPr>
          </w:p>
        </w:tc>
        <w:tc>
          <w:tcPr>
            <w:tcW w:w="1560" w:type="dxa"/>
            <w:tcBorders>
              <w:left w:val="single" w:color="auto" w:sz="4" w:space="0"/>
            </w:tcBorders>
            <w:noWrap w:val="0"/>
            <w:vAlign w:val="center"/>
          </w:tcPr>
          <w:p w14:paraId="757AC751">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21D2CDD0">
            <w:pPr>
              <w:autoSpaceDE w:val="0"/>
              <w:autoSpaceDN w:val="0"/>
              <w:adjustRightInd w:val="0"/>
              <w:snapToGrid w:val="0"/>
              <w:jc w:val="left"/>
              <w:rPr>
                <w:rFonts w:ascii="宋体" w:hAnsi="宋体"/>
                <w:snapToGrid w:val="0"/>
                <w:color w:val="auto"/>
                <w:kern w:val="0"/>
                <w:sz w:val="28"/>
                <w:szCs w:val="28"/>
                <w:highlight w:val="none"/>
              </w:rPr>
            </w:pPr>
          </w:p>
        </w:tc>
        <w:tc>
          <w:tcPr>
            <w:tcW w:w="993" w:type="dxa"/>
            <w:noWrap w:val="0"/>
            <w:vAlign w:val="center"/>
          </w:tcPr>
          <w:p w14:paraId="4FCEAEDC">
            <w:pPr>
              <w:autoSpaceDE w:val="0"/>
              <w:autoSpaceDN w:val="0"/>
              <w:adjustRightInd w:val="0"/>
              <w:snapToGrid w:val="0"/>
              <w:jc w:val="left"/>
              <w:rPr>
                <w:rFonts w:ascii="宋体" w:hAnsi="宋体"/>
                <w:snapToGrid w:val="0"/>
                <w:color w:val="auto"/>
                <w:kern w:val="0"/>
                <w:sz w:val="28"/>
                <w:szCs w:val="28"/>
                <w:highlight w:val="none"/>
              </w:rPr>
            </w:pPr>
          </w:p>
        </w:tc>
        <w:tc>
          <w:tcPr>
            <w:tcW w:w="1285" w:type="dxa"/>
            <w:noWrap w:val="0"/>
            <w:vAlign w:val="center"/>
          </w:tcPr>
          <w:p w14:paraId="44D1A039">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2CAA2223">
            <w:pPr>
              <w:autoSpaceDE w:val="0"/>
              <w:autoSpaceDN w:val="0"/>
              <w:adjustRightInd w:val="0"/>
              <w:snapToGrid w:val="0"/>
              <w:jc w:val="left"/>
              <w:rPr>
                <w:rFonts w:ascii="宋体" w:hAnsi="宋体"/>
                <w:snapToGrid w:val="0"/>
                <w:color w:val="auto"/>
                <w:kern w:val="0"/>
                <w:sz w:val="28"/>
                <w:szCs w:val="28"/>
                <w:highlight w:val="none"/>
              </w:rPr>
            </w:pPr>
          </w:p>
        </w:tc>
        <w:tc>
          <w:tcPr>
            <w:tcW w:w="1311" w:type="dxa"/>
            <w:noWrap w:val="0"/>
            <w:vAlign w:val="center"/>
          </w:tcPr>
          <w:p w14:paraId="11E08FB4">
            <w:pPr>
              <w:autoSpaceDE w:val="0"/>
              <w:autoSpaceDN w:val="0"/>
              <w:adjustRightInd w:val="0"/>
              <w:snapToGrid w:val="0"/>
              <w:jc w:val="left"/>
              <w:rPr>
                <w:rFonts w:ascii="宋体" w:hAnsi="宋体"/>
                <w:snapToGrid w:val="0"/>
                <w:color w:val="auto"/>
                <w:kern w:val="0"/>
                <w:sz w:val="28"/>
                <w:szCs w:val="28"/>
                <w:highlight w:val="none"/>
              </w:rPr>
            </w:pPr>
          </w:p>
        </w:tc>
      </w:tr>
      <w:tr w14:paraId="19EC875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noWrap w:val="0"/>
            <w:vAlign w:val="center"/>
          </w:tcPr>
          <w:p w14:paraId="4A2879AF">
            <w:pPr>
              <w:autoSpaceDE w:val="0"/>
              <w:autoSpaceDN w:val="0"/>
              <w:adjustRightInd w:val="0"/>
              <w:snapToGrid w:val="0"/>
              <w:jc w:val="left"/>
              <w:rPr>
                <w:rFonts w:ascii="宋体" w:hAnsi="宋体"/>
                <w:snapToGrid w:val="0"/>
                <w:color w:val="auto"/>
                <w:kern w:val="0"/>
                <w:sz w:val="28"/>
                <w:szCs w:val="28"/>
                <w:highlight w:val="none"/>
              </w:rPr>
            </w:pPr>
          </w:p>
        </w:tc>
        <w:tc>
          <w:tcPr>
            <w:tcW w:w="3260" w:type="dxa"/>
            <w:noWrap w:val="0"/>
            <w:vAlign w:val="center"/>
          </w:tcPr>
          <w:p w14:paraId="39F060A7">
            <w:pPr>
              <w:autoSpaceDE w:val="0"/>
              <w:autoSpaceDN w:val="0"/>
              <w:adjustRightInd w:val="0"/>
              <w:snapToGrid w:val="0"/>
              <w:jc w:val="left"/>
              <w:rPr>
                <w:rFonts w:ascii="宋体" w:hAnsi="宋体"/>
                <w:snapToGrid w:val="0"/>
                <w:color w:val="auto"/>
                <w:kern w:val="0"/>
                <w:sz w:val="28"/>
                <w:szCs w:val="28"/>
                <w:highlight w:val="none"/>
              </w:rPr>
            </w:pPr>
          </w:p>
        </w:tc>
        <w:tc>
          <w:tcPr>
            <w:tcW w:w="1134" w:type="dxa"/>
            <w:noWrap w:val="0"/>
            <w:vAlign w:val="center"/>
          </w:tcPr>
          <w:p w14:paraId="71749331">
            <w:pPr>
              <w:autoSpaceDE w:val="0"/>
              <w:autoSpaceDN w:val="0"/>
              <w:adjustRightInd w:val="0"/>
              <w:snapToGrid w:val="0"/>
              <w:jc w:val="left"/>
              <w:rPr>
                <w:rFonts w:ascii="宋体" w:hAnsi="宋体"/>
                <w:snapToGrid w:val="0"/>
                <w:color w:val="auto"/>
                <w:kern w:val="0"/>
                <w:sz w:val="28"/>
                <w:szCs w:val="28"/>
                <w:highlight w:val="none"/>
              </w:rPr>
            </w:pPr>
          </w:p>
        </w:tc>
        <w:tc>
          <w:tcPr>
            <w:tcW w:w="1559" w:type="dxa"/>
            <w:tcBorders>
              <w:right w:val="single" w:color="auto" w:sz="4" w:space="0"/>
            </w:tcBorders>
            <w:noWrap w:val="0"/>
            <w:vAlign w:val="center"/>
          </w:tcPr>
          <w:p w14:paraId="32551FE2">
            <w:pPr>
              <w:autoSpaceDE w:val="0"/>
              <w:autoSpaceDN w:val="0"/>
              <w:adjustRightInd w:val="0"/>
              <w:snapToGrid w:val="0"/>
              <w:jc w:val="left"/>
              <w:rPr>
                <w:rFonts w:ascii="宋体" w:hAnsi="宋体"/>
                <w:snapToGrid w:val="0"/>
                <w:color w:val="auto"/>
                <w:kern w:val="0"/>
                <w:sz w:val="28"/>
                <w:szCs w:val="28"/>
                <w:highlight w:val="none"/>
              </w:rPr>
            </w:pPr>
          </w:p>
        </w:tc>
        <w:tc>
          <w:tcPr>
            <w:tcW w:w="1560" w:type="dxa"/>
            <w:tcBorders>
              <w:left w:val="single" w:color="auto" w:sz="4" w:space="0"/>
            </w:tcBorders>
            <w:noWrap w:val="0"/>
            <w:vAlign w:val="center"/>
          </w:tcPr>
          <w:p w14:paraId="494658CF">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18BB78AB">
            <w:pPr>
              <w:autoSpaceDE w:val="0"/>
              <w:autoSpaceDN w:val="0"/>
              <w:adjustRightInd w:val="0"/>
              <w:snapToGrid w:val="0"/>
              <w:jc w:val="left"/>
              <w:rPr>
                <w:rFonts w:ascii="宋体" w:hAnsi="宋体"/>
                <w:snapToGrid w:val="0"/>
                <w:color w:val="auto"/>
                <w:kern w:val="0"/>
                <w:sz w:val="28"/>
                <w:szCs w:val="28"/>
                <w:highlight w:val="none"/>
              </w:rPr>
            </w:pPr>
          </w:p>
        </w:tc>
        <w:tc>
          <w:tcPr>
            <w:tcW w:w="993" w:type="dxa"/>
            <w:noWrap w:val="0"/>
            <w:vAlign w:val="center"/>
          </w:tcPr>
          <w:p w14:paraId="3BB86E50">
            <w:pPr>
              <w:autoSpaceDE w:val="0"/>
              <w:autoSpaceDN w:val="0"/>
              <w:adjustRightInd w:val="0"/>
              <w:snapToGrid w:val="0"/>
              <w:jc w:val="left"/>
              <w:rPr>
                <w:rFonts w:ascii="宋体" w:hAnsi="宋体"/>
                <w:snapToGrid w:val="0"/>
                <w:color w:val="auto"/>
                <w:kern w:val="0"/>
                <w:sz w:val="28"/>
                <w:szCs w:val="28"/>
                <w:highlight w:val="none"/>
              </w:rPr>
            </w:pPr>
          </w:p>
        </w:tc>
        <w:tc>
          <w:tcPr>
            <w:tcW w:w="1285" w:type="dxa"/>
            <w:noWrap w:val="0"/>
            <w:vAlign w:val="center"/>
          </w:tcPr>
          <w:p w14:paraId="48AC55F1">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51D0871E">
            <w:pPr>
              <w:autoSpaceDE w:val="0"/>
              <w:autoSpaceDN w:val="0"/>
              <w:adjustRightInd w:val="0"/>
              <w:snapToGrid w:val="0"/>
              <w:jc w:val="left"/>
              <w:rPr>
                <w:rFonts w:ascii="宋体" w:hAnsi="宋体"/>
                <w:snapToGrid w:val="0"/>
                <w:color w:val="auto"/>
                <w:kern w:val="0"/>
                <w:sz w:val="28"/>
                <w:szCs w:val="28"/>
                <w:highlight w:val="none"/>
              </w:rPr>
            </w:pPr>
          </w:p>
        </w:tc>
        <w:tc>
          <w:tcPr>
            <w:tcW w:w="1311" w:type="dxa"/>
            <w:noWrap w:val="0"/>
            <w:vAlign w:val="center"/>
          </w:tcPr>
          <w:p w14:paraId="4C6D1985">
            <w:pPr>
              <w:autoSpaceDE w:val="0"/>
              <w:autoSpaceDN w:val="0"/>
              <w:adjustRightInd w:val="0"/>
              <w:snapToGrid w:val="0"/>
              <w:jc w:val="left"/>
              <w:rPr>
                <w:rFonts w:ascii="宋体" w:hAnsi="宋体"/>
                <w:snapToGrid w:val="0"/>
                <w:color w:val="auto"/>
                <w:kern w:val="0"/>
                <w:sz w:val="28"/>
                <w:szCs w:val="28"/>
                <w:highlight w:val="none"/>
              </w:rPr>
            </w:pPr>
          </w:p>
        </w:tc>
      </w:tr>
      <w:tr w14:paraId="2124895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noWrap w:val="0"/>
            <w:vAlign w:val="center"/>
          </w:tcPr>
          <w:p w14:paraId="1F4900A1">
            <w:pPr>
              <w:autoSpaceDE w:val="0"/>
              <w:autoSpaceDN w:val="0"/>
              <w:adjustRightInd w:val="0"/>
              <w:snapToGrid w:val="0"/>
              <w:jc w:val="left"/>
              <w:rPr>
                <w:rFonts w:ascii="宋体" w:hAnsi="宋体"/>
                <w:snapToGrid w:val="0"/>
                <w:color w:val="auto"/>
                <w:kern w:val="0"/>
                <w:sz w:val="28"/>
                <w:szCs w:val="28"/>
                <w:highlight w:val="none"/>
              </w:rPr>
            </w:pPr>
          </w:p>
        </w:tc>
        <w:tc>
          <w:tcPr>
            <w:tcW w:w="3260" w:type="dxa"/>
            <w:noWrap w:val="0"/>
            <w:vAlign w:val="center"/>
          </w:tcPr>
          <w:p w14:paraId="6ECD005E">
            <w:pPr>
              <w:autoSpaceDE w:val="0"/>
              <w:autoSpaceDN w:val="0"/>
              <w:adjustRightInd w:val="0"/>
              <w:snapToGrid w:val="0"/>
              <w:jc w:val="left"/>
              <w:rPr>
                <w:rFonts w:ascii="宋体" w:hAnsi="宋体"/>
                <w:snapToGrid w:val="0"/>
                <w:color w:val="auto"/>
                <w:kern w:val="0"/>
                <w:sz w:val="28"/>
                <w:szCs w:val="28"/>
                <w:highlight w:val="none"/>
              </w:rPr>
            </w:pPr>
          </w:p>
        </w:tc>
        <w:tc>
          <w:tcPr>
            <w:tcW w:w="1134" w:type="dxa"/>
            <w:noWrap w:val="0"/>
            <w:vAlign w:val="center"/>
          </w:tcPr>
          <w:p w14:paraId="34176FE6">
            <w:pPr>
              <w:autoSpaceDE w:val="0"/>
              <w:autoSpaceDN w:val="0"/>
              <w:adjustRightInd w:val="0"/>
              <w:snapToGrid w:val="0"/>
              <w:jc w:val="left"/>
              <w:rPr>
                <w:rFonts w:ascii="宋体" w:hAnsi="宋体"/>
                <w:snapToGrid w:val="0"/>
                <w:color w:val="auto"/>
                <w:kern w:val="0"/>
                <w:sz w:val="28"/>
                <w:szCs w:val="28"/>
                <w:highlight w:val="none"/>
              </w:rPr>
            </w:pPr>
          </w:p>
        </w:tc>
        <w:tc>
          <w:tcPr>
            <w:tcW w:w="1559" w:type="dxa"/>
            <w:tcBorders>
              <w:right w:val="single" w:color="auto" w:sz="4" w:space="0"/>
            </w:tcBorders>
            <w:noWrap w:val="0"/>
            <w:vAlign w:val="center"/>
          </w:tcPr>
          <w:p w14:paraId="668AA30F">
            <w:pPr>
              <w:autoSpaceDE w:val="0"/>
              <w:autoSpaceDN w:val="0"/>
              <w:adjustRightInd w:val="0"/>
              <w:snapToGrid w:val="0"/>
              <w:jc w:val="left"/>
              <w:rPr>
                <w:rFonts w:ascii="宋体" w:hAnsi="宋体"/>
                <w:snapToGrid w:val="0"/>
                <w:color w:val="auto"/>
                <w:kern w:val="0"/>
                <w:sz w:val="28"/>
                <w:szCs w:val="28"/>
                <w:highlight w:val="none"/>
              </w:rPr>
            </w:pPr>
          </w:p>
        </w:tc>
        <w:tc>
          <w:tcPr>
            <w:tcW w:w="1560" w:type="dxa"/>
            <w:tcBorders>
              <w:left w:val="single" w:color="auto" w:sz="4" w:space="0"/>
            </w:tcBorders>
            <w:noWrap w:val="0"/>
            <w:vAlign w:val="center"/>
          </w:tcPr>
          <w:p w14:paraId="4719B27B">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55EC0962">
            <w:pPr>
              <w:autoSpaceDE w:val="0"/>
              <w:autoSpaceDN w:val="0"/>
              <w:adjustRightInd w:val="0"/>
              <w:snapToGrid w:val="0"/>
              <w:jc w:val="left"/>
              <w:rPr>
                <w:rFonts w:ascii="宋体" w:hAnsi="宋体"/>
                <w:snapToGrid w:val="0"/>
                <w:color w:val="auto"/>
                <w:kern w:val="0"/>
                <w:sz w:val="28"/>
                <w:szCs w:val="28"/>
                <w:highlight w:val="none"/>
              </w:rPr>
            </w:pPr>
          </w:p>
        </w:tc>
        <w:tc>
          <w:tcPr>
            <w:tcW w:w="993" w:type="dxa"/>
            <w:noWrap w:val="0"/>
            <w:vAlign w:val="center"/>
          </w:tcPr>
          <w:p w14:paraId="093A4E03">
            <w:pPr>
              <w:autoSpaceDE w:val="0"/>
              <w:autoSpaceDN w:val="0"/>
              <w:adjustRightInd w:val="0"/>
              <w:snapToGrid w:val="0"/>
              <w:jc w:val="left"/>
              <w:rPr>
                <w:rFonts w:ascii="宋体" w:hAnsi="宋体"/>
                <w:snapToGrid w:val="0"/>
                <w:color w:val="auto"/>
                <w:kern w:val="0"/>
                <w:sz w:val="28"/>
                <w:szCs w:val="28"/>
                <w:highlight w:val="none"/>
              </w:rPr>
            </w:pPr>
          </w:p>
        </w:tc>
        <w:tc>
          <w:tcPr>
            <w:tcW w:w="1285" w:type="dxa"/>
            <w:noWrap w:val="0"/>
            <w:vAlign w:val="center"/>
          </w:tcPr>
          <w:p w14:paraId="356F8B59">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0B5B53C9">
            <w:pPr>
              <w:autoSpaceDE w:val="0"/>
              <w:autoSpaceDN w:val="0"/>
              <w:adjustRightInd w:val="0"/>
              <w:snapToGrid w:val="0"/>
              <w:jc w:val="left"/>
              <w:rPr>
                <w:rFonts w:ascii="宋体" w:hAnsi="宋体"/>
                <w:snapToGrid w:val="0"/>
                <w:color w:val="auto"/>
                <w:kern w:val="0"/>
                <w:sz w:val="28"/>
                <w:szCs w:val="28"/>
                <w:highlight w:val="none"/>
              </w:rPr>
            </w:pPr>
          </w:p>
        </w:tc>
        <w:tc>
          <w:tcPr>
            <w:tcW w:w="1311" w:type="dxa"/>
            <w:noWrap w:val="0"/>
            <w:vAlign w:val="center"/>
          </w:tcPr>
          <w:p w14:paraId="6AD154CC">
            <w:pPr>
              <w:autoSpaceDE w:val="0"/>
              <w:autoSpaceDN w:val="0"/>
              <w:adjustRightInd w:val="0"/>
              <w:snapToGrid w:val="0"/>
              <w:jc w:val="left"/>
              <w:rPr>
                <w:rFonts w:ascii="宋体" w:hAnsi="宋体"/>
                <w:snapToGrid w:val="0"/>
                <w:color w:val="auto"/>
                <w:kern w:val="0"/>
                <w:sz w:val="28"/>
                <w:szCs w:val="28"/>
                <w:highlight w:val="none"/>
              </w:rPr>
            </w:pPr>
          </w:p>
        </w:tc>
      </w:tr>
      <w:tr w14:paraId="525B9CB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noWrap w:val="0"/>
            <w:vAlign w:val="center"/>
          </w:tcPr>
          <w:p w14:paraId="37EFA779">
            <w:pPr>
              <w:autoSpaceDE w:val="0"/>
              <w:autoSpaceDN w:val="0"/>
              <w:adjustRightInd w:val="0"/>
              <w:snapToGrid w:val="0"/>
              <w:jc w:val="left"/>
              <w:rPr>
                <w:rFonts w:ascii="宋体" w:hAnsi="宋体"/>
                <w:snapToGrid w:val="0"/>
                <w:color w:val="auto"/>
                <w:kern w:val="0"/>
                <w:sz w:val="28"/>
                <w:szCs w:val="28"/>
                <w:highlight w:val="none"/>
              </w:rPr>
            </w:pPr>
          </w:p>
        </w:tc>
        <w:tc>
          <w:tcPr>
            <w:tcW w:w="3260" w:type="dxa"/>
            <w:noWrap w:val="0"/>
            <w:vAlign w:val="center"/>
          </w:tcPr>
          <w:p w14:paraId="3CEA2DDF">
            <w:pPr>
              <w:autoSpaceDE w:val="0"/>
              <w:autoSpaceDN w:val="0"/>
              <w:adjustRightInd w:val="0"/>
              <w:snapToGrid w:val="0"/>
              <w:jc w:val="left"/>
              <w:rPr>
                <w:rFonts w:ascii="宋体" w:hAnsi="宋体"/>
                <w:snapToGrid w:val="0"/>
                <w:color w:val="auto"/>
                <w:kern w:val="0"/>
                <w:sz w:val="28"/>
                <w:szCs w:val="28"/>
                <w:highlight w:val="none"/>
              </w:rPr>
            </w:pPr>
          </w:p>
        </w:tc>
        <w:tc>
          <w:tcPr>
            <w:tcW w:w="1134" w:type="dxa"/>
            <w:noWrap w:val="0"/>
            <w:vAlign w:val="center"/>
          </w:tcPr>
          <w:p w14:paraId="24EB9594">
            <w:pPr>
              <w:autoSpaceDE w:val="0"/>
              <w:autoSpaceDN w:val="0"/>
              <w:adjustRightInd w:val="0"/>
              <w:snapToGrid w:val="0"/>
              <w:jc w:val="left"/>
              <w:rPr>
                <w:rFonts w:ascii="宋体" w:hAnsi="宋体"/>
                <w:snapToGrid w:val="0"/>
                <w:color w:val="auto"/>
                <w:kern w:val="0"/>
                <w:sz w:val="28"/>
                <w:szCs w:val="28"/>
                <w:highlight w:val="none"/>
              </w:rPr>
            </w:pPr>
          </w:p>
        </w:tc>
        <w:tc>
          <w:tcPr>
            <w:tcW w:w="1559" w:type="dxa"/>
            <w:tcBorders>
              <w:right w:val="single" w:color="auto" w:sz="4" w:space="0"/>
            </w:tcBorders>
            <w:noWrap w:val="0"/>
            <w:vAlign w:val="center"/>
          </w:tcPr>
          <w:p w14:paraId="64F270CC">
            <w:pPr>
              <w:autoSpaceDE w:val="0"/>
              <w:autoSpaceDN w:val="0"/>
              <w:adjustRightInd w:val="0"/>
              <w:snapToGrid w:val="0"/>
              <w:jc w:val="left"/>
              <w:rPr>
                <w:rFonts w:ascii="宋体" w:hAnsi="宋体"/>
                <w:snapToGrid w:val="0"/>
                <w:color w:val="auto"/>
                <w:kern w:val="0"/>
                <w:sz w:val="28"/>
                <w:szCs w:val="28"/>
                <w:highlight w:val="none"/>
              </w:rPr>
            </w:pPr>
          </w:p>
        </w:tc>
        <w:tc>
          <w:tcPr>
            <w:tcW w:w="1560" w:type="dxa"/>
            <w:tcBorders>
              <w:left w:val="single" w:color="auto" w:sz="4" w:space="0"/>
            </w:tcBorders>
            <w:noWrap w:val="0"/>
            <w:vAlign w:val="center"/>
          </w:tcPr>
          <w:p w14:paraId="38C900D4">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3B88A293">
            <w:pPr>
              <w:autoSpaceDE w:val="0"/>
              <w:autoSpaceDN w:val="0"/>
              <w:adjustRightInd w:val="0"/>
              <w:snapToGrid w:val="0"/>
              <w:jc w:val="left"/>
              <w:rPr>
                <w:rFonts w:ascii="宋体" w:hAnsi="宋体"/>
                <w:snapToGrid w:val="0"/>
                <w:color w:val="auto"/>
                <w:kern w:val="0"/>
                <w:sz w:val="28"/>
                <w:szCs w:val="28"/>
                <w:highlight w:val="none"/>
              </w:rPr>
            </w:pPr>
          </w:p>
        </w:tc>
        <w:tc>
          <w:tcPr>
            <w:tcW w:w="993" w:type="dxa"/>
            <w:noWrap w:val="0"/>
            <w:vAlign w:val="center"/>
          </w:tcPr>
          <w:p w14:paraId="504F0B34">
            <w:pPr>
              <w:autoSpaceDE w:val="0"/>
              <w:autoSpaceDN w:val="0"/>
              <w:adjustRightInd w:val="0"/>
              <w:snapToGrid w:val="0"/>
              <w:jc w:val="left"/>
              <w:rPr>
                <w:rFonts w:ascii="宋体" w:hAnsi="宋体"/>
                <w:snapToGrid w:val="0"/>
                <w:color w:val="auto"/>
                <w:kern w:val="0"/>
                <w:sz w:val="28"/>
                <w:szCs w:val="28"/>
                <w:highlight w:val="none"/>
              </w:rPr>
            </w:pPr>
          </w:p>
        </w:tc>
        <w:tc>
          <w:tcPr>
            <w:tcW w:w="1285" w:type="dxa"/>
            <w:noWrap w:val="0"/>
            <w:vAlign w:val="center"/>
          </w:tcPr>
          <w:p w14:paraId="640E1F06">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420C2326">
            <w:pPr>
              <w:autoSpaceDE w:val="0"/>
              <w:autoSpaceDN w:val="0"/>
              <w:adjustRightInd w:val="0"/>
              <w:snapToGrid w:val="0"/>
              <w:jc w:val="left"/>
              <w:rPr>
                <w:rFonts w:ascii="宋体" w:hAnsi="宋体"/>
                <w:snapToGrid w:val="0"/>
                <w:color w:val="auto"/>
                <w:kern w:val="0"/>
                <w:sz w:val="28"/>
                <w:szCs w:val="28"/>
                <w:highlight w:val="none"/>
              </w:rPr>
            </w:pPr>
          </w:p>
        </w:tc>
        <w:tc>
          <w:tcPr>
            <w:tcW w:w="1311" w:type="dxa"/>
            <w:noWrap w:val="0"/>
            <w:vAlign w:val="center"/>
          </w:tcPr>
          <w:p w14:paraId="65CE1F79">
            <w:pPr>
              <w:autoSpaceDE w:val="0"/>
              <w:autoSpaceDN w:val="0"/>
              <w:adjustRightInd w:val="0"/>
              <w:snapToGrid w:val="0"/>
              <w:jc w:val="left"/>
              <w:rPr>
                <w:rFonts w:ascii="宋体" w:hAnsi="宋体"/>
                <w:snapToGrid w:val="0"/>
                <w:color w:val="auto"/>
                <w:kern w:val="0"/>
                <w:sz w:val="28"/>
                <w:szCs w:val="28"/>
                <w:highlight w:val="none"/>
              </w:rPr>
            </w:pPr>
          </w:p>
        </w:tc>
      </w:tr>
      <w:tr w14:paraId="6E548BC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noWrap w:val="0"/>
            <w:vAlign w:val="center"/>
          </w:tcPr>
          <w:p w14:paraId="078D1A96">
            <w:pPr>
              <w:autoSpaceDE w:val="0"/>
              <w:autoSpaceDN w:val="0"/>
              <w:adjustRightInd w:val="0"/>
              <w:snapToGrid w:val="0"/>
              <w:jc w:val="left"/>
              <w:rPr>
                <w:rFonts w:ascii="宋体" w:hAnsi="宋体"/>
                <w:snapToGrid w:val="0"/>
                <w:color w:val="auto"/>
                <w:kern w:val="0"/>
                <w:sz w:val="28"/>
                <w:szCs w:val="28"/>
                <w:highlight w:val="none"/>
              </w:rPr>
            </w:pPr>
          </w:p>
        </w:tc>
        <w:tc>
          <w:tcPr>
            <w:tcW w:w="3260" w:type="dxa"/>
            <w:noWrap w:val="0"/>
            <w:vAlign w:val="center"/>
          </w:tcPr>
          <w:p w14:paraId="75D369D6">
            <w:pPr>
              <w:autoSpaceDE w:val="0"/>
              <w:autoSpaceDN w:val="0"/>
              <w:adjustRightInd w:val="0"/>
              <w:snapToGrid w:val="0"/>
              <w:jc w:val="left"/>
              <w:rPr>
                <w:rFonts w:ascii="宋体" w:hAnsi="宋体"/>
                <w:snapToGrid w:val="0"/>
                <w:color w:val="auto"/>
                <w:kern w:val="0"/>
                <w:sz w:val="28"/>
                <w:szCs w:val="28"/>
                <w:highlight w:val="none"/>
              </w:rPr>
            </w:pPr>
          </w:p>
        </w:tc>
        <w:tc>
          <w:tcPr>
            <w:tcW w:w="1134" w:type="dxa"/>
            <w:noWrap w:val="0"/>
            <w:vAlign w:val="center"/>
          </w:tcPr>
          <w:p w14:paraId="56AB4785">
            <w:pPr>
              <w:autoSpaceDE w:val="0"/>
              <w:autoSpaceDN w:val="0"/>
              <w:adjustRightInd w:val="0"/>
              <w:snapToGrid w:val="0"/>
              <w:jc w:val="left"/>
              <w:rPr>
                <w:rFonts w:ascii="宋体" w:hAnsi="宋体"/>
                <w:snapToGrid w:val="0"/>
                <w:color w:val="auto"/>
                <w:kern w:val="0"/>
                <w:sz w:val="28"/>
                <w:szCs w:val="28"/>
                <w:highlight w:val="none"/>
              </w:rPr>
            </w:pPr>
          </w:p>
        </w:tc>
        <w:tc>
          <w:tcPr>
            <w:tcW w:w="1559" w:type="dxa"/>
            <w:tcBorders>
              <w:right w:val="single" w:color="auto" w:sz="4" w:space="0"/>
            </w:tcBorders>
            <w:noWrap w:val="0"/>
            <w:vAlign w:val="center"/>
          </w:tcPr>
          <w:p w14:paraId="7B717D74">
            <w:pPr>
              <w:autoSpaceDE w:val="0"/>
              <w:autoSpaceDN w:val="0"/>
              <w:adjustRightInd w:val="0"/>
              <w:snapToGrid w:val="0"/>
              <w:jc w:val="left"/>
              <w:rPr>
                <w:rFonts w:ascii="宋体" w:hAnsi="宋体"/>
                <w:snapToGrid w:val="0"/>
                <w:color w:val="auto"/>
                <w:kern w:val="0"/>
                <w:sz w:val="28"/>
                <w:szCs w:val="28"/>
                <w:highlight w:val="none"/>
              </w:rPr>
            </w:pPr>
          </w:p>
        </w:tc>
        <w:tc>
          <w:tcPr>
            <w:tcW w:w="1560" w:type="dxa"/>
            <w:tcBorders>
              <w:left w:val="single" w:color="auto" w:sz="4" w:space="0"/>
            </w:tcBorders>
            <w:noWrap w:val="0"/>
            <w:vAlign w:val="center"/>
          </w:tcPr>
          <w:p w14:paraId="76FC1D48">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2FC41766">
            <w:pPr>
              <w:autoSpaceDE w:val="0"/>
              <w:autoSpaceDN w:val="0"/>
              <w:adjustRightInd w:val="0"/>
              <w:snapToGrid w:val="0"/>
              <w:jc w:val="left"/>
              <w:rPr>
                <w:rFonts w:ascii="宋体" w:hAnsi="宋体"/>
                <w:snapToGrid w:val="0"/>
                <w:color w:val="auto"/>
                <w:kern w:val="0"/>
                <w:sz w:val="28"/>
                <w:szCs w:val="28"/>
                <w:highlight w:val="none"/>
              </w:rPr>
            </w:pPr>
          </w:p>
        </w:tc>
        <w:tc>
          <w:tcPr>
            <w:tcW w:w="993" w:type="dxa"/>
            <w:noWrap w:val="0"/>
            <w:vAlign w:val="center"/>
          </w:tcPr>
          <w:p w14:paraId="03096209">
            <w:pPr>
              <w:autoSpaceDE w:val="0"/>
              <w:autoSpaceDN w:val="0"/>
              <w:adjustRightInd w:val="0"/>
              <w:snapToGrid w:val="0"/>
              <w:jc w:val="left"/>
              <w:rPr>
                <w:rFonts w:ascii="宋体" w:hAnsi="宋体"/>
                <w:snapToGrid w:val="0"/>
                <w:color w:val="auto"/>
                <w:kern w:val="0"/>
                <w:sz w:val="28"/>
                <w:szCs w:val="28"/>
                <w:highlight w:val="none"/>
              </w:rPr>
            </w:pPr>
          </w:p>
        </w:tc>
        <w:tc>
          <w:tcPr>
            <w:tcW w:w="1285" w:type="dxa"/>
            <w:noWrap w:val="0"/>
            <w:vAlign w:val="center"/>
          </w:tcPr>
          <w:p w14:paraId="34E7FC72">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1E01B531">
            <w:pPr>
              <w:autoSpaceDE w:val="0"/>
              <w:autoSpaceDN w:val="0"/>
              <w:adjustRightInd w:val="0"/>
              <w:snapToGrid w:val="0"/>
              <w:jc w:val="left"/>
              <w:rPr>
                <w:rFonts w:ascii="宋体" w:hAnsi="宋体"/>
                <w:snapToGrid w:val="0"/>
                <w:color w:val="auto"/>
                <w:kern w:val="0"/>
                <w:sz w:val="28"/>
                <w:szCs w:val="28"/>
                <w:highlight w:val="none"/>
              </w:rPr>
            </w:pPr>
          </w:p>
        </w:tc>
        <w:tc>
          <w:tcPr>
            <w:tcW w:w="1311" w:type="dxa"/>
            <w:noWrap w:val="0"/>
            <w:vAlign w:val="center"/>
          </w:tcPr>
          <w:p w14:paraId="598318FF">
            <w:pPr>
              <w:autoSpaceDE w:val="0"/>
              <w:autoSpaceDN w:val="0"/>
              <w:adjustRightInd w:val="0"/>
              <w:snapToGrid w:val="0"/>
              <w:jc w:val="left"/>
              <w:rPr>
                <w:rFonts w:ascii="宋体" w:hAnsi="宋体"/>
                <w:snapToGrid w:val="0"/>
                <w:color w:val="auto"/>
                <w:kern w:val="0"/>
                <w:sz w:val="28"/>
                <w:szCs w:val="28"/>
                <w:highlight w:val="none"/>
              </w:rPr>
            </w:pPr>
          </w:p>
        </w:tc>
      </w:tr>
      <w:tr w14:paraId="66B2536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noWrap w:val="0"/>
            <w:vAlign w:val="center"/>
          </w:tcPr>
          <w:p w14:paraId="38AF6376">
            <w:pPr>
              <w:autoSpaceDE w:val="0"/>
              <w:autoSpaceDN w:val="0"/>
              <w:adjustRightInd w:val="0"/>
              <w:snapToGrid w:val="0"/>
              <w:jc w:val="left"/>
              <w:rPr>
                <w:rFonts w:ascii="宋体" w:hAnsi="宋体"/>
                <w:snapToGrid w:val="0"/>
                <w:color w:val="auto"/>
                <w:kern w:val="0"/>
                <w:sz w:val="28"/>
                <w:szCs w:val="28"/>
                <w:highlight w:val="none"/>
              </w:rPr>
            </w:pPr>
          </w:p>
        </w:tc>
        <w:tc>
          <w:tcPr>
            <w:tcW w:w="3260" w:type="dxa"/>
            <w:noWrap w:val="0"/>
            <w:vAlign w:val="center"/>
          </w:tcPr>
          <w:p w14:paraId="6A71389A">
            <w:pPr>
              <w:autoSpaceDE w:val="0"/>
              <w:autoSpaceDN w:val="0"/>
              <w:adjustRightInd w:val="0"/>
              <w:snapToGrid w:val="0"/>
              <w:jc w:val="left"/>
              <w:rPr>
                <w:rFonts w:ascii="宋体" w:hAnsi="宋体"/>
                <w:snapToGrid w:val="0"/>
                <w:color w:val="auto"/>
                <w:kern w:val="0"/>
                <w:sz w:val="28"/>
                <w:szCs w:val="28"/>
                <w:highlight w:val="none"/>
              </w:rPr>
            </w:pPr>
          </w:p>
        </w:tc>
        <w:tc>
          <w:tcPr>
            <w:tcW w:w="1134" w:type="dxa"/>
            <w:noWrap w:val="0"/>
            <w:vAlign w:val="center"/>
          </w:tcPr>
          <w:p w14:paraId="5F2F9DEA">
            <w:pPr>
              <w:autoSpaceDE w:val="0"/>
              <w:autoSpaceDN w:val="0"/>
              <w:adjustRightInd w:val="0"/>
              <w:snapToGrid w:val="0"/>
              <w:jc w:val="left"/>
              <w:rPr>
                <w:rFonts w:ascii="宋体" w:hAnsi="宋体"/>
                <w:snapToGrid w:val="0"/>
                <w:color w:val="auto"/>
                <w:kern w:val="0"/>
                <w:sz w:val="28"/>
                <w:szCs w:val="28"/>
                <w:highlight w:val="none"/>
              </w:rPr>
            </w:pPr>
          </w:p>
        </w:tc>
        <w:tc>
          <w:tcPr>
            <w:tcW w:w="1559" w:type="dxa"/>
            <w:tcBorders>
              <w:right w:val="single" w:color="auto" w:sz="4" w:space="0"/>
            </w:tcBorders>
            <w:noWrap w:val="0"/>
            <w:vAlign w:val="center"/>
          </w:tcPr>
          <w:p w14:paraId="325AE1E7">
            <w:pPr>
              <w:autoSpaceDE w:val="0"/>
              <w:autoSpaceDN w:val="0"/>
              <w:adjustRightInd w:val="0"/>
              <w:snapToGrid w:val="0"/>
              <w:jc w:val="left"/>
              <w:rPr>
                <w:rFonts w:ascii="宋体" w:hAnsi="宋体"/>
                <w:snapToGrid w:val="0"/>
                <w:color w:val="auto"/>
                <w:kern w:val="0"/>
                <w:sz w:val="28"/>
                <w:szCs w:val="28"/>
                <w:highlight w:val="none"/>
              </w:rPr>
            </w:pPr>
          </w:p>
        </w:tc>
        <w:tc>
          <w:tcPr>
            <w:tcW w:w="1560" w:type="dxa"/>
            <w:tcBorders>
              <w:left w:val="single" w:color="auto" w:sz="4" w:space="0"/>
            </w:tcBorders>
            <w:noWrap w:val="0"/>
            <w:vAlign w:val="center"/>
          </w:tcPr>
          <w:p w14:paraId="0DB1D530">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53F25AD8">
            <w:pPr>
              <w:autoSpaceDE w:val="0"/>
              <w:autoSpaceDN w:val="0"/>
              <w:adjustRightInd w:val="0"/>
              <w:snapToGrid w:val="0"/>
              <w:jc w:val="left"/>
              <w:rPr>
                <w:rFonts w:ascii="宋体" w:hAnsi="宋体"/>
                <w:snapToGrid w:val="0"/>
                <w:color w:val="auto"/>
                <w:kern w:val="0"/>
                <w:sz w:val="28"/>
                <w:szCs w:val="28"/>
                <w:highlight w:val="none"/>
              </w:rPr>
            </w:pPr>
          </w:p>
        </w:tc>
        <w:tc>
          <w:tcPr>
            <w:tcW w:w="993" w:type="dxa"/>
            <w:noWrap w:val="0"/>
            <w:vAlign w:val="center"/>
          </w:tcPr>
          <w:p w14:paraId="56BD442C">
            <w:pPr>
              <w:autoSpaceDE w:val="0"/>
              <w:autoSpaceDN w:val="0"/>
              <w:adjustRightInd w:val="0"/>
              <w:snapToGrid w:val="0"/>
              <w:jc w:val="left"/>
              <w:rPr>
                <w:rFonts w:ascii="宋体" w:hAnsi="宋体"/>
                <w:snapToGrid w:val="0"/>
                <w:color w:val="auto"/>
                <w:kern w:val="0"/>
                <w:sz w:val="28"/>
                <w:szCs w:val="28"/>
                <w:highlight w:val="none"/>
              </w:rPr>
            </w:pPr>
          </w:p>
        </w:tc>
        <w:tc>
          <w:tcPr>
            <w:tcW w:w="1285" w:type="dxa"/>
            <w:noWrap w:val="0"/>
            <w:vAlign w:val="center"/>
          </w:tcPr>
          <w:p w14:paraId="7D5859A4">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2B8F6092">
            <w:pPr>
              <w:autoSpaceDE w:val="0"/>
              <w:autoSpaceDN w:val="0"/>
              <w:adjustRightInd w:val="0"/>
              <w:snapToGrid w:val="0"/>
              <w:jc w:val="left"/>
              <w:rPr>
                <w:rFonts w:ascii="宋体" w:hAnsi="宋体"/>
                <w:snapToGrid w:val="0"/>
                <w:color w:val="auto"/>
                <w:kern w:val="0"/>
                <w:sz w:val="28"/>
                <w:szCs w:val="28"/>
                <w:highlight w:val="none"/>
              </w:rPr>
            </w:pPr>
          </w:p>
        </w:tc>
        <w:tc>
          <w:tcPr>
            <w:tcW w:w="1311" w:type="dxa"/>
            <w:noWrap w:val="0"/>
            <w:vAlign w:val="center"/>
          </w:tcPr>
          <w:p w14:paraId="207F9870">
            <w:pPr>
              <w:autoSpaceDE w:val="0"/>
              <w:autoSpaceDN w:val="0"/>
              <w:adjustRightInd w:val="0"/>
              <w:snapToGrid w:val="0"/>
              <w:jc w:val="left"/>
              <w:rPr>
                <w:rFonts w:ascii="宋体" w:hAnsi="宋体"/>
                <w:snapToGrid w:val="0"/>
                <w:color w:val="auto"/>
                <w:kern w:val="0"/>
                <w:sz w:val="28"/>
                <w:szCs w:val="28"/>
                <w:highlight w:val="none"/>
              </w:rPr>
            </w:pPr>
          </w:p>
        </w:tc>
      </w:tr>
      <w:tr w14:paraId="7B18B6C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98" w:hRule="exact"/>
          <w:jc w:val="center"/>
        </w:trPr>
        <w:tc>
          <w:tcPr>
            <w:tcW w:w="3693" w:type="dxa"/>
            <w:gridSpan w:val="2"/>
            <w:tcBorders>
              <w:bottom w:val="single" w:color="auto" w:sz="4" w:space="0"/>
            </w:tcBorders>
            <w:noWrap w:val="0"/>
            <w:vAlign w:val="center"/>
          </w:tcPr>
          <w:p w14:paraId="787BDEB0">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最高限价</w:t>
            </w:r>
          </w:p>
        </w:tc>
        <w:tc>
          <w:tcPr>
            <w:tcW w:w="10064" w:type="dxa"/>
            <w:gridSpan w:val="8"/>
            <w:tcBorders>
              <w:bottom w:val="single" w:color="auto" w:sz="4" w:space="0"/>
            </w:tcBorders>
            <w:noWrap w:val="0"/>
            <w:vAlign w:val="center"/>
          </w:tcPr>
          <w:p w14:paraId="78F3D171">
            <w:pPr>
              <w:autoSpaceDE w:val="0"/>
              <w:autoSpaceDN w:val="0"/>
              <w:adjustRightInd w:val="0"/>
              <w:snapToGrid w:val="0"/>
              <w:jc w:val="left"/>
              <w:rPr>
                <w:rFonts w:ascii="宋体" w:hAnsi="宋体"/>
                <w:snapToGrid w:val="0"/>
                <w:color w:val="auto"/>
                <w:kern w:val="0"/>
                <w:szCs w:val="21"/>
                <w:highlight w:val="none"/>
              </w:rPr>
            </w:pPr>
          </w:p>
        </w:tc>
      </w:tr>
      <w:tr w14:paraId="3372310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26" w:hRule="exact"/>
          <w:jc w:val="center"/>
        </w:trPr>
        <w:tc>
          <w:tcPr>
            <w:tcW w:w="3693" w:type="dxa"/>
            <w:gridSpan w:val="2"/>
            <w:tcBorders>
              <w:top w:val="single" w:color="auto" w:sz="4" w:space="0"/>
              <w:bottom w:val="single" w:color="auto" w:sz="4" w:space="0"/>
            </w:tcBorders>
            <w:noWrap w:val="0"/>
            <w:vAlign w:val="center"/>
          </w:tcPr>
          <w:p w14:paraId="1DD58D4D">
            <w:pPr>
              <w:autoSpaceDE w:val="0"/>
              <w:autoSpaceDN w:val="0"/>
              <w:adjustRightInd w:val="0"/>
              <w:snapToGrid w:val="0"/>
              <w:jc w:val="center"/>
              <w:rPr>
                <w:rFonts w:ascii="宋体" w:hAnsi="宋体"/>
                <w:snapToGrid w:val="0"/>
                <w:color w:val="auto"/>
                <w:kern w:val="0"/>
                <w:szCs w:val="21"/>
                <w:highlight w:val="none"/>
              </w:rPr>
            </w:pPr>
            <w:r>
              <w:rPr>
                <w:rFonts w:hint="eastAsia"/>
                <w:color w:val="auto"/>
                <w:szCs w:val="21"/>
                <w:highlight w:val="none"/>
              </w:rPr>
              <w:t>最高限价的8</w:t>
            </w:r>
            <w:r>
              <w:rPr>
                <w:color w:val="auto"/>
                <w:szCs w:val="21"/>
                <w:highlight w:val="none"/>
              </w:rPr>
              <w:t>5</w:t>
            </w:r>
            <w:r>
              <w:rPr>
                <w:rFonts w:hint="eastAsia"/>
                <w:color w:val="auto"/>
                <w:szCs w:val="21"/>
                <w:highlight w:val="none"/>
              </w:rPr>
              <w:t>%</w:t>
            </w:r>
          </w:p>
        </w:tc>
        <w:tc>
          <w:tcPr>
            <w:tcW w:w="10064" w:type="dxa"/>
            <w:gridSpan w:val="8"/>
            <w:tcBorders>
              <w:top w:val="single" w:color="auto" w:sz="4" w:space="0"/>
              <w:bottom w:val="single" w:color="auto" w:sz="4" w:space="0"/>
            </w:tcBorders>
            <w:noWrap w:val="0"/>
            <w:vAlign w:val="center"/>
          </w:tcPr>
          <w:p w14:paraId="1C1014A0">
            <w:pPr>
              <w:autoSpaceDE w:val="0"/>
              <w:autoSpaceDN w:val="0"/>
              <w:adjustRightInd w:val="0"/>
              <w:snapToGrid w:val="0"/>
              <w:jc w:val="left"/>
              <w:rPr>
                <w:rFonts w:ascii="宋体" w:hAnsi="宋体"/>
                <w:snapToGrid w:val="0"/>
                <w:color w:val="auto"/>
                <w:kern w:val="0"/>
                <w:szCs w:val="21"/>
                <w:highlight w:val="none"/>
              </w:rPr>
            </w:pPr>
            <w:r>
              <w:rPr>
                <w:rFonts w:hint="eastAsia" w:ascii="宋体" w:hAnsi="宋体"/>
                <w:i/>
                <w:color w:val="auto"/>
                <w:kern w:val="0"/>
                <w:szCs w:val="21"/>
                <w:highlight w:val="none"/>
              </w:rPr>
              <w:t>[提示：经评审的最低投标价法适用]</w:t>
            </w:r>
          </w:p>
        </w:tc>
      </w:tr>
      <w:tr w14:paraId="77D5FBD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26" w:hRule="exact"/>
          <w:jc w:val="center"/>
        </w:trPr>
        <w:tc>
          <w:tcPr>
            <w:tcW w:w="3693" w:type="dxa"/>
            <w:gridSpan w:val="2"/>
            <w:tcBorders>
              <w:top w:val="single" w:color="auto" w:sz="4" w:space="0"/>
            </w:tcBorders>
            <w:noWrap w:val="0"/>
            <w:vAlign w:val="center"/>
          </w:tcPr>
          <w:p w14:paraId="10AA4363">
            <w:pPr>
              <w:autoSpaceDE w:val="0"/>
              <w:autoSpaceDN w:val="0"/>
              <w:adjustRightInd w:val="0"/>
              <w:snapToGrid w:val="0"/>
              <w:jc w:val="center"/>
              <w:rPr>
                <w:rFonts w:hint="default" w:eastAsia="宋体"/>
                <w:color w:val="auto"/>
                <w:szCs w:val="21"/>
                <w:highlight w:val="none"/>
                <w:lang w:val="en-US" w:eastAsia="zh-CN"/>
              </w:rPr>
            </w:pPr>
            <w:r>
              <w:rPr>
                <w:rFonts w:hint="eastAsia"/>
                <w:color w:val="auto"/>
                <w:szCs w:val="21"/>
                <w:highlight w:val="none"/>
                <w:lang w:val="en-US" w:eastAsia="zh-CN"/>
              </w:rPr>
              <w:t>异常情况</w:t>
            </w:r>
          </w:p>
        </w:tc>
        <w:tc>
          <w:tcPr>
            <w:tcW w:w="10064" w:type="dxa"/>
            <w:gridSpan w:val="8"/>
            <w:tcBorders>
              <w:top w:val="single" w:color="auto" w:sz="4" w:space="0"/>
            </w:tcBorders>
            <w:noWrap w:val="0"/>
            <w:vAlign w:val="center"/>
          </w:tcPr>
          <w:p w14:paraId="04414F43">
            <w:pPr>
              <w:autoSpaceDE w:val="0"/>
              <w:autoSpaceDN w:val="0"/>
              <w:adjustRightInd w:val="0"/>
              <w:snapToGrid w:val="0"/>
              <w:jc w:val="left"/>
              <w:rPr>
                <w:rFonts w:hint="eastAsia" w:ascii="宋体" w:hAnsi="宋体"/>
                <w:i/>
                <w:color w:val="auto"/>
                <w:kern w:val="0"/>
                <w:szCs w:val="21"/>
                <w:highlight w:val="none"/>
              </w:rPr>
            </w:pPr>
          </w:p>
        </w:tc>
      </w:tr>
    </w:tbl>
    <w:p w14:paraId="6DD7EF9A">
      <w:pPr>
        <w:tabs>
          <w:tab w:val="left" w:pos="2740"/>
          <w:tab w:val="left" w:pos="4940"/>
          <w:tab w:val="left" w:pos="7140"/>
        </w:tabs>
        <w:autoSpaceDE w:val="0"/>
        <w:autoSpaceDN w:val="0"/>
        <w:adjustRightInd w:val="0"/>
        <w:snapToGrid w:val="0"/>
        <w:spacing w:line="360" w:lineRule="auto"/>
        <w:jc w:val="left"/>
        <w:rPr>
          <w:rFonts w:ascii="宋体" w:hAnsi="宋体"/>
          <w:snapToGrid w:val="0"/>
          <w:color w:val="auto"/>
          <w:kern w:val="0"/>
          <w:szCs w:val="21"/>
          <w:highlight w:val="none"/>
        </w:rPr>
      </w:pPr>
    </w:p>
    <w:p w14:paraId="16EBACC9">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招标人代表：</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ascii="宋体" w:hAnsi="宋体"/>
          <w:snapToGrid w:val="0"/>
          <w:color w:val="auto"/>
          <w:kern w:val="0"/>
          <w:szCs w:val="21"/>
          <w:highlight w:val="none"/>
        </w:rPr>
        <w:t>监标人：</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hint="eastAsia" w:ascii="宋体" w:hAnsi="宋体"/>
          <w:snapToGrid w:val="0"/>
          <w:color w:val="auto"/>
          <w:kern w:val="0"/>
          <w:szCs w:val="21"/>
          <w:highlight w:val="none"/>
        </w:rPr>
        <w:t>主持人</w:t>
      </w:r>
      <w:r>
        <w:rPr>
          <w:rFonts w:ascii="宋体" w:hAnsi="宋体"/>
          <w:snapToGrid w:val="0"/>
          <w:color w:val="auto"/>
          <w:kern w:val="0"/>
          <w:szCs w:val="21"/>
          <w:highlight w:val="none"/>
        </w:rPr>
        <w:t>：</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ascii="宋体" w:hAnsi="宋体"/>
          <w:snapToGrid w:val="0"/>
          <w:color w:val="auto"/>
          <w:kern w:val="0"/>
          <w:szCs w:val="21"/>
          <w:highlight w:val="none"/>
        </w:rPr>
        <w:t>记录人：</w:t>
      </w:r>
      <w:r>
        <w:rPr>
          <w:rFonts w:hint="eastAsia" w:ascii="宋体" w:hAnsi="宋体" w:cs="MingLiU"/>
          <w:snapToGrid w:val="0"/>
          <w:color w:val="auto"/>
          <w:w w:val="200"/>
          <w:kern w:val="0"/>
          <w:szCs w:val="21"/>
          <w:highlight w:val="none"/>
          <w:u w:val="single"/>
        </w:rPr>
        <w:t xml:space="preserve">      </w:t>
      </w:r>
    </w:p>
    <w:p w14:paraId="3EB8B13B">
      <w:pPr>
        <w:autoSpaceDE w:val="0"/>
        <w:autoSpaceDN w:val="0"/>
        <w:adjustRightInd w:val="0"/>
        <w:snapToGrid w:val="0"/>
        <w:spacing w:before="62" w:beforeLines="20" w:line="360" w:lineRule="auto"/>
        <w:jc w:val="right"/>
        <w:rPr>
          <w:rFonts w:ascii="宋体" w:hAnsi="宋体"/>
          <w:snapToGrid w:val="0"/>
          <w:color w:val="auto"/>
          <w:kern w:val="0"/>
          <w:sz w:val="24"/>
          <w:highlight w:val="none"/>
        </w:rPr>
      </w:pPr>
      <w:r>
        <w:rPr>
          <w:rFonts w:ascii="宋体" w:hAnsi="宋体"/>
          <w:snapToGrid w:val="0"/>
          <w:color w:val="auto"/>
          <w:kern w:val="0"/>
          <w:sz w:val="24"/>
          <w:highlight w:val="none"/>
        </w:rPr>
        <w:t xml:space="preserve">                                       </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年</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月</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日</w:t>
      </w:r>
    </w:p>
    <w:p w14:paraId="5D64F674">
      <w:pPr>
        <w:autoSpaceDE w:val="0"/>
        <w:autoSpaceDN w:val="0"/>
        <w:adjustRightInd w:val="0"/>
        <w:snapToGrid w:val="0"/>
        <w:spacing w:before="62" w:beforeLines="20" w:line="360" w:lineRule="auto"/>
        <w:jc w:val="both"/>
        <w:rPr>
          <w:rFonts w:ascii="宋体" w:hAnsi="宋体"/>
          <w:snapToGrid w:val="0"/>
          <w:color w:val="auto"/>
          <w:kern w:val="0"/>
          <w:sz w:val="24"/>
          <w:highlight w:val="none"/>
        </w:rPr>
      </w:pPr>
      <w:r>
        <w:rPr>
          <w:rFonts w:ascii="宋体" w:hAnsi="宋体"/>
          <w:snapToGrid w:val="0"/>
          <w:color w:val="auto"/>
          <w:kern w:val="0"/>
          <w:sz w:val="24"/>
          <w:highlight w:val="none"/>
        </w:rPr>
        <w:br w:type="page"/>
      </w:r>
      <w:r>
        <w:rPr>
          <w:rFonts w:ascii="宋体" w:hAnsi="宋体"/>
          <w:b/>
          <w:snapToGrid w:val="0"/>
          <w:color w:val="auto"/>
          <w:kern w:val="0"/>
          <w:highlight w:val="none"/>
        </w:rPr>
        <w:t>附表</w:t>
      </w:r>
      <w:r>
        <w:rPr>
          <w:rFonts w:hint="eastAsia" w:ascii="宋体" w:hAnsi="宋体"/>
          <w:b/>
          <w:snapToGrid w:val="0"/>
          <w:color w:val="auto"/>
          <w:kern w:val="0"/>
          <w:highlight w:val="none"/>
          <w:lang w:val="en-US" w:eastAsia="zh-CN"/>
        </w:rPr>
        <w:t>二</w:t>
      </w:r>
      <w:r>
        <w:rPr>
          <w:rFonts w:ascii="宋体" w:hAnsi="宋体"/>
          <w:b/>
          <w:snapToGrid w:val="0"/>
          <w:color w:val="auto"/>
          <w:kern w:val="0"/>
          <w:highlight w:val="none"/>
        </w:rPr>
        <w:t>：</w:t>
      </w:r>
      <w:r>
        <w:rPr>
          <w:rFonts w:hint="default" w:ascii="宋体" w:hAnsi="宋体"/>
          <w:b/>
          <w:snapToGrid w:val="0"/>
          <w:color w:val="auto"/>
          <w:w w:val="100"/>
          <w:kern w:val="0"/>
          <w:sz w:val="21"/>
          <w:szCs w:val="24"/>
          <w:highlight w:val="none"/>
          <w:u w:val="none"/>
          <w:lang w:val="en-US" w:eastAsia="zh-CN"/>
        </w:rPr>
        <w:t>纸质投标保函递交情况一览表（如有）</w:t>
      </w:r>
    </w:p>
    <w:p w14:paraId="0C8C4D86">
      <w:pPr>
        <w:autoSpaceDE w:val="0"/>
        <w:autoSpaceDN w:val="0"/>
        <w:adjustRightInd w:val="0"/>
        <w:snapToGrid w:val="0"/>
        <w:spacing w:before="62" w:beforeLines="20" w:line="360" w:lineRule="auto"/>
        <w:jc w:val="center"/>
        <w:rPr>
          <w:rFonts w:hint="eastAsia" w:ascii="宋体" w:hAnsi="宋体"/>
          <w:color w:val="auto"/>
          <w:szCs w:val="21"/>
          <w:highlight w:val="none"/>
          <w:lang w:val="en-US" w:eastAsia="zh-CN"/>
        </w:rPr>
      </w:pPr>
      <w:r>
        <w:rPr>
          <w:rFonts w:hint="eastAsia" w:ascii="宋体" w:hAnsi="宋体" w:cs="MingLiU"/>
          <w:snapToGrid w:val="0"/>
          <w:color w:val="auto"/>
          <w:w w:val="198"/>
          <w:kern w:val="0"/>
          <w:sz w:val="28"/>
          <w:szCs w:val="28"/>
          <w:highlight w:val="none"/>
          <w:u w:val="single"/>
        </w:rPr>
        <w:t xml:space="preserve">              </w:t>
      </w:r>
      <w:r>
        <w:rPr>
          <w:rFonts w:hint="eastAsia" w:ascii="宋体" w:hAnsi="宋体"/>
          <w:snapToGrid w:val="0"/>
          <w:color w:val="auto"/>
          <w:kern w:val="0"/>
          <w:sz w:val="28"/>
          <w:szCs w:val="28"/>
          <w:highlight w:val="none"/>
          <w:u w:val="single"/>
        </w:rPr>
        <w:t xml:space="preserve"> </w:t>
      </w:r>
      <w:r>
        <w:rPr>
          <w:rFonts w:ascii="宋体" w:hAnsi="宋体"/>
          <w:b/>
          <w:snapToGrid w:val="0"/>
          <w:color w:val="auto"/>
          <w:w w:val="99"/>
          <w:kern w:val="0"/>
          <w:sz w:val="28"/>
          <w:szCs w:val="28"/>
          <w:highlight w:val="none"/>
          <w:u w:val="single"/>
        </w:rPr>
        <w:t>（项目名称）</w:t>
      </w:r>
      <w:r>
        <w:rPr>
          <w:rFonts w:hint="default" w:ascii="宋体" w:hAnsi="宋体"/>
          <w:b/>
          <w:snapToGrid w:val="0"/>
          <w:color w:val="auto"/>
          <w:w w:val="99"/>
          <w:kern w:val="0"/>
          <w:sz w:val="28"/>
          <w:szCs w:val="28"/>
          <w:highlight w:val="none"/>
          <w:u w:val="single"/>
          <w:lang w:val="en-US" w:eastAsia="zh-CN"/>
        </w:rPr>
        <w:t>纸质投标保函</w:t>
      </w:r>
      <w:r>
        <w:rPr>
          <w:rFonts w:hint="eastAsia" w:ascii="宋体" w:hAnsi="宋体"/>
          <w:b/>
          <w:snapToGrid w:val="0"/>
          <w:color w:val="auto"/>
          <w:w w:val="99"/>
          <w:kern w:val="0"/>
          <w:sz w:val="28"/>
          <w:szCs w:val="28"/>
          <w:highlight w:val="none"/>
          <w:u w:val="single"/>
          <w:lang w:val="en-US" w:eastAsia="zh-CN"/>
        </w:rPr>
        <w:t>递交</w:t>
      </w:r>
      <w:r>
        <w:rPr>
          <w:rFonts w:hint="default" w:ascii="宋体" w:hAnsi="宋体"/>
          <w:b/>
          <w:snapToGrid w:val="0"/>
          <w:color w:val="auto"/>
          <w:w w:val="99"/>
          <w:kern w:val="0"/>
          <w:sz w:val="28"/>
          <w:szCs w:val="28"/>
          <w:highlight w:val="none"/>
          <w:u w:val="single"/>
          <w:lang w:val="en-US" w:eastAsia="zh-CN"/>
        </w:rPr>
        <w:t>情况一览表</w:t>
      </w:r>
    </w:p>
    <w:p w14:paraId="102BF69E">
      <w:pPr>
        <w:autoSpaceDE w:val="0"/>
        <w:autoSpaceDN w:val="0"/>
        <w:adjustRightInd w:val="0"/>
        <w:snapToGrid w:val="0"/>
        <w:spacing w:before="62" w:beforeLines="20" w:line="360" w:lineRule="auto"/>
        <w:ind w:firstLine="8610" w:firstLineChars="4100"/>
        <w:jc w:val="both"/>
        <w:rPr>
          <w:rFonts w:hint="eastAsia" w:ascii="宋体" w:hAnsi="宋体"/>
          <w:color w:val="auto"/>
          <w:szCs w:val="21"/>
          <w:highlight w:val="none"/>
          <w:lang w:val="en-US" w:eastAsia="zh-CN"/>
        </w:rPr>
      </w:pPr>
      <w:r>
        <w:rPr>
          <w:rFonts w:hint="eastAsia" w:ascii="宋体" w:hAnsi="宋体"/>
          <w:snapToGrid w:val="0"/>
          <w:color w:val="auto"/>
          <w:kern w:val="0"/>
          <w:szCs w:val="21"/>
          <w:highlight w:val="none"/>
          <w:lang w:val="en-US" w:eastAsia="zh-CN"/>
        </w:rPr>
        <w:t>投标截止时间</w:t>
      </w:r>
      <w:r>
        <w:rPr>
          <w:rFonts w:ascii="宋体" w:hAnsi="宋体"/>
          <w:snapToGrid w:val="0"/>
          <w:color w:val="auto"/>
          <w:kern w:val="0"/>
          <w:szCs w:val="21"/>
          <w:highlight w:val="none"/>
        </w:rPr>
        <w:t>：</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分</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4160"/>
        <w:gridCol w:w="3088"/>
        <w:gridCol w:w="2987"/>
        <w:gridCol w:w="3175"/>
      </w:tblGrid>
      <w:tr w14:paraId="7E1A3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6DDF194B">
            <w:pPr>
              <w:autoSpaceDE w:val="0"/>
              <w:autoSpaceDN w:val="0"/>
              <w:adjustRightInd w:val="0"/>
              <w:snapToGrid w:val="0"/>
              <w:spacing w:before="62" w:beforeLines="20" w:line="360" w:lineRule="auto"/>
              <w:jc w:val="center"/>
              <w:rPr>
                <w:rFonts w:hint="default" w:ascii="宋体" w:hAnsi="宋体"/>
                <w:color w:val="auto"/>
                <w:szCs w:val="21"/>
                <w:highlight w:val="none"/>
                <w:vertAlign w:val="baseline"/>
                <w:lang w:val="en-US" w:eastAsia="zh-CN"/>
              </w:rPr>
            </w:pPr>
            <w:r>
              <w:rPr>
                <w:rFonts w:hint="eastAsia" w:ascii="宋体" w:hAnsi="宋体"/>
                <w:color w:val="auto"/>
                <w:szCs w:val="21"/>
                <w:highlight w:val="none"/>
                <w:vertAlign w:val="baseline"/>
                <w:lang w:val="en-US" w:eastAsia="zh-CN"/>
              </w:rPr>
              <w:t>序号</w:t>
            </w:r>
          </w:p>
        </w:tc>
        <w:tc>
          <w:tcPr>
            <w:tcW w:w="4160" w:type="dxa"/>
          </w:tcPr>
          <w:p w14:paraId="65054444">
            <w:pPr>
              <w:autoSpaceDE w:val="0"/>
              <w:autoSpaceDN w:val="0"/>
              <w:adjustRightInd w:val="0"/>
              <w:snapToGrid w:val="0"/>
              <w:spacing w:before="62" w:beforeLines="20" w:line="360" w:lineRule="auto"/>
              <w:jc w:val="center"/>
              <w:rPr>
                <w:rFonts w:hint="default" w:ascii="宋体" w:hAnsi="宋体"/>
                <w:color w:val="auto"/>
                <w:szCs w:val="21"/>
                <w:highlight w:val="none"/>
                <w:vertAlign w:val="baseline"/>
                <w:lang w:val="en-US" w:eastAsia="zh-CN"/>
              </w:rPr>
            </w:pPr>
            <w:r>
              <w:rPr>
                <w:rFonts w:hint="eastAsia" w:ascii="宋体" w:hAnsi="宋体"/>
                <w:color w:val="auto"/>
                <w:szCs w:val="21"/>
                <w:highlight w:val="none"/>
                <w:vertAlign w:val="baseline"/>
                <w:lang w:val="en-US" w:eastAsia="zh-CN"/>
              </w:rPr>
              <w:t>投标人</w:t>
            </w:r>
          </w:p>
        </w:tc>
        <w:tc>
          <w:tcPr>
            <w:tcW w:w="3088" w:type="dxa"/>
          </w:tcPr>
          <w:p w14:paraId="0591D761">
            <w:pPr>
              <w:autoSpaceDE w:val="0"/>
              <w:autoSpaceDN w:val="0"/>
              <w:adjustRightInd w:val="0"/>
              <w:snapToGrid w:val="0"/>
              <w:spacing w:before="62" w:beforeLines="20" w:line="360" w:lineRule="auto"/>
              <w:jc w:val="center"/>
              <w:rPr>
                <w:rFonts w:hint="default" w:ascii="宋体" w:hAnsi="宋体"/>
                <w:color w:val="auto"/>
                <w:szCs w:val="21"/>
                <w:highlight w:val="none"/>
                <w:vertAlign w:val="baseline"/>
                <w:lang w:val="en-US" w:eastAsia="zh-CN"/>
              </w:rPr>
            </w:pPr>
            <w:r>
              <w:rPr>
                <w:rFonts w:hint="eastAsia" w:ascii="宋体" w:hAnsi="宋体"/>
                <w:color w:val="auto"/>
                <w:szCs w:val="21"/>
                <w:highlight w:val="none"/>
                <w:vertAlign w:val="baseline"/>
                <w:lang w:val="en-US" w:eastAsia="zh-CN"/>
              </w:rPr>
              <w:t>金额（元）</w:t>
            </w:r>
          </w:p>
        </w:tc>
        <w:tc>
          <w:tcPr>
            <w:tcW w:w="2987" w:type="dxa"/>
          </w:tcPr>
          <w:p w14:paraId="7C29E5C9">
            <w:pPr>
              <w:autoSpaceDE w:val="0"/>
              <w:autoSpaceDN w:val="0"/>
              <w:adjustRightInd w:val="0"/>
              <w:snapToGrid w:val="0"/>
              <w:spacing w:before="62" w:beforeLines="20" w:line="360" w:lineRule="auto"/>
              <w:jc w:val="center"/>
              <w:rPr>
                <w:rFonts w:hint="default" w:ascii="宋体" w:hAnsi="宋体"/>
                <w:color w:val="auto"/>
                <w:szCs w:val="21"/>
                <w:highlight w:val="none"/>
                <w:vertAlign w:val="baseline"/>
                <w:lang w:val="en-US" w:eastAsia="zh-CN"/>
              </w:rPr>
            </w:pPr>
            <w:r>
              <w:rPr>
                <w:rFonts w:hint="eastAsia" w:ascii="宋体" w:hAnsi="宋体"/>
                <w:color w:val="auto"/>
                <w:szCs w:val="21"/>
                <w:highlight w:val="none"/>
                <w:vertAlign w:val="baseline"/>
                <w:lang w:val="en-US" w:eastAsia="zh-CN"/>
              </w:rPr>
              <w:t>递交时间</w:t>
            </w:r>
          </w:p>
        </w:tc>
        <w:tc>
          <w:tcPr>
            <w:tcW w:w="3175" w:type="dxa"/>
          </w:tcPr>
          <w:p w14:paraId="6BEB5975">
            <w:pPr>
              <w:autoSpaceDE w:val="0"/>
              <w:autoSpaceDN w:val="0"/>
              <w:adjustRightInd w:val="0"/>
              <w:snapToGrid w:val="0"/>
              <w:spacing w:before="62" w:beforeLines="20" w:line="360" w:lineRule="auto"/>
              <w:jc w:val="center"/>
              <w:rPr>
                <w:rFonts w:hint="default" w:ascii="宋体" w:hAnsi="宋体"/>
                <w:color w:val="auto"/>
                <w:szCs w:val="21"/>
                <w:highlight w:val="none"/>
                <w:vertAlign w:val="baseline"/>
                <w:lang w:val="en-US" w:eastAsia="zh-CN"/>
              </w:rPr>
            </w:pPr>
            <w:r>
              <w:rPr>
                <w:rFonts w:hint="eastAsia" w:ascii="宋体" w:hAnsi="宋体"/>
                <w:color w:val="auto"/>
                <w:szCs w:val="21"/>
                <w:highlight w:val="none"/>
                <w:vertAlign w:val="baseline"/>
                <w:lang w:val="en-US" w:eastAsia="zh-CN"/>
              </w:rPr>
              <w:t>备注</w:t>
            </w:r>
          </w:p>
        </w:tc>
      </w:tr>
      <w:tr w14:paraId="0EBAA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32FF792E">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14:paraId="0B4E21BA">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14:paraId="2A257DF4">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14:paraId="5379B9D7">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14:paraId="3FC2C030">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54D33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04E6120A">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14:paraId="13C21737">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14:paraId="630A1B58">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14:paraId="23F02F19">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14:paraId="4EFE947F">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24370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631ADF52">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14:paraId="33DF5D42">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14:paraId="0C8E48C4">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14:paraId="0D0D6E50">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14:paraId="51990F88">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0699D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71250E61">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14:paraId="31B4B2B0">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14:paraId="79C502DC">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14:paraId="0241BB50">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14:paraId="504A1194">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32640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4BA2051E">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14:paraId="359F575F">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14:paraId="37231881">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14:paraId="438AD304">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14:paraId="5E521881">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13F46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3E8BEC5E">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14:paraId="3E391C4C">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14:paraId="0DC0117F">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14:paraId="55EA1075">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14:paraId="3BB9529B">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03639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111F082C">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14:paraId="63CAB5BA">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14:paraId="7F3E732C">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14:paraId="301A2C35">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14:paraId="4FC9336B">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69E15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1EF22147">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14:paraId="75BF683F">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14:paraId="4B9A0613">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14:paraId="76B8C417">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14:paraId="308BC61F">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5199F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3E2E339E">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14:paraId="621FCBFE">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14:paraId="6D0D0696">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14:paraId="684C91E1">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14:paraId="7936C442">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4F013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21FD08AE">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14:paraId="4B7E49C5">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14:paraId="77B2BA29">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14:paraId="440561CE">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14:paraId="31C86D1C">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4D043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7508315C">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14:paraId="2FA09E42">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14:paraId="164BA89D">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14:paraId="437362F6">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14:paraId="5F7ACB4D">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4D435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18533104">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14:paraId="7660537F">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14:paraId="28A7B480">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14:paraId="25422AC2">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14:paraId="4599ADFA">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bl>
    <w:p w14:paraId="51D417AC">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color w:val="auto"/>
          <w:kern w:val="0"/>
          <w:szCs w:val="21"/>
          <w:highlight w:val="none"/>
        </w:rPr>
      </w:pPr>
    </w:p>
    <w:p w14:paraId="7292ECD6">
      <w:pPr>
        <w:tabs>
          <w:tab w:val="left" w:pos="2740"/>
          <w:tab w:val="left" w:pos="4940"/>
          <w:tab w:val="left" w:pos="6930"/>
        </w:tabs>
        <w:autoSpaceDE w:val="0"/>
        <w:autoSpaceDN w:val="0"/>
        <w:adjustRightInd w:val="0"/>
        <w:snapToGrid w:val="0"/>
        <w:spacing w:line="360" w:lineRule="auto"/>
        <w:ind w:firstLine="420"/>
        <w:jc w:val="left"/>
        <w:rPr>
          <w:rFonts w:hint="eastAsia" w:ascii="宋体" w:hAnsi="宋体" w:cs="MingLiU"/>
          <w:snapToGrid w:val="0"/>
          <w:color w:val="auto"/>
          <w:w w:val="200"/>
          <w:kern w:val="0"/>
          <w:szCs w:val="21"/>
          <w:highlight w:val="none"/>
          <w:u w:val="single"/>
        </w:rPr>
      </w:pPr>
      <w:r>
        <w:rPr>
          <w:rFonts w:ascii="宋体" w:hAnsi="宋体"/>
          <w:snapToGrid w:val="0"/>
          <w:color w:val="auto"/>
          <w:kern w:val="0"/>
          <w:szCs w:val="21"/>
          <w:highlight w:val="none"/>
        </w:rPr>
        <w:t>招标人代表：</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hint="eastAsia" w:ascii="宋体" w:hAnsi="宋体" w:cs="MingLiU"/>
          <w:snapToGrid w:val="0"/>
          <w:color w:val="auto"/>
          <w:w w:val="200"/>
          <w:kern w:val="0"/>
          <w:szCs w:val="21"/>
          <w:highlight w:val="none"/>
          <w:lang w:val="en-US" w:eastAsia="zh-CN"/>
        </w:rPr>
        <w:t xml:space="preserve">      </w:t>
      </w:r>
      <w:r>
        <w:rPr>
          <w:rFonts w:ascii="宋体" w:hAnsi="宋体"/>
          <w:snapToGrid w:val="0"/>
          <w:color w:val="auto"/>
          <w:kern w:val="0"/>
          <w:szCs w:val="21"/>
          <w:highlight w:val="none"/>
        </w:rPr>
        <w:t>监标人：</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hint="eastAsia" w:ascii="宋体" w:hAnsi="宋体" w:cs="MingLiU"/>
          <w:snapToGrid w:val="0"/>
          <w:color w:val="auto"/>
          <w:w w:val="200"/>
          <w:kern w:val="0"/>
          <w:szCs w:val="21"/>
          <w:highlight w:val="none"/>
          <w:lang w:val="en-US" w:eastAsia="zh-CN"/>
        </w:rPr>
        <w:t xml:space="preserve">      </w:t>
      </w:r>
      <w:r>
        <w:rPr>
          <w:rFonts w:ascii="宋体" w:hAnsi="宋体"/>
          <w:snapToGrid w:val="0"/>
          <w:color w:val="auto"/>
          <w:kern w:val="0"/>
          <w:szCs w:val="21"/>
          <w:highlight w:val="none"/>
        </w:rPr>
        <w:t>记录人：</w:t>
      </w:r>
      <w:r>
        <w:rPr>
          <w:rFonts w:hint="eastAsia" w:ascii="宋体" w:hAnsi="宋体" w:cs="MingLiU"/>
          <w:snapToGrid w:val="0"/>
          <w:color w:val="auto"/>
          <w:w w:val="200"/>
          <w:kern w:val="0"/>
          <w:szCs w:val="21"/>
          <w:highlight w:val="none"/>
          <w:u w:val="single"/>
        </w:rPr>
        <w:t xml:space="preserve">      </w:t>
      </w:r>
    </w:p>
    <w:p w14:paraId="7527D579">
      <w:pPr>
        <w:pStyle w:val="2"/>
        <w:jc w:val="right"/>
        <w:rPr>
          <w:rFonts w:hint="eastAsia"/>
          <w:color w:val="auto"/>
          <w:highlight w:val="none"/>
        </w:rPr>
      </w:pP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年</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月</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日</w:t>
      </w:r>
    </w:p>
    <w:p w14:paraId="1EDCE874">
      <w:pPr>
        <w:autoSpaceDE w:val="0"/>
        <w:autoSpaceDN w:val="0"/>
        <w:adjustRightInd w:val="0"/>
        <w:snapToGrid w:val="0"/>
        <w:spacing w:before="62" w:beforeLines="20" w:line="360" w:lineRule="auto"/>
        <w:jc w:val="both"/>
        <w:rPr>
          <w:rFonts w:ascii="宋体" w:hAnsi="宋体"/>
          <w:snapToGrid w:val="0"/>
          <w:color w:val="auto"/>
          <w:kern w:val="0"/>
          <w:sz w:val="24"/>
          <w:highlight w:val="none"/>
        </w:rPr>
        <w:sectPr>
          <w:pgSz w:w="16838" w:h="11906" w:orient="landscape"/>
          <w:pgMar w:top="1304" w:right="1304" w:bottom="1134" w:left="1304" w:header="851" w:footer="992" w:gutter="0"/>
          <w:cols w:space="720" w:num="1"/>
          <w:docGrid w:type="lines" w:linePitch="312" w:charSpace="0"/>
        </w:sectPr>
      </w:pPr>
    </w:p>
    <w:p w14:paraId="2B4440AA">
      <w:pPr>
        <w:autoSpaceDE w:val="0"/>
        <w:autoSpaceDN w:val="0"/>
        <w:adjustRightInd w:val="0"/>
        <w:snapToGrid w:val="0"/>
        <w:spacing w:before="62" w:beforeLines="20" w:line="360" w:lineRule="auto"/>
        <w:jc w:val="right"/>
        <w:rPr>
          <w:rFonts w:ascii="宋体" w:hAnsi="宋体"/>
          <w:snapToGrid w:val="0"/>
          <w:color w:val="auto"/>
          <w:kern w:val="0"/>
          <w:sz w:val="24"/>
          <w:highlight w:val="none"/>
        </w:rPr>
      </w:pPr>
    </w:p>
    <w:p w14:paraId="2E284D5F">
      <w:pPr>
        <w:autoSpaceDE w:val="0"/>
        <w:autoSpaceDN w:val="0"/>
        <w:adjustRightInd w:val="0"/>
        <w:snapToGrid w:val="0"/>
        <w:spacing w:line="360" w:lineRule="auto"/>
        <w:jc w:val="left"/>
        <w:rPr>
          <w:rFonts w:ascii="宋体" w:hAnsi="宋体"/>
          <w:b/>
          <w:snapToGrid w:val="0"/>
          <w:color w:val="auto"/>
          <w:kern w:val="0"/>
          <w:highlight w:val="none"/>
        </w:rPr>
      </w:pPr>
      <w:r>
        <w:rPr>
          <w:rFonts w:ascii="宋体" w:hAnsi="宋体"/>
          <w:b/>
          <w:snapToGrid w:val="0"/>
          <w:color w:val="auto"/>
          <w:kern w:val="0"/>
          <w:highlight w:val="none"/>
        </w:rPr>
        <w:t>附表</w:t>
      </w:r>
      <w:r>
        <w:rPr>
          <w:rFonts w:hint="eastAsia" w:ascii="宋体" w:hAnsi="宋体"/>
          <w:b/>
          <w:snapToGrid w:val="0"/>
          <w:color w:val="auto"/>
          <w:kern w:val="0"/>
          <w:highlight w:val="none"/>
          <w:lang w:val="en-US" w:eastAsia="zh-CN"/>
        </w:rPr>
        <w:t>三</w:t>
      </w:r>
      <w:r>
        <w:rPr>
          <w:rFonts w:ascii="宋体" w:hAnsi="宋体"/>
          <w:b/>
          <w:snapToGrid w:val="0"/>
          <w:color w:val="auto"/>
          <w:kern w:val="0"/>
          <w:highlight w:val="none"/>
        </w:rPr>
        <w:t>：问题澄清通知</w:t>
      </w:r>
    </w:p>
    <w:p w14:paraId="258D9B84">
      <w:pPr>
        <w:autoSpaceDE w:val="0"/>
        <w:autoSpaceDN w:val="0"/>
        <w:adjustRightInd w:val="0"/>
        <w:snapToGrid w:val="0"/>
        <w:spacing w:line="360" w:lineRule="auto"/>
        <w:jc w:val="left"/>
        <w:rPr>
          <w:rFonts w:ascii="宋体" w:hAnsi="宋体"/>
          <w:b/>
          <w:snapToGrid w:val="0"/>
          <w:color w:val="auto"/>
          <w:kern w:val="0"/>
          <w:sz w:val="24"/>
          <w:highlight w:val="none"/>
        </w:rPr>
      </w:pPr>
    </w:p>
    <w:p w14:paraId="3A7EDA25">
      <w:pPr>
        <w:autoSpaceDE w:val="0"/>
        <w:autoSpaceDN w:val="0"/>
        <w:adjustRightInd w:val="0"/>
        <w:snapToGrid w:val="0"/>
        <w:spacing w:line="360" w:lineRule="auto"/>
        <w:jc w:val="center"/>
        <w:rPr>
          <w:rFonts w:hint="eastAsia" w:ascii="宋体" w:hAnsi="宋体"/>
          <w:b/>
          <w:snapToGrid w:val="0"/>
          <w:color w:val="auto"/>
          <w:w w:val="99"/>
          <w:kern w:val="0"/>
          <w:sz w:val="32"/>
          <w:szCs w:val="32"/>
          <w:highlight w:val="none"/>
        </w:rPr>
      </w:pPr>
      <w:r>
        <w:rPr>
          <w:rFonts w:hint="eastAsia" w:ascii="宋体" w:hAnsi="宋体"/>
          <w:b/>
          <w:snapToGrid w:val="0"/>
          <w:color w:val="auto"/>
          <w:w w:val="99"/>
          <w:kern w:val="0"/>
          <w:sz w:val="32"/>
          <w:szCs w:val="32"/>
          <w:highlight w:val="none"/>
        </w:rPr>
        <w:t>问题澄清通知</w:t>
      </w:r>
    </w:p>
    <w:p w14:paraId="3DC7B468">
      <w:pPr>
        <w:autoSpaceDE w:val="0"/>
        <w:autoSpaceDN w:val="0"/>
        <w:adjustRightInd w:val="0"/>
        <w:snapToGrid w:val="0"/>
        <w:spacing w:line="360" w:lineRule="auto"/>
        <w:jc w:val="left"/>
        <w:rPr>
          <w:rFonts w:ascii="宋体" w:hAnsi="宋体"/>
          <w:b/>
          <w:snapToGrid w:val="0"/>
          <w:color w:val="auto"/>
          <w:kern w:val="0"/>
          <w:sz w:val="24"/>
          <w:highlight w:val="none"/>
        </w:rPr>
      </w:pPr>
    </w:p>
    <w:p w14:paraId="7D9864E6">
      <w:pPr>
        <w:autoSpaceDE w:val="0"/>
        <w:autoSpaceDN w:val="0"/>
        <w:adjustRightInd w:val="0"/>
        <w:snapToGrid w:val="0"/>
        <w:spacing w:line="360" w:lineRule="auto"/>
        <w:ind w:firstLine="3255" w:firstLineChars="1550"/>
        <w:jc w:val="left"/>
        <w:rPr>
          <w:rFonts w:hint="eastAsia" w:ascii="宋体" w:hAnsi="宋体"/>
          <w:snapToGrid w:val="0"/>
          <w:color w:val="auto"/>
          <w:kern w:val="0"/>
          <w:szCs w:val="21"/>
          <w:highlight w:val="none"/>
          <w:u w:val="single"/>
        </w:rPr>
      </w:pPr>
      <w:r>
        <w:rPr>
          <w:rFonts w:ascii="宋体" w:hAnsi="宋体"/>
          <w:snapToGrid w:val="0"/>
          <w:color w:val="auto"/>
          <w:kern w:val="0"/>
          <w:szCs w:val="21"/>
          <w:highlight w:val="none"/>
        </w:rPr>
        <w:t>编号：</w:t>
      </w:r>
      <w:r>
        <w:rPr>
          <w:rFonts w:hint="eastAsia" w:ascii="宋体" w:hAnsi="宋体"/>
          <w:snapToGrid w:val="0"/>
          <w:color w:val="auto"/>
          <w:kern w:val="0"/>
          <w:szCs w:val="21"/>
          <w:highlight w:val="none"/>
          <w:u w:val="single"/>
        </w:rPr>
        <w:t xml:space="preserve">                     </w:t>
      </w:r>
    </w:p>
    <w:p w14:paraId="29DAE6DB">
      <w:pPr>
        <w:autoSpaceDE w:val="0"/>
        <w:autoSpaceDN w:val="0"/>
        <w:adjustRightInd w:val="0"/>
        <w:snapToGrid w:val="0"/>
        <w:spacing w:line="360" w:lineRule="auto"/>
        <w:jc w:val="left"/>
        <w:rPr>
          <w:rFonts w:ascii="宋体" w:hAnsi="宋体"/>
          <w:b/>
          <w:snapToGrid w:val="0"/>
          <w:color w:val="auto"/>
          <w:kern w:val="0"/>
          <w:sz w:val="24"/>
          <w:highlight w:val="none"/>
        </w:rPr>
      </w:pPr>
    </w:p>
    <w:p w14:paraId="7CCF594F">
      <w:pPr>
        <w:autoSpaceDE w:val="0"/>
        <w:autoSpaceDN w:val="0"/>
        <w:adjustRightInd w:val="0"/>
        <w:snapToGrid w:val="0"/>
        <w:spacing w:line="360" w:lineRule="auto"/>
        <w:rPr>
          <w:rFonts w:ascii="宋体" w:hAnsi="宋体"/>
          <w:snapToGrid w:val="0"/>
          <w:color w:val="auto"/>
          <w:kern w:val="0"/>
          <w:sz w:val="28"/>
          <w:szCs w:val="28"/>
          <w:highlight w:val="none"/>
        </w:rPr>
      </w:pPr>
    </w:p>
    <w:p w14:paraId="713F1C6C">
      <w:pPr>
        <w:tabs>
          <w:tab w:val="left" w:pos="1580"/>
        </w:tabs>
        <w:autoSpaceDE w:val="0"/>
        <w:autoSpaceDN w:val="0"/>
        <w:adjustRightInd w:val="0"/>
        <w:snapToGrid w:val="0"/>
        <w:spacing w:line="480" w:lineRule="auto"/>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（投标人名称）</w:t>
      </w:r>
      <w:r>
        <w:rPr>
          <w:rFonts w:ascii="宋体" w:hAnsi="宋体"/>
          <w:snapToGrid w:val="0"/>
          <w:color w:val="auto"/>
          <w:kern w:val="0"/>
          <w:szCs w:val="21"/>
          <w:highlight w:val="none"/>
        </w:rPr>
        <w:t>：</w:t>
      </w:r>
    </w:p>
    <w:p w14:paraId="6DC81758">
      <w:pPr>
        <w:tabs>
          <w:tab w:val="left" w:pos="2320"/>
          <w:tab w:val="left" w:pos="4460"/>
        </w:tabs>
        <w:autoSpaceDE w:val="0"/>
        <w:autoSpaceDN w:val="0"/>
        <w:adjustRightInd w:val="0"/>
        <w:snapToGrid w:val="0"/>
        <w:spacing w:line="480" w:lineRule="auto"/>
        <w:ind w:firstLine="424" w:firstLineChars="101"/>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的评标委员会，对你方的投标文件进行了仔细的审查，现需你方对下列问题予以澄清：</w:t>
      </w:r>
    </w:p>
    <w:p w14:paraId="3C834F69">
      <w:pPr>
        <w:autoSpaceDE w:val="0"/>
        <w:autoSpaceDN w:val="0"/>
        <w:adjustRightInd w:val="0"/>
        <w:snapToGrid w:val="0"/>
        <w:spacing w:line="360" w:lineRule="auto"/>
        <w:jc w:val="left"/>
        <w:rPr>
          <w:rFonts w:hint="eastAsia" w:ascii="宋体" w:hAnsi="宋体"/>
          <w:snapToGrid w:val="0"/>
          <w:color w:val="auto"/>
          <w:kern w:val="0"/>
          <w:sz w:val="24"/>
          <w:highlight w:val="none"/>
        </w:rPr>
      </w:pPr>
    </w:p>
    <w:p w14:paraId="0007B763">
      <w:pPr>
        <w:autoSpaceDE w:val="0"/>
        <w:autoSpaceDN w:val="0"/>
        <w:adjustRightInd w:val="0"/>
        <w:snapToGrid w:val="0"/>
        <w:spacing w:line="360" w:lineRule="auto"/>
        <w:jc w:val="left"/>
        <w:rPr>
          <w:rFonts w:hint="eastAsia" w:ascii="宋体" w:hAnsi="宋体"/>
          <w:snapToGrid w:val="0"/>
          <w:color w:val="auto"/>
          <w:kern w:val="0"/>
          <w:szCs w:val="21"/>
          <w:highlight w:val="none"/>
        </w:rPr>
      </w:pPr>
      <w:r>
        <w:rPr>
          <w:rFonts w:ascii="宋体" w:hAnsi="宋体"/>
          <w:snapToGrid w:val="0"/>
          <w:color w:val="auto"/>
          <w:kern w:val="0"/>
          <w:szCs w:val="21"/>
          <w:highlight w:val="none"/>
        </w:rPr>
        <w:t xml:space="preserve">1. </w:t>
      </w:r>
    </w:p>
    <w:p w14:paraId="1F463349">
      <w:pPr>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4871AC7A">
      <w:pPr>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41DB30FA">
      <w:pPr>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0639422D">
      <w:pPr>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4AF1CCB2">
      <w:pPr>
        <w:autoSpaceDE w:val="0"/>
        <w:autoSpaceDN w:val="0"/>
        <w:adjustRightInd w:val="0"/>
        <w:snapToGrid w:val="0"/>
        <w:spacing w:line="360" w:lineRule="auto"/>
        <w:jc w:val="left"/>
        <w:rPr>
          <w:rFonts w:hint="eastAsia" w:ascii="宋体" w:hAnsi="宋体"/>
          <w:snapToGrid w:val="0"/>
          <w:color w:val="auto"/>
          <w:kern w:val="0"/>
          <w:szCs w:val="21"/>
          <w:highlight w:val="none"/>
        </w:rPr>
      </w:pPr>
      <w:r>
        <w:rPr>
          <w:rFonts w:ascii="宋体" w:hAnsi="宋体"/>
          <w:snapToGrid w:val="0"/>
          <w:color w:val="auto"/>
          <w:kern w:val="0"/>
          <w:szCs w:val="21"/>
          <w:highlight w:val="none"/>
        </w:rPr>
        <w:t xml:space="preserve">2. </w:t>
      </w:r>
    </w:p>
    <w:p w14:paraId="7DD762A3">
      <w:pPr>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7AA76B6F">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w:t>
      </w:r>
    </w:p>
    <w:p w14:paraId="53DAF563">
      <w:pPr>
        <w:autoSpaceDE w:val="0"/>
        <w:autoSpaceDN w:val="0"/>
        <w:adjustRightInd w:val="0"/>
        <w:snapToGrid w:val="0"/>
        <w:spacing w:line="360" w:lineRule="auto"/>
        <w:jc w:val="left"/>
        <w:rPr>
          <w:rFonts w:hint="eastAsia" w:ascii="宋体" w:hAnsi="宋体"/>
          <w:snapToGrid w:val="0"/>
          <w:color w:val="auto"/>
          <w:kern w:val="0"/>
          <w:sz w:val="14"/>
          <w:szCs w:val="14"/>
          <w:highlight w:val="none"/>
        </w:rPr>
      </w:pPr>
    </w:p>
    <w:p w14:paraId="469EF851">
      <w:pPr>
        <w:autoSpaceDE w:val="0"/>
        <w:autoSpaceDN w:val="0"/>
        <w:adjustRightInd w:val="0"/>
        <w:snapToGrid w:val="0"/>
        <w:spacing w:line="360" w:lineRule="auto"/>
        <w:jc w:val="left"/>
        <w:rPr>
          <w:rFonts w:hint="eastAsia" w:ascii="宋体" w:hAnsi="宋体"/>
          <w:snapToGrid w:val="0"/>
          <w:color w:val="auto"/>
          <w:kern w:val="0"/>
          <w:sz w:val="14"/>
          <w:szCs w:val="14"/>
          <w:highlight w:val="none"/>
        </w:rPr>
      </w:pPr>
    </w:p>
    <w:p w14:paraId="7C01F08D">
      <w:pPr>
        <w:autoSpaceDE w:val="0"/>
        <w:autoSpaceDN w:val="0"/>
        <w:adjustRightInd w:val="0"/>
        <w:snapToGrid w:val="0"/>
        <w:spacing w:line="360" w:lineRule="auto"/>
        <w:jc w:val="left"/>
        <w:rPr>
          <w:rFonts w:hint="eastAsia" w:ascii="宋体" w:hAnsi="宋体"/>
          <w:snapToGrid w:val="0"/>
          <w:color w:val="auto"/>
          <w:kern w:val="0"/>
          <w:sz w:val="14"/>
          <w:szCs w:val="14"/>
          <w:highlight w:val="none"/>
        </w:rPr>
      </w:pPr>
    </w:p>
    <w:p w14:paraId="651B3100">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70B29942">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请将上述问题的澄清于</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时前</w:t>
      </w:r>
      <w:r>
        <w:rPr>
          <w:rFonts w:hint="eastAsia" w:ascii="宋体" w:hAnsi="宋体"/>
          <w:snapToGrid w:val="0"/>
          <w:color w:val="auto"/>
          <w:kern w:val="0"/>
          <w:szCs w:val="21"/>
          <w:highlight w:val="none"/>
        </w:rPr>
        <w:t>通过</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提交</w:t>
      </w:r>
      <w:r>
        <w:rPr>
          <w:rFonts w:ascii="宋体" w:hAnsi="宋体"/>
          <w:snapToGrid w:val="0"/>
          <w:color w:val="auto"/>
          <w:kern w:val="0"/>
          <w:szCs w:val="21"/>
          <w:highlight w:val="none"/>
        </w:rPr>
        <w:t>。</w:t>
      </w:r>
    </w:p>
    <w:p w14:paraId="48807F4F">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3CD3CB9D">
      <w:pPr>
        <w:tabs>
          <w:tab w:val="left" w:pos="6400"/>
        </w:tabs>
        <w:autoSpaceDE w:val="0"/>
        <w:autoSpaceDN w:val="0"/>
        <w:adjustRightInd w:val="0"/>
        <w:snapToGrid w:val="0"/>
        <w:spacing w:line="360" w:lineRule="auto"/>
        <w:jc w:val="right"/>
        <w:rPr>
          <w:rFonts w:hint="eastAsia" w:ascii="宋体" w:hAnsi="宋体"/>
          <w:snapToGrid w:val="0"/>
          <w:color w:val="auto"/>
          <w:kern w:val="0"/>
          <w:szCs w:val="21"/>
          <w:highlight w:val="none"/>
        </w:rPr>
      </w:pPr>
      <w:r>
        <w:rPr>
          <w:rFonts w:ascii="宋体" w:hAnsi="宋体"/>
          <w:snapToGrid w:val="0"/>
          <w:color w:val="auto"/>
          <w:kern w:val="0"/>
          <w:szCs w:val="21"/>
          <w:highlight w:val="none"/>
        </w:rPr>
        <w:t xml:space="preserve">                             评标委员会：</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（签字）</w:t>
      </w:r>
    </w:p>
    <w:p w14:paraId="63CE6D45">
      <w:pPr>
        <w:pStyle w:val="2"/>
        <w:jc w:val="right"/>
        <w:rPr>
          <w:i/>
          <w:color w:val="auto"/>
          <w:highlight w:val="none"/>
        </w:rPr>
      </w:pPr>
      <w:r>
        <w:rPr>
          <w:rFonts w:hint="eastAsia"/>
          <w:i/>
          <w:color w:val="auto"/>
          <w:highlight w:val="none"/>
        </w:rPr>
        <w:t>[提示：重庆市电子招投标系统应实现投标人接收端口签字隐藏显示功能]</w:t>
      </w:r>
    </w:p>
    <w:p w14:paraId="464C7780">
      <w:pPr>
        <w:tabs>
          <w:tab w:val="left" w:pos="6400"/>
        </w:tabs>
        <w:autoSpaceDE w:val="0"/>
        <w:autoSpaceDN w:val="0"/>
        <w:adjustRightInd w:val="0"/>
        <w:snapToGrid w:val="0"/>
        <w:spacing w:line="360" w:lineRule="auto"/>
        <w:ind w:right="120"/>
        <w:jc w:val="right"/>
        <w:rPr>
          <w:rFonts w:ascii="宋体" w:hAnsi="宋体"/>
          <w:snapToGrid w:val="0"/>
          <w:color w:val="auto"/>
          <w:kern w:val="0"/>
          <w:sz w:val="24"/>
          <w:highlight w:val="none"/>
        </w:rPr>
      </w:pPr>
      <w:r>
        <w:rPr>
          <w:rFonts w:ascii="宋体" w:hAnsi="宋体"/>
          <w:snapToGrid w:val="0"/>
          <w:color w:val="auto"/>
          <w:kern w:val="0"/>
          <w:sz w:val="24"/>
          <w:highlight w:val="none"/>
        </w:rPr>
        <w:t xml:space="preserve"> </w:t>
      </w:r>
    </w:p>
    <w:p w14:paraId="495876D4">
      <w:pPr>
        <w:autoSpaceDE w:val="0"/>
        <w:autoSpaceDN w:val="0"/>
        <w:adjustRightInd w:val="0"/>
        <w:snapToGrid w:val="0"/>
        <w:spacing w:line="360" w:lineRule="auto"/>
        <w:ind w:firstLine="315" w:firstLineChars="150"/>
        <w:jc w:val="right"/>
        <w:rPr>
          <w:rFonts w:ascii="宋体" w:hAnsi="宋体"/>
          <w:snapToGrid w:val="0"/>
          <w:color w:val="auto"/>
          <w:kern w:val="0"/>
          <w:szCs w:val="21"/>
          <w:highlight w:val="none"/>
        </w:rPr>
      </w:pPr>
      <w:r>
        <w:rPr>
          <w:rFonts w:ascii="宋体" w:hAnsi="宋体"/>
          <w:snapToGrid w:val="0"/>
          <w:color w:val="auto"/>
          <w:kern w:val="0"/>
          <w:szCs w:val="21"/>
          <w:highlight w:val="none"/>
        </w:rPr>
        <w:t xml:space="preserve">                            </w:t>
      </w:r>
    </w:p>
    <w:p w14:paraId="36F8254D">
      <w:pPr>
        <w:wordWrap w:val="0"/>
        <w:autoSpaceDE w:val="0"/>
        <w:autoSpaceDN w:val="0"/>
        <w:adjustRightInd w:val="0"/>
        <w:snapToGrid w:val="0"/>
        <w:spacing w:line="360" w:lineRule="auto"/>
        <w:ind w:firstLine="850" w:firstLineChars="405"/>
        <w:jc w:val="right"/>
        <w:rPr>
          <w:rFonts w:hint="eastAsia" w:ascii="宋体" w:hAnsi="宋体"/>
          <w:snapToGrid w:val="0"/>
          <w:color w:val="auto"/>
          <w:kern w:val="0"/>
          <w:szCs w:val="21"/>
          <w:highlight w:val="none"/>
        </w:rPr>
      </w:pPr>
      <w:r>
        <w:rPr>
          <w:rFonts w:ascii="宋体" w:hAnsi="宋体"/>
          <w:snapToGrid w:val="0"/>
          <w:color w:val="auto"/>
          <w:kern w:val="0"/>
          <w:szCs w:val="21"/>
          <w:highlight w:val="non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rPr>
        <w:t xml:space="preserve">  </w:t>
      </w:r>
    </w:p>
    <w:p w14:paraId="5A8CBCF8">
      <w:pPr>
        <w:autoSpaceDE w:val="0"/>
        <w:autoSpaceDN w:val="0"/>
        <w:adjustRightInd w:val="0"/>
        <w:snapToGrid w:val="0"/>
        <w:spacing w:line="360" w:lineRule="auto"/>
        <w:jc w:val="left"/>
        <w:rPr>
          <w:rFonts w:ascii="宋体" w:hAnsi="宋体"/>
          <w:b/>
          <w:snapToGrid w:val="0"/>
          <w:color w:val="auto"/>
          <w:kern w:val="0"/>
          <w:highlight w:val="none"/>
        </w:rPr>
      </w:pPr>
      <w:r>
        <w:rPr>
          <w:rFonts w:ascii="宋体" w:hAnsi="宋体"/>
          <w:b/>
          <w:snapToGrid w:val="0"/>
          <w:color w:val="auto"/>
          <w:kern w:val="0"/>
          <w:sz w:val="24"/>
          <w:highlight w:val="none"/>
        </w:rPr>
        <w:br w:type="page"/>
      </w:r>
      <w:r>
        <w:rPr>
          <w:rFonts w:ascii="宋体" w:hAnsi="宋体"/>
          <w:b/>
          <w:snapToGrid w:val="0"/>
          <w:color w:val="auto"/>
          <w:kern w:val="0"/>
          <w:highlight w:val="none"/>
        </w:rPr>
        <w:t>附表</w:t>
      </w:r>
      <w:r>
        <w:rPr>
          <w:rFonts w:hint="eastAsia" w:ascii="宋体" w:hAnsi="宋体"/>
          <w:b/>
          <w:snapToGrid w:val="0"/>
          <w:color w:val="auto"/>
          <w:kern w:val="0"/>
          <w:highlight w:val="none"/>
          <w:lang w:val="en-US" w:eastAsia="zh-CN"/>
        </w:rPr>
        <w:t>四</w:t>
      </w:r>
      <w:r>
        <w:rPr>
          <w:rFonts w:ascii="宋体" w:hAnsi="宋体"/>
          <w:b/>
          <w:snapToGrid w:val="0"/>
          <w:color w:val="auto"/>
          <w:kern w:val="0"/>
          <w:highlight w:val="none"/>
        </w:rPr>
        <w:t>：问题的澄清</w:t>
      </w:r>
    </w:p>
    <w:p w14:paraId="0C1F5AE0">
      <w:pPr>
        <w:autoSpaceDE w:val="0"/>
        <w:autoSpaceDN w:val="0"/>
        <w:adjustRightInd w:val="0"/>
        <w:snapToGrid w:val="0"/>
        <w:spacing w:line="360" w:lineRule="auto"/>
        <w:jc w:val="left"/>
        <w:rPr>
          <w:rFonts w:ascii="宋体" w:hAnsi="宋体"/>
          <w:b/>
          <w:snapToGrid w:val="0"/>
          <w:color w:val="auto"/>
          <w:kern w:val="0"/>
          <w:sz w:val="10"/>
          <w:szCs w:val="10"/>
          <w:highlight w:val="none"/>
        </w:rPr>
      </w:pPr>
    </w:p>
    <w:p w14:paraId="4CA6CCB1">
      <w:pPr>
        <w:autoSpaceDE w:val="0"/>
        <w:autoSpaceDN w:val="0"/>
        <w:adjustRightInd w:val="0"/>
        <w:snapToGrid w:val="0"/>
        <w:spacing w:line="360" w:lineRule="auto"/>
        <w:jc w:val="center"/>
        <w:rPr>
          <w:rFonts w:ascii="宋体" w:hAnsi="宋体"/>
          <w:b/>
          <w:snapToGrid w:val="0"/>
          <w:color w:val="auto"/>
          <w:kern w:val="0"/>
          <w:sz w:val="32"/>
          <w:szCs w:val="32"/>
          <w:highlight w:val="none"/>
        </w:rPr>
      </w:pPr>
      <w:r>
        <w:rPr>
          <w:rFonts w:ascii="宋体" w:hAnsi="宋体"/>
          <w:b/>
          <w:snapToGrid w:val="0"/>
          <w:color w:val="auto"/>
          <w:w w:val="99"/>
          <w:kern w:val="0"/>
          <w:sz w:val="32"/>
          <w:szCs w:val="32"/>
          <w:highlight w:val="none"/>
        </w:rPr>
        <w:t>问题的澄清</w:t>
      </w:r>
    </w:p>
    <w:p w14:paraId="041F295B">
      <w:pPr>
        <w:autoSpaceDE w:val="0"/>
        <w:autoSpaceDN w:val="0"/>
        <w:adjustRightInd w:val="0"/>
        <w:snapToGrid w:val="0"/>
        <w:spacing w:line="360" w:lineRule="auto"/>
        <w:ind w:firstLine="3255" w:firstLineChars="1550"/>
        <w:jc w:val="left"/>
        <w:rPr>
          <w:rFonts w:hint="eastAsia" w:ascii="宋体" w:hAnsi="宋体"/>
          <w:snapToGrid w:val="0"/>
          <w:color w:val="auto"/>
          <w:kern w:val="0"/>
          <w:szCs w:val="21"/>
          <w:highlight w:val="none"/>
        </w:rPr>
      </w:pPr>
    </w:p>
    <w:p w14:paraId="4F7569B3">
      <w:pPr>
        <w:autoSpaceDE w:val="0"/>
        <w:autoSpaceDN w:val="0"/>
        <w:adjustRightInd w:val="0"/>
        <w:snapToGrid w:val="0"/>
        <w:spacing w:line="360" w:lineRule="auto"/>
        <w:ind w:firstLine="3255" w:firstLineChars="155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编号：</w:t>
      </w:r>
      <w:r>
        <w:rPr>
          <w:rFonts w:hint="eastAsia" w:ascii="宋体" w:hAnsi="宋体"/>
          <w:snapToGrid w:val="0"/>
          <w:color w:val="auto"/>
          <w:kern w:val="0"/>
          <w:szCs w:val="21"/>
          <w:highlight w:val="none"/>
          <w:u w:val="single"/>
        </w:rPr>
        <w:t xml:space="preserve">                     </w:t>
      </w:r>
    </w:p>
    <w:p w14:paraId="5F0CA75C">
      <w:pPr>
        <w:autoSpaceDE w:val="0"/>
        <w:autoSpaceDN w:val="0"/>
        <w:adjustRightInd w:val="0"/>
        <w:snapToGrid w:val="0"/>
        <w:spacing w:line="360" w:lineRule="auto"/>
        <w:ind w:firstLine="3150" w:firstLineChars="1500"/>
        <w:rPr>
          <w:rFonts w:hint="eastAsia" w:ascii="宋体" w:hAnsi="宋体"/>
          <w:snapToGrid w:val="0"/>
          <w:color w:val="auto"/>
          <w:kern w:val="0"/>
          <w:szCs w:val="21"/>
          <w:highlight w:val="none"/>
        </w:rPr>
      </w:pPr>
    </w:p>
    <w:p w14:paraId="6950EFE8">
      <w:pPr>
        <w:autoSpaceDE w:val="0"/>
        <w:autoSpaceDN w:val="0"/>
        <w:adjustRightInd w:val="0"/>
        <w:snapToGrid w:val="0"/>
        <w:spacing w:line="360" w:lineRule="auto"/>
        <w:ind w:firstLine="3150" w:firstLineChars="1500"/>
        <w:rPr>
          <w:rFonts w:hint="eastAsia" w:ascii="宋体" w:hAnsi="宋体"/>
          <w:snapToGrid w:val="0"/>
          <w:color w:val="auto"/>
          <w:kern w:val="0"/>
          <w:szCs w:val="21"/>
          <w:highlight w:val="none"/>
        </w:rPr>
      </w:pPr>
    </w:p>
    <w:p w14:paraId="28415656">
      <w:pPr>
        <w:tabs>
          <w:tab w:val="left" w:pos="735"/>
          <w:tab w:val="left" w:pos="4200"/>
        </w:tabs>
        <w:autoSpaceDE w:val="0"/>
        <w:autoSpaceDN w:val="0"/>
        <w:adjustRightInd w:val="0"/>
        <w:snapToGrid w:val="0"/>
        <w:spacing w:line="480" w:lineRule="auto"/>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（项目名称）</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招标评标委员会：</w:t>
      </w:r>
    </w:p>
    <w:p w14:paraId="4E899630">
      <w:pPr>
        <w:tabs>
          <w:tab w:val="left" w:pos="2000"/>
          <w:tab w:val="left" w:pos="3480"/>
          <w:tab w:val="left" w:pos="4200"/>
        </w:tabs>
        <w:autoSpaceDE w:val="0"/>
        <w:autoSpaceDN w:val="0"/>
        <w:adjustRightInd w:val="0"/>
        <w:snapToGrid w:val="0"/>
        <w:spacing w:line="480" w:lineRule="auto"/>
        <w:jc w:val="left"/>
        <w:rPr>
          <w:rFonts w:hint="eastAsia" w:ascii="宋体" w:hAnsi="宋体"/>
          <w:snapToGrid w:val="0"/>
          <w:color w:val="auto"/>
          <w:kern w:val="0"/>
          <w:szCs w:val="21"/>
          <w:highlight w:val="none"/>
        </w:rPr>
      </w:pPr>
      <w:r>
        <w:rPr>
          <w:rFonts w:ascii="宋体" w:hAnsi="宋体"/>
          <w:snapToGrid w:val="0"/>
          <w:color w:val="auto"/>
          <w:kern w:val="0"/>
          <w:szCs w:val="21"/>
          <w:highlight w:val="none"/>
        </w:rPr>
        <w:t>问题澄清通知（编号：</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）已收悉，现澄清如下：</w:t>
      </w:r>
    </w:p>
    <w:p w14:paraId="20A97F5A">
      <w:pPr>
        <w:tabs>
          <w:tab w:val="left" w:pos="2000"/>
          <w:tab w:val="left" w:pos="3480"/>
          <w:tab w:val="left" w:pos="4200"/>
        </w:tabs>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3C0FA2DE">
      <w:pPr>
        <w:tabs>
          <w:tab w:val="left" w:pos="2000"/>
          <w:tab w:val="left" w:pos="3480"/>
          <w:tab w:val="left" w:pos="4200"/>
        </w:tabs>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7921E8F6">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1. </w:t>
      </w:r>
    </w:p>
    <w:p w14:paraId="18E98F5E">
      <w:pPr>
        <w:autoSpaceDE w:val="0"/>
        <w:autoSpaceDN w:val="0"/>
        <w:adjustRightInd w:val="0"/>
        <w:snapToGrid w:val="0"/>
        <w:spacing w:line="360" w:lineRule="auto"/>
        <w:jc w:val="left"/>
        <w:rPr>
          <w:rFonts w:hint="eastAsia" w:ascii="宋体" w:hAnsi="宋体"/>
          <w:snapToGrid w:val="0"/>
          <w:color w:val="auto"/>
          <w:kern w:val="0"/>
          <w:sz w:val="18"/>
          <w:szCs w:val="18"/>
          <w:highlight w:val="none"/>
        </w:rPr>
      </w:pPr>
    </w:p>
    <w:p w14:paraId="54D039E1">
      <w:pPr>
        <w:autoSpaceDE w:val="0"/>
        <w:autoSpaceDN w:val="0"/>
        <w:adjustRightInd w:val="0"/>
        <w:snapToGrid w:val="0"/>
        <w:spacing w:line="360" w:lineRule="auto"/>
        <w:jc w:val="left"/>
        <w:rPr>
          <w:rFonts w:hint="eastAsia" w:ascii="宋体" w:hAnsi="宋体"/>
          <w:snapToGrid w:val="0"/>
          <w:color w:val="auto"/>
          <w:kern w:val="0"/>
          <w:sz w:val="18"/>
          <w:szCs w:val="18"/>
          <w:highlight w:val="none"/>
        </w:rPr>
      </w:pPr>
    </w:p>
    <w:p w14:paraId="7166F839">
      <w:pPr>
        <w:autoSpaceDE w:val="0"/>
        <w:autoSpaceDN w:val="0"/>
        <w:adjustRightInd w:val="0"/>
        <w:snapToGrid w:val="0"/>
        <w:spacing w:line="360" w:lineRule="auto"/>
        <w:jc w:val="left"/>
        <w:rPr>
          <w:rFonts w:hint="eastAsia" w:ascii="宋体" w:hAnsi="宋体"/>
          <w:snapToGrid w:val="0"/>
          <w:color w:val="auto"/>
          <w:kern w:val="0"/>
          <w:sz w:val="18"/>
          <w:szCs w:val="18"/>
          <w:highlight w:val="none"/>
        </w:rPr>
      </w:pPr>
    </w:p>
    <w:p w14:paraId="622AEC33">
      <w:pPr>
        <w:autoSpaceDE w:val="0"/>
        <w:autoSpaceDN w:val="0"/>
        <w:adjustRightInd w:val="0"/>
        <w:snapToGrid w:val="0"/>
        <w:spacing w:line="360" w:lineRule="auto"/>
        <w:jc w:val="left"/>
        <w:rPr>
          <w:rFonts w:hint="eastAsia" w:ascii="宋体" w:hAnsi="宋体"/>
          <w:snapToGrid w:val="0"/>
          <w:color w:val="auto"/>
          <w:kern w:val="0"/>
          <w:sz w:val="18"/>
          <w:szCs w:val="18"/>
          <w:highlight w:val="none"/>
        </w:rPr>
      </w:pPr>
    </w:p>
    <w:p w14:paraId="6AEB663B">
      <w:pPr>
        <w:autoSpaceDE w:val="0"/>
        <w:autoSpaceDN w:val="0"/>
        <w:adjustRightInd w:val="0"/>
        <w:snapToGrid w:val="0"/>
        <w:spacing w:line="360" w:lineRule="auto"/>
        <w:jc w:val="left"/>
        <w:rPr>
          <w:rFonts w:hint="eastAsia" w:ascii="宋体" w:hAnsi="宋体"/>
          <w:snapToGrid w:val="0"/>
          <w:color w:val="auto"/>
          <w:kern w:val="0"/>
          <w:sz w:val="18"/>
          <w:szCs w:val="18"/>
          <w:highlight w:val="none"/>
        </w:rPr>
      </w:pPr>
    </w:p>
    <w:p w14:paraId="54C2FF6F">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2. </w:t>
      </w:r>
    </w:p>
    <w:p w14:paraId="3295726E">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00E73BB4">
      <w:pPr>
        <w:autoSpaceDE w:val="0"/>
        <w:autoSpaceDN w:val="0"/>
        <w:adjustRightInd w:val="0"/>
        <w:snapToGrid w:val="0"/>
        <w:spacing w:line="360" w:lineRule="auto"/>
        <w:jc w:val="left"/>
        <w:rPr>
          <w:rFonts w:hint="eastAsia" w:ascii="宋体" w:hAnsi="宋体"/>
          <w:snapToGrid w:val="0"/>
          <w:color w:val="auto"/>
          <w:kern w:val="0"/>
          <w:sz w:val="20"/>
          <w:szCs w:val="20"/>
          <w:highlight w:val="none"/>
        </w:rPr>
      </w:pPr>
    </w:p>
    <w:p w14:paraId="79E49849">
      <w:pPr>
        <w:autoSpaceDE w:val="0"/>
        <w:autoSpaceDN w:val="0"/>
        <w:adjustRightInd w:val="0"/>
        <w:snapToGrid w:val="0"/>
        <w:spacing w:line="360" w:lineRule="auto"/>
        <w:jc w:val="left"/>
        <w:rPr>
          <w:rFonts w:hint="eastAsia" w:ascii="宋体" w:hAnsi="宋体"/>
          <w:snapToGrid w:val="0"/>
          <w:color w:val="auto"/>
          <w:kern w:val="0"/>
          <w:sz w:val="20"/>
          <w:szCs w:val="20"/>
          <w:highlight w:val="none"/>
        </w:rPr>
      </w:pPr>
    </w:p>
    <w:p w14:paraId="35C41233">
      <w:pPr>
        <w:autoSpaceDE w:val="0"/>
        <w:autoSpaceDN w:val="0"/>
        <w:adjustRightInd w:val="0"/>
        <w:snapToGrid w:val="0"/>
        <w:spacing w:line="360" w:lineRule="auto"/>
        <w:jc w:val="left"/>
        <w:rPr>
          <w:rFonts w:hint="eastAsia" w:ascii="宋体" w:hAnsi="宋体"/>
          <w:snapToGrid w:val="0"/>
          <w:color w:val="auto"/>
          <w:kern w:val="0"/>
          <w:sz w:val="20"/>
          <w:szCs w:val="20"/>
          <w:highlight w:val="none"/>
        </w:rPr>
      </w:pPr>
    </w:p>
    <w:p w14:paraId="49DED745">
      <w:pPr>
        <w:autoSpaceDE w:val="0"/>
        <w:autoSpaceDN w:val="0"/>
        <w:adjustRightInd w:val="0"/>
        <w:snapToGrid w:val="0"/>
        <w:spacing w:line="360" w:lineRule="auto"/>
        <w:jc w:val="left"/>
        <w:rPr>
          <w:rFonts w:ascii="宋体" w:hAnsi="宋体"/>
          <w:snapToGrid w:val="0"/>
          <w:color w:val="auto"/>
          <w:kern w:val="0"/>
          <w:sz w:val="22"/>
          <w:szCs w:val="22"/>
          <w:highlight w:val="none"/>
        </w:rPr>
      </w:pPr>
    </w:p>
    <w:p w14:paraId="07C4C44D">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w:t>
      </w:r>
    </w:p>
    <w:p w14:paraId="2A262E68">
      <w:pPr>
        <w:autoSpaceDE w:val="0"/>
        <w:autoSpaceDN w:val="0"/>
        <w:adjustRightInd w:val="0"/>
        <w:snapToGrid w:val="0"/>
        <w:spacing w:line="360" w:lineRule="auto"/>
        <w:jc w:val="left"/>
        <w:rPr>
          <w:rFonts w:ascii="宋体" w:hAnsi="宋体"/>
          <w:snapToGrid w:val="0"/>
          <w:color w:val="auto"/>
          <w:kern w:val="0"/>
          <w:sz w:val="18"/>
          <w:szCs w:val="18"/>
          <w:highlight w:val="none"/>
        </w:rPr>
      </w:pPr>
    </w:p>
    <w:p w14:paraId="43763751">
      <w:pPr>
        <w:autoSpaceDE w:val="0"/>
        <w:autoSpaceDN w:val="0"/>
        <w:adjustRightInd w:val="0"/>
        <w:snapToGrid w:val="0"/>
        <w:spacing w:line="360" w:lineRule="auto"/>
        <w:jc w:val="left"/>
        <w:rPr>
          <w:rFonts w:hint="eastAsia" w:ascii="宋体" w:hAnsi="宋体"/>
          <w:snapToGrid w:val="0"/>
          <w:color w:val="auto"/>
          <w:kern w:val="0"/>
          <w:sz w:val="20"/>
          <w:szCs w:val="20"/>
          <w:highlight w:val="none"/>
        </w:rPr>
      </w:pPr>
    </w:p>
    <w:p w14:paraId="576FCC93">
      <w:pPr>
        <w:autoSpaceDE w:val="0"/>
        <w:autoSpaceDN w:val="0"/>
        <w:adjustRightInd w:val="0"/>
        <w:snapToGrid w:val="0"/>
        <w:spacing w:line="360" w:lineRule="auto"/>
        <w:jc w:val="left"/>
        <w:rPr>
          <w:rFonts w:hint="eastAsia" w:ascii="宋体" w:hAnsi="宋体"/>
          <w:snapToGrid w:val="0"/>
          <w:color w:val="auto"/>
          <w:kern w:val="0"/>
          <w:sz w:val="20"/>
          <w:szCs w:val="20"/>
          <w:highlight w:val="none"/>
        </w:rPr>
      </w:pPr>
    </w:p>
    <w:p w14:paraId="159C8892">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16B3F7F7">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19A736CE">
      <w:pPr>
        <w:tabs>
          <w:tab w:val="left" w:pos="7035"/>
        </w:tabs>
        <w:autoSpaceDE w:val="0"/>
        <w:autoSpaceDN w:val="0"/>
        <w:adjustRightInd w:val="0"/>
        <w:snapToGrid w:val="0"/>
        <w:spacing w:line="480" w:lineRule="auto"/>
        <w:ind w:firstLine="2551" w:firstLineChars="1215"/>
        <w:jc w:val="right"/>
        <w:rPr>
          <w:rFonts w:ascii="宋体" w:hAnsi="宋体"/>
          <w:snapToGrid w:val="0"/>
          <w:color w:val="auto"/>
          <w:kern w:val="0"/>
          <w:szCs w:val="21"/>
          <w:highlight w:val="none"/>
        </w:rPr>
      </w:pPr>
      <w:r>
        <w:rPr>
          <w:rFonts w:ascii="宋体" w:hAnsi="宋体"/>
          <w:snapToGrid w:val="0"/>
          <w:color w:val="auto"/>
          <w:kern w:val="0"/>
          <w:szCs w:val="21"/>
          <w:highlight w:val="none"/>
        </w:rPr>
        <w:t>投标人：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 xml:space="preserve">（盖单位法人章） </w:t>
      </w:r>
    </w:p>
    <w:p w14:paraId="5A2D87E7">
      <w:pPr>
        <w:tabs>
          <w:tab w:val="left" w:pos="6620"/>
          <w:tab w:val="left" w:pos="7040"/>
        </w:tabs>
        <w:autoSpaceDE w:val="0"/>
        <w:autoSpaceDN w:val="0"/>
        <w:adjustRightInd w:val="0"/>
        <w:snapToGrid w:val="0"/>
        <w:spacing w:line="480" w:lineRule="auto"/>
        <w:ind w:firstLine="2551" w:firstLineChars="1215"/>
        <w:jc w:val="right"/>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（签字或盖章）</w:t>
      </w:r>
    </w:p>
    <w:p w14:paraId="70524A64">
      <w:pPr>
        <w:autoSpaceDE w:val="0"/>
        <w:autoSpaceDN w:val="0"/>
        <w:adjustRightInd w:val="0"/>
        <w:snapToGrid w:val="0"/>
        <w:spacing w:line="360" w:lineRule="auto"/>
        <w:jc w:val="right"/>
        <w:rPr>
          <w:rFonts w:ascii="宋体" w:hAnsi="宋体"/>
          <w:snapToGrid w:val="0"/>
          <w:color w:val="auto"/>
          <w:kern w:val="0"/>
          <w:sz w:val="20"/>
          <w:szCs w:val="20"/>
          <w:highlight w:val="none"/>
        </w:rPr>
      </w:pPr>
    </w:p>
    <w:p w14:paraId="17F4530A">
      <w:pPr>
        <w:wordWrap w:val="0"/>
        <w:autoSpaceDE w:val="0"/>
        <w:autoSpaceDN w:val="0"/>
        <w:adjustRightInd w:val="0"/>
        <w:snapToGrid w:val="0"/>
        <w:spacing w:line="360" w:lineRule="auto"/>
        <w:ind w:firstLine="315" w:firstLineChars="150"/>
        <w:jc w:val="right"/>
        <w:rPr>
          <w:rFonts w:hint="eastAsia" w:ascii="宋体" w:hAnsi="宋体"/>
          <w:snapToGrid w:val="0"/>
          <w:color w:val="auto"/>
          <w:kern w:val="0"/>
          <w:szCs w:val="21"/>
          <w:highlight w:val="none"/>
        </w:rPr>
      </w:pPr>
      <w:r>
        <w:rPr>
          <w:rFonts w:ascii="宋体" w:hAnsi="宋体"/>
          <w:snapToGrid w:val="0"/>
          <w:color w:val="auto"/>
          <w:kern w:val="0"/>
          <w:szCs w:val="21"/>
          <w:highlight w:val="non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rPr>
        <w:t xml:space="preserve"> </w:t>
      </w:r>
    </w:p>
    <w:p w14:paraId="12E6E38C">
      <w:pPr>
        <w:autoSpaceDE w:val="0"/>
        <w:autoSpaceDN w:val="0"/>
        <w:adjustRightInd w:val="0"/>
        <w:snapToGrid w:val="0"/>
        <w:spacing w:line="360" w:lineRule="auto"/>
        <w:jc w:val="left"/>
        <w:rPr>
          <w:rFonts w:ascii="宋体" w:hAnsi="宋体"/>
          <w:b/>
          <w:snapToGrid w:val="0"/>
          <w:color w:val="auto"/>
          <w:kern w:val="0"/>
          <w:sz w:val="24"/>
          <w:highlight w:val="none"/>
        </w:rPr>
      </w:pPr>
    </w:p>
    <w:p w14:paraId="202F775A">
      <w:pPr>
        <w:autoSpaceDE w:val="0"/>
        <w:autoSpaceDN w:val="0"/>
        <w:adjustRightInd w:val="0"/>
        <w:snapToGrid w:val="0"/>
        <w:spacing w:line="360" w:lineRule="auto"/>
        <w:jc w:val="left"/>
        <w:rPr>
          <w:rFonts w:ascii="宋体" w:hAnsi="宋体"/>
          <w:snapToGrid w:val="0"/>
          <w:color w:val="auto"/>
          <w:kern w:val="0"/>
          <w:sz w:val="20"/>
          <w:szCs w:val="20"/>
          <w:highlight w:val="none"/>
        </w:rPr>
      </w:pPr>
      <w:r>
        <w:rPr>
          <w:rFonts w:ascii="宋体" w:hAnsi="宋体"/>
          <w:b/>
          <w:snapToGrid w:val="0"/>
          <w:color w:val="auto"/>
          <w:kern w:val="0"/>
          <w:highlight w:val="none"/>
        </w:rPr>
        <w:t>附表</w:t>
      </w:r>
      <w:r>
        <w:rPr>
          <w:rFonts w:hint="eastAsia" w:ascii="宋体" w:hAnsi="宋体"/>
          <w:b/>
          <w:snapToGrid w:val="0"/>
          <w:color w:val="auto"/>
          <w:kern w:val="0"/>
          <w:highlight w:val="none"/>
          <w:lang w:val="en-US" w:eastAsia="zh-CN"/>
        </w:rPr>
        <w:t>五</w:t>
      </w:r>
      <w:r>
        <w:rPr>
          <w:rFonts w:ascii="宋体" w:hAnsi="宋体"/>
          <w:b/>
          <w:snapToGrid w:val="0"/>
          <w:color w:val="auto"/>
          <w:kern w:val="0"/>
          <w:highlight w:val="none"/>
        </w:rPr>
        <w:t>：中标通知书</w:t>
      </w:r>
    </w:p>
    <w:p w14:paraId="476132F2">
      <w:pPr>
        <w:autoSpaceDE w:val="0"/>
        <w:autoSpaceDN w:val="0"/>
        <w:adjustRightInd w:val="0"/>
        <w:spacing w:line="360" w:lineRule="auto"/>
        <w:jc w:val="left"/>
        <w:rPr>
          <w:rFonts w:hint="eastAsia" w:ascii="宋体" w:hAnsi="宋体"/>
          <w:snapToGrid w:val="0"/>
          <w:color w:val="auto"/>
          <w:kern w:val="0"/>
          <w:sz w:val="20"/>
          <w:szCs w:val="20"/>
          <w:highlight w:val="none"/>
        </w:rPr>
      </w:pPr>
    </w:p>
    <w:p w14:paraId="39DB1C8E">
      <w:pPr>
        <w:autoSpaceDE w:val="0"/>
        <w:autoSpaceDN w:val="0"/>
        <w:adjustRightInd w:val="0"/>
        <w:spacing w:line="360" w:lineRule="auto"/>
        <w:jc w:val="left"/>
        <w:rPr>
          <w:rFonts w:hint="eastAsia" w:ascii="宋体" w:hAnsi="宋体"/>
          <w:snapToGrid w:val="0"/>
          <w:color w:val="auto"/>
          <w:kern w:val="0"/>
          <w:sz w:val="20"/>
          <w:szCs w:val="20"/>
          <w:highlight w:val="none"/>
        </w:rPr>
      </w:pPr>
    </w:p>
    <w:p w14:paraId="3CA6FFB4">
      <w:pPr>
        <w:autoSpaceDE w:val="0"/>
        <w:autoSpaceDN w:val="0"/>
        <w:adjustRightInd w:val="0"/>
        <w:spacing w:line="360" w:lineRule="auto"/>
        <w:jc w:val="left"/>
        <w:rPr>
          <w:rFonts w:ascii="宋体" w:hAnsi="宋体"/>
          <w:snapToGrid w:val="0"/>
          <w:color w:val="auto"/>
          <w:kern w:val="0"/>
          <w:sz w:val="20"/>
          <w:szCs w:val="20"/>
          <w:highlight w:val="none"/>
        </w:rPr>
      </w:pPr>
    </w:p>
    <w:p w14:paraId="4808F9B4">
      <w:pPr>
        <w:autoSpaceDE w:val="0"/>
        <w:autoSpaceDN w:val="0"/>
        <w:adjustRightInd w:val="0"/>
        <w:snapToGrid w:val="0"/>
        <w:spacing w:line="360" w:lineRule="auto"/>
        <w:jc w:val="center"/>
        <w:rPr>
          <w:rFonts w:hint="eastAsia" w:ascii="宋体" w:hAnsi="宋体"/>
          <w:b/>
          <w:snapToGrid w:val="0"/>
          <w:color w:val="auto"/>
          <w:w w:val="99"/>
          <w:kern w:val="0"/>
          <w:sz w:val="32"/>
          <w:szCs w:val="32"/>
          <w:highlight w:val="none"/>
        </w:rPr>
      </w:pPr>
      <w:r>
        <w:rPr>
          <w:rFonts w:hint="eastAsia" w:ascii="宋体" w:hAnsi="宋体"/>
          <w:b/>
          <w:snapToGrid w:val="0"/>
          <w:color w:val="auto"/>
          <w:w w:val="99"/>
          <w:kern w:val="0"/>
          <w:sz w:val="32"/>
          <w:szCs w:val="32"/>
          <w:highlight w:val="none"/>
        </w:rPr>
        <w:t>重庆市建设工程中标通知书</w:t>
      </w:r>
    </w:p>
    <w:p w14:paraId="290DE6A5">
      <w:pPr>
        <w:spacing w:line="360" w:lineRule="auto"/>
        <w:rPr>
          <w:rFonts w:hint="eastAsia" w:ascii="宋体" w:hAnsi="宋体"/>
          <w:bCs/>
          <w:color w:val="auto"/>
          <w:kern w:val="0"/>
          <w:szCs w:val="21"/>
          <w:highlight w:val="none"/>
          <w:u w:val="single"/>
        </w:rPr>
      </w:pPr>
      <w:r>
        <w:rPr>
          <w:rFonts w:ascii="宋体" w:hAnsi="宋体"/>
          <w:bCs/>
          <w:color w:val="auto"/>
          <w:kern w:val="0"/>
          <w:szCs w:val="21"/>
          <w:highlight w:val="none"/>
          <w:u w:val="single"/>
        </w:rPr>
        <w:t xml:space="preserve">       </w:t>
      </w:r>
      <w:r>
        <w:rPr>
          <w:rFonts w:ascii="宋体" w:hAnsi="宋体"/>
          <w:color w:val="auto"/>
          <w:kern w:val="0"/>
          <w:szCs w:val="21"/>
          <w:highlight w:val="none"/>
          <w:u w:val="single"/>
        </w:rPr>
        <w:t>中标单位</w:t>
      </w:r>
      <w:r>
        <w:rPr>
          <w:rFonts w:ascii="宋体" w:hAnsi="宋体"/>
          <w:bCs/>
          <w:color w:val="auto"/>
          <w:kern w:val="0"/>
          <w:szCs w:val="21"/>
          <w:highlight w:val="none"/>
          <w:u w:val="single"/>
        </w:rPr>
        <w:t xml:space="preserve">               </w:t>
      </w:r>
      <w:r>
        <w:rPr>
          <w:rFonts w:ascii="宋体" w:hAnsi="宋体"/>
          <w:bCs/>
          <w:color w:val="auto"/>
          <w:kern w:val="0"/>
          <w:szCs w:val="21"/>
          <w:highlight w:val="none"/>
        </w:rPr>
        <w:t>：</w:t>
      </w:r>
    </w:p>
    <w:p w14:paraId="06C9F660">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 xml:space="preserve">我单位拟建的 </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（项目名称）</w:t>
      </w:r>
      <w:r>
        <w:rPr>
          <w:rFonts w:ascii="宋体" w:hAnsi="宋体"/>
          <w:bCs/>
          <w:color w:val="auto"/>
          <w:kern w:val="0"/>
          <w:szCs w:val="21"/>
          <w:highlight w:val="none"/>
          <w:u w:val="single"/>
        </w:rPr>
        <w:t xml:space="preserve">    </w:t>
      </w:r>
      <w:r>
        <w:rPr>
          <w:rFonts w:ascii="宋体" w:hAnsi="宋体"/>
          <w:color w:val="auto"/>
          <w:kern w:val="0"/>
          <w:szCs w:val="21"/>
          <w:highlight w:val="none"/>
        </w:rPr>
        <w:t>于</w:t>
      </w:r>
      <w:r>
        <w:rPr>
          <w:rFonts w:ascii="宋体" w:hAnsi="宋体"/>
          <w:bCs/>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bCs/>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bCs/>
          <w:color w:val="auto"/>
          <w:kern w:val="0"/>
          <w:szCs w:val="21"/>
          <w:highlight w:val="none"/>
          <w:u w:val="single"/>
        </w:rPr>
        <w:t xml:space="preserve">    </w:t>
      </w:r>
      <w:r>
        <w:rPr>
          <w:rFonts w:ascii="宋体" w:hAnsi="宋体"/>
          <w:color w:val="auto"/>
          <w:kern w:val="0"/>
          <w:szCs w:val="21"/>
          <w:highlight w:val="none"/>
        </w:rPr>
        <w:t>日开标，经评标委员会评定，确定你单位为中标人，中标额为</w:t>
      </w:r>
      <w:r>
        <w:rPr>
          <w:rFonts w:hint="eastAsia" w:ascii="宋体" w:hAnsi="宋体"/>
          <w:color w:val="auto"/>
          <w:kern w:val="0"/>
          <w:szCs w:val="21"/>
          <w:highlight w:val="none"/>
        </w:rPr>
        <w:t>（大写）</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ascii="宋体" w:hAnsi="宋体"/>
          <w:color w:val="auto"/>
          <w:kern w:val="0"/>
          <w:szCs w:val="21"/>
          <w:highlight w:val="none"/>
        </w:rPr>
        <w:t xml:space="preserve">（其中含安全文明施工费 </w:t>
      </w:r>
      <w:r>
        <w:rPr>
          <w:rFonts w:ascii="宋体" w:hAnsi="宋体"/>
          <w:bCs/>
          <w:color w:val="auto"/>
          <w:kern w:val="0"/>
          <w:szCs w:val="21"/>
          <w:highlight w:val="none"/>
          <w:u w:val="single"/>
        </w:rPr>
        <w:t xml:space="preserve">￥    </w:t>
      </w:r>
      <w:r>
        <w:rPr>
          <w:rFonts w:ascii="宋体" w:hAnsi="宋体"/>
          <w:color w:val="auto"/>
          <w:kern w:val="0"/>
          <w:szCs w:val="21"/>
          <w:highlight w:val="none"/>
        </w:rPr>
        <w:t>）。中标工程范围：</w:t>
      </w:r>
      <w:r>
        <w:rPr>
          <w:rFonts w:ascii="宋体" w:hAnsi="宋体"/>
          <w:bCs/>
          <w:color w:val="auto"/>
          <w:kern w:val="0"/>
          <w:szCs w:val="21"/>
          <w:highlight w:val="none"/>
          <w:u w:val="single"/>
        </w:rPr>
        <w:t xml:space="preserve">     </w:t>
      </w:r>
      <w:r>
        <w:rPr>
          <w:rFonts w:ascii="宋体" w:hAnsi="宋体"/>
          <w:color w:val="auto"/>
          <w:kern w:val="0"/>
          <w:szCs w:val="21"/>
          <w:highlight w:val="none"/>
        </w:rPr>
        <w:t xml:space="preserve">，工程规模为 </w:t>
      </w:r>
      <w:r>
        <w:rPr>
          <w:rFonts w:ascii="宋体" w:hAnsi="宋体"/>
          <w:bCs/>
          <w:color w:val="auto"/>
          <w:kern w:val="0"/>
          <w:szCs w:val="21"/>
          <w:highlight w:val="none"/>
          <w:u w:val="single"/>
        </w:rPr>
        <w:t xml:space="preserve">      </w:t>
      </w:r>
      <w:r>
        <w:rPr>
          <w:rFonts w:ascii="宋体" w:hAnsi="宋体"/>
          <w:color w:val="auto"/>
          <w:kern w:val="0"/>
          <w:szCs w:val="21"/>
          <w:highlight w:val="none"/>
        </w:rPr>
        <w:t xml:space="preserve">，中标工期 </w:t>
      </w:r>
      <w:r>
        <w:rPr>
          <w:rFonts w:ascii="宋体" w:hAnsi="宋体"/>
          <w:bCs/>
          <w:color w:val="auto"/>
          <w:kern w:val="0"/>
          <w:szCs w:val="21"/>
          <w:highlight w:val="none"/>
          <w:u w:val="single"/>
        </w:rPr>
        <w:t xml:space="preserve">   </w:t>
      </w:r>
      <w:r>
        <w:rPr>
          <w:rFonts w:ascii="宋体" w:hAnsi="宋体"/>
          <w:color w:val="auto"/>
          <w:kern w:val="0"/>
          <w:szCs w:val="21"/>
          <w:highlight w:val="none"/>
          <w:u w:val="single"/>
        </w:rPr>
        <w:t>日历天</w:t>
      </w:r>
      <w:r>
        <w:rPr>
          <w:rFonts w:ascii="宋体" w:hAnsi="宋体"/>
          <w:color w:val="auto"/>
          <w:kern w:val="0"/>
          <w:szCs w:val="21"/>
          <w:highlight w:val="none"/>
        </w:rPr>
        <w:t>，工程质量达到国家施工验收规范标准。 项目经理由</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ascii="宋体" w:hAnsi="宋体"/>
          <w:color w:val="auto"/>
          <w:kern w:val="0"/>
          <w:szCs w:val="21"/>
          <w:highlight w:val="none"/>
        </w:rPr>
        <w:t>担任。</w:t>
      </w:r>
    </w:p>
    <w:p w14:paraId="383CFC43">
      <w:pPr>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 xml:space="preserve">你单位收到中标通知书后，在 </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ascii="宋体" w:hAnsi="宋体"/>
          <w:color w:val="auto"/>
          <w:kern w:val="0"/>
          <w:szCs w:val="21"/>
          <w:highlight w:val="none"/>
        </w:rPr>
        <w:t>日内到我单位签订承发包合同。</w:t>
      </w:r>
      <w:r>
        <w:rPr>
          <w:color w:val="auto"/>
          <w:szCs w:val="21"/>
          <w:highlight w:val="none"/>
        </w:rPr>
        <w:t>在此之前按招标文件第二章</w:t>
      </w:r>
      <w:r>
        <w:rPr>
          <w:rFonts w:hint="eastAsia"/>
          <w:color w:val="auto"/>
          <w:szCs w:val="21"/>
          <w:highlight w:val="none"/>
        </w:rPr>
        <w:t>“</w:t>
      </w:r>
      <w:r>
        <w:rPr>
          <w:color w:val="auto"/>
          <w:szCs w:val="21"/>
          <w:highlight w:val="none"/>
        </w:rPr>
        <w:t>投标人须知</w:t>
      </w:r>
      <w:r>
        <w:rPr>
          <w:rFonts w:hint="eastAsia"/>
          <w:color w:val="auto"/>
          <w:szCs w:val="21"/>
          <w:highlight w:val="none"/>
        </w:rPr>
        <w:t>”</w:t>
      </w:r>
      <w:r>
        <w:rPr>
          <w:color w:val="auto"/>
          <w:szCs w:val="21"/>
          <w:highlight w:val="none"/>
        </w:rPr>
        <w:t>第7.</w:t>
      </w:r>
      <w:r>
        <w:rPr>
          <w:rFonts w:hint="eastAsia"/>
          <w:color w:val="auto"/>
          <w:szCs w:val="21"/>
          <w:highlight w:val="none"/>
        </w:rPr>
        <w:t>3</w:t>
      </w:r>
      <w:r>
        <w:rPr>
          <w:color w:val="auto"/>
          <w:szCs w:val="21"/>
          <w:highlight w:val="none"/>
        </w:rPr>
        <w:t>款规定向我方提交履约担保。</w:t>
      </w:r>
    </w:p>
    <w:p w14:paraId="552907F7">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特此通知。</w:t>
      </w:r>
    </w:p>
    <w:p w14:paraId="58AE5AF8">
      <w:pPr>
        <w:spacing w:line="480" w:lineRule="auto"/>
        <w:rPr>
          <w:rFonts w:ascii="宋体" w:hAnsi="宋体"/>
          <w:color w:val="auto"/>
          <w:kern w:val="0"/>
          <w:sz w:val="24"/>
          <w:highlight w:val="none"/>
        </w:rPr>
      </w:pPr>
    </w:p>
    <w:p w14:paraId="68A8C555">
      <w:pPr>
        <w:spacing w:line="480" w:lineRule="auto"/>
        <w:rPr>
          <w:rFonts w:ascii="宋体" w:hAnsi="宋体"/>
          <w:color w:val="auto"/>
          <w:kern w:val="0"/>
          <w:sz w:val="24"/>
          <w:highlight w:val="none"/>
        </w:rPr>
      </w:pPr>
    </w:p>
    <w:p w14:paraId="4B883F43">
      <w:pPr>
        <w:spacing w:line="480" w:lineRule="auto"/>
        <w:rPr>
          <w:rFonts w:ascii="宋体" w:hAnsi="宋体"/>
          <w:color w:val="auto"/>
          <w:kern w:val="0"/>
          <w:sz w:val="24"/>
          <w:highlight w:val="none"/>
        </w:rPr>
      </w:pPr>
    </w:p>
    <w:p w14:paraId="61172C00">
      <w:pPr>
        <w:spacing w:line="480" w:lineRule="auto"/>
        <w:jc w:val="left"/>
        <w:rPr>
          <w:rFonts w:ascii="宋体" w:hAnsi="宋体"/>
          <w:color w:val="auto"/>
          <w:kern w:val="0"/>
          <w:szCs w:val="21"/>
          <w:highlight w:val="none"/>
        </w:rPr>
      </w:pPr>
      <w:r>
        <w:rPr>
          <w:rFonts w:ascii="宋体" w:hAnsi="宋体"/>
          <w:color w:val="auto"/>
          <w:kern w:val="0"/>
          <w:sz w:val="24"/>
          <w:highlight w:val="none"/>
        </w:rPr>
        <w:t xml:space="preserve">                                </w:t>
      </w:r>
      <w:r>
        <w:rPr>
          <w:rFonts w:ascii="宋体" w:hAnsi="宋体"/>
          <w:color w:val="auto"/>
          <w:kern w:val="0"/>
          <w:szCs w:val="21"/>
          <w:highlight w:val="none"/>
        </w:rPr>
        <w:t>招标人</w:t>
      </w:r>
      <w:r>
        <w:rPr>
          <w:rFonts w:ascii="宋体" w:hAnsi="宋体"/>
          <w:snapToGrid w:val="0"/>
          <w:color w:val="auto"/>
          <w:kern w:val="0"/>
          <w:szCs w:val="21"/>
          <w:highlight w:val="none"/>
        </w:rPr>
        <w:t>：</w:t>
      </w:r>
      <w:r>
        <w:rPr>
          <w:rFonts w:ascii="宋体" w:hAnsi="宋体"/>
          <w:color w:val="auto"/>
          <w:kern w:val="0"/>
          <w:szCs w:val="21"/>
          <w:highlight w:val="none"/>
          <w:u w:val="single"/>
        </w:rPr>
        <w:t xml:space="preserve">                          </w:t>
      </w:r>
      <w:r>
        <w:rPr>
          <w:rFonts w:ascii="宋体" w:hAnsi="宋体"/>
          <w:color w:val="auto"/>
          <w:kern w:val="0"/>
          <w:szCs w:val="21"/>
          <w:highlight w:val="none"/>
        </w:rPr>
        <w:t>（</w:t>
      </w:r>
      <w:r>
        <w:rPr>
          <w:rFonts w:ascii="宋体" w:hAnsi="宋体"/>
          <w:snapToGrid w:val="0"/>
          <w:color w:val="auto"/>
          <w:kern w:val="0"/>
          <w:szCs w:val="21"/>
          <w:highlight w:val="none"/>
        </w:rPr>
        <w:t>盖单位法人章</w:t>
      </w:r>
      <w:r>
        <w:rPr>
          <w:rFonts w:ascii="宋体" w:hAnsi="宋体"/>
          <w:color w:val="auto"/>
          <w:kern w:val="0"/>
          <w:szCs w:val="21"/>
          <w:highlight w:val="none"/>
        </w:rPr>
        <w:t>）</w:t>
      </w:r>
    </w:p>
    <w:p w14:paraId="605627E5">
      <w:pPr>
        <w:spacing w:line="480" w:lineRule="auto"/>
        <w:jc w:val="left"/>
        <w:rPr>
          <w:rFonts w:ascii="宋体" w:hAnsi="宋体"/>
          <w:color w:val="auto"/>
          <w:kern w:val="0"/>
          <w:szCs w:val="21"/>
          <w:highlight w:val="none"/>
        </w:rPr>
      </w:pPr>
      <w:r>
        <w:rPr>
          <w:rFonts w:ascii="宋体" w:hAnsi="宋体"/>
          <w:color w:val="auto"/>
          <w:kern w:val="0"/>
          <w:szCs w:val="21"/>
          <w:highlight w:val="none"/>
        </w:rPr>
        <w:t xml:space="preserve">                                 </w:t>
      </w:r>
      <w:r>
        <w:rPr>
          <w:rFonts w:hint="eastAsia" w:ascii="宋体" w:hAnsi="宋体"/>
          <w:color w:val="auto"/>
          <w:kern w:val="0"/>
          <w:szCs w:val="21"/>
          <w:highlight w:val="none"/>
        </w:rPr>
        <w:t xml:space="preserve">    </w:t>
      </w:r>
      <w:r>
        <w:rPr>
          <w:rFonts w:ascii="宋体" w:hAnsi="宋体"/>
          <w:color w:val="auto"/>
          <w:kern w:val="0"/>
          <w:szCs w:val="21"/>
          <w:highlight w:val="none"/>
        </w:rPr>
        <w:t>法定代表人</w:t>
      </w:r>
      <w:r>
        <w:rPr>
          <w:rFonts w:ascii="宋体" w:hAnsi="宋体"/>
          <w:snapToGrid w:val="0"/>
          <w:color w:val="auto"/>
          <w:kern w:val="0"/>
          <w:szCs w:val="21"/>
          <w:highlight w:val="none"/>
        </w:rPr>
        <w:t>：</w:t>
      </w:r>
      <w:r>
        <w:rPr>
          <w:rFonts w:ascii="宋体" w:hAnsi="宋体"/>
          <w:color w:val="auto"/>
          <w:kern w:val="0"/>
          <w:szCs w:val="21"/>
          <w:highlight w:val="none"/>
          <w:u w:val="single"/>
        </w:rPr>
        <w:t xml:space="preserve">                      </w:t>
      </w:r>
      <w:r>
        <w:rPr>
          <w:rFonts w:ascii="宋体" w:hAnsi="宋体"/>
          <w:color w:val="auto"/>
          <w:kern w:val="0"/>
          <w:szCs w:val="21"/>
          <w:highlight w:val="none"/>
        </w:rPr>
        <w:t>（签字或盖章）</w:t>
      </w:r>
    </w:p>
    <w:p w14:paraId="3DE749F2">
      <w:pPr>
        <w:spacing w:line="480" w:lineRule="auto"/>
        <w:jc w:val="left"/>
        <w:rPr>
          <w:rFonts w:ascii="宋体" w:hAnsi="宋体"/>
          <w:color w:val="auto"/>
          <w:kern w:val="0"/>
          <w:szCs w:val="21"/>
          <w:highlight w:val="none"/>
          <w:u w:val="single"/>
        </w:rPr>
      </w:pPr>
      <w:r>
        <w:rPr>
          <w:rFonts w:ascii="宋体" w:hAnsi="宋体"/>
          <w:color w:val="auto"/>
          <w:kern w:val="0"/>
          <w:szCs w:val="21"/>
          <w:highlight w:val="none"/>
        </w:rPr>
        <w:t xml:space="preserve">                                 </w:t>
      </w:r>
      <w:r>
        <w:rPr>
          <w:rFonts w:hint="eastAsia" w:ascii="宋体" w:hAnsi="宋体"/>
          <w:color w:val="auto"/>
          <w:kern w:val="0"/>
          <w:szCs w:val="21"/>
          <w:highlight w:val="none"/>
        </w:rPr>
        <w:t xml:space="preserve">    </w:t>
      </w:r>
      <w:r>
        <w:rPr>
          <w:rFonts w:ascii="宋体" w:hAnsi="宋体"/>
          <w:color w:val="auto"/>
          <w:kern w:val="0"/>
          <w:szCs w:val="21"/>
          <w:highlight w:val="none"/>
        </w:rPr>
        <w:t>联系人</w:t>
      </w:r>
      <w:r>
        <w:rPr>
          <w:rFonts w:ascii="宋体" w:hAnsi="宋体"/>
          <w:snapToGrid w:val="0"/>
          <w:color w:val="auto"/>
          <w:kern w:val="0"/>
          <w:szCs w:val="21"/>
          <w:highlight w:val="none"/>
        </w:rPr>
        <w:t>：</w:t>
      </w:r>
      <w:r>
        <w:rPr>
          <w:rFonts w:ascii="宋体" w:hAnsi="宋体"/>
          <w:color w:val="auto"/>
          <w:kern w:val="0"/>
          <w:szCs w:val="21"/>
          <w:highlight w:val="none"/>
          <w:u w:val="single"/>
        </w:rPr>
        <w:t xml:space="preserve">                          </w:t>
      </w:r>
    </w:p>
    <w:p w14:paraId="48F3FCF7">
      <w:pPr>
        <w:spacing w:line="480" w:lineRule="auto"/>
        <w:jc w:val="left"/>
        <w:rPr>
          <w:rFonts w:ascii="宋体" w:hAnsi="宋体"/>
          <w:color w:val="auto"/>
          <w:kern w:val="0"/>
          <w:szCs w:val="21"/>
          <w:highlight w:val="none"/>
        </w:rPr>
      </w:pPr>
      <w:r>
        <w:rPr>
          <w:rFonts w:ascii="宋体" w:hAnsi="宋体"/>
          <w:color w:val="auto"/>
          <w:kern w:val="0"/>
          <w:szCs w:val="21"/>
          <w:highlight w:val="none"/>
        </w:rPr>
        <w:t xml:space="preserve">                                 </w:t>
      </w:r>
      <w:r>
        <w:rPr>
          <w:rFonts w:hint="eastAsia" w:ascii="宋体" w:hAnsi="宋体"/>
          <w:color w:val="auto"/>
          <w:kern w:val="0"/>
          <w:szCs w:val="21"/>
          <w:highlight w:val="none"/>
        </w:rPr>
        <w:t xml:space="preserve">    </w:t>
      </w:r>
      <w:r>
        <w:rPr>
          <w:rFonts w:ascii="宋体" w:hAnsi="宋体"/>
          <w:color w:val="auto"/>
          <w:kern w:val="0"/>
          <w:szCs w:val="21"/>
          <w:highlight w:val="none"/>
        </w:rPr>
        <w:t>联系电话</w:t>
      </w:r>
      <w:r>
        <w:rPr>
          <w:rFonts w:ascii="宋体" w:hAnsi="宋体"/>
          <w:snapToGrid w:val="0"/>
          <w:color w:val="auto"/>
          <w:kern w:val="0"/>
          <w:szCs w:val="21"/>
          <w:highlight w:val="none"/>
        </w:rPr>
        <w:t>：</w:t>
      </w:r>
      <w:r>
        <w:rPr>
          <w:rFonts w:ascii="宋体" w:hAnsi="宋体"/>
          <w:color w:val="auto"/>
          <w:kern w:val="0"/>
          <w:szCs w:val="21"/>
          <w:highlight w:val="none"/>
          <w:u w:val="single"/>
        </w:rPr>
        <w:t xml:space="preserve">                        </w:t>
      </w:r>
    </w:p>
    <w:p w14:paraId="24EDE3B3">
      <w:pPr>
        <w:spacing w:line="480" w:lineRule="auto"/>
        <w:jc w:val="right"/>
        <w:rPr>
          <w:rFonts w:hint="eastAsia" w:ascii="宋体" w:hAnsi="宋体"/>
          <w:color w:val="auto"/>
          <w:kern w:val="0"/>
          <w:szCs w:val="21"/>
          <w:highlight w:val="none"/>
        </w:rPr>
      </w:pPr>
    </w:p>
    <w:p w14:paraId="7AA6BEF0">
      <w:pPr>
        <w:spacing w:line="480" w:lineRule="auto"/>
        <w:jc w:val="right"/>
        <w:rPr>
          <w:rFonts w:hint="eastAsia" w:ascii="宋体" w:hAnsi="宋体"/>
          <w:color w:val="auto"/>
          <w:kern w:val="0"/>
          <w:szCs w:val="21"/>
          <w:highlight w:val="none"/>
        </w:rPr>
      </w:pPr>
    </w:p>
    <w:p w14:paraId="591868F1">
      <w:pPr>
        <w:spacing w:line="480" w:lineRule="auto"/>
        <w:jc w:val="right"/>
        <w:rPr>
          <w:rFonts w:hint="eastAsia" w:ascii="宋体" w:hAnsi="宋体"/>
          <w:color w:val="auto"/>
          <w:kern w:val="0"/>
          <w:sz w:val="24"/>
          <w:highlight w:val="none"/>
        </w:rPr>
      </w:pPr>
      <w:r>
        <w:rPr>
          <w:rFonts w:ascii="宋体" w:hAnsi="宋体"/>
          <w:color w:val="auto"/>
          <w:kern w:val="0"/>
          <w:szCs w:val="21"/>
          <w:highlight w:val="none"/>
        </w:rPr>
        <w:t xml:space="preserve">                   签发日期</w:t>
      </w:r>
      <w:r>
        <w:rPr>
          <w:rFonts w:ascii="宋体" w:hAnsi="宋体"/>
          <w:snapToGrid w:val="0"/>
          <w:color w:val="auto"/>
          <w:kern w:val="0"/>
          <w:szCs w:val="21"/>
          <w:highlight w:val="none"/>
        </w:rPr>
        <w:t>：</w:t>
      </w:r>
      <w:r>
        <w:rPr>
          <w:rFonts w:ascii="宋体" w:hAnsi="宋体"/>
          <w:color w:val="auto"/>
          <w:kern w:val="0"/>
          <w:szCs w:val="21"/>
          <w:highlight w:val="none"/>
          <w:u w:val="single"/>
        </w:rPr>
        <w:t xml:space="preserve">        </w:t>
      </w:r>
      <w:r>
        <w:rPr>
          <w:rFonts w:ascii="宋体" w:hAnsi="宋体"/>
          <w:color w:val="auto"/>
          <w:kern w:val="0"/>
          <w:szCs w:val="21"/>
          <w:highlight w:val="none"/>
        </w:rPr>
        <w:t>年</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14:paraId="0D0DAF09">
      <w:pPr>
        <w:pStyle w:val="3"/>
        <w:spacing w:line="360" w:lineRule="auto"/>
        <w:jc w:val="center"/>
        <w:rPr>
          <w:rFonts w:ascii="宋体" w:hAnsi="宋体"/>
          <w:snapToGrid w:val="0"/>
          <w:color w:val="auto"/>
          <w:kern w:val="0"/>
          <w:highlight w:val="none"/>
        </w:rPr>
      </w:pPr>
      <w:r>
        <w:rPr>
          <w:rFonts w:ascii="宋体" w:hAnsi="宋体"/>
          <w:color w:val="auto"/>
          <w:kern w:val="0"/>
          <w:sz w:val="24"/>
          <w:highlight w:val="none"/>
        </w:rPr>
        <w:br w:type="page"/>
      </w:r>
      <w:bookmarkStart w:id="577" w:name="_Toc57820614"/>
      <w:r>
        <w:rPr>
          <w:rFonts w:ascii="宋体" w:hAnsi="宋体"/>
          <w:snapToGrid w:val="0"/>
          <w:color w:val="auto"/>
          <w:kern w:val="0"/>
          <w:highlight w:val="none"/>
        </w:rPr>
        <w:t xml:space="preserve">第三章 </w:t>
      </w:r>
      <w:r>
        <w:rPr>
          <w:rFonts w:hint="eastAsia" w:ascii="宋体" w:hAnsi="宋体"/>
          <w:snapToGrid w:val="0"/>
          <w:color w:val="auto"/>
          <w:kern w:val="0"/>
          <w:highlight w:val="none"/>
        </w:rPr>
        <w:t xml:space="preserve"> </w:t>
      </w:r>
      <w:r>
        <w:rPr>
          <w:rFonts w:ascii="宋体" w:hAnsi="宋体"/>
          <w:snapToGrid w:val="0"/>
          <w:color w:val="auto"/>
          <w:kern w:val="0"/>
          <w:highlight w:val="none"/>
        </w:rPr>
        <w:t>评标办法（</w:t>
      </w:r>
      <w:r>
        <w:rPr>
          <w:rFonts w:hint="eastAsia" w:ascii="宋体" w:hAnsi="宋体"/>
          <w:snapToGrid w:val="0"/>
          <w:color w:val="auto"/>
          <w:kern w:val="0"/>
          <w:highlight w:val="none"/>
        </w:rPr>
        <w:t>经评审的最低投标价法</w:t>
      </w:r>
      <w:r>
        <w:rPr>
          <w:rFonts w:ascii="宋体" w:hAnsi="宋体"/>
          <w:snapToGrid w:val="0"/>
          <w:color w:val="auto"/>
          <w:kern w:val="0"/>
          <w:highlight w:val="none"/>
        </w:rPr>
        <w:t>）</w:t>
      </w:r>
      <w:bookmarkEnd w:id="577"/>
    </w:p>
    <w:p w14:paraId="5E89146F">
      <w:pPr>
        <w:keepNext/>
        <w:keepLines/>
        <w:spacing w:before="100" w:after="100" w:line="360" w:lineRule="auto"/>
        <w:outlineLvl w:val="1"/>
        <w:rPr>
          <w:rFonts w:ascii="宋体" w:hAnsi="宋体"/>
          <w:b/>
          <w:color w:val="auto"/>
          <w:sz w:val="32"/>
          <w:szCs w:val="32"/>
          <w:highlight w:val="none"/>
        </w:rPr>
      </w:pPr>
      <w:bookmarkStart w:id="578" w:name="_Toc57820615"/>
      <w:r>
        <w:rPr>
          <w:rFonts w:hint="eastAsia" w:ascii="宋体" w:hAnsi="宋体"/>
          <w:b/>
          <w:color w:val="auto"/>
          <w:sz w:val="32"/>
          <w:szCs w:val="32"/>
          <w:highlight w:val="none"/>
        </w:rPr>
        <w:t>评标办法前附表</w:t>
      </w:r>
      <w:bookmarkEnd w:id="578"/>
    </w:p>
    <w:p w14:paraId="3FA4C731">
      <w:pPr>
        <w:spacing w:line="400" w:lineRule="exact"/>
        <w:ind w:firstLine="427" w:firstLineChars="196"/>
        <w:rPr>
          <w:rFonts w:ascii="宋体" w:hAnsi="宋体"/>
          <w:color w:val="auto"/>
          <w:spacing w:val="4"/>
          <w:kern w:val="0"/>
          <w:szCs w:val="21"/>
          <w:highlight w:val="none"/>
        </w:rPr>
      </w:pPr>
      <w:bookmarkStart w:id="579" w:name="_Toc13210726"/>
      <w:r>
        <w:rPr>
          <w:rFonts w:ascii="宋体" w:hAnsi="宋体"/>
          <w:color w:val="auto"/>
          <w:spacing w:val="4"/>
          <w:kern w:val="0"/>
          <w:szCs w:val="21"/>
          <w:highlight w:val="none"/>
        </w:rPr>
        <w:t>评标办法前附表中的评审内容必须和投标人须知前附表中的对应内容一致，若投标人须知前附表中未作要求的内容，不得列入评标办法前附表作为评定依据。</w:t>
      </w:r>
      <w:bookmarkEnd w:id="579"/>
    </w:p>
    <w:tbl>
      <w:tblPr>
        <w:tblStyle w:val="45"/>
        <w:tblW w:w="96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3"/>
        <w:gridCol w:w="1560"/>
        <w:gridCol w:w="2267"/>
        <w:gridCol w:w="4615"/>
      </w:tblGrid>
      <w:tr w14:paraId="7F8A21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7" w:hRule="atLeast"/>
        </w:trPr>
        <w:tc>
          <w:tcPr>
            <w:tcW w:w="1243" w:type="dxa"/>
            <w:tcBorders>
              <w:right w:val="single" w:color="auto" w:sz="4" w:space="0"/>
            </w:tcBorders>
            <w:noWrap w:val="0"/>
            <w:vAlign w:val="center"/>
          </w:tcPr>
          <w:p w14:paraId="7814FE58">
            <w:pPr>
              <w:spacing w:line="400" w:lineRule="exact"/>
              <w:jc w:val="center"/>
              <w:rPr>
                <w:rFonts w:ascii="宋体" w:hAnsi="宋体"/>
                <w:b/>
                <w:color w:val="auto"/>
                <w:kern w:val="0"/>
                <w:highlight w:val="none"/>
              </w:rPr>
            </w:pPr>
            <w:r>
              <w:rPr>
                <w:rFonts w:ascii="宋体" w:hAnsi="宋体"/>
                <w:b/>
                <w:color w:val="auto"/>
                <w:kern w:val="0"/>
                <w:highlight w:val="none"/>
              </w:rPr>
              <w:t>条款号</w:t>
            </w:r>
          </w:p>
        </w:tc>
        <w:tc>
          <w:tcPr>
            <w:tcW w:w="1560" w:type="dxa"/>
            <w:tcBorders>
              <w:left w:val="single" w:color="auto" w:sz="4" w:space="0"/>
            </w:tcBorders>
            <w:noWrap w:val="0"/>
            <w:vAlign w:val="center"/>
          </w:tcPr>
          <w:p w14:paraId="6943A6F1">
            <w:pPr>
              <w:spacing w:line="400" w:lineRule="exact"/>
              <w:jc w:val="center"/>
              <w:rPr>
                <w:rFonts w:ascii="宋体" w:hAnsi="宋体"/>
                <w:b/>
                <w:color w:val="auto"/>
                <w:kern w:val="0"/>
                <w:highlight w:val="none"/>
              </w:rPr>
            </w:pPr>
            <w:r>
              <w:rPr>
                <w:rFonts w:ascii="宋体" w:hAnsi="宋体"/>
                <w:b/>
                <w:color w:val="auto"/>
                <w:kern w:val="0"/>
                <w:highlight w:val="none"/>
              </w:rPr>
              <w:t>评审因素</w:t>
            </w:r>
          </w:p>
        </w:tc>
        <w:tc>
          <w:tcPr>
            <w:tcW w:w="6882" w:type="dxa"/>
            <w:gridSpan w:val="2"/>
            <w:noWrap w:val="0"/>
            <w:vAlign w:val="center"/>
          </w:tcPr>
          <w:p w14:paraId="6F09CDA4">
            <w:pPr>
              <w:spacing w:line="400" w:lineRule="exact"/>
              <w:jc w:val="center"/>
              <w:rPr>
                <w:rFonts w:ascii="宋体" w:hAnsi="宋体"/>
                <w:b/>
                <w:color w:val="auto"/>
                <w:kern w:val="0"/>
                <w:highlight w:val="none"/>
              </w:rPr>
            </w:pPr>
            <w:r>
              <w:rPr>
                <w:rFonts w:ascii="宋体" w:hAnsi="宋体"/>
                <w:b/>
                <w:color w:val="auto"/>
                <w:kern w:val="0"/>
                <w:highlight w:val="none"/>
              </w:rPr>
              <w:t>评审标准</w:t>
            </w:r>
          </w:p>
        </w:tc>
      </w:tr>
      <w:tr w14:paraId="326D8F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42" w:hRule="atLeast"/>
        </w:trPr>
        <w:tc>
          <w:tcPr>
            <w:tcW w:w="1243" w:type="dxa"/>
            <w:tcBorders>
              <w:right w:val="single" w:color="auto" w:sz="4" w:space="0"/>
            </w:tcBorders>
            <w:noWrap w:val="0"/>
            <w:vAlign w:val="center"/>
          </w:tcPr>
          <w:p w14:paraId="1D6A0A0D">
            <w:pPr>
              <w:pStyle w:val="106"/>
              <w:spacing w:line="400" w:lineRule="exact"/>
              <w:ind w:firstLine="420"/>
              <w:rPr>
                <w:color w:val="auto"/>
                <w:sz w:val="21"/>
                <w:szCs w:val="21"/>
                <w:highlight w:val="none"/>
              </w:rPr>
            </w:pPr>
            <w:r>
              <w:rPr>
                <w:color w:val="auto"/>
                <w:sz w:val="21"/>
                <w:szCs w:val="21"/>
                <w:highlight w:val="none"/>
              </w:rPr>
              <w:t>1</w:t>
            </w:r>
          </w:p>
        </w:tc>
        <w:tc>
          <w:tcPr>
            <w:tcW w:w="1560" w:type="dxa"/>
            <w:tcBorders>
              <w:left w:val="single" w:color="auto" w:sz="4" w:space="0"/>
            </w:tcBorders>
            <w:noWrap w:val="0"/>
            <w:vAlign w:val="center"/>
          </w:tcPr>
          <w:p w14:paraId="39A6A181">
            <w:pPr>
              <w:pStyle w:val="106"/>
              <w:spacing w:line="400" w:lineRule="exact"/>
              <w:ind w:firstLine="0" w:firstLineChars="0"/>
              <w:jc w:val="center"/>
              <w:rPr>
                <w:color w:val="auto"/>
                <w:sz w:val="21"/>
                <w:szCs w:val="21"/>
                <w:highlight w:val="none"/>
              </w:rPr>
            </w:pPr>
            <w:r>
              <w:rPr>
                <w:rFonts w:hint="eastAsia"/>
                <w:color w:val="auto"/>
                <w:sz w:val="21"/>
                <w:szCs w:val="21"/>
                <w:highlight w:val="none"/>
              </w:rPr>
              <w:t>评标办法</w:t>
            </w:r>
          </w:p>
        </w:tc>
        <w:tc>
          <w:tcPr>
            <w:tcW w:w="6882" w:type="dxa"/>
            <w:gridSpan w:val="2"/>
            <w:noWrap w:val="0"/>
            <w:vAlign w:val="center"/>
          </w:tcPr>
          <w:p w14:paraId="55BA24ED">
            <w:pPr>
              <w:spacing w:line="400" w:lineRule="exact"/>
              <w:ind w:firstLine="427" w:firstLineChars="196"/>
              <w:rPr>
                <w:rFonts w:ascii="宋体" w:hAnsi="宋体"/>
                <w:color w:val="auto"/>
                <w:spacing w:val="4"/>
                <w:kern w:val="0"/>
                <w:szCs w:val="21"/>
                <w:highlight w:val="none"/>
              </w:rPr>
            </w:pPr>
            <w:r>
              <w:rPr>
                <w:rFonts w:hint="eastAsia" w:ascii="宋体" w:hAnsi="宋体"/>
                <w:color w:val="auto"/>
                <w:spacing w:val="4"/>
                <w:kern w:val="0"/>
                <w:szCs w:val="21"/>
                <w:highlight w:val="none"/>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投标人在红名单中优先”的原则排序（红名单建立完善后使用；联合体投标的，须联合体牵头人在红名单中）；投标人均在红名单中或均不在红名单中的，由评标委员会按照</w:t>
            </w:r>
            <w:r>
              <w:rPr>
                <w:rFonts w:hint="eastAsia" w:ascii="宋体" w:hAnsi="宋体"/>
                <w:color w:val="auto"/>
                <w:spacing w:val="4"/>
                <w:kern w:val="0"/>
                <w:szCs w:val="21"/>
                <w:highlight w:val="none"/>
                <w:u w:val="single"/>
              </w:rPr>
              <w:t xml:space="preserve">         </w:t>
            </w:r>
            <w:r>
              <w:rPr>
                <w:rFonts w:hint="eastAsia" w:ascii="宋体" w:hAnsi="宋体"/>
                <w:color w:val="auto"/>
                <w:spacing w:val="4"/>
                <w:kern w:val="0"/>
                <w:szCs w:val="21"/>
                <w:highlight w:val="none"/>
              </w:rPr>
              <w:t>原则排序。</w:t>
            </w:r>
            <w:r>
              <w:rPr>
                <w:rFonts w:hint="eastAsia" w:ascii="宋体" w:hAnsi="宋体"/>
                <w:i/>
                <w:color w:val="auto"/>
                <w:spacing w:val="4"/>
                <w:kern w:val="0"/>
                <w:szCs w:val="21"/>
                <w:highlight w:val="none"/>
              </w:rPr>
              <w:t>[提示：由招标人事先在招标文件中按照有利于合同履行的原则确定。]</w:t>
            </w:r>
          </w:p>
        </w:tc>
      </w:tr>
      <w:tr w14:paraId="388046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noWrap w:val="0"/>
            <w:vAlign w:val="center"/>
          </w:tcPr>
          <w:p w14:paraId="44F56BDC">
            <w:pPr>
              <w:spacing w:line="400" w:lineRule="exact"/>
              <w:jc w:val="center"/>
              <w:rPr>
                <w:rFonts w:ascii="宋体" w:hAnsi="宋体"/>
                <w:color w:val="auto"/>
                <w:kern w:val="0"/>
                <w:highlight w:val="none"/>
              </w:rPr>
            </w:pPr>
            <w:r>
              <w:rPr>
                <w:rFonts w:hint="eastAsia" w:ascii="宋体" w:hAnsi="宋体"/>
                <w:color w:val="auto"/>
                <w:kern w:val="0"/>
                <w:highlight w:val="none"/>
              </w:rPr>
              <w:t>2.1</w:t>
            </w:r>
          </w:p>
        </w:tc>
        <w:tc>
          <w:tcPr>
            <w:tcW w:w="1560" w:type="dxa"/>
            <w:tcBorders>
              <w:left w:val="single" w:color="auto" w:sz="4" w:space="0"/>
              <w:right w:val="single" w:color="auto" w:sz="4" w:space="0"/>
            </w:tcBorders>
            <w:noWrap w:val="0"/>
            <w:vAlign w:val="center"/>
          </w:tcPr>
          <w:p w14:paraId="2020687A">
            <w:pPr>
              <w:spacing w:line="400" w:lineRule="exact"/>
              <w:jc w:val="center"/>
              <w:rPr>
                <w:rFonts w:ascii="宋体" w:hAnsi="宋体"/>
                <w:color w:val="auto"/>
                <w:kern w:val="0"/>
                <w:highlight w:val="none"/>
              </w:rPr>
            </w:pPr>
            <w:r>
              <w:rPr>
                <w:rFonts w:ascii="宋体" w:hAnsi="宋体"/>
                <w:color w:val="auto"/>
                <w:kern w:val="0"/>
                <w:highlight w:val="none"/>
              </w:rPr>
              <w:t>报价</w:t>
            </w:r>
            <w:r>
              <w:rPr>
                <w:rFonts w:hint="eastAsia" w:ascii="宋体" w:hAnsi="宋体"/>
                <w:color w:val="auto"/>
                <w:kern w:val="0"/>
                <w:highlight w:val="none"/>
              </w:rPr>
              <w:t>排序</w:t>
            </w:r>
          </w:p>
        </w:tc>
        <w:tc>
          <w:tcPr>
            <w:tcW w:w="6882" w:type="dxa"/>
            <w:gridSpan w:val="2"/>
            <w:tcBorders>
              <w:left w:val="single" w:color="auto" w:sz="4" w:space="0"/>
            </w:tcBorders>
            <w:noWrap w:val="0"/>
            <w:vAlign w:val="center"/>
          </w:tcPr>
          <w:p w14:paraId="77457B8E">
            <w:pPr>
              <w:spacing w:line="400" w:lineRule="exact"/>
              <w:ind w:firstLine="420" w:firstLineChars="200"/>
              <w:jc w:val="left"/>
              <w:rPr>
                <w:rFonts w:ascii="宋体" w:hAnsi="宋体"/>
                <w:color w:val="auto"/>
                <w:kern w:val="0"/>
                <w:highlight w:val="none"/>
              </w:rPr>
            </w:pPr>
            <w:r>
              <w:rPr>
                <w:rFonts w:hint="eastAsia" w:ascii="宋体" w:hAnsi="宋体"/>
                <w:color w:val="auto"/>
                <w:kern w:val="0"/>
                <w:highlight w:val="none"/>
              </w:rPr>
              <w:t>对报价不高于最高限价的所有投标人的投标文件，按照报价由低到高的顺序排序。需技术方案评审的，由电子评标系统对技术方案进行自动随机编号。在投标函评审前，推送给评标委员会的投标文件不得显示排序。</w:t>
            </w:r>
          </w:p>
        </w:tc>
      </w:tr>
      <w:tr w14:paraId="235D56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noWrap w:val="0"/>
            <w:vAlign w:val="center"/>
          </w:tcPr>
          <w:p w14:paraId="3D7C3B00">
            <w:pPr>
              <w:spacing w:line="400" w:lineRule="exact"/>
              <w:jc w:val="center"/>
              <w:rPr>
                <w:rFonts w:hint="eastAsia" w:ascii="宋体" w:hAnsi="宋体"/>
                <w:color w:val="auto"/>
                <w:kern w:val="0"/>
                <w:highlight w:val="none"/>
              </w:rPr>
            </w:pPr>
            <w:r>
              <w:rPr>
                <w:rFonts w:hint="eastAsia" w:ascii="宋体" w:hAnsi="宋体"/>
                <w:color w:val="auto"/>
                <w:kern w:val="0"/>
                <w:highlight w:val="none"/>
              </w:rPr>
              <w:t>2.2</w:t>
            </w:r>
          </w:p>
        </w:tc>
        <w:tc>
          <w:tcPr>
            <w:tcW w:w="1560" w:type="dxa"/>
            <w:tcBorders>
              <w:left w:val="single" w:color="auto" w:sz="4" w:space="0"/>
              <w:right w:val="single" w:color="auto" w:sz="4" w:space="0"/>
            </w:tcBorders>
            <w:noWrap w:val="0"/>
            <w:vAlign w:val="center"/>
          </w:tcPr>
          <w:p w14:paraId="42EBC740">
            <w:pPr>
              <w:spacing w:line="400" w:lineRule="exact"/>
              <w:jc w:val="center"/>
              <w:rPr>
                <w:rFonts w:ascii="宋体" w:hAnsi="宋体"/>
                <w:color w:val="auto"/>
                <w:kern w:val="0"/>
                <w:highlight w:val="none"/>
              </w:rPr>
            </w:pPr>
            <w:r>
              <w:rPr>
                <w:rFonts w:hint="eastAsia" w:ascii="宋体" w:hAnsi="宋体"/>
                <w:color w:val="auto"/>
                <w:kern w:val="0"/>
                <w:highlight w:val="none"/>
              </w:rPr>
              <w:t>符合性审查</w:t>
            </w:r>
          </w:p>
        </w:tc>
        <w:tc>
          <w:tcPr>
            <w:tcW w:w="6882" w:type="dxa"/>
            <w:gridSpan w:val="2"/>
            <w:tcBorders>
              <w:left w:val="single" w:color="auto" w:sz="4" w:space="0"/>
            </w:tcBorders>
            <w:noWrap w:val="0"/>
            <w:vAlign w:val="center"/>
          </w:tcPr>
          <w:p w14:paraId="5D5FA1B8">
            <w:pPr>
              <w:spacing w:line="400" w:lineRule="exact"/>
              <w:ind w:firstLine="420" w:firstLineChars="200"/>
              <w:jc w:val="left"/>
              <w:rPr>
                <w:rFonts w:hint="eastAsia" w:ascii="宋体" w:hAnsi="宋体"/>
                <w:color w:val="auto"/>
                <w:kern w:val="0"/>
                <w:highlight w:val="none"/>
              </w:rPr>
            </w:pPr>
            <w:r>
              <w:rPr>
                <w:rFonts w:hint="eastAsia" w:ascii="宋体" w:hAnsi="宋体"/>
                <w:color w:val="auto"/>
                <w:kern w:val="0"/>
                <w:highlight w:val="none"/>
              </w:rPr>
              <w:t>取报价排序前□5□6□7名（若实际投标人数量小于勾选数量，</w:t>
            </w:r>
            <w:r>
              <w:rPr>
                <w:rFonts w:hint="eastAsia" w:ascii="宋体" w:hAnsi="宋体"/>
                <w:color w:val="auto"/>
                <w:spacing w:val="4"/>
                <w:kern w:val="0"/>
                <w:szCs w:val="21"/>
                <w:highlight w:val="none"/>
              </w:rPr>
              <w:t>则全部纳入）进行符合性审查。符合性审查内容：□技术方案评审、资格评审、形式评审、响应性评审、投标函部分及经济部分评审。符合性审查</w:t>
            </w:r>
            <w:r>
              <w:rPr>
                <w:rFonts w:hint="eastAsia" w:ascii="宋体" w:hAnsi="宋体"/>
                <w:color w:val="auto"/>
                <w:kern w:val="0"/>
                <w:highlight w:val="none"/>
              </w:rPr>
              <w:t>合格的投标人中，报价最低的成为第一中标候选人，报价次低的成为第二中标候选人，依次类推。</w:t>
            </w:r>
          </w:p>
          <w:p w14:paraId="05C8FB87">
            <w:pPr>
              <w:spacing w:line="400" w:lineRule="exact"/>
              <w:ind w:firstLine="420" w:firstLineChars="200"/>
              <w:jc w:val="left"/>
              <w:rPr>
                <w:rFonts w:hint="eastAsia" w:ascii="宋体" w:hAnsi="宋体"/>
                <w:color w:val="auto"/>
                <w:kern w:val="0"/>
                <w:highlight w:val="none"/>
              </w:rPr>
            </w:pPr>
            <w:r>
              <w:rPr>
                <w:rFonts w:hint="eastAsia" w:ascii="宋体" w:hAnsi="宋体"/>
                <w:i/>
                <w:color w:val="auto"/>
                <w:kern w:val="0"/>
                <w:highlight w:val="none"/>
              </w:rPr>
              <w:t>[提示：勾选技术方案评审的，符合性审查应首先进行技术方案评审，再按照资格、形式、响应性、投标函部分及经济部分的顺序进行评审。]</w:t>
            </w:r>
          </w:p>
        </w:tc>
      </w:tr>
      <w:tr w14:paraId="6324CD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restart"/>
            <w:tcBorders>
              <w:right w:val="single" w:color="auto" w:sz="4" w:space="0"/>
            </w:tcBorders>
            <w:noWrap w:val="0"/>
            <w:vAlign w:val="center"/>
          </w:tcPr>
          <w:p w14:paraId="4A3990EF">
            <w:pPr>
              <w:spacing w:line="400" w:lineRule="exact"/>
              <w:jc w:val="center"/>
              <w:rPr>
                <w:rFonts w:ascii="宋体" w:hAnsi="宋体"/>
                <w:color w:val="auto"/>
                <w:kern w:val="0"/>
                <w:highlight w:val="none"/>
              </w:rPr>
            </w:pPr>
            <w:r>
              <w:rPr>
                <w:rFonts w:hint="eastAsia" w:ascii="宋体" w:hAnsi="宋体" w:cs="宋体"/>
                <w:color w:val="auto"/>
                <w:szCs w:val="21"/>
                <w:highlight w:val="none"/>
              </w:rPr>
              <w:t>□</w:t>
            </w:r>
            <w:r>
              <w:rPr>
                <w:rFonts w:hint="eastAsia" w:ascii="宋体" w:hAnsi="宋体"/>
                <w:color w:val="auto"/>
                <w:kern w:val="0"/>
                <w:highlight w:val="none"/>
              </w:rPr>
              <w:t>2.2.1</w:t>
            </w:r>
          </w:p>
        </w:tc>
        <w:tc>
          <w:tcPr>
            <w:tcW w:w="1560" w:type="dxa"/>
            <w:vMerge w:val="restart"/>
            <w:tcBorders>
              <w:left w:val="single" w:color="auto" w:sz="4" w:space="0"/>
              <w:right w:val="single" w:color="auto" w:sz="4" w:space="0"/>
            </w:tcBorders>
            <w:noWrap w:val="0"/>
            <w:vAlign w:val="center"/>
          </w:tcPr>
          <w:p w14:paraId="02984CC4">
            <w:pPr>
              <w:spacing w:line="400" w:lineRule="exact"/>
              <w:jc w:val="center"/>
              <w:rPr>
                <w:rFonts w:ascii="宋体" w:hAnsi="宋体"/>
                <w:color w:val="auto"/>
                <w:kern w:val="0"/>
                <w:highlight w:val="none"/>
              </w:rPr>
            </w:pPr>
            <w:r>
              <w:rPr>
                <w:rFonts w:ascii="宋体" w:hAnsi="宋体"/>
                <w:color w:val="auto"/>
                <w:kern w:val="0"/>
                <w:highlight w:val="none"/>
              </w:rPr>
              <w:t>技术</w:t>
            </w:r>
            <w:r>
              <w:rPr>
                <w:rFonts w:hint="eastAsia" w:ascii="宋体" w:hAnsi="宋体"/>
                <w:color w:val="auto"/>
                <w:kern w:val="0"/>
                <w:highlight w:val="none"/>
              </w:rPr>
              <w:t>方案评审</w:t>
            </w:r>
            <w:r>
              <w:rPr>
                <w:rFonts w:ascii="宋体" w:hAnsi="宋体"/>
                <w:color w:val="auto"/>
                <w:kern w:val="0"/>
                <w:highlight w:val="none"/>
              </w:rPr>
              <w:t>标准</w:t>
            </w:r>
          </w:p>
        </w:tc>
        <w:tc>
          <w:tcPr>
            <w:tcW w:w="2267" w:type="dxa"/>
            <w:tcBorders>
              <w:left w:val="single" w:color="auto" w:sz="4" w:space="0"/>
              <w:bottom w:val="single" w:color="auto" w:sz="4" w:space="0"/>
              <w:right w:val="single" w:color="auto" w:sz="4" w:space="0"/>
            </w:tcBorders>
            <w:noWrap w:val="0"/>
            <w:vAlign w:val="center"/>
          </w:tcPr>
          <w:p w14:paraId="4D913953">
            <w:pPr>
              <w:snapToGrid w:val="0"/>
              <w:spacing w:line="400" w:lineRule="exact"/>
              <w:jc w:val="center"/>
              <w:rPr>
                <w:rFonts w:hint="eastAsia" w:ascii="宋体" w:hAnsi="宋体" w:cs="宋体"/>
                <w:color w:val="auto"/>
                <w:kern w:val="0"/>
                <w:highlight w:val="none"/>
              </w:rPr>
            </w:pPr>
            <w:r>
              <w:rPr>
                <w:rFonts w:hint="eastAsia"/>
                <w:color w:val="auto"/>
                <w:highlight w:val="none"/>
              </w:rPr>
              <w:t>□</w:t>
            </w:r>
            <w:r>
              <w:rPr>
                <w:rFonts w:hint="eastAsia" w:ascii="宋体" w:hAnsi="宋体" w:cs="宋体"/>
                <w:color w:val="auto"/>
                <w:kern w:val="0"/>
                <w:highlight w:val="none"/>
              </w:rPr>
              <w:t>技术方案形式要求</w:t>
            </w:r>
          </w:p>
          <w:p w14:paraId="3F850486">
            <w:pPr>
              <w:snapToGrid w:val="0"/>
              <w:spacing w:line="400" w:lineRule="exact"/>
              <w:jc w:val="center"/>
              <w:rPr>
                <w:rFonts w:ascii="宋体" w:hAnsi="宋体" w:cs="宋体"/>
                <w:color w:val="auto"/>
                <w:kern w:val="0"/>
                <w:highlight w:val="none"/>
              </w:rPr>
            </w:pPr>
            <w:r>
              <w:rPr>
                <w:rFonts w:hint="eastAsia"/>
                <w:i/>
                <w:iCs/>
                <w:color w:val="auto"/>
                <w:highlight w:val="none"/>
              </w:rPr>
              <w:t>[提示：技术方案采用暗标评审时适用，</w:t>
            </w:r>
            <w:r>
              <w:rPr>
                <w:rFonts w:hint="eastAsia"/>
                <w:i/>
                <w:color w:val="auto"/>
                <w:highlight w:val="none"/>
              </w:rPr>
              <w:t>重庆市电子招投标系统应实现</w:t>
            </w:r>
            <w:r>
              <w:rPr>
                <w:rFonts w:hint="eastAsia"/>
                <w:i/>
                <w:iCs/>
                <w:color w:val="auto"/>
                <w:highlight w:val="none"/>
              </w:rPr>
              <w:t>同步关联功能。]</w:t>
            </w:r>
          </w:p>
        </w:tc>
        <w:tc>
          <w:tcPr>
            <w:tcW w:w="4615" w:type="dxa"/>
            <w:tcBorders>
              <w:left w:val="single" w:color="auto" w:sz="4" w:space="0"/>
              <w:bottom w:val="single" w:color="auto" w:sz="4" w:space="0"/>
            </w:tcBorders>
            <w:noWrap w:val="0"/>
            <w:vAlign w:val="center"/>
          </w:tcPr>
          <w:p w14:paraId="0791D255">
            <w:pPr>
              <w:snapToGrid w:val="0"/>
              <w:spacing w:after="31" w:afterLines="10" w:line="400" w:lineRule="exact"/>
              <w:ind w:firstLine="420" w:firstLineChars="200"/>
              <w:jc w:val="left"/>
              <w:rPr>
                <w:rFonts w:ascii="宋体" w:hAnsi="宋体" w:cs="宋体"/>
                <w:color w:val="auto"/>
                <w:kern w:val="0"/>
                <w:highlight w:val="none"/>
              </w:rPr>
            </w:pPr>
            <w:r>
              <w:rPr>
                <w:rFonts w:hint="eastAsia" w:ascii="宋体" w:hAnsi="宋体" w:cs="宋体"/>
                <w:color w:val="auto"/>
                <w:kern w:val="0"/>
                <w:highlight w:val="none"/>
              </w:rPr>
              <w:t>是否符合第二章投标人须知前附表第3.7.5项要求：</w:t>
            </w:r>
            <w:r>
              <w:rPr>
                <w:rFonts w:hint="eastAsia" w:ascii="宋体" w:hAnsi="宋体" w:cs="宋体"/>
                <w:color w:val="auto"/>
                <w:kern w:val="0"/>
                <w:highlight w:val="none"/>
                <w:u w:val="none"/>
              </w:rPr>
              <w:t>符合/不符合</w:t>
            </w:r>
          </w:p>
        </w:tc>
      </w:tr>
      <w:tr w14:paraId="0EF72D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noWrap w:val="0"/>
            <w:vAlign w:val="center"/>
          </w:tcPr>
          <w:p w14:paraId="23C2BA0B">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27643A6B">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noWrap w:val="0"/>
            <w:vAlign w:val="top"/>
          </w:tcPr>
          <w:p w14:paraId="08EB976A">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对工程施工重点、技术关键点的理解和认识</w:t>
            </w:r>
          </w:p>
        </w:tc>
        <w:tc>
          <w:tcPr>
            <w:tcW w:w="4615" w:type="dxa"/>
            <w:vMerge w:val="restart"/>
            <w:tcBorders>
              <w:left w:val="single" w:color="auto" w:sz="4" w:space="0"/>
            </w:tcBorders>
            <w:noWrap w:val="0"/>
            <w:vAlign w:val="center"/>
          </w:tcPr>
          <w:p w14:paraId="6D2C08E2">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评标委员会对投标人递交的技术方案进行综合性评审，综合评判是否满足本工程需求：</w:t>
            </w:r>
            <w:r>
              <w:rPr>
                <w:rFonts w:hint="eastAsia" w:ascii="宋体" w:hAnsi="宋体" w:cs="宋体"/>
                <w:color w:val="auto"/>
                <w:kern w:val="0"/>
                <w:highlight w:val="none"/>
                <w:u w:val="none"/>
              </w:rPr>
              <w:t>满足/不满足</w:t>
            </w:r>
          </w:p>
        </w:tc>
      </w:tr>
      <w:tr w14:paraId="322FB3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noWrap w:val="0"/>
            <w:vAlign w:val="center"/>
          </w:tcPr>
          <w:p w14:paraId="57C5115B">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38624579">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noWrap w:val="0"/>
            <w:vAlign w:val="top"/>
          </w:tcPr>
          <w:p w14:paraId="27B39CC1">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施工方案与技术措施</w:t>
            </w:r>
          </w:p>
        </w:tc>
        <w:tc>
          <w:tcPr>
            <w:tcW w:w="4615" w:type="dxa"/>
            <w:vMerge w:val="continue"/>
            <w:tcBorders>
              <w:left w:val="single" w:color="auto" w:sz="4" w:space="0"/>
            </w:tcBorders>
            <w:noWrap w:val="0"/>
            <w:vAlign w:val="center"/>
          </w:tcPr>
          <w:p w14:paraId="5475628E">
            <w:pPr>
              <w:snapToGrid w:val="0"/>
              <w:spacing w:after="31" w:afterLines="10" w:line="400" w:lineRule="exact"/>
              <w:ind w:firstLine="420" w:firstLineChars="200"/>
              <w:rPr>
                <w:rFonts w:ascii="宋体" w:hAnsi="宋体" w:cs="宋体"/>
                <w:color w:val="auto"/>
                <w:kern w:val="0"/>
                <w:highlight w:val="none"/>
              </w:rPr>
            </w:pPr>
          </w:p>
        </w:tc>
      </w:tr>
      <w:tr w14:paraId="6EC994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noWrap w:val="0"/>
            <w:vAlign w:val="center"/>
          </w:tcPr>
          <w:p w14:paraId="7BAF75D8">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298CAB3C">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noWrap w:val="0"/>
            <w:vAlign w:val="top"/>
          </w:tcPr>
          <w:p w14:paraId="4C332682">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质量管理体系与措施</w:t>
            </w:r>
          </w:p>
        </w:tc>
        <w:tc>
          <w:tcPr>
            <w:tcW w:w="4615" w:type="dxa"/>
            <w:vMerge w:val="continue"/>
            <w:tcBorders>
              <w:left w:val="single" w:color="auto" w:sz="4" w:space="0"/>
            </w:tcBorders>
            <w:noWrap w:val="0"/>
            <w:vAlign w:val="center"/>
          </w:tcPr>
          <w:p w14:paraId="282D5D1B">
            <w:pPr>
              <w:snapToGrid w:val="0"/>
              <w:spacing w:after="31" w:afterLines="10" w:line="400" w:lineRule="exact"/>
              <w:ind w:firstLine="420" w:firstLineChars="200"/>
              <w:rPr>
                <w:rFonts w:ascii="宋体" w:hAnsi="宋体" w:cs="宋体"/>
                <w:color w:val="auto"/>
                <w:kern w:val="0"/>
                <w:highlight w:val="none"/>
              </w:rPr>
            </w:pPr>
          </w:p>
        </w:tc>
      </w:tr>
      <w:tr w14:paraId="3D7BC9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noWrap w:val="0"/>
            <w:vAlign w:val="center"/>
          </w:tcPr>
          <w:p w14:paraId="0DC51913">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74739C01">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noWrap w:val="0"/>
            <w:vAlign w:val="top"/>
          </w:tcPr>
          <w:p w14:paraId="7AA529A8">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安全管理体系与措施</w:t>
            </w:r>
          </w:p>
        </w:tc>
        <w:tc>
          <w:tcPr>
            <w:tcW w:w="4615" w:type="dxa"/>
            <w:vMerge w:val="continue"/>
            <w:tcBorders>
              <w:left w:val="single" w:color="auto" w:sz="4" w:space="0"/>
            </w:tcBorders>
            <w:noWrap w:val="0"/>
            <w:vAlign w:val="center"/>
          </w:tcPr>
          <w:p w14:paraId="53EA088C">
            <w:pPr>
              <w:snapToGrid w:val="0"/>
              <w:spacing w:after="31" w:afterLines="10" w:line="400" w:lineRule="exact"/>
              <w:ind w:firstLine="420" w:firstLineChars="200"/>
              <w:rPr>
                <w:rFonts w:ascii="宋体" w:hAnsi="宋体" w:cs="宋体"/>
                <w:color w:val="auto"/>
                <w:kern w:val="0"/>
                <w:highlight w:val="none"/>
              </w:rPr>
            </w:pPr>
          </w:p>
        </w:tc>
      </w:tr>
      <w:tr w14:paraId="0466D6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noWrap w:val="0"/>
            <w:vAlign w:val="center"/>
          </w:tcPr>
          <w:p w14:paraId="22E0CCC0">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6EBCEB7A">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noWrap w:val="0"/>
            <w:vAlign w:val="top"/>
          </w:tcPr>
          <w:p w14:paraId="190ECB26">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环境保护管理体系措施</w:t>
            </w:r>
          </w:p>
        </w:tc>
        <w:tc>
          <w:tcPr>
            <w:tcW w:w="4615" w:type="dxa"/>
            <w:vMerge w:val="continue"/>
            <w:tcBorders>
              <w:left w:val="single" w:color="auto" w:sz="4" w:space="0"/>
            </w:tcBorders>
            <w:noWrap w:val="0"/>
            <w:vAlign w:val="center"/>
          </w:tcPr>
          <w:p w14:paraId="1C6C5542">
            <w:pPr>
              <w:snapToGrid w:val="0"/>
              <w:spacing w:after="31" w:afterLines="10" w:line="400" w:lineRule="exact"/>
              <w:ind w:firstLine="420" w:firstLineChars="200"/>
              <w:rPr>
                <w:rFonts w:ascii="宋体" w:hAnsi="宋体" w:cs="宋体"/>
                <w:color w:val="auto"/>
                <w:kern w:val="0"/>
                <w:highlight w:val="none"/>
              </w:rPr>
            </w:pPr>
          </w:p>
        </w:tc>
      </w:tr>
      <w:tr w14:paraId="4CFD68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noWrap w:val="0"/>
            <w:vAlign w:val="center"/>
          </w:tcPr>
          <w:p w14:paraId="43FF2FD9">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2DDA3215">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noWrap w:val="0"/>
            <w:vAlign w:val="top"/>
          </w:tcPr>
          <w:p w14:paraId="50D48A57">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工程进度计划与措施</w:t>
            </w:r>
          </w:p>
        </w:tc>
        <w:tc>
          <w:tcPr>
            <w:tcW w:w="4615" w:type="dxa"/>
            <w:vMerge w:val="continue"/>
            <w:tcBorders>
              <w:left w:val="single" w:color="auto" w:sz="4" w:space="0"/>
            </w:tcBorders>
            <w:noWrap w:val="0"/>
            <w:vAlign w:val="center"/>
          </w:tcPr>
          <w:p w14:paraId="3D46E6DD">
            <w:pPr>
              <w:snapToGrid w:val="0"/>
              <w:spacing w:after="31" w:afterLines="10" w:line="400" w:lineRule="exact"/>
              <w:ind w:firstLine="420" w:firstLineChars="200"/>
              <w:rPr>
                <w:rFonts w:ascii="宋体" w:hAnsi="宋体" w:cs="宋体"/>
                <w:color w:val="auto"/>
                <w:kern w:val="0"/>
                <w:highlight w:val="none"/>
              </w:rPr>
            </w:pPr>
          </w:p>
        </w:tc>
      </w:tr>
      <w:tr w14:paraId="2DF269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noWrap w:val="0"/>
            <w:vAlign w:val="center"/>
          </w:tcPr>
          <w:p w14:paraId="7A4B33D3">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6555CA69">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noWrap w:val="0"/>
            <w:vAlign w:val="top"/>
          </w:tcPr>
          <w:p w14:paraId="42AF2352">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资源配备计划</w:t>
            </w:r>
          </w:p>
        </w:tc>
        <w:tc>
          <w:tcPr>
            <w:tcW w:w="4615" w:type="dxa"/>
            <w:vMerge w:val="continue"/>
            <w:tcBorders>
              <w:left w:val="single" w:color="auto" w:sz="4" w:space="0"/>
            </w:tcBorders>
            <w:noWrap w:val="0"/>
            <w:vAlign w:val="center"/>
          </w:tcPr>
          <w:p w14:paraId="3624D5BF">
            <w:pPr>
              <w:snapToGrid w:val="0"/>
              <w:spacing w:after="31" w:afterLines="10" w:line="400" w:lineRule="exact"/>
              <w:ind w:firstLine="420" w:firstLineChars="200"/>
              <w:rPr>
                <w:rFonts w:ascii="宋体" w:hAnsi="宋体" w:cs="宋体"/>
                <w:color w:val="auto"/>
                <w:kern w:val="0"/>
                <w:highlight w:val="none"/>
              </w:rPr>
            </w:pPr>
          </w:p>
        </w:tc>
      </w:tr>
      <w:tr w14:paraId="0CF25C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noWrap w:val="0"/>
            <w:vAlign w:val="center"/>
          </w:tcPr>
          <w:p w14:paraId="07C78D34">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0ABB45F4">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noWrap w:val="0"/>
            <w:vAlign w:val="top"/>
          </w:tcPr>
          <w:p w14:paraId="31D55DCF">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□危大工程清单安全管理措施</w:t>
            </w:r>
          </w:p>
        </w:tc>
        <w:tc>
          <w:tcPr>
            <w:tcW w:w="4615" w:type="dxa"/>
            <w:vMerge w:val="continue"/>
            <w:tcBorders>
              <w:left w:val="single" w:color="auto" w:sz="4" w:space="0"/>
            </w:tcBorders>
            <w:noWrap w:val="0"/>
            <w:vAlign w:val="center"/>
          </w:tcPr>
          <w:p w14:paraId="58CD2DF5">
            <w:pPr>
              <w:snapToGrid w:val="0"/>
              <w:spacing w:after="31" w:afterLines="10" w:line="400" w:lineRule="exact"/>
              <w:ind w:firstLine="420" w:firstLineChars="200"/>
              <w:rPr>
                <w:rFonts w:ascii="宋体" w:hAnsi="宋体" w:cs="宋体"/>
                <w:color w:val="auto"/>
                <w:kern w:val="0"/>
                <w:highlight w:val="none"/>
              </w:rPr>
            </w:pPr>
          </w:p>
        </w:tc>
      </w:tr>
      <w:tr w14:paraId="4CC002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noWrap w:val="0"/>
            <w:vAlign w:val="center"/>
          </w:tcPr>
          <w:p w14:paraId="15BA5BE6">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516FE853">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noWrap w:val="0"/>
            <w:vAlign w:val="top"/>
          </w:tcPr>
          <w:p w14:paraId="1BA40291">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□BIM、智慧工地建设管理方案及措施</w:t>
            </w:r>
          </w:p>
        </w:tc>
        <w:tc>
          <w:tcPr>
            <w:tcW w:w="4615" w:type="dxa"/>
            <w:vMerge w:val="continue"/>
            <w:tcBorders>
              <w:left w:val="single" w:color="auto" w:sz="4" w:space="0"/>
            </w:tcBorders>
            <w:noWrap w:val="0"/>
            <w:vAlign w:val="center"/>
          </w:tcPr>
          <w:p w14:paraId="1229FF6F">
            <w:pPr>
              <w:snapToGrid w:val="0"/>
              <w:spacing w:after="31" w:afterLines="10" w:line="400" w:lineRule="exact"/>
              <w:ind w:firstLine="420" w:firstLineChars="200"/>
              <w:rPr>
                <w:rFonts w:ascii="宋体" w:hAnsi="宋体" w:cs="宋体"/>
                <w:color w:val="auto"/>
                <w:kern w:val="0"/>
                <w:highlight w:val="none"/>
              </w:rPr>
            </w:pPr>
          </w:p>
        </w:tc>
      </w:tr>
      <w:tr w14:paraId="059324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noWrap w:val="0"/>
            <w:vAlign w:val="center"/>
          </w:tcPr>
          <w:p w14:paraId="5E66E8A2">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7B362D5F">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noWrap w:val="0"/>
            <w:vAlign w:val="top"/>
          </w:tcPr>
          <w:p w14:paraId="7C5EEAF0">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w:t>
            </w:r>
            <w:r>
              <w:rPr>
                <w:rFonts w:ascii="宋体" w:hAnsi="宋体" w:cs="宋体"/>
                <w:color w:val="auto"/>
                <w:kern w:val="0"/>
                <w:highlight w:val="none"/>
              </w:rPr>
              <w:t>……</w:t>
            </w:r>
          </w:p>
        </w:tc>
        <w:tc>
          <w:tcPr>
            <w:tcW w:w="4615" w:type="dxa"/>
            <w:vMerge w:val="continue"/>
            <w:tcBorders>
              <w:left w:val="single" w:color="auto" w:sz="4" w:space="0"/>
            </w:tcBorders>
            <w:noWrap w:val="0"/>
            <w:vAlign w:val="center"/>
          </w:tcPr>
          <w:p w14:paraId="1927F607">
            <w:pPr>
              <w:snapToGrid w:val="0"/>
              <w:spacing w:after="31" w:afterLines="10" w:line="400" w:lineRule="exact"/>
              <w:ind w:firstLine="420" w:firstLineChars="200"/>
              <w:rPr>
                <w:rFonts w:ascii="宋体" w:hAnsi="宋体" w:cs="宋体"/>
                <w:color w:val="auto"/>
                <w:kern w:val="0"/>
                <w:highlight w:val="none"/>
              </w:rPr>
            </w:pPr>
          </w:p>
        </w:tc>
      </w:tr>
      <w:tr w14:paraId="41E6CD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restart"/>
            <w:tcBorders>
              <w:right w:val="single" w:color="auto" w:sz="4" w:space="0"/>
            </w:tcBorders>
            <w:noWrap w:val="0"/>
            <w:vAlign w:val="center"/>
          </w:tcPr>
          <w:p w14:paraId="2786AA19">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2.2.2</w:t>
            </w:r>
          </w:p>
        </w:tc>
        <w:tc>
          <w:tcPr>
            <w:tcW w:w="1560" w:type="dxa"/>
            <w:vMerge w:val="restart"/>
            <w:tcBorders>
              <w:left w:val="single" w:color="auto" w:sz="4" w:space="0"/>
              <w:right w:val="single" w:color="auto" w:sz="4" w:space="0"/>
            </w:tcBorders>
            <w:noWrap w:val="0"/>
            <w:vAlign w:val="center"/>
          </w:tcPr>
          <w:p w14:paraId="2BE7FCF2">
            <w:pPr>
              <w:spacing w:line="400" w:lineRule="exact"/>
              <w:jc w:val="center"/>
              <w:rPr>
                <w:rFonts w:ascii="宋体" w:hAnsi="宋体"/>
                <w:color w:val="auto"/>
                <w:kern w:val="0"/>
                <w:highlight w:val="none"/>
              </w:rPr>
            </w:pPr>
            <w:r>
              <w:rPr>
                <w:rFonts w:hint="eastAsia" w:ascii="宋体" w:hAnsi="宋体"/>
                <w:color w:val="auto"/>
                <w:kern w:val="0"/>
                <w:highlight w:val="none"/>
              </w:rPr>
              <w:t>资格评审标准</w:t>
            </w:r>
          </w:p>
        </w:tc>
        <w:tc>
          <w:tcPr>
            <w:tcW w:w="2267" w:type="dxa"/>
            <w:tcBorders>
              <w:top w:val="single" w:color="auto" w:sz="4" w:space="0"/>
              <w:left w:val="single" w:color="auto" w:sz="4" w:space="0"/>
              <w:right w:val="single" w:color="auto" w:sz="4" w:space="0"/>
            </w:tcBorders>
            <w:noWrap w:val="0"/>
            <w:vAlign w:val="center"/>
          </w:tcPr>
          <w:p w14:paraId="75AD9E2D">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资质条件</w:t>
            </w:r>
          </w:p>
        </w:tc>
        <w:tc>
          <w:tcPr>
            <w:tcW w:w="4615" w:type="dxa"/>
            <w:tcBorders>
              <w:top w:val="single" w:color="auto" w:sz="4" w:space="0"/>
              <w:left w:val="single" w:color="auto" w:sz="4" w:space="0"/>
            </w:tcBorders>
            <w:noWrap w:val="0"/>
            <w:vAlign w:val="center"/>
          </w:tcPr>
          <w:p w14:paraId="3EA25818">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65CB0C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noWrap w:val="0"/>
            <w:vAlign w:val="center"/>
          </w:tcPr>
          <w:p w14:paraId="29601DAD">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410FF1D4">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noWrap w:val="0"/>
            <w:vAlign w:val="center"/>
          </w:tcPr>
          <w:p w14:paraId="0436B8A4">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营业执照</w:t>
            </w:r>
          </w:p>
        </w:tc>
        <w:tc>
          <w:tcPr>
            <w:tcW w:w="4615" w:type="dxa"/>
            <w:tcBorders>
              <w:top w:val="single" w:color="auto" w:sz="4" w:space="0"/>
              <w:left w:val="single" w:color="auto" w:sz="4" w:space="0"/>
            </w:tcBorders>
            <w:noWrap w:val="0"/>
            <w:vAlign w:val="center"/>
          </w:tcPr>
          <w:p w14:paraId="0ACFF664">
            <w:pPr>
              <w:snapToGrid w:val="0"/>
              <w:spacing w:after="78" w:afterLines="25"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5338E6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noWrap w:val="0"/>
            <w:vAlign w:val="center"/>
          </w:tcPr>
          <w:p w14:paraId="624EDB63">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6719E5A0">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noWrap w:val="0"/>
            <w:vAlign w:val="center"/>
          </w:tcPr>
          <w:p w14:paraId="23A35EE6">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安全生产条件</w:t>
            </w:r>
          </w:p>
        </w:tc>
        <w:tc>
          <w:tcPr>
            <w:tcW w:w="4615" w:type="dxa"/>
            <w:tcBorders>
              <w:top w:val="single" w:color="auto" w:sz="4" w:space="0"/>
              <w:left w:val="single" w:color="auto" w:sz="4" w:space="0"/>
            </w:tcBorders>
            <w:noWrap w:val="0"/>
            <w:vAlign w:val="center"/>
          </w:tcPr>
          <w:p w14:paraId="5A9FD48C">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4083B8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noWrap w:val="0"/>
            <w:vAlign w:val="center"/>
          </w:tcPr>
          <w:p w14:paraId="16C47280">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42BCA46E">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noWrap w:val="0"/>
            <w:vAlign w:val="center"/>
          </w:tcPr>
          <w:p w14:paraId="4B02A3C2">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□财务要求</w:t>
            </w:r>
          </w:p>
        </w:tc>
        <w:tc>
          <w:tcPr>
            <w:tcW w:w="4615" w:type="dxa"/>
            <w:tcBorders>
              <w:top w:val="single" w:color="auto" w:sz="4" w:space="0"/>
              <w:left w:val="single" w:color="auto" w:sz="4" w:space="0"/>
            </w:tcBorders>
            <w:noWrap w:val="0"/>
            <w:vAlign w:val="center"/>
          </w:tcPr>
          <w:p w14:paraId="69526B21">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0C059F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noWrap w:val="0"/>
            <w:vAlign w:val="center"/>
          </w:tcPr>
          <w:p w14:paraId="6C7FFE27">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63A9FC79">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noWrap w:val="0"/>
            <w:vAlign w:val="center"/>
          </w:tcPr>
          <w:p w14:paraId="46E1E498">
            <w:pPr>
              <w:snapToGrid w:val="0"/>
              <w:spacing w:after="78" w:afterLines="25" w:line="400" w:lineRule="exact"/>
              <w:jc w:val="left"/>
              <w:rPr>
                <w:rFonts w:ascii="宋体" w:hAnsi="宋体" w:cs="宋体"/>
                <w:color w:val="auto"/>
                <w:kern w:val="0"/>
                <w:highlight w:val="none"/>
              </w:rPr>
            </w:pPr>
            <w:r>
              <w:rPr>
                <w:rFonts w:hint="eastAsia" w:ascii="宋体" w:hAnsi="宋体" w:cs="宋体"/>
                <w:color w:val="auto"/>
                <w:kern w:val="0"/>
                <w:highlight w:val="none"/>
              </w:rPr>
              <w:t>□业绩要求</w:t>
            </w:r>
          </w:p>
        </w:tc>
        <w:tc>
          <w:tcPr>
            <w:tcW w:w="4615" w:type="dxa"/>
            <w:tcBorders>
              <w:top w:val="single" w:color="auto" w:sz="4" w:space="0"/>
              <w:left w:val="single" w:color="auto" w:sz="4" w:space="0"/>
            </w:tcBorders>
            <w:noWrap w:val="0"/>
            <w:vAlign w:val="center"/>
          </w:tcPr>
          <w:p w14:paraId="5A205ED7">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747C90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noWrap w:val="0"/>
            <w:vAlign w:val="center"/>
          </w:tcPr>
          <w:p w14:paraId="12ACE3F8">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380352DC">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noWrap w:val="0"/>
            <w:vAlign w:val="center"/>
          </w:tcPr>
          <w:p w14:paraId="5746BCFA">
            <w:pPr>
              <w:snapToGrid w:val="0"/>
              <w:spacing w:after="78" w:afterLines="25" w:line="400" w:lineRule="exact"/>
              <w:jc w:val="left"/>
              <w:rPr>
                <w:rFonts w:ascii="宋体" w:hAnsi="宋体" w:cs="宋体"/>
                <w:color w:val="auto"/>
                <w:kern w:val="0"/>
                <w:highlight w:val="none"/>
              </w:rPr>
            </w:pPr>
            <w:r>
              <w:rPr>
                <w:rFonts w:hint="eastAsia" w:ascii="宋体" w:hAnsi="宋体" w:cs="宋体"/>
                <w:color w:val="auto"/>
                <w:szCs w:val="21"/>
                <w:highlight w:val="none"/>
              </w:rPr>
              <w:t>投标截止日投标资格情况</w:t>
            </w:r>
          </w:p>
        </w:tc>
        <w:tc>
          <w:tcPr>
            <w:tcW w:w="4615" w:type="dxa"/>
            <w:tcBorders>
              <w:top w:val="single" w:color="auto" w:sz="4" w:space="0"/>
              <w:left w:val="single" w:color="auto" w:sz="4" w:space="0"/>
            </w:tcBorders>
            <w:noWrap w:val="0"/>
            <w:vAlign w:val="center"/>
          </w:tcPr>
          <w:p w14:paraId="05300A44">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48A45B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noWrap w:val="0"/>
            <w:vAlign w:val="center"/>
          </w:tcPr>
          <w:p w14:paraId="3621E1F1">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120C10BA">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noWrap w:val="0"/>
            <w:vAlign w:val="center"/>
          </w:tcPr>
          <w:p w14:paraId="6744E47E">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项目经理资格要求</w:t>
            </w:r>
          </w:p>
        </w:tc>
        <w:tc>
          <w:tcPr>
            <w:tcW w:w="4615" w:type="dxa"/>
            <w:tcBorders>
              <w:top w:val="single" w:color="auto" w:sz="4" w:space="0"/>
              <w:left w:val="single" w:color="auto" w:sz="4" w:space="0"/>
            </w:tcBorders>
            <w:noWrap w:val="0"/>
            <w:vAlign w:val="center"/>
          </w:tcPr>
          <w:p w14:paraId="264A1CAF">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0BF85C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noWrap w:val="0"/>
            <w:vAlign w:val="center"/>
          </w:tcPr>
          <w:p w14:paraId="04599F6B">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0412F763">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noWrap w:val="0"/>
            <w:vAlign w:val="center"/>
          </w:tcPr>
          <w:p w14:paraId="1A1D5ED6">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其他要求</w:t>
            </w:r>
          </w:p>
        </w:tc>
        <w:tc>
          <w:tcPr>
            <w:tcW w:w="4615" w:type="dxa"/>
            <w:tcBorders>
              <w:top w:val="single" w:color="auto" w:sz="4" w:space="0"/>
              <w:left w:val="single" w:color="auto" w:sz="4" w:space="0"/>
            </w:tcBorders>
            <w:noWrap w:val="0"/>
            <w:vAlign w:val="center"/>
          </w:tcPr>
          <w:p w14:paraId="4089B19A">
            <w:pPr>
              <w:snapToGrid w:val="0"/>
              <w:spacing w:line="400" w:lineRule="exact"/>
              <w:ind w:firstLine="420" w:firstLineChars="200"/>
              <w:rPr>
                <w:rFonts w:ascii="宋体" w:hAnsi="宋体" w:cs="宋体"/>
                <w:color w:val="auto"/>
                <w:kern w:val="0"/>
                <w:highlight w:val="none"/>
                <w:u w:val="single"/>
              </w:rPr>
            </w:pPr>
            <w:r>
              <w:rPr>
                <w:rFonts w:hint="eastAsia" w:ascii="宋体" w:hAnsi="宋体" w:cs="宋体"/>
                <w:color w:val="auto"/>
                <w:kern w:val="0"/>
                <w:highlight w:val="none"/>
              </w:rPr>
              <w:t>符合第二章“投标人须知”第1.4.1项规定</w:t>
            </w:r>
          </w:p>
        </w:tc>
      </w:tr>
      <w:tr w14:paraId="7A61BD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noWrap w:val="0"/>
            <w:vAlign w:val="center"/>
          </w:tcPr>
          <w:p w14:paraId="3BB7F237">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328ED535">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noWrap w:val="0"/>
            <w:vAlign w:val="center"/>
          </w:tcPr>
          <w:p w14:paraId="208E2A93">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□联合体投标人</w:t>
            </w:r>
          </w:p>
        </w:tc>
        <w:tc>
          <w:tcPr>
            <w:tcW w:w="4615" w:type="dxa"/>
            <w:tcBorders>
              <w:top w:val="single" w:color="auto" w:sz="4" w:space="0"/>
              <w:left w:val="single" w:color="auto" w:sz="4" w:space="0"/>
            </w:tcBorders>
            <w:noWrap w:val="0"/>
            <w:vAlign w:val="center"/>
          </w:tcPr>
          <w:p w14:paraId="6421711A">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符合第二章“投标人须知”第1.4.2项规定</w:t>
            </w:r>
          </w:p>
        </w:tc>
      </w:tr>
      <w:tr w14:paraId="63846D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right w:val="single" w:color="auto" w:sz="4" w:space="0"/>
            </w:tcBorders>
            <w:noWrap w:val="0"/>
            <w:vAlign w:val="center"/>
          </w:tcPr>
          <w:p w14:paraId="2D3D07AA">
            <w:pPr>
              <w:spacing w:line="400" w:lineRule="exact"/>
              <w:jc w:val="center"/>
              <w:rPr>
                <w:rFonts w:ascii="宋体" w:hAnsi="宋体"/>
                <w:color w:val="auto"/>
                <w:kern w:val="0"/>
                <w:highlight w:val="none"/>
              </w:rPr>
            </w:pPr>
            <w:r>
              <w:rPr>
                <w:rFonts w:ascii="宋体" w:hAnsi="宋体"/>
                <w:color w:val="auto"/>
                <w:kern w:val="0"/>
                <w:highlight w:val="none"/>
              </w:rPr>
              <w:t>2.</w:t>
            </w:r>
            <w:r>
              <w:rPr>
                <w:rFonts w:hint="eastAsia" w:ascii="宋体" w:hAnsi="宋体"/>
                <w:color w:val="auto"/>
                <w:kern w:val="0"/>
                <w:highlight w:val="none"/>
              </w:rPr>
              <w:t>2</w:t>
            </w:r>
            <w:r>
              <w:rPr>
                <w:rFonts w:ascii="宋体" w:hAnsi="宋体"/>
                <w:color w:val="auto"/>
                <w:kern w:val="0"/>
                <w:highlight w:val="none"/>
              </w:rPr>
              <w:t>.</w:t>
            </w:r>
            <w:r>
              <w:rPr>
                <w:rFonts w:hint="eastAsia" w:ascii="宋体" w:hAnsi="宋体"/>
                <w:color w:val="auto"/>
                <w:kern w:val="0"/>
                <w:highlight w:val="none"/>
              </w:rPr>
              <w:t>3</w:t>
            </w:r>
          </w:p>
        </w:tc>
        <w:tc>
          <w:tcPr>
            <w:tcW w:w="1560" w:type="dxa"/>
            <w:vMerge w:val="restart"/>
            <w:tcBorders>
              <w:left w:val="single" w:color="auto" w:sz="4" w:space="0"/>
            </w:tcBorders>
            <w:noWrap w:val="0"/>
            <w:vAlign w:val="center"/>
          </w:tcPr>
          <w:p w14:paraId="728F9FE2">
            <w:pPr>
              <w:spacing w:line="400" w:lineRule="exact"/>
              <w:jc w:val="center"/>
              <w:rPr>
                <w:rFonts w:ascii="宋体" w:hAnsi="宋体"/>
                <w:color w:val="auto"/>
                <w:kern w:val="0"/>
                <w:highlight w:val="none"/>
              </w:rPr>
            </w:pPr>
            <w:r>
              <w:rPr>
                <w:rFonts w:hint="eastAsia" w:ascii="宋体" w:hAnsi="宋体"/>
                <w:color w:val="auto"/>
                <w:kern w:val="0"/>
                <w:highlight w:val="none"/>
              </w:rPr>
              <w:t>形式评审标准</w:t>
            </w:r>
          </w:p>
        </w:tc>
        <w:tc>
          <w:tcPr>
            <w:tcW w:w="2267" w:type="dxa"/>
            <w:tcBorders>
              <w:right w:val="single" w:color="auto" w:sz="4" w:space="0"/>
            </w:tcBorders>
            <w:noWrap w:val="0"/>
            <w:vAlign w:val="center"/>
          </w:tcPr>
          <w:p w14:paraId="2A29C2B2">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投标人名称</w:t>
            </w:r>
          </w:p>
        </w:tc>
        <w:tc>
          <w:tcPr>
            <w:tcW w:w="4615" w:type="dxa"/>
            <w:tcBorders>
              <w:left w:val="single" w:color="auto" w:sz="4" w:space="0"/>
            </w:tcBorders>
            <w:noWrap w:val="0"/>
            <w:vAlign w:val="center"/>
          </w:tcPr>
          <w:p w14:paraId="569495EB">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与营业执照、资质证书、安全生产许可证一致，依法变更名称的应提交相应证明材料。</w:t>
            </w:r>
          </w:p>
        </w:tc>
      </w:tr>
      <w:tr w14:paraId="46EF53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37118655">
            <w:pPr>
              <w:spacing w:line="400" w:lineRule="exact"/>
              <w:jc w:val="center"/>
              <w:rPr>
                <w:rFonts w:ascii="宋体" w:hAnsi="宋体"/>
                <w:b/>
                <w:color w:val="auto"/>
                <w:kern w:val="0"/>
                <w:highlight w:val="none"/>
              </w:rPr>
            </w:pPr>
          </w:p>
        </w:tc>
        <w:tc>
          <w:tcPr>
            <w:tcW w:w="1560" w:type="dxa"/>
            <w:vMerge w:val="continue"/>
            <w:tcBorders>
              <w:left w:val="single" w:color="auto" w:sz="4" w:space="0"/>
            </w:tcBorders>
            <w:noWrap w:val="0"/>
            <w:vAlign w:val="center"/>
          </w:tcPr>
          <w:p w14:paraId="01B09AA0">
            <w:pPr>
              <w:spacing w:line="400" w:lineRule="exact"/>
              <w:jc w:val="center"/>
              <w:rPr>
                <w:rFonts w:ascii="宋体" w:hAnsi="宋体"/>
                <w:b/>
                <w:color w:val="auto"/>
                <w:kern w:val="0"/>
                <w:highlight w:val="none"/>
              </w:rPr>
            </w:pPr>
          </w:p>
        </w:tc>
        <w:tc>
          <w:tcPr>
            <w:tcW w:w="2267" w:type="dxa"/>
            <w:tcBorders>
              <w:right w:val="single" w:color="auto" w:sz="4" w:space="0"/>
            </w:tcBorders>
            <w:noWrap w:val="0"/>
            <w:vAlign w:val="center"/>
          </w:tcPr>
          <w:p w14:paraId="0E6D3A24">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投标文件格式</w:t>
            </w:r>
          </w:p>
        </w:tc>
        <w:tc>
          <w:tcPr>
            <w:tcW w:w="4615" w:type="dxa"/>
            <w:tcBorders>
              <w:left w:val="single" w:color="auto" w:sz="4" w:space="0"/>
            </w:tcBorders>
            <w:noWrap w:val="0"/>
            <w:vAlign w:val="center"/>
          </w:tcPr>
          <w:p w14:paraId="4D08B5B6">
            <w:pPr>
              <w:snapToGrid w:val="0"/>
              <w:spacing w:line="400" w:lineRule="exact"/>
              <w:ind w:firstLine="380" w:firstLineChars="181"/>
              <w:rPr>
                <w:rFonts w:ascii="宋体" w:hAnsi="宋体" w:cs="宋体"/>
                <w:color w:val="auto"/>
                <w:kern w:val="0"/>
                <w:highlight w:val="none"/>
              </w:rPr>
            </w:pPr>
            <w:r>
              <w:rPr>
                <w:rFonts w:hint="eastAsia" w:ascii="宋体" w:hAnsi="宋体" w:cs="宋体"/>
                <w:color w:val="auto"/>
                <w:kern w:val="0"/>
                <w:highlight w:val="none"/>
              </w:rPr>
              <w:t>符合第二章“投标人须知”第3.7款的要求（不含投标函部分）。</w:t>
            </w:r>
          </w:p>
        </w:tc>
      </w:tr>
      <w:tr w14:paraId="352845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785CCCD0">
            <w:pPr>
              <w:spacing w:line="400" w:lineRule="exact"/>
              <w:jc w:val="center"/>
              <w:rPr>
                <w:rFonts w:ascii="宋体" w:hAnsi="宋体"/>
                <w:b/>
                <w:color w:val="auto"/>
                <w:kern w:val="0"/>
                <w:highlight w:val="none"/>
              </w:rPr>
            </w:pPr>
          </w:p>
        </w:tc>
        <w:tc>
          <w:tcPr>
            <w:tcW w:w="1560" w:type="dxa"/>
            <w:vMerge w:val="continue"/>
            <w:tcBorders>
              <w:left w:val="single" w:color="auto" w:sz="4" w:space="0"/>
            </w:tcBorders>
            <w:noWrap w:val="0"/>
            <w:vAlign w:val="center"/>
          </w:tcPr>
          <w:p w14:paraId="14570552">
            <w:pPr>
              <w:spacing w:line="400" w:lineRule="exact"/>
              <w:jc w:val="center"/>
              <w:rPr>
                <w:rFonts w:ascii="宋体" w:hAnsi="宋体"/>
                <w:b/>
                <w:color w:val="auto"/>
                <w:kern w:val="0"/>
                <w:highlight w:val="none"/>
              </w:rPr>
            </w:pPr>
          </w:p>
        </w:tc>
        <w:tc>
          <w:tcPr>
            <w:tcW w:w="2267" w:type="dxa"/>
            <w:tcBorders>
              <w:right w:val="single" w:color="auto" w:sz="4" w:space="0"/>
            </w:tcBorders>
            <w:noWrap w:val="0"/>
            <w:vAlign w:val="center"/>
          </w:tcPr>
          <w:p w14:paraId="1082442B">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□联合体投标人</w:t>
            </w:r>
          </w:p>
        </w:tc>
        <w:tc>
          <w:tcPr>
            <w:tcW w:w="4615" w:type="dxa"/>
            <w:tcBorders>
              <w:left w:val="single" w:color="auto" w:sz="4" w:space="0"/>
            </w:tcBorders>
            <w:noWrap w:val="0"/>
            <w:vAlign w:val="center"/>
          </w:tcPr>
          <w:p w14:paraId="1558E76C">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提交联合体协议书，并明确联合体牵头人。在联合体协议中须明确由联合体牵头人委派委托代理人。</w:t>
            </w:r>
          </w:p>
        </w:tc>
      </w:tr>
      <w:tr w14:paraId="353A2A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5501B488">
            <w:pPr>
              <w:spacing w:line="400" w:lineRule="exact"/>
              <w:jc w:val="center"/>
              <w:rPr>
                <w:rFonts w:ascii="宋体" w:hAnsi="宋体"/>
                <w:b/>
                <w:color w:val="auto"/>
                <w:kern w:val="0"/>
                <w:highlight w:val="none"/>
              </w:rPr>
            </w:pPr>
          </w:p>
        </w:tc>
        <w:tc>
          <w:tcPr>
            <w:tcW w:w="1560" w:type="dxa"/>
            <w:vMerge w:val="continue"/>
            <w:tcBorders>
              <w:left w:val="single" w:color="auto" w:sz="4" w:space="0"/>
            </w:tcBorders>
            <w:noWrap w:val="0"/>
            <w:vAlign w:val="center"/>
          </w:tcPr>
          <w:p w14:paraId="3D195471">
            <w:pPr>
              <w:spacing w:line="400" w:lineRule="exact"/>
              <w:jc w:val="center"/>
              <w:rPr>
                <w:rFonts w:ascii="宋体" w:hAnsi="宋体"/>
                <w:b/>
                <w:color w:val="auto"/>
                <w:kern w:val="0"/>
                <w:highlight w:val="none"/>
              </w:rPr>
            </w:pPr>
          </w:p>
        </w:tc>
        <w:tc>
          <w:tcPr>
            <w:tcW w:w="2267" w:type="dxa"/>
            <w:tcBorders>
              <w:right w:val="single" w:color="auto" w:sz="4" w:space="0"/>
            </w:tcBorders>
            <w:noWrap w:val="0"/>
            <w:vAlign w:val="center"/>
          </w:tcPr>
          <w:p w14:paraId="1DDF13AB">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投标文件的签署</w:t>
            </w:r>
          </w:p>
        </w:tc>
        <w:tc>
          <w:tcPr>
            <w:tcW w:w="4615" w:type="dxa"/>
            <w:tcBorders>
              <w:left w:val="single" w:color="auto" w:sz="4" w:space="0"/>
            </w:tcBorders>
            <w:noWrap w:val="0"/>
            <w:vAlign w:val="center"/>
          </w:tcPr>
          <w:p w14:paraId="57F03414">
            <w:pPr>
              <w:autoSpaceDE w:val="0"/>
              <w:autoSpaceDN w:val="0"/>
              <w:adjustRightInd w:val="0"/>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第八章 投标文件格式（不含投标函部分）要求法定代表人或其委托代理人签字（或盖章）的须齐全。</w:t>
            </w:r>
          </w:p>
          <w:p w14:paraId="5188286D">
            <w:pPr>
              <w:autoSpaceDE w:val="0"/>
              <w:autoSpaceDN w:val="0"/>
              <w:adjustRightInd w:val="0"/>
              <w:snapToGrid w:val="0"/>
              <w:spacing w:line="400" w:lineRule="exact"/>
              <w:ind w:firstLine="420" w:firstLineChars="200"/>
              <w:rPr>
                <w:rFonts w:hint="eastAsia" w:ascii="宋体" w:hAnsi="宋体" w:cs="宋体"/>
                <w:color w:val="auto"/>
                <w:kern w:val="0"/>
                <w:highlight w:val="none"/>
              </w:rPr>
            </w:pPr>
            <w:r>
              <w:rPr>
                <w:rFonts w:hint="eastAsia" w:ascii="宋体" w:hAnsi="宋体" w:cs="宋体"/>
                <w:snapToGrid w:val="0"/>
                <w:color w:val="auto"/>
                <w:kern w:val="0"/>
                <w:szCs w:val="21"/>
                <w:highlight w:val="none"/>
              </w:rPr>
              <w:t>若投标单位为联合体，则联合体协议书中各联合体成员单位签字（或盖章）须齐全，联合体协议书以外的</w:t>
            </w:r>
            <w:r>
              <w:rPr>
                <w:rFonts w:hint="eastAsia" w:ascii="宋体" w:hAnsi="宋体" w:cs="宋体"/>
                <w:color w:val="auto"/>
                <w:kern w:val="0"/>
                <w:highlight w:val="none"/>
              </w:rPr>
              <w:t>投标文件格式中，要求法定代表人或其委托代理人签字（或盖章）的均由联合体牵头人法定代表人或其委托代理人签字（或盖章）。</w:t>
            </w:r>
          </w:p>
          <w:p w14:paraId="211FEA53">
            <w:pPr>
              <w:autoSpaceDE w:val="0"/>
              <w:autoSpaceDN w:val="0"/>
              <w:adjustRightInd w:val="0"/>
              <w:snapToGrid w:val="0"/>
              <w:spacing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第八章 投标文件格式（不含投标函部分）要求加盖单位法人章的，应使用 CA 数字证书加盖投标人的单位电子印章。</w:t>
            </w:r>
          </w:p>
          <w:p w14:paraId="775B2ED4">
            <w:pPr>
              <w:autoSpaceDE w:val="0"/>
              <w:autoSpaceDN w:val="0"/>
              <w:adjustRightInd w:val="0"/>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755895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07B8C740">
            <w:pPr>
              <w:spacing w:line="400" w:lineRule="exact"/>
              <w:jc w:val="center"/>
              <w:rPr>
                <w:rFonts w:ascii="宋体" w:hAnsi="宋体"/>
                <w:b/>
                <w:color w:val="auto"/>
                <w:kern w:val="0"/>
                <w:highlight w:val="none"/>
              </w:rPr>
            </w:pPr>
          </w:p>
        </w:tc>
        <w:tc>
          <w:tcPr>
            <w:tcW w:w="1560" w:type="dxa"/>
            <w:vMerge w:val="continue"/>
            <w:tcBorders>
              <w:left w:val="single" w:color="auto" w:sz="4" w:space="0"/>
            </w:tcBorders>
            <w:noWrap w:val="0"/>
            <w:vAlign w:val="center"/>
          </w:tcPr>
          <w:p w14:paraId="0869B61F">
            <w:pPr>
              <w:spacing w:line="400" w:lineRule="exact"/>
              <w:jc w:val="center"/>
              <w:rPr>
                <w:rFonts w:ascii="宋体" w:hAnsi="宋体"/>
                <w:b/>
                <w:color w:val="auto"/>
                <w:kern w:val="0"/>
                <w:highlight w:val="none"/>
              </w:rPr>
            </w:pPr>
          </w:p>
        </w:tc>
        <w:tc>
          <w:tcPr>
            <w:tcW w:w="2267" w:type="dxa"/>
            <w:tcBorders>
              <w:right w:val="single" w:color="auto" w:sz="4" w:space="0"/>
            </w:tcBorders>
            <w:noWrap w:val="0"/>
            <w:vAlign w:val="center"/>
          </w:tcPr>
          <w:p w14:paraId="2CAB0D95">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委托代理人</w:t>
            </w:r>
          </w:p>
        </w:tc>
        <w:tc>
          <w:tcPr>
            <w:tcW w:w="4615" w:type="dxa"/>
            <w:tcBorders>
              <w:left w:val="single" w:color="auto" w:sz="4" w:space="0"/>
            </w:tcBorders>
            <w:noWrap w:val="0"/>
            <w:vAlign w:val="center"/>
          </w:tcPr>
          <w:p w14:paraId="2ECFC847">
            <w:pPr>
              <w:snapToGrid w:val="0"/>
              <w:spacing w:after="78" w:afterLines="25"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投标人法定代表人的委托代理人有法定代表人签署的授权委托书和投标人为其缴纳的养老保险。</w:t>
            </w:r>
          </w:p>
        </w:tc>
      </w:tr>
      <w:tr w14:paraId="587B5E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top w:val="single" w:color="auto" w:sz="4" w:space="0"/>
              <w:right w:val="single" w:color="auto" w:sz="4" w:space="0"/>
            </w:tcBorders>
            <w:noWrap w:val="0"/>
            <w:vAlign w:val="center"/>
          </w:tcPr>
          <w:p w14:paraId="7AE8173D">
            <w:pPr>
              <w:spacing w:line="400" w:lineRule="exact"/>
              <w:jc w:val="center"/>
              <w:rPr>
                <w:rFonts w:ascii="宋体" w:hAnsi="宋体"/>
                <w:color w:val="auto"/>
                <w:kern w:val="0"/>
                <w:highlight w:val="none"/>
              </w:rPr>
            </w:pPr>
            <w:r>
              <w:rPr>
                <w:rFonts w:hint="eastAsia" w:ascii="宋体" w:hAnsi="宋体"/>
                <w:color w:val="auto"/>
                <w:kern w:val="0"/>
                <w:highlight w:val="none"/>
              </w:rPr>
              <w:t>2.2.4</w:t>
            </w:r>
          </w:p>
        </w:tc>
        <w:tc>
          <w:tcPr>
            <w:tcW w:w="1560" w:type="dxa"/>
            <w:vMerge w:val="restart"/>
            <w:tcBorders>
              <w:top w:val="single" w:color="auto" w:sz="4" w:space="0"/>
              <w:left w:val="single" w:color="auto" w:sz="4" w:space="0"/>
            </w:tcBorders>
            <w:noWrap w:val="0"/>
            <w:vAlign w:val="center"/>
          </w:tcPr>
          <w:p w14:paraId="7F665487">
            <w:pPr>
              <w:spacing w:line="400" w:lineRule="exact"/>
              <w:jc w:val="center"/>
              <w:rPr>
                <w:rFonts w:ascii="宋体" w:hAnsi="宋体"/>
                <w:color w:val="auto"/>
                <w:kern w:val="0"/>
                <w:highlight w:val="none"/>
              </w:rPr>
            </w:pPr>
            <w:r>
              <w:rPr>
                <w:rFonts w:ascii="宋体" w:hAnsi="宋体"/>
                <w:color w:val="auto"/>
                <w:kern w:val="0"/>
                <w:highlight w:val="none"/>
              </w:rPr>
              <w:t>响应性评审标准</w:t>
            </w:r>
          </w:p>
        </w:tc>
        <w:tc>
          <w:tcPr>
            <w:tcW w:w="2267" w:type="dxa"/>
            <w:tcBorders>
              <w:right w:val="single" w:color="auto" w:sz="4" w:space="0"/>
            </w:tcBorders>
            <w:noWrap w:val="0"/>
            <w:vAlign w:val="center"/>
          </w:tcPr>
          <w:p w14:paraId="7D1D2226">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投标内容</w:t>
            </w:r>
          </w:p>
        </w:tc>
        <w:tc>
          <w:tcPr>
            <w:tcW w:w="4615" w:type="dxa"/>
            <w:tcBorders>
              <w:left w:val="single" w:color="auto" w:sz="4" w:space="0"/>
            </w:tcBorders>
            <w:noWrap w:val="0"/>
            <w:vAlign w:val="center"/>
          </w:tcPr>
          <w:p w14:paraId="3B518D44">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符合第二章“投标人须知”第1.3.1项规定</w:t>
            </w:r>
          </w:p>
        </w:tc>
      </w:tr>
      <w:tr w14:paraId="43A2CB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3DE2C985">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noWrap w:val="0"/>
            <w:vAlign w:val="center"/>
          </w:tcPr>
          <w:p w14:paraId="4BE332EB">
            <w:pPr>
              <w:spacing w:line="400" w:lineRule="exact"/>
              <w:jc w:val="center"/>
              <w:rPr>
                <w:rFonts w:hint="eastAsia" w:ascii="宋体" w:hAnsi="宋体"/>
                <w:color w:val="auto"/>
                <w:kern w:val="0"/>
                <w:highlight w:val="none"/>
              </w:rPr>
            </w:pPr>
          </w:p>
        </w:tc>
        <w:tc>
          <w:tcPr>
            <w:tcW w:w="2267" w:type="dxa"/>
            <w:tcBorders>
              <w:right w:val="single" w:color="auto" w:sz="4" w:space="0"/>
            </w:tcBorders>
            <w:noWrap w:val="0"/>
            <w:vAlign w:val="center"/>
          </w:tcPr>
          <w:p w14:paraId="3949F16C">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投标保证金</w:t>
            </w:r>
          </w:p>
        </w:tc>
        <w:tc>
          <w:tcPr>
            <w:tcW w:w="4615" w:type="dxa"/>
            <w:tcBorders>
              <w:left w:val="single" w:color="auto" w:sz="4" w:space="0"/>
            </w:tcBorders>
            <w:noWrap w:val="0"/>
            <w:vAlign w:val="center"/>
          </w:tcPr>
          <w:p w14:paraId="33F0687E">
            <w:pPr>
              <w:tabs>
                <w:tab w:val="left" w:pos="611"/>
                <w:tab w:val="left" w:pos="669"/>
              </w:tabs>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符合第二章“投标人须知前附表”第3.4款规定。</w:t>
            </w:r>
          </w:p>
        </w:tc>
      </w:tr>
      <w:tr w14:paraId="036C7D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6B908A76">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noWrap w:val="0"/>
            <w:vAlign w:val="center"/>
          </w:tcPr>
          <w:p w14:paraId="768C7A40">
            <w:pPr>
              <w:spacing w:line="400" w:lineRule="exact"/>
              <w:jc w:val="center"/>
              <w:rPr>
                <w:rFonts w:hint="eastAsia" w:ascii="宋体" w:hAnsi="宋体"/>
                <w:color w:val="auto"/>
                <w:kern w:val="0"/>
                <w:highlight w:val="none"/>
              </w:rPr>
            </w:pPr>
          </w:p>
        </w:tc>
        <w:tc>
          <w:tcPr>
            <w:tcW w:w="2267" w:type="dxa"/>
            <w:tcBorders>
              <w:right w:val="single" w:color="auto" w:sz="4" w:space="0"/>
            </w:tcBorders>
            <w:noWrap w:val="0"/>
            <w:vAlign w:val="center"/>
          </w:tcPr>
          <w:p w14:paraId="048F4F36">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权利义务</w:t>
            </w:r>
          </w:p>
        </w:tc>
        <w:tc>
          <w:tcPr>
            <w:tcW w:w="4615" w:type="dxa"/>
            <w:tcBorders>
              <w:left w:val="single" w:color="auto" w:sz="4" w:space="0"/>
            </w:tcBorders>
            <w:noWrap w:val="0"/>
            <w:vAlign w:val="center"/>
          </w:tcPr>
          <w:p w14:paraId="4B8241F1">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符合第四章“合同条款及格式”规定，投标文件不应附有招标人不能接受的条件。（由投标人承诺，承诺书格式详见第八章投标文件格式。）</w:t>
            </w:r>
          </w:p>
        </w:tc>
      </w:tr>
      <w:tr w14:paraId="37F700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1B05A8E1">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noWrap w:val="0"/>
            <w:vAlign w:val="center"/>
          </w:tcPr>
          <w:p w14:paraId="361256A2">
            <w:pPr>
              <w:spacing w:line="400" w:lineRule="exact"/>
              <w:jc w:val="center"/>
              <w:rPr>
                <w:rFonts w:hint="eastAsia" w:ascii="宋体" w:hAnsi="宋体"/>
                <w:color w:val="auto"/>
                <w:kern w:val="0"/>
                <w:highlight w:val="none"/>
              </w:rPr>
            </w:pPr>
          </w:p>
        </w:tc>
        <w:tc>
          <w:tcPr>
            <w:tcW w:w="2267" w:type="dxa"/>
            <w:tcBorders>
              <w:right w:val="single" w:color="auto" w:sz="4" w:space="0"/>
            </w:tcBorders>
            <w:noWrap w:val="0"/>
            <w:vAlign w:val="center"/>
          </w:tcPr>
          <w:p w14:paraId="5AC0DB2B">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技术标准和要求</w:t>
            </w:r>
          </w:p>
        </w:tc>
        <w:tc>
          <w:tcPr>
            <w:tcW w:w="4615" w:type="dxa"/>
            <w:tcBorders>
              <w:left w:val="single" w:color="auto" w:sz="4" w:space="0"/>
            </w:tcBorders>
            <w:noWrap w:val="0"/>
            <w:vAlign w:val="center"/>
          </w:tcPr>
          <w:p w14:paraId="35C99C42">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符合第七章“技术标准和要求”规定。（由投标人承诺，承诺书格式详见第八章投标文件格式。）</w:t>
            </w:r>
          </w:p>
        </w:tc>
      </w:tr>
      <w:tr w14:paraId="06F73D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bottom w:val="single" w:color="auto" w:sz="4" w:space="0"/>
              <w:right w:val="single" w:color="auto" w:sz="4" w:space="0"/>
            </w:tcBorders>
            <w:noWrap w:val="0"/>
            <w:vAlign w:val="center"/>
          </w:tcPr>
          <w:p w14:paraId="7EE38B66">
            <w:pPr>
              <w:spacing w:line="400" w:lineRule="exact"/>
              <w:jc w:val="center"/>
              <w:rPr>
                <w:rFonts w:hint="eastAsia" w:ascii="宋体" w:hAnsi="宋体"/>
                <w:color w:val="auto"/>
                <w:kern w:val="0"/>
                <w:highlight w:val="none"/>
              </w:rPr>
            </w:pPr>
          </w:p>
        </w:tc>
        <w:tc>
          <w:tcPr>
            <w:tcW w:w="1560" w:type="dxa"/>
            <w:vMerge w:val="continue"/>
            <w:tcBorders>
              <w:left w:val="single" w:color="auto" w:sz="4" w:space="0"/>
              <w:bottom w:val="single" w:color="auto" w:sz="4" w:space="0"/>
            </w:tcBorders>
            <w:noWrap w:val="0"/>
            <w:vAlign w:val="center"/>
          </w:tcPr>
          <w:p w14:paraId="38544A17">
            <w:pPr>
              <w:spacing w:line="400" w:lineRule="exact"/>
              <w:jc w:val="center"/>
              <w:rPr>
                <w:rFonts w:hint="eastAsia" w:ascii="宋体" w:hAnsi="宋体"/>
                <w:color w:val="auto"/>
                <w:kern w:val="0"/>
                <w:highlight w:val="none"/>
              </w:rPr>
            </w:pPr>
          </w:p>
        </w:tc>
        <w:tc>
          <w:tcPr>
            <w:tcW w:w="2267" w:type="dxa"/>
            <w:tcBorders>
              <w:right w:val="single" w:color="auto" w:sz="4" w:space="0"/>
            </w:tcBorders>
            <w:noWrap w:val="0"/>
            <w:vAlign w:val="center"/>
          </w:tcPr>
          <w:p w14:paraId="3D8840FD">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实质性要求</w:t>
            </w:r>
          </w:p>
        </w:tc>
        <w:tc>
          <w:tcPr>
            <w:tcW w:w="4615" w:type="dxa"/>
            <w:tcBorders>
              <w:left w:val="single" w:color="auto" w:sz="4" w:space="0"/>
            </w:tcBorders>
            <w:noWrap w:val="0"/>
            <w:vAlign w:val="center"/>
          </w:tcPr>
          <w:p w14:paraId="4D949437">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符合第二章“投标人须知”第1.4.3项规定。</w:t>
            </w:r>
          </w:p>
          <w:p w14:paraId="64E23337">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本次投标不得有串通投标、弄虚作假等其他违反招投标相关法律、法规行为。</w:t>
            </w:r>
          </w:p>
          <w:p w14:paraId="7B76206A">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按评标委员会要求澄清、说明或补正。</w:t>
            </w:r>
          </w:p>
        </w:tc>
      </w:tr>
      <w:tr w14:paraId="240225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top w:val="single" w:color="auto" w:sz="4" w:space="0"/>
              <w:right w:val="single" w:color="auto" w:sz="4" w:space="0"/>
            </w:tcBorders>
            <w:noWrap w:val="0"/>
            <w:vAlign w:val="center"/>
          </w:tcPr>
          <w:p w14:paraId="0B50D692">
            <w:pPr>
              <w:spacing w:line="400" w:lineRule="exact"/>
              <w:jc w:val="center"/>
              <w:rPr>
                <w:rFonts w:ascii="宋体" w:hAnsi="宋体"/>
                <w:color w:val="auto"/>
                <w:kern w:val="0"/>
                <w:highlight w:val="none"/>
              </w:rPr>
            </w:pPr>
            <w:r>
              <w:rPr>
                <w:rFonts w:hint="eastAsia" w:ascii="宋体" w:hAnsi="宋体"/>
                <w:color w:val="auto"/>
                <w:kern w:val="0"/>
                <w:highlight w:val="none"/>
              </w:rPr>
              <w:t>2.2.5</w:t>
            </w:r>
          </w:p>
        </w:tc>
        <w:tc>
          <w:tcPr>
            <w:tcW w:w="1560" w:type="dxa"/>
            <w:vMerge w:val="restart"/>
            <w:tcBorders>
              <w:top w:val="single" w:color="auto" w:sz="4" w:space="0"/>
              <w:left w:val="single" w:color="auto" w:sz="4" w:space="0"/>
            </w:tcBorders>
            <w:noWrap w:val="0"/>
            <w:vAlign w:val="center"/>
          </w:tcPr>
          <w:p w14:paraId="08938050">
            <w:pPr>
              <w:spacing w:line="400" w:lineRule="exact"/>
              <w:jc w:val="center"/>
              <w:rPr>
                <w:rFonts w:ascii="宋体" w:hAnsi="宋体"/>
                <w:color w:val="auto"/>
                <w:kern w:val="0"/>
                <w:highlight w:val="none"/>
              </w:rPr>
            </w:pPr>
            <w:r>
              <w:rPr>
                <w:rFonts w:hint="eastAsia" w:ascii="宋体" w:hAnsi="宋体"/>
                <w:color w:val="auto"/>
                <w:kern w:val="0"/>
                <w:highlight w:val="none"/>
              </w:rPr>
              <w:t>投标函部分及经济部分评审标准</w:t>
            </w:r>
          </w:p>
        </w:tc>
        <w:tc>
          <w:tcPr>
            <w:tcW w:w="2267" w:type="dxa"/>
            <w:tcBorders>
              <w:right w:val="single" w:color="auto" w:sz="4" w:space="0"/>
            </w:tcBorders>
            <w:noWrap w:val="0"/>
            <w:vAlign w:val="center"/>
          </w:tcPr>
          <w:p w14:paraId="3706712E">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投标函部分的格式</w:t>
            </w:r>
          </w:p>
        </w:tc>
        <w:tc>
          <w:tcPr>
            <w:tcW w:w="4615" w:type="dxa"/>
            <w:tcBorders>
              <w:left w:val="single" w:color="auto" w:sz="4" w:space="0"/>
            </w:tcBorders>
            <w:noWrap w:val="0"/>
            <w:vAlign w:val="center"/>
          </w:tcPr>
          <w:p w14:paraId="1F67351D">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符合第二章“投标人须知”第3.7款的要求。</w:t>
            </w:r>
          </w:p>
        </w:tc>
      </w:tr>
      <w:tr w14:paraId="014468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top w:val="single" w:color="auto" w:sz="4" w:space="0"/>
              <w:right w:val="single" w:color="auto" w:sz="4" w:space="0"/>
            </w:tcBorders>
            <w:noWrap w:val="0"/>
            <w:vAlign w:val="center"/>
          </w:tcPr>
          <w:p w14:paraId="07CD9377">
            <w:pPr>
              <w:spacing w:line="400" w:lineRule="exact"/>
              <w:jc w:val="center"/>
              <w:rPr>
                <w:rFonts w:hint="eastAsia" w:ascii="宋体" w:hAnsi="宋体"/>
                <w:color w:val="auto"/>
                <w:kern w:val="0"/>
                <w:highlight w:val="none"/>
              </w:rPr>
            </w:pPr>
          </w:p>
        </w:tc>
        <w:tc>
          <w:tcPr>
            <w:tcW w:w="1560" w:type="dxa"/>
            <w:vMerge w:val="continue"/>
            <w:tcBorders>
              <w:top w:val="single" w:color="auto" w:sz="4" w:space="0"/>
              <w:left w:val="single" w:color="auto" w:sz="4" w:space="0"/>
            </w:tcBorders>
            <w:noWrap w:val="0"/>
            <w:vAlign w:val="center"/>
          </w:tcPr>
          <w:p w14:paraId="447C0A97">
            <w:pPr>
              <w:spacing w:line="400" w:lineRule="exact"/>
              <w:jc w:val="center"/>
              <w:rPr>
                <w:rFonts w:hint="eastAsia" w:ascii="宋体" w:hAnsi="宋体"/>
                <w:color w:val="auto"/>
                <w:kern w:val="0"/>
                <w:highlight w:val="none"/>
              </w:rPr>
            </w:pPr>
          </w:p>
        </w:tc>
        <w:tc>
          <w:tcPr>
            <w:tcW w:w="2267" w:type="dxa"/>
            <w:tcBorders>
              <w:right w:val="single" w:color="auto" w:sz="4" w:space="0"/>
            </w:tcBorders>
            <w:noWrap w:val="0"/>
            <w:vAlign w:val="center"/>
          </w:tcPr>
          <w:p w14:paraId="21644E10">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投标函部分的签字盖章</w:t>
            </w:r>
          </w:p>
        </w:tc>
        <w:tc>
          <w:tcPr>
            <w:tcW w:w="4615" w:type="dxa"/>
            <w:tcBorders>
              <w:left w:val="single" w:color="auto" w:sz="4" w:space="0"/>
            </w:tcBorders>
            <w:noWrap w:val="0"/>
            <w:vAlign w:val="center"/>
          </w:tcPr>
          <w:p w14:paraId="7FAF5E79">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投标函部分的格式要求法定代表人或其委托代理人签字（或盖章）的须齐全，要求加盖单位法人章的，应使用 CA 数字证书加盖投标人的单位电子印章。</w:t>
            </w:r>
          </w:p>
          <w:p w14:paraId="04D93864">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联合体投标的，除联合体协议书外，投标函部分的格式中要求投标人加盖单位法人章的，均由联合体牵头人使用 CA 数字证书加盖其单位电子印章。</w:t>
            </w:r>
          </w:p>
        </w:tc>
      </w:tr>
      <w:tr w14:paraId="6FFA5A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07927F0F">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noWrap w:val="0"/>
            <w:vAlign w:val="center"/>
          </w:tcPr>
          <w:p w14:paraId="072EC5E5">
            <w:pPr>
              <w:spacing w:line="400" w:lineRule="exact"/>
              <w:jc w:val="center"/>
              <w:rPr>
                <w:rFonts w:hint="eastAsia" w:ascii="宋体" w:hAnsi="宋体"/>
                <w:color w:val="auto"/>
                <w:kern w:val="0"/>
                <w:highlight w:val="none"/>
              </w:rPr>
            </w:pPr>
          </w:p>
        </w:tc>
        <w:tc>
          <w:tcPr>
            <w:tcW w:w="2267" w:type="dxa"/>
            <w:tcBorders>
              <w:right w:val="single" w:color="auto" w:sz="4" w:space="0"/>
            </w:tcBorders>
            <w:noWrap w:val="0"/>
            <w:vAlign w:val="center"/>
          </w:tcPr>
          <w:p w14:paraId="0BAF3199">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工期</w:t>
            </w:r>
          </w:p>
        </w:tc>
        <w:tc>
          <w:tcPr>
            <w:tcW w:w="4615" w:type="dxa"/>
            <w:tcBorders>
              <w:left w:val="single" w:color="auto" w:sz="4" w:space="0"/>
            </w:tcBorders>
            <w:noWrap w:val="0"/>
            <w:vAlign w:val="center"/>
          </w:tcPr>
          <w:p w14:paraId="684047E9">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符合第二章“投标人须知”第1.3.2项规定</w:t>
            </w:r>
          </w:p>
        </w:tc>
      </w:tr>
      <w:tr w14:paraId="403E67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2F52F44D">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noWrap w:val="0"/>
            <w:vAlign w:val="center"/>
          </w:tcPr>
          <w:p w14:paraId="73424842">
            <w:pPr>
              <w:spacing w:line="400" w:lineRule="exact"/>
              <w:jc w:val="center"/>
              <w:rPr>
                <w:rFonts w:hint="eastAsia" w:ascii="宋体" w:hAnsi="宋体"/>
                <w:color w:val="auto"/>
                <w:kern w:val="0"/>
                <w:highlight w:val="none"/>
              </w:rPr>
            </w:pPr>
          </w:p>
        </w:tc>
        <w:tc>
          <w:tcPr>
            <w:tcW w:w="2267" w:type="dxa"/>
            <w:tcBorders>
              <w:right w:val="single" w:color="auto" w:sz="4" w:space="0"/>
            </w:tcBorders>
            <w:noWrap w:val="0"/>
            <w:vAlign w:val="center"/>
          </w:tcPr>
          <w:p w14:paraId="020DBFD8">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工程质量</w:t>
            </w:r>
          </w:p>
        </w:tc>
        <w:tc>
          <w:tcPr>
            <w:tcW w:w="4615" w:type="dxa"/>
            <w:tcBorders>
              <w:left w:val="single" w:color="auto" w:sz="4" w:space="0"/>
            </w:tcBorders>
            <w:noWrap w:val="0"/>
            <w:vAlign w:val="center"/>
          </w:tcPr>
          <w:p w14:paraId="1ACECD3A">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符合第二章“投标人须知”第1.3.3项规定</w:t>
            </w:r>
          </w:p>
        </w:tc>
      </w:tr>
      <w:tr w14:paraId="7D8616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3A424C6E">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noWrap w:val="0"/>
            <w:vAlign w:val="center"/>
          </w:tcPr>
          <w:p w14:paraId="4758EBFA">
            <w:pPr>
              <w:spacing w:line="400" w:lineRule="exact"/>
              <w:jc w:val="center"/>
              <w:rPr>
                <w:rFonts w:hint="eastAsia" w:ascii="宋体" w:hAnsi="宋体"/>
                <w:color w:val="auto"/>
                <w:kern w:val="0"/>
                <w:highlight w:val="none"/>
              </w:rPr>
            </w:pPr>
          </w:p>
        </w:tc>
        <w:tc>
          <w:tcPr>
            <w:tcW w:w="2267" w:type="dxa"/>
            <w:tcBorders>
              <w:right w:val="single" w:color="auto" w:sz="4" w:space="0"/>
            </w:tcBorders>
            <w:noWrap w:val="0"/>
            <w:vAlign w:val="center"/>
          </w:tcPr>
          <w:p w14:paraId="461BA7A6">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投标有效期</w:t>
            </w:r>
          </w:p>
        </w:tc>
        <w:tc>
          <w:tcPr>
            <w:tcW w:w="4615" w:type="dxa"/>
            <w:tcBorders>
              <w:left w:val="single" w:color="auto" w:sz="4" w:space="0"/>
            </w:tcBorders>
            <w:noWrap w:val="0"/>
            <w:vAlign w:val="center"/>
          </w:tcPr>
          <w:p w14:paraId="1044DF48">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符合第二章“投标人须知”第3.3.1项规定</w:t>
            </w:r>
          </w:p>
        </w:tc>
      </w:tr>
      <w:tr w14:paraId="2728C6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2A7813E5">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noWrap w:val="0"/>
            <w:vAlign w:val="center"/>
          </w:tcPr>
          <w:p w14:paraId="7BD9370C">
            <w:pPr>
              <w:spacing w:line="400" w:lineRule="exact"/>
              <w:jc w:val="center"/>
              <w:rPr>
                <w:rFonts w:hint="eastAsia" w:ascii="宋体" w:hAnsi="宋体"/>
                <w:color w:val="auto"/>
                <w:kern w:val="0"/>
                <w:highlight w:val="none"/>
              </w:rPr>
            </w:pPr>
          </w:p>
        </w:tc>
        <w:tc>
          <w:tcPr>
            <w:tcW w:w="2267" w:type="dxa"/>
            <w:tcBorders>
              <w:right w:val="single" w:color="auto" w:sz="4" w:space="0"/>
            </w:tcBorders>
            <w:noWrap w:val="0"/>
            <w:vAlign w:val="center"/>
          </w:tcPr>
          <w:p w14:paraId="414B6BAE">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投标总报价</w:t>
            </w:r>
          </w:p>
        </w:tc>
        <w:tc>
          <w:tcPr>
            <w:tcW w:w="4615" w:type="dxa"/>
            <w:tcBorders>
              <w:left w:val="single" w:color="auto" w:sz="4" w:space="0"/>
            </w:tcBorders>
            <w:noWrap w:val="0"/>
            <w:vAlign w:val="center"/>
          </w:tcPr>
          <w:p w14:paraId="76FEC4C4">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1.投标总报价必须与已标价工程量清单总报价一致,且工程量清单总报价与依据单价、工程数量、分部分项工程合价计算出的结果应一致。</w:t>
            </w:r>
          </w:p>
          <w:p w14:paraId="13F743FE">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2.投标总报价不得高于招标人公布的投标总报价最高限价。</w:t>
            </w:r>
          </w:p>
          <w:p w14:paraId="37AC829E">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3.投标总报价低于最高限价85%的，投标人应在编制投标文件时，在投标函部分中递交低价风险担保缴纳承诺书。承诺书格式详见第八章投标文件格式。</w:t>
            </w:r>
          </w:p>
        </w:tc>
      </w:tr>
      <w:tr w14:paraId="4F7A92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3A2A69B2">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noWrap w:val="0"/>
            <w:vAlign w:val="center"/>
          </w:tcPr>
          <w:p w14:paraId="0E231232">
            <w:pPr>
              <w:spacing w:line="400" w:lineRule="exact"/>
              <w:jc w:val="center"/>
              <w:rPr>
                <w:rFonts w:hint="eastAsia" w:ascii="宋体" w:hAnsi="宋体"/>
                <w:color w:val="auto"/>
                <w:kern w:val="0"/>
                <w:highlight w:val="none"/>
              </w:rPr>
            </w:pPr>
          </w:p>
        </w:tc>
        <w:tc>
          <w:tcPr>
            <w:tcW w:w="2267" w:type="dxa"/>
            <w:tcBorders>
              <w:right w:val="single" w:color="auto" w:sz="4" w:space="0"/>
            </w:tcBorders>
            <w:noWrap w:val="0"/>
            <w:vAlign w:val="center"/>
          </w:tcPr>
          <w:p w14:paraId="05C7EDE5">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暂定金额</w:t>
            </w:r>
          </w:p>
        </w:tc>
        <w:tc>
          <w:tcPr>
            <w:tcW w:w="4615" w:type="dxa"/>
            <w:tcBorders>
              <w:left w:val="single" w:color="auto" w:sz="4" w:space="0"/>
            </w:tcBorders>
            <w:noWrap w:val="0"/>
            <w:vAlign w:val="center"/>
          </w:tcPr>
          <w:p w14:paraId="7266C82D">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暂列金额、暂估价、安全文明施工费等暂定金额必须按照招标文件给定的金额填报。</w:t>
            </w:r>
          </w:p>
        </w:tc>
      </w:tr>
      <w:tr w14:paraId="4ECFDC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2EFA8AB3">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noWrap w:val="0"/>
            <w:vAlign w:val="center"/>
          </w:tcPr>
          <w:p w14:paraId="17603956">
            <w:pPr>
              <w:spacing w:line="400" w:lineRule="exact"/>
              <w:jc w:val="center"/>
              <w:rPr>
                <w:rFonts w:hint="eastAsia" w:ascii="宋体" w:hAnsi="宋体"/>
                <w:color w:val="auto"/>
                <w:kern w:val="0"/>
                <w:highlight w:val="none"/>
              </w:rPr>
            </w:pPr>
          </w:p>
        </w:tc>
        <w:tc>
          <w:tcPr>
            <w:tcW w:w="2267" w:type="dxa"/>
            <w:tcBorders>
              <w:right w:val="single" w:color="auto" w:sz="4" w:space="0"/>
            </w:tcBorders>
            <w:noWrap w:val="0"/>
            <w:vAlign w:val="center"/>
          </w:tcPr>
          <w:p w14:paraId="2578545D">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报价唯一</w:t>
            </w:r>
          </w:p>
        </w:tc>
        <w:tc>
          <w:tcPr>
            <w:tcW w:w="4615" w:type="dxa"/>
            <w:tcBorders>
              <w:left w:val="single" w:color="auto" w:sz="4" w:space="0"/>
            </w:tcBorders>
            <w:noWrap w:val="0"/>
            <w:vAlign w:val="center"/>
          </w:tcPr>
          <w:p w14:paraId="309D8405">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只能有一个有效报价。在招标文件没有规定的情况下，不得提交选择性报价。</w:t>
            </w:r>
          </w:p>
        </w:tc>
      </w:tr>
      <w:tr w14:paraId="30C7F4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5070B867">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noWrap w:val="0"/>
            <w:vAlign w:val="center"/>
          </w:tcPr>
          <w:p w14:paraId="1557D7EA">
            <w:pPr>
              <w:spacing w:line="400" w:lineRule="exact"/>
              <w:jc w:val="center"/>
              <w:rPr>
                <w:rFonts w:hint="eastAsia" w:ascii="宋体" w:hAnsi="宋体"/>
                <w:color w:val="auto"/>
                <w:kern w:val="0"/>
                <w:highlight w:val="none"/>
              </w:rPr>
            </w:pPr>
          </w:p>
        </w:tc>
        <w:tc>
          <w:tcPr>
            <w:tcW w:w="2267" w:type="dxa"/>
            <w:tcBorders>
              <w:right w:val="single" w:color="auto" w:sz="4" w:space="0"/>
            </w:tcBorders>
            <w:noWrap w:val="0"/>
            <w:vAlign w:val="center"/>
          </w:tcPr>
          <w:p w14:paraId="12CC27D0">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已标价工程量清单</w:t>
            </w:r>
          </w:p>
        </w:tc>
        <w:tc>
          <w:tcPr>
            <w:tcW w:w="4615" w:type="dxa"/>
            <w:tcBorders>
              <w:left w:val="single" w:color="auto" w:sz="4" w:space="0"/>
            </w:tcBorders>
            <w:noWrap w:val="0"/>
            <w:vAlign w:val="center"/>
          </w:tcPr>
          <w:p w14:paraId="10981E8C">
            <w:pPr>
              <w:spacing w:after="62" w:afterLines="2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1.符合第五章“工程量清单”给出的范围及数量。</w:t>
            </w:r>
          </w:p>
          <w:p w14:paraId="2000B200">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2.招标文件中规定工程量清单不允许修改的内容不得修改。</w:t>
            </w:r>
          </w:p>
          <w:p w14:paraId="6611BC89">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3.每项清单综合单价报价不得高于每项清单综合单价最高限价。</w:t>
            </w:r>
          </w:p>
        </w:tc>
      </w:tr>
      <w:tr w14:paraId="02A204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1DBAD5C8">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noWrap w:val="0"/>
            <w:vAlign w:val="center"/>
          </w:tcPr>
          <w:p w14:paraId="0EB00DAB">
            <w:pPr>
              <w:spacing w:line="400" w:lineRule="exact"/>
              <w:jc w:val="center"/>
              <w:rPr>
                <w:rFonts w:hint="eastAsia" w:ascii="宋体" w:hAnsi="宋体"/>
                <w:color w:val="auto"/>
                <w:kern w:val="0"/>
                <w:highlight w:val="none"/>
              </w:rPr>
            </w:pPr>
          </w:p>
        </w:tc>
        <w:tc>
          <w:tcPr>
            <w:tcW w:w="2267" w:type="dxa"/>
            <w:tcBorders>
              <w:right w:val="single" w:color="auto" w:sz="4" w:space="0"/>
            </w:tcBorders>
            <w:noWrap w:val="0"/>
            <w:vAlign w:val="center"/>
          </w:tcPr>
          <w:p w14:paraId="7EE6A87F">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投标报价算术错误修正</w:t>
            </w:r>
          </w:p>
        </w:tc>
        <w:tc>
          <w:tcPr>
            <w:tcW w:w="4615" w:type="dxa"/>
            <w:tcBorders>
              <w:left w:val="single" w:color="auto" w:sz="4" w:space="0"/>
            </w:tcBorders>
            <w:noWrap w:val="0"/>
            <w:vAlign w:val="center"/>
          </w:tcPr>
          <w:p w14:paraId="15C5734C">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符合第三章“评标办法”第3.2.3项规定。</w:t>
            </w:r>
          </w:p>
        </w:tc>
      </w:tr>
      <w:tr w14:paraId="6446F9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1243" w:type="dxa"/>
            <w:tcBorders>
              <w:right w:val="single" w:color="auto" w:sz="4" w:space="0"/>
            </w:tcBorders>
            <w:noWrap w:val="0"/>
            <w:vAlign w:val="center"/>
          </w:tcPr>
          <w:p w14:paraId="70A598B8">
            <w:pPr>
              <w:spacing w:line="400" w:lineRule="exact"/>
              <w:jc w:val="center"/>
              <w:rPr>
                <w:rFonts w:ascii="宋体" w:hAnsi="宋体"/>
                <w:color w:val="auto"/>
                <w:highlight w:val="none"/>
              </w:rPr>
            </w:pPr>
            <w:r>
              <w:rPr>
                <w:rFonts w:ascii="宋体" w:hAnsi="宋体"/>
                <w:color w:val="auto"/>
                <w:highlight w:val="none"/>
              </w:rPr>
              <w:t>3</w:t>
            </w:r>
          </w:p>
        </w:tc>
        <w:tc>
          <w:tcPr>
            <w:tcW w:w="1560" w:type="dxa"/>
            <w:tcBorders>
              <w:left w:val="single" w:color="auto" w:sz="4" w:space="0"/>
              <w:right w:val="single" w:color="auto" w:sz="4" w:space="0"/>
            </w:tcBorders>
            <w:noWrap w:val="0"/>
            <w:vAlign w:val="center"/>
          </w:tcPr>
          <w:p w14:paraId="5E984F51">
            <w:pPr>
              <w:spacing w:line="400" w:lineRule="exact"/>
              <w:jc w:val="center"/>
              <w:rPr>
                <w:rFonts w:ascii="宋体" w:hAnsi="宋体"/>
                <w:color w:val="auto"/>
                <w:highlight w:val="none"/>
              </w:rPr>
            </w:pPr>
            <w:r>
              <w:rPr>
                <w:rFonts w:hint="eastAsia" w:ascii="宋体" w:hAnsi="宋体"/>
                <w:color w:val="auto"/>
                <w:highlight w:val="none"/>
              </w:rPr>
              <w:t>评标程序</w:t>
            </w:r>
          </w:p>
        </w:tc>
        <w:tc>
          <w:tcPr>
            <w:tcW w:w="6882" w:type="dxa"/>
            <w:gridSpan w:val="2"/>
            <w:tcBorders>
              <w:left w:val="single" w:color="auto" w:sz="4" w:space="0"/>
            </w:tcBorders>
            <w:noWrap w:val="0"/>
            <w:vAlign w:val="center"/>
          </w:tcPr>
          <w:p w14:paraId="404B459B">
            <w:pPr>
              <w:spacing w:after="31" w:afterLines="10" w:line="400" w:lineRule="exact"/>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对报价不高于最高限价的所有投标人的投标文件，按照报价由低到高的顺序排序。需技术方案评审的，由电子评标系统对技术方案进行自动随机编号。在投标函部分及经济部分评审前，推送给评标委员会的投标文件不得显示排序。</w:t>
            </w:r>
          </w:p>
          <w:p w14:paraId="014DAD1B">
            <w:pPr>
              <w:spacing w:after="31" w:afterLines="10" w:line="400" w:lineRule="exact"/>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2.根据本章第2.2款约定进行符合性审查</w:t>
            </w:r>
            <w:r>
              <w:rPr>
                <w:rFonts w:hint="eastAsia" w:ascii="宋体" w:hAnsi="宋体"/>
                <w:color w:val="auto"/>
                <w:spacing w:val="4"/>
                <w:kern w:val="0"/>
                <w:szCs w:val="21"/>
                <w:highlight w:val="none"/>
              </w:rPr>
              <w:t>。符合性审查</w:t>
            </w:r>
            <w:r>
              <w:rPr>
                <w:rFonts w:hint="eastAsia" w:ascii="宋体" w:hAnsi="宋体"/>
                <w:color w:val="auto"/>
                <w:kern w:val="0"/>
                <w:szCs w:val="21"/>
                <w:highlight w:val="none"/>
              </w:rPr>
              <w:t>合格的投标人中，报价最低的成为第一中标候选人，报价次低的成为第二中标候选人，依次类推。</w:t>
            </w:r>
          </w:p>
          <w:p w14:paraId="205467BD">
            <w:pPr>
              <w:spacing w:after="31" w:afterLines="10" w:line="400" w:lineRule="exact"/>
              <w:ind w:firstLine="420" w:firstLineChars="200"/>
              <w:jc w:val="left"/>
              <w:rPr>
                <w:rFonts w:hint="eastAsia" w:ascii="宋体" w:hAnsi="宋体"/>
                <w:color w:val="auto"/>
                <w:kern w:val="0"/>
                <w:szCs w:val="21"/>
                <w:highlight w:val="none"/>
              </w:rPr>
            </w:pPr>
            <w:r>
              <w:rPr>
                <w:rFonts w:hint="eastAsia" w:ascii="宋体" w:hAnsi="宋体"/>
                <w:i/>
                <w:color w:val="auto"/>
                <w:kern w:val="0"/>
                <w:highlight w:val="none"/>
              </w:rPr>
              <w:t>[提示：勾选技术方案评审的，符合性审查应首先进行技术方案评审，再按照资格、形式、响应性、投标函部分及经济部分的顺序进行评审。]</w:t>
            </w:r>
          </w:p>
          <w:p w14:paraId="7C7CCA5C">
            <w:pPr>
              <w:spacing w:after="31" w:afterLines="10" w:line="400" w:lineRule="exact"/>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3.</w:t>
            </w:r>
            <w:r>
              <w:rPr>
                <w:rFonts w:hint="eastAsia" w:ascii="宋体" w:hAnsi="宋体"/>
                <w:color w:val="auto"/>
                <w:spacing w:val="4"/>
                <w:kern w:val="0"/>
                <w:szCs w:val="21"/>
                <w:highlight w:val="none"/>
              </w:rPr>
              <w:t>若上述程序未能评出三名中标候选人</w:t>
            </w:r>
            <w:r>
              <w:rPr>
                <w:rFonts w:hint="eastAsia" w:ascii="宋体" w:hAnsi="宋体"/>
                <w:color w:val="auto"/>
                <w:kern w:val="0"/>
                <w:szCs w:val="21"/>
                <w:highlight w:val="none"/>
              </w:rPr>
              <w:t>，则评标委员会对剩余投标文件继续按上述第2条进行评审，直至评出三名中标候选人，或者评审完所有投标文件。</w:t>
            </w:r>
          </w:p>
          <w:p w14:paraId="0DBFF776">
            <w:pPr>
              <w:spacing w:after="31" w:afterLines="10" w:line="400" w:lineRule="exact"/>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w:t>
            </w:r>
            <w:r>
              <w:rPr>
                <w:rFonts w:hint="eastAsia"/>
                <w:color w:val="auto"/>
                <w:highlight w:val="none"/>
              </w:rPr>
              <w:t xml:space="preserve"> </w:t>
            </w:r>
            <w:r>
              <w:rPr>
                <w:rFonts w:hint="eastAsia" w:ascii="宋体" w:hAnsi="宋体"/>
                <w:color w:val="auto"/>
                <w:kern w:val="0"/>
                <w:szCs w:val="21"/>
                <w:highlight w:val="none"/>
              </w:rPr>
              <w:t>因评标委员会作否决投标处理，导致有效投标人不足三个的，评标委员会应当否决所有投标。但是有效投标人的经济、技术等指标仍然具有市场竞争力，并满足招标文件要求的，评标委员会可以继续评标并确定中标候选人。</w:t>
            </w:r>
          </w:p>
          <w:p w14:paraId="619DDAA5">
            <w:pPr>
              <w:spacing w:after="31" w:afterLines="10" w:line="400" w:lineRule="exact"/>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注：若出现投标人投标报价相同的，以“投标人在红名单中优先”的原则排序</w:t>
            </w:r>
            <w:r>
              <w:rPr>
                <w:rFonts w:hint="eastAsia" w:ascii="宋体" w:hAnsi="宋体"/>
                <w:color w:val="auto"/>
                <w:spacing w:val="4"/>
                <w:kern w:val="0"/>
                <w:szCs w:val="21"/>
                <w:highlight w:val="none"/>
              </w:rPr>
              <w:t>（红名单建立完善后使用；联合体投标的，须联合体牵头人在红名单中）</w:t>
            </w:r>
            <w:r>
              <w:rPr>
                <w:rFonts w:hint="eastAsia" w:ascii="宋体" w:hAnsi="宋体"/>
                <w:color w:val="auto"/>
                <w:kern w:val="0"/>
                <w:szCs w:val="21"/>
                <w:highlight w:val="none"/>
              </w:rPr>
              <w:t>；投标人均在红名单中</w:t>
            </w:r>
            <w:r>
              <w:rPr>
                <w:rFonts w:hint="eastAsia" w:ascii="宋体" w:hAnsi="宋体"/>
                <w:color w:val="auto"/>
                <w:spacing w:val="4"/>
                <w:kern w:val="0"/>
                <w:szCs w:val="21"/>
                <w:highlight w:val="none"/>
              </w:rPr>
              <w:t>或均不在红名单中的，由评标委员会按照</w:t>
            </w:r>
            <w:r>
              <w:rPr>
                <w:rFonts w:hint="eastAsia" w:ascii="宋体" w:hAnsi="宋体"/>
                <w:color w:val="auto"/>
                <w:spacing w:val="4"/>
                <w:kern w:val="0"/>
                <w:szCs w:val="21"/>
                <w:highlight w:val="none"/>
                <w:u w:val="single"/>
              </w:rPr>
              <w:t xml:space="preserve">         </w:t>
            </w:r>
            <w:r>
              <w:rPr>
                <w:rFonts w:hint="eastAsia" w:ascii="宋体" w:hAnsi="宋体"/>
                <w:color w:val="auto"/>
                <w:spacing w:val="4"/>
                <w:kern w:val="0"/>
                <w:szCs w:val="21"/>
                <w:highlight w:val="none"/>
              </w:rPr>
              <w:t>原则排序。</w:t>
            </w:r>
            <w:r>
              <w:rPr>
                <w:rFonts w:hint="eastAsia" w:ascii="宋体" w:hAnsi="宋体"/>
                <w:i/>
                <w:color w:val="auto"/>
                <w:spacing w:val="4"/>
                <w:kern w:val="0"/>
                <w:szCs w:val="21"/>
                <w:highlight w:val="none"/>
              </w:rPr>
              <w:t>[提示：由招标人事先在招标文件中按照有利于合同履行的原则确定。]</w:t>
            </w:r>
          </w:p>
        </w:tc>
      </w:tr>
      <w:tr w14:paraId="6EA929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1243" w:type="dxa"/>
            <w:tcBorders>
              <w:right w:val="single" w:color="auto" w:sz="4" w:space="0"/>
            </w:tcBorders>
            <w:noWrap w:val="0"/>
            <w:vAlign w:val="center"/>
          </w:tcPr>
          <w:p w14:paraId="077ABB66">
            <w:pPr>
              <w:spacing w:line="400" w:lineRule="exact"/>
              <w:jc w:val="center"/>
              <w:rPr>
                <w:rFonts w:ascii="宋体" w:hAnsi="宋体"/>
                <w:color w:val="auto"/>
                <w:highlight w:val="none"/>
              </w:rPr>
            </w:pPr>
            <w:r>
              <w:rPr>
                <w:rFonts w:hint="eastAsia" w:ascii="宋体" w:hAnsi="宋体"/>
                <w:color w:val="auto"/>
                <w:highlight w:val="none"/>
              </w:rPr>
              <w:t>3.4</w:t>
            </w:r>
          </w:p>
        </w:tc>
        <w:tc>
          <w:tcPr>
            <w:tcW w:w="1560" w:type="dxa"/>
            <w:tcBorders>
              <w:left w:val="single" w:color="auto" w:sz="4" w:space="0"/>
              <w:right w:val="single" w:color="auto" w:sz="4" w:space="0"/>
            </w:tcBorders>
            <w:noWrap w:val="0"/>
            <w:vAlign w:val="center"/>
          </w:tcPr>
          <w:p w14:paraId="7F1371B1">
            <w:pPr>
              <w:spacing w:line="400" w:lineRule="exact"/>
              <w:jc w:val="center"/>
              <w:rPr>
                <w:rFonts w:ascii="宋体" w:hAnsi="宋体"/>
                <w:color w:val="auto"/>
                <w:highlight w:val="none"/>
              </w:rPr>
            </w:pPr>
            <w:r>
              <w:rPr>
                <w:rFonts w:ascii="宋体" w:hAnsi="宋体"/>
                <w:color w:val="auto"/>
                <w:highlight w:val="none"/>
              </w:rPr>
              <w:t>评标结果</w:t>
            </w:r>
          </w:p>
        </w:tc>
        <w:tc>
          <w:tcPr>
            <w:tcW w:w="6882" w:type="dxa"/>
            <w:gridSpan w:val="2"/>
            <w:tcBorders>
              <w:left w:val="single" w:color="auto" w:sz="4" w:space="0"/>
            </w:tcBorders>
            <w:noWrap w:val="0"/>
            <w:vAlign w:val="center"/>
          </w:tcPr>
          <w:p w14:paraId="32D48258">
            <w:pPr>
              <w:autoSpaceDE w:val="0"/>
              <w:autoSpaceDN w:val="0"/>
              <w:adjustRightInd w:val="0"/>
              <w:snapToGrid w:val="0"/>
              <w:spacing w:line="400" w:lineRule="exact"/>
              <w:ind w:firstLine="420"/>
              <w:jc w:val="left"/>
              <w:rPr>
                <w:rFonts w:ascii="宋体" w:hAnsi="宋体"/>
                <w:color w:val="auto"/>
                <w:kern w:val="0"/>
                <w:szCs w:val="21"/>
                <w:highlight w:val="none"/>
              </w:rPr>
            </w:pPr>
            <w:r>
              <w:rPr>
                <w:rFonts w:ascii="宋体" w:hAnsi="宋体"/>
                <w:color w:val="auto"/>
                <w:kern w:val="0"/>
                <w:szCs w:val="21"/>
                <w:highlight w:val="none"/>
              </w:rPr>
              <w:t>3.</w:t>
            </w:r>
            <w:r>
              <w:rPr>
                <w:rFonts w:ascii="宋体" w:hAnsi="宋体"/>
                <w:color w:val="auto"/>
                <w:spacing w:val="-1"/>
                <w:kern w:val="0"/>
                <w:szCs w:val="21"/>
                <w:highlight w:val="none"/>
              </w:rPr>
              <w:t>4</w:t>
            </w:r>
            <w:r>
              <w:rPr>
                <w:rFonts w:ascii="宋体" w:hAnsi="宋体"/>
                <w:color w:val="auto"/>
                <w:kern w:val="0"/>
                <w:szCs w:val="21"/>
                <w:highlight w:val="none"/>
              </w:rPr>
              <w:t>.1</w:t>
            </w:r>
            <w:r>
              <w:rPr>
                <w:rFonts w:hint="eastAsia" w:ascii="宋体" w:hAnsi="宋体"/>
                <w:color w:val="auto"/>
                <w:kern w:val="0"/>
                <w:szCs w:val="21"/>
                <w:highlight w:val="none"/>
              </w:rPr>
              <w:t xml:space="preserve"> </w:t>
            </w:r>
            <w:r>
              <w:rPr>
                <w:rFonts w:ascii="宋体" w:hAnsi="宋体"/>
                <w:color w:val="auto"/>
                <w:kern w:val="0"/>
                <w:szCs w:val="21"/>
                <w:highlight w:val="none"/>
              </w:rPr>
              <w:t>除第二章“投标</w:t>
            </w:r>
            <w:r>
              <w:rPr>
                <w:rFonts w:ascii="宋体" w:hAnsi="宋体"/>
                <w:color w:val="auto"/>
                <w:spacing w:val="1"/>
                <w:kern w:val="0"/>
                <w:szCs w:val="21"/>
                <w:highlight w:val="none"/>
              </w:rPr>
              <w:t>人</w:t>
            </w:r>
            <w:r>
              <w:rPr>
                <w:rFonts w:ascii="宋体" w:hAnsi="宋体"/>
                <w:color w:val="auto"/>
                <w:kern w:val="0"/>
                <w:szCs w:val="21"/>
                <w:highlight w:val="none"/>
              </w:rPr>
              <w:t>须知”前</w:t>
            </w:r>
            <w:r>
              <w:rPr>
                <w:rFonts w:ascii="宋体" w:hAnsi="宋体"/>
                <w:color w:val="auto"/>
                <w:spacing w:val="1"/>
                <w:kern w:val="0"/>
                <w:szCs w:val="21"/>
                <w:highlight w:val="none"/>
              </w:rPr>
              <w:t>附</w:t>
            </w:r>
            <w:r>
              <w:rPr>
                <w:rFonts w:ascii="宋体" w:hAnsi="宋体"/>
                <w:color w:val="auto"/>
                <w:kern w:val="0"/>
                <w:szCs w:val="21"/>
                <w:highlight w:val="none"/>
              </w:rPr>
              <w:t>表授权直</w:t>
            </w:r>
            <w:r>
              <w:rPr>
                <w:rFonts w:ascii="宋体" w:hAnsi="宋体"/>
                <w:color w:val="auto"/>
                <w:spacing w:val="1"/>
                <w:kern w:val="0"/>
                <w:szCs w:val="21"/>
                <w:highlight w:val="none"/>
              </w:rPr>
              <w:t>接</w:t>
            </w:r>
            <w:r>
              <w:rPr>
                <w:rFonts w:ascii="宋体" w:hAnsi="宋体"/>
                <w:color w:val="auto"/>
                <w:kern w:val="0"/>
                <w:szCs w:val="21"/>
                <w:highlight w:val="none"/>
              </w:rPr>
              <w:t>确定中标</w:t>
            </w:r>
            <w:r>
              <w:rPr>
                <w:rFonts w:ascii="宋体" w:hAnsi="宋体"/>
                <w:color w:val="auto"/>
                <w:spacing w:val="1"/>
                <w:kern w:val="0"/>
                <w:szCs w:val="21"/>
                <w:highlight w:val="none"/>
              </w:rPr>
              <w:t>人</w:t>
            </w:r>
            <w:r>
              <w:rPr>
                <w:rFonts w:ascii="宋体" w:hAnsi="宋体"/>
                <w:color w:val="auto"/>
                <w:kern w:val="0"/>
                <w:szCs w:val="21"/>
                <w:highlight w:val="none"/>
              </w:rPr>
              <w:t>外，评标</w:t>
            </w:r>
            <w:r>
              <w:rPr>
                <w:rFonts w:ascii="宋体" w:hAnsi="宋体"/>
                <w:color w:val="auto"/>
                <w:spacing w:val="1"/>
                <w:kern w:val="0"/>
                <w:szCs w:val="21"/>
                <w:highlight w:val="none"/>
              </w:rPr>
              <w:t>委</w:t>
            </w:r>
            <w:r>
              <w:rPr>
                <w:rFonts w:ascii="宋体" w:hAnsi="宋体"/>
                <w:color w:val="auto"/>
                <w:kern w:val="0"/>
                <w:szCs w:val="21"/>
                <w:highlight w:val="none"/>
              </w:rPr>
              <w:t>员会</w:t>
            </w:r>
            <w:r>
              <w:rPr>
                <w:rFonts w:hint="eastAsia" w:ascii="宋体" w:hAnsi="宋体"/>
                <w:color w:val="auto"/>
                <w:kern w:val="0"/>
                <w:szCs w:val="21"/>
                <w:highlight w:val="none"/>
              </w:rPr>
              <w:t>按经评审的最低投标价法</w:t>
            </w:r>
            <w:r>
              <w:rPr>
                <w:rFonts w:ascii="宋体" w:hAnsi="宋体"/>
                <w:color w:val="auto"/>
                <w:kern w:val="0"/>
                <w:szCs w:val="21"/>
                <w:highlight w:val="none"/>
              </w:rPr>
              <w:t>推荐中标候选人。</w:t>
            </w:r>
          </w:p>
          <w:p w14:paraId="56C531E8">
            <w:pPr>
              <w:spacing w:line="400" w:lineRule="exact"/>
              <w:ind w:firstLine="424" w:firstLineChars="200"/>
              <w:rPr>
                <w:rFonts w:ascii="宋体" w:hAnsi="宋体"/>
                <w:color w:val="auto"/>
                <w:highlight w:val="none"/>
              </w:rPr>
            </w:pPr>
            <w:r>
              <w:rPr>
                <w:rFonts w:ascii="宋体" w:hAnsi="宋体"/>
                <w:color w:val="auto"/>
                <w:spacing w:val="1"/>
                <w:kern w:val="0"/>
                <w:szCs w:val="21"/>
                <w:highlight w:val="none"/>
              </w:rPr>
              <w:t>3</w:t>
            </w:r>
            <w:r>
              <w:rPr>
                <w:rFonts w:ascii="宋体" w:hAnsi="宋体"/>
                <w:color w:val="auto"/>
                <w:kern w:val="0"/>
                <w:szCs w:val="21"/>
                <w:highlight w:val="none"/>
              </w:rPr>
              <w:t>.4.2</w:t>
            </w:r>
            <w:r>
              <w:rPr>
                <w:rFonts w:hint="eastAsia" w:ascii="宋体" w:hAnsi="宋体"/>
                <w:color w:val="auto"/>
                <w:kern w:val="0"/>
                <w:szCs w:val="21"/>
                <w:highlight w:val="none"/>
              </w:rPr>
              <w:t xml:space="preserve"> </w:t>
            </w:r>
            <w:r>
              <w:rPr>
                <w:rFonts w:ascii="宋体" w:hAnsi="宋体"/>
                <w:color w:val="auto"/>
                <w:kern w:val="0"/>
                <w:szCs w:val="21"/>
                <w:highlight w:val="none"/>
              </w:rPr>
              <w:t>评标</w:t>
            </w:r>
            <w:r>
              <w:rPr>
                <w:rFonts w:ascii="宋体" w:hAnsi="宋体"/>
                <w:color w:val="auto"/>
                <w:spacing w:val="-1"/>
                <w:kern w:val="0"/>
                <w:szCs w:val="21"/>
                <w:highlight w:val="none"/>
              </w:rPr>
              <w:t>委</w:t>
            </w:r>
            <w:r>
              <w:rPr>
                <w:rFonts w:ascii="宋体" w:hAnsi="宋体"/>
                <w:color w:val="auto"/>
                <w:kern w:val="0"/>
                <w:szCs w:val="21"/>
                <w:highlight w:val="none"/>
              </w:rPr>
              <w:t>员会完成评标后，应当向招标人提交书面评标报告。</w:t>
            </w:r>
          </w:p>
        </w:tc>
      </w:tr>
    </w:tbl>
    <w:p w14:paraId="3B0181DB">
      <w:pPr>
        <w:pStyle w:val="4"/>
        <w:spacing w:before="0" w:after="0" w:line="360" w:lineRule="auto"/>
        <w:rPr>
          <w:rFonts w:ascii="宋体" w:hAnsi="宋体"/>
          <w:bCs w:val="0"/>
          <w:snapToGrid w:val="0"/>
          <w:color w:val="auto"/>
          <w:highlight w:val="none"/>
        </w:rPr>
      </w:pPr>
      <w:r>
        <w:rPr>
          <w:rFonts w:ascii="宋体" w:hAnsi="宋体"/>
          <w:bCs w:val="0"/>
          <w:snapToGrid w:val="0"/>
          <w:color w:val="auto"/>
          <w:highlight w:val="none"/>
        </w:rPr>
        <w:br w:type="page"/>
      </w:r>
      <w:bookmarkStart w:id="580" w:name="_Toc57820616"/>
      <w:r>
        <w:rPr>
          <w:rFonts w:ascii="宋体" w:hAnsi="宋体"/>
          <w:b w:val="0"/>
          <w:snapToGrid w:val="0"/>
          <w:color w:val="auto"/>
          <w:highlight w:val="none"/>
        </w:rPr>
        <w:t>1.  评标方法</w:t>
      </w:r>
      <w:bookmarkEnd w:id="580"/>
    </w:p>
    <w:p w14:paraId="2CB2CDC9">
      <w:pPr>
        <w:spacing w:line="360" w:lineRule="auto"/>
        <w:ind w:firstLine="420" w:firstLineChars="200"/>
        <w:rPr>
          <w:rFonts w:ascii="宋体" w:hAnsi="宋体"/>
          <w:color w:val="auto"/>
          <w:highlight w:val="none"/>
        </w:rPr>
      </w:pPr>
      <w:r>
        <w:rPr>
          <w:rFonts w:hint="eastAsia" w:ascii="宋体" w:hAnsi="宋体"/>
          <w:color w:val="auto"/>
          <w:highlight w:val="none"/>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评标办法前附表约定的原则确定排序。</w:t>
      </w:r>
    </w:p>
    <w:p w14:paraId="6D904C5A">
      <w:pPr>
        <w:pStyle w:val="4"/>
        <w:spacing w:before="0" w:after="0" w:line="360" w:lineRule="auto"/>
        <w:rPr>
          <w:rFonts w:ascii="宋体" w:hAnsi="宋体"/>
          <w:b w:val="0"/>
          <w:snapToGrid w:val="0"/>
          <w:color w:val="auto"/>
          <w:highlight w:val="none"/>
        </w:rPr>
      </w:pPr>
      <w:bookmarkStart w:id="581" w:name="_Toc57820617"/>
      <w:r>
        <w:rPr>
          <w:rFonts w:ascii="宋体" w:hAnsi="宋体"/>
          <w:b w:val="0"/>
          <w:snapToGrid w:val="0"/>
          <w:color w:val="auto"/>
          <w:highlight w:val="none"/>
        </w:rPr>
        <w:t>2.  评审标准</w:t>
      </w:r>
      <w:bookmarkEnd w:id="581"/>
    </w:p>
    <w:p w14:paraId="119D2246">
      <w:pPr>
        <w:pStyle w:val="5"/>
        <w:spacing w:before="0" w:after="0" w:line="360" w:lineRule="auto"/>
        <w:rPr>
          <w:rFonts w:ascii="宋体" w:hAnsi="宋体" w:cs="宋体"/>
          <w:color w:val="auto"/>
          <w:sz w:val="21"/>
          <w:szCs w:val="21"/>
          <w:highlight w:val="none"/>
        </w:rPr>
      </w:pPr>
      <w:bookmarkStart w:id="582" w:name="_Toc57820618"/>
      <w:r>
        <w:rPr>
          <w:rFonts w:ascii="宋体" w:hAnsi="宋体" w:cs="宋体"/>
          <w:color w:val="auto"/>
          <w:sz w:val="21"/>
          <w:szCs w:val="21"/>
          <w:highlight w:val="none"/>
        </w:rPr>
        <w:t>2.1</w:t>
      </w:r>
      <w:r>
        <w:rPr>
          <w:rFonts w:hint="eastAsia" w:ascii="宋体" w:hAnsi="宋体" w:cs="宋体"/>
          <w:color w:val="auto"/>
          <w:sz w:val="21"/>
          <w:szCs w:val="21"/>
          <w:highlight w:val="none"/>
        </w:rPr>
        <w:t>报价</w:t>
      </w:r>
      <w:r>
        <w:rPr>
          <w:rFonts w:ascii="宋体" w:hAnsi="宋体" w:cs="宋体"/>
          <w:color w:val="auto"/>
          <w:sz w:val="21"/>
          <w:szCs w:val="21"/>
          <w:highlight w:val="none"/>
        </w:rPr>
        <w:t>排序</w:t>
      </w:r>
      <w:r>
        <w:rPr>
          <w:rFonts w:hint="eastAsia" w:ascii="宋体" w:hAnsi="宋体" w:cs="宋体"/>
          <w:color w:val="auto"/>
          <w:sz w:val="21"/>
          <w:szCs w:val="21"/>
          <w:highlight w:val="none"/>
        </w:rPr>
        <w:t>标准</w:t>
      </w:r>
      <w:bookmarkEnd w:id="582"/>
    </w:p>
    <w:p w14:paraId="55C605F8">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见评标办法前附表。</w:t>
      </w:r>
    </w:p>
    <w:p w14:paraId="7BE49035">
      <w:pPr>
        <w:pStyle w:val="5"/>
        <w:spacing w:before="0" w:after="0" w:line="360" w:lineRule="auto"/>
        <w:rPr>
          <w:rFonts w:ascii="宋体" w:hAnsi="宋体" w:cs="宋体"/>
          <w:color w:val="auto"/>
          <w:sz w:val="21"/>
          <w:szCs w:val="21"/>
          <w:highlight w:val="none"/>
        </w:rPr>
      </w:pPr>
      <w:bookmarkStart w:id="583" w:name="_Toc57820619"/>
      <w:r>
        <w:rPr>
          <w:rFonts w:ascii="宋体" w:hAnsi="宋体" w:cs="宋体"/>
          <w:color w:val="auto"/>
          <w:sz w:val="21"/>
          <w:szCs w:val="21"/>
          <w:highlight w:val="none"/>
        </w:rPr>
        <w:t>2.</w:t>
      </w:r>
      <w:r>
        <w:rPr>
          <w:rFonts w:hint="eastAsia" w:ascii="宋体" w:hAnsi="宋体" w:cs="宋体"/>
          <w:color w:val="auto"/>
          <w:sz w:val="21"/>
          <w:szCs w:val="21"/>
          <w:highlight w:val="none"/>
        </w:rPr>
        <w:t>2符合性审查标准</w:t>
      </w:r>
      <w:bookmarkEnd w:id="583"/>
    </w:p>
    <w:p w14:paraId="473FFE1E">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按评标办法前附表约定的投标单位报价排序数量进行符合性审查</w:t>
      </w:r>
      <w:r>
        <w:rPr>
          <w:rFonts w:hint="eastAsia" w:ascii="宋体" w:hAnsi="宋体"/>
          <w:color w:val="auto"/>
          <w:spacing w:val="4"/>
          <w:kern w:val="0"/>
          <w:szCs w:val="21"/>
          <w:highlight w:val="none"/>
        </w:rPr>
        <w:t>。符合性审查内容：技术方案评审（如有）、资格评审、形式评审、响应性、投标函部分及经济部分评审</w:t>
      </w:r>
      <w:r>
        <w:rPr>
          <w:rFonts w:hint="eastAsia" w:ascii="宋体" w:hAnsi="宋体" w:cs="宋体"/>
          <w:color w:val="auto"/>
          <w:szCs w:val="21"/>
          <w:highlight w:val="none"/>
        </w:rPr>
        <w:t>。</w:t>
      </w:r>
    </w:p>
    <w:p w14:paraId="08066C2F">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2.2.1  技术方案评审标准：见评标办法前附表。</w:t>
      </w:r>
    </w:p>
    <w:p w14:paraId="69A8F74D">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2A  资格评审标准：见资格预审文件第三章“资格审查办法”详细审查标准（适用于已进行资格预审的）。</w:t>
      </w:r>
    </w:p>
    <w:p w14:paraId="6FB40A4B">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2B  资格评审标准：见评标办法前附表（适用于未进行资格预审的）。</w:t>
      </w:r>
    </w:p>
    <w:p w14:paraId="6D397308">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3  形式评审标准：见评标办法前附表。</w:t>
      </w:r>
    </w:p>
    <w:p w14:paraId="0C6EBEBC">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4  响应性评审标准：见评标办法前附表。</w:t>
      </w:r>
    </w:p>
    <w:p w14:paraId="20BB83D9">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2.2.5  投标函部分及经济部分评审标准：见评标办法前附表。</w:t>
      </w:r>
    </w:p>
    <w:p w14:paraId="056AE6BF">
      <w:pPr>
        <w:pStyle w:val="4"/>
        <w:spacing w:before="0" w:after="0" w:line="360" w:lineRule="auto"/>
        <w:rPr>
          <w:rFonts w:ascii="宋体" w:hAnsi="宋体"/>
          <w:b w:val="0"/>
          <w:snapToGrid w:val="0"/>
          <w:color w:val="auto"/>
          <w:highlight w:val="none"/>
        </w:rPr>
      </w:pPr>
      <w:bookmarkStart w:id="584" w:name="_Toc57820620"/>
      <w:r>
        <w:rPr>
          <w:rFonts w:ascii="宋体" w:hAnsi="宋体"/>
          <w:b w:val="0"/>
          <w:snapToGrid w:val="0"/>
          <w:color w:val="auto"/>
          <w:highlight w:val="none"/>
        </w:rPr>
        <w:t>3.  评标程序</w:t>
      </w:r>
      <w:bookmarkEnd w:id="584"/>
    </w:p>
    <w:p w14:paraId="4CEF469B">
      <w:pPr>
        <w:pStyle w:val="5"/>
        <w:spacing w:before="0" w:after="0" w:line="360" w:lineRule="auto"/>
        <w:rPr>
          <w:rFonts w:ascii="宋体" w:hAnsi="宋体" w:cs="宋体"/>
          <w:color w:val="auto"/>
          <w:sz w:val="21"/>
          <w:szCs w:val="21"/>
          <w:highlight w:val="none"/>
        </w:rPr>
      </w:pPr>
      <w:bookmarkStart w:id="585" w:name="_Toc57820621"/>
      <w:r>
        <w:rPr>
          <w:rFonts w:ascii="宋体" w:hAnsi="宋体" w:cs="宋体"/>
          <w:color w:val="auto"/>
          <w:sz w:val="21"/>
          <w:szCs w:val="21"/>
          <w:highlight w:val="none"/>
        </w:rPr>
        <w:t>3.1</w:t>
      </w:r>
      <w:r>
        <w:rPr>
          <w:rFonts w:hint="eastAsia" w:ascii="宋体" w:hAnsi="宋体" w:cs="宋体"/>
          <w:color w:val="auto"/>
          <w:sz w:val="21"/>
          <w:szCs w:val="21"/>
          <w:highlight w:val="none"/>
        </w:rPr>
        <w:t>报价排序</w:t>
      </w:r>
      <w:bookmarkEnd w:id="585"/>
    </w:p>
    <w:p w14:paraId="5471C645">
      <w:pPr>
        <w:spacing w:line="360" w:lineRule="auto"/>
        <w:ind w:firstLine="413" w:firstLineChars="197"/>
        <w:rPr>
          <w:rFonts w:ascii="宋体" w:hAnsi="宋体" w:cs="宋体"/>
          <w:color w:val="auto"/>
          <w:szCs w:val="21"/>
          <w:highlight w:val="none"/>
        </w:rPr>
      </w:pPr>
      <w:r>
        <w:rPr>
          <w:rFonts w:hint="eastAsia" w:ascii="宋体" w:hAnsi="宋体" w:cs="宋体"/>
          <w:color w:val="auto"/>
          <w:szCs w:val="21"/>
          <w:highlight w:val="none"/>
        </w:rPr>
        <w:t>对报价不高于最高限价的所有投标人的投标文件，按照报价由低到高的顺序排序。需技术方案评审的，由电子评标系统对技术方案进行自动随机编号。在投标函部分及经济部分评审前，推送给评标委员会的投标文件不得显示排序。</w:t>
      </w:r>
    </w:p>
    <w:p w14:paraId="3B94C3B2">
      <w:pPr>
        <w:pStyle w:val="5"/>
        <w:spacing w:before="0" w:after="0" w:line="360" w:lineRule="auto"/>
        <w:rPr>
          <w:rFonts w:ascii="宋体" w:hAnsi="宋体" w:cs="宋体"/>
          <w:color w:val="auto"/>
          <w:sz w:val="21"/>
          <w:szCs w:val="21"/>
          <w:highlight w:val="none"/>
        </w:rPr>
      </w:pPr>
      <w:bookmarkStart w:id="586" w:name="_Toc57820622"/>
      <w:r>
        <w:rPr>
          <w:rFonts w:ascii="宋体" w:hAnsi="宋体" w:cs="宋体"/>
          <w:color w:val="auto"/>
          <w:sz w:val="21"/>
          <w:szCs w:val="21"/>
          <w:highlight w:val="none"/>
        </w:rPr>
        <w:t>3.</w:t>
      </w:r>
      <w:r>
        <w:rPr>
          <w:rFonts w:hint="eastAsia" w:ascii="宋体" w:hAnsi="宋体" w:cs="宋体"/>
          <w:color w:val="auto"/>
          <w:sz w:val="21"/>
          <w:szCs w:val="21"/>
          <w:highlight w:val="none"/>
        </w:rPr>
        <w:t>2符合性审查</w:t>
      </w:r>
      <w:bookmarkEnd w:id="586"/>
    </w:p>
    <w:p w14:paraId="76437D50">
      <w:pPr>
        <w:spacing w:line="360" w:lineRule="auto"/>
        <w:ind w:firstLine="413" w:firstLineChars="197"/>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.1评标委员会依据本章第2.</w:t>
      </w:r>
      <w:r>
        <w:rPr>
          <w:rFonts w:hint="eastAsia" w:ascii="宋体" w:hAnsi="宋体" w:cs="宋体"/>
          <w:color w:val="auto"/>
          <w:szCs w:val="21"/>
          <w:highlight w:val="none"/>
        </w:rPr>
        <w:t>2</w:t>
      </w:r>
      <w:r>
        <w:rPr>
          <w:rFonts w:ascii="宋体" w:hAnsi="宋体" w:cs="宋体"/>
          <w:color w:val="auto"/>
          <w:szCs w:val="21"/>
          <w:highlight w:val="none"/>
        </w:rPr>
        <w:t xml:space="preserve"> </w:t>
      </w:r>
      <w:r>
        <w:rPr>
          <w:rFonts w:hint="eastAsia" w:ascii="宋体" w:hAnsi="宋体" w:cs="宋体"/>
          <w:color w:val="auto"/>
          <w:szCs w:val="21"/>
          <w:highlight w:val="none"/>
        </w:rPr>
        <w:t>款规定的标准对投标文件进行符合性审查。符合性审查顺序：技术方案评审（如有）、资格评审、形式评审、响应性、投标函部分及经济部分评审。</w:t>
      </w:r>
    </w:p>
    <w:p w14:paraId="4AAE3D6B">
      <w:pPr>
        <w:spacing w:line="360" w:lineRule="auto"/>
        <w:ind w:firstLine="413" w:firstLineChars="197"/>
        <w:rPr>
          <w:rFonts w:ascii="宋体" w:hAnsi="宋体" w:cs="宋体"/>
          <w:color w:val="auto"/>
          <w:szCs w:val="21"/>
          <w:highlight w:val="none"/>
        </w:rPr>
      </w:pPr>
      <w:r>
        <w:rPr>
          <w:rFonts w:hint="eastAsia" w:ascii="宋体" w:hAnsi="宋体" w:cs="宋体"/>
          <w:color w:val="auto"/>
          <w:szCs w:val="21"/>
          <w:highlight w:val="none"/>
        </w:rPr>
        <w:t>勾选技术方案评审的，符合性审查应首先进行技术方案审查，再按照资格、形式、响应性、投标函部分及经济部分的顺序进行评审。有一项不符合评审标准的，作否决投标处理。</w:t>
      </w:r>
    </w:p>
    <w:p w14:paraId="5930F9F5">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.2 投标人有以下情形之一的，</w:t>
      </w:r>
      <w:r>
        <w:rPr>
          <w:rFonts w:hint="eastAsia" w:ascii="宋体" w:hAnsi="宋体" w:cs="宋体"/>
          <w:color w:val="auto"/>
          <w:szCs w:val="21"/>
          <w:highlight w:val="none"/>
        </w:rPr>
        <w:t>其投标文件将被否决：</w:t>
      </w:r>
    </w:p>
    <w:p w14:paraId="3B168C87">
      <w:pPr>
        <w:spacing w:line="360" w:lineRule="auto"/>
        <w:ind w:firstLine="405" w:firstLineChars="193"/>
        <w:rPr>
          <w:rFonts w:ascii="宋体" w:hAnsi="宋体" w:cs="宋体"/>
          <w:color w:val="auto"/>
          <w:szCs w:val="21"/>
          <w:highlight w:val="none"/>
        </w:rPr>
      </w:pPr>
      <w:r>
        <w:rPr>
          <w:rFonts w:hint="eastAsia" w:ascii="宋体" w:hAnsi="宋体" w:cs="宋体"/>
          <w:color w:val="auto"/>
          <w:szCs w:val="21"/>
          <w:highlight w:val="none"/>
        </w:rPr>
        <w:t>（1</w:t>
      </w:r>
      <w:r>
        <w:rPr>
          <w:rFonts w:ascii="宋体" w:hAnsi="宋体" w:cs="宋体"/>
          <w:color w:val="auto"/>
          <w:szCs w:val="21"/>
          <w:highlight w:val="none"/>
        </w:rPr>
        <w:t xml:space="preserve">）第二章“投标人须知”第1.4.3 </w:t>
      </w:r>
      <w:r>
        <w:rPr>
          <w:rFonts w:hint="eastAsia" w:ascii="宋体" w:hAnsi="宋体" w:cs="宋体"/>
          <w:color w:val="auto"/>
          <w:szCs w:val="21"/>
          <w:highlight w:val="none"/>
        </w:rPr>
        <w:t>项</w:t>
      </w:r>
      <w:r>
        <w:rPr>
          <w:rFonts w:ascii="宋体" w:hAnsi="宋体" w:cs="宋体"/>
          <w:color w:val="auto"/>
          <w:szCs w:val="21"/>
          <w:highlight w:val="none"/>
        </w:rPr>
        <w:t>规定的任何一种情形的；</w:t>
      </w:r>
    </w:p>
    <w:p w14:paraId="05FB640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本次投标有串通投标、弄虚作假等其他违反招投标相关法律、法规行为的；</w:t>
      </w:r>
    </w:p>
    <w:p w14:paraId="1DE8683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（3）拒绝按评标委员会要求澄清、说明或补正的。</w:t>
      </w:r>
    </w:p>
    <w:p w14:paraId="47B165C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3.2.3 投标报价有算术错误的，评标委员会按以下原则对投标报价进行修正，修正的价格经投标人书面确认后具有约束力，修正原则如下：</w:t>
      </w:r>
    </w:p>
    <w:p w14:paraId="451ED15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（1）投标文件中的大写金额与小写金额不一致的，以大写金额为准；</w:t>
      </w:r>
    </w:p>
    <w:p w14:paraId="64CCEF5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（2）投标函中的总报价与已标价工程量清单总报价不一致，且工程量清单总报价与依据单价、工程数量、分部分项工程合价计算出的结果不一致的，由评标委员会作否决投标处理。</w:t>
      </w:r>
    </w:p>
    <w:p w14:paraId="01E1678F">
      <w:pPr>
        <w:pStyle w:val="5"/>
        <w:spacing w:before="0" w:after="0" w:line="360" w:lineRule="auto"/>
        <w:rPr>
          <w:rFonts w:ascii="宋体" w:hAnsi="宋体" w:cs="宋体"/>
          <w:color w:val="auto"/>
          <w:sz w:val="21"/>
          <w:szCs w:val="21"/>
          <w:highlight w:val="none"/>
        </w:rPr>
      </w:pPr>
      <w:bookmarkStart w:id="587" w:name="_Toc57820623"/>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投标文件的澄清和补正</w:t>
      </w:r>
      <w:bookmarkEnd w:id="587"/>
    </w:p>
    <w:p w14:paraId="39A087B2">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.1 </w:t>
      </w:r>
      <w:r>
        <w:rPr>
          <w:rFonts w:hint="eastAsia" w:ascii="宋体" w:hAnsi="宋体" w:cs="宋体"/>
          <w:color w:val="auto"/>
          <w:szCs w:val="21"/>
          <w:highlight w:val="none"/>
        </w:rPr>
        <w:t>在评标过程中，评标委员会可以书面形式要求投标人对所提交投标文件中不明确的内容进行书面澄清或说明，或者对细微偏差进行补正。评标委员会不接受投标人主动提出的澄清、说明或补正。</w:t>
      </w:r>
    </w:p>
    <w:p w14:paraId="76C37594">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.2 </w:t>
      </w:r>
      <w:r>
        <w:rPr>
          <w:rFonts w:hint="eastAsia" w:ascii="宋体" w:hAnsi="宋体" w:cs="宋体"/>
          <w:color w:val="auto"/>
          <w:szCs w:val="21"/>
          <w:highlight w:val="none"/>
        </w:rPr>
        <w:t>澄清、说明和补正不得改变投标文件的实质性内容（算术性错误修正的除外）。投标人的书面澄清、说明和补正属于投标文件的组成部分。</w:t>
      </w:r>
    </w:p>
    <w:p w14:paraId="39CE7D1F">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.3 </w:t>
      </w:r>
      <w:r>
        <w:rPr>
          <w:rFonts w:hint="eastAsia" w:ascii="宋体" w:hAnsi="宋体" w:cs="宋体"/>
          <w:color w:val="auto"/>
          <w:szCs w:val="21"/>
          <w:highlight w:val="none"/>
        </w:rPr>
        <w:t>评标委员会对投标人提交的澄清、说明或补正有疑问的，可以要求投标人进一步澄清、说明或补正，直至满足评标委员会的要求。</w:t>
      </w:r>
    </w:p>
    <w:p w14:paraId="78531B04">
      <w:pPr>
        <w:pStyle w:val="5"/>
        <w:spacing w:before="0" w:after="0" w:line="360" w:lineRule="auto"/>
        <w:rPr>
          <w:rFonts w:ascii="宋体" w:hAnsi="宋体" w:cs="宋体"/>
          <w:color w:val="auto"/>
          <w:sz w:val="21"/>
          <w:szCs w:val="21"/>
          <w:highlight w:val="none"/>
        </w:rPr>
      </w:pPr>
      <w:bookmarkStart w:id="588" w:name="_Toc484465184"/>
      <w:bookmarkStart w:id="589" w:name="_Toc479262406"/>
      <w:bookmarkStart w:id="590" w:name="_Toc57820624"/>
      <w:r>
        <w:rPr>
          <w:rFonts w:ascii="宋体" w:hAnsi="宋体" w:cs="宋体"/>
          <w:color w:val="auto"/>
          <w:sz w:val="21"/>
          <w:szCs w:val="21"/>
          <w:highlight w:val="none"/>
        </w:rPr>
        <w:t>3.</w:t>
      </w:r>
      <w:r>
        <w:rPr>
          <w:rFonts w:hint="eastAsia" w:ascii="宋体" w:hAnsi="宋体" w:cs="宋体"/>
          <w:color w:val="auto"/>
          <w:sz w:val="21"/>
          <w:szCs w:val="21"/>
          <w:highlight w:val="none"/>
        </w:rPr>
        <w:t>4</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评标结果</w:t>
      </w:r>
      <w:bookmarkEnd w:id="588"/>
      <w:bookmarkEnd w:id="589"/>
      <w:bookmarkEnd w:id="590"/>
    </w:p>
    <w:p w14:paraId="49F6D7D1">
      <w:pPr>
        <w:autoSpaceDE w:val="0"/>
        <w:autoSpaceDN w:val="0"/>
        <w:adjustRightInd w:val="0"/>
        <w:spacing w:line="360" w:lineRule="auto"/>
        <w:ind w:firstLine="420" w:firstLineChars="200"/>
        <w:jc w:val="left"/>
        <w:rPr>
          <w:rFonts w:ascii="宋体" w:hAnsi="宋体" w:cs="宋体"/>
          <w:color w:val="auto"/>
          <w:kern w:val="0"/>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.1</w:t>
      </w:r>
      <w:r>
        <w:rPr>
          <w:rFonts w:hint="eastAsia" w:ascii="宋体" w:hAnsi="宋体" w:cs="宋体"/>
          <w:color w:val="auto"/>
          <w:szCs w:val="21"/>
          <w:highlight w:val="none"/>
        </w:rPr>
        <w:t xml:space="preserve"> 除第二章“投标人须知”前附表授权直接确定中标人外，评标委员会按经评审的最低投标价法推荐中标候选人。</w:t>
      </w:r>
    </w:p>
    <w:p w14:paraId="2FC06E16">
      <w:pPr>
        <w:spacing w:line="360" w:lineRule="auto"/>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.2</w:t>
      </w:r>
      <w:r>
        <w:rPr>
          <w:rFonts w:hint="eastAsia" w:ascii="宋体" w:hAnsi="宋体" w:cs="宋体"/>
          <w:color w:val="auto"/>
          <w:szCs w:val="21"/>
          <w:highlight w:val="none"/>
        </w:rPr>
        <w:t xml:space="preserve"> 评标委员会完成评标后，应当向招标人提交书面评标报告和中标候选人名单。</w:t>
      </w:r>
    </w:p>
    <w:p w14:paraId="11600981">
      <w:pPr>
        <w:pStyle w:val="33"/>
        <w:spacing w:line="360" w:lineRule="auto"/>
        <w:rPr>
          <w:rFonts w:ascii="宋体" w:hAnsi="宋体"/>
          <w:b/>
          <w:color w:val="auto"/>
          <w:sz w:val="28"/>
          <w:szCs w:val="28"/>
          <w:highlight w:val="none"/>
          <w:u w:val="none"/>
          <w:lang w:eastAsia="zh-CN"/>
        </w:rPr>
      </w:pPr>
      <w:r>
        <w:rPr>
          <w:rFonts w:ascii="宋体" w:hAnsi="宋体" w:cs="宋体"/>
          <w:color w:val="auto"/>
          <w:szCs w:val="21"/>
          <w:highlight w:val="none"/>
          <w:lang w:eastAsia="zh-CN"/>
        </w:rPr>
        <w:br w:type="page"/>
      </w:r>
      <w:r>
        <w:rPr>
          <w:rFonts w:ascii="宋体" w:hAnsi="宋体"/>
          <w:b/>
          <w:color w:val="auto"/>
          <w:sz w:val="28"/>
          <w:szCs w:val="28"/>
          <w:highlight w:val="none"/>
          <w:u w:val="none"/>
          <w:lang w:eastAsia="zh-CN"/>
        </w:rPr>
        <w:t>附件A：</w:t>
      </w:r>
      <w:r>
        <w:rPr>
          <w:rFonts w:hint="eastAsia" w:ascii="宋体" w:hAnsi="宋体"/>
          <w:b/>
          <w:color w:val="auto"/>
          <w:sz w:val="28"/>
          <w:szCs w:val="28"/>
          <w:highlight w:val="none"/>
          <w:u w:val="none"/>
          <w:lang w:eastAsia="zh-CN"/>
        </w:rPr>
        <w:t>经评审的最低投标价法</w:t>
      </w:r>
      <w:r>
        <w:rPr>
          <w:rFonts w:ascii="宋体" w:hAnsi="宋体"/>
          <w:b/>
          <w:color w:val="auto"/>
          <w:sz w:val="28"/>
          <w:szCs w:val="28"/>
          <w:highlight w:val="none"/>
          <w:u w:val="none"/>
          <w:lang w:eastAsia="zh-CN"/>
        </w:rPr>
        <w:t>否决投标情况一览表</w:t>
      </w:r>
    </w:p>
    <w:p w14:paraId="7EA79902">
      <w:pPr>
        <w:pStyle w:val="33"/>
        <w:spacing w:line="360" w:lineRule="auto"/>
        <w:ind w:firstLine="420" w:firstLineChars="200"/>
        <w:jc w:val="both"/>
        <w:rPr>
          <w:rFonts w:hint="eastAsia" w:ascii="宋体" w:hAnsi="宋体"/>
          <w:color w:val="auto"/>
          <w:sz w:val="21"/>
          <w:szCs w:val="21"/>
          <w:highlight w:val="none"/>
          <w:u w:val="none"/>
          <w:lang w:eastAsia="zh-CN"/>
        </w:rPr>
      </w:pPr>
      <w:r>
        <w:rPr>
          <w:rFonts w:hint="eastAsia" w:ascii="宋体" w:hAnsi="宋体"/>
          <w:color w:val="auto"/>
          <w:sz w:val="21"/>
          <w:szCs w:val="21"/>
          <w:highlight w:val="none"/>
          <w:u w:val="none"/>
          <w:lang w:eastAsia="zh-CN"/>
        </w:rPr>
        <w:t>投标文件存在本一览表下列情形之一的，投标文件视为重大偏差并作否决投标处理，否则，评标委员会不得视为重大偏差而否决投标人的投标文件</w:t>
      </w:r>
      <w:r>
        <w:rPr>
          <w:rFonts w:ascii="宋体" w:hAnsi="宋体"/>
          <w:color w:val="auto"/>
          <w:sz w:val="21"/>
          <w:szCs w:val="21"/>
          <w:highlight w:val="none"/>
          <w:u w:val="none"/>
          <w:lang w:eastAsia="zh-CN"/>
        </w:rPr>
        <w:t>。</w:t>
      </w:r>
    </w:p>
    <w:tbl>
      <w:tblPr>
        <w:tblStyle w:val="45"/>
        <w:tblW w:w="0" w:type="auto"/>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961"/>
        <w:gridCol w:w="1515"/>
        <w:gridCol w:w="6333"/>
      </w:tblGrid>
      <w:tr w14:paraId="7E2FE81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noWrap w:val="0"/>
            <w:vAlign w:val="center"/>
          </w:tcPr>
          <w:p w14:paraId="04715C7F">
            <w:pPr>
              <w:spacing w:line="400" w:lineRule="exact"/>
              <w:jc w:val="center"/>
              <w:rPr>
                <w:rFonts w:ascii="宋体" w:hAnsi="宋体"/>
                <w:b/>
                <w:color w:val="auto"/>
                <w:szCs w:val="21"/>
                <w:highlight w:val="none"/>
              </w:rPr>
            </w:pPr>
            <w:r>
              <w:rPr>
                <w:rFonts w:ascii="宋体" w:hAnsi="宋体"/>
                <w:b/>
                <w:color w:val="auto"/>
                <w:szCs w:val="21"/>
                <w:highlight w:val="none"/>
              </w:rPr>
              <w:t>章节号</w:t>
            </w:r>
          </w:p>
        </w:tc>
        <w:tc>
          <w:tcPr>
            <w:tcW w:w="1515" w:type="dxa"/>
            <w:noWrap w:val="0"/>
            <w:vAlign w:val="center"/>
          </w:tcPr>
          <w:p w14:paraId="2B746E8F">
            <w:pPr>
              <w:spacing w:line="400" w:lineRule="exact"/>
              <w:jc w:val="center"/>
              <w:rPr>
                <w:rFonts w:ascii="宋体" w:hAnsi="宋体"/>
                <w:b/>
                <w:color w:val="auto"/>
                <w:szCs w:val="21"/>
                <w:highlight w:val="none"/>
              </w:rPr>
            </w:pPr>
            <w:r>
              <w:rPr>
                <w:rFonts w:ascii="宋体" w:hAnsi="宋体"/>
                <w:b/>
                <w:color w:val="auto"/>
                <w:szCs w:val="21"/>
                <w:highlight w:val="none"/>
              </w:rPr>
              <w:t>条款名称</w:t>
            </w:r>
          </w:p>
        </w:tc>
        <w:tc>
          <w:tcPr>
            <w:tcW w:w="6333" w:type="dxa"/>
            <w:noWrap w:val="0"/>
            <w:vAlign w:val="center"/>
          </w:tcPr>
          <w:p w14:paraId="47DE3645">
            <w:pPr>
              <w:spacing w:line="400" w:lineRule="exact"/>
              <w:jc w:val="center"/>
              <w:rPr>
                <w:rFonts w:ascii="宋体" w:hAnsi="宋体"/>
                <w:b/>
                <w:color w:val="auto"/>
                <w:szCs w:val="21"/>
                <w:highlight w:val="none"/>
              </w:rPr>
            </w:pPr>
            <w:r>
              <w:rPr>
                <w:rFonts w:ascii="宋体" w:hAnsi="宋体"/>
                <w:b/>
                <w:color w:val="auto"/>
                <w:szCs w:val="21"/>
                <w:highlight w:val="none"/>
              </w:rPr>
              <w:t>否决投标条件</w:t>
            </w:r>
          </w:p>
        </w:tc>
      </w:tr>
      <w:tr w14:paraId="20150B6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restart"/>
            <w:noWrap w:val="0"/>
            <w:vAlign w:val="center"/>
          </w:tcPr>
          <w:p w14:paraId="0C4509E4">
            <w:pPr>
              <w:spacing w:line="400" w:lineRule="exact"/>
              <w:jc w:val="center"/>
              <w:rPr>
                <w:rFonts w:ascii="宋体" w:hAnsi="宋体"/>
                <w:color w:val="auto"/>
                <w:szCs w:val="21"/>
                <w:highlight w:val="none"/>
              </w:rPr>
            </w:pPr>
            <w:r>
              <w:rPr>
                <w:rFonts w:hint="eastAsia" w:ascii="宋体" w:hAnsi="宋体"/>
                <w:color w:val="auto"/>
                <w:szCs w:val="21"/>
                <w:highlight w:val="none"/>
              </w:rPr>
              <w:t>第三章</w:t>
            </w:r>
          </w:p>
        </w:tc>
        <w:tc>
          <w:tcPr>
            <w:tcW w:w="1515" w:type="dxa"/>
            <w:tcBorders>
              <w:bottom w:val="single" w:color="auto" w:sz="4" w:space="0"/>
            </w:tcBorders>
            <w:noWrap w:val="0"/>
            <w:vAlign w:val="center"/>
          </w:tcPr>
          <w:p w14:paraId="66DA68CE">
            <w:pPr>
              <w:spacing w:line="400" w:lineRule="exact"/>
              <w:jc w:val="center"/>
              <w:rPr>
                <w:rFonts w:hint="eastAsia" w:ascii="宋体" w:hAnsi="宋体"/>
                <w:color w:val="auto"/>
                <w:szCs w:val="21"/>
                <w:highlight w:val="none"/>
              </w:rPr>
            </w:pPr>
            <w:r>
              <w:rPr>
                <w:rFonts w:hint="eastAsia" w:ascii="宋体" w:hAnsi="宋体"/>
                <w:color w:val="auto"/>
                <w:szCs w:val="21"/>
                <w:highlight w:val="none"/>
              </w:rPr>
              <w:t>技术方案评审</w:t>
            </w:r>
          </w:p>
          <w:p w14:paraId="4905E8F5">
            <w:pPr>
              <w:spacing w:line="400" w:lineRule="exact"/>
              <w:jc w:val="center"/>
              <w:rPr>
                <w:rFonts w:ascii="宋体" w:hAnsi="宋体"/>
                <w:color w:val="auto"/>
                <w:szCs w:val="21"/>
                <w:highlight w:val="none"/>
              </w:rPr>
            </w:pPr>
            <w:r>
              <w:rPr>
                <w:rFonts w:hint="eastAsia" w:ascii="宋体" w:hAnsi="宋体"/>
                <w:color w:val="auto"/>
                <w:szCs w:val="21"/>
                <w:highlight w:val="none"/>
              </w:rPr>
              <w:t>（如有）</w:t>
            </w:r>
          </w:p>
        </w:tc>
        <w:tc>
          <w:tcPr>
            <w:tcW w:w="6333" w:type="dxa"/>
            <w:noWrap w:val="0"/>
            <w:vAlign w:val="center"/>
          </w:tcPr>
          <w:p w14:paraId="6DD0F7EE">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A-1投标人的技术方案有任何一项不满足评标办法前附表第2.2.1项评审标准要求的，技术方案评审不合格，由评标委员会作否决投标处理。</w:t>
            </w:r>
          </w:p>
        </w:tc>
      </w:tr>
      <w:tr w14:paraId="626547B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noWrap w:val="0"/>
            <w:vAlign w:val="center"/>
          </w:tcPr>
          <w:p w14:paraId="024B0133">
            <w:pPr>
              <w:spacing w:line="400" w:lineRule="exact"/>
              <w:jc w:val="center"/>
              <w:rPr>
                <w:rFonts w:hint="eastAsia" w:ascii="宋体" w:hAnsi="宋体"/>
                <w:color w:val="auto"/>
                <w:szCs w:val="21"/>
                <w:highlight w:val="none"/>
              </w:rPr>
            </w:pPr>
          </w:p>
        </w:tc>
        <w:tc>
          <w:tcPr>
            <w:tcW w:w="1515" w:type="dxa"/>
            <w:vMerge w:val="restart"/>
            <w:tcBorders>
              <w:top w:val="single" w:color="auto" w:sz="4" w:space="0"/>
            </w:tcBorders>
            <w:noWrap w:val="0"/>
            <w:vAlign w:val="center"/>
          </w:tcPr>
          <w:p w14:paraId="751FDCB9">
            <w:pPr>
              <w:spacing w:line="400" w:lineRule="exact"/>
              <w:jc w:val="center"/>
              <w:rPr>
                <w:rFonts w:hint="eastAsia" w:ascii="宋体" w:hAnsi="宋体"/>
                <w:color w:val="auto"/>
                <w:szCs w:val="21"/>
                <w:highlight w:val="none"/>
              </w:rPr>
            </w:pPr>
            <w:r>
              <w:rPr>
                <w:rFonts w:hint="eastAsia" w:ascii="宋体" w:hAnsi="宋体"/>
                <w:color w:val="auto"/>
                <w:szCs w:val="21"/>
                <w:highlight w:val="none"/>
              </w:rPr>
              <w:t>资格评审</w:t>
            </w:r>
          </w:p>
        </w:tc>
        <w:tc>
          <w:tcPr>
            <w:tcW w:w="6333" w:type="dxa"/>
            <w:noWrap w:val="0"/>
            <w:vAlign w:val="center"/>
          </w:tcPr>
          <w:p w14:paraId="0DC6A8A7">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A-2投标人的资质条件、营业执照及安全生产条件须满足投标人须知前附表第1.4.1项第1条的要求，否则由评标委员会作否决投标处理。</w:t>
            </w:r>
          </w:p>
        </w:tc>
      </w:tr>
      <w:tr w14:paraId="40685B9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noWrap w:val="0"/>
            <w:vAlign w:val="center"/>
          </w:tcPr>
          <w:p w14:paraId="4F8283B8">
            <w:pPr>
              <w:spacing w:line="400" w:lineRule="exact"/>
              <w:jc w:val="center"/>
              <w:rPr>
                <w:rFonts w:ascii="宋体" w:hAnsi="宋体"/>
                <w:color w:val="auto"/>
                <w:szCs w:val="21"/>
                <w:highlight w:val="none"/>
              </w:rPr>
            </w:pPr>
          </w:p>
        </w:tc>
        <w:tc>
          <w:tcPr>
            <w:tcW w:w="1515" w:type="dxa"/>
            <w:vMerge w:val="continue"/>
            <w:noWrap w:val="0"/>
            <w:vAlign w:val="center"/>
          </w:tcPr>
          <w:p w14:paraId="3D2CF495">
            <w:pPr>
              <w:spacing w:line="400" w:lineRule="exact"/>
              <w:jc w:val="center"/>
              <w:rPr>
                <w:rFonts w:ascii="宋体" w:hAnsi="宋体"/>
                <w:color w:val="auto"/>
                <w:szCs w:val="21"/>
                <w:highlight w:val="none"/>
              </w:rPr>
            </w:pPr>
          </w:p>
        </w:tc>
        <w:tc>
          <w:tcPr>
            <w:tcW w:w="6333" w:type="dxa"/>
            <w:noWrap w:val="0"/>
            <w:vAlign w:val="center"/>
          </w:tcPr>
          <w:p w14:paraId="422FBD56">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A-3投标人的财务须满足投标人须知前附表第1.4.1项第2条的要求，否则由评标委员会作否决投标处理（如有）。</w:t>
            </w:r>
          </w:p>
        </w:tc>
      </w:tr>
      <w:tr w14:paraId="640BF6D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noWrap w:val="0"/>
            <w:vAlign w:val="center"/>
          </w:tcPr>
          <w:p w14:paraId="3561566F">
            <w:pPr>
              <w:spacing w:line="400" w:lineRule="exact"/>
              <w:jc w:val="center"/>
              <w:rPr>
                <w:rFonts w:ascii="宋体" w:hAnsi="宋体"/>
                <w:color w:val="auto"/>
                <w:szCs w:val="21"/>
                <w:highlight w:val="none"/>
              </w:rPr>
            </w:pPr>
          </w:p>
        </w:tc>
        <w:tc>
          <w:tcPr>
            <w:tcW w:w="1515" w:type="dxa"/>
            <w:vMerge w:val="continue"/>
            <w:noWrap w:val="0"/>
            <w:vAlign w:val="center"/>
          </w:tcPr>
          <w:p w14:paraId="3EAB1782">
            <w:pPr>
              <w:spacing w:line="400" w:lineRule="exact"/>
              <w:jc w:val="center"/>
              <w:rPr>
                <w:rFonts w:ascii="宋体" w:hAnsi="宋体"/>
                <w:color w:val="auto"/>
                <w:szCs w:val="21"/>
                <w:highlight w:val="none"/>
              </w:rPr>
            </w:pPr>
          </w:p>
        </w:tc>
        <w:tc>
          <w:tcPr>
            <w:tcW w:w="6333" w:type="dxa"/>
            <w:noWrap w:val="0"/>
            <w:vAlign w:val="center"/>
          </w:tcPr>
          <w:p w14:paraId="0065F7C0">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A-4投标人的业绩须满足投标人须知前附表第1.4.1项第3条的要求，否则由评标委员会作否决投标处理（如有）。</w:t>
            </w:r>
          </w:p>
        </w:tc>
      </w:tr>
      <w:tr w14:paraId="0992443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noWrap w:val="0"/>
            <w:vAlign w:val="center"/>
          </w:tcPr>
          <w:p w14:paraId="19245AF1">
            <w:pPr>
              <w:spacing w:line="400" w:lineRule="exact"/>
              <w:jc w:val="center"/>
              <w:rPr>
                <w:rFonts w:ascii="宋体" w:hAnsi="宋体"/>
                <w:color w:val="auto"/>
                <w:szCs w:val="21"/>
                <w:highlight w:val="none"/>
              </w:rPr>
            </w:pPr>
          </w:p>
        </w:tc>
        <w:tc>
          <w:tcPr>
            <w:tcW w:w="1515" w:type="dxa"/>
            <w:vMerge w:val="continue"/>
            <w:noWrap w:val="0"/>
            <w:vAlign w:val="center"/>
          </w:tcPr>
          <w:p w14:paraId="5BF11147">
            <w:pPr>
              <w:spacing w:line="400" w:lineRule="exact"/>
              <w:jc w:val="center"/>
              <w:rPr>
                <w:rFonts w:ascii="宋体" w:hAnsi="宋体"/>
                <w:color w:val="auto"/>
                <w:szCs w:val="21"/>
                <w:highlight w:val="none"/>
              </w:rPr>
            </w:pPr>
          </w:p>
        </w:tc>
        <w:tc>
          <w:tcPr>
            <w:tcW w:w="6333" w:type="dxa"/>
            <w:noWrap w:val="0"/>
            <w:vAlign w:val="center"/>
          </w:tcPr>
          <w:p w14:paraId="5C32FB4C">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A-5投标人的投标截止日投标资格情况须满足投标人须知前附表第1.4.1项第4条的要求，否则由评标委员会作否决投标处理。</w:t>
            </w:r>
          </w:p>
        </w:tc>
      </w:tr>
      <w:tr w14:paraId="7E5C713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noWrap w:val="0"/>
            <w:vAlign w:val="center"/>
          </w:tcPr>
          <w:p w14:paraId="66CE5B87">
            <w:pPr>
              <w:spacing w:line="400" w:lineRule="exact"/>
              <w:jc w:val="center"/>
              <w:rPr>
                <w:rFonts w:ascii="宋体" w:hAnsi="宋体"/>
                <w:color w:val="auto"/>
                <w:szCs w:val="21"/>
                <w:highlight w:val="none"/>
              </w:rPr>
            </w:pPr>
          </w:p>
        </w:tc>
        <w:tc>
          <w:tcPr>
            <w:tcW w:w="1515" w:type="dxa"/>
            <w:vMerge w:val="continue"/>
            <w:noWrap w:val="0"/>
            <w:vAlign w:val="center"/>
          </w:tcPr>
          <w:p w14:paraId="6925AFE0">
            <w:pPr>
              <w:spacing w:line="400" w:lineRule="exact"/>
              <w:jc w:val="center"/>
              <w:rPr>
                <w:rFonts w:ascii="宋体" w:hAnsi="宋体"/>
                <w:color w:val="auto"/>
                <w:szCs w:val="21"/>
                <w:highlight w:val="none"/>
              </w:rPr>
            </w:pPr>
          </w:p>
        </w:tc>
        <w:tc>
          <w:tcPr>
            <w:tcW w:w="6333" w:type="dxa"/>
            <w:noWrap w:val="0"/>
            <w:vAlign w:val="center"/>
          </w:tcPr>
          <w:p w14:paraId="453CA3CC">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A-6投标人的项目经理资格须满足投标人须知前附表第1.4.1项第5条的要求，否则由评标委员会作否决投标处理。</w:t>
            </w:r>
          </w:p>
        </w:tc>
      </w:tr>
      <w:tr w14:paraId="1BDB729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noWrap w:val="0"/>
            <w:vAlign w:val="center"/>
          </w:tcPr>
          <w:p w14:paraId="093BF8B6">
            <w:pPr>
              <w:spacing w:line="400" w:lineRule="exact"/>
              <w:jc w:val="center"/>
              <w:rPr>
                <w:rFonts w:ascii="宋体" w:hAnsi="宋体"/>
                <w:color w:val="auto"/>
                <w:szCs w:val="21"/>
                <w:highlight w:val="none"/>
              </w:rPr>
            </w:pPr>
          </w:p>
        </w:tc>
        <w:tc>
          <w:tcPr>
            <w:tcW w:w="1515" w:type="dxa"/>
            <w:vMerge w:val="continue"/>
            <w:noWrap w:val="0"/>
            <w:vAlign w:val="center"/>
          </w:tcPr>
          <w:p w14:paraId="384321F8">
            <w:pPr>
              <w:spacing w:line="400" w:lineRule="exact"/>
              <w:jc w:val="center"/>
              <w:rPr>
                <w:rFonts w:ascii="宋体" w:hAnsi="宋体"/>
                <w:color w:val="auto"/>
                <w:szCs w:val="21"/>
                <w:highlight w:val="none"/>
              </w:rPr>
            </w:pPr>
          </w:p>
        </w:tc>
        <w:tc>
          <w:tcPr>
            <w:tcW w:w="6333" w:type="dxa"/>
            <w:noWrap w:val="0"/>
            <w:vAlign w:val="center"/>
          </w:tcPr>
          <w:p w14:paraId="043DBD69">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A-7投标人的其他要求须满足投标人须知前附表第1.4.1项第6条的要求，否则由评标委员会作否决投标处理。</w:t>
            </w:r>
          </w:p>
        </w:tc>
      </w:tr>
      <w:tr w14:paraId="5A63B57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noWrap w:val="0"/>
            <w:vAlign w:val="center"/>
          </w:tcPr>
          <w:p w14:paraId="5FBD8825">
            <w:pPr>
              <w:spacing w:line="400" w:lineRule="exact"/>
              <w:jc w:val="center"/>
              <w:rPr>
                <w:rFonts w:ascii="宋体" w:hAnsi="宋体"/>
                <w:color w:val="auto"/>
                <w:szCs w:val="21"/>
                <w:highlight w:val="none"/>
              </w:rPr>
            </w:pPr>
          </w:p>
        </w:tc>
        <w:tc>
          <w:tcPr>
            <w:tcW w:w="1515" w:type="dxa"/>
            <w:vMerge w:val="continue"/>
            <w:noWrap w:val="0"/>
            <w:vAlign w:val="center"/>
          </w:tcPr>
          <w:p w14:paraId="0B0AE0FC">
            <w:pPr>
              <w:spacing w:line="400" w:lineRule="exact"/>
              <w:jc w:val="center"/>
              <w:rPr>
                <w:rFonts w:ascii="宋体" w:hAnsi="宋体"/>
                <w:color w:val="auto"/>
                <w:szCs w:val="21"/>
                <w:highlight w:val="none"/>
              </w:rPr>
            </w:pPr>
          </w:p>
        </w:tc>
        <w:tc>
          <w:tcPr>
            <w:tcW w:w="6333" w:type="dxa"/>
            <w:noWrap w:val="0"/>
            <w:vAlign w:val="center"/>
          </w:tcPr>
          <w:p w14:paraId="45D60B62">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A-8若有联合体投标人，则：</w:t>
            </w:r>
          </w:p>
          <w:p w14:paraId="4421D812">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（1）联合体各方应按照招标文件提供的格式签订联合体协议书，明确联合体牵头人和各方权利义务；</w:t>
            </w:r>
          </w:p>
          <w:p w14:paraId="1A0504D9">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（2）联合体各方均应当具备承担招标项目的相应能力，联合体协议约定同一专业分工由两个及以上单位共同承担的，按照资质等级较低的单位确定资质等级；</w:t>
            </w:r>
          </w:p>
          <w:p w14:paraId="51D26195">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（3）联合体各方不得再以自己名义单独或参加其他联合体在同一标段中投标。</w:t>
            </w:r>
          </w:p>
          <w:p w14:paraId="57091C41">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否则由评标委员会作否决投标处理。</w:t>
            </w:r>
          </w:p>
        </w:tc>
      </w:tr>
      <w:tr w14:paraId="7C85378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noWrap w:val="0"/>
            <w:vAlign w:val="center"/>
          </w:tcPr>
          <w:p w14:paraId="52A5D873">
            <w:pPr>
              <w:spacing w:line="400" w:lineRule="exact"/>
              <w:jc w:val="center"/>
              <w:rPr>
                <w:rFonts w:ascii="宋体" w:hAnsi="宋体"/>
                <w:color w:val="auto"/>
                <w:szCs w:val="21"/>
                <w:highlight w:val="none"/>
              </w:rPr>
            </w:pPr>
          </w:p>
        </w:tc>
        <w:tc>
          <w:tcPr>
            <w:tcW w:w="1515" w:type="dxa"/>
            <w:vMerge w:val="restart"/>
            <w:noWrap w:val="0"/>
            <w:vAlign w:val="center"/>
          </w:tcPr>
          <w:p w14:paraId="398ABA50">
            <w:pPr>
              <w:spacing w:line="400" w:lineRule="exact"/>
              <w:jc w:val="center"/>
              <w:rPr>
                <w:rFonts w:ascii="宋体" w:hAnsi="宋体"/>
                <w:color w:val="auto"/>
                <w:szCs w:val="21"/>
                <w:highlight w:val="none"/>
              </w:rPr>
            </w:pPr>
            <w:r>
              <w:rPr>
                <w:rFonts w:hint="eastAsia" w:ascii="宋体" w:hAnsi="宋体"/>
                <w:color w:val="auto"/>
                <w:szCs w:val="21"/>
                <w:highlight w:val="none"/>
              </w:rPr>
              <w:t>形式评审</w:t>
            </w:r>
          </w:p>
        </w:tc>
        <w:tc>
          <w:tcPr>
            <w:tcW w:w="6333" w:type="dxa"/>
            <w:noWrap w:val="0"/>
            <w:vAlign w:val="top"/>
          </w:tcPr>
          <w:p w14:paraId="1AFE5E50">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A-9投标人名称必须与营业执照、资质证书、安全生产许可证一致，依法变更名称的应提交相应证明材料，</w:t>
            </w:r>
            <w:r>
              <w:rPr>
                <w:rFonts w:ascii="宋体" w:hAnsi="宋体"/>
                <w:color w:val="auto"/>
                <w:szCs w:val="21"/>
                <w:highlight w:val="none"/>
              </w:rPr>
              <w:t>否则</w:t>
            </w:r>
            <w:r>
              <w:rPr>
                <w:rFonts w:hint="eastAsia" w:ascii="宋体" w:hAnsi="宋体"/>
                <w:color w:val="auto"/>
                <w:szCs w:val="21"/>
                <w:highlight w:val="none"/>
              </w:rPr>
              <w:t>由评标委员会</w:t>
            </w:r>
            <w:r>
              <w:rPr>
                <w:rFonts w:ascii="宋体" w:hAnsi="宋体"/>
                <w:color w:val="auto"/>
                <w:szCs w:val="21"/>
                <w:highlight w:val="none"/>
              </w:rPr>
              <w:t>作否决投标处理。</w:t>
            </w:r>
          </w:p>
        </w:tc>
      </w:tr>
      <w:tr w14:paraId="6E7795D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noWrap w:val="0"/>
            <w:vAlign w:val="center"/>
          </w:tcPr>
          <w:p w14:paraId="5439D4E8">
            <w:pPr>
              <w:spacing w:line="400" w:lineRule="exact"/>
              <w:jc w:val="center"/>
              <w:rPr>
                <w:rFonts w:ascii="宋体" w:hAnsi="宋体"/>
                <w:color w:val="auto"/>
                <w:szCs w:val="21"/>
                <w:highlight w:val="none"/>
              </w:rPr>
            </w:pPr>
          </w:p>
        </w:tc>
        <w:tc>
          <w:tcPr>
            <w:tcW w:w="1515" w:type="dxa"/>
            <w:vMerge w:val="continue"/>
            <w:noWrap w:val="0"/>
            <w:vAlign w:val="center"/>
          </w:tcPr>
          <w:p w14:paraId="4FCE17CD">
            <w:pPr>
              <w:spacing w:line="400" w:lineRule="exact"/>
              <w:jc w:val="center"/>
              <w:rPr>
                <w:rFonts w:ascii="宋体" w:hAnsi="宋体"/>
                <w:color w:val="auto"/>
                <w:szCs w:val="21"/>
                <w:highlight w:val="none"/>
              </w:rPr>
            </w:pPr>
          </w:p>
        </w:tc>
        <w:tc>
          <w:tcPr>
            <w:tcW w:w="6333" w:type="dxa"/>
            <w:noWrap w:val="0"/>
            <w:vAlign w:val="top"/>
          </w:tcPr>
          <w:p w14:paraId="0FCB393B">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A-10投标文件格式（不含投标函部分）符合第二章“投标人须知”第3.7款的要求，否则由评标委员会作否决投标处理。</w:t>
            </w:r>
          </w:p>
          <w:p w14:paraId="380768EC">
            <w:pPr>
              <w:spacing w:line="400" w:lineRule="exact"/>
              <w:ind w:firstLine="420" w:firstLineChars="200"/>
              <w:rPr>
                <w:rFonts w:hint="eastAsia" w:ascii="宋体" w:hAnsi="宋体"/>
                <w:color w:val="auto"/>
                <w:szCs w:val="21"/>
                <w:highlight w:val="none"/>
              </w:rPr>
            </w:pPr>
            <w:r>
              <w:rPr>
                <w:rFonts w:hint="eastAsia" w:ascii="宋体" w:hAnsi="宋体"/>
                <w:color w:val="auto"/>
                <w:kern w:val="0"/>
                <w:szCs w:val="21"/>
                <w:highlight w:val="none"/>
              </w:rPr>
              <w:t>编制投标文件时不得对第八章“投标文件格式”的相应要素作实质性修改，否则</w:t>
            </w:r>
            <w:r>
              <w:rPr>
                <w:rFonts w:hint="eastAsia" w:ascii="宋体" w:hAnsi="宋体"/>
                <w:color w:val="auto"/>
                <w:szCs w:val="21"/>
                <w:highlight w:val="none"/>
              </w:rPr>
              <w:t>视为重大偏差，</w:t>
            </w:r>
            <w:r>
              <w:rPr>
                <w:rFonts w:hint="eastAsia" w:ascii="宋体" w:hAnsi="宋体"/>
                <w:color w:val="auto"/>
                <w:kern w:val="0"/>
                <w:szCs w:val="21"/>
                <w:highlight w:val="none"/>
              </w:rPr>
              <w:t>由评标委员会作否决投标处理。</w:t>
            </w:r>
          </w:p>
        </w:tc>
      </w:tr>
      <w:tr w14:paraId="3B70896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noWrap w:val="0"/>
            <w:vAlign w:val="center"/>
          </w:tcPr>
          <w:p w14:paraId="318366FD">
            <w:pPr>
              <w:spacing w:line="400" w:lineRule="exact"/>
              <w:jc w:val="center"/>
              <w:rPr>
                <w:rFonts w:ascii="宋体" w:hAnsi="宋体"/>
                <w:color w:val="auto"/>
                <w:szCs w:val="21"/>
                <w:highlight w:val="none"/>
              </w:rPr>
            </w:pPr>
          </w:p>
        </w:tc>
        <w:tc>
          <w:tcPr>
            <w:tcW w:w="1515" w:type="dxa"/>
            <w:vMerge w:val="continue"/>
            <w:noWrap w:val="0"/>
            <w:vAlign w:val="center"/>
          </w:tcPr>
          <w:p w14:paraId="04648D24">
            <w:pPr>
              <w:spacing w:line="400" w:lineRule="exact"/>
              <w:jc w:val="center"/>
              <w:rPr>
                <w:rFonts w:ascii="宋体" w:hAnsi="宋体"/>
                <w:color w:val="auto"/>
                <w:szCs w:val="21"/>
                <w:highlight w:val="none"/>
              </w:rPr>
            </w:pPr>
          </w:p>
        </w:tc>
        <w:tc>
          <w:tcPr>
            <w:tcW w:w="6333" w:type="dxa"/>
            <w:noWrap w:val="0"/>
            <w:vAlign w:val="top"/>
          </w:tcPr>
          <w:p w14:paraId="5B87EE48">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A-11联合体参与投标的应提交联合体协议书，并明确联合体牵头人。在联合体协议中须明确由联合体牵头人委派委托代理人，否则由评标委员会作否决投标处理。</w:t>
            </w:r>
          </w:p>
        </w:tc>
      </w:tr>
      <w:tr w14:paraId="36EAD52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noWrap w:val="0"/>
            <w:vAlign w:val="center"/>
          </w:tcPr>
          <w:p w14:paraId="6C0CE3DE">
            <w:pPr>
              <w:spacing w:line="400" w:lineRule="exact"/>
              <w:jc w:val="center"/>
              <w:rPr>
                <w:rFonts w:ascii="宋体" w:hAnsi="宋体"/>
                <w:color w:val="auto"/>
                <w:szCs w:val="21"/>
                <w:highlight w:val="none"/>
              </w:rPr>
            </w:pPr>
          </w:p>
        </w:tc>
        <w:tc>
          <w:tcPr>
            <w:tcW w:w="1515" w:type="dxa"/>
            <w:vMerge w:val="continue"/>
            <w:noWrap w:val="0"/>
            <w:vAlign w:val="center"/>
          </w:tcPr>
          <w:p w14:paraId="633522BF">
            <w:pPr>
              <w:spacing w:line="400" w:lineRule="exact"/>
              <w:jc w:val="center"/>
              <w:rPr>
                <w:rFonts w:ascii="宋体" w:hAnsi="宋体"/>
                <w:color w:val="auto"/>
                <w:szCs w:val="21"/>
                <w:highlight w:val="none"/>
              </w:rPr>
            </w:pPr>
          </w:p>
        </w:tc>
        <w:tc>
          <w:tcPr>
            <w:tcW w:w="6333" w:type="dxa"/>
            <w:noWrap w:val="0"/>
            <w:vAlign w:val="top"/>
          </w:tcPr>
          <w:p w14:paraId="5A9E0EBD">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A-12第八章 投标文件格式（不含投标函部分）要求法定代表人或其委托代理人签字（或盖章）的须齐全，否则由评标委员会作否决投标处理。</w:t>
            </w:r>
          </w:p>
          <w:p w14:paraId="07E84E4D">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若投标单位为联合体，则联合体协议书中各联合体成员单位签字（或盖章）须齐全，联合体协议书以外的投标文件格式中，要求法定代表人或其委托代理人签字（或盖章）的均由联合体牵头人法定代表人或其委托代理人签字（或盖章），否则由评标委员会作否决投标处理。</w:t>
            </w:r>
          </w:p>
          <w:p w14:paraId="68A5BF00">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第八章 投标文件格式（不含投标函部分）要求加盖单位法人章的，应使用 CA 数字证书加盖投标人的单位电子印章，否则由评标委员会作否决投标处理。</w:t>
            </w:r>
          </w:p>
          <w:p w14:paraId="523873A0">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5858E5F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noWrap w:val="0"/>
            <w:vAlign w:val="center"/>
          </w:tcPr>
          <w:p w14:paraId="25E09FD6">
            <w:pPr>
              <w:spacing w:line="400" w:lineRule="exact"/>
              <w:jc w:val="center"/>
              <w:rPr>
                <w:rFonts w:ascii="宋体" w:hAnsi="宋体"/>
                <w:color w:val="auto"/>
                <w:szCs w:val="21"/>
                <w:highlight w:val="none"/>
              </w:rPr>
            </w:pPr>
          </w:p>
        </w:tc>
        <w:tc>
          <w:tcPr>
            <w:tcW w:w="1515" w:type="dxa"/>
            <w:vMerge w:val="continue"/>
            <w:noWrap w:val="0"/>
            <w:vAlign w:val="center"/>
          </w:tcPr>
          <w:p w14:paraId="787FB6A5">
            <w:pPr>
              <w:spacing w:line="400" w:lineRule="exact"/>
              <w:jc w:val="center"/>
              <w:rPr>
                <w:rFonts w:ascii="宋体" w:hAnsi="宋体"/>
                <w:color w:val="auto"/>
                <w:szCs w:val="21"/>
                <w:highlight w:val="none"/>
              </w:rPr>
            </w:pPr>
          </w:p>
        </w:tc>
        <w:tc>
          <w:tcPr>
            <w:tcW w:w="6333" w:type="dxa"/>
            <w:noWrap w:val="0"/>
            <w:vAlign w:val="top"/>
          </w:tcPr>
          <w:p w14:paraId="0F6FCEDD">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A-13投标人法定代表人的委托代理人有法定代表人签署的授权委托书和投标人为其缴纳的养老保险证明材料。否则由评标委员会作否决投标处理。</w:t>
            </w:r>
          </w:p>
        </w:tc>
      </w:tr>
      <w:tr w14:paraId="4D7FA61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noWrap w:val="0"/>
            <w:vAlign w:val="center"/>
          </w:tcPr>
          <w:p w14:paraId="6EC4FD7D">
            <w:pPr>
              <w:spacing w:line="400" w:lineRule="exact"/>
              <w:jc w:val="center"/>
              <w:rPr>
                <w:rFonts w:ascii="宋体" w:hAnsi="宋体"/>
                <w:color w:val="auto"/>
                <w:szCs w:val="21"/>
                <w:highlight w:val="none"/>
              </w:rPr>
            </w:pPr>
          </w:p>
        </w:tc>
        <w:tc>
          <w:tcPr>
            <w:tcW w:w="1515" w:type="dxa"/>
            <w:vMerge w:val="restart"/>
            <w:noWrap w:val="0"/>
            <w:vAlign w:val="center"/>
          </w:tcPr>
          <w:p w14:paraId="4C793B54">
            <w:pPr>
              <w:spacing w:line="400" w:lineRule="exact"/>
              <w:jc w:val="center"/>
              <w:rPr>
                <w:rFonts w:ascii="宋体" w:hAnsi="宋体"/>
                <w:color w:val="auto"/>
                <w:szCs w:val="21"/>
                <w:highlight w:val="none"/>
              </w:rPr>
            </w:pPr>
            <w:r>
              <w:rPr>
                <w:rFonts w:hint="eastAsia" w:ascii="宋体" w:hAnsi="宋体"/>
                <w:color w:val="auto"/>
                <w:szCs w:val="21"/>
                <w:highlight w:val="none"/>
              </w:rPr>
              <w:t>响应性评审</w:t>
            </w:r>
          </w:p>
        </w:tc>
        <w:tc>
          <w:tcPr>
            <w:tcW w:w="6333" w:type="dxa"/>
            <w:noWrap w:val="0"/>
            <w:vAlign w:val="center"/>
          </w:tcPr>
          <w:p w14:paraId="6FEC0150">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A-14投标内容符合第二章“投标人须知”第1.3.1项规定，否则由评标委员会作否决投标处理。</w:t>
            </w:r>
          </w:p>
        </w:tc>
      </w:tr>
      <w:tr w14:paraId="5B18701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noWrap w:val="0"/>
            <w:vAlign w:val="center"/>
          </w:tcPr>
          <w:p w14:paraId="63B40415">
            <w:pPr>
              <w:spacing w:line="400" w:lineRule="exact"/>
              <w:jc w:val="center"/>
              <w:rPr>
                <w:rFonts w:ascii="宋体" w:hAnsi="宋体"/>
                <w:color w:val="auto"/>
                <w:szCs w:val="21"/>
                <w:highlight w:val="none"/>
              </w:rPr>
            </w:pPr>
          </w:p>
        </w:tc>
        <w:tc>
          <w:tcPr>
            <w:tcW w:w="1515" w:type="dxa"/>
            <w:vMerge w:val="continue"/>
            <w:noWrap w:val="0"/>
            <w:vAlign w:val="center"/>
          </w:tcPr>
          <w:p w14:paraId="21016739">
            <w:pPr>
              <w:spacing w:line="400" w:lineRule="exact"/>
              <w:jc w:val="center"/>
              <w:rPr>
                <w:rFonts w:hint="eastAsia" w:ascii="宋体" w:hAnsi="宋体"/>
                <w:color w:val="auto"/>
                <w:szCs w:val="21"/>
                <w:highlight w:val="none"/>
              </w:rPr>
            </w:pPr>
          </w:p>
        </w:tc>
        <w:tc>
          <w:tcPr>
            <w:tcW w:w="6333" w:type="dxa"/>
            <w:noWrap w:val="0"/>
            <w:vAlign w:val="center"/>
          </w:tcPr>
          <w:p w14:paraId="3A40AEDE">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A-15投标人应按投标人须知前附表第3.4款规定递交投标保证金，并作为其投标文件的组成部分，否则由评标委员会作否决投标处理。</w:t>
            </w:r>
          </w:p>
        </w:tc>
      </w:tr>
      <w:tr w14:paraId="46820A0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noWrap w:val="0"/>
            <w:vAlign w:val="center"/>
          </w:tcPr>
          <w:p w14:paraId="79A6A43A">
            <w:pPr>
              <w:spacing w:line="400" w:lineRule="exact"/>
              <w:jc w:val="center"/>
              <w:rPr>
                <w:rFonts w:ascii="宋体" w:hAnsi="宋体"/>
                <w:color w:val="auto"/>
                <w:szCs w:val="21"/>
                <w:highlight w:val="none"/>
              </w:rPr>
            </w:pPr>
          </w:p>
        </w:tc>
        <w:tc>
          <w:tcPr>
            <w:tcW w:w="1515" w:type="dxa"/>
            <w:vMerge w:val="continue"/>
            <w:noWrap w:val="0"/>
            <w:vAlign w:val="center"/>
          </w:tcPr>
          <w:p w14:paraId="03D5B7FD">
            <w:pPr>
              <w:spacing w:line="400" w:lineRule="exact"/>
              <w:jc w:val="center"/>
              <w:rPr>
                <w:rFonts w:hint="eastAsia" w:ascii="宋体" w:hAnsi="宋体"/>
                <w:color w:val="auto"/>
                <w:szCs w:val="21"/>
                <w:highlight w:val="none"/>
              </w:rPr>
            </w:pPr>
          </w:p>
        </w:tc>
        <w:tc>
          <w:tcPr>
            <w:tcW w:w="6333" w:type="dxa"/>
            <w:noWrap w:val="0"/>
            <w:vAlign w:val="center"/>
          </w:tcPr>
          <w:p w14:paraId="0698874A">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A-16符合第四章“合同条款及格式”规定，投标文件不应附有招标人不能接受的条件。否则由评标委员会作否决投标处理。（由投标人承诺，承诺书格式详见第八章投标文件格式。）</w:t>
            </w:r>
          </w:p>
        </w:tc>
      </w:tr>
      <w:tr w14:paraId="496DBD0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noWrap w:val="0"/>
            <w:vAlign w:val="center"/>
          </w:tcPr>
          <w:p w14:paraId="2F75C782">
            <w:pPr>
              <w:spacing w:line="400" w:lineRule="exact"/>
              <w:jc w:val="center"/>
              <w:rPr>
                <w:rFonts w:ascii="宋体" w:hAnsi="宋体"/>
                <w:color w:val="auto"/>
                <w:szCs w:val="21"/>
                <w:highlight w:val="none"/>
              </w:rPr>
            </w:pPr>
          </w:p>
        </w:tc>
        <w:tc>
          <w:tcPr>
            <w:tcW w:w="1515" w:type="dxa"/>
            <w:vMerge w:val="continue"/>
            <w:noWrap w:val="0"/>
            <w:vAlign w:val="center"/>
          </w:tcPr>
          <w:p w14:paraId="3E4A37FC">
            <w:pPr>
              <w:spacing w:line="400" w:lineRule="exact"/>
              <w:jc w:val="center"/>
              <w:rPr>
                <w:rFonts w:hint="eastAsia" w:ascii="宋体" w:hAnsi="宋体"/>
                <w:color w:val="auto"/>
                <w:szCs w:val="21"/>
                <w:highlight w:val="none"/>
              </w:rPr>
            </w:pPr>
          </w:p>
        </w:tc>
        <w:tc>
          <w:tcPr>
            <w:tcW w:w="6333" w:type="dxa"/>
            <w:noWrap w:val="0"/>
            <w:vAlign w:val="center"/>
          </w:tcPr>
          <w:p w14:paraId="3BA45453">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A-17符合第七章“技术标准和要求”规定。否则由评标委员会作否决投标处理（如有）。（由投标人承诺，承诺书格式详见第八章投标文件格式。）</w:t>
            </w:r>
          </w:p>
        </w:tc>
      </w:tr>
      <w:tr w14:paraId="78557C5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noWrap w:val="0"/>
            <w:vAlign w:val="center"/>
          </w:tcPr>
          <w:p w14:paraId="1DE9EA88">
            <w:pPr>
              <w:spacing w:line="400" w:lineRule="exact"/>
              <w:jc w:val="center"/>
              <w:rPr>
                <w:rFonts w:ascii="宋体" w:hAnsi="宋体"/>
                <w:color w:val="auto"/>
                <w:szCs w:val="21"/>
                <w:highlight w:val="none"/>
              </w:rPr>
            </w:pPr>
          </w:p>
        </w:tc>
        <w:tc>
          <w:tcPr>
            <w:tcW w:w="1515" w:type="dxa"/>
            <w:vMerge w:val="continue"/>
            <w:noWrap w:val="0"/>
            <w:vAlign w:val="center"/>
          </w:tcPr>
          <w:p w14:paraId="69E87852">
            <w:pPr>
              <w:spacing w:line="400" w:lineRule="exact"/>
              <w:jc w:val="center"/>
              <w:rPr>
                <w:rFonts w:ascii="宋体" w:hAnsi="宋体"/>
                <w:color w:val="auto"/>
                <w:szCs w:val="21"/>
                <w:highlight w:val="none"/>
              </w:rPr>
            </w:pPr>
          </w:p>
        </w:tc>
        <w:tc>
          <w:tcPr>
            <w:tcW w:w="6333" w:type="dxa"/>
            <w:noWrap w:val="0"/>
            <w:vAlign w:val="center"/>
          </w:tcPr>
          <w:p w14:paraId="1B0F85FA">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A-18投标人有以下情形之一的，其投标文件由评标委员会</w:t>
            </w:r>
            <w:r>
              <w:rPr>
                <w:rFonts w:ascii="宋体" w:hAnsi="宋体"/>
                <w:color w:val="auto"/>
                <w:szCs w:val="21"/>
                <w:highlight w:val="none"/>
              </w:rPr>
              <w:t>作否决投标处理</w:t>
            </w:r>
            <w:r>
              <w:rPr>
                <w:rFonts w:hint="eastAsia" w:ascii="宋体" w:hAnsi="宋体"/>
                <w:color w:val="auto"/>
                <w:szCs w:val="21"/>
                <w:highlight w:val="none"/>
              </w:rPr>
              <w:t>：</w:t>
            </w:r>
          </w:p>
          <w:p w14:paraId="0498DFBF">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1.第二章“投标人须知”第1.4.3项规定的任何一种情形的；</w:t>
            </w:r>
          </w:p>
          <w:p w14:paraId="2ED0B080">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2.本次投标有串通投标、弄虚作假等违反招投标相关法律、法规的行为的；</w:t>
            </w:r>
          </w:p>
          <w:p w14:paraId="5FB23FDA">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3.拒绝按评标委员会要求澄清、说明或补正的。</w:t>
            </w:r>
          </w:p>
        </w:tc>
      </w:tr>
      <w:tr w14:paraId="53BEC49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noWrap w:val="0"/>
            <w:vAlign w:val="center"/>
          </w:tcPr>
          <w:p w14:paraId="0156A15B">
            <w:pPr>
              <w:spacing w:line="400" w:lineRule="exact"/>
              <w:jc w:val="center"/>
              <w:rPr>
                <w:rFonts w:ascii="宋体" w:hAnsi="宋体"/>
                <w:color w:val="auto"/>
                <w:szCs w:val="21"/>
                <w:highlight w:val="none"/>
              </w:rPr>
            </w:pPr>
          </w:p>
        </w:tc>
        <w:tc>
          <w:tcPr>
            <w:tcW w:w="1515" w:type="dxa"/>
            <w:vMerge w:val="restart"/>
            <w:noWrap w:val="0"/>
            <w:vAlign w:val="center"/>
          </w:tcPr>
          <w:p w14:paraId="6A76D123">
            <w:pPr>
              <w:spacing w:line="400" w:lineRule="exact"/>
              <w:jc w:val="center"/>
              <w:rPr>
                <w:rFonts w:ascii="宋体" w:hAnsi="宋体"/>
                <w:color w:val="auto"/>
                <w:szCs w:val="21"/>
                <w:highlight w:val="none"/>
              </w:rPr>
            </w:pPr>
            <w:r>
              <w:rPr>
                <w:rFonts w:ascii="宋体" w:hAnsi="宋体"/>
                <w:color w:val="auto"/>
                <w:szCs w:val="21"/>
                <w:highlight w:val="none"/>
              </w:rPr>
              <w:t>投标函部分及经济部分评审</w:t>
            </w:r>
          </w:p>
        </w:tc>
        <w:tc>
          <w:tcPr>
            <w:tcW w:w="6333" w:type="dxa"/>
            <w:noWrap w:val="0"/>
            <w:vAlign w:val="center"/>
          </w:tcPr>
          <w:p w14:paraId="70E506E3">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A-19投标函部分的格式符合第二章“投标人须知”第3.7款的要求，否则由评标委员会作否决投标处理。</w:t>
            </w:r>
          </w:p>
        </w:tc>
      </w:tr>
      <w:tr w14:paraId="43D3260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noWrap w:val="0"/>
            <w:vAlign w:val="center"/>
          </w:tcPr>
          <w:p w14:paraId="01B6E287">
            <w:pPr>
              <w:spacing w:line="400" w:lineRule="exact"/>
              <w:jc w:val="center"/>
              <w:rPr>
                <w:rFonts w:ascii="宋体" w:hAnsi="宋体"/>
                <w:color w:val="auto"/>
                <w:szCs w:val="21"/>
                <w:highlight w:val="none"/>
              </w:rPr>
            </w:pPr>
          </w:p>
        </w:tc>
        <w:tc>
          <w:tcPr>
            <w:tcW w:w="1515" w:type="dxa"/>
            <w:vMerge w:val="continue"/>
            <w:noWrap w:val="0"/>
            <w:vAlign w:val="center"/>
          </w:tcPr>
          <w:p w14:paraId="00D10C44">
            <w:pPr>
              <w:spacing w:line="400" w:lineRule="exact"/>
              <w:jc w:val="center"/>
              <w:rPr>
                <w:rFonts w:ascii="宋体" w:hAnsi="宋体"/>
                <w:color w:val="auto"/>
                <w:szCs w:val="21"/>
                <w:highlight w:val="none"/>
              </w:rPr>
            </w:pPr>
          </w:p>
        </w:tc>
        <w:tc>
          <w:tcPr>
            <w:tcW w:w="6333" w:type="dxa"/>
            <w:noWrap w:val="0"/>
            <w:vAlign w:val="center"/>
          </w:tcPr>
          <w:p w14:paraId="6E44C807">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A-20</w:t>
            </w:r>
            <w:r>
              <w:rPr>
                <w:rFonts w:hint="eastAsia" w:ascii="宋体" w:hAnsi="宋体" w:cs="宋体"/>
                <w:color w:val="auto"/>
                <w:kern w:val="0"/>
                <w:highlight w:val="none"/>
              </w:rPr>
              <w:t>投标函部分的格式要求法定代表人或其委托代理人签字（或盖章）的须齐全，要求加盖单位法人章的，应使用 CA 数字证书加盖投标人的单位电子印章</w:t>
            </w:r>
            <w:r>
              <w:rPr>
                <w:rFonts w:hint="eastAsia" w:ascii="宋体" w:hAnsi="宋体"/>
                <w:color w:val="auto"/>
                <w:szCs w:val="21"/>
                <w:highlight w:val="none"/>
              </w:rPr>
              <w:t>，否则由评标委员会作否决投标处理。</w:t>
            </w:r>
          </w:p>
          <w:p w14:paraId="50676C90">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联合体投标的，除联合体协议书外，投标函部分的格式中要求投标人加盖单位法人章的，均由联合体牵头人使用 CA 数字证书加盖其单位电子印章，否则由评标委员会作否决投标处理。</w:t>
            </w:r>
          </w:p>
        </w:tc>
      </w:tr>
      <w:tr w14:paraId="4286937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noWrap w:val="0"/>
            <w:vAlign w:val="center"/>
          </w:tcPr>
          <w:p w14:paraId="284A8BB7">
            <w:pPr>
              <w:spacing w:line="400" w:lineRule="exact"/>
              <w:jc w:val="center"/>
              <w:rPr>
                <w:rFonts w:ascii="宋体" w:hAnsi="宋体"/>
                <w:color w:val="auto"/>
                <w:szCs w:val="21"/>
                <w:highlight w:val="none"/>
              </w:rPr>
            </w:pPr>
          </w:p>
        </w:tc>
        <w:tc>
          <w:tcPr>
            <w:tcW w:w="1515" w:type="dxa"/>
            <w:vMerge w:val="continue"/>
            <w:noWrap w:val="0"/>
            <w:vAlign w:val="center"/>
          </w:tcPr>
          <w:p w14:paraId="074478DC">
            <w:pPr>
              <w:spacing w:line="400" w:lineRule="exact"/>
              <w:jc w:val="center"/>
              <w:rPr>
                <w:rFonts w:ascii="宋体" w:hAnsi="宋体"/>
                <w:color w:val="auto"/>
                <w:szCs w:val="21"/>
                <w:highlight w:val="none"/>
              </w:rPr>
            </w:pPr>
          </w:p>
        </w:tc>
        <w:tc>
          <w:tcPr>
            <w:tcW w:w="6333" w:type="dxa"/>
            <w:noWrap w:val="0"/>
            <w:vAlign w:val="center"/>
          </w:tcPr>
          <w:p w14:paraId="1FBF76B2">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A-21工期符合第二章“投标人须知”第1.3.2项规定，否则由评标委员会作否决投标处理。</w:t>
            </w:r>
          </w:p>
        </w:tc>
      </w:tr>
      <w:tr w14:paraId="5DB95C3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noWrap w:val="0"/>
            <w:vAlign w:val="center"/>
          </w:tcPr>
          <w:p w14:paraId="17A637D9">
            <w:pPr>
              <w:spacing w:line="400" w:lineRule="exact"/>
              <w:jc w:val="center"/>
              <w:rPr>
                <w:rFonts w:ascii="宋体" w:hAnsi="宋体"/>
                <w:color w:val="auto"/>
                <w:szCs w:val="21"/>
                <w:highlight w:val="none"/>
              </w:rPr>
            </w:pPr>
          </w:p>
        </w:tc>
        <w:tc>
          <w:tcPr>
            <w:tcW w:w="1515" w:type="dxa"/>
            <w:vMerge w:val="continue"/>
            <w:noWrap w:val="0"/>
            <w:vAlign w:val="center"/>
          </w:tcPr>
          <w:p w14:paraId="6FC861FF">
            <w:pPr>
              <w:spacing w:line="400" w:lineRule="exact"/>
              <w:jc w:val="center"/>
              <w:rPr>
                <w:rFonts w:ascii="宋体" w:hAnsi="宋体"/>
                <w:color w:val="auto"/>
                <w:szCs w:val="21"/>
                <w:highlight w:val="none"/>
              </w:rPr>
            </w:pPr>
          </w:p>
        </w:tc>
        <w:tc>
          <w:tcPr>
            <w:tcW w:w="6333" w:type="dxa"/>
            <w:noWrap w:val="0"/>
            <w:vAlign w:val="center"/>
          </w:tcPr>
          <w:p w14:paraId="082CB6CF">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A-22工程质量符合第二章“投标人须知”第1.3.3项规定，否则由评标委员会作否决投标处理。</w:t>
            </w:r>
          </w:p>
        </w:tc>
      </w:tr>
      <w:tr w14:paraId="5DA490F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noWrap w:val="0"/>
            <w:vAlign w:val="center"/>
          </w:tcPr>
          <w:p w14:paraId="6C69C827">
            <w:pPr>
              <w:spacing w:line="400" w:lineRule="exact"/>
              <w:jc w:val="center"/>
              <w:rPr>
                <w:rFonts w:ascii="宋体" w:hAnsi="宋体"/>
                <w:color w:val="auto"/>
                <w:szCs w:val="21"/>
                <w:highlight w:val="none"/>
              </w:rPr>
            </w:pPr>
          </w:p>
        </w:tc>
        <w:tc>
          <w:tcPr>
            <w:tcW w:w="1515" w:type="dxa"/>
            <w:vMerge w:val="continue"/>
            <w:noWrap w:val="0"/>
            <w:vAlign w:val="center"/>
          </w:tcPr>
          <w:p w14:paraId="2EC199E3">
            <w:pPr>
              <w:spacing w:line="400" w:lineRule="exact"/>
              <w:jc w:val="center"/>
              <w:rPr>
                <w:rFonts w:ascii="宋体" w:hAnsi="宋体"/>
                <w:color w:val="auto"/>
                <w:szCs w:val="21"/>
                <w:highlight w:val="none"/>
              </w:rPr>
            </w:pPr>
          </w:p>
        </w:tc>
        <w:tc>
          <w:tcPr>
            <w:tcW w:w="6333" w:type="dxa"/>
            <w:noWrap w:val="0"/>
            <w:vAlign w:val="center"/>
          </w:tcPr>
          <w:p w14:paraId="14A7E1C5">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A-23投标有效期符合第二章“投标人须知”第3.3.1项规定，否则由评标委员会作否决投标处理。</w:t>
            </w:r>
          </w:p>
        </w:tc>
      </w:tr>
      <w:tr w14:paraId="061BECE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noWrap w:val="0"/>
            <w:vAlign w:val="center"/>
          </w:tcPr>
          <w:p w14:paraId="1CA1985C">
            <w:pPr>
              <w:spacing w:line="400" w:lineRule="exact"/>
              <w:jc w:val="center"/>
              <w:rPr>
                <w:rFonts w:ascii="宋体" w:hAnsi="宋体"/>
                <w:color w:val="auto"/>
                <w:szCs w:val="21"/>
                <w:highlight w:val="none"/>
              </w:rPr>
            </w:pPr>
          </w:p>
        </w:tc>
        <w:tc>
          <w:tcPr>
            <w:tcW w:w="1515" w:type="dxa"/>
            <w:vMerge w:val="continue"/>
            <w:noWrap w:val="0"/>
            <w:vAlign w:val="center"/>
          </w:tcPr>
          <w:p w14:paraId="4C9FC8D9">
            <w:pPr>
              <w:spacing w:line="400" w:lineRule="exact"/>
              <w:jc w:val="center"/>
              <w:rPr>
                <w:rFonts w:ascii="宋体" w:hAnsi="宋体"/>
                <w:color w:val="auto"/>
                <w:szCs w:val="21"/>
                <w:highlight w:val="none"/>
              </w:rPr>
            </w:pPr>
          </w:p>
        </w:tc>
        <w:tc>
          <w:tcPr>
            <w:tcW w:w="6333" w:type="dxa"/>
            <w:noWrap w:val="0"/>
            <w:vAlign w:val="center"/>
          </w:tcPr>
          <w:p w14:paraId="669056DE">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A-24投标函中的总报价必须与已标价工程量清单总报价一致,且工程量清单总报价与依据单价、工程数量、分部分项工程合价计算出的结果应一致，否则由评标委员会作否决投标处理。</w:t>
            </w:r>
          </w:p>
        </w:tc>
      </w:tr>
      <w:tr w14:paraId="1360A98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noWrap w:val="0"/>
            <w:vAlign w:val="center"/>
          </w:tcPr>
          <w:p w14:paraId="79B602F5">
            <w:pPr>
              <w:spacing w:line="400" w:lineRule="exact"/>
              <w:jc w:val="center"/>
              <w:rPr>
                <w:rFonts w:ascii="宋体" w:hAnsi="宋体"/>
                <w:color w:val="auto"/>
                <w:szCs w:val="21"/>
                <w:highlight w:val="none"/>
              </w:rPr>
            </w:pPr>
          </w:p>
        </w:tc>
        <w:tc>
          <w:tcPr>
            <w:tcW w:w="1515" w:type="dxa"/>
            <w:vMerge w:val="continue"/>
            <w:noWrap w:val="0"/>
            <w:vAlign w:val="center"/>
          </w:tcPr>
          <w:p w14:paraId="4068C62F">
            <w:pPr>
              <w:spacing w:line="400" w:lineRule="exact"/>
              <w:jc w:val="center"/>
              <w:rPr>
                <w:rFonts w:ascii="宋体" w:hAnsi="宋体"/>
                <w:color w:val="auto"/>
                <w:szCs w:val="21"/>
                <w:highlight w:val="none"/>
              </w:rPr>
            </w:pPr>
          </w:p>
        </w:tc>
        <w:tc>
          <w:tcPr>
            <w:tcW w:w="6333" w:type="dxa"/>
            <w:noWrap w:val="0"/>
            <w:vAlign w:val="center"/>
          </w:tcPr>
          <w:p w14:paraId="1EA1A9CB">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A-25 投标函中的总报价不得高于招标人公布的投标总报价最高限价，否则由评标委员会作否决投标处理。</w:t>
            </w:r>
          </w:p>
        </w:tc>
      </w:tr>
      <w:tr w14:paraId="5293106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noWrap w:val="0"/>
            <w:vAlign w:val="center"/>
          </w:tcPr>
          <w:p w14:paraId="05E47B64">
            <w:pPr>
              <w:spacing w:line="400" w:lineRule="exact"/>
              <w:jc w:val="center"/>
              <w:rPr>
                <w:rFonts w:ascii="宋体" w:hAnsi="宋体"/>
                <w:color w:val="auto"/>
                <w:szCs w:val="21"/>
                <w:highlight w:val="none"/>
              </w:rPr>
            </w:pPr>
          </w:p>
        </w:tc>
        <w:tc>
          <w:tcPr>
            <w:tcW w:w="1515" w:type="dxa"/>
            <w:vMerge w:val="continue"/>
            <w:noWrap w:val="0"/>
            <w:vAlign w:val="center"/>
          </w:tcPr>
          <w:p w14:paraId="691D6770">
            <w:pPr>
              <w:spacing w:line="400" w:lineRule="exact"/>
              <w:jc w:val="center"/>
              <w:rPr>
                <w:rFonts w:ascii="宋体" w:hAnsi="宋体"/>
                <w:color w:val="auto"/>
                <w:szCs w:val="21"/>
                <w:highlight w:val="none"/>
              </w:rPr>
            </w:pPr>
          </w:p>
        </w:tc>
        <w:tc>
          <w:tcPr>
            <w:tcW w:w="6333" w:type="dxa"/>
            <w:noWrap w:val="0"/>
            <w:vAlign w:val="center"/>
          </w:tcPr>
          <w:p w14:paraId="01EC22B8">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A-26投标总报价低于最高限价85%的，投标人应在编制投标文件时，在投标函部分中递交低价风险担保缴纳承诺书。承诺书格式详见第八章投标文件格式,否则由评标委员会作否决投标处理。</w:t>
            </w:r>
          </w:p>
        </w:tc>
      </w:tr>
      <w:tr w14:paraId="356FA24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noWrap w:val="0"/>
            <w:vAlign w:val="center"/>
          </w:tcPr>
          <w:p w14:paraId="7F651715">
            <w:pPr>
              <w:spacing w:line="400" w:lineRule="exact"/>
              <w:jc w:val="center"/>
              <w:rPr>
                <w:rFonts w:ascii="宋体" w:hAnsi="宋体"/>
                <w:color w:val="auto"/>
                <w:szCs w:val="21"/>
                <w:highlight w:val="none"/>
              </w:rPr>
            </w:pPr>
          </w:p>
        </w:tc>
        <w:tc>
          <w:tcPr>
            <w:tcW w:w="1515" w:type="dxa"/>
            <w:vMerge w:val="continue"/>
            <w:noWrap w:val="0"/>
            <w:vAlign w:val="center"/>
          </w:tcPr>
          <w:p w14:paraId="50992673">
            <w:pPr>
              <w:spacing w:line="400" w:lineRule="exact"/>
              <w:jc w:val="center"/>
              <w:rPr>
                <w:rFonts w:ascii="宋体" w:hAnsi="宋体"/>
                <w:color w:val="auto"/>
                <w:szCs w:val="21"/>
                <w:highlight w:val="none"/>
              </w:rPr>
            </w:pPr>
          </w:p>
        </w:tc>
        <w:tc>
          <w:tcPr>
            <w:tcW w:w="6333" w:type="dxa"/>
            <w:noWrap w:val="0"/>
            <w:vAlign w:val="center"/>
          </w:tcPr>
          <w:p w14:paraId="231EC040">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A-27投标函中的安全文明施工费必须按照招标人给出的暂定金额填报，否则视为对招标文件不作实质性响应，其投标文件由评标委员会作否决投标处理。</w:t>
            </w:r>
          </w:p>
        </w:tc>
      </w:tr>
      <w:tr w14:paraId="76B983E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noWrap w:val="0"/>
            <w:vAlign w:val="center"/>
          </w:tcPr>
          <w:p w14:paraId="0AFA6F49">
            <w:pPr>
              <w:spacing w:line="400" w:lineRule="exact"/>
              <w:jc w:val="center"/>
              <w:rPr>
                <w:rFonts w:ascii="宋体" w:hAnsi="宋体"/>
                <w:color w:val="auto"/>
                <w:szCs w:val="21"/>
                <w:highlight w:val="none"/>
              </w:rPr>
            </w:pPr>
          </w:p>
        </w:tc>
        <w:tc>
          <w:tcPr>
            <w:tcW w:w="1515" w:type="dxa"/>
            <w:vMerge w:val="continue"/>
            <w:noWrap w:val="0"/>
            <w:vAlign w:val="center"/>
          </w:tcPr>
          <w:p w14:paraId="55929C94">
            <w:pPr>
              <w:spacing w:line="400" w:lineRule="exact"/>
              <w:jc w:val="center"/>
              <w:rPr>
                <w:rFonts w:ascii="宋体" w:hAnsi="宋体"/>
                <w:color w:val="auto"/>
                <w:szCs w:val="21"/>
                <w:highlight w:val="none"/>
              </w:rPr>
            </w:pPr>
          </w:p>
        </w:tc>
        <w:tc>
          <w:tcPr>
            <w:tcW w:w="6333" w:type="dxa"/>
            <w:noWrap w:val="0"/>
            <w:vAlign w:val="center"/>
          </w:tcPr>
          <w:p w14:paraId="1C147319">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A-28只能有一个有效报价。在招标文件没有规定的情况下，不得提交选择性报价，否则由评标委员会作否决投标处理。</w:t>
            </w:r>
          </w:p>
        </w:tc>
      </w:tr>
      <w:tr w14:paraId="1A8DF8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noWrap w:val="0"/>
            <w:vAlign w:val="center"/>
          </w:tcPr>
          <w:p w14:paraId="4D921EF8">
            <w:pPr>
              <w:spacing w:line="400" w:lineRule="exact"/>
              <w:jc w:val="center"/>
              <w:rPr>
                <w:rFonts w:ascii="宋体" w:hAnsi="宋体"/>
                <w:color w:val="auto"/>
                <w:szCs w:val="21"/>
                <w:highlight w:val="none"/>
              </w:rPr>
            </w:pPr>
          </w:p>
        </w:tc>
        <w:tc>
          <w:tcPr>
            <w:tcW w:w="1515" w:type="dxa"/>
            <w:vMerge w:val="continue"/>
            <w:noWrap w:val="0"/>
            <w:vAlign w:val="center"/>
          </w:tcPr>
          <w:p w14:paraId="3118CC4E">
            <w:pPr>
              <w:spacing w:line="400" w:lineRule="exact"/>
              <w:jc w:val="center"/>
              <w:rPr>
                <w:rFonts w:ascii="宋体" w:hAnsi="宋体"/>
                <w:color w:val="auto"/>
                <w:szCs w:val="21"/>
                <w:highlight w:val="none"/>
              </w:rPr>
            </w:pPr>
          </w:p>
        </w:tc>
        <w:tc>
          <w:tcPr>
            <w:tcW w:w="6333" w:type="dxa"/>
            <w:noWrap w:val="0"/>
            <w:vAlign w:val="center"/>
          </w:tcPr>
          <w:p w14:paraId="33DDF13B">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A-29投标人必须按招标工程量清单填报价格。项目编码、项目名称、项目特征、计量单位、工程量必须与招标工程量清单一致。否则交由评标委员会作否决投标处理。</w:t>
            </w:r>
          </w:p>
        </w:tc>
      </w:tr>
      <w:tr w14:paraId="47BE571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noWrap w:val="0"/>
            <w:vAlign w:val="center"/>
          </w:tcPr>
          <w:p w14:paraId="787A925B">
            <w:pPr>
              <w:spacing w:line="400" w:lineRule="exact"/>
              <w:jc w:val="center"/>
              <w:rPr>
                <w:rFonts w:ascii="宋体" w:hAnsi="宋体"/>
                <w:color w:val="auto"/>
                <w:szCs w:val="21"/>
                <w:highlight w:val="none"/>
              </w:rPr>
            </w:pPr>
          </w:p>
        </w:tc>
        <w:tc>
          <w:tcPr>
            <w:tcW w:w="1515" w:type="dxa"/>
            <w:vMerge w:val="continue"/>
            <w:noWrap w:val="0"/>
            <w:vAlign w:val="center"/>
          </w:tcPr>
          <w:p w14:paraId="0D91787E">
            <w:pPr>
              <w:spacing w:line="400" w:lineRule="exact"/>
              <w:jc w:val="center"/>
              <w:rPr>
                <w:rFonts w:ascii="宋体" w:hAnsi="宋体"/>
                <w:color w:val="auto"/>
                <w:szCs w:val="21"/>
                <w:highlight w:val="none"/>
              </w:rPr>
            </w:pPr>
          </w:p>
        </w:tc>
        <w:tc>
          <w:tcPr>
            <w:tcW w:w="6333" w:type="dxa"/>
            <w:noWrap w:val="0"/>
            <w:vAlign w:val="center"/>
          </w:tcPr>
          <w:p w14:paraId="6BF797D8">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A-30招标人在工程量清单中所列出的价格（包括暂列金额、暂估价等），投标人不得修改，否则由评标委员会作否决投标处理。</w:t>
            </w:r>
          </w:p>
        </w:tc>
      </w:tr>
      <w:tr w14:paraId="0B30841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noWrap w:val="0"/>
            <w:vAlign w:val="center"/>
          </w:tcPr>
          <w:p w14:paraId="72D4240B">
            <w:pPr>
              <w:spacing w:line="400" w:lineRule="exact"/>
              <w:jc w:val="center"/>
              <w:rPr>
                <w:rFonts w:ascii="宋体" w:hAnsi="宋体"/>
                <w:color w:val="auto"/>
                <w:szCs w:val="21"/>
                <w:highlight w:val="none"/>
              </w:rPr>
            </w:pPr>
          </w:p>
        </w:tc>
        <w:tc>
          <w:tcPr>
            <w:tcW w:w="1515" w:type="dxa"/>
            <w:vMerge w:val="continue"/>
            <w:noWrap w:val="0"/>
            <w:vAlign w:val="center"/>
          </w:tcPr>
          <w:p w14:paraId="138E8861">
            <w:pPr>
              <w:spacing w:line="400" w:lineRule="exact"/>
              <w:jc w:val="center"/>
              <w:rPr>
                <w:rFonts w:ascii="宋体" w:hAnsi="宋体"/>
                <w:color w:val="auto"/>
                <w:szCs w:val="21"/>
                <w:highlight w:val="none"/>
              </w:rPr>
            </w:pPr>
          </w:p>
        </w:tc>
        <w:tc>
          <w:tcPr>
            <w:tcW w:w="6333" w:type="dxa"/>
            <w:noWrap w:val="0"/>
            <w:vAlign w:val="center"/>
          </w:tcPr>
          <w:p w14:paraId="16900DBB">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A-31投标人的每项清单综合单价报价不得超过每项清单综合单价最高限价，否则由评标委员会作否决投标处理。</w:t>
            </w:r>
          </w:p>
        </w:tc>
      </w:tr>
      <w:tr w14:paraId="109D168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noWrap w:val="0"/>
            <w:vAlign w:val="center"/>
          </w:tcPr>
          <w:p w14:paraId="3B0431ED">
            <w:pPr>
              <w:spacing w:line="400" w:lineRule="exact"/>
              <w:jc w:val="center"/>
              <w:rPr>
                <w:rFonts w:ascii="宋体" w:hAnsi="宋体"/>
                <w:color w:val="auto"/>
                <w:szCs w:val="21"/>
                <w:highlight w:val="none"/>
              </w:rPr>
            </w:pPr>
          </w:p>
        </w:tc>
        <w:tc>
          <w:tcPr>
            <w:tcW w:w="1515" w:type="dxa"/>
            <w:vMerge w:val="continue"/>
            <w:noWrap w:val="0"/>
            <w:vAlign w:val="center"/>
          </w:tcPr>
          <w:p w14:paraId="61EBCB44">
            <w:pPr>
              <w:spacing w:line="400" w:lineRule="exact"/>
              <w:jc w:val="center"/>
              <w:rPr>
                <w:rFonts w:ascii="宋体" w:hAnsi="宋体"/>
                <w:color w:val="auto"/>
                <w:szCs w:val="21"/>
                <w:highlight w:val="none"/>
              </w:rPr>
            </w:pPr>
          </w:p>
        </w:tc>
        <w:tc>
          <w:tcPr>
            <w:tcW w:w="6333" w:type="dxa"/>
            <w:noWrap w:val="0"/>
            <w:vAlign w:val="center"/>
          </w:tcPr>
          <w:p w14:paraId="0811044A">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A-32投标报价有算术错误的，按照第三章“评标办法”第3.2.3项规定执行，否则由评标委员会作否决投标处理。</w:t>
            </w:r>
          </w:p>
        </w:tc>
      </w:tr>
      <w:tr w14:paraId="0A91AB7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noWrap w:val="0"/>
            <w:vAlign w:val="center"/>
          </w:tcPr>
          <w:p w14:paraId="2CA19356">
            <w:pPr>
              <w:spacing w:line="400" w:lineRule="exact"/>
              <w:jc w:val="center"/>
              <w:rPr>
                <w:rFonts w:ascii="宋体" w:hAnsi="宋体"/>
                <w:color w:val="auto"/>
                <w:szCs w:val="21"/>
                <w:highlight w:val="none"/>
              </w:rPr>
            </w:pPr>
            <w:r>
              <w:rPr>
                <w:rFonts w:ascii="宋体" w:hAnsi="宋体"/>
                <w:color w:val="auto"/>
                <w:szCs w:val="21"/>
                <w:highlight w:val="none"/>
              </w:rPr>
              <w:t>其他</w:t>
            </w:r>
          </w:p>
        </w:tc>
        <w:tc>
          <w:tcPr>
            <w:tcW w:w="1515" w:type="dxa"/>
            <w:noWrap w:val="0"/>
            <w:vAlign w:val="center"/>
          </w:tcPr>
          <w:p w14:paraId="5006527A">
            <w:pPr>
              <w:spacing w:line="400" w:lineRule="exact"/>
              <w:jc w:val="center"/>
              <w:rPr>
                <w:rFonts w:ascii="宋体" w:hAnsi="宋体"/>
                <w:color w:val="auto"/>
                <w:szCs w:val="21"/>
                <w:highlight w:val="none"/>
              </w:rPr>
            </w:pPr>
          </w:p>
        </w:tc>
        <w:tc>
          <w:tcPr>
            <w:tcW w:w="6333" w:type="dxa"/>
            <w:noWrap w:val="0"/>
            <w:vAlign w:val="top"/>
          </w:tcPr>
          <w:p w14:paraId="2FA3AAB2">
            <w:pPr>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[提示：招标人必须将所有否决投标条款集中罗列于此表，若无其他否决投标条款则在该条写无。]</w:t>
            </w:r>
          </w:p>
        </w:tc>
      </w:tr>
    </w:tbl>
    <w:p w14:paraId="44BC2CC4">
      <w:pPr>
        <w:pStyle w:val="33"/>
        <w:spacing w:line="360" w:lineRule="auto"/>
        <w:jc w:val="both"/>
        <w:rPr>
          <w:rFonts w:ascii="宋体" w:hAnsi="宋体"/>
          <w:color w:val="auto"/>
          <w:sz w:val="21"/>
          <w:szCs w:val="21"/>
          <w:highlight w:val="none"/>
          <w:u w:val="none"/>
          <w:lang w:eastAsia="zh-CN"/>
        </w:rPr>
      </w:pPr>
    </w:p>
    <w:p w14:paraId="4F0D2DB3">
      <w:pPr>
        <w:spacing w:line="200" w:lineRule="exact"/>
        <w:rPr>
          <w:rFonts w:hint="eastAsia" w:ascii="宋体" w:hAnsi="宋体"/>
          <w:color w:val="auto"/>
          <w:kern w:val="0"/>
          <w:highlight w:val="none"/>
        </w:rPr>
      </w:pPr>
      <w:r>
        <w:rPr>
          <w:rFonts w:ascii="宋体" w:hAnsi="宋体"/>
          <w:snapToGrid w:val="0"/>
          <w:color w:val="auto"/>
          <w:kern w:val="0"/>
          <w:highlight w:val="none"/>
        </w:rPr>
        <w:br w:type="page"/>
      </w:r>
      <w:bookmarkStart w:id="591" w:name="招标文件03章02评标办法综合评估法00"/>
      <w:bookmarkEnd w:id="591"/>
      <w:bookmarkStart w:id="592" w:name="招标文件03章02评标办法综合评估法"/>
      <w:bookmarkEnd w:id="592"/>
      <w:bookmarkStart w:id="593" w:name="_Toc200513198"/>
      <w:bookmarkStart w:id="594" w:name="_Toc287607812"/>
      <w:bookmarkStart w:id="595" w:name="_Toc430530500"/>
      <w:bookmarkStart w:id="596" w:name="_Toc277082618"/>
      <w:bookmarkStart w:id="597" w:name="_Toc287620751"/>
      <w:bookmarkStart w:id="598" w:name="_Toc224103384"/>
    </w:p>
    <w:p w14:paraId="57ED4C29">
      <w:pPr>
        <w:pStyle w:val="3"/>
        <w:spacing w:line="360" w:lineRule="auto"/>
        <w:ind w:firstLine="883" w:firstLineChars="200"/>
        <w:jc w:val="center"/>
        <w:rPr>
          <w:rFonts w:ascii="宋体" w:hAnsi="宋体"/>
          <w:color w:val="auto"/>
          <w:highlight w:val="none"/>
        </w:rPr>
      </w:pPr>
      <w:bookmarkStart w:id="599" w:name="_Toc509218774"/>
      <w:bookmarkStart w:id="600" w:name="_Toc57820625"/>
      <w:r>
        <w:rPr>
          <w:rFonts w:ascii="宋体" w:hAnsi="宋体"/>
          <w:color w:val="auto"/>
          <w:highlight w:val="none"/>
        </w:rPr>
        <w:t xml:space="preserve">第三章 </w:t>
      </w:r>
      <w:r>
        <w:rPr>
          <w:rFonts w:hint="eastAsia" w:ascii="宋体" w:hAnsi="宋体"/>
          <w:color w:val="auto"/>
          <w:highlight w:val="none"/>
        </w:rPr>
        <w:t xml:space="preserve"> </w:t>
      </w:r>
      <w:r>
        <w:rPr>
          <w:rFonts w:ascii="宋体" w:hAnsi="宋体"/>
          <w:color w:val="auto"/>
          <w:highlight w:val="none"/>
        </w:rPr>
        <w:t>评标办法（综合评估法）</w:t>
      </w:r>
      <w:bookmarkEnd w:id="599"/>
      <w:bookmarkEnd w:id="600"/>
      <w:bookmarkStart w:id="601" w:name="_Toc287620750"/>
      <w:bookmarkStart w:id="602" w:name="_Toc430530499"/>
      <w:bookmarkStart w:id="603" w:name="_Toc287607811"/>
      <w:bookmarkStart w:id="604" w:name="_Toc277082617"/>
      <w:bookmarkStart w:id="605" w:name="_Toc224103383"/>
    </w:p>
    <w:p w14:paraId="4F7D797A">
      <w:pPr>
        <w:pStyle w:val="4"/>
        <w:spacing w:before="100" w:after="100" w:line="360" w:lineRule="auto"/>
        <w:rPr>
          <w:rFonts w:hint="eastAsia" w:ascii="宋体" w:hAnsi="宋体"/>
          <w:color w:val="auto"/>
          <w:highlight w:val="none"/>
        </w:rPr>
      </w:pPr>
      <w:bookmarkStart w:id="606" w:name="_Toc57820626"/>
      <w:bookmarkStart w:id="607" w:name="_Toc509218775"/>
      <w:r>
        <w:rPr>
          <w:rFonts w:hint="eastAsia" w:ascii="宋体" w:hAnsi="宋体"/>
          <w:color w:val="auto"/>
          <w:highlight w:val="none"/>
        </w:rPr>
        <w:t>评标办法前附表</w:t>
      </w:r>
      <w:bookmarkEnd w:id="606"/>
      <w:bookmarkEnd w:id="607"/>
    </w:p>
    <w:p w14:paraId="59506721">
      <w:pPr>
        <w:spacing w:line="360" w:lineRule="auto"/>
        <w:ind w:firstLine="420" w:firstLineChars="200"/>
        <w:rPr>
          <w:color w:val="auto"/>
          <w:szCs w:val="21"/>
          <w:highlight w:val="none"/>
        </w:rPr>
      </w:pPr>
      <w:r>
        <w:rPr>
          <w:color w:val="auto"/>
          <w:szCs w:val="21"/>
          <w:highlight w:val="none"/>
        </w:rPr>
        <w:t>评标办法前附表中的评审内容必须和投标人须知前附表中的对应内容一致，若投标人须知前附表中未作要求的内容，不得列入评标办法前附表作为评定依据。</w:t>
      </w:r>
    </w:p>
    <w:tbl>
      <w:tblPr>
        <w:tblStyle w:val="45"/>
        <w:tblW w:w="0" w:type="auto"/>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855"/>
        <w:gridCol w:w="32"/>
        <w:gridCol w:w="535"/>
        <w:gridCol w:w="850"/>
        <w:gridCol w:w="696"/>
        <w:gridCol w:w="1014"/>
        <w:gridCol w:w="5493"/>
      </w:tblGrid>
      <w:tr w14:paraId="6CC8B50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422" w:type="dxa"/>
            <w:gridSpan w:val="3"/>
            <w:noWrap w:val="0"/>
            <w:vAlign w:val="center"/>
          </w:tcPr>
          <w:p w14:paraId="726A7D82">
            <w:pPr>
              <w:spacing w:line="400" w:lineRule="exact"/>
              <w:jc w:val="center"/>
              <w:rPr>
                <w:rFonts w:ascii="宋体" w:hAnsi="宋体"/>
                <w:b/>
                <w:color w:val="auto"/>
                <w:kern w:val="0"/>
                <w:highlight w:val="none"/>
              </w:rPr>
            </w:pPr>
            <w:r>
              <w:rPr>
                <w:rFonts w:ascii="宋体" w:hAnsi="宋体"/>
                <w:b/>
                <w:color w:val="auto"/>
                <w:kern w:val="0"/>
                <w:highlight w:val="none"/>
              </w:rPr>
              <w:t>条款号</w:t>
            </w:r>
          </w:p>
        </w:tc>
        <w:tc>
          <w:tcPr>
            <w:tcW w:w="2560" w:type="dxa"/>
            <w:gridSpan w:val="3"/>
            <w:noWrap w:val="0"/>
            <w:vAlign w:val="center"/>
          </w:tcPr>
          <w:p w14:paraId="5007079E">
            <w:pPr>
              <w:spacing w:line="400" w:lineRule="exact"/>
              <w:jc w:val="center"/>
              <w:rPr>
                <w:rFonts w:ascii="宋体" w:hAnsi="宋体"/>
                <w:b/>
                <w:color w:val="auto"/>
                <w:kern w:val="0"/>
                <w:highlight w:val="none"/>
              </w:rPr>
            </w:pPr>
            <w:r>
              <w:rPr>
                <w:rFonts w:ascii="宋体" w:hAnsi="宋体"/>
                <w:b/>
                <w:color w:val="auto"/>
                <w:kern w:val="0"/>
                <w:highlight w:val="none"/>
              </w:rPr>
              <w:t>评审因素</w:t>
            </w:r>
          </w:p>
        </w:tc>
        <w:tc>
          <w:tcPr>
            <w:tcW w:w="5493" w:type="dxa"/>
            <w:noWrap w:val="0"/>
            <w:vAlign w:val="center"/>
          </w:tcPr>
          <w:p w14:paraId="04C2DFE3">
            <w:pPr>
              <w:spacing w:line="400" w:lineRule="exact"/>
              <w:jc w:val="center"/>
              <w:rPr>
                <w:rFonts w:ascii="宋体" w:hAnsi="宋体"/>
                <w:b/>
                <w:color w:val="auto"/>
                <w:kern w:val="0"/>
                <w:highlight w:val="none"/>
              </w:rPr>
            </w:pPr>
            <w:r>
              <w:rPr>
                <w:rFonts w:ascii="宋体" w:hAnsi="宋体"/>
                <w:b/>
                <w:color w:val="auto"/>
                <w:kern w:val="0"/>
                <w:highlight w:val="none"/>
              </w:rPr>
              <w:t>评审标准</w:t>
            </w:r>
          </w:p>
        </w:tc>
      </w:tr>
      <w:tr w14:paraId="48CDF6A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422" w:type="dxa"/>
            <w:gridSpan w:val="3"/>
            <w:noWrap w:val="0"/>
            <w:vAlign w:val="center"/>
          </w:tcPr>
          <w:p w14:paraId="4FBE3A4C">
            <w:pPr>
              <w:spacing w:line="400" w:lineRule="exact"/>
              <w:jc w:val="center"/>
              <w:rPr>
                <w:rFonts w:ascii="宋体" w:hAnsi="宋体"/>
                <w:color w:val="auto"/>
                <w:kern w:val="0"/>
                <w:highlight w:val="none"/>
              </w:rPr>
            </w:pPr>
            <w:r>
              <w:rPr>
                <w:rFonts w:hint="eastAsia" w:ascii="宋体" w:hAnsi="宋体"/>
                <w:color w:val="auto"/>
                <w:kern w:val="0"/>
                <w:highlight w:val="none"/>
              </w:rPr>
              <w:t>1</w:t>
            </w:r>
          </w:p>
        </w:tc>
        <w:tc>
          <w:tcPr>
            <w:tcW w:w="2560" w:type="dxa"/>
            <w:gridSpan w:val="3"/>
            <w:noWrap w:val="0"/>
            <w:vAlign w:val="center"/>
          </w:tcPr>
          <w:p w14:paraId="3FA9EF44">
            <w:pPr>
              <w:spacing w:line="400" w:lineRule="exact"/>
              <w:jc w:val="center"/>
              <w:rPr>
                <w:rFonts w:ascii="宋体" w:hAnsi="宋体"/>
                <w:color w:val="auto"/>
                <w:kern w:val="0"/>
                <w:highlight w:val="none"/>
              </w:rPr>
            </w:pPr>
            <w:r>
              <w:rPr>
                <w:rFonts w:hint="eastAsia" w:ascii="宋体" w:hAnsi="宋体"/>
                <w:color w:val="auto"/>
                <w:kern w:val="0"/>
                <w:highlight w:val="none"/>
              </w:rPr>
              <w:t>评标办法</w:t>
            </w:r>
          </w:p>
        </w:tc>
        <w:tc>
          <w:tcPr>
            <w:tcW w:w="5493" w:type="dxa"/>
            <w:noWrap w:val="0"/>
            <w:vAlign w:val="center"/>
          </w:tcPr>
          <w:p w14:paraId="358D275A">
            <w:pPr>
              <w:spacing w:line="400" w:lineRule="exact"/>
              <w:ind w:firstLine="420" w:firstLineChars="200"/>
              <w:jc w:val="left"/>
              <w:rPr>
                <w:rFonts w:ascii="宋体" w:hAnsi="宋体"/>
                <w:color w:val="auto"/>
                <w:kern w:val="0"/>
                <w:highlight w:val="none"/>
              </w:rPr>
            </w:pPr>
            <w:r>
              <w:rPr>
                <w:rFonts w:hint="eastAsia" w:ascii="宋体" w:hAnsi="宋体"/>
                <w:color w:val="auto"/>
                <w:kern w:val="0"/>
                <w:highlight w:val="none"/>
              </w:rPr>
              <w:t>本次评标采用综合评估法。评标委员会按照本章第 2.2 款规定的评分标准进行打分，按得分由高到低顺序推荐中标候选人，或根据招标人授权直接确定中标人。综合评分相等时，以投标报价低的优先；投标报价相等的，以“投标人在红名单中优先”的原则排序</w:t>
            </w:r>
            <w:r>
              <w:rPr>
                <w:rFonts w:hint="eastAsia" w:ascii="宋体" w:hAnsi="宋体"/>
                <w:color w:val="auto"/>
                <w:spacing w:val="4"/>
                <w:kern w:val="0"/>
                <w:szCs w:val="21"/>
                <w:highlight w:val="none"/>
              </w:rPr>
              <w:t>（红名单建立完善后使用；联合体投标的，须联合体牵头人在红名单中）</w:t>
            </w:r>
            <w:r>
              <w:rPr>
                <w:rFonts w:hint="eastAsia" w:ascii="宋体" w:hAnsi="宋体"/>
                <w:color w:val="auto"/>
                <w:kern w:val="0"/>
                <w:highlight w:val="none"/>
              </w:rPr>
              <w:t>；投标人均在红名单中或均不在红名单中的，由评标委员会按照</w:t>
            </w:r>
            <w:r>
              <w:rPr>
                <w:rFonts w:hint="eastAsia" w:ascii="宋体" w:hAnsi="宋体"/>
                <w:color w:val="auto"/>
                <w:kern w:val="0"/>
                <w:highlight w:val="none"/>
                <w:u w:val="single"/>
              </w:rPr>
              <w:t xml:space="preserve">         </w:t>
            </w:r>
            <w:r>
              <w:rPr>
                <w:rFonts w:hint="eastAsia" w:ascii="宋体" w:hAnsi="宋体"/>
                <w:color w:val="auto"/>
                <w:kern w:val="0"/>
                <w:highlight w:val="none"/>
              </w:rPr>
              <w:t>原则排序。</w:t>
            </w:r>
            <w:r>
              <w:rPr>
                <w:rFonts w:hint="eastAsia" w:ascii="宋体" w:hAnsi="宋体"/>
                <w:i/>
                <w:color w:val="auto"/>
                <w:kern w:val="0"/>
                <w:highlight w:val="none"/>
              </w:rPr>
              <w:t>[提示：由招标人事先在招标文件中按照有利于合同履行的原则确定。]</w:t>
            </w:r>
          </w:p>
        </w:tc>
      </w:tr>
      <w:tr w14:paraId="53DAE53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55" w:type="dxa"/>
            <w:vMerge w:val="restart"/>
            <w:tcBorders>
              <w:right w:val="single" w:color="auto" w:sz="4" w:space="0"/>
            </w:tcBorders>
            <w:noWrap w:val="0"/>
            <w:vAlign w:val="center"/>
          </w:tcPr>
          <w:p w14:paraId="6E649347">
            <w:pPr>
              <w:spacing w:line="400" w:lineRule="exact"/>
              <w:jc w:val="center"/>
              <w:rPr>
                <w:rFonts w:hint="eastAsia" w:ascii="宋体" w:hAnsi="宋体"/>
                <w:color w:val="auto"/>
                <w:kern w:val="0"/>
                <w:highlight w:val="none"/>
              </w:rPr>
            </w:pPr>
            <w:r>
              <w:rPr>
                <w:rFonts w:ascii="宋体" w:hAnsi="宋体"/>
                <w:color w:val="auto"/>
                <w:kern w:val="0"/>
                <w:highlight w:val="none"/>
              </w:rPr>
              <w:t>2.1.</w:t>
            </w:r>
            <w:r>
              <w:rPr>
                <w:rFonts w:hint="eastAsia" w:ascii="宋体" w:hAnsi="宋体"/>
                <w:color w:val="auto"/>
                <w:kern w:val="0"/>
                <w:highlight w:val="none"/>
              </w:rPr>
              <w:t>1</w:t>
            </w:r>
          </w:p>
        </w:tc>
        <w:tc>
          <w:tcPr>
            <w:tcW w:w="567" w:type="dxa"/>
            <w:gridSpan w:val="2"/>
            <w:vMerge w:val="restart"/>
            <w:tcBorders>
              <w:right w:val="single" w:color="auto" w:sz="4" w:space="0"/>
            </w:tcBorders>
            <w:noWrap w:val="0"/>
            <w:vAlign w:val="center"/>
          </w:tcPr>
          <w:p w14:paraId="1BFEC5F9">
            <w:pPr>
              <w:spacing w:line="400" w:lineRule="exact"/>
              <w:jc w:val="center"/>
              <w:rPr>
                <w:rFonts w:hint="eastAsia" w:ascii="宋体" w:hAnsi="宋体"/>
                <w:color w:val="auto"/>
                <w:kern w:val="0"/>
                <w:highlight w:val="none"/>
              </w:rPr>
            </w:pPr>
            <w:r>
              <w:rPr>
                <w:rFonts w:ascii="宋体" w:hAnsi="宋体"/>
                <w:color w:val="auto"/>
                <w:kern w:val="0"/>
                <w:highlight w:val="none"/>
              </w:rPr>
              <w:t>资格评审标准</w:t>
            </w:r>
          </w:p>
        </w:tc>
        <w:tc>
          <w:tcPr>
            <w:tcW w:w="2560" w:type="dxa"/>
            <w:gridSpan w:val="3"/>
            <w:tcBorders>
              <w:left w:val="single" w:color="auto" w:sz="4" w:space="0"/>
            </w:tcBorders>
            <w:noWrap w:val="0"/>
            <w:vAlign w:val="center"/>
          </w:tcPr>
          <w:p w14:paraId="0077B5E8">
            <w:pPr>
              <w:spacing w:line="400" w:lineRule="exact"/>
              <w:jc w:val="left"/>
              <w:rPr>
                <w:rFonts w:hint="eastAsia" w:ascii="宋体" w:hAnsi="宋体"/>
                <w:color w:val="auto"/>
                <w:kern w:val="0"/>
                <w:highlight w:val="none"/>
              </w:rPr>
            </w:pPr>
            <w:r>
              <w:rPr>
                <w:rFonts w:hint="eastAsia" w:ascii="宋体" w:hAnsi="宋体"/>
                <w:color w:val="auto"/>
                <w:kern w:val="0"/>
                <w:highlight w:val="none"/>
              </w:rPr>
              <w:t>资质条件</w:t>
            </w:r>
          </w:p>
        </w:tc>
        <w:tc>
          <w:tcPr>
            <w:tcW w:w="5493" w:type="dxa"/>
            <w:noWrap w:val="0"/>
            <w:vAlign w:val="center"/>
          </w:tcPr>
          <w:p w14:paraId="764CA507">
            <w:pPr>
              <w:spacing w:line="400" w:lineRule="exact"/>
              <w:ind w:firstLine="420" w:firstLineChars="200"/>
              <w:jc w:val="left"/>
              <w:rPr>
                <w:rFonts w:hint="eastAsia" w:ascii="宋体" w:hAnsi="宋体"/>
                <w:color w:val="auto"/>
                <w:kern w:val="0"/>
                <w:highlight w:val="none"/>
              </w:rPr>
            </w:pPr>
            <w:r>
              <w:rPr>
                <w:rFonts w:ascii="宋体" w:hAnsi="宋体"/>
                <w:color w:val="auto"/>
                <w:kern w:val="0"/>
                <w:highlight w:val="none"/>
              </w:rPr>
              <w:t>符合第二章“投标人须知”第1.4.1项规定</w:t>
            </w:r>
          </w:p>
        </w:tc>
      </w:tr>
      <w:tr w14:paraId="49AEDFF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55" w:type="dxa"/>
            <w:vMerge w:val="continue"/>
            <w:tcBorders>
              <w:right w:val="single" w:color="auto" w:sz="4" w:space="0"/>
            </w:tcBorders>
            <w:noWrap w:val="0"/>
            <w:vAlign w:val="top"/>
          </w:tcPr>
          <w:p w14:paraId="0D1F0407">
            <w:pPr>
              <w:spacing w:line="400" w:lineRule="exact"/>
              <w:jc w:val="center"/>
              <w:rPr>
                <w:rFonts w:hint="eastAsia" w:ascii="宋体" w:hAnsi="宋体"/>
                <w:color w:val="auto"/>
                <w:kern w:val="0"/>
                <w:highlight w:val="none"/>
              </w:rPr>
            </w:pPr>
          </w:p>
        </w:tc>
        <w:tc>
          <w:tcPr>
            <w:tcW w:w="567" w:type="dxa"/>
            <w:gridSpan w:val="2"/>
            <w:vMerge w:val="continue"/>
            <w:tcBorders>
              <w:right w:val="single" w:color="auto" w:sz="4" w:space="0"/>
            </w:tcBorders>
            <w:noWrap w:val="0"/>
            <w:vAlign w:val="top"/>
          </w:tcPr>
          <w:p w14:paraId="69FC5DCD">
            <w:pPr>
              <w:spacing w:line="400" w:lineRule="exact"/>
              <w:jc w:val="center"/>
              <w:rPr>
                <w:rFonts w:hint="eastAsia" w:ascii="宋体" w:hAnsi="宋体"/>
                <w:color w:val="auto"/>
                <w:kern w:val="0"/>
                <w:highlight w:val="none"/>
              </w:rPr>
            </w:pPr>
          </w:p>
        </w:tc>
        <w:tc>
          <w:tcPr>
            <w:tcW w:w="2560" w:type="dxa"/>
            <w:gridSpan w:val="3"/>
            <w:tcBorders>
              <w:left w:val="single" w:color="auto" w:sz="4" w:space="0"/>
            </w:tcBorders>
            <w:noWrap w:val="0"/>
            <w:vAlign w:val="top"/>
          </w:tcPr>
          <w:p w14:paraId="6BC279D0">
            <w:pPr>
              <w:spacing w:line="400" w:lineRule="exact"/>
              <w:jc w:val="left"/>
              <w:rPr>
                <w:rFonts w:hint="eastAsia" w:ascii="宋体" w:hAnsi="宋体"/>
                <w:color w:val="auto"/>
                <w:kern w:val="0"/>
                <w:highlight w:val="none"/>
              </w:rPr>
            </w:pPr>
            <w:r>
              <w:rPr>
                <w:rFonts w:hint="eastAsia" w:ascii="宋体" w:hAnsi="宋体"/>
                <w:color w:val="auto"/>
                <w:kern w:val="0"/>
                <w:highlight w:val="none"/>
              </w:rPr>
              <w:t>营业执照</w:t>
            </w:r>
          </w:p>
        </w:tc>
        <w:tc>
          <w:tcPr>
            <w:tcW w:w="5493" w:type="dxa"/>
            <w:noWrap w:val="0"/>
            <w:vAlign w:val="center"/>
          </w:tcPr>
          <w:p w14:paraId="212D8260">
            <w:pPr>
              <w:spacing w:line="400" w:lineRule="exact"/>
              <w:ind w:firstLine="420" w:firstLineChars="200"/>
              <w:jc w:val="left"/>
              <w:rPr>
                <w:rFonts w:hint="eastAsia" w:ascii="宋体" w:hAnsi="宋体"/>
                <w:color w:val="auto"/>
                <w:kern w:val="0"/>
                <w:highlight w:val="none"/>
              </w:rPr>
            </w:pPr>
            <w:r>
              <w:rPr>
                <w:rFonts w:ascii="宋体" w:hAnsi="宋体"/>
                <w:color w:val="auto"/>
                <w:kern w:val="0"/>
                <w:highlight w:val="none"/>
              </w:rPr>
              <w:t>符合第二章“投标人须知”第1.4.1项规定</w:t>
            </w:r>
          </w:p>
        </w:tc>
      </w:tr>
      <w:tr w14:paraId="114D527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55" w:type="dxa"/>
            <w:vMerge w:val="continue"/>
            <w:tcBorders>
              <w:right w:val="single" w:color="auto" w:sz="4" w:space="0"/>
            </w:tcBorders>
            <w:noWrap w:val="0"/>
            <w:vAlign w:val="top"/>
          </w:tcPr>
          <w:p w14:paraId="4351C9F2">
            <w:pPr>
              <w:spacing w:line="400" w:lineRule="exact"/>
              <w:jc w:val="center"/>
              <w:rPr>
                <w:rFonts w:hint="eastAsia" w:ascii="宋体" w:hAnsi="宋体"/>
                <w:color w:val="auto"/>
                <w:kern w:val="0"/>
                <w:highlight w:val="none"/>
              </w:rPr>
            </w:pPr>
          </w:p>
        </w:tc>
        <w:tc>
          <w:tcPr>
            <w:tcW w:w="567" w:type="dxa"/>
            <w:gridSpan w:val="2"/>
            <w:vMerge w:val="continue"/>
            <w:tcBorders>
              <w:right w:val="single" w:color="auto" w:sz="4" w:space="0"/>
            </w:tcBorders>
            <w:noWrap w:val="0"/>
            <w:vAlign w:val="top"/>
          </w:tcPr>
          <w:p w14:paraId="36E64E3E">
            <w:pPr>
              <w:spacing w:line="400" w:lineRule="exact"/>
              <w:jc w:val="center"/>
              <w:rPr>
                <w:rFonts w:hint="eastAsia" w:ascii="宋体" w:hAnsi="宋体"/>
                <w:color w:val="auto"/>
                <w:kern w:val="0"/>
                <w:highlight w:val="none"/>
              </w:rPr>
            </w:pPr>
          </w:p>
        </w:tc>
        <w:tc>
          <w:tcPr>
            <w:tcW w:w="2560" w:type="dxa"/>
            <w:gridSpan w:val="3"/>
            <w:tcBorders>
              <w:left w:val="single" w:color="auto" w:sz="4" w:space="0"/>
            </w:tcBorders>
            <w:noWrap w:val="0"/>
            <w:vAlign w:val="top"/>
          </w:tcPr>
          <w:p w14:paraId="12A96E4B">
            <w:pPr>
              <w:spacing w:line="400" w:lineRule="exact"/>
              <w:jc w:val="left"/>
              <w:rPr>
                <w:rFonts w:hint="eastAsia" w:ascii="宋体" w:hAnsi="宋体"/>
                <w:color w:val="auto"/>
                <w:kern w:val="0"/>
                <w:highlight w:val="none"/>
              </w:rPr>
            </w:pPr>
            <w:r>
              <w:rPr>
                <w:rFonts w:hint="eastAsia" w:ascii="宋体" w:hAnsi="宋体"/>
                <w:color w:val="auto"/>
                <w:kern w:val="0"/>
                <w:highlight w:val="none"/>
              </w:rPr>
              <w:t>安全生产条件</w:t>
            </w:r>
          </w:p>
        </w:tc>
        <w:tc>
          <w:tcPr>
            <w:tcW w:w="5493" w:type="dxa"/>
            <w:noWrap w:val="0"/>
            <w:vAlign w:val="center"/>
          </w:tcPr>
          <w:p w14:paraId="091E250A">
            <w:pPr>
              <w:spacing w:line="400" w:lineRule="exact"/>
              <w:ind w:firstLine="420" w:firstLineChars="200"/>
              <w:jc w:val="left"/>
              <w:rPr>
                <w:rFonts w:hint="eastAsia" w:ascii="宋体" w:hAnsi="宋体"/>
                <w:color w:val="auto"/>
                <w:kern w:val="0"/>
                <w:highlight w:val="none"/>
              </w:rPr>
            </w:pPr>
            <w:r>
              <w:rPr>
                <w:rFonts w:ascii="宋体" w:hAnsi="宋体"/>
                <w:color w:val="auto"/>
                <w:kern w:val="0"/>
                <w:highlight w:val="none"/>
              </w:rPr>
              <w:t>符合第二章“投标人须知”第1.4.1项规定</w:t>
            </w:r>
          </w:p>
        </w:tc>
      </w:tr>
      <w:tr w14:paraId="75F982B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55" w:type="dxa"/>
            <w:vMerge w:val="continue"/>
            <w:tcBorders>
              <w:right w:val="single" w:color="auto" w:sz="4" w:space="0"/>
            </w:tcBorders>
            <w:noWrap w:val="0"/>
            <w:vAlign w:val="top"/>
          </w:tcPr>
          <w:p w14:paraId="2AB06B3B">
            <w:pPr>
              <w:spacing w:line="400" w:lineRule="exact"/>
              <w:jc w:val="center"/>
              <w:rPr>
                <w:rFonts w:hint="eastAsia" w:ascii="宋体" w:hAnsi="宋体"/>
                <w:color w:val="auto"/>
                <w:kern w:val="0"/>
                <w:highlight w:val="none"/>
              </w:rPr>
            </w:pPr>
          </w:p>
        </w:tc>
        <w:tc>
          <w:tcPr>
            <w:tcW w:w="567" w:type="dxa"/>
            <w:gridSpan w:val="2"/>
            <w:vMerge w:val="continue"/>
            <w:tcBorders>
              <w:right w:val="single" w:color="auto" w:sz="4" w:space="0"/>
            </w:tcBorders>
            <w:noWrap w:val="0"/>
            <w:vAlign w:val="top"/>
          </w:tcPr>
          <w:p w14:paraId="140A4C02">
            <w:pPr>
              <w:spacing w:line="400" w:lineRule="exact"/>
              <w:jc w:val="center"/>
              <w:rPr>
                <w:rFonts w:hint="eastAsia" w:ascii="宋体" w:hAnsi="宋体"/>
                <w:color w:val="auto"/>
                <w:kern w:val="0"/>
                <w:highlight w:val="none"/>
              </w:rPr>
            </w:pPr>
          </w:p>
        </w:tc>
        <w:tc>
          <w:tcPr>
            <w:tcW w:w="2560" w:type="dxa"/>
            <w:gridSpan w:val="3"/>
            <w:tcBorders>
              <w:left w:val="single" w:color="auto" w:sz="4" w:space="0"/>
            </w:tcBorders>
            <w:noWrap w:val="0"/>
            <w:vAlign w:val="center"/>
          </w:tcPr>
          <w:p w14:paraId="675DEFD4">
            <w:pPr>
              <w:spacing w:line="400" w:lineRule="exact"/>
              <w:jc w:val="left"/>
              <w:rPr>
                <w:rFonts w:hint="eastAsia" w:ascii="宋体" w:hAnsi="宋体"/>
                <w:color w:val="auto"/>
                <w:kern w:val="0"/>
                <w:highlight w:val="none"/>
              </w:rPr>
            </w:pPr>
            <w:r>
              <w:rPr>
                <w:rFonts w:hint="eastAsia" w:ascii="宋体" w:hAnsi="宋体" w:cs="宋体"/>
                <w:color w:val="auto"/>
                <w:kern w:val="0"/>
                <w:highlight w:val="none"/>
              </w:rPr>
              <w:t>□</w:t>
            </w:r>
            <w:r>
              <w:rPr>
                <w:rFonts w:ascii="宋体" w:hAnsi="宋体"/>
                <w:color w:val="auto"/>
                <w:kern w:val="0"/>
                <w:highlight w:val="none"/>
              </w:rPr>
              <w:t>财务</w:t>
            </w:r>
            <w:r>
              <w:rPr>
                <w:rFonts w:hint="eastAsia" w:ascii="宋体" w:hAnsi="宋体"/>
                <w:color w:val="auto"/>
                <w:kern w:val="0"/>
                <w:highlight w:val="none"/>
              </w:rPr>
              <w:t>要求</w:t>
            </w:r>
          </w:p>
        </w:tc>
        <w:tc>
          <w:tcPr>
            <w:tcW w:w="5493" w:type="dxa"/>
            <w:noWrap w:val="0"/>
            <w:vAlign w:val="center"/>
          </w:tcPr>
          <w:p w14:paraId="0FFCEBF1">
            <w:pPr>
              <w:spacing w:line="400" w:lineRule="exact"/>
              <w:ind w:firstLine="420" w:firstLineChars="200"/>
              <w:jc w:val="left"/>
              <w:rPr>
                <w:rFonts w:hint="eastAsia" w:ascii="宋体" w:hAnsi="宋体"/>
                <w:color w:val="auto"/>
                <w:kern w:val="0"/>
                <w:highlight w:val="none"/>
              </w:rPr>
            </w:pPr>
            <w:r>
              <w:rPr>
                <w:rFonts w:ascii="宋体" w:hAnsi="宋体"/>
                <w:color w:val="auto"/>
                <w:kern w:val="0"/>
                <w:highlight w:val="none"/>
              </w:rPr>
              <w:t>符合第二章“投标人须知”第1.4.1项规定</w:t>
            </w:r>
          </w:p>
        </w:tc>
      </w:tr>
      <w:tr w14:paraId="37936AC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55" w:type="dxa"/>
            <w:vMerge w:val="continue"/>
            <w:tcBorders>
              <w:right w:val="single" w:color="auto" w:sz="4" w:space="0"/>
            </w:tcBorders>
            <w:noWrap w:val="0"/>
            <w:vAlign w:val="top"/>
          </w:tcPr>
          <w:p w14:paraId="3D9AB207">
            <w:pPr>
              <w:spacing w:line="400" w:lineRule="exact"/>
              <w:jc w:val="center"/>
              <w:rPr>
                <w:rFonts w:hint="eastAsia" w:ascii="宋体" w:hAnsi="宋体"/>
                <w:color w:val="auto"/>
                <w:kern w:val="0"/>
                <w:highlight w:val="none"/>
              </w:rPr>
            </w:pPr>
          </w:p>
        </w:tc>
        <w:tc>
          <w:tcPr>
            <w:tcW w:w="567" w:type="dxa"/>
            <w:gridSpan w:val="2"/>
            <w:vMerge w:val="continue"/>
            <w:tcBorders>
              <w:right w:val="single" w:color="auto" w:sz="4" w:space="0"/>
            </w:tcBorders>
            <w:noWrap w:val="0"/>
            <w:vAlign w:val="top"/>
          </w:tcPr>
          <w:p w14:paraId="5FFE281A">
            <w:pPr>
              <w:spacing w:line="400" w:lineRule="exact"/>
              <w:jc w:val="center"/>
              <w:rPr>
                <w:rFonts w:hint="eastAsia" w:ascii="宋体" w:hAnsi="宋体"/>
                <w:color w:val="auto"/>
                <w:kern w:val="0"/>
                <w:highlight w:val="none"/>
              </w:rPr>
            </w:pPr>
          </w:p>
        </w:tc>
        <w:tc>
          <w:tcPr>
            <w:tcW w:w="2560" w:type="dxa"/>
            <w:gridSpan w:val="3"/>
            <w:tcBorders>
              <w:left w:val="single" w:color="auto" w:sz="4" w:space="0"/>
            </w:tcBorders>
            <w:noWrap w:val="0"/>
            <w:vAlign w:val="top"/>
          </w:tcPr>
          <w:p w14:paraId="533820F6">
            <w:pPr>
              <w:spacing w:line="400" w:lineRule="exact"/>
              <w:jc w:val="left"/>
              <w:rPr>
                <w:rFonts w:hint="eastAsia" w:ascii="宋体" w:hAnsi="宋体"/>
                <w:color w:val="auto"/>
                <w:kern w:val="0"/>
                <w:highlight w:val="none"/>
              </w:rPr>
            </w:pPr>
            <w:r>
              <w:rPr>
                <w:rFonts w:hint="eastAsia" w:ascii="宋体" w:hAnsi="宋体" w:cs="宋体"/>
                <w:color w:val="auto"/>
                <w:kern w:val="0"/>
                <w:highlight w:val="none"/>
              </w:rPr>
              <w:t>□</w:t>
            </w:r>
            <w:r>
              <w:rPr>
                <w:rFonts w:hint="eastAsia" w:ascii="宋体" w:hAnsi="宋体"/>
                <w:color w:val="auto"/>
                <w:kern w:val="0"/>
                <w:highlight w:val="none"/>
              </w:rPr>
              <w:t>业绩要求</w:t>
            </w:r>
          </w:p>
        </w:tc>
        <w:tc>
          <w:tcPr>
            <w:tcW w:w="5493" w:type="dxa"/>
            <w:noWrap w:val="0"/>
            <w:vAlign w:val="center"/>
          </w:tcPr>
          <w:p w14:paraId="3B8C2ED8">
            <w:pPr>
              <w:spacing w:line="400" w:lineRule="exact"/>
              <w:ind w:firstLine="420" w:firstLineChars="200"/>
              <w:jc w:val="left"/>
              <w:rPr>
                <w:rFonts w:hint="eastAsia" w:ascii="宋体" w:hAnsi="宋体"/>
                <w:color w:val="auto"/>
                <w:kern w:val="0"/>
                <w:highlight w:val="none"/>
              </w:rPr>
            </w:pPr>
            <w:r>
              <w:rPr>
                <w:rFonts w:ascii="宋体" w:hAnsi="宋体"/>
                <w:color w:val="auto"/>
                <w:kern w:val="0"/>
                <w:highlight w:val="none"/>
              </w:rPr>
              <w:t>符合第二章“投标人须知”第1.4.1项规定</w:t>
            </w:r>
          </w:p>
        </w:tc>
      </w:tr>
      <w:tr w14:paraId="5D4839C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55" w:type="dxa"/>
            <w:vMerge w:val="continue"/>
            <w:tcBorders>
              <w:right w:val="single" w:color="auto" w:sz="4" w:space="0"/>
            </w:tcBorders>
            <w:noWrap w:val="0"/>
            <w:vAlign w:val="top"/>
          </w:tcPr>
          <w:p w14:paraId="6B44674E">
            <w:pPr>
              <w:spacing w:line="400" w:lineRule="exact"/>
              <w:jc w:val="center"/>
              <w:rPr>
                <w:rFonts w:hint="eastAsia" w:ascii="宋体" w:hAnsi="宋体"/>
                <w:color w:val="auto"/>
                <w:kern w:val="0"/>
                <w:highlight w:val="none"/>
              </w:rPr>
            </w:pPr>
          </w:p>
        </w:tc>
        <w:tc>
          <w:tcPr>
            <w:tcW w:w="567" w:type="dxa"/>
            <w:gridSpan w:val="2"/>
            <w:vMerge w:val="continue"/>
            <w:tcBorders>
              <w:right w:val="single" w:color="auto" w:sz="4" w:space="0"/>
            </w:tcBorders>
            <w:noWrap w:val="0"/>
            <w:vAlign w:val="top"/>
          </w:tcPr>
          <w:p w14:paraId="7547702B">
            <w:pPr>
              <w:spacing w:line="400" w:lineRule="exact"/>
              <w:jc w:val="center"/>
              <w:rPr>
                <w:rFonts w:hint="eastAsia" w:ascii="宋体" w:hAnsi="宋体"/>
                <w:color w:val="auto"/>
                <w:kern w:val="0"/>
                <w:highlight w:val="none"/>
              </w:rPr>
            </w:pPr>
          </w:p>
        </w:tc>
        <w:tc>
          <w:tcPr>
            <w:tcW w:w="2560" w:type="dxa"/>
            <w:gridSpan w:val="3"/>
            <w:tcBorders>
              <w:left w:val="single" w:color="auto" w:sz="4" w:space="0"/>
            </w:tcBorders>
            <w:noWrap w:val="0"/>
            <w:vAlign w:val="top"/>
          </w:tcPr>
          <w:p w14:paraId="4FF39FB3">
            <w:pPr>
              <w:spacing w:line="400" w:lineRule="exact"/>
              <w:jc w:val="left"/>
              <w:rPr>
                <w:rFonts w:hint="eastAsia" w:ascii="宋体" w:hAnsi="宋体"/>
                <w:color w:val="auto"/>
                <w:kern w:val="0"/>
                <w:highlight w:val="none"/>
              </w:rPr>
            </w:pPr>
            <w:r>
              <w:rPr>
                <w:rFonts w:ascii="宋体" w:hAnsi="宋体"/>
                <w:color w:val="auto"/>
                <w:szCs w:val="21"/>
                <w:highlight w:val="none"/>
              </w:rPr>
              <w:t>投标截止日投标资格情况</w:t>
            </w:r>
          </w:p>
        </w:tc>
        <w:tc>
          <w:tcPr>
            <w:tcW w:w="5493" w:type="dxa"/>
            <w:noWrap w:val="0"/>
            <w:vAlign w:val="center"/>
          </w:tcPr>
          <w:p w14:paraId="76BE26F1">
            <w:pPr>
              <w:spacing w:line="400" w:lineRule="exact"/>
              <w:ind w:firstLine="420" w:firstLineChars="200"/>
              <w:jc w:val="left"/>
              <w:rPr>
                <w:rFonts w:hint="eastAsia" w:ascii="宋体" w:hAnsi="宋体"/>
                <w:color w:val="auto"/>
                <w:kern w:val="0"/>
                <w:highlight w:val="none"/>
              </w:rPr>
            </w:pPr>
            <w:r>
              <w:rPr>
                <w:rFonts w:ascii="宋体" w:hAnsi="宋体"/>
                <w:color w:val="auto"/>
                <w:kern w:val="0"/>
                <w:highlight w:val="none"/>
              </w:rPr>
              <w:t>符合第二章“投标人须知”第1.4.1项规定</w:t>
            </w:r>
          </w:p>
        </w:tc>
      </w:tr>
      <w:tr w14:paraId="66525C4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55" w:type="dxa"/>
            <w:vMerge w:val="continue"/>
            <w:tcBorders>
              <w:right w:val="single" w:color="auto" w:sz="4" w:space="0"/>
            </w:tcBorders>
            <w:noWrap w:val="0"/>
            <w:vAlign w:val="top"/>
          </w:tcPr>
          <w:p w14:paraId="73251083">
            <w:pPr>
              <w:spacing w:line="400" w:lineRule="exact"/>
              <w:jc w:val="center"/>
              <w:rPr>
                <w:rFonts w:hint="eastAsia" w:ascii="宋体" w:hAnsi="宋体"/>
                <w:color w:val="auto"/>
                <w:kern w:val="0"/>
                <w:highlight w:val="none"/>
              </w:rPr>
            </w:pPr>
          </w:p>
        </w:tc>
        <w:tc>
          <w:tcPr>
            <w:tcW w:w="567" w:type="dxa"/>
            <w:gridSpan w:val="2"/>
            <w:vMerge w:val="continue"/>
            <w:tcBorders>
              <w:right w:val="single" w:color="auto" w:sz="4" w:space="0"/>
            </w:tcBorders>
            <w:noWrap w:val="0"/>
            <w:vAlign w:val="top"/>
          </w:tcPr>
          <w:p w14:paraId="71968B1E">
            <w:pPr>
              <w:spacing w:line="400" w:lineRule="exact"/>
              <w:jc w:val="center"/>
              <w:rPr>
                <w:rFonts w:hint="eastAsia" w:ascii="宋体" w:hAnsi="宋体"/>
                <w:color w:val="auto"/>
                <w:kern w:val="0"/>
                <w:highlight w:val="none"/>
              </w:rPr>
            </w:pPr>
          </w:p>
        </w:tc>
        <w:tc>
          <w:tcPr>
            <w:tcW w:w="2560" w:type="dxa"/>
            <w:gridSpan w:val="3"/>
            <w:tcBorders>
              <w:left w:val="single" w:color="auto" w:sz="4" w:space="0"/>
            </w:tcBorders>
            <w:noWrap w:val="0"/>
            <w:vAlign w:val="top"/>
          </w:tcPr>
          <w:p w14:paraId="53CB15FB">
            <w:pPr>
              <w:spacing w:line="400" w:lineRule="exact"/>
              <w:jc w:val="left"/>
              <w:rPr>
                <w:rFonts w:hint="eastAsia" w:ascii="宋体" w:hAnsi="宋体"/>
                <w:color w:val="auto"/>
                <w:kern w:val="0"/>
                <w:highlight w:val="none"/>
              </w:rPr>
            </w:pPr>
            <w:r>
              <w:rPr>
                <w:rFonts w:ascii="宋体" w:hAnsi="宋体"/>
                <w:color w:val="auto"/>
                <w:kern w:val="0"/>
                <w:highlight w:val="none"/>
              </w:rPr>
              <w:t>项目经理资格</w:t>
            </w:r>
            <w:r>
              <w:rPr>
                <w:rFonts w:hint="eastAsia" w:ascii="宋体" w:hAnsi="宋体"/>
                <w:color w:val="auto"/>
                <w:kern w:val="0"/>
                <w:highlight w:val="none"/>
              </w:rPr>
              <w:t>要求</w:t>
            </w:r>
          </w:p>
        </w:tc>
        <w:tc>
          <w:tcPr>
            <w:tcW w:w="5493" w:type="dxa"/>
            <w:noWrap w:val="0"/>
            <w:vAlign w:val="center"/>
          </w:tcPr>
          <w:p w14:paraId="752A903E">
            <w:pPr>
              <w:spacing w:line="400" w:lineRule="exact"/>
              <w:ind w:firstLine="420" w:firstLineChars="200"/>
              <w:jc w:val="left"/>
              <w:rPr>
                <w:rFonts w:hint="eastAsia" w:ascii="宋体" w:hAnsi="宋体"/>
                <w:color w:val="auto"/>
                <w:kern w:val="0"/>
                <w:highlight w:val="none"/>
              </w:rPr>
            </w:pPr>
            <w:r>
              <w:rPr>
                <w:rFonts w:ascii="宋体" w:hAnsi="宋体"/>
                <w:color w:val="auto"/>
                <w:kern w:val="0"/>
                <w:highlight w:val="none"/>
              </w:rPr>
              <w:t>符合第二章“投标人须知”第1.4.1项规定</w:t>
            </w:r>
          </w:p>
        </w:tc>
      </w:tr>
      <w:tr w14:paraId="4EEE948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55" w:type="dxa"/>
            <w:vMerge w:val="continue"/>
            <w:tcBorders>
              <w:right w:val="single" w:color="auto" w:sz="4" w:space="0"/>
            </w:tcBorders>
            <w:noWrap w:val="0"/>
            <w:vAlign w:val="top"/>
          </w:tcPr>
          <w:p w14:paraId="61040128">
            <w:pPr>
              <w:spacing w:line="400" w:lineRule="exact"/>
              <w:jc w:val="center"/>
              <w:rPr>
                <w:rFonts w:hint="eastAsia" w:ascii="宋体" w:hAnsi="宋体"/>
                <w:color w:val="auto"/>
                <w:kern w:val="0"/>
                <w:highlight w:val="none"/>
              </w:rPr>
            </w:pPr>
          </w:p>
        </w:tc>
        <w:tc>
          <w:tcPr>
            <w:tcW w:w="567" w:type="dxa"/>
            <w:gridSpan w:val="2"/>
            <w:vMerge w:val="continue"/>
            <w:tcBorders>
              <w:right w:val="single" w:color="auto" w:sz="4" w:space="0"/>
            </w:tcBorders>
            <w:noWrap w:val="0"/>
            <w:vAlign w:val="top"/>
          </w:tcPr>
          <w:p w14:paraId="56104E3C">
            <w:pPr>
              <w:spacing w:line="400" w:lineRule="exact"/>
              <w:jc w:val="center"/>
              <w:rPr>
                <w:rFonts w:hint="eastAsia" w:ascii="宋体" w:hAnsi="宋体"/>
                <w:color w:val="auto"/>
                <w:kern w:val="0"/>
                <w:highlight w:val="none"/>
              </w:rPr>
            </w:pPr>
          </w:p>
        </w:tc>
        <w:tc>
          <w:tcPr>
            <w:tcW w:w="2560" w:type="dxa"/>
            <w:gridSpan w:val="3"/>
            <w:tcBorders>
              <w:left w:val="single" w:color="auto" w:sz="4" w:space="0"/>
            </w:tcBorders>
            <w:noWrap w:val="0"/>
            <w:vAlign w:val="top"/>
          </w:tcPr>
          <w:p w14:paraId="1206F125">
            <w:pPr>
              <w:spacing w:line="400" w:lineRule="exact"/>
              <w:jc w:val="left"/>
              <w:rPr>
                <w:rFonts w:hint="eastAsia" w:ascii="宋体" w:hAnsi="宋体"/>
                <w:color w:val="auto"/>
                <w:kern w:val="0"/>
                <w:highlight w:val="none"/>
              </w:rPr>
            </w:pPr>
            <w:r>
              <w:rPr>
                <w:rFonts w:ascii="宋体" w:hAnsi="宋体"/>
                <w:color w:val="auto"/>
                <w:kern w:val="0"/>
                <w:highlight w:val="none"/>
              </w:rPr>
              <w:t>其他要求</w:t>
            </w:r>
          </w:p>
        </w:tc>
        <w:tc>
          <w:tcPr>
            <w:tcW w:w="5493" w:type="dxa"/>
            <w:noWrap w:val="0"/>
            <w:vAlign w:val="center"/>
          </w:tcPr>
          <w:p w14:paraId="7C42DE8E">
            <w:pPr>
              <w:spacing w:line="400" w:lineRule="exact"/>
              <w:ind w:firstLine="420" w:firstLineChars="200"/>
              <w:jc w:val="left"/>
              <w:rPr>
                <w:rFonts w:hint="eastAsia" w:ascii="宋体" w:hAnsi="宋体"/>
                <w:color w:val="auto"/>
                <w:kern w:val="0"/>
                <w:highlight w:val="none"/>
              </w:rPr>
            </w:pPr>
            <w:r>
              <w:rPr>
                <w:rFonts w:ascii="宋体" w:hAnsi="宋体"/>
                <w:color w:val="auto"/>
                <w:kern w:val="0"/>
                <w:highlight w:val="none"/>
              </w:rPr>
              <w:t>符合第二章“投标人须知”第1.4.1项规定</w:t>
            </w:r>
          </w:p>
        </w:tc>
      </w:tr>
      <w:tr w14:paraId="0B8A214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55" w:type="dxa"/>
            <w:vMerge w:val="continue"/>
            <w:tcBorders>
              <w:right w:val="single" w:color="auto" w:sz="4" w:space="0"/>
            </w:tcBorders>
            <w:noWrap w:val="0"/>
            <w:vAlign w:val="top"/>
          </w:tcPr>
          <w:p w14:paraId="6E9B0BBF">
            <w:pPr>
              <w:spacing w:line="400" w:lineRule="exact"/>
              <w:jc w:val="center"/>
              <w:rPr>
                <w:rFonts w:hint="eastAsia" w:ascii="宋体" w:hAnsi="宋体"/>
                <w:color w:val="auto"/>
                <w:kern w:val="0"/>
                <w:highlight w:val="none"/>
              </w:rPr>
            </w:pPr>
          </w:p>
        </w:tc>
        <w:tc>
          <w:tcPr>
            <w:tcW w:w="567" w:type="dxa"/>
            <w:gridSpan w:val="2"/>
            <w:vMerge w:val="continue"/>
            <w:tcBorders>
              <w:right w:val="single" w:color="auto" w:sz="4" w:space="0"/>
            </w:tcBorders>
            <w:noWrap w:val="0"/>
            <w:vAlign w:val="top"/>
          </w:tcPr>
          <w:p w14:paraId="64F17424">
            <w:pPr>
              <w:spacing w:line="400" w:lineRule="exact"/>
              <w:jc w:val="center"/>
              <w:rPr>
                <w:rFonts w:hint="eastAsia" w:ascii="宋体" w:hAnsi="宋体"/>
                <w:color w:val="auto"/>
                <w:kern w:val="0"/>
                <w:highlight w:val="none"/>
              </w:rPr>
            </w:pPr>
          </w:p>
        </w:tc>
        <w:tc>
          <w:tcPr>
            <w:tcW w:w="2560" w:type="dxa"/>
            <w:gridSpan w:val="3"/>
            <w:tcBorders>
              <w:left w:val="single" w:color="auto" w:sz="4" w:space="0"/>
            </w:tcBorders>
            <w:noWrap w:val="0"/>
            <w:vAlign w:val="top"/>
          </w:tcPr>
          <w:p w14:paraId="43C79B52">
            <w:pPr>
              <w:spacing w:line="400" w:lineRule="exact"/>
              <w:jc w:val="left"/>
              <w:rPr>
                <w:rFonts w:hint="eastAsia" w:ascii="宋体" w:hAnsi="宋体"/>
                <w:color w:val="auto"/>
                <w:kern w:val="0"/>
                <w:highlight w:val="none"/>
              </w:rPr>
            </w:pPr>
            <w:r>
              <w:rPr>
                <w:rFonts w:hint="eastAsia" w:ascii="宋体" w:hAnsi="宋体" w:cs="宋体"/>
                <w:color w:val="auto"/>
                <w:kern w:val="0"/>
                <w:highlight w:val="none"/>
              </w:rPr>
              <w:t>□</w:t>
            </w:r>
            <w:r>
              <w:rPr>
                <w:rFonts w:ascii="宋体" w:hAnsi="宋体"/>
                <w:color w:val="auto"/>
                <w:kern w:val="0"/>
                <w:highlight w:val="none"/>
              </w:rPr>
              <w:t>联合体投标人</w:t>
            </w:r>
          </w:p>
        </w:tc>
        <w:tc>
          <w:tcPr>
            <w:tcW w:w="5493" w:type="dxa"/>
            <w:noWrap w:val="0"/>
            <w:vAlign w:val="center"/>
          </w:tcPr>
          <w:p w14:paraId="6FB4FD19">
            <w:pPr>
              <w:spacing w:line="400" w:lineRule="exact"/>
              <w:ind w:firstLine="420" w:firstLineChars="200"/>
              <w:jc w:val="left"/>
              <w:rPr>
                <w:rFonts w:hint="eastAsia" w:ascii="宋体" w:hAnsi="宋体"/>
                <w:color w:val="auto"/>
                <w:kern w:val="0"/>
                <w:highlight w:val="none"/>
              </w:rPr>
            </w:pPr>
            <w:r>
              <w:rPr>
                <w:rFonts w:ascii="宋体" w:hAnsi="宋体"/>
                <w:color w:val="auto"/>
                <w:kern w:val="0"/>
                <w:highlight w:val="none"/>
              </w:rPr>
              <w:t>符合第二章“投标人须知”第1.4.2项规定</w:t>
            </w:r>
          </w:p>
        </w:tc>
      </w:tr>
      <w:tr w14:paraId="0C77952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55" w:type="dxa"/>
            <w:vMerge w:val="restart"/>
            <w:tcBorders>
              <w:right w:val="single" w:color="auto" w:sz="4" w:space="0"/>
            </w:tcBorders>
            <w:noWrap w:val="0"/>
            <w:vAlign w:val="center"/>
          </w:tcPr>
          <w:p w14:paraId="6D4E5374">
            <w:pPr>
              <w:spacing w:line="400" w:lineRule="exact"/>
              <w:jc w:val="center"/>
              <w:rPr>
                <w:rFonts w:ascii="宋体" w:hAnsi="宋体"/>
                <w:color w:val="auto"/>
                <w:kern w:val="0"/>
                <w:highlight w:val="none"/>
              </w:rPr>
            </w:pPr>
            <w:r>
              <w:rPr>
                <w:rFonts w:ascii="宋体" w:hAnsi="宋体"/>
                <w:color w:val="auto"/>
                <w:kern w:val="0"/>
                <w:highlight w:val="none"/>
              </w:rPr>
              <w:t>2.1.</w:t>
            </w:r>
            <w:r>
              <w:rPr>
                <w:rFonts w:hint="eastAsia" w:ascii="宋体" w:hAnsi="宋体"/>
                <w:color w:val="auto"/>
                <w:kern w:val="0"/>
                <w:highlight w:val="none"/>
              </w:rPr>
              <w:t>2</w:t>
            </w:r>
          </w:p>
        </w:tc>
        <w:tc>
          <w:tcPr>
            <w:tcW w:w="567" w:type="dxa"/>
            <w:gridSpan w:val="2"/>
            <w:vMerge w:val="restart"/>
            <w:tcBorders>
              <w:right w:val="single" w:color="auto" w:sz="4" w:space="0"/>
            </w:tcBorders>
            <w:noWrap w:val="0"/>
            <w:vAlign w:val="center"/>
          </w:tcPr>
          <w:p w14:paraId="3B6983FE">
            <w:pPr>
              <w:spacing w:line="400" w:lineRule="exact"/>
              <w:jc w:val="center"/>
              <w:rPr>
                <w:rFonts w:ascii="宋体" w:hAnsi="宋体"/>
                <w:color w:val="auto"/>
                <w:kern w:val="0"/>
                <w:highlight w:val="none"/>
              </w:rPr>
            </w:pPr>
            <w:r>
              <w:rPr>
                <w:rFonts w:ascii="宋体" w:hAnsi="宋体"/>
                <w:color w:val="auto"/>
                <w:kern w:val="0"/>
                <w:highlight w:val="none"/>
              </w:rPr>
              <w:t>形式评审标准</w:t>
            </w:r>
          </w:p>
        </w:tc>
        <w:tc>
          <w:tcPr>
            <w:tcW w:w="2560" w:type="dxa"/>
            <w:gridSpan w:val="3"/>
            <w:tcBorders>
              <w:left w:val="single" w:color="auto" w:sz="4" w:space="0"/>
            </w:tcBorders>
            <w:noWrap w:val="0"/>
            <w:vAlign w:val="center"/>
          </w:tcPr>
          <w:p w14:paraId="790DD7C5">
            <w:pPr>
              <w:spacing w:line="400" w:lineRule="exact"/>
              <w:jc w:val="left"/>
              <w:rPr>
                <w:rFonts w:ascii="宋体" w:hAnsi="宋体"/>
                <w:color w:val="auto"/>
                <w:kern w:val="0"/>
                <w:highlight w:val="none"/>
              </w:rPr>
            </w:pPr>
            <w:r>
              <w:rPr>
                <w:rFonts w:ascii="宋体" w:hAnsi="宋体"/>
                <w:color w:val="auto"/>
                <w:kern w:val="0"/>
                <w:highlight w:val="none"/>
              </w:rPr>
              <w:t>投标人名称</w:t>
            </w:r>
          </w:p>
        </w:tc>
        <w:tc>
          <w:tcPr>
            <w:tcW w:w="5493" w:type="dxa"/>
            <w:noWrap w:val="0"/>
            <w:vAlign w:val="center"/>
          </w:tcPr>
          <w:p w14:paraId="17059929">
            <w:pPr>
              <w:spacing w:line="400" w:lineRule="exact"/>
              <w:ind w:firstLine="420" w:firstLineChars="200"/>
              <w:rPr>
                <w:rFonts w:ascii="宋体" w:hAnsi="宋体"/>
                <w:color w:val="auto"/>
                <w:kern w:val="0"/>
                <w:highlight w:val="none"/>
              </w:rPr>
            </w:pPr>
            <w:r>
              <w:rPr>
                <w:rFonts w:ascii="宋体" w:hAnsi="宋体"/>
                <w:color w:val="auto"/>
                <w:kern w:val="0"/>
                <w:highlight w:val="none"/>
              </w:rPr>
              <w:t>与营业执照、资质证书、安全生产许可证一致</w:t>
            </w:r>
            <w:r>
              <w:rPr>
                <w:rFonts w:hint="eastAsia" w:ascii="宋体" w:hAnsi="宋体"/>
                <w:color w:val="auto"/>
                <w:kern w:val="0"/>
                <w:highlight w:val="none"/>
              </w:rPr>
              <w:t>，依法变更名称的应提交相应证明材料</w:t>
            </w:r>
            <w:r>
              <w:rPr>
                <w:rFonts w:ascii="宋体" w:hAnsi="宋体"/>
                <w:color w:val="auto"/>
                <w:kern w:val="0"/>
                <w:highlight w:val="none"/>
              </w:rPr>
              <w:t>。</w:t>
            </w:r>
          </w:p>
        </w:tc>
      </w:tr>
      <w:tr w14:paraId="18FE752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55" w:type="dxa"/>
            <w:vMerge w:val="continue"/>
            <w:tcBorders>
              <w:right w:val="single" w:color="auto" w:sz="4" w:space="0"/>
            </w:tcBorders>
            <w:noWrap w:val="0"/>
            <w:vAlign w:val="top"/>
          </w:tcPr>
          <w:p w14:paraId="62C67BC0">
            <w:pPr>
              <w:spacing w:line="400" w:lineRule="exact"/>
              <w:jc w:val="center"/>
              <w:rPr>
                <w:rFonts w:hint="eastAsia" w:ascii="宋体" w:hAnsi="宋体"/>
                <w:color w:val="auto"/>
                <w:kern w:val="0"/>
                <w:highlight w:val="none"/>
              </w:rPr>
            </w:pPr>
          </w:p>
        </w:tc>
        <w:tc>
          <w:tcPr>
            <w:tcW w:w="567" w:type="dxa"/>
            <w:gridSpan w:val="2"/>
            <w:vMerge w:val="continue"/>
            <w:tcBorders>
              <w:right w:val="single" w:color="auto" w:sz="4" w:space="0"/>
            </w:tcBorders>
            <w:noWrap w:val="0"/>
            <w:vAlign w:val="top"/>
          </w:tcPr>
          <w:p w14:paraId="261F3810">
            <w:pPr>
              <w:spacing w:line="400" w:lineRule="exact"/>
              <w:jc w:val="center"/>
              <w:rPr>
                <w:rFonts w:hint="eastAsia" w:ascii="宋体" w:hAnsi="宋体"/>
                <w:color w:val="auto"/>
                <w:kern w:val="0"/>
                <w:highlight w:val="none"/>
              </w:rPr>
            </w:pPr>
          </w:p>
        </w:tc>
        <w:tc>
          <w:tcPr>
            <w:tcW w:w="2560" w:type="dxa"/>
            <w:gridSpan w:val="3"/>
            <w:tcBorders>
              <w:left w:val="single" w:color="auto" w:sz="4" w:space="0"/>
            </w:tcBorders>
            <w:noWrap w:val="0"/>
            <w:vAlign w:val="center"/>
          </w:tcPr>
          <w:p w14:paraId="60DE2018">
            <w:pPr>
              <w:spacing w:line="400" w:lineRule="exact"/>
              <w:jc w:val="left"/>
              <w:rPr>
                <w:rFonts w:ascii="宋体" w:hAnsi="宋体"/>
                <w:color w:val="auto"/>
                <w:kern w:val="0"/>
                <w:highlight w:val="none"/>
              </w:rPr>
            </w:pPr>
            <w:r>
              <w:rPr>
                <w:rFonts w:ascii="宋体" w:hAnsi="宋体"/>
                <w:color w:val="auto"/>
                <w:kern w:val="0"/>
                <w:highlight w:val="none"/>
              </w:rPr>
              <w:t>投标文件格式</w:t>
            </w:r>
          </w:p>
        </w:tc>
        <w:tc>
          <w:tcPr>
            <w:tcW w:w="5493" w:type="dxa"/>
            <w:noWrap w:val="0"/>
            <w:vAlign w:val="center"/>
          </w:tcPr>
          <w:p w14:paraId="2BF3DDB1">
            <w:pPr>
              <w:spacing w:line="400" w:lineRule="exact"/>
              <w:ind w:firstLine="420" w:firstLineChars="200"/>
              <w:rPr>
                <w:rFonts w:hint="eastAsia" w:ascii="宋体" w:hAnsi="宋体"/>
                <w:color w:val="auto"/>
                <w:kern w:val="0"/>
                <w:highlight w:val="none"/>
              </w:rPr>
            </w:pPr>
            <w:r>
              <w:rPr>
                <w:rFonts w:ascii="宋体" w:hAnsi="宋体"/>
                <w:color w:val="auto"/>
                <w:kern w:val="0"/>
                <w:highlight w:val="none"/>
              </w:rPr>
              <w:t>符合第</w:t>
            </w:r>
            <w:r>
              <w:rPr>
                <w:rFonts w:hint="eastAsia" w:ascii="宋体" w:hAnsi="宋体"/>
                <w:color w:val="auto"/>
                <w:kern w:val="0"/>
                <w:highlight w:val="none"/>
              </w:rPr>
              <w:t>二</w:t>
            </w:r>
            <w:r>
              <w:rPr>
                <w:rFonts w:ascii="宋体" w:hAnsi="宋体"/>
                <w:color w:val="auto"/>
                <w:kern w:val="0"/>
                <w:highlight w:val="none"/>
              </w:rPr>
              <w:t>章“投标</w:t>
            </w:r>
            <w:r>
              <w:rPr>
                <w:rFonts w:hint="eastAsia" w:ascii="宋体" w:hAnsi="宋体"/>
                <w:color w:val="auto"/>
                <w:kern w:val="0"/>
                <w:highlight w:val="none"/>
              </w:rPr>
              <w:t>人须知</w:t>
            </w:r>
            <w:r>
              <w:rPr>
                <w:rFonts w:ascii="宋体" w:hAnsi="宋体"/>
                <w:color w:val="auto"/>
                <w:kern w:val="0"/>
                <w:highlight w:val="none"/>
              </w:rPr>
              <w:t>”</w:t>
            </w:r>
            <w:r>
              <w:rPr>
                <w:rFonts w:hint="eastAsia" w:ascii="宋体" w:hAnsi="宋体"/>
                <w:color w:val="auto"/>
                <w:kern w:val="0"/>
                <w:highlight w:val="none"/>
              </w:rPr>
              <w:t>第3.7款</w:t>
            </w:r>
            <w:r>
              <w:rPr>
                <w:rFonts w:ascii="宋体" w:hAnsi="宋体"/>
                <w:color w:val="auto"/>
                <w:kern w:val="0"/>
                <w:highlight w:val="none"/>
              </w:rPr>
              <w:t>的要求</w:t>
            </w:r>
            <w:r>
              <w:rPr>
                <w:rFonts w:hint="eastAsia" w:ascii="宋体" w:hAnsi="宋体"/>
                <w:color w:val="auto"/>
                <w:kern w:val="0"/>
                <w:highlight w:val="none"/>
              </w:rPr>
              <w:t>（不含投标函部分）</w:t>
            </w:r>
            <w:r>
              <w:rPr>
                <w:rFonts w:ascii="宋体" w:hAnsi="宋体"/>
                <w:color w:val="auto"/>
                <w:kern w:val="0"/>
                <w:highlight w:val="none"/>
              </w:rPr>
              <w:t>。</w:t>
            </w:r>
          </w:p>
        </w:tc>
      </w:tr>
      <w:tr w14:paraId="7779833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55" w:type="dxa"/>
            <w:vMerge w:val="continue"/>
            <w:tcBorders>
              <w:right w:val="single" w:color="auto" w:sz="4" w:space="0"/>
            </w:tcBorders>
            <w:noWrap w:val="0"/>
            <w:vAlign w:val="top"/>
          </w:tcPr>
          <w:p w14:paraId="6F76696A">
            <w:pPr>
              <w:spacing w:line="400" w:lineRule="exact"/>
              <w:jc w:val="center"/>
              <w:rPr>
                <w:rFonts w:hint="eastAsia" w:ascii="宋体" w:hAnsi="宋体"/>
                <w:color w:val="auto"/>
                <w:kern w:val="0"/>
                <w:highlight w:val="none"/>
              </w:rPr>
            </w:pPr>
          </w:p>
        </w:tc>
        <w:tc>
          <w:tcPr>
            <w:tcW w:w="567" w:type="dxa"/>
            <w:gridSpan w:val="2"/>
            <w:vMerge w:val="continue"/>
            <w:tcBorders>
              <w:right w:val="single" w:color="auto" w:sz="4" w:space="0"/>
            </w:tcBorders>
            <w:noWrap w:val="0"/>
            <w:vAlign w:val="top"/>
          </w:tcPr>
          <w:p w14:paraId="388B092E">
            <w:pPr>
              <w:spacing w:line="400" w:lineRule="exact"/>
              <w:jc w:val="center"/>
              <w:rPr>
                <w:rFonts w:hint="eastAsia" w:ascii="宋体" w:hAnsi="宋体"/>
                <w:color w:val="auto"/>
                <w:kern w:val="0"/>
                <w:highlight w:val="none"/>
              </w:rPr>
            </w:pPr>
          </w:p>
        </w:tc>
        <w:tc>
          <w:tcPr>
            <w:tcW w:w="2560" w:type="dxa"/>
            <w:gridSpan w:val="3"/>
            <w:tcBorders>
              <w:left w:val="single" w:color="auto" w:sz="4" w:space="0"/>
            </w:tcBorders>
            <w:noWrap w:val="0"/>
            <w:vAlign w:val="center"/>
          </w:tcPr>
          <w:p w14:paraId="04CE902E">
            <w:pPr>
              <w:spacing w:line="400" w:lineRule="exact"/>
              <w:jc w:val="left"/>
              <w:rPr>
                <w:rFonts w:ascii="宋体" w:hAnsi="宋体"/>
                <w:color w:val="auto"/>
                <w:kern w:val="0"/>
                <w:highlight w:val="none"/>
              </w:rPr>
            </w:pPr>
            <w:r>
              <w:rPr>
                <w:rFonts w:hint="eastAsia" w:ascii="宋体" w:hAnsi="宋体" w:cs="宋体"/>
                <w:color w:val="auto"/>
                <w:kern w:val="0"/>
                <w:highlight w:val="none"/>
              </w:rPr>
              <w:t>□</w:t>
            </w:r>
            <w:r>
              <w:rPr>
                <w:rFonts w:ascii="宋体" w:hAnsi="宋体"/>
                <w:color w:val="auto"/>
                <w:kern w:val="0"/>
                <w:highlight w:val="none"/>
              </w:rPr>
              <w:t>联合体投标人</w:t>
            </w:r>
          </w:p>
        </w:tc>
        <w:tc>
          <w:tcPr>
            <w:tcW w:w="5493" w:type="dxa"/>
            <w:noWrap w:val="0"/>
            <w:vAlign w:val="center"/>
          </w:tcPr>
          <w:p w14:paraId="79EF6CC1">
            <w:pPr>
              <w:spacing w:line="400" w:lineRule="exact"/>
              <w:ind w:firstLine="420" w:firstLineChars="200"/>
              <w:rPr>
                <w:rFonts w:ascii="宋体" w:hAnsi="宋体"/>
                <w:color w:val="auto"/>
                <w:kern w:val="0"/>
                <w:highlight w:val="none"/>
              </w:rPr>
            </w:pPr>
            <w:r>
              <w:rPr>
                <w:rFonts w:ascii="宋体" w:hAnsi="宋体"/>
                <w:color w:val="auto"/>
                <w:kern w:val="0"/>
                <w:highlight w:val="none"/>
              </w:rPr>
              <w:t>提交联合体协议书，并明确联合体牵头人</w:t>
            </w:r>
            <w:r>
              <w:rPr>
                <w:rFonts w:hint="eastAsia" w:ascii="宋体" w:hAnsi="宋体"/>
                <w:color w:val="auto"/>
                <w:kern w:val="0"/>
                <w:highlight w:val="none"/>
              </w:rPr>
              <w:t>。在联合体协议中须明确由联合体牵头人委派委托代理人。</w:t>
            </w:r>
          </w:p>
        </w:tc>
      </w:tr>
      <w:tr w14:paraId="460743B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55" w:type="dxa"/>
            <w:vMerge w:val="continue"/>
            <w:tcBorders>
              <w:right w:val="single" w:color="auto" w:sz="4" w:space="0"/>
            </w:tcBorders>
            <w:noWrap w:val="0"/>
            <w:vAlign w:val="top"/>
          </w:tcPr>
          <w:p w14:paraId="7D5F5DF3">
            <w:pPr>
              <w:spacing w:line="400" w:lineRule="exact"/>
              <w:jc w:val="center"/>
              <w:rPr>
                <w:rFonts w:hint="eastAsia" w:ascii="宋体" w:hAnsi="宋体"/>
                <w:color w:val="auto"/>
                <w:kern w:val="0"/>
                <w:highlight w:val="none"/>
              </w:rPr>
            </w:pPr>
          </w:p>
        </w:tc>
        <w:tc>
          <w:tcPr>
            <w:tcW w:w="567" w:type="dxa"/>
            <w:gridSpan w:val="2"/>
            <w:vMerge w:val="continue"/>
            <w:tcBorders>
              <w:right w:val="single" w:color="auto" w:sz="4" w:space="0"/>
            </w:tcBorders>
            <w:noWrap w:val="0"/>
            <w:vAlign w:val="top"/>
          </w:tcPr>
          <w:p w14:paraId="3E6BBAFB">
            <w:pPr>
              <w:spacing w:line="400" w:lineRule="exact"/>
              <w:jc w:val="center"/>
              <w:rPr>
                <w:rFonts w:hint="eastAsia" w:ascii="宋体" w:hAnsi="宋体"/>
                <w:color w:val="auto"/>
                <w:kern w:val="0"/>
                <w:highlight w:val="none"/>
              </w:rPr>
            </w:pPr>
          </w:p>
        </w:tc>
        <w:tc>
          <w:tcPr>
            <w:tcW w:w="2560" w:type="dxa"/>
            <w:gridSpan w:val="3"/>
            <w:tcBorders>
              <w:left w:val="single" w:color="auto" w:sz="4" w:space="0"/>
            </w:tcBorders>
            <w:noWrap w:val="0"/>
            <w:vAlign w:val="center"/>
          </w:tcPr>
          <w:p w14:paraId="4898F9DB">
            <w:pPr>
              <w:spacing w:line="400" w:lineRule="exact"/>
              <w:jc w:val="left"/>
              <w:rPr>
                <w:rFonts w:ascii="宋体" w:hAnsi="宋体"/>
                <w:color w:val="auto"/>
                <w:kern w:val="0"/>
                <w:highlight w:val="none"/>
              </w:rPr>
            </w:pPr>
            <w:r>
              <w:rPr>
                <w:rFonts w:ascii="宋体" w:hAnsi="宋体"/>
                <w:color w:val="auto"/>
                <w:kern w:val="0"/>
                <w:highlight w:val="none"/>
              </w:rPr>
              <w:t>投标文件的签署</w:t>
            </w:r>
          </w:p>
        </w:tc>
        <w:tc>
          <w:tcPr>
            <w:tcW w:w="5493" w:type="dxa"/>
            <w:noWrap w:val="0"/>
            <w:vAlign w:val="center"/>
          </w:tcPr>
          <w:p w14:paraId="13F0B5EF">
            <w:pPr>
              <w:spacing w:line="400" w:lineRule="exact"/>
              <w:ind w:firstLine="420" w:firstLineChars="200"/>
              <w:rPr>
                <w:rFonts w:ascii="宋体" w:hAnsi="宋体"/>
                <w:color w:val="auto"/>
                <w:kern w:val="0"/>
                <w:highlight w:val="none"/>
              </w:rPr>
            </w:pPr>
            <w:r>
              <w:rPr>
                <w:rFonts w:hint="eastAsia" w:ascii="宋体" w:hAnsi="宋体"/>
                <w:color w:val="auto"/>
                <w:kern w:val="0"/>
                <w:highlight w:val="none"/>
              </w:rPr>
              <w:t xml:space="preserve">第八章 </w:t>
            </w:r>
            <w:r>
              <w:rPr>
                <w:rFonts w:ascii="宋体" w:hAnsi="宋体"/>
                <w:color w:val="auto"/>
                <w:kern w:val="0"/>
                <w:highlight w:val="none"/>
              </w:rPr>
              <w:t>投标文件</w:t>
            </w:r>
            <w:r>
              <w:rPr>
                <w:rFonts w:hint="eastAsia" w:ascii="宋体" w:hAnsi="宋体"/>
                <w:color w:val="auto"/>
                <w:kern w:val="0"/>
                <w:highlight w:val="none"/>
              </w:rPr>
              <w:t>格式（不含投标函部分）要求</w:t>
            </w:r>
            <w:r>
              <w:rPr>
                <w:rFonts w:ascii="宋体" w:hAnsi="宋体"/>
                <w:color w:val="auto"/>
                <w:kern w:val="0"/>
                <w:highlight w:val="none"/>
              </w:rPr>
              <w:t>法定代表人或其委托代理人签字（或盖章）</w:t>
            </w:r>
            <w:r>
              <w:rPr>
                <w:rFonts w:hint="eastAsia" w:ascii="宋体" w:hAnsi="宋体"/>
                <w:color w:val="auto"/>
                <w:kern w:val="0"/>
                <w:highlight w:val="none"/>
              </w:rPr>
              <w:t>的须</w:t>
            </w:r>
            <w:r>
              <w:rPr>
                <w:rFonts w:ascii="宋体" w:hAnsi="宋体"/>
                <w:color w:val="auto"/>
                <w:kern w:val="0"/>
                <w:highlight w:val="none"/>
              </w:rPr>
              <w:t>齐全。</w:t>
            </w:r>
          </w:p>
          <w:p w14:paraId="781E9319">
            <w:pPr>
              <w:autoSpaceDE w:val="0"/>
              <w:autoSpaceDN w:val="0"/>
              <w:adjustRightInd w:val="0"/>
              <w:snapToGrid w:val="0"/>
              <w:spacing w:line="400" w:lineRule="exact"/>
              <w:ind w:firstLine="420" w:firstLineChars="200"/>
              <w:rPr>
                <w:rFonts w:hint="eastAsia" w:ascii="宋体" w:hAnsi="宋体"/>
                <w:color w:val="auto"/>
                <w:kern w:val="0"/>
                <w:highlight w:val="none"/>
              </w:rPr>
            </w:pPr>
            <w:r>
              <w:rPr>
                <w:rFonts w:hint="eastAsia" w:ascii="宋体" w:hAnsi="宋体"/>
                <w:snapToGrid w:val="0"/>
                <w:color w:val="auto"/>
                <w:kern w:val="0"/>
                <w:szCs w:val="21"/>
                <w:highlight w:val="none"/>
              </w:rPr>
              <w:t>若投标单位为联合体，则联合体协议书各联合体成员单位签字（或盖章）须齐全，联合体协议书以外的</w:t>
            </w:r>
            <w:r>
              <w:rPr>
                <w:rFonts w:ascii="宋体" w:hAnsi="宋体"/>
                <w:color w:val="auto"/>
                <w:kern w:val="0"/>
                <w:highlight w:val="none"/>
              </w:rPr>
              <w:t>投标文件</w:t>
            </w:r>
            <w:r>
              <w:rPr>
                <w:rFonts w:hint="eastAsia" w:ascii="宋体" w:hAnsi="宋体"/>
                <w:color w:val="auto"/>
                <w:kern w:val="0"/>
                <w:highlight w:val="none"/>
              </w:rPr>
              <w:t>格式中，要求法定代表人或其委托代理人签字（或盖章）的均由联合体牵头人法定代表人或其委托代理人签字（或盖章）</w:t>
            </w:r>
            <w:r>
              <w:rPr>
                <w:rFonts w:ascii="宋体" w:hAnsi="宋体"/>
                <w:color w:val="auto"/>
                <w:kern w:val="0"/>
                <w:highlight w:val="none"/>
              </w:rPr>
              <w:t>。</w:t>
            </w:r>
          </w:p>
          <w:p w14:paraId="23FA31A2">
            <w:pPr>
              <w:autoSpaceDE w:val="0"/>
              <w:autoSpaceDN w:val="0"/>
              <w:adjustRightInd w:val="0"/>
              <w:snapToGrid w:val="0"/>
              <w:spacing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第八章 投标文件格式（不含投标函部分）要求加盖单位法人章的，应使用 CA 数字证书加盖投标人的单位电子印章。</w:t>
            </w:r>
          </w:p>
          <w:p w14:paraId="0560FF85">
            <w:pPr>
              <w:autoSpaceDE w:val="0"/>
              <w:autoSpaceDN w:val="0"/>
              <w:adjustRightInd w:val="0"/>
              <w:snapToGrid w:val="0"/>
              <w:spacing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1865F96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55" w:type="dxa"/>
            <w:vMerge w:val="continue"/>
            <w:tcBorders>
              <w:right w:val="single" w:color="auto" w:sz="4" w:space="0"/>
            </w:tcBorders>
            <w:noWrap w:val="0"/>
            <w:vAlign w:val="top"/>
          </w:tcPr>
          <w:p w14:paraId="19B68594">
            <w:pPr>
              <w:spacing w:line="400" w:lineRule="exact"/>
              <w:jc w:val="center"/>
              <w:rPr>
                <w:rFonts w:hint="eastAsia" w:ascii="宋体" w:hAnsi="宋体"/>
                <w:color w:val="auto"/>
                <w:kern w:val="0"/>
                <w:highlight w:val="none"/>
              </w:rPr>
            </w:pPr>
          </w:p>
        </w:tc>
        <w:tc>
          <w:tcPr>
            <w:tcW w:w="567" w:type="dxa"/>
            <w:gridSpan w:val="2"/>
            <w:vMerge w:val="continue"/>
            <w:tcBorders>
              <w:right w:val="single" w:color="auto" w:sz="4" w:space="0"/>
            </w:tcBorders>
            <w:noWrap w:val="0"/>
            <w:vAlign w:val="top"/>
          </w:tcPr>
          <w:p w14:paraId="0D4D2638">
            <w:pPr>
              <w:spacing w:line="400" w:lineRule="exact"/>
              <w:jc w:val="center"/>
              <w:rPr>
                <w:rFonts w:hint="eastAsia" w:ascii="宋体" w:hAnsi="宋体"/>
                <w:color w:val="auto"/>
                <w:kern w:val="0"/>
                <w:highlight w:val="none"/>
              </w:rPr>
            </w:pPr>
          </w:p>
        </w:tc>
        <w:tc>
          <w:tcPr>
            <w:tcW w:w="2560" w:type="dxa"/>
            <w:gridSpan w:val="3"/>
            <w:tcBorders>
              <w:left w:val="single" w:color="auto" w:sz="4" w:space="0"/>
            </w:tcBorders>
            <w:noWrap w:val="0"/>
            <w:vAlign w:val="center"/>
          </w:tcPr>
          <w:p w14:paraId="4D0BFE15">
            <w:pPr>
              <w:spacing w:line="400" w:lineRule="exact"/>
              <w:jc w:val="left"/>
              <w:rPr>
                <w:rFonts w:ascii="宋体" w:hAnsi="宋体"/>
                <w:color w:val="auto"/>
                <w:kern w:val="0"/>
                <w:highlight w:val="none"/>
              </w:rPr>
            </w:pPr>
            <w:r>
              <w:rPr>
                <w:rFonts w:ascii="宋体" w:hAnsi="宋体"/>
                <w:color w:val="auto"/>
                <w:kern w:val="0"/>
                <w:highlight w:val="none"/>
              </w:rPr>
              <w:t>委托代理人</w:t>
            </w:r>
          </w:p>
        </w:tc>
        <w:tc>
          <w:tcPr>
            <w:tcW w:w="5493" w:type="dxa"/>
            <w:noWrap w:val="0"/>
            <w:vAlign w:val="center"/>
          </w:tcPr>
          <w:p w14:paraId="6D3660B7">
            <w:pPr>
              <w:spacing w:line="400" w:lineRule="exact"/>
              <w:ind w:firstLine="420" w:firstLineChars="200"/>
              <w:rPr>
                <w:rFonts w:hint="eastAsia" w:ascii="宋体" w:hAnsi="宋体"/>
                <w:color w:val="auto"/>
                <w:kern w:val="0"/>
                <w:highlight w:val="none"/>
              </w:rPr>
            </w:pPr>
            <w:r>
              <w:rPr>
                <w:rFonts w:ascii="宋体" w:hAnsi="宋体"/>
                <w:color w:val="auto"/>
                <w:kern w:val="0"/>
                <w:highlight w:val="none"/>
              </w:rPr>
              <w:t>投标人法定代表人的委托代理人有法定代表人签署的授权委托书</w:t>
            </w:r>
            <w:r>
              <w:rPr>
                <w:rFonts w:hint="eastAsia" w:ascii="宋体" w:hAnsi="宋体"/>
                <w:color w:val="auto"/>
                <w:kern w:val="0"/>
                <w:highlight w:val="none"/>
              </w:rPr>
              <w:t>和投标人为其缴纳的养老保险。</w:t>
            </w:r>
          </w:p>
        </w:tc>
      </w:tr>
      <w:tr w14:paraId="00EC1F0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5" w:type="dxa"/>
            <w:vMerge w:val="restart"/>
            <w:noWrap w:val="0"/>
            <w:vAlign w:val="center"/>
          </w:tcPr>
          <w:p w14:paraId="71E7F45C">
            <w:pPr>
              <w:spacing w:line="400" w:lineRule="exact"/>
              <w:jc w:val="center"/>
              <w:rPr>
                <w:rFonts w:ascii="宋体" w:hAnsi="宋体"/>
                <w:color w:val="auto"/>
                <w:kern w:val="0"/>
                <w:highlight w:val="none"/>
              </w:rPr>
            </w:pPr>
            <w:r>
              <w:rPr>
                <w:rFonts w:ascii="宋体" w:hAnsi="宋体"/>
                <w:color w:val="auto"/>
                <w:kern w:val="0"/>
                <w:highlight w:val="none"/>
              </w:rPr>
              <w:t>2.1.</w:t>
            </w:r>
            <w:r>
              <w:rPr>
                <w:rFonts w:hint="eastAsia" w:ascii="宋体" w:hAnsi="宋体"/>
                <w:color w:val="auto"/>
                <w:kern w:val="0"/>
                <w:highlight w:val="none"/>
              </w:rPr>
              <w:t>3</w:t>
            </w:r>
          </w:p>
        </w:tc>
        <w:tc>
          <w:tcPr>
            <w:tcW w:w="567" w:type="dxa"/>
            <w:gridSpan w:val="2"/>
            <w:vMerge w:val="restart"/>
            <w:noWrap w:val="0"/>
            <w:vAlign w:val="center"/>
          </w:tcPr>
          <w:p w14:paraId="20EB3C5D">
            <w:pPr>
              <w:spacing w:line="400" w:lineRule="exact"/>
              <w:jc w:val="center"/>
              <w:rPr>
                <w:rFonts w:ascii="宋体" w:hAnsi="宋体"/>
                <w:color w:val="auto"/>
                <w:kern w:val="0"/>
                <w:highlight w:val="none"/>
              </w:rPr>
            </w:pPr>
            <w:r>
              <w:rPr>
                <w:rFonts w:hint="eastAsia" w:ascii="宋体" w:hAnsi="宋体"/>
                <w:color w:val="auto"/>
                <w:kern w:val="0"/>
                <w:highlight w:val="none"/>
              </w:rPr>
              <w:t>响应性</w:t>
            </w:r>
            <w:r>
              <w:rPr>
                <w:rFonts w:ascii="宋体" w:hAnsi="宋体"/>
                <w:color w:val="auto"/>
                <w:kern w:val="0"/>
                <w:highlight w:val="none"/>
              </w:rPr>
              <w:t>评审标准</w:t>
            </w:r>
          </w:p>
        </w:tc>
        <w:tc>
          <w:tcPr>
            <w:tcW w:w="2560" w:type="dxa"/>
            <w:gridSpan w:val="3"/>
            <w:noWrap w:val="0"/>
            <w:vAlign w:val="center"/>
          </w:tcPr>
          <w:p w14:paraId="7216237C">
            <w:pPr>
              <w:spacing w:line="400" w:lineRule="exact"/>
              <w:jc w:val="left"/>
              <w:rPr>
                <w:rFonts w:ascii="宋体" w:hAnsi="宋体"/>
                <w:color w:val="auto"/>
                <w:kern w:val="0"/>
                <w:highlight w:val="none"/>
              </w:rPr>
            </w:pPr>
            <w:r>
              <w:rPr>
                <w:rFonts w:ascii="宋体" w:hAnsi="宋体"/>
                <w:color w:val="auto"/>
                <w:kern w:val="0"/>
                <w:highlight w:val="none"/>
              </w:rPr>
              <w:t>投标内容</w:t>
            </w:r>
          </w:p>
        </w:tc>
        <w:tc>
          <w:tcPr>
            <w:tcW w:w="5493" w:type="dxa"/>
            <w:noWrap w:val="0"/>
            <w:vAlign w:val="center"/>
          </w:tcPr>
          <w:p w14:paraId="62BE5DF6">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符合第二章“投标人须知”第1.3.1项规定</w:t>
            </w:r>
          </w:p>
        </w:tc>
      </w:tr>
      <w:tr w14:paraId="2460FF2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5" w:type="dxa"/>
            <w:vMerge w:val="continue"/>
            <w:noWrap w:val="0"/>
            <w:vAlign w:val="center"/>
          </w:tcPr>
          <w:p w14:paraId="3B7F8BA3">
            <w:pPr>
              <w:spacing w:line="400" w:lineRule="exact"/>
              <w:jc w:val="center"/>
              <w:rPr>
                <w:rFonts w:ascii="宋体" w:hAnsi="宋体"/>
                <w:color w:val="auto"/>
                <w:kern w:val="0"/>
                <w:highlight w:val="none"/>
              </w:rPr>
            </w:pPr>
          </w:p>
        </w:tc>
        <w:tc>
          <w:tcPr>
            <w:tcW w:w="567" w:type="dxa"/>
            <w:gridSpan w:val="2"/>
            <w:vMerge w:val="continue"/>
            <w:noWrap w:val="0"/>
            <w:textDirection w:val="tbRlV"/>
            <w:vAlign w:val="center"/>
          </w:tcPr>
          <w:p w14:paraId="528A315A">
            <w:pPr>
              <w:spacing w:line="400" w:lineRule="exact"/>
              <w:jc w:val="center"/>
              <w:rPr>
                <w:rFonts w:ascii="宋体" w:hAnsi="宋体"/>
                <w:color w:val="auto"/>
                <w:kern w:val="0"/>
                <w:highlight w:val="none"/>
              </w:rPr>
            </w:pPr>
          </w:p>
        </w:tc>
        <w:tc>
          <w:tcPr>
            <w:tcW w:w="2560" w:type="dxa"/>
            <w:gridSpan w:val="3"/>
            <w:tcBorders>
              <w:top w:val="single" w:color="auto" w:sz="4" w:space="0"/>
            </w:tcBorders>
            <w:noWrap w:val="0"/>
            <w:vAlign w:val="center"/>
          </w:tcPr>
          <w:p w14:paraId="68E49A20">
            <w:pPr>
              <w:spacing w:line="400" w:lineRule="exact"/>
              <w:jc w:val="left"/>
              <w:rPr>
                <w:rFonts w:ascii="宋体" w:hAnsi="宋体"/>
                <w:color w:val="auto"/>
                <w:kern w:val="0"/>
                <w:highlight w:val="none"/>
              </w:rPr>
            </w:pPr>
            <w:r>
              <w:rPr>
                <w:rFonts w:ascii="宋体" w:hAnsi="宋体"/>
                <w:color w:val="auto"/>
                <w:kern w:val="0"/>
                <w:highlight w:val="none"/>
              </w:rPr>
              <w:t>投标保证金</w:t>
            </w:r>
          </w:p>
        </w:tc>
        <w:tc>
          <w:tcPr>
            <w:tcW w:w="5493" w:type="dxa"/>
            <w:noWrap w:val="0"/>
            <w:vAlign w:val="center"/>
          </w:tcPr>
          <w:p w14:paraId="1E9F17D5">
            <w:pPr>
              <w:tabs>
                <w:tab w:val="left" w:pos="601"/>
                <w:tab w:val="left" w:pos="669"/>
              </w:tabs>
              <w:snapToGrid w:val="0"/>
              <w:spacing w:line="400" w:lineRule="exact"/>
              <w:ind w:firstLine="420" w:firstLineChars="200"/>
              <w:rPr>
                <w:rFonts w:ascii="宋体" w:hAnsi="宋体"/>
                <w:color w:val="auto"/>
                <w:kern w:val="0"/>
                <w:highlight w:val="none"/>
              </w:rPr>
            </w:pPr>
            <w:r>
              <w:rPr>
                <w:rFonts w:ascii="宋体" w:hAnsi="宋体"/>
                <w:color w:val="auto"/>
                <w:kern w:val="0"/>
                <w:szCs w:val="21"/>
                <w:highlight w:val="none"/>
              </w:rPr>
              <w:t>符合第二章投标人须知前附表第3.4</w:t>
            </w:r>
            <w:r>
              <w:rPr>
                <w:rFonts w:hint="eastAsia" w:ascii="宋体" w:hAnsi="宋体"/>
                <w:color w:val="auto"/>
                <w:kern w:val="0"/>
                <w:szCs w:val="21"/>
                <w:highlight w:val="none"/>
              </w:rPr>
              <w:t>款</w:t>
            </w:r>
            <w:r>
              <w:rPr>
                <w:rFonts w:ascii="宋体" w:hAnsi="宋体"/>
                <w:color w:val="auto"/>
                <w:kern w:val="0"/>
                <w:highlight w:val="none"/>
              </w:rPr>
              <w:t>规定</w:t>
            </w:r>
          </w:p>
        </w:tc>
      </w:tr>
      <w:tr w14:paraId="2EF30B1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5" w:type="dxa"/>
            <w:vMerge w:val="continue"/>
            <w:noWrap w:val="0"/>
            <w:vAlign w:val="top"/>
          </w:tcPr>
          <w:p w14:paraId="44ECD93D">
            <w:pPr>
              <w:spacing w:line="400" w:lineRule="exact"/>
              <w:jc w:val="center"/>
              <w:rPr>
                <w:rFonts w:ascii="宋体" w:hAnsi="宋体"/>
                <w:color w:val="auto"/>
                <w:highlight w:val="none"/>
              </w:rPr>
            </w:pPr>
          </w:p>
        </w:tc>
        <w:tc>
          <w:tcPr>
            <w:tcW w:w="567" w:type="dxa"/>
            <w:gridSpan w:val="2"/>
            <w:vMerge w:val="continue"/>
            <w:noWrap w:val="0"/>
            <w:vAlign w:val="top"/>
          </w:tcPr>
          <w:p w14:paraId="5CBB1ABE">
            <w:pPr>
              <w:spacing w:line="400" w:lineRule="exact"/>
              <w:jc w:val="center"/>
              <w:rPr>
                <w:rFonts w:ascii="宋体" w:hAnsi="宋体"/>
                <w:color w:val="auto"/>
                <w:highlight w:val="none"/>
              </w:rPr>
            </w:pPr>
          </w:p>
        </w:tc>
        <w:tc>
          <w:tcPr>
            <w:tcW w:w="2560" w:type="dxa"/>
            <w:gridSpan w:val="3"/>
            <w:noWrap w:val="0"/>
            <w:vAlign w:val="center"/>
          </w:tcPr>
          <w:p w14:paraId="34C67014">
            <w:pPr>
              <w:spacing w:line="400" w:lineRule="exact"/>
              <w:jc w:val="left"/>
              <w:rPr>
                <w:rFonts w:ascii="宋体" w:hAnsi="宋体"/>
                <w:color w:val="auto"/>
                <w:kern w:val="0"/>
                <w:highlight w:val="none"/>
              </w:rPr>
            </w:pPr>
            <w:r>
              <w:rPr>
                <w:rFonts w:ascii="宋体" w:hAnsi="宋体"/>
                <w:color w:val="auto"/>
                <w:kern w:val="0"/>
                <w:highlight w:val="none"/>
              </w:rPr>
              <w:t>权利义务</w:t>
            </w:r>
          </w:p>
        </w:tc>
        <w:tc>
          <w:tcPr>
            <w:tcW w:w="5493" w:type="dxa"/>
            <w:noWrap w:val="0"/>
            <w:vAlign w:val="center"/>
          </w:tcPr>
          <w:p w14:paraId="75C8CB4E">
            <w:pPr>
              <w:spacing w:after="62" w:afterLines="20" w:line="400" w:lineRule="exact"/>
              <w:ind w:firstLine="420" w:firstLineChars="200"/>
              <w:rPr>
                <w:rFonts w:ascii="宋体" w:hAnsi="宋体"/>
                <w:color w:val="auto"/>
                <w:kern w:val="0"/>
                <w:highlight w:val="none"/>
              </w:rPr>
            </w:pPr>
            <w:r>
              <w:rPr>
                <w:rFonts w:ascii="宋体" w:hAnsi="宋体"/>
                <w:color w:val="auto"/>
                <w:kern w:val="0"/>
                <w:highlight w:val="none"/>
              </w:rPr>
              <w:t>符合第四章“合同条款及格式”规定，投标文件不应附有招标人不能接受的条件。</w:t>
            </w:r>
            <w:r>
              <w:rPr>
                <w:rFonts w:hint="eastAsia" w:ascii="宋体" w:hAnsi="宋体"/>
                <w:color w:val="auto"/>
                <w:kern w:val="0"/>
                <w:highlight w:val="none"/>
              </w:rPr>
              <w:t>（由投标人承诺，承诺书格式详见第八章投标文件格式。）</w:t>
            </w:r>
          </w:p>
        </w:tc>
      </w:tr>
      <w:tr w14:paraId="1651A12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5" w:type="dxa"/>
            <w:vMerge w:val="continue"/>
            <w:noWrap w:val="0"/>
            <w:vAlign w:val="top"/>
          </w:tcPr>
          <w:p w14:paraId="5E64E63D">
            <w:pPr>
              <w:spacing w:line="400" w:lineRule="exact"/>
              <w:jc w:val="center"/>
              <w:rPr>
                <w:rFonts w:ascii="宋体" w:hAnsi="宋体"/>
                <w:color w:val="auto"/>
                <w:highlight w:val="none"/>
              </w:rPr>
            </w:pPr>
          </w:p>
        </w:tc>
        <w:tc>
          <w:tcPr>
            <w:tcW w:w="567" w:type="dxa"/>
            <w:gridSpan w:val="2"/>
            <w:vMerge w:val="continue"/>
            <w:noWrap w:val="0"/>
            <w:vAlign w:val="top"/>
          </w:tcPr>
          <w:p w14:paraId="4777E431">
            <w:pPr>
              <w:spacing w:line="400" w:lineRule="exact"/>
              <w:jc w:val="center"/>
              <w:rPr>
                <w:rFonts w:ascii="宋体" w:hAnsi="宋体"/>
                <w:color w:val="auto"/>
                <w:highlight w:val="none"/>
              </w:rPr>
            </w:pPr>
          </w:p>
        </w:tc>
        <w:tc>
          <w:tcPr>
            <w:tcW w:w="2560" w:type="dxa"/>
            <w:gridSpan w:val="3"/>
            <w:noWrap w:val="0"/>
            <w:vAlign w:val="center"/>
          </w:tcPr>
          <w:p w14:paraId="33270D1E">
            <w:pPr>
              <w:spacing w:line="400" w:lineRule="exact"/>
              <w:jc w:val="left"/>
              <w:rPr>
                <w:rFonts w:ascii="宋体" w:hAnsi="宋体"/>
                <w:color w:val="auto"/>
                <w:kern w:val="0"/>
                <w:highlight w:val="none"/>
              </w:rPr>
            </w:pPr>
            <w:r>
              <w:rPr>
                <w:rFonts w:hint="eastAsia" w:ascii="宋体" w:hAnsi="宋体"/>
                <w:color w:val="auto"/>
                <w:kern w:val="0"/>
                <w:highlight w:val="none"/>
              </w:rPr>
              <w:t>□</w:t>
            </w:r>
            <w:r>
              <w:rPr>
                <w:rFonts w:ascii="宋体" w:hAnsi="宋体"/>
                <w:color w:val="auto"/>
                <w:kern w:val="0"/>
                <w:highlight w:val="none"/>
              </w:rPr>
              <w:t>技术标准和要求</w:t>
            </w:r>
          </w:p>
        </w:tc>
        <w:tc>
          <w:tcPr>
            <w:tcW w:w="5493" w:type="dxa"/>
            <w:noWrap w:val="0"/>
            <w:vAlign w:val="center"/>
          </w:tcPr>
          <w:p w14:paraId="2E79A021">
            <w:pPr>
              <w:spacing w:line="400" w:lineRule="exact"/>
              <w:ind w:firstLine="420" w:firstLineChars="200"/>
              <w:rPr>
                <w:rFonts w:hint="eastAsia" w:ascii="宋体" w:hAnsi="宋体"/>
                <w:color w:val="auto"/>
                <w:kern w:val="0"/>
                <w:highlight w:val="none"/>
              </w:rPr>
            </w:pPr>
            <w:r>
              <w:rPr>
                <w:rFonts w:ascii="宋体" w:hAnsi="宋体"/>
                <w:color w:val="auto"/>
                <w:kern w:val="0"/>
                <w:highlight w:val="none"/>
              </w:rPr>
              <w:t>符合第七章“技术标准和要求”规定</w:t>
            </w:r>
            <w:r>
              <w:rPr>
                <w:rFonts w:hint="eastAsia" w:ascii="宋体" w:hAnsi="宋体"/>
                <w:color w:val="auto"/>
                <w:kern w:val="0"/>
                <w:highlight w:val="none"/>
              </w:rPr>
              <w:t>。（由投标人承诺，承诺书格式详见第八章投标文件格式。）</w:t>
            </w:r>
          </w:p>
        </w:tc>
      </w:tr>
      <w:tr w14:paraId="1A0E349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5" w:type="dxa"/>
            <w:vMerge w:val="continue"/>
            <w:noWrap w:val="0"/>
            <w:vAlign w:val="top"/>
          </w:tcPr>
          <w:p w14:paraId="031ED100">
            <w:pPr>
              <w:spacing w:line="400" w:lineRule="exact"/>
              <w:rPr>
                <w:rFonts w:ascii="宋体" w:hAnsi="宋体"/>
                <w:color w:val="auto"/>
                <w:highlight w:val="none"/>
              </w:rPr>
            </w:pPr>
          </w:p>
        </w:tc>
        <w:tc>
          <w:tcPr>
            <w:tcW w:w="567" w:type="dxa"/>
            <w:gridSpan w:val="2"/>
            <w:vMerge w:val="continue"/>
            <w:noWrap w:val="0"/>
            <w:vAlign w:val="top"/>
          </w:tcPr>
          <w:p w14:paraId="085B1B40">
            <w:pPr>
              <w:spacing w:line="400" w:lineRule="exact"/>
              <w:rPr>
                <w:rFonts w:ascii="宋体" w:hAnsi="宋体"/>
                <w:color w:val="auto"/>
                <w:highlight w:val="none"/>
              </w:rPr>
            </w:pPr>
          </w:p>
        </w:tc>
        <w:tc>
          <w:tcPr>
            <w:tcW w:w="2560" w:type="dxa"/>
            <w:gridSpan w:val="3"/>
            <w:noWrap w:val="0"/>
            <w:vAlign w:val="center"/>
          </w:tcPr>
          <w:p w14:paraId="60FF4C95">
            <w:pPr>
              <w:spacing w:line="400" w:lineRule="exact"/>
              <w:jc w:val="left"/>
              <w:rPr>
                <w:rFonts w:ascii="宋体" w:hAnsi="宋体"/>
                <w:color w:val="auto"/>
                <w:kern w:val="0"/>
                <w:highlight w:val="none"/>
              </w:rPr>
            </w:pPr>
            <w:r>
              <w:rPr>
                <w:rFonts w:ascii="宋体" w:hAnsi="宋体"/>
                <w:color w:val="auto"/>
                <w:kern w:val="0"/>
                <w:highlight w:val="none"/>
              </w:rPr>
              <w:t>实质性要求</w:t>
            </w:r>
          </w:p>
        </w:tc>
        <w:tc>
          <w:tcPr>
            <w:tcW w:w="5493" w:type="dxa"/>
            <w:noWrap w:val="0"/>
            <w:vAlign w:val="center"/>
          </w:tcPr>
          <w:p w14:paraId="21806B92">
            <w:pPr>
              <w:spacing w:after="62" w:afterLines="20"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符合第二章“投标人须知”第1.4.3项规定。</w:t>
            </w:r>
          </w:p>
          <w:p w14:paraId="2D53D220">
            <w:pPr>
              <w:spacing w:after="62" w:afterLines="20"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本次投标不得有串通投标</w:t>
            </w:r>
            <w:r>
              <w:rPr>
                <w:rFonts w:ascii="宋体" w:hAnsi="宋体"/>
                <w:color w:val="auto"/>
                <w:kern w:val="0"/>
                <w:highlight w:val="none"/>
              </w:rPr>
              <w:t>、弄虚作假等其他违反招投标相关法律、法规行为。</w:t>
            </w:r>
          </w:p>
          <w:p w14:paraId="27787306">
            <w:pPr>
              <w:spacing w:after="62" w:afterLines="20" w:line="400" w:lineRule="exact"/>
              <w:ind w:firstLine="420" w:firstLineChars="200"/>
              <w:rPr>
                <w:rFonts w:ascii="宋体" w:hAnsi="宋体"/>
                <w:color w:val="auto"/>
                <w:kern w:val="0"/>
                <w:highlight w:val="none"/>
              </w:rPr>
            </w:pPr>
            <w:r>
              <w:rPr>
                <w:rFonts w:hint="eastAsia" w:ascii="宋体" w:hAnsi="宋体"/>
                <w:color w:val="auto"/>
                <w:kern w:val="0"/>
                <w:highlight w:val="none"/>
              </w:rPr>
              <w:t>按评标委员会要求澄清、说明或补正。</w:t>
            </w:r>
          </w:p>
        </w:tc>
      </w:tr>
      <w:bookmarkEnd w:id="601"/>
      <w:bookmarkEnd w:id="602"/>
      <w:bookmarkEnd w:id="603"/>
      <w:bookmarkEnd w:id="604"/>
      <w:bookmarkEnd w:id="605"/>
      <w:tr w14:paraId="33DC5E0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422" w:type="dxa"/>
            <w:gridSpan w:val="3"/>
            <w:noWrap w:val="0"/>
            <w:vAlign w:val="center"/>
          </w:tcPr>
          <w:p w14:paraId="4E91E502">
            <w:pPr>
              <w:spacing w:line="400" w:lineRule="exact"/>
              <w:ind w:firstLine="210" w:firstLineChars="100"/>
              <w:jc w:val="center"/>
              <w:rPr>
                <w:rFonts w:ascii="宋体" w:hAnsi="宋体"/>
                <w:color w:val="auto"/>
                <w:kern w:val="0"/>
                <w:highlight w:val="none"/>
              </w:rPr>
            </w:pPr>
            <w:r>
              <w:rPr>
                <w:rFonts w:ascii="宋体" w:hAnsi="宋体"/>
                <w:color w:val="auto"/>
                <w:kern w:val="0"/>
                <w:highlight w:val="none"/>
              </w:rPr>
              <w:t>2.2.1</w:t>
            </w:r>
          </w:p>
        </w:tc>
        <w:tc>
          <w:tcPr>
            <w:tcW w:w="2560" w:type="dxa"/>
            <w:gridSpan w:val="3"/>
            <w:noWrap w:val="0"/>
            <w:vAlign w:val="center"/>
          </w:tcPr>
          <w:p w14:paraId="77F6FD88">
            <w:pPr>
              <w:tabs>
                <w:tab w:val="left" w:pos="1875"/>
              </w:tabs>
              <w:spacing w:line="400" w:lineRule="exact"/>
              <w:jc w:val="center"/>
              <w:rPr>
                <w:rFonts w:ascii="宋体" w:hAnsi="宋体"/>
                <w:color w:val="auto"/>
                <w:kern w:val="0"/>
                <w:highlight w:val="none"/>
              </w:rPr>
            </w:pPr>
            <w:r>
              <w:rPr>
                <w:rFonts w:ascii="宋体" w:hAnsi="宋体"/>
                <w:color w:val="auto"/>
                <w:kern w:val="0"/>
                <w:highlight w:val="none"/>
              </w:rPr>
              <w:t>分值构成 （总分1</w:t>
            </w:r>
            <w:r>
              <w:rPr>
                <w:rFonts w:hint="eastAsia" w:ascii="宋体" w:hAnsi="宋体"/>
                <w:color w:val="auto"/>
                <w:kern w:val="0"/>
                <w:highlight w:val="none"/>
              </w:rPr>
              <w:t>00</w:t>
            </w:r>
            <w:r>
              <w:rPr>
                <w:rFonts w:ascii="宋体" w:hAnsi="宋体"/>
                <w:color w:val="auto"/>
                <w:kern w:val="0"/>
                <w:highlight w:val="none"/>
              </w:rPr>
              <w:t>分）</w:t>
            </w:r>
          </w:p>
        </w:tc>
        <w:tc>
          <w:tcPr>
            <w:tcW w:w="5493" w:type="dxa"/>
            <w:noWrap w:val="0"/>
            <w:vAlign w:val="center"/>
          </w:tcPr>
          <w:p w14:paraId="1F4337AB">
            <w:pPr>
              <w:snapToGrid w:val="0"/>
              <w:spacing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1</w:t>
            </w:r>
            <w:r>
              <w:rPr>
                <w:rFonts w:ascii="宋体" w:hAnsi="宋体"/>
                <w:color w:val="auto"/>
                <w:kern w:val="0"/>
                <w:highlight w:val="none"/>
              </w:rPr>
              <w:t>.</w:t>
            </w:r>
            <w:r>
              <w:rPr>
                <w:rFonts w:hint="eastAsia" w:ascii="宋体" w:hAnsi="宋体"/>
                <w:color w:val="auto"/>
                <w:kern w:val="0"/>
                <w:highlight w:val="none"/>
              </w:rPr>
              <w:t xml:space="preserve">技术部分 </w:t>
            </w:r>
            <w:r>
              <w:rPr>
                <w:rFonts w:ascii="宋体" w:hAnsi="宋体"/>
                <w:color w:val="auto"/>
                <w:kern w:val="0"/>
                <w:highlight w:val="none"/>
                <w:u w:val="single"/>
              </w:rPr>
              <w:t>　</w:t>
            </w:r>
            <w:r>
              <w:rPr>
                <w:rFonts w:hint="eastAsia" w:ascii="宋体" w:hAnsi="宋体"/>
                <w:color w:val="auto"/>
                <w:kern w:val="0"/>
                <w:highlight w:val="none"/>
                <w:u w:val="single"/>
              </w:rPr>
              <w:t xml:space="preserve">  </w:t>
            </w:r>
            <w:r>
              <w:rPr>
                <w:rFonts w:ascii="宋体" w:hAnsi="宋体"/>
                <w:color w:val="auto"/>
                <w:kern w:val="0"/>
                <w:highlight w:val="none"/>
                <w:u w:val="single"/>
              </w:rPr>
              <w:t>　</w:t>
            </w:r>
            <w:r>
              <w:rPr>
                <w:rFonts w:ascii="宋体" w:hAnsi="宋体"/>
                <w:color w:val="auto"/>
                <w:kern w:val="0"/>
                <w:highlight w:val="none"/>
              </w:rPr>
              <w:t>分</w:t>
            </w:r>
            <w:r>
              <w:rPr>
                <w:rFonts w:hint="eastAsia" w:ascii="宋体" w:hAnsi="宋体"/>
                <w:i/>
                <w:color w:val="auto"/>
                <w:kern w:val="0"/>
                <w:highlight w:val="none"/>
              </w:rPr>
              <w:t>[</w:t>
            </w:r>
            <w:r>
              <w:rPr>
                <w:rFonts w:ascii="宋体" w:hAnsi="宋体"/>
                <w:i/>
                <w:color w:val="auto"/>
                <w:kern w:val="0"/>
                <w:highlight w:val="none"/>
              </w:rPr>
              <w:t>提示</w:t>
            </w:r>
            <w:r>
              <w:rPr>
                <w:rFonts w:hint="eastAsia" w:ascii="宋体" w:hAnsi="宋体"/>
                <w:i/>
                <w:color w:val="auto"/>
                <w:kern w:val="0"/>
                <w:highlight w:val="none"/>
              </w:rPr>
              <w:t>：</w:t>
            </w:r>
            <w:r>
              <w:rPr>
                <w:rFonts w:ascii="宋体" w:hAnsi="宋体"/>
                <w:i/>
                <w:color w:val="auto"/>
                <w:kern w:val="0"/>
                <w:highlight w:val="none"/>
              </w:rPr>
              <w:t>不高于</w:t>
            </w:r>
            <w:r>
              <w:rPr>
                <w:rFonts w:hint="eastAsia" w:ascii="宋体" w:hAnsi="宋体"/>
                <w:i/>
                <w:color w:val="auto"/>
                <w:kern w:val="0"/>
                <w:highlight w:val="none"/>
              </w:rPr>
              <w:t>30</w:t>
            </w:r>
            <w:r>
              <w:rPr>
                <w:rFonts w:ascii="宋体" w:hAnsi="宋体"/>
                <w:i/>
                <w:color w:val="auto"/>
                <w:kern w:val="0"/>
                <w:highlight w:val="none"/>
              </w:rPr>
              <w:t>分</w:t>
            </w:r>
            <w:r>
              <w:rPr>
                <w:rFonts w:hint="eastAsia" w:ascii="宋体" w:hAnsi="宋体"/>
                <w:i/>
                <w:color w:val="auto"/>
                <w:kern w:val="0"/>
                <w:highlight w:val="none"/>
              </w:rPr>
              <w:t>]</w:t>
            </w:r>
            <w:r>
              <w:rPr>
                <w:rFonts w:hint="eastAsia" w:ascii="宋体" w:hAnsi="宋体"/>
                <w:color w:val="auto"/>
                <w:kern w:val="0"/>
                <w:highlight w:val="none"/>
              </w:rPr>
              <w:t>；</w:t>
            </w:r>
          </w:p>
          <w:p w14:paraId="37CC7CDC">
            <w:pPr>
              <w:snapToGrid w:val="0"/>
              <w:spacing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2.投标总报价</w:t>
            </w:r>
            <w:r>
              <w:rPr>
                <w:rFonts w:hint="eastAsia" w:ascii="宋体" w:hAnsi="宋体"/>
                <w:color w:val="auto"/>
                <w:kern w:val="0"/>
                <w:highlight w:val="none"/>
                <w:u w:val="single"/>
              </w:rPr>
              <w:t xml:space="preserve">      </w:t>
            </w:r>
            <w:r>
              <w:rPr>
                <w:rFonts w:hint="eastAsia" w:ascii="宋体" w:hAnsi="宋体"/>
                <w:color w:val="auto"/>
                <w:kern w:val="0"/>
                <w:highlight w:val="none"/>
              </w:rPr>
              <w:t>分</w:t>
            </w:r>
            <w:r>
              <w:rPr>
                <w:rFonts w:hint="eastAsia" w:ascii="宋体" w:hAnsi="宋体"/>
                <w:i/>
                <w:color w:val="auto"/>
                <w:kern w:val="0"/>
                <w:highlight w:val="none"/>
              </w:rPr>
              <w:t>[</w:t>
            </w:r>
            <w:r>
              <w:rPr>
                <w:rFonts w:ascii="宋体" w:hAnsi="宋体"/>
                <w:i/>
                <w:color w:val="auto"/>
                <w:kern w:val="0"/>
                <w:highlight w:val="none"/>
              </w:rPr>
              <w:t>提示</w:t>
            </w:r>
            <w:r>
              <w:rPr>
                <w:rFonts w:hint="eastAsia" w:ascii="宋体" w:hAnsi="宋体"/>
                <w:i/>
                <w:color w:val="auto"/>
                <w:kern w:val="0"/>
                <w:highlight w:val="none"/>
              </w:rPr>
              <w:t>：</w:t>
            </w:r>
            <w:r>
              <w:rPr>
                <w:rFonts w:hint="eastAsia" w:ascii="宋体" w:hAnsi="宋体"/>
                <w:color w:val="auto"/>
                <w:kern w:val="0"/>
                <w:highlight w:val="none"/>
              </w:rPr>
              <w:t>不低于70分</w:t>
            </w:r>
            <w:r>
              <w:rPr>
                <w:rFonts w:hint="eastAsia" w:ascii="宋体" w:hAnsi="宋体"/>
                <w:i/>
                <w:color w:val="auto"/>
                <w:kern w:val="0"/>
                <w:highlight w:val="none"/>
              </w:rPr>
              <w:t>]</w:t>
            </w:r>
            <w:r>
              <w:rPr>
                <w:rFonts w:hint="eastAsia" w:ascii="宋体" w:hAnsi="宋体"/>
                <w:color w:val="auto"/>
                <w:kern w:val="0"/>
                <w:highlight w:val="none"/>
              </w:rPr>
              <w:t>。</w:t>
            </w:r>
          </w:p>
          <w:p w14:paraId="5254C9BF">
            <w:pPr>
              <w:snapToGrid w:val="0"/>
              <w:spacing w:line="400" w:lineRule="exact"/>
              <w:ind w:firstLine="420" w:firstLineChars="200"/>
              <w:rPr>
                <w:rFonts w:ascii="宋体" w:hAnsi="宋体"/>
                <w:i/>
                <w:color w:val="auto"/>
                <w:kern w:val="0"/>
                <w:highlight w:val="none"/>
              </w:rPr>
            </w:pPr>
            <w:r>
              <w:rPr>
                <w:rFonts w:hint="eastAsia" w:ascii="宋体" w:hAnsi="宋体"/>
                <w:color w:val="auto"/>
                <w:kern w:val="0"/>
                <w:highlight w:val="none"/>
              </w:rPr>
              <w:t xml:space="preserve"> </w:t>
            </w:r>
            <w:r>
              <w:rPr>
                <w:rFonts w:hint="eastAsia" w:ascii="宋体" w:hAnsi="宋体"/>
                <w:i/>
                <w:color w:val="auto"/>
                <w:kern w:val="0"/>
                <w:highlight w:val="none"/>
              </w:rPr>
              <w:t>[提示，如需进行项目经理答辩，项目经理答辩得分不高于10分，技术部分其余部分得分不高于20分。]</w:t>
            </w:r>
          </w:p>
        </w:tc>
      </w:tr>
      <w:tr w14:paraId="605F12D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restart"/>
            <w:tcBorders>
              <w:right w:val="single" w:color="auto" w:sz="4" w:space="0"/>
            </w:tcBorders>
            <w:noWrap w:val="0"/>
            <w:vAlign w:val="center"/>
          </w:tcPr>
          <w:p w14:paraId="1365A95B">
            <w:pPr>
              <w:spacing w:line="400" w:lineRule="exact"/>
              <w:jc w:val="center"/>
              <w:rPr>
                <w:rFonts w:hint="eastAsia" w:ascii="宋体" w:hAnsi="宋体"/>
                <w:color w:val="auto"/>
                <w:kern w:val="0"/>
                <w:highlight w:val="none"/>
              </w:rPr>
            </w:pPr>
            <w:r>
              <w:rPr>
                <w:rFonts w:hint="eastAsia" w:ascii="宋体" w:hAnsi="宋体"/>
                <w:color w:val="auto"/>
                <w:kern w:val="0"/>
                <w:highlight w:val="none"/>
              </w:rPr>
              <w:t>2.2.2（1）</w:t>
            </w:r>
          </w:p>
        </w:tc>
        <w:tc>
          <w:tcPr>
            <w:tcW w:w="535" w:type="dxa"/>
            <w:vMerge w:val="restart"/>
            <w:tcBorders>
              <w:left w:val="single" w:color="auto" w:sz="4" w:space="0"/>
            </w:tcBorders>
            <w:noWrap w:val="0"/>
            <w:vAlign w:val="center"/>
          </w:tcPr>
          <w:p w14:paraId="34F1FC61">
            <w:pPr>
              <w:spacing w:line="400" w:lineRule="exact"/>
              <w:jc w:val="center"/>
              <w:rPr>
                <w:rFonts w:ascii="宋体" w:hAnsi="宋体"/>
                <w:color w:val="auto"/>
                <w:kern w:val="0"/>
                <w:highlight w:val="none"/>
              </w:rPr>
            </w:pPr>
            <w:r>
              <w:rPr>
                <w:rFonts w:hint="eastAsia" w:ascii="宋体" w:hAnsi="宋体"/>
                <w:color w:val="auto"/>
                <w:kern w:val="0"/>
                <w:highlight w:val="none"/>
              </w:rPr>
              <w:t>技术部分评分标准</w:t>
            </w:r>
          </w:p>
        </w:tc>
        <w:tc>
          <w:tcPr>
            <w:tcW w:w="850" w:type="dxa"/>
            <w:vMerge w:val="restart"/>
            <w:tcBorders>
              <w:right w:val="single" w:color="auto" w:sz="4" w:space="0"/>
            </w:tcBorders>
            <w:noWrap w:val="0"/>
            <w:vAlign w:val="center"/>
          </w:tcPr>
          <w:p w14:paraId="302D56FE">
            <w:pPr>
              <w:tabs>
                <w:tab w:val="left" w:pos="1875"/>
              </w:tabs>
              <w:spacing w:line="400" w:lineRule="exact"/>
              <w:jc w:val="center"/>
              <w:rPr>
                <w:rFonts w:hint="eastAsia" w:ascii="宋体" w:hAnsi="宋体"/>
                <w:color w:val="auto"/>
                <w:kern w:val="0"/>
                <w:highlight w:val="none"/>
              </w:rPr>
            </w:pPr>
            <w:r>
              <w:rPr>
                <w:rFonts w:ascii="宋体" w:hAnsi="宋体"/>
                <w:color w:val="auto"/>
                <w:kern w:val="0"/>
                <w:highlight w:val="none"/>
              </w:rPr>
              <w:t>技</w:t>
            </w:r>
          </w:p>
          <w:p w14:paraId="661623BF">
            <w:pPr>
              <w:tabs>
                <w:tab w:val="left" w:pos="1875"/>
              </w:tabs>
              <w:spacing w:line="400" w:lineRule="exact"/>
              <w:jc w:val="center"/>
              <w:rPr>
                <w:rFonts w:hint="eastAsia" w:ascii="宋体" w:hAnsi="宋体"/>
                <w:color w:val="auto"/>
                <w:kern w:val="0"/>
                <w:highlight w:val="none"/>
              </w:rPr>
            </w:pPr>
            <w:r>
              <w:rPr>
                <w:rFonts w:ascii="宋体" w:hAnsi="宋体"/>
                <w:color w:val="auto"/>
                <w:kern w:val="0"/>
                <w:highlight w:val="none"/>
              </w:rPr>
              <w:t>术</w:t>
            </w:r>
          </w:p>
          <w:p w14:paraId="26E4A16D">
            <w:pPr>
              <w:tabs>
                <w:tab w:val="left" w:pos="1875"/>
              </w:tabs>
              <w:spacing w:line="400" w:lineRule="exact"/>
              <w:jc w:val="center"/>
              <w:rPr>
                <w:rFonts w:hint="eastAsia" w:ascii="宋体" w:hAnsi="宋体"/>
                <w:color w:val="auto"/>
                <w:kern w:val="0"/>
                <w:highlight w:val="none"/>
              </w:rPr>
            </w:pPr>
            <w:r>
              <w:rPr>
                <w:rFonts w:ascii="宋体" w:hAnsi="宋体"/>
                <w:color w:val="auto"/>
                <w:kern w:val="0"/>
                <w:highlight w:val="none"/>
              </w:rPr>
              <w:t>方</w:t>
            </w:r>
          </w:p>
          <w:p w14:paraId="3390EAAC">
            <w:pPr>
              <w:tabs>
                <w:tab w:val="left" w:pos="1875"/>
              </w:tabs>
              <w:spacing w:line="400" w:lineRule="exact"/>
              <w:jc w:val="center"/>
              <w:rPr>
                <w:rFonts w:hint="eastAsia" w:ascii="宋体" w:hAnsi="宋体"/>
                <w:color w:val="auto"/>
                <w:kern w:val="0"/>
                <w:highlight w:val="none"/>
              </w:rPr>
            </w:pPr>
            <w:r>
              <w:rPr>
                <w:rFonts w:ascii="宋体" w:hAnsi="宋体"/>
                <w:color w:val="auto"/>
                <w:kern w:val="0"/>
                <w:highlight w:val="none"/>
              </w:rPr>
              <w:t>案</w:t>
            </w:r>
          </w:p>
          <w:p w14:paraId="637D180D">
            <w:pPr>
              <w:tabs>
                <w:tab w:val="left" w:pos="1875"/>
              </w:tabs>
              <w:spacing w:line="400" w:lineRule="exact"/>
              <w:jc w:val="center"/>
              <w:rPr>
                <w:rFonts w:hint="eastAsia" w:ascii="宋体" w:hAnsi="宋体"/>
                <w:color w:val="auto"/>
                <w:kern w:val="0"/>
                <w:highlight w:val="none"/>
              </w:rPr>
            </w:pPr>
            <w:r>
              <w:rPr>
                <w:rFonts w:ascii="宋体" w:hAnsi="宋体"/>
                <w:color w:val="auto"/>
                <w:kern w:val="0"/>
                <w:highlight w:val="none"/>
              </w:rPr>
              <w:t>评</w:t>
            </w:r>
          </w:p>
          <w:p w14:paraId="774BEE5A">
            <w:pPr>
              <w:tabs>
                <w:tab w:val="left" w:pos="1875"/>
              </w:tabs>
              <w:spacing w:line="400" w:lineRule="exact"/>
              <w:jc w:val="center"/>
              <w:rPr>
                <w:rFonts w:ascii="宋体" w:hAnsi="宋体"/>
                <w:color w:val="auto"/>
                <w:kern w:val="0"/>
                <w:highlight w:val="none"/>
              </w:rPr>
            </w:pPr>
            <w:r>
              <w:rPr>
                <w:rFonts w:ascii="宋体" w:hAnsi="宋体"/>
                <w:color w:val="auto"/>
                <w:kern w:val="0"/>
                <w:highlight w:val="none"/>
              </w:rPr>
              <w:t>审</w:t>
            </w:r>
          </w:p>
        </w:tc>
        <w:tc>
          <w:tcPr>
            <w:tcW w:w="1710" w:type="dxa"/>
            <w:gridSpan w:val="2"/>
            <w:tcBorders>
              <w:left w:val="single" w:color="auto" w:sz="4" w:space="0"/>
            </w:tcBorders>
            <w:noWrap w:val="0"/>
            <w:vAlign w:val="center"/>
          </w:tcPr>
          <w:p w14:paraId="65BDCD08">
            <w:pPr>
              <w:tabs>
                <w:tab w:val="left" w:pos="1875"/>
              </w:tabs>
              <w:spacing w:line="400" w:lineRule="exact"/>
              <w:rPr>
                <w:rFonts w:ascii="宋体" w:hAnsi="宋体"/>
                <w:color w:val="auto"/>
                <w:kern w:val="0"/>
                <w:highlight w:val="none"/>
              </w:rPr>
            </w:pPr>
            <w:r>
              <w:rPr>
                <w:rFonts w:hint="eastAsia" w:ascii="宋体" w:hAnsi="宋体"/>
                <w:color w:val="auto"/>
                <w:kern w:val="0"/>
                <w:highlight w:val="none"/>
              </w:rPr>
              <w:t>内容完整性和编制水平</w:t>
            </w:r>
          </w:p>
        </w:tc>
        <w:tc>
          <w:tcPr>
            <w:tcW w:w="5493" w:type="dxa"/>
            <w:noWrap w:val="0"/>
            <w:vAlign w:val="center"/>
          </w:tcPr>
          <w:p w14:paraId="1CAFA16E">
            <w:pPr>
              <w:snapToGrid w:val="0"/>
              <w:spacing w:line="400" w:lineRule="exact"/>
              <w:ind w:firstLine="420" w:firstLineChars="200"/>
              <w:rPr>
                <w:rFonts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 xml:space="preserve"> </w:t>
            </w:r>
            <w:r>
              <w:rPr>
                <w:rFonts w:ascii="宋体" w:hAnsi="宋体"/>
                <w:color w:val="auto"/>
                <w:highlight w:val="none"/>
              </w:rPr>
              <w:t xml:space="preserve"> 编制要点</w:t>
            </w:r>
            <w:r>
              <w:rPr>
                <w:rFonts w:hint="eastAsia" w:ascii="宋体" w:hAnsi="宋体"/>
                <w:color w:val="auto"/>
                <w:highlight w:val="none"/>
              </w:rPr>
              <w:t>：</w:t>
            </w:r>
            <w:r>
              <w:rPr>
                <w:rFonts w:hint="eastAsia" w:ascii="宋体" w:hAnsi="宋体"/>
                <w:color w:val="auto"/>
                <w:highlight w:val="none"/>
                <w:u w:val="single"/>
              </w:rPr>
              <w:t xml:space="preserve">    </w:t>
            </w:r>
          </w:p>
        </w:tc>
      </w:tr>
      <w:tr w14:paraId="67DD20A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continue"/>
            <w:tcBorders>
              <w:right w:val="single" w:color="auto" w:sz="4" w:space="0"/>
            </w:tcBorders>
            <w:noWrap w:val="0"/>
            <w:vAlign w:val="center"/>
          </w:tcPr>
          <w:p w14:paraId="496BF1C2">
            <w:pPr>
              <w:spacing w:line="400" w:lineRule="exact"/>
              <w:ind w:firstLine="210" w:firstLineChars="100"/>
              <w:jc w:val="center"/>
              <w:rPr>
                <w:rFonts w:ascii="宋体" w:hAnsi="宋体"/>
                <w:color w:val="auto"/>
                <w:kern w:val="0"/>
                <w:highlight w:val="none"/>
              </w:rPr>
            </w:pPr>
          </w:p>
        </w:tc>
        <w:tc>
          <w:tcPr>
            <w:tcW w:w="535" w:type="dxa"/>
            <w:vMerge w:val="continue"/>
            <w:tcBorders>
              <w:left w:val="single" w:color="auto" w:sz="4" w:space="0"/>
            </w:tcBorders>
            <w:noWrap w:val="0"/>
            <w:vAlign w:val="center"/>
          </w:tcPr>
          <w:p w14:paraId="07BD637E">
            <w:pPr>
              <w:spacing w:line="400" w:lineRule="exact"/>
              <w:ind w:firstLine="210" w:firstLineChars="100"/>
              <w:jc w:val="center"/>
              <w:rPr>
                <w:rFonts w:ascii="宋体" w:hAnsi="宋体"/>
                <w:color w:val="auto"/>
                <w:kern w:val="0"/>
                <w:highlight w:val="none"/>
              </w:rPr>
            </w:pPr>
          </w:p>
        </w:tc>
        <w:tc>
          <w:tcPr>
            <w:tcW w:w="850" w:type="dxa"/>
            <w:vMerge w:val="continue"/>
            <w:tcBorders>
              <w:right w:val="single" w:color="auto" w:sz="4" w:space="0"/>
            </w:tcBorders>
            <w:noWrap w:val="0"/>
            <w:vAlign w:val="center"/>
          </w:tcPr>
          <w:p w14:paraId="172F940F">
            <w:pPr>
              <w:tabs>
                <w:tab w:val="left" w:pos="1875"/>
              </w:tabs>
              <w:spacing w:line="400" w:lineRule="exact"/>
              <w:jc w:val="left"/>
              <w:rPr>
                <w:rFonts w:ascii="宋体" w:hAnsi="宋体"/>
                <w:color w:val="auto"/>
                <w:kern w:val="0"/>
                <w:highlight w:val="none"/>
              </w:rPr>
            </w:pPr>
          </w:p>
        </w:tc>
        <w:tc>
          <w:tcPr>
            <w:tcW w:w="1710" w:type="dxa"/>
            <w:gridSpan w:val="2"/>
            <w:tcBorders>
              <w:left w:val="single" w:color="auto" w:sz="4" w:space="0"/>
            </w:tcBorders>
            <w:noWrap w:val="0"/>
            <w:vAlign w:val="center"/>
          </w:tcPr>
          <w:p w14:paraId="46AF7831">
            <w:pPr>
              <w:tabs>
                <w:tab w:val="left" w:pos="1875"/>
              </w:tabs>
              <w:spacing w:line="400" w:lineRule="exact"/>
              <w:rPr>
                <w:rFonts w:ascii="宋体" w:hAnsi="宋体"/>
                <w:color w:val="auto"/>
                <w:kern w:val="0"/>
                <w:highlight w:val="none"/>
              </w:rPr>
            </w:pPr>
            <w:r>
              <w:rPr>
                <w:rFonts w:hint="eastAsia" w:ascii="宋体" w:hAnsi="宋体"/>
                <w:color w:val="auto"/>
                <w:kern w:val="0"/>
                <w:highlight w:val="none"/>
              </w:rPr>
              <w:t>施工方案与技术措施</w:t>
            </w:r>
          </w:p>
        </w:tc>
        <w:tc>
          <w:tcPr>
            <w:tcW w:w="5493" w:type="dxa"/>
            <w:noWrap w:val="0"/>
            <w:vAlign w:val="center"/>
          </w:tcPr>
          <w:p w14:paraId="74AAD69A">
            <w:pPr>
              <w:snapToGrid w:val="0"/>
              <w:spacing w:line="400" w:lineRule="exact"/>
              <w:ind w:firstLine="420" w:firstLineChars="200"/>
              <w:rPr>
                <w:rFonts w:hint="eastAsia" w:ascii="宋体" w:hAnsi="宋体"/>
                <w:color w:val="auto"/>
                <w:kern w:val="0"/>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 xml:space="preserve"> </w:t>
            </w:r>
            <w:r>
              <w:rPr>
                <w:rFonts w:ascii="宋体" w:hAnsi="宋体"/>
                <w:color w:val="auto"/>
                <w:highlight w:val="none"/>
              </w:rPr>
              <w:t xml:space="preserve"> 编制要点</w:t>
            </w:r>
            <w:r>
              <w:rPr>
                <w:rFonts w:hint="eastAsia" w:ascii="宋体" w:hAnsi="宋体"/>
                <w:color w:val="auto"/>
                <w:highlight w:val="none"/>
              </w:rPr>
              <w:t>：</w:t>
            </w:r>
            <w:r>
              <w:rPr>
                <w:rFonts w:hint="eastAsia" w:ascii="宋体" w:hAnsi="宋体"/>
                <w:color w:val="auto"/>
                <w:highlight w:val="none"/>
                <w:u w:val="single"/>
              </w:rPr>
              <w:t xml:space="preserve">    </w:t>
            </w:r>
          </w:p>
        </w:tc>
      </w:tr>
      <w:tr w14:paraId="6F60FC7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continue"/>
            <w:tcBorders>
              <w:right w:val="single" w:color="auto" w:sz="4" w:space="0"/>
            </w:tcBorders>
            <w:noWrap w:val="0"/>
            <w:vAlign w:val="center"/>
          </w:tcPr>
          <w:p w14:paraId="639B04BA">
            <w:pPr>
              <w:spacing w:line="400" w:lineRule="exact"/>
              <w:ind w:firstLine="210" w:firstLineChars="100"/>
              <w:jc w:val="center"/>
              <w:rPr>
                <w:rFonts w:ascii="宋体" w:hAnsi="宋体"/>
                <w:color w:val="auto"/>
                <w:kern w:val="0"/>
                <w:highlight w:val="none"/>
              </w:rPr>
            </w:pPr>
          </w:p>
        </w:tc>
        <w:tc>
          <w:tcPr>
            <w:tcW w:w="535" w:type="dxa"/>
            <w:vMerge w:val="continue"/>
            <w:tcBorders>
              <w:left w:val="single" w:color="auto" w:sz="4" w:space="0"/>
            </w:tcBorders>
            <w:noWrap w:val="0"/>
            <w:vAlign w:val="center"/>
          </w:tcPr>
          <w:p w14:paraId="03D5A67A">
            <w:pPr>
              <w:spacing w:line="400" w:lineRule="exact"/>
              <w:ind w:firstLine="210" w:firstLineChars="100"/>
              <w:jc w:val="center"/>
              <w:rPr>
                <w:rFonts w:ascii="宋体" w:hAnsi="宋体"/>
                <w:color w:val="auto"/>
                <w:kern w:val="0"/>
                <w:highlight w:val="none"/>
              </w:rPr>
            </w:pPr>
          </w:p>
        </w:tc>
        <w:tc>
          <w:tcPr>
            <w:tcW w:w="850" w:type="dxa"/>
            <w:vMerge w:val="continue"/>
            <w:tcBorders>
              <w:right w:val="single" w:color="auto" w:sz="4" w:space="0"/>
            </w:tcBorders>
            <w:noWrap w:val="0"/>
            <w:vAlign w:val="center"/>
          </w:tcPr>
          <w:p w14:paraId="265A2193">
            <w:pPr>
              <w:tabs>
                <w:tab w:val="left" w:pos="1875"/>
              </w:tabs>
              <w:spacing w:line="400" w:lineRule="exact"/>
              <w:jc w:val="left"/>
              <w:rPr>
                <w:rFonts w:ascii="宋体" w:hAnsi="宋体"/>
                <w:color w:val="auto"/>
                <w:kern w:val="0"/>
                <w:highlight w:val="none"/>
              </w:rPr>
            </w:pPr>
          </w:p>
        </w:tc>
        <w:tc>
          <w:tcPr>
            <w:tcW w:w="1710" w:type="dxa"/>
            <w:gridSpan w:val="2"/>
            <w:tcBorders>
              <w:left w:val="single" w:color="auto" w:sz="4" w:space="0"/>
            </w:tcBorders>
            <w:noWrap w:val="0"/>
            <w:vAlign w:val="center"/>
          </w:tcPr>
          <w:p w14:paraId="38660F1F">
            <w:pPr>
              <w:tabs>
                <w:tab w:val="left" w:pos="1875"/>
              </w:tabs>
              <w:spacing w:line="400" w:lineRule="exact"/>
              <w:rPr>
                <w:rFonts w:ascii="宋体" w:hAnsi="宋体"/>
                <w:color w:val="auto"/>
                <w:kern w:val="0"/>
                <w:highlight w:val="none"/>
              </w:rPr>
            </w:pPr>
            <w:r>
              <w:rPr>
                <w:rFonts w:ascii="宋体" w:hAnsi="宋体"/>
                <w:color w:val="auto"/>
                <w:kern w:val="0"/>
                <w:highlight w:val="none"/>
              </w:rPr>
              <w:t>质量管理体系与措施</w:t>
            </w:r>
          </w:p>
        </w:tc>
        <w:tc>
          <w:tcPr>
            <w:tcW w:w="5493" w:type="dxa"/>
            <w:noWrap w:val="0"/>
            <w:vAlign w:val="center"/>
          </w:tcPr>
          <w:p w14:paraId="735E6FA6">
            <w:pPr>
              <w:snapToGrid w:val="0"/>
              <w:spacing w:line="400" w:lineRule="exact"/>
              <w:ind w:firstLine="420" w:firstLineChars="200"/>
              <w:rPr>
                <w:rFonts w:hint="eastAsia" w:ascii="宋体" w:hAnsi="宋体"/>
                <w:color w:val="auto"/>
                <w:kern w:val="0"/>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14:paraId="5A51FAE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continue"/>
            <w:tcBorders>
              <w:right w:val="single" w:color="auto" w:sz="4" w:space="0"/>
            </w:tcBorders>
            <w:noWrap w:val="0"/>
            <w:vAlign w:val="center"/>
          </w:tcPr>
          <w:p w14:paraId="1C34676A">
            <w:pPr>
              <w:spacing w:line="400" w:lineRule="exact"/>
              <w:ind w:firstLine="210" w:firstLineChars="100"/>
              <w:jc w:val="center"/>
              <w:rPr>
                <w:rFonts w:ascii="宋体" w:hAnsi="宋体"/>
                <w:color w:val="auto"/>
                <w:kern w:val="0"/>
                <w:highlight w:val="none"/>
              </w:rPr>
            </w:pPr>
          </w:p>
        </w:tc>
        <w:tc>
          <w:tcPr>
            <w:tcW w:w="535" w:type="dxa"/>
            <w:vMerge w:val="continue"/>
            <w:tcBorders>
              <w:left w:val="single" w:color="auto" w:sz="4" w:space="0"/>
            </w:tcBorders>
            <w:noWrap w:val="0"/>
            <w:vAlign w:val="center"/>
          </w:tcPr>
          <w:p w14:paraId="3D375797">
            <w:pPr>
              <w:spacing w:line="400" w:lineRule="exact"/>
              <w:ind w:firstLine="210" w:firstLineChars="100"/>
              <w:jc w:val="center"/>
              <w:rPr>
                <w:rFonts w:ascii="宋体" w:hAnsi="宋体"/>
                <w:color w:val="auto"/>
                <w:kern w:val="0"/>
                <w:highlight w:val="none"/>
              </w:rPr>
            </w:pPr>
          </w:p>
        </w:tc>
        <w:tc>
          <w:tcPr>
            <w:tcW w:w="850" w:type="dxa"/>
            <w:vMerge w:val="continue"/>
            <w:tcBorders>
              <w:right w:val="single" w:color="auto" w:sz="4" w:space="0"/>
            </w:tcBorders>
            <w:noWrap w:val="0"/>
            <w:vAlign w:val="center"/>
          </w:tcPr>
          <w:p w14:paraId="5AB2C989">
            <w:pPr>
              <w:tabs>
                <w:tab w:val="left" w:pos="1875"/>
              </w:tabs>
              <w:spacing w:line="400" w:lineRule="exact"/>
              <w:jc w:val="left"/>
              <w:rPr>
                <w:rFonts w:ascii="宋体" w:hAnsi="宋体"/>
                <w:color w:val="auto"/>
                <w:kern w:val="0"/>
                <w:highlight w:val="none"/>
              </w:rPr>
            </w:pPr>
          </w:p>
        </w:tc>
        <w:tc>
          <w:tcPr>
            <w:tcW w:w="1710" w:type="dxa"/>
            <w:gridSpan w:val="2"/>
            <w:tcBorders>
              <w:left w:val="single" w:color="auto" w:sz="4" w:space="0"/>
            </w:tcBorders>
            <w:noWrap w:val="0"/>
            <w:vAlign w:val="center"/>
          </w:tcPr>
          <w:p w14:paraId="09F1376C">
            <w:pPr>
              <w:tabs>
                <w:tab w:val="left" w:pos="1875"/>
              </w:tabs>
              <w:spacing w:line="400" w:lineRule="exact"/>
              <w:rPr>
                <w:rFonts w:ascii="宋体" w:hAnsi="宋体"/>
                <w:color w:val="auto"/>
                <w:kern w:val="0"/>
                <w:highlight w:val="none"/>
              </w:rPr>
            </w:pPr>
            <w:r>
              <w:rPr>
                <w:rFonts w:ascii="宋体" w:hAnsi="宋体"/>
                <w:color w:val="auto"/>
                <w:kern w:val="0"/>
                <w:highlight w:val="none"/>
              </w:rPr>
              <w:t>安全管理体系与措施</w:t>
            </w:r>
          </w:p>
        </w:tc>
        <w:tc>
          <w:tcPr>
            <w:tcW w:w="5493" w:type="dxa"/>
            <w:noWrap w:val="0"/>
            <w:vAlign w:val="center"/>
          </w:tcPr>
          <w:p w14:paraId="3799CCF5">
            <w:pPr>
              <w:snapToGrid w:val="0"/>
              <w:spacing w:line="400" w:lineRule="exact"/>
              <w:ind w:firstLine="420" w:firstLineChars="200"/>
              <w:rPr>
                <w:rFonts w:hint="eastAsia" w:ascii="宋体" w:hAnsi="宋体"/>
                <w:color w:val="auto"/>
                <w:kern w:val="0"/>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14:paraId="1361922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continue"/>
            <w:tcBorders>
              <w:right w:val="single" w:color="auto" w:sz="4" w:space="0"/>
            </w:tcBorders>
            <w:noWrap w:val="0"/>
            <w:vAlign w:val="center"/>
          </w:tcPr>
          <w:p w14:paraId="1F94BA47">
            <w:pPr>
              <w:spacing w:line="400" w:lineRule="exact"/>
              <w:ind w:firstLine="210" w:firstLineChars="100"/>
              <w:jc w:val="center"/>
              <w:rPr>
                <w:rFonts w:ascii="宋体" w:hAnsi="宋体"/>
                <w:color w:val="auto"/>
                <w:kern w:val="0"/>
                <w:highlight w:val="none"/>
              </w:rPr>
            </w:pPr>
          </w:p>
        </w:tc>
        <w:tc>
          <w:tcPr>
            <w:tcW w:w="535" w:type="dxa"/>
            <w:vMerge w:val="continue"/>
            <w:tcBorders>
              <w:left w:val="single" w:color="auto" w:sz="4" w:space="0"/>
            </w:tcBorders>
            <w:noWrap w:val="0"/>
            <w:vAlign w:val="center"/>
          </w:tcPr>
          <w:p w14:paraId="70A6D466">
            <w:pPr>
              <w:spacing w:line="400" w:lineRule="exact"/>
              <w:ind w:firstLine="210" w:firstLineChars="100"/>
              <w:jc w:val="center"/>
              <w:rPr>
                <w:rFonts w:ascii="宋体" w:hAnsi="宋体"/>
                <w:color w:val="auto"/>
                <w:kern w:val="0"/>
                <w:highlight w:val="none"/>
              </w:rPr>
            </w:pPr>
          </w:p>
        </w:tc>
        <w:tc>
          <w:tcPr>
            <w:tcW w:w="850" w:type="dxa"/>
            <w:vMerge w:val="continue"/>
            <w:tcBorders>
              <w:right w:val="single" w:color="auto" w:sz="4" w:space="0"/>
            </w:tcBorders>
            <w:noWrap w:val="0"/>
            <w:vAlign w:val="center"/>
          </w:tcPr>
          <w:p w14:paraId="1B267D38">
            <w:pPr>
              <w:tabs>
                <w:tab w:val="left" w:pos="1875"/>
              </w:tabs>
              <w:spacing w:line="400" w:lineRule="exact"/>
              <w:jc w:val="left"/>
              <w:rPr>
                <w:rFonts w:ascii="宋体" w:hAnsi="宋体"/>
                <w:color w:val="auto"/>
                <w:kern w:val="0"/>
                <w:highlight w:val="none"/>
              </w:rPr>
            </w:pPr>
          </w:p>
        </w:tc>
        <w:tc>
          <w:tcPr>
            <w:tcW w:w="1710" w:type="dxa"/>
            <w:gridSpan w:val="2"/>
            <w:tcBorders>
              <w:left w:val="single" w:color="auto" w:sz="4" w:space="0"/>
            </w:tcBorders>
            <w:noWrap w:val="0"/>
            <w:vAlign w:val="center"/>
          </w:tcPr>
          <w:p w14:paraId="4768E9E0">
            <w:pPr>
              <w:tabs>
                <w:tab w:val="left" w:pos="1875"/>
              </w:tabs>
              <w:spacing w:line="400" w:lineRule="exact"/>
              <w:rPr>
                <w:rFonts w:ascii="宋体" w:hAnsi="宋体"/>
                <w:color w:val="auto"/>
                <w:kern w:val="0"/>
                <w:highlight w:val="none"/>
              </w:rPr>
            </w:pPr>
            <w:r>
              <w:rPr>
                <w:rFonts w:ascii="宋体" w:hAnsi="宋体"/>
                <w:color w:val="auto"/>
                <w:kern w:val="0"/>
                <w:highlight w:val="none"/>
              </w:rPr>
              <w:t>环境保护管理体系措施</w:t>
            </w:r>
          </w:p>
        </w:tc>
        <w:tc>
          <w:tcPr>
            <w:tcW w:w="5493" w:type="dxa"/>
            <w:noWrap w:val="0"/>
            <w:vAlign w:val="center"/>
          </w:tcPr>
          <w:p w14:paraId="2CD9BC9D">
            <w:pPr>
              <w:snapToGrid w:val="0"/>
              <w:spacing w:line="400" w:lineRule="exact"/>
              <w:ind w:firstLine="420" w:firstLineChars="200"/>
              <w:rPr>
                <w:rFonts w:hint="eastAsia" w:ascii="宋体" w:hAnsi="宋体"/>
                <w:color w:val="auto"/>
                <w:kern w:val="0"/>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14:paraId="30697B7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continue"/>
            <w:tcBorders>
              <w:right w:val="single" w:color="auto" w:sz="4" w:space="0"/>
            </w:tcBorders>
            <w:noWrap w:val="0"/>
            <w:vAlign w:val="center"/>
          </w:tcPr>
          <w:p w14:paraId="17E1A4BA">
            <w:pPr>
              <w:spacing w:line="400" w:lineRule="exact"/>
              <w:ind w:firstLine="210" w:firstLineChars="100"/>
              <w:jc w:val="center"/>
              <w:rPr>
                <w:rFonts w:ascii="宋体" w:hAnsi="宋体"/>
                <w:color w:val="auto"/>
                <w:kern w:val="0"/>
                <w:highlight w:val="none"/>
              </w:rPr>
            </w:pPr>
          </w:p>
        </w:tc>
        <w:tc>
          <w:tcPr>
            <w:tcW w:w="535" w:type="dxa"/>
            <w:vMerge w:val="continue"/>
            <w:tcBorders>
              <w:left w:val="single" w:color="auto" w:sz="4" w:space="0"/>
            </w:tcBorders>
            <w:noWrap w:val="0"/>
            <w:vAlign w:val="center"/>
          </w:tcPr>
          <w:p w14:paraId="1679E974">
            <w:pPr>
              <w:spacing w:line="400" w:lineRule="exact"/>
              <w:ind w:firstLine="210" w:firstLineChars="100"/>
              <w:jc w:val="center"/>
              <w:rPr>
                <w:rFonts w:ascii="宋体" w:hAnsi="宋体"/>
                <w:color w:val="auto"/>
                <w:kern w:val="0"/>
                <w:highlight w:val="none"/>
              </w:rPr>
            </w:pPr>
          </w:p>
        </w:tc>
        <w:tc>
          <w:tcPr>
            <w:tcW w:w="850" w:type="dxa"/>
            <w:vMerge w:val="continue"/>
            <w:tcBorders>
              <w:right w:val="single" w:color="auto" w:sz="4" w:space="0"/>
            </w:tcBorders>
            <w:noWrap w:val="0"/>
            <w:vAlign w:val="center"/>
          </w:tcPr>
          <w:p w14:paraId="06D31309">
            <w:pPr>
              <w:tabs>
                <w:tab w:val="left" w:pos="1875"/>
              </w:tabs>
              <w:spacing w:line="400" w:lineRule="exact"/>
              <w:jc w:val="left"/>
              <w:rPr>
                <w:rFonts w:ascii="宋体" w:hAnsi="宋体"/>
                <w:color w:val="auto"/>
                <w:kern w:val="0"/>
                <w:highlight w:val="none"/>
              </w:rPr>
            </w:pPr>
          </w:p>
        </w:tc>
        <w:tc>
          <w:tcPr>
            <w:tcW w:w="1710" w:type="dxa"/>
            <w:gridSpan w:val="2"/>
            <w:tcBorders>
              <w:left w:val="single" w:color="auto" w:sz="4" w:space="0"/>
            </w:tcBorders>
            <w:noWrap w:val="0"/>
            <w:vAlign w:val="center"/>
          </w:tcPr>
          <w:p w14:paraId="09E1746D">
            <w:pPr>
              <w:tabs>
                <w:tab w:val="left" w:pos="1875"/>
              </w:tabs>
              <w:spacing w:line="400" w:lineRule="exact"/>
              <w:rPr>
                <w:rFonts w:ascii="宋体" w:hAnsi="宋体"/>
                <w:color w:val="auto"/>
                <w:kern w:val="0"/>
                <w:highlight w:val="none"/>
              </w:rPr>
            </w:pPr>
            <w:r>
              <w:rPr>
                <w:rFonts w:ascii="宋体" w:hAnsi="宋体"/>
                <w:color w:val="auto"/>
                <w:kern w:val="0"/>
                <w:highlight w:val="none"/>
              </w:rPr>
              <w:t>工程进度计划与措施</w:t>
            </w:r>
          </w:p>
        </w:tc>
        <w:tc>
          <w:tcPr>
            <w:tcW w:w="5493" w:type="dxa"/>
            <w:noWrap w:val="0"/>
            <w:vAlign w:val="center"/>
          </w:tcPr>
          <w:p w14:paraId="3513686B">
            <w:pPr>
              <w:snapToGrid w:val="0"/>
              <w:spacing w:line="400" w:lineRule="exact"/>
              <w:ind w:firstLine="420" w:firstLineChars="200"/>
              <w:rPr>
                <w:rFonts w:hint="eastAsia" w:ascii="宋体" w:hAnsi="宋体"/>
                <w:color w:val="auto"/>
                <w:kern w:val="0"/>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14:paraId="5A92BD4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continue"/>
            <w:tcBorders>
              <w:right w:val="single" w:color="auto" w:sz="4" w:space="0"/>
            </w:tcBorders>
            <w:noWrap w:val="0"/>
            <w:vAlign w:val="center"/>
          </w:tcPr>
          <w:p w14:paraId="310812FB">
            <w:pPr>
              <w:spacing w:line="400" w:lineRule="exact"/>
              <w:ind w:firstLine="210" w:firstLineChars="100"/>
              <w:jc w:val="center"/>
              <w:rPr>
                <w:rFonts w:ascii="宋体" w:hAnsi="宋体"/>
                <w:color w:val="auto"/>
                <w:kern w:val="0"/>
                <w:highlight w:val="none"/>
              </w:rPr>
            </w:pPr>
          </w:p>
        </w:tc>
        <w:tc>
          <w:tcPr>
            <w:tcW w:w="535" w:type="dxa"/>
            <w:vMerge w:val="continue"/>
            <w:tcBorders>
              <w:left w:val="single" w:color="auto" w:sz="4" w:space="0"/>
            </w:tcBorders>
            <w:noWrap w:val="0"/>
            <w:vAlign w:val="center"/>
          </w:tcPr>
          <w:p w14:paraId="3F5908F5">
            <w:pPr>
              <w:spacing w:line="400" w:lineRule="exact"/>
              <w:ind w:firstLine="210" w:firstLineChars="100"/>
              <w:jc w:val="center"/>
              <w:rPr>
                <w:rFonts w:ascii="宋体" w:hAnsi="宋体"/>
                <w:color w:val="auto"/>
                <w:kern w:val="0"/>
                <w:highlight w:val="none"/>
              </w:rPr>
            </w:pPr>
          </w:p>
        </w:tc>
        <w:tc>
          <w:tcPr>
            <w:tcW w:w="850" w:type="dxa"/>
            <w:vMerge w:val="continue"/>
            <w:tcBorders>
              <w:right w:val="single" w:color="auto" w:sz="4" w:space="0"/>
            </w:tcBorders>
            <w:noWrap w:val="0"/>
            <w:vAlign w:val="center"/>
          </w:tcPr>
          <w:p w14:paraId="6D4360E9">
            <w:pPr>
              <w:tabs>
                <w:tab w:val="left" w:pos="1875"/>
              </w:tabs>
              <w:spacing w:line="400" w:lineRule="exact"/>
              <w:jc w:val="left"/>
              <w:rPr>
                <w:rFonts w:ascii="宋体" w:hAnsi="宋体"/>
                <w:color w:val="auto"/>
                <w:kern w:val="0"/>
                <w:highlight w:val="none"/>
              </w:rPr>
            </w:pPr>
          </w:p>
        </w:tc>
        <w:tc>
          <w:tcPr>
            <w:tcW w:w="1710" w:type="dxa"/>
            <w:gridSpan w:val="2"/>
            <w:tcBorders>
              <w:left w:val="single" w:color="auto" w:sz="4" w:space="0"/>
            </w:tcBorders>
            <w:noWrap w:val="0"/>
            <w:vAlign w:val="center"/>
          </w:tcPr>
          <w:p w14:paraId="7D7AEAB3">
            <w:pPr>
              <w:tabs>
                <w:tab w:val="left" w:pos="1875"/>
              </w:tabs>
              <w:spacing w:line="400" w:lineRule="exact"/>
              <w:rPr>
                <w:rFonts w:ascii="宋体" w:hAnsi="宋体"/>
                <w:color w:val="auto"/>
                <w:kern w:val="0"/>
                <w:highlight w:val="none"/>
              </w:rPr>
            </w:pPr>
            <w:r>
              <w:rPr>
                <w:rFonts w:ascii="宋体" w:hAnsi="宋体"/>
                <w:color w:val="auto"/>
                <w:kern w:val="0"/>
                <w:highlight w:val="none"/>
              </w:rPr>
              <w:t>资源配备计划与先进性</w:t>
            </w:r>
          </w:p>
        </w:tc>
        <w:tc>
          <w:tcPr>
            <w:tcW w:w="5493" w:type="dxa"/>
            <w:noWrap w:val="0"/>
            <w:vAlign w:val="center"/>
          </w:tcPr>
          <w:p w14:paraId="26CFF494">
            <w:pPr>
              <w:snapToGrid w:val="0"/>
              <w:spacing w:line="400" w:lineRule="exact"/>
              <w:ind w:firstLine="420" w:firstLineChars="200"/>
              <w:rPr>
                <w:rFonts w:hint="eastAsia" w:ascii="宋体" w:hAnsi="宋体"/>
                <w:color w:val="auto"/>
                <w:kern w:val="0"/>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14:paraId="6AE6BFA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continue"/>
            <w:tcBorders>
              <w:right w:val="single" w:color="auto" w:sz="4" w:space="0"/>
            </w:tcBorders>
            <w:noWrap w:val="0"/>
            <w:vAlign w:val="center"/>
          </w:tcPr>
          <w:p w14:paraId="44B34C9B">
            <w:pPr>
              <w:spacing w:line="400" w:lineRule="exact"/>
              <w:ind w:firstLine="210" w:firstLineChars="100"/>
              <w:jc w:val="center"/>
              <w:rPr>
                <w:rFonts w:ascii="宋体" w:hAnsi="宋体"/>
                <w:color w:val="auto"/>
                <w:kern w:val="0"/>
                <w:highlight w:val="none"/>
              </w:rPr>
            </w:pPr>
          </w:p>
        </w:tc>
        <w:tc>
          <w:tcPr>
            <w:tcW w:w="535" w:type="dxa"/>
            <w:vMerge w:val="continue"/>
            <w:tcBorders>
              <w:left w:val="single" w:color="auto" w:sz="4" w:space="0"/>
            </w:tcBorders>
            <w:noWrap w:val="0"/>
            <w:vAlign w:val="center"/>
          </w:tcPr>
          <w:p w14:paraId="674F0A82">
            <w:pPr>
              <w:spacing w:line="400" w:lineRule="exact"/>
              <w:ind w:firstLine="210" w:firstLineChars="100"/>
              <w:jc w:val="center"/>
              <w:rPr>
                <w:rFonts w:ascii="宋体" w:hAnsi="宋体"/>
                <w:color w:val="auto"/>
                <w:kern w:val="0"/>
                <w:highlight w:val="none"/>
              </w:rPr>
            </w:pPr>
          </w:p>
        </w:tc>
        <w:tc>
          <w:tcPr>
            <w:tcW w:w="850" w:type="dxa"/>
            <w:vMerge w:val="continue"/>
            <w:tcBorders>
              <w:right w:val="single" w:color="auto" w:sz="4" w:space="0"/>
            </w:tcBorders>
            <w:noWrap w:val="0"/>
            <w:vAlign w:val="top"/>
          </w:tcPr>
          <w:p w14:paraId="0DB58AF5">
            <w:pPr>
              <w:tabs>
                <w:tab w:val="left" w:pos="1875"/>
              </w:tabs>
              <w:spacing w:line="400" w:lineRule="exact"/>
              <w:jc w:val="left"/>
              <w:rPr>
                <w:rFonts w:ascii="宋体" w:hAnsi="宋体"/>
                <w:color w:val="auto"/>
                <w:kern w:val="0"/>
                <w:highlight w:val="none"/>
              </w:rPr>
            </w:pPr>
          </w:p>
        </w:tc>
        <w:tc>
          <w:tcPr>
            <w:tcW w:w="1710" w:type="dxa"/>
            <w:gridSpan w:val="2"/>
            <w:tcBorders>
              <w:left w:val="single" w:color="auto" w:sz="4" w:space="0"/>
            </w:tcBorders>
            <w:noWrap w:val="0"/>
            <w:vAlign w:val="center"/>
          </w:tcPr>
          <w:p w14:paraId="667CD303">
            <w:pPr>
              <w:tabs>
                <w:tab w:val="left" w:pos="1875"/>
              </w:tabs>
              <w:spacing w:line="400" w:lineRule="exact"/>
              <w:rPr>
                <w:rFonts w:ascii="宋体" w:hAnsi="宋体"/>
                <w:color w:val="auto"/>
                <w:kern w:val="0"/>
                <w:highlight w:val="none"/>
              </w:rPr>
            </w:pPr>
            <w:r>
              <w:rPr>
                <w:rFonts w:hint="eastAsia" w:ascii="宋体" w:hAnsi="宋体" w:cs="宋体"/>
                <w:color w:val="auto"/>
                <w:kern w:val="0"/>
                <w:highlight w:val="none"/>
              </w:rPr>
              <w:t>□危大工程清单安全管理措施</w:t>
            </w:r>
          </w:p>
        </w:tc>
        <w:tc>
          <w:tcPr>
            <w:tcW w:w="5493" w:type="dxa"/>
            <w:noWrap w:val="0"/>
            <w:vAlign w:val="center"/>
          </w:tcPr>
          <w:p w14:paraId="03F7ADD2">
            <w:pPr>
              <w:snapToGrid w:val="0"/>
              <w:spacing w:line="400" w:lineRule="exact"/>
              <w:ind w:firstLine="420" w:firstLineChars="200"/>
              <w:rPr>
                <w:rFonts w:hint="eastAsia" w:ascii="宋体" w:hAnsi="宋体"/>
                <w:color w:val="auto"/>
                <w:kern w:val="0"/>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14:paraId="3BDEE3C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continue"/>
            <w:tcBorders>
              <w:right w:val="single" w:color="auto" w:sz="4" w:space="0"/>
            </w:tcBorders>
            <w:noWrap w:val="0"/>
            <w:vAlign w:val="center"/>
          </w:tcPr>
          <w:p w14:paraId="64E4312E">
            <w:pPr>
              <w:spacing w:line="400" w:lineRule="exact"/>
              <w:ind w:firstLine="210" w:firstLineChars="100"/>
              <w:jc w:val="center"/>
              <w:rPr>
                <w:rFonts w:ascii="宋体" w:hAnsi="宋体"/>
                <w:color w:val="auto"/>
                <w:kern w:val="0"/>
                <w:highlight w:val="none"/>
              </w:rPr>
            </w:pPr>
          </w:p>
        </w:tc>
        <w:tc>
          <w:tcPr>
            <w:tcW w:w="535" w:type="dxa"/>
            <w:vMerge w:val="continue"/>
            <w:tcBorders>
              <w:left w:val="single" w:color="auto" w:sz="4" w:space="0"/>
            </w:tcBorders>
            <w:noWrap w:val="0"/>
            <w:vAlign w:val="center"/>
          </w:tcPr>
          <w:p w14:paraId="6CFA8365">
            <w:pPr>
              <w:spacing w:line="400" w:lineRule="exact"/>
              <w:ind w:firstLine="210" w:firstLineChars="100"/>
              <w:jc w:val="center"/>
              <w:rPr>
                <w:rFonts w:ascii="宋体" w:hAnsi="宋体"/>
                <w:color w:val="auto"/>
                <w:kern w:val="0"/>
                <w:highlight w:val="none"/>
              </w:rPr>
            </w:pPr>
          </w:p>
        </w:tc>
        <w:tc>
          <w:tcPr>
            <w:tcW w:w="850" w:type="dxa"/>
            <w:vMerge w:val="continue"/>
            <w:tcBorders>
              <w:right w:val="single" w:color="auto" w:sz="4" w:space="0"/>
            </w:tcBorders>
            <w:noWrap w:val="0"/>
            <w:vAlign w:val="top"/>
          </w:tcPr>
          <w:p w14:paraId="558FDB3B">
            <w:pPr>
              <w:tabs>
                <w:tab w:val="left" w:pos="1875"/>
              </w:tabs>
              <w:spacing w:line="400" w:lineRule="exact"/>
              <w:jc w:val="left"/>
              <w:rPr>
                <w:rFonts w:ascii="宋体" w:hAnsi="宋体"/>
                <w:color w:val="auto"/>
                <w:kern w:val="0"/>
                <w:highlight w:val="none"/>
              </w:rPr>
            </w:pPr>
          </w:p>
        </w:tc>
        <w:tc>
          <w:tcPr>
            <w:tcW w:w="1710" w:type="dxa"/>
            <w:gridSpan w:val="2"/>
            <w:tcBorders>
              <w:left w:val="single" w:color="auto" w:sz="4" w:space="0"/>
            </w:tcBorders>
            <w:noWrap w:val="0"/>
            <w:vAlign w:val="center"/>
          </w:tcPr>
          <w:p w14:paraId="281EC25D">
            <w:pPr>
              <w:tabs>
                <w:tab w:val="left" w:pos="1875"/>
              </w:tabs>
              <w:spacing w:line="400" w:lineRule="exact"/>
              <w:rPr>
                <w:rFonts w:ascii="宋体" w:hAnsi="宋体"/>
                <w:color w:val="auto"/>
                <w:kern w:val="0"/>
                <w:highlight w:val="none"/>
              </w:rPr>
            </w:pPr>
            <w:r>
              <w:rPr>
                <w:rFonts w:hint="eastAsia" w:ascii="宋体" w:hAnsi="宋体" w:cs="宋体"/>
                <w:color w:val="auto"/>
                <w:kern w:val="0"/>
                <w:highlight w:val="none"/>
              </w:rPr>
              <w:t>□BIM、智慧工地建设管理方案及措施</w:t>
            </w:r>
          </w:p>
        </w:tc>
        <w:tc>
          <w:tcPr>
            <w:tcW w:w="5493" w:type="dxa"/>
            <w:noWrap w:val="0"/>
            <w:vAlign w:val="center"/>
          </w:tcPr>
          <w:p w14:paraId="121FF501">
            <w:pPr>
              <w:snapToGrid w:val="0"/>
              <w:spacing w:line="400" w:lineRule="exact"/>
              <w:ind w:firstLine="420" w:firstLineChars="200"/>
              <w:rPr>
                <w:rFonts w:hint="eastAsia" w:ascii="宋体" w:hAnsi="宋体"/>
                <w:color w:val="auto"/>
                <w:kern w:val="0"/>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14:paraId="704C211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continue"/>
            <w:tcBorders>
              <w:right w:val="single" w:color="auto" w:sz="4" w:space="0"/>
            </w:tcBorders>
            <w:noWrap w:val="0"/>
            <w:vAlign w:val="center"/>
          </w:tcPr>
          <w:p w14:paraId="12254B93">
            <w:pPr>
              <w:spacing w:line="400" w:lineRule="exact"/>
              <w:ind w:firstLine="210" w:firstLineChars="100"/>
              <w:jc w:val="center"/>
              <w:rPr>
                <w:rFonts w:ascii="宋体" w:hAnsi="宋体"/>
                <w:color w:val="auto"/>
                <w:kern w:val="0"/>
                <w:highlight w:val="none"/>
              </w:rPr>
            </w:pPr>
          </w:p>
        </w:tc>
        <w:tc>
          <w:tcPr>
            <w:tcW w:w="535" w:type="dxa"/>
            <w:vMerge w:val="continue"/>
            <w:tcBorders>
              <w:left w:val="single" w:color="auto" w:sz="4" w:space="0"/>
            </w:tcBorders>
            <w:noWrap w:val="0"/>
            <w:vAlign w:val="center"/>
          </w:tcPr>
          <w:p w14:paraId="21AD35F6">
            <w:pPr>
              <w:spacing w:line="400" w:lineRule="exact"/>
              <w:ind w:firstLine="210" w:firstLineChars="100"/>
              <w:jc w:val="center"/>
              <w:rPr>
                <w:rFonts w:ascii="宋体" w:hAnsi="宋体"/>
                <w:color w:val="auto"/>
                <w:kern w:val="0"/>
                <w:highlight w:val="none"/>
              </w:rPr>
            </w:pPr>
          </w:p>
        </w:tc>
        <w:tc>
          <w:tcPr>
            <w:tcW w:w="850" w:type="dxa"/>
            <w:vMerge w:val="continue"/>
            <w:tcBorders>
              <w:right w:val="single" w:color="auto" w:sz="4" w:space="0"/>
            </w:tcBorders>
            <w:noWrap w:val="0"/>
            <w:vAlign w:val="top"/>
          </w:tcPr>
          <w:p w14:paraId="7DFA31A4">
            <w:pPr>
              <w:tabs>
                <w:tab w:val="left" w:pos="1875"/>
              </w:tabs>
              <w:spacing w:line="400" w:lineRule="exact"/>
              <w:jc w:val="left"/>
              <w:rPr>
                <w:rFonts w:ascii="宋体" w:hAnsi="宋体"/>
                <w:color w:val="auto"/>
                <w:kern w:val="0"/>
                <w:highlight w:val="none"/>
              </w:rPr>
            </w:pPr>
          </w:p>
        </w:tc>
        <w:tc>
          <w:tcPr>
            <w:tcW w:w="1710" w:type="dxa"/>
            <w:gridSpan w:val="2"/>
            <w:tcBorders>
              <w:left w:val="single" w:color="auto" w:sz="4" w:space="0"/>
            </w:tcBorders>
            <w:noWrap w:val="0"/>
            <w:vAlign w:val="center"/>
          </w:tcPr>
          <w:p w14:paraId="2D47E5AF">
            <w:pPr>
              <w:tabs>
                <w:tab w:val="left" w:pos="1875"/>
              </w:tabs>
              <w:spacing w:line="400" w:lineRule="exact"/>
              <w:rPr>
                <w:rFonts w:ascii="宋体" w:hAnsi="宋体"/>
                <w:color w:val="auto"/>
                <w:kern w:val="0"/>
                <w:highlight w:val="none"/>
              </w:rPr>
            </w:pPr>
            <w:r>
              <w:rPr>
                <w:rFonts w:hint="eastAsia" w:ascii="宋体" w:hAnsi="宋体" w:cs="宋体"/>
                <w:color w:val="auto"/>
                <w:kern w:val="0"/>
                <w:highlight w:val="none"/>
              </w:rPr>
              <w:t>□</w:t>
            </w:r>
            <w:r>
              <w:rPr>
                <w:rFonts w:ascii="宋体" w:hAnsi="宋体" w:cs="宋体"/>
                <w:color w:val="auto"/>
                <w:kern w:val="0"/>
                <w:highlight w:val="none"/>
              </w:rPr>
              <w:t>……</w:t>
            </w:r>
          </w:p>
        </w:tc>
        <w:tc>
          <w:tcPr>
            <w:tcW w:w="5493" w:type="dxa"/>
            <w:noWrap w:val="0"/>
            <w:vAlign w:val="center"/>
          </w:tcPr>
          <w:p w14:paraId="2806FCD1">
            <w:pPr>
              <w:snapToGrid w:val="0"/>
              <w:spacing w:line="400" w:lineRule="exact"/>
              <w:ind w:firstLine="420" w:firstLineChars="200"/>
              <w:rPr>
                <w:rFonts w:hint="eastAsia" w:ascii="宋体" w:hAnsi="宋体"/>
                <w:color w:val="auto"/>
                <w:kern w:val="0"/>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w:t>
            </w:r>
          </w:p>
        </w:tc>
      </w:tr>
      <w:tr w14:paraId="6BCF88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continue"/>
            <w:tcBorders>
              <w:right w:val="single" w:color="auto" w:sz="4" w:space="0"/>
            </w:tcBorders>
            <w:noWrap w:val="0"/>
            <w:vAlign w:val="center"/>
          </w:tcPr>
          <w:p w14:paraId="04D84E7A">
            <w:pPr>
              <w:spacing w:line="400" w:lineRule="exact"/>
              <w:ind w:firstLine="210" w:firstLineChars="100"/>
              <w:jc w:val="center"/>
              <w:rPr>
                <w:rFonts w:ascii="宋体" w:hAnsi="宋体"/>
                <w:color w:val="auto"/>
                <w:kern w:val="0"/>
                <w:highlight w:val="none"/>
              </w:rPr>
            </w:pPr>
          </w:p>
        </w:tc>
        <w:tc>
          <w:tcPr>
            <w:tcW w:w="535" w:type="dxa"/>
            <w:vMerge w:val="continue"/>
            <w:tcBorders>
              <w:left w:val="single" w:color="auto" w:sz="4" w:space="0"/>
            </w:tcBorders>
            <w:noWrap w:val="0"/>
            <w:vAlign w:val="center"/>
          </w:tcPr>
          <w:p w14:paraId="349D83BC">
            <w:pPr>
              <w:spacing w:line="400" w:lineRule="exact"/>
              <w:ind w:firstLine="210" w:firstLineChars="100"/>
              <w:jc w:val="center"/>
              <w:rPr>
                <w:rFonts w:ascii="宋体" w:hAnsi="宋体"/>
                <w:color w:val="auto"/>
                <w:kern w:val="0"/>
                <w:highlight w:val="none"/>
              </w:rPr>
            </w:pPr>
          </w:p>
        </w:tc>
        <w:tc>
          <w:tcPr>
            <w:tcW w:w="2560" w:type="dxa"/>
            <w:gridSpan w:val="3"/>
            <w:noWrap w:val="0"/>
            <w:vAlign w:val="center"/>
          </w:tcPr>
          <w:p w14:paraId="421B0FC3">
            <w:pPr>
              <w:tabs>
                <w:tab w:val="left" w:pos="1875"/>
              </w:tabs>
              <w:spacing w:line="400" w:lineRule="exact"/>
              <w:rPr>
                <w:rFonts w:ascii="宋体" w:hAnsi="宋体"/>
                <w:color w:val="auto"/>
                <w:kern w:val="0"/>
                <w:highlight w:val="none"/>
              </w:rPr>
            </w:pPr>
            <w:r>
              <w:rPr>
                <w:rFonts w:hint="eastAsia" w:ascii="宋体" w:hAnsi="宋体" w:cs="宋体"/>
                <w:color w:val="auto"/>
                <w:kern w:val="0"/>
                <w:highlight w:val="none"/>
              </w:rPr>
              <w:t>□项目经理答辩</w:t>
            </w:r>
          </w:p>
        </w:tc>
        <w:tc>
          <w:tcPr>
            <w:tcW w:w="5493" w:type="dxa"/>
            <w:noWrap w:val="0"/>
            <w:vAlign w:val="center"/>
          </w:tcPr>
          <w:p w14:paraId="4798D7DB">
            <w:pPr>
              <w:snapToGrid w:val="0"/>
              <w:spacing w:line="400" w:lineRule="exact"/>
              <w:ind w:firstLine="420" w:firstLineChars="200"/>
              <w:rPr>
                <w:rFonts w:hint="eastAsia" w:ascii="宋体" w:hAnsi="宋体"/>
                <w:color w:val="auto"/>
                <w:kern w:val="0"/>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答辩</w:t>
            </w:r>
            <w:r>
              <w:rPr>
                <w:rFonts w:ascii="宋体" w:hAnsi="宋体"/>
                <w:color w:val="auto"/>
                <w:highlight w:val="none"/>
              </w:rPr>
              <w:t>要点</w:t>
            </w:r>
            <w:r>
              <w:rPr>
                <w:rFonts w:hint="eastAsia" w:ascii="宋体" w:hAnsi="宋体"/>
                <w:color w:val="auto"/>
                <w:highlight w:val="none"/>
              </w:rPr>
              <w:t>：</w:t>
            </w:r>
            <w:r>
              <w:rPr>
                <w:rFonts w:hint="eastAsia" w:ascii="宋体" w:hAnsi="宋体"/>
                <w:color w:val="auto"/>
                <w:highlight w:val="none"/>
                <w:u w:val="single"/>
              </w:rPr>
              <w:t xml:space="preserve">    </w:t>
            </w:r>
            <w:r>
              <w:rPr>
                <w:rFonts w:hint="eastAsia" w:ascii="宋体" w:hAnsi="宋体"/>
                <w:color w:val="auto"/>
                <w:highlight w:val="none"/>
                <w:u w:val="none"/>
              </w:rPr>
              <w:t>。暗标评审的，答辩过程中不得透露与投标人企业有关的任何信息。</w:t>
            </w:r>
          </w:p>
        </w:tc>
      </w:tr>
      <w:tr w14:paraId="2EABE00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restart"/>
            <w:tcBorders>
              <w:right w:val="single" w:color="auto" w:sz="4" w:space="0"/>
            </w:tcBorders>
            <w:noWrap w:val="0"/>
            <w:vAlign w:val="center"/>
          </w:tcPr>
          <w:p w14:paraId="57553EF1">
            <w:pPr>
              <w:spacing w:line="400" w:lineRule="exact"/>
              <w:rPr>
                <w:rFonts w:ascii="宋体" w:hAnsi="宋体"/>
                <w:color w:val="auto"/>
                <w:kern w:val="0"/>
                <w:highlight w:val="none"/>
              </w:rPr>
            </w:pPr>
            <w:r>
              <w:rPr>
                <w:rFonts w:hint="eastAsia" w:ascii="宋体" w:hAnsi="宋体"/>
                <w:color w:val="auto"/>
                <w:kern w:val="0"/>
                <w:highlight w:val="none"/>
              </w:rPr>
              <w:t>2.2.2（2）</w:t>
            </w:r>
          </w:p>
        </w:tc>
        <w:tc>
          <w:tcPr>
            <w:tcW w:w="535" w:type="dxa"/>
            <w:vMerge w:val="restart"/>
            <w:tcBorders>
              <w:left w:val="single" w:color="auto" w:sz="4" w:space="0"/>
            </w:tcBorders>
            <w:noWrap w:val="0"/>
            <w:vAlign w:val="center"/>
          </w:tcPr>
          <w:p w14:paraId="70577B68">
            <w:pPr>
              <w:spacing w:line="400" w:lineRule="exact"/>
              <w:jc w:val="center"/>
              <w:rPr>
                <w:rFonts w:ascii="宋体" w:hAnsi="宋体"/>
                <w:color w:val="auto"/>
                <w:kern w:val="0"/>
                <w:highlight w:val="none"/>
              </w:rPr>
            </w:pPr>
            <w:r>
              <w:rPr>
                <w:rFonts w:hint="eastAsia" w:ascii="宋体" w:hAnsi="宋体"/>
                <w:color w:val="auto"/>
                <w:kern w:val="0"/>
                <w:highlight w:val="none"/>
              </w:rPr>
              <w:t>投标函部分及经济部分评审标准</w:t>
            </w:r>
          </w:p>
        </w:tc>
        <w:tc>
          <w:tcPr>
            <w:tcW w:w="2560" w:type="dxa"/>
            <w:gridSpan w:val="3"/>
            <w:noWrap w:val="0"/>
            <w:vAlign w:val="center"/>
          </w:tcPr>
          <w:p w14:paraId="294CAEDF">
            <w:pPr>
              <w:tabs>
                <w:tab w:val="left" w:pos="1875"/>
              </w:tabs>
              <w:spacing w:line="400" w:lineRule="exact"/>
              <w:rPr>
                <w:rFonts w:hint="eastAsia" w:ascii="宋体" w:hAnsi="宋体" w:cs="宋体"/>
                <w:color w:val="auto"/>
                <w:kern w:val="0"/>
                <w:highlight w:val="none"/>
              </w:rPr>
            </w:pPr>
            <w:r>
              <w:rPr>
                <w:rFonts w:hint="eastAsia" w:ascii="宋体" w:hAnsi="宋体" w:cs="宋体"/>
                <w:color w:val="auto"/>
                <w:kern w:val="0"/>
                <w:highlight w:val="none"/>
              </w:rPr>
              <w:t>投标函部分的格式</w:t>
            </w:r>
          </w:p>
        </w:tc>
        <w:tc>
          <w:tcPr>
            <w:tcW w:w="5493" w:type="dxa"/>
            <w:noWrap w:val="0"/>
            <w:vAlign w:val="center"/>
          </w:tcPr>
          <w:p w14:paraId="40B202BD">
            <w:pPr>
              <w:snapToGrid w:val="0"/>
              <w:spacing w:line="400" w:lineRule="exact"/>
              <w:ind w:firstLine="420" w:firstLineChars="200"/>
              <w:rPr>
                <w:rFonts w:ascii="宋体" w:hAnsi="宋体"/>
                <w:color w:val="auto"/>
                <w:highlight w:val="none"/>
                <w:u w:val="single"/>
              </w:rPr>
            </w:pPr>
            <w:r>
              <w:rPr>
                <w:rFonts w:hint="eastAsia" w:ascii="宋体" w:hAnsi="宋体" w:cs="宋体"/>
                <w:color w:val="auto"/>
                <w:kern w:val="0"/>
                <w:highlight w:val="none"/>
              </w:rPr>
              <w:t>符合第二章“投标人须知”第3.7款的要求。</w:t>
            </w:r>
          </w:p>
        </w:tc>
      </w:tr>
      <w:tr w14:paraId="5CD7E69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continue"/>
            <w:tcBorders>
              <w:right w:val="single" w:color="auto" w:sz="4" w:space="0"/>
            </w:tcBorders>
            <w:noWrap w:val="0"/>
            <w:vAlign w:val="center"/>
          </w:tcPr>
          <w:p w14:paraId="7DD7B449">
            <w:pPr>
              <w:spacing w:line="400" w:lineRule="exact"/>
              <w:rPr>
                <w:rFonts w:hint="eastAsia" w:ascii="宋体" w:hAnsi="宋体"/>
                <w:color w:val="auto"/>
                <w:kern w:val="0"/>
                <w:highlight w:val="none"/>
              </w:rPr>
            </w:pPr>
          </w:p>
        </w:tc>
        <w:tc>
          <w:tcPr>
            <w:tcW w:w="535" w:type="dxa"/>
            <w:vMerge w:val="continue"/>
            <w:tcBorders>
              <w:left w:val="single" w:color="auto" w:sz="4" w:space="0"/>
            </w:tcBorders>
            <w:noWrap w:val="0"/>
            <w:vAlign w:val="center"/>
          </w:tcPr>
          <w:p w14:paraId="37D94B58">
            <w:pPr>
              <w:spacing w:line="400" w:lineRule="exact"/>
              <w:ind w:firstLine="210" w:firstLineChars="100"/>
              <w:jc w:val="center"/>
              <w:rPr>
                <w:rFonts w:ascii="宋体" w:hAnsi="宋体"/>
                <w:color w:val="auto"/>
                <w:kern w:val="0"/>
                <w:highlight w:val="none"/>
              </w:rPr>
            </w:pPr>
          </w:p>
        </w:tc>
        <w:tc>
          <w:tcPr>
            <w:tcW w:w="2560" w:type="dxa"/>
            <w:gridSpan w:val="3"/>
            <w:noWrap w:val="0"/>
            <w:vAlign w:val="center"/>
          </w:tcPr>
          <w:p w14:paraId="388AFCD1">
            <w:pPr>
              <w:tabs>
                <w:tab w:val="left" w:pos="1875"/>
              </w:tabs>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投标函部分的签字盖章</w:t>
            </w:r>
          </w:p>
        </w:tc>
        <w:tc>
          <w:tcPr>
            <w:tcW w:w="5493" w:type="dxa"/>
            <w:noWrap w:val="0"/>
            <w:vAlign w:val="center"/>
          </w:tcPr>
          <w:p w14:paraId="64D21CE7">
            <w:pPr>
              <w:snapToGrid w:val="0"/>
              <w:spacing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投标函部分的格式要求法定代表人或其委托代理人签字（或盖章）的须齐全，要求加盖单位法人章的，应使用 CA 数字证书加盖投标人的单位电子印章。</w:t>
            </w:r>
          </w:p>
          <w:p w14:paraId="2A434858">
            <w:pPr>
              <w:snapToGrid w:val="0"/>
              <w:spacing w:line="400" w:lineRule="exact"/>
              <w:ind w:firstLine="420" w:firstLineChars="200"/>
              <w:rPr>
                <w:rFonts w:ascii="宋体" w:hAnsi="宋体"/>
                <w:color w:val="auto"/>
                <w:highlight w:val="none"/>
                <w:u w:val="single"/>
              </w:rPr>
            </w:pPr>
            <w:r>
              <w:rPr>
                <w:rFonts w:hint="eastAsia" w:ascii="宋体" w:hAnsi="宋体" w:cs="宋体"/>
                <w:color w:val="auto"/>
                <w:kern w:val="0"/>
                <w:highlight w:val="none"/>
              </w:rPr>
              <w:t>联合体投标的，除联合体协议书外，投标函部分的格式中要求投标人加盖单位法人章的，均由联合体牵头人使用 CA 数字证书加盖其单位电子印章。</w:t>
            </w:r>
          </w:p>
        </w:tc>
      </w:tr>
      <w:tr w14:paraId="5166DAA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continue"/>
            <w:tcBorders>
              <w:right w:val="single" w:color="auto" w:sz="4" w:space="0"/>
            </w:tcBorders>
            <w:noWrap w:val="0"/>
            <w:vAlign w:val="center"/>
          </w:tcPr>
          <w:p w14:paraId="31651CD3">
            <w:pPr>
              <w:spacing w:line="400" w:lineRule="exact"/>
              <w:rPr>
                <w:rFonts w:hint="eastAsia" w:ascii="宋体" w:hAnsi="宋体"/>
                <w:color w:val="auto"/>
                <w:kern w:val="0"/>
                <w:highlight w:val="none"/>
              </w:rPr>
            </w:pPr>
          </w:p>
        </w:tc>
        <w:tc>
          <w:tcPr>
            <w:tcW w:w="535" w:type="dxa"/>
            <w:vMerge w:val="continue"/>
            <w:tcBorders>
              <w:left w:val="single" w:color="auto" w:sz="4" w:space="0"/>
            </w:tcBorders>
            <w:noWrap w:val="0"/>
            <w:vAlign w:val="center"/>
          </w:tcPr>
          <w:p w14:paraId="32F2A71B">
            <w:pPr>
              <w:spacing w:line="400" w:lineRule="exact"/>
              <w:ind w:firstLine="210" w:firstLineChars="100"/>
              <w:jc w:val="center"/>
              <w:rPr>
                <w:rFonts w:ascii="宋体" w:hAnsi="宋体"/>
                <w:color w:val="auto"/>
                <w:kern w:val="0"/>
                <w:highlight w:val="none"/>
              </w:rPr>
            </w:pPr>
          </w:p>
        </w:tc>
        <w:tc>
          <w:tcPr>
            <w:tcW w:w="2560" w:type="dxa"/>
            <w:gridSpan w:val="3"/>
            <w:noWrap w:val="0"/>
            <w:vAlign w:val="center"/>
          </w:tcPr>
          <w:p w14:paraId="6DC92E35">
            <w:pPr>
              <w:tabs>
                <w:tab w:val="left" w:pos="1875"/>
              </w:tabs>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工期</w:t>
            </w:r>
          </w:p>
        </w:tc>
        <w:tc>
          <w:tcPr>
            <w:tcW w:w="5493" w:type="dxa"/>
            <w:noWrap w:val="0"/>
            <w:vAlign w:val="center"/>
          </w:tcPr>
          <w:p w14:paraId="2F558659">
            <w:pPr>
              <w:snapToGrid w:val="0"/>
              <w:spacing w:line="400" w:lineRule="exact"/>
              <w:ind w:firstLine="420" w:firstLineChars="200"/>
              <w:rPr>
                <w:rFonts w:ascii="宋体" w:hAnsi="宋体"/>
                <w:color w:val="auto"/>
                <w:highlight w:val="none"/>
                <w:u w:val="single"/>
              </w:rPr>
            </w:pPr>
            <w:r>
              <w:rPr>
                <w:rFonts w:hint="eastAsia" w:ascii="宋体" w:hAnsi="宋体" w:cs="宋体"/>
                <w:color w:val="auto"/>
                <w:kern w:val="0"/>
                <w:highlight w:val="none"/>
              </w:rPr>
              <w:t>符合第二章“投标人须知”第1.3.2项规定</w:t>
            </w:r>
          </w:p>
        </w:tc>
      </w:tr>
      <w:tr w14:paraId="27D060B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continue"/>
            <w:tcBorders>
              <w:right w:val="single" w:color="auto" w:sz="4" w:space="0"/>
            </w:tcBorders>
            <w:noWrap w:val="0"/>
            <w:vAlign w:val="center"/>
          </w:tcPr>
          <w:p w14:paraId="5B19CDCD">
            <w:pPr>
              <w:spacing w:line="400" w:lineRule="exact"/>
              <w:rPr>
                <w:rFonts w:hint="eastAsia" w:ascii="宋体" w:hAnsi="宋体"/>
                <w:color w:val="auto"/>
                <w:kern w:val="0"/>
                <w:highlight w:val="none"/>
              </w:rPr>
            </w:pPr>
          </w:p>
        </w:tc>
        <w:tc>
          <w:tcPr>
            <w:tcW w:w="535" w:type="dxa"/>
            <w:vMerge w:val="continue"/>
            <w:tcBorders>
              <w:left w:val="single" w:color="auto" w:sz="4" w:space="0"/>
            </w:tcBorders>
            <w:noWrap w:val="0"/>
            <w:vAlign w:val="center"/>
          </w:tcPr>
          <w:p w14:paraId="3CBD19C8">
            <w:pPr>
              <w:spacing w:line="400" w:lineRule="exact"/>
              <w:ind w:firstLine="210" w:firstLineChars="100"/>
              <w:jc w:val="center"/>
              <w:rPr>
                <w:rFonts w:ascii="宋体" w:hAnsi="宋体"/>
                <w:color w:val="auto"/>
                <w:kern w:val="0"/>
                <w:highlight w:val="none"/>
              </w:rPr>
            </w:pPr>
          </w:p>
        </w:tc>
        <w:tc>
          <w:tcPr>
            <w:tcW w:w="2560" w:type="dxa"/>
            <w:gridSpan w:val="3"/>
            <w:noWrap w:val="0"/>
            <w:vAlign w:val="center"/>
          </w:tcPr>
          <w:p w14:paraId="683D8D6A">
            <w:pPr>
              <w:tabs>
                <w:tab w:val="left" w:pos="1875"/>
              </w:tabs>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工程质量</w:t>
            </w:r>
          </w:p>
        </w:tc>
        <w:tc>
          <w:tcPr>
            <w:tcW w:w="5493" w:type="dxa"/>
            <w:noWrap w:val="0"/>
            <w:vAlign w:val="center"/>
          </w:tcPr>
          <w:p w14:paraId="57B64310">
            <w:pPr>
              <w:snapToGrid w:val="0"/>
              <w:spacing w:line="400" w:lineRule="exact"/>
              <w:ind w:firstLine="420" w:firstLineChars="200"/>
              <w:rPr>
                <w:rFonts w:ascii="宋体" w:hAnsi="宋体"/>
                <w:color w:val="auto"/>
                <w:highlight w:val="none"/>
                <w:u w:val="single"/>
              </w:rPr>
            </w:pPr>
            <w:r>
              <w:rPr>
                <w:rFonts w:hint="eastAsia" w:ascii="宋体" w:hAnsi="宋体" w:cs="宋体"/>
                <w:color w:val="auto"/>
                <w:kern w:val="0"/>
                <w:highlight w:val="none"/>
              </w:rPr>
              <w:t>符合第二章“投标人须知”第1.3.3项规定</w:t>
            </w:r>
          </w:p>
        </w:tc>
      </w:tr>
      <w:tr w14:paraId="3898D36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continue"/>
            <w:tcBorders>
              <w:right w:val="single" w:color="auto" w:sz="4" w:space="0"/>
            </w:tcBorders>
            <w:noWrap w:val="0"/>
            <w:vAlign w:val="center"/>
          </w:tcPr>
          <w:p w14:paraId="7B6A65A3">
            <w:pPr>
              <w:spacing w:line="400" w:lineRule="exact"/>
              <w:rPr>
                <w:rFonts w:hint="eastAsia" w:ascii="宋体" w:hAnsi="宋体"/>
                <w:color w:val="auto"/>
                <w:kern w:val="0"/>
                <w:highlight w:val="none"/>
              </w:rPr>
            </w:pPr>
          </w:p>
        </w:tc>
        <w:tc>
          <w:tcPr>
            <w:tcW w:w="535" w:type="dxa"/>
            <w:vMerge w:val="continue"/>
            <w:tcBorders>
              <w:left w:val="single" w:color="auto" w:sz="4" w:space="0"/>
            </w:tcBorders>
            <w:noWrap w:val="0"/>
            <w:vAlign w:val="center"/>
          </w:tcPr>
          <w:p w14:paraId="0319932E">
            <w:pPr>
              <w:spacing w:line="400" w:lineRule="exact"/>
              <w:ind w:firstLine="210" w:firstLineChars="100"/>
              <w:jc w:val="center"/>
              <w:rPr>
                <w:rFonts w:ascii="宋体" w:hAnsi="宋体"/>
                <w:color w:val="auto"/>
                <w:kern w:val="0"/>
                <w:highlight w:val="none"/>
              </w:rPr>
            </w:pPr>
          </w:p>
        </w:tc>
        <w:tc>
          <w:tcPr>
            <w:tcW w:w="2560" w:type="dxa"/>
            <w:gridSpan w:val="3"/>
            <w:noWrap w:val="0"/>
            <w:vAlign w:val="center"/>
          </w:tcPr>
          <w:p w14:paraId="338E5AB4">
            <w:pPr>
              <w:tabs>
                <w:tab w:val="left" w:pos="1875"/>
              </w:tabs>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投标有效期</w:t>
            </w:r>
          </w:p>
        </w:tc>
        <w:tc>
          <w:tcPr>
            <w:tcW w:w="5493" w:type="dxa"/>
            <w:noWrap w:val="0"/>
            <w:vAlign w:val="center"/>
          </w:tcPr>
          <w:p w14:paraId="73BEAB56">
            <w:pPr>
              <w:snapToGrid w:val="0"/>
              <w:spacing w:line="400" w:lineRule="exact"/>
              <w:ind w:firstLine="420" w:firstLineChars="200"/>
              <w:rPr>
                <w:rFonts w:ascii="宋体" w:hAnsi="宋体"/>
                <w:color w:val="auto"/>
                <w:highlight w:val="none"/>
                <w:u w:val="single"/>
              </w:rPr>
            </w:pPr>
            <w:r>
              <w:rPr>
                <w:rFonts w:hint="eastAsia" w:ascii="宋体" w:hAnsi="宋体" w:cs="宋体"/>
                <w:color w:val="auto"/>
                <w:kern w:val="0"/>
                <w:highlight w:val="none"/>
              </w:rPr>
              <w:t>符合第二章“投标人须知”第3.3.1项规定</w:t>
            </w:r>
          </w:p>
        </w:tc>
      </w:tr>
      <w:tr w14:paraId="00CFA23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continue"/>
            <w:tcBorders>
              <w:right w:val="single" w:color="auto" w:sz="4" w:space="0"/>
            </w:tcBorders>
            <w:noWrap w:val="0"/>
            <w:vAlign w:val="center"/>
          </w:tcPr>
          <w:p w14:paraId="116A334E">
            <w:pPr>
              <w:spacing w:line="400" w:lineRule="exact"/>
              <w:rPr>
                <w:rFonts w:hint="eastAsia" w:ascii="宋体" w:hAnsi="宋体"/>
                <w:color w:val="auto"/>
                <w:kern w:val="0"/>
                <w:highlight w:val="none"/>
              </w:rPr>
            </w:pPr>
          </w:p>
        </w:tc>
        <w:tc>
          <w:tcPr>
            <w:tcW w:w="535" w:type="dxa"/>
            <w:vMerge w:val="continue"/>
            <w:tcBorders>
              <w:left w:val="single" w:color="auto" w:sz="4" w:space="0"/>
            </w:tcBorders>
            <w:noWrap w:val="0"/>
            <w:vAlign w:val="center"/>
          </w:tcPr>
          <w:p w14:paraId="37E4F246">
            <w:pPr>
              <w:spacing w:line="400" w:lineRule="exact"/>
              <w:ind w:firstLine="210" w:firstLineChars="100"/>
              <w:jc w:val="center"/>
              <w:rPr>
                <w:rFonts w:ascii="宋体" w:hAnsi="宋体"/>
                <w:color w:val="auto"/>
                <w:kern w:val="0"/>
                <w:highlight w:val="none"/>
              </w:rPr>
            </w:pPr>
          </w:p>
        </w:tc>
        <w:tc>
          <w:tcPr>
            <w:tcW w:w="2560" w:type="dxa"/>
            <w:gridSpan w:val="3"/>
            <w:noWrap w:val="0"/>
            <w:vAlign w:val="center"/>
          </w:tcPr>
          <w:p w14:paraId="74718322">
            <w:pPr>
              <w:tabs>
                <w:tab w:val="left" w:pos="1875"/>
              </w:tabs>
              <w:spacing w:line="400" w:lineRule="exact"/>
              <w:jc w:val="left"/>
              <w:rPr>
                <w:rFonts w:hint="eastAsia" w:ascii="宋体" w:hAnsi="宋体" w:cs="宋体"/>
                <w:color w:val="auto"/>
                <w:kern w:val="0"/>
                <w:highlight w:val="none"/>
              </w:rPr>
            </w:pPr>
            <w:r>
              <w:rPr>
                <w:rFonts w:ascii="宋体" w:hAnsi="宋体"/>
                <w:color w:val="auto"/>
                <w:kern w:val="0"/>
                <w:highlight w:val="none"/>
              </w:rPr>
              <w:t>投标总报价</w:t>
            </w:r>
          </w:p>
        </w:tc>
        <w:tc>
          <w:tcPr>
            <w:tcW w:w="5493" w:type="dxa"/>
            <w:noWrap w:val="0"/>
            <w:vAlign w:val="center"/>
          </w:tcPr>
          <w:p w14:paraId="6B470234">
            <w:pPr>
              <w:spacing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1.投标函中的投标总报价必须与已标价工程量清单总报价一致,且工程量清单总报价与依据单价、工程数量、分部分项工程合价计算出的结果应一致。</w:t>
            </w:r>
          </w:p>
          <w:p w14:paraId="7D85ED3D">
            <w:pPr>
              <w:spacing w:line="400" w:lineRule="exact"/>
              <w:ind w:firstLine="420" w:firstLineChars="200"/>
              <w:rPr>
                <w:rFonts w:ascii="宋体" w:hAnsi="宋体"/>
                <w:color w:val="auto"/>
                <w:kern w:val="0"/>
                <w:highlight w:val="none"/>
              </w:rPr>
            </w:pPr>
            <w:r>
              <w:rPr>
                <w:rFonts w:hint="eastAsia" w:ascii="宋体" w:hAnsi="宋体"/>
                <w:color w:val="auto"/>
                <w:kern w:val="0"/>
                <w:highlight w:val="none"/>
              </w:rPr>
              <w:t>2</w:t>
            </w:r>
            <w:r>
              <w:rPr>
                <w:rFonts w:ascii="宋体" w:hAnsi="宋体"/>
                <w:color w:val="auto"/>
                <w:kern w:val="0"/>
                <w:highlight w:val="none"/>
              </w:rPr>
              <w:t>.投标总报价不得高于招标人公布的投标总报价最高限价</w:t>
            </w:r>
            <w:r>
              <w:rPr>
                <w:rFonts w:hint="eastAsia" w:ascii="宋体" w:hAnsi="宋体"/>
                <w:color w:val="auto"/>
                <w:kern w:val="0"/>
                <w:highlight w:val="none"/>
              </w:rPr>
              <w:t>。</w:t>
            </w:r>
          </w:p>
        </w:tc>
      </w:tr>
      <w:tr w14:paraId="218CFFD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continue"/>
            <w:tcBorders>
              <w:right w:val="single" w:color="auto" w:sz="4" w:space="0"/>
            </w:tcBorders>
            <w:noWrap w:val="0"/>
            <w:vAlign w:val="center"/>
          </w:tcPr>
          <w:p w14:paraId="1FB0420E">
            <w:pPr>
              <w:spacing w:line="400" w:lineRule="exact"/>
              <w:rPr>
                <w:rFonts w:hint="eastAsia" w:ascii="宋体" w:hAnsi="宋体"/>
                <w:color w:val="auto"/>
                <w:kern w:val="0"/>
                <w:highlight w:val="none"/>
              </w:rPr>
            </w:pPr>
          </w:p>
        </w:tc>
        <w:tc>
          <w:tcPr>
            <w:tcW w:w="535" w:type="dxa"/>
            <w:vMerge w:val="continue"/>
            <w:tcBorders>
              <w:left w:val="single" w:color="auto" w:sz="4" w:space="0"/>
            </w:tcBorders>
            <w:noWrap w:val="0"/>
            <w:vAlign w:val="center"/>
          </w:tcPr>
          <w:p w14:paraId="483814AE">
            <w:pPr>
              <w:spacing w:line="400" w:lineRule="exact"/>
              <w:ind w:firstLine="210" w:firstLineChars="100"/>
              <w:jc w:val="center"/>
              <w:rPr>
                <w:rFonts w:ascii="宋体" w:hAnsi="宋体"/>
                <w:color w:val="auto"/>
                <w:kern w:val="0"/>
                <w:highlight w:val="none"/>
              </w:rPr>
            </w:pPr>
          </w:p>
        </w:tc>
        <w:tc>
          <w:tcPr>
            <w:tcW w:w="2560" w:type="dxa"/>
            <w:gridSpan w:val="3"/>
            <w:noWrap w:val="0"/>
            <w:vAlign w:val="center"/>
          </w:tcPr>
          <w:p w14:paraId="3303D13E">
            <w:pPr>
              <w:tabs>
                <w:tab w:val="left" w:pos="1875"/>
              </w:tabs>
              <w:spacing w:line="400" w:lineRule="exact"/>
              <w:jc w:val="left"/>
              <w:rPr>
                <w:rFonts w:hint="eastAsia" w:ascii="宋体" w:hAnsi="宋体" w:cs="宋体"/>
                <w:color w:val="auto"/>
                <w:kern w:val="0"/>
                <w:highlight w:val="none"/>
              </w:rPr>
            </w:pPr>
            <w:r>
              <w:rPr>
                <w:rFonts w:ascii="宋体" w:hAnsi="宋体"/>
                <w:color w:val="auto"/>
                <w:kern w:val="0"/>
                <w:highlight w:val="none"/>
              </w:rPr>
              <w:t>报价唯一</w:t>
            </w:r>
          </w:p>
        </w:tc>
        <w:tc>
          <w:tcPr>
            <w:tcW w:w="5493" w:type="dxa"/>
            <w:noWrap w:val="0"/>
            <w:vAlign w:val="center"/>
          </w:tcPr>
          <w:p w14:paraId="4B2613E5">
            <w:pPr>
              <w:snapToGrid w:val="0"/>
              <w:spacing w:line="400" w:lineRule="exact"/>
              <w:ind w:firstLine="420" w:firstLineChars="200"/>
              <w:rPr>
                <w:rFonts w:ascii="宋体" w:hAnsi="宋体"/>
                <w:color w:val="auto"/>
                <w:highlight w:val="none"/>
                <w:u w:val="single"/>
              </w:rPr>
            </w:pPr>
            <w:r>
              <w:rPr>
                <w:rFonts w:ascii="宋体" w:hAnsi="宋体"/>
                <w:color w:val="auto"/>
                <w:kern w:val="0"/>
                <w:highlight w:val="none"/>
              </w:rPr>
              <w:t>只能有一个有效报价，在招标文件没有规定的情况下，不得提交选择性报价。</w:t>
            </w:r>
          </w:p>
        </w:tc>
      </w:tr>
      <w:tr w14:paraId="4918F6F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continue"/>
            <w:tcBorders>
              <w:right w:val="single" w:color="auto" w:sz="4" w:space="0"/>
            </w:tcBorders>
            <w:noWrap w:val="0"/>
            <w:vAlign w:val="center"/>
          </w:tcPr>
          <w:p w14:paraId="48BDE6FB">
            <w:pPr>
              <w:spacing w:line="400" w:lineRule="exact"/>
              <w:rPr>
                <w:rFonts w:hint="eastAsia" w:ascii="宋体" w:hAnsi="宋体"/>
                <w:color w:val="auto"/>
                <w:kern w:val="0"/>
                <w:highlight w:val="none"/>
              </w:rPr>
            </w:pPr>
          </w:p>
        </w:tc>
        <w:tc>
          <w:tcPr>
            <w:tcW w:w="535" w:type="dxa"/>
            <w:vMerge w:val="continue"/>
            <w:tcBorders>
              <w:left w:val="single" w:color="auto" w:sz="4" w:space="0"/>
            </w:tcBorders>
            <w:noWrap w:val="0"/>
            <w:vAlign w:val="center"/>
          </w:tcPr>
          <w:p w14:paraId="1B79EE57">
            <w:pPr>
              <w:spacing w:line="400" w:lineRule="exact"/>
              <w:ind w:firstLine="210" w:firstLineChars="100"/>
              <w:jc w:val="center"/>
              <w:rPr>
                <w:rFonts w:ascii="宋体" w:hAnsi="宋体"/>
                <w:color w:val="auto"/>
                <w:kern w:val="0"/>
                <w:highlight w:val="none"/>
              </w:rPr>
            </w:pPr>
          </w:p>
        </w:tc>
        <w:tc>
          <w:tcPr>
            <w:tcW w:w="2560" w:type="dxa"/>
            <w:gridSpan w:val="3"/>
            <w:noWrap w:val="0"/>
            <w:vAlign w:val="center"/>
          </w:tcPr>
          <w:p w14:paraId="3882A7D0">
            <w:pPr>
              <w:tabs>
                <w:tab w:val="left" w:pos="1875"/>
              </w:tabs>
              <w:spacing w:line="400" w:lineRule="exact"/>
              <w:jc w:val="left"/>
              <w:rPr>
                <w:rFonts w:hint="eastAsia" w:ascii="宋体" w:hAnsi="宋体" w:cs="宋体"/>
                <w:color w:val="auto"/>
                <w:kern w:val="0"/>
                <w:highlight w:val="none"/>
              </w:rPr>
            </w:pPr>
            <w:r>
              <w:rPr>
                <w:rFonts w:ascii="宋体" w:hAnsi="宋体"/>
                <w:color w:val="auto"/>
                <w:kern w:val="0"/>
                <w:highlight w:val="none"/>
              </w:rPr>
              <w:t>已标价工程量清单</w:t>
            </w:r>
          </w:p>
        </w:tc>
        <w:tc>
          <w:tcPr>
            <w:tcW w:w="5493" w:type="dxa"/>
            <w:noWrap w:val="0"/>
            <w:vAlign w:val="center"/>
          </w:tcPr>
          <w:p w14:paraId="4D6E96C8">
            <w:pPr>
              <w:spacing w:after="62" w:afterLines="20" w:line="400" w:lineRule="exact"/>
              <w:ind w:firstLine="420" w:firstLineChars="200"/>
              <w:rPr>
                <w:rFonts w:ascii="宋体" w:hAnsi="宋体"/>
                <w:color w:val="auto"/>
                <w:kern w:val="0"/>
                <w:highlight w:val="none"/>
              </w:rPr>
            </w:pPr>
            <w:r>
              <w:rPr>
                <w:rFonts w:hint="eastAsia" w:ascii="宋体" w:hAnsi="宋体"/>
                <w:color w:val="auto"/>
                <w:kern w:val="0"/>
                <w:highlight w:val="none"/>
              </w:rPr>
              <w:t>1</w:t>
            </w:r>
            <w:r>
              <w:rPr>
                <w:rFonts w:ascii="宋体" w:hAnsi="宋体"/>
                <w:color w:val="auto"/>
                <w:kern w:val="0"/>
                <w:highlight w:val="none"/>
              </w:rPr>
              <w:t>.符合第五章“工程量清单”给出的范围及数量。</w:t>
            </w:r>
          </w:p>
          <w:p w14:paraId="3B45CF92">
            <w:pPr>
              <w:spacing w:after="62" w:afterLines="20" w:line="400" w:lineRule="exact"/>
              <w:ind w:firstLine="420" w:firstLineChars="200"/>
              <w:rPr>
                <w:rFonts w:hint="eastAsia" w:ascii="宋体" w:hAnsi="宋体"/>
                <w:color w:val="auto"/>
                <w:kern w:val="0"/>
                <w:highlight w:val="none"/>
              </w:rPr>
            </w:pPr>
            <w:r>
              <w:rPr>
                <w:rFonts w:ascii="宋体" w:hAnsi="宋体"/>
                <w:color w:val="auto"/>
                <w:kern w:val="0"/>
                <w:highlight w:val="none"/>
              </w:rPr>
              <w:t>2.</w:t>
            </w:r>
            <w:r>
              <w:rPr>
                <w:rFonts w:hint="eastAsia" w:ascii="宋体" w:hAnsi="宋体"/>
                <w:color w:val="auto"/>
                <w:kern w:val="0"/>
                <w:highlight w:val="none"/>
              </w:rPr>
              <w:t>招标文件中规定工程量清单不允许修改的内容不得修改。</w:t>
            </w:r>
          </w:p>
          <w:p w14:paraId="48C4C40B">
            <w:pPr>
              <w:snapToGrid w:val="0"/>
              <w:spacing w:line="400" w:lineRule="exact"/>
              <w:ind w:firstLine="420" w:firstLineChars="200"/>
              <w:rPr>
                <w:rFonts w:ascii="宋体" w:hAnsi="宋体"/>
                <w:color w:val="auto"/>
                <w:highlight w:val="none"/>
                <w:u w:val="single"/>
              </w:rPr>
            </w:pPr>
            <w:r>
              <w:rPr>
                <w:rFonts w:hint="eastAsia" w:ascii="宋体" w:hAnsi="宋体"/>
                <w:color w:val="auto"/>
                <w:kern w:val="0"/>
                <w:highlight w:val="none"/>
              </w:rPr>
              <w:t>3.每项清单综合单价报价不得高于每项清单综合单价最高限价。</w:t>
            </w:r>
          </w:p>
        </w:tc>
      </w:tr>
      <w:tr w14:paraId="4586C23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continue"/>
            <w:tcBorders>
              <w:right w:val="single" w:color="auto" w:sz="4" w:space="0"/>
            </w:tcBorders>
            <w:noWrap w:val="0"/>
            <w:vAlign w:val="center"/>
          </w:tcPr>
          <w:p w14:paraId="0498B874">
            <w:pPr>
              <w:spacing w:line="400" w:lineRule="exact"/>
              <w:rPr>
                <w:rFonts w:hint="eastAsia" w:ascii="宋体" w:hAnsi="宋体"/>
                <w:color w:val="auto"/>
                <w:kern w:val="0"/>
                <w:highlight w:val="none"/>
              </w:rPr>
            </w:pPr>
          </w:p>
        </w:tc>
        <w:tc>
          <w:tcPr>
            <w:tcW w:w="535" w:type="dxa"/>
            <w:vMerge w:val="continue"/>
            <w:tcBorders>
              <w:left w:val="single" w:color="auto" w:sz="4" w:space="0"/>
            </w:tcBorders>
            <w:noWrap w:val="0"/>
            <w:vAlign w:val="center"/>
          </w:tcPr>
          <w:p w14:paraId="78D1E5F0">
            <w:pPr>
              <w:spacing w:line="400" w:lineRule="exact"/>
              <w:ind w:firstLine="210" w:firstLineChars="100"/>
              <w:jc w:val="center"/>
              <w:rPr>
                <w:rFonts w:ascii="宋体" w:hAnsi="宋体"/>
                <w:color w:val="auto"/>
                <w:kern w:val="0"/>
                <w:highlight w:val="none"/>
              </w:rPr>
            </w:pPr>
          </w:p>
        </w:tc>
        <w:tc>
          <w:tcPr>
            <w:tcW w:w="2560" w:type="dxa"/>
            <w:gridSpan w:val="3"/>
            <w:noWrap w:val="0"/>
            <w:vAlign w:val="center"/>
          </w:tcPr>
          <w:p w14:paraId="7B1BD3F3">
            <w:pPr>
              <w:tabs>
                <w:tab w:val="left" w:pos="1875"/>
              </w:tabs>
              <w:spacing w:line="400" w:lineRule="exact"/>
              <w:jc w:val="left"/>
              <w:rPr>
                <w:rFonts w:hint="eastAsia" w:ascii="宋体" w:hAnsi="宋体" w:cs="宋体"/>
                <w:color w:val="auto"/>
                <w:kern w:val="0"/>
                <w:highlight w:val="none"/>
              </w:rPr>
            </w:pPr>
            <w:r>
              <w:rPr>
                <w:rFonts w:hint="eastAsia" w:ascii="宋体" w:hAnsi="宋体"/>
                <w:color w:val="auto"/>
                <w:kern w:val="0"/>
                <w:highlight w:val="none"/>
              </w:rPr>
              <w:t>暂定金额</w:t>
            </w:r>
          </w:p>
        </w:tc>
        <w:tc>
          <w:tcPr>
            <w:tcW w:w="5493" w:type="dxa"/>
            <w:noWrap w:val="0"/>
            <w:vAlign w:val="center"/>
          </w:tcPr>
          <w:p w14:paraId="78AA17A8">
            <w:pPr>
              <w:snapToGrid w:val="0"/>
              <w:spacing w:line="400" w:lineRule="exact"/>
              <w:ind w:firstLine="420" w:firstLineChars="200"/>
              <w:rPr>
                <w:rFonts w:ascii="宋体" w:hAnsi="宋体"/>
                <w:color w:val="auto"/>
                <w:highlight w:val="none"/>
                <w:u w:val="single"/>
              </w:rPr>
            </w:pPr>
            <w:r>
              <w:rPr>
                <w:rFonts w:hint="eastAsia" w:ascii="宋体" w:hAnsi="宋体"/>
                <w:color w:val="auto"/>
                <w:kern w:val="0"/>
                <w:highlight w:val="none"/>
              </w:rPr>
              <w:t>暂列金额、暂估价、安全文明施工费等暂定金额必须按照招标文件给定的金额填报</w:t>
            </w:r>
          </w:p>
        </w:tc>
      </w:tr>
      <w:tr w14:paraId="06A455B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continue"/>
            <w:tcBorders>
              <w:right w:val="single" w:color="auto" w:sz="4" w:space="0"/>
            </w:tcBorders>
            <w:noWrap w:val="0"/>
            <w:vAlign w:val="center"/>
          </w:tcPr>
          <w:p w14:paraId="362F1A0F">
            <w:pPr>
              <w:spacing w:line="400" w:lineRule="exact"/>
              <w:rPr>
                <w:rFonts w:hint="eastAsia" w:ascii="宋体" w:hAnsi="宋体"/>
                <w:color w:val="auto"/>
                <w:kern w:val="0"/>
                <w:highlight w:val="none"/>
              </w:rPr>
            </w:pPr>
          </w:p>
        </w:tc>
        <w:tc>
          <w:tcPr>
            <w:tcW w:w="535" w:type="dxa"/>
            <w:vMerge w:val="continue"/>
            <w:tcBorders>
              <w:left w:val="single" w:color="auto" w:sz="4" w:space="0"/>
            </w:tcBorders>
            <w:noWrap w:val="0"/>
            <w:vAlign w:val="center"/>
          </w:tcPr>
          <w:p w14:paraId="56409A5D">
            <w:pPr>
              <w:spacing w:line="400" w:lineRule="exact"/>
              <w:ind w:firstLine="210" w:firstLineChars="100"/>
              <w:jc w:val="center"/>
              <w:rPr>
                <w:rFonts w:ascii="宋体" w:hAnsi="宋体"/>
                <w:color w:val="auto"/>
                <w:kern w:val="0"/>
                <w:highlight w:val="none"/>
              </w:rPr>
            </w:pPr>
          </w:p>
        </w:tc>
        <w:tc>
          <w:tcPr>
            <w:tcW w:w="2560" w:type="dxa"/>
            <w:gridSpan w:val="3"/>
            <w:noWrap w:val="0"/>
            <w:vAlign w:val="center"/>
          </w:tcPr>
          <w:p w14:paraId="3C10064E">
            <w:pPr>
              <w:tabs>
                <w:tab w:val="left" w:pos="1875"/>
              </w:tabs>
              <w:spacing w:line="400" w:lineRule="exact"/>
              <w:jc w:val="left"/>
              <w:rPr>
                <w:rFonts w:hint="eastAsia" w:ascii="宋体" w:hAnsi="宋体" w:cs="宋体"/>
                <w:color w:val="auto"/>
                <w:kern w:val="0"/>
                <w:highlight w:val="none"/>
              </w:rPr>
            </w:pPr>
            <w:r>
              <w:rPr>
                <w:rFonts w:ascii="宋体" w:hAnsi="宋体"/>
                <w:color w:val="auto"/>
                <w:kern w:val="0"/>
                <w:highlight w:val="none"/>
              </w:rPr>
              <w:t>投标报价算术错误修正</w:t>
            </w:r>
          </w:p>
        </w:tc>
        <w:tc>
          <w:tcPr>
            <w:tcW w:w="5493" w:type="dxa"/>
            <w:noWrap w:val="0"/>
            <w:vAlign w:val="center"/>
          </w:tcPr>
          <w:p w14:paraId="5C51B0BC">
            <w:pPr>
              <w:snapToGrid w:val="0"/>
              <w:spacing w:line="400" w:lineRule="exact"/>
              <w:ind w:firstLine="420" w:firstLineChars="200"/>
              <w:rPr>
                <w:rFonts w:ascii="宋体" w:hAnsi="宋体"/>
                <w:color w:val="auto"/>
                <w:highlight w:val="none"/>
                <w:u w:val="single"/>
              </w:rPr>
            </w:pPr>
            <w:r>
              <w:rPr>
                <w:rFonts w:ascii="宋体" w:hAnsi="宋体"/>
                <w:color w:val="auto"/>
                <w:kern w:val="0"/>
                <w:highlight w:val="none"/>
              </w:rPr>
              <w:t>符合第三章3.评标程序第3.1.3项规定。</w:t>
            </w:r>
          </w:p>
        </w:tc>
      </w:tr>
      <w:tr w14:paraId="5B9DCAF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422" w:type="dxa"/>
            <w:gridSpan w:val="3"/>
            <w:noWrap w:val="0"/>
            <w:vAlign w:val="center"/>
          </w:tcPr>
          <w:p w14:paraId="51E46EFC">
            <w:pPr>
              <w:spacing w:line="400" w:lineRule="exact"/>
              <w:jc w:val="center"/>
              <w:rPr>
                <w:rFonts w:ascii="宋体" w:hAnsi="宋体"/>
                <w:color w:val="auto"/>
                <w:kern w:val="0"/>
                <w:highlight w:val="none"/>
              </w:rPr>
            </w:pPr>
            <w:r>
              <w:rPr>
                <w:rFonts w:ascii="宋体" w:hAnsi="宋体"/>
                <w:color w:val="auto"/>
                <w:kern w:val="0"/>
                <w:highlight w:val="none"/>
              </w:rPr>
              <w:t>2.2.</w:t>
            </w:r>
            <w:r>
              <w:rPr>
                <w:rFonts w:hint="eastAsia" w:ascii="宋体" w:hAnsi="宋体"/>
                <w:color w:val="auto"/>
                <w:kern w:val="0"/>
                <w:highlight w:val="none"/>
              </w:rPr>
              <w:t>3</w:t>
            </w:r>
          </w:p>
        </w:tc>
        <w:tc>
          <w:tcPr>
            <w:tcW w:w="1546" w:type="dxa"/>
            <w:gridSpan w:val="2"/>
            <w:noWrap w:val="0"/>
            <w:vAlign w:val="center"/>
          </w:tcPr>
          <w:p w14:paraId="54684A6B">
            <w:pPr>
              <w:snapToGrid w:val="0"/>
              <w:spacing w:line="400" w:lineRule="exact"/>
              <w:jc w:val="left"/>
              <w:rPr>
                <w:rFonts w:ascii="宋体" w:hAnsi="宋体"/>
                <w:b/>
                <w:color w:val="auto"/>
                <w:kern w:val="0"/>
                <w:highlight w:val="none"/>
              </w:rPr>
            </w:pPr>
            <w:r>
              <w:rPr>
                <w:rFonts w:hint="eastAsia" w:ascii="宋体" w:hAnsi="宋体"/>
                <w:b/>
                <w:color w:val="auto"/>
                <w:kern w:val="0"/>
                <w:highlight w:val="none"/>
              </w:rPr>
              <w:t>□选项一：</w:t>
            </w:r>
          </w:p>
          <w:p w14:paraId="50CA2E78">
            <w:pPr>
              <w:spacing w:line="400" w:lineRule="exact"/>
              <w:jc w:val="center"/>
              <w:rPr>
                <w:rFonts w:ascii="宋体" w:hAnsi="宋体"/>
                <w:color w:val="auto"/>
                <w:kern w:val="0"/>
                <w:highlight w:val="none"/>
              </w:rPr>
            </w:pPr>
            <w:r>
              <w:rPr>
                <w:rFonts w:ascii="宋体" w:hAnsi="宋体"/>
                <w:color w:val="auto"/>
                <w:kern w:val="0"/>
                <w:highlight w:val="none"/>
              </w:rPr>
              <w:t>评标基准价计算方法</w:t>
            </w:r>
          </w:p>
        </w:tc>
        <w:tc>
          <w:tcPr>
            <w:tcW w:w="1014" w:type="dxa"/>
            <w:noWrap w:val="0"/>
            <w:vAlign w:val="center"/>
          </w:tcPr>
          <w:p w14:paraId="00B1415C">
            <w:pPr>
              <w:spacing w:line="400" w:lineRule="exact"/>
              <w:jc w:val="center"/>
              <w:rPr>
                <w:rFonts w:ascii="宋体" w:hAnsi="宋体"/>
                <w:color w:val="auto"/>
                <w:kern w:val="0"/>
                <w:highlight w:val="none"/>
              </w:rPr>
            </w:pPr>
            <w:r>
              <w:rPr>
                <w:rFonts w:ascii="宋体" w:hAnsi="宋体"/>
                <w:color w:val="auto"/>
                <w:kern w:val="0"/>
                <w:highlight w:val="none"/>
              </w:rPr>
              <w:t>投标总报价</w:t>
            </w:r>
          </w:p>
        </w:tc>
        <w:tc>
          <w:tcPr>
            <w:tcW w:w="5493" w:type="dxa"/>
            <w:noWrap w:val="0"/>
            <w:vAlign w:val="top"/>
          </w:tcPr>
          <w:p w14:paraId="105910E4">
            <w:pPr>
              <w:snapToGrid w:val="0"/>
              <w:spacing w:line="400" w:lineRule="exact"/>
              <w:ind w:firstLine="420" w:firstLineChars="200"/>
              <w:jc w:val="left"/>
              <w:rPr>
                <w:rFonts w:ascii="宋体" w:hAnsi="宋体"/>
                <w:color w:val="auto"/>
                <w:kern w:val="0"/>
                <w:szCs w:val="21"/>
                <w:highlight w:val="none"/>
              </w:rPr>
            </w:pPr>
            <w:r>
              <w:rPr>
                <w:rFonts w:ascii="宋体" w:hAnsi="宋体"/>
                <w:color w:val="auto"/>
                <w:kern w:val="0"/>
                <w:highlight w:val="none"/>
              </w:rPr>
              <w:t>1.</w:t>
            </w:r>
            <w:r>
              <w:rPr>
                <w:rFonts w:hint="eastAsia" w:ascii="宋体" w:hAnsi="宋体"/>
                <w:color w:val="auto"/>
                <w:kern w:val="0"/>
                <w:highlight w:val="none"/>
              </w:rPr>
              <w:t xml:space="preserve"> </w:t>
            </w:r>
            <w:r>
              <w:rPr>
                <w:rFonts w:ascii="宋体" w:hAnsi="宋体"/>
                <w:color w:val="auto"/>
                <w:kern w:val="0"/>
                <w:szCs w:val="21"/>
                <w:highlight w:val="none"/>
              </w:rPr>
              <w:t>所有通过初步评审</w:t>
            </w:r>
            <w:r>
              <w:rPr>
                <w:rFonts w:hint="eastAsia" w:ascii="宋体" w:hAnsi="宋体"/>
                <w:color w:val="auto"/>
                <w:kern w:val="0"/>
                <w:szCs w:val="21"/>
                <w:highlight w:val="none"/>
              </w:rPr>
              <w:t>和本章第2.2.2（2）目评审</w:t>
            </w:r>
            <w:r>
              <w:rPr>
                <w:rFonts w:ascii="宋体" w:hAnsi="宋体"/>
                <w:color w:val="auto"/>
                <w:kern w:val="0"/>
                <w:szCs w:val="21"/>
                <w:highlight w:val="none"/>
              </w:rPr>
              <w:t>合格的投标人</w:t>
            </w:r>
            <w:r>
              <w:rPr>
                <w:rFonts w:ascii="宋体" w:hAnsi="宋体"/>
                <w:color w:val="auto"/>
                <w:szCs w:val="21"/>
                <w:highlight w:val="none"/>
              </w:rPr>
              <w:t>的投标总报</w:t>
            </w:r>
            <w:r>
              <w:rPr>
                <w:rFonts w:ascii="宋体" w:hAnsi="宋体"/>
                <w:color w:val="auto"/>
                <w:kern w:val="0"/>
                <w:szCs w:val="21"/>
                <w:highlight w:val="none"/>
              </w:rPr>
              <w:t>价中去掉六分之一（不能整除的按小数点前整数取整，不足六家报价则不去掉）的最低价和相同家数的最高价后的算术平均值P1。</w:t>
            </w:r>
          </w:p>
          <w:p w14:paraId="115A5973">
            <w:pPr>
              <w:snapToGrid w:val="0"/>
              <w:spacing w:line="400" w:lineRule="exact"/>
              <w:ind w:firstLine="420" w:firstLineChars="200"/>
              <w:rPr>
                <w:rFonts w:hint="eastAsia" w:ascii="宋体" w:hAnsi="宋体"/>
                <w:i/>
                <w:color w:val="auto"/>
                <w:kern w:val="0"/>
                <w:szCs w:val="21"/>
                <w:highlight w:val="none"/>
              </w:rPr>
            </w:pPr>
            <w:r>
              <w:rPr>
                <w:rFonts w:hint="eastAsia" w:ascii="宋体" w:hAnsi="宋体"/>
                <w:bCs/>
                <w:i/>
                <w:color w:val="auto"/>
                <w:szCs w:val="21"/>
                <w:highlight w:val="none"/>
              </w:rPr>
              <w:t>[提示：</w:t>
            </w:r>
            <w:r>
              <w:rPr>
                <w:rFonts w:hint="eastAsia" w:ascii="宋体" w:hAnsi="宋体"/>
                <w:i/>
                <w:color w:val="auto"/>
                <w:kern w:val="0"/>
                <w:szCs w:val="21"/>
                <w:highlight w:val="none"/>
              </w:rPr>
              <w:t>可以以P1作为投标总报价的评标基准价</w:t>
            </w:r>
            <w:r>
              <w:rPr>
                <w:rFonts w:hint="eastAsia" w:ascii="宋体" w:hAnsi="宋体"/>
                <w:i/>
                <w:color w:val="auto"/>
                <w:kern w:val="0"/>
                <w:highlight w:val="none"/>
              </w:rPr>
              <w:t>]</w:t>
            </w:r>
            <w:r>
              <w:rPr>
                <w:rFonts w:hint="eastAsia" w:ascii="宋体" w:hAnsi="宋体"/>
                <w:i/>
                <w:color w:val="auto"/>
                <w:kern w:val="0"/>
                <w:szCs w:val="21"/>
                <w:highlight w:val="none"/>
              </w:rPr>
              <w:t>。</w:t>
            </w:r>
          </w:p>
          <w:p w14:paraId="767AA3A9">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评标基准价计算的最终</w:t>
            </w:r>
            <w:r>
              <w:rPr>
                <w:rFonts w:ascii="宋体" w:hAnsi="宋体"/>
                <w:color w:val="auto"/>
                <w:kern w:val="0"/>
                <w:szCs w:val="21"/>
                <w:highlight w:val="none"/>
              </w:rPr>
              <w:t>结果取小数点后两位，第三位四舍五入。</w:t>
            </w:r>
          </w:p>
          <w:p w14:paraId="1AA47A0B">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在评标基准价计算完成后（除计算错误外），在后续的评审中不得再对其做出调整。</w:t>
            </w:r>
          </w:p>
        </w:tc>
      </w:tr>
      <w:tr w14:paraId="480D972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422" w:type="dxa"/>
            <w:gridSpan w:val="3"/>
            <w:noWrap w:val="0"/>
            <w:vAlign w:val="center"/>
          </w:tcPr>
          <w:p w14:paraId="20009C2A">
            <w:pPr>
              <w:spacing w:line="400" w:lineRule="exact"/>
              <w:jc w:val="center"/>
              <w:rPr>
                <w:rFonts w:ascii="宋体" w:hAnsi="宋体"/>
                <w:color w:val="auto"/>
                <w:kern w:val="0"/>
                <w:highlight w:val="none"/>
              </w:rPr>
            </w:pPr>
            <w:r>
              <w:rPr>
                <w:rFonts w:ascii="宋体" w:hAnsi="宋体"/>
                <w:color w:val="auto"/>
                <w:kern w:val="0"/>
                <w:highlight w:val="none"/>
              </w:rPr>
              <w:t>2.2.</w:t>
            </w:r>
            <w:r>
              <w:rPr>
                <w:rFonts w:hint="eastAsia" w:ascii="宋体" w:hAnsi="宋体"/>
                <w:color w:val="auto"/>
                <w:kern w:val="0"/>
                <w:highlight w:val="none"/>
              </w:rPr>
              <w:t>3</w:t>
            </w:r>
          </w:p>
        </w:tc>
        <w:tc>
          <w:tcPr>
            <w:tcW w:w="1546" w:type="dxa"/>
            <w:gridSpan w:val="2"/>
            <w:noWrap w:val="0"/>
            <w:vAlign w:val="center"/>
          </w:tcPr>
          <w:p w14:paraId="01FBFE7B">
            <w:pPr>
              <w:snapToGrid w:val="0"/>
              <w:spacing w:line="400" w:lineRule="exact"/>
              <w:jc w:val="left"/>
              <w:rPr>
                <w:rFonts w:hint="eastAsia" w:ascii="宋体" w:hAnsi="宋体"/>
                <w:b/>
                <w:color w:val="auto"/>
                <w:kern w:val="0"/>
                <w:highlight w:val="none"/>
              </w:rPr>
            </w:pPr>
            <w:r>
              <w:rPr>
                <w:rFonts w:hint="eastAsia" w:ascii="宋体" w:hAnsi="宋体"/>
                <w:b/>
                <w:color w:val="auto"/>
                <w:kern w:val="0"/>
                <w:highlight w:val="none"/>
              </w:rPr>
              <w:t>□选项二：</w:t>
            </w:r>
          </w:p>
          <w:p w14:paraId="1B67FA0E">
            <w:pPr>
              <w:spacing w:line="400" w:lineRule="exact"/>
              <w:jc w:val="center"/>
              <w:rPr>
                <w:rFonts w:ascii="宋体" w:hAnsi="宋体"/>
                <w:color w:val="auto"/>
                <w:kern w:val="0"/>
                <w:highlight w:val="none"/>
              </w:rPr>
            </w:pPr>
            <w:r>
              <w:rPr>
                <w:rFonts w:ascii="宋体" w:hAnsi="宋体"/>
                <w:color w:val="auto"/>
                <w:kern w:val="0"/>
                <w:highlight w:val="none"/>
              </w:rPr>
              <w:t>评标基准价计算方法</w:t>
            </w:r>
          </w:p>
        </w:tc>
        <w:tc>
          <w:tcPr>
            <w:tcW w:w="1014" w:type="dxa"/>
            <w:noWrap w:val="0"/>
            <w:vAlign w:val="center"/>
          </w:tcPr>
          <w:p w14:paraId="7988D8B1">
            <w:pPr>
              <w:spacing w:line="400" w:lineRule="exact"/>
              <w:jc w:val="center"/>
              <w:rPr>
                <w:rFonts w:ascii="宋体" w:hAnsi="宋体"/>
                <w:color w:val="auto"/>
                <w:kern w:val="0"/>
                <w:highlight w:val="none"/>
              </w:rPr>
            </w:pPr>
            <w:r>
              <w:rPr>
                <w:rFonts w:ascii="宋体" w:hAnsi="宋体"/>
                <w:color w:val="auto"/>
                <w:kern w:val="0"/>
                <w:highlight w:val="none"/>
              </w:rPr>
              <w:t>投标总报价</w:t>
            </w:r>
          </w:p>
        </w:tc>
        <w:tc>
          <w:tcPr>
            <w:tcW w:w="5493" w:type="dxa"/>
            <w:noWrap w:val="0"/>
            <w:vAlign w:val="top"/>
          </w:tcPr>
          <w:p w14:paraId="003D6FA5">
            <w:pPr>
              <w:snapToGrid w:val="0"/>
              <w:spacing w:line="400" w:lineRule="exact"/>
              <w:ind w:firstLine="420" w:firstLineChars="200"/>
              <w:jc w:val="left"/>
              <w:rPr>
                <w:rFonts w:ascii="宋体" w:hAnsi="宋体"/>
                <w:color w:val="auto"/>
                <w:kern w:val="0"/>
                <w:szCs w:val="21"/>
                <w:highlight w:val="none"/>
              </w:rPr>
            </w:pPr>
            <w:r>
              <w:rPr>
                <w:rFonts w:ascii="宋体" w:hAnsi="宋体"/>
                <w:color w:val="auto"/>
                <w:kern w:val="0"/>
                <w:highlight w:val="none"/>
              </w:rPr>
              <w:t>1.</w:t>
            </w:r>
            <w:r>
              <w:rPr>
                <w:rFonts w:hint="eastAsia" w:ascii="宋体" w:hAnsi="宋体"/>
                <w:color w:val="auto"/>
                <w:kern w:val="0"/>
                <w:highlight w:val="none"/>
              </w:rPr>
              <w:t xml:space="preserve"> </w:t>
            </w:r>
            <w:r>
              <w:rPr>
                <w:rFonts w:ascii="宋体" w:hAnsi="宋体"/>
                <w:color w:val="auto"/>
                <w:kern w:val="0"/>
                <w:szCs w:val="21"/>
                <w:highlight w:val="none"/>
              </w:rPr>
              <w:t>所有通过初步评审</w:t>
            </w:r>
            <w:r>
              <w:rPr>
                <w:rFonts w:hint="eastAsia" w:ascii="宋体" w:hAnsi="宋体"/>
                <w:color w:val="auto"/>
                <w:kern w:val="0"/>
                <w:szCs w:val="21"/>
                <w:highlight w:val="none"/>
              </w:rPr>
              <w:t>和本章第2.2.2（2）目评审</w:t>
            </w:r>
            <w:r>
              <w:rPr>
                <w:rFonts w:ascii="宋体" w:hAnsi="宋体"/>
                <w:color w:val="auto"/>
                <w:kern w:val="0"/>
                <w:szCs w:val="21"/>
                <w:highlight w:val="none"/>
              </w:rPr>
              <w:t>合格的投标人</w:t>
            </w:r>
            <w:r>
              <w:rPr>
                <w:rFonts w:ascii="宋体" w:hAnsi="宋体"/>
                <w:color w:val="auto"/>
                <w:szCs w:val="21"/>
                <w:highlight w:val="none"/>
              </w:rPr>
              <w:t>的投标总报</w:t>
            </w:r>
            <w:r>
              <w:rPr>
                <w:rFonts w:ascii="宋体" w:hAnsi="宋体"/>
                <w:color w:val="auto"/>
                <w:kern w:val="0"/>
                <w:szCs w:val="21"/>
                <w:highlight w:val="none"/>
              </w:rPr>
              <w:t>价中去掉六分之一（不能整除的按小数点前整数取整，不足六家报价则不去掉）的最低价和相同家数的最高价后的算术平均值P1。</w:t>
            </w:r>
          </w:p>
          <w:p w14:paraId="4273F41A">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highlight w:val="none"/>
              </w:rPr>
              <w:t>2</w:t>
            </w:r>
            <w:r>
              <w:rPr>
                <w:rFonts w:ascii="宋体" w:hAnsi="宋体"/>
                <w:color w:val="auto"/>
                <w:kern w:val="0"/>
                <w:highlight w:val="none"/>
              </w:rPr>
              <w:t>.</w:t>
            </w:r>
            <w:r>
              <w:rPr>
                <w:rFonts w:hint="eastAsia" w:ascii="宋体" w:hAnsi="宋体"/>
                <w:color w:val="auto"/>
                <w:kern w:val="0"/>
                <w:highlight w:val="none"/>
              </w:rPr>
              <w:t xml:space="preserve"> </w:t>
            </w:r>
            <w:r>
              <w:rPr>
                <w:rFonts w:ascii="宋体" w:hAnsi="宋体"/>
                <w:color w:val="auto"/>
                <w:kern w:val="0"/>
                <w:szCs w:val="21"/>
                <w:highlight w:val="none"/>
              </w:rPr>
              <w:t>算术平均值P1乘以本项目总价评标基准价浮动值</w:t>
            </w:r>
            <w:r>
              <w:rPr>
                <w:rFonts w:hint="eastAsia" w:ascii="宋体" w:hAnsi="宋体"/>
                <w:color w:val="auto"/>
                <w:kern w:val="0"/>
                <w:szCs w:val="21"/>
                <w:highlight w:val="none"/>
              </w:rPr>
              <w:t>（</w:t>
            </w:r>
            <w:r>
              <w:rPr>
                <w:rFonts w:ascii="宋体" w:hAnsi="宋体"/>
                <w:color w:val="auto"/>
                <w:kern w:val="0"/>
                <w:szCs w:val="21"/>
                <w:highlight w:val="none"/>
              </w:rPr>
              <w:t>1-N1</w:t>
            </w:r>
            <w:r>
              <w:rPr>
                <w:rFonts w:hint="eastAsia" w:ascii="宋体" w:hAnsi="宋体"/>
                <w:color w:val="auto"/>
                <w:kern w:val="0"/>
                <w:szCs w:val="21"/>
                <w:highlight w:val="none"/>
              </w:rPr>
              <w:t>）</w:t>
            </w:r>
            <w:r>
              <w:rPr>
                <w:rFonts w:ascii="宋体" w:hAnsi="宋体"/>
                <w:color w:val="auto"/>
                <w:kern w:val="0"/>
                <w:szCs w:val="21"/>
                <w:highlight w:val="none"/>
              </w:rPr>
              <w:t>，即为本项目的投标总报价的评标基准价P2。（总价评标基准价浮动值N1范围为</w:t>
            </w:r>
            <w:r>
              <w:rPr>
                <w:rFonts w:hint="eastAsia" w:ascii="宋体" w:hAnsi="宋体"/>
                <w:color w:val="auto"/>
                <w:kern w:val="0"/>
                <w:highlight w:val="none"/>
              </w:rPr>
              <w:t>1</w:t>
            </w:r>
            <w:r>
              <w:rPr>
                <w:rFonts w:ascii="宋体" w:hAnsi="宋体"/>
                <w:color w:val="auto"/>
                <w:kern w:val="0"/>
                <w:highlight w:val="none"/>
              </w:rPr>
              <w:t>%～</w:t>
            </w:r>
            <w:r>
              <w:rPr>
                <w:rFonts w:hint="eastAsia" w:ascii="宋体" w:hAnsi="宋体"/>
                <w:color w:val="auto"/>
                <w:kern w:val="0"/>
                <w:highlight w:val="none"/>
              </w:rPr>
              <w:t>5%</w:t>
            </w:r>
            <w:r>
              <w:rPr>
                <w:rFonts w:ascii="宋体" w:hAnsi="宋体"/>
                <w:color w:val="auto"/>
                <w:kern w:val="0"/>
                <w:highlight w:val="none"/>
              </w:rPr>
              <w:t>，浮动值</w:t>
            </w:r>
            <w:r>
              <w:rPr>
                <w:rFonts w:ascii="宋体" w:hAnsi="宋体"/>
                <w:color w:val="auto"/>
                <w:kern w:val="0"/>
                <w:szCs w:val="21"/>
                <w:highlight w:val="none"/>
              </w:rPr>
              <w:t xml:space="preserve">N1在开标现场随机抽取决定）  </w:t>
            </w:r>
          </w:p>
          <w:p w14:paraId="0A29FD29">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评标基准价计算的最终</w:t>
            </w:r>
            <w:r>
              <w:rPr>
                <w:rFonts w:ascii="宋体" w:hAnsi="宋体"/>
                <w:color w:val="auto"/>
                <w:kern w:val="0"/>
                <w:szCs w:val="21"/>
                <w:highlight w:val="none"/>
              </w:rPr>
              <w:t>结果取小数点后两位，第三位四舍五入。</w:t>
            </w:r>
          </w:p>
          <w:p w14:paraId="4CA21FF1">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在评标基准价计算完成后（除计算错误外），在后续的评审中不得再对其做出调整。</w:t>
            </w:r>
          </w:p>
          <w:p w14:paraId="1F3E5633">
            <w:pPr>
              <w:snapToGrid w:val="0"/>
              <w:spacing w:line="400" w:lineRule="exact"/>
              <w:ind w:firstLine="420" w:firstLineChars="200"/>
              <w:rPr>
                <w:rFonts w:ascii="宋体" w:hAnsi="宋体"/>
                <w:color w:val="auto"/>
                <w:kern w:val="0"/>
                <w:highlight w:val="none"/>
              </w:rPr>
            </w:pPr>
            <w:r>
              <w:rPr>
                <w:rFonts w:ascii="宋体" w:hAnsi="宋体"/>
                <w:color w:val="auto"/>
                <w:kern w:val="0"/>
                <w:szCs w:val="21"/>
                <w:highlight w:val="none"/>
              </w:rPr>
              <w:t>浮动值N1的范围百分数取整。</w:t>
            </w:r>
          </w:p>
        </w:tc>
      </w:tr>
      <w:tr w14:paraId="331F0FF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422" w:type="dxa"/>
            <w:gridSpan w:val="3"/>
            <w:noWrap w:val="0"/>
            <w:vAlign w:val="center"/>
          </w:tcPr>
          <w:p w14:paraId="4C94CE78">
            <w:pPr>
              <w:spacing w:line="400" w:lineRule="exact"/>
              <w:jc w:val="center"/>
              <w:rPr>
                <w:rFonts w:ascii="宋体" w:hAnsi="宋体"/>
                <w:color w:val="auto"/>
                <w:kern w:val="0"/>
                <w:highlight w:val="none"/>
              </w:rPr>
            </w:pPr>
            <w:r>
              <w:rPr>
                <w:rFonts w:ascii="宋体" w:hAnsi="宋体"/>
                <w:color w:val="auto"/>
                <w:kern w:val="0"/>
                <w:highlight w:val="none"/>
              </w:rPr>
              <w:t>2.2.</w:t>
            </w:r>
            <w:r>
              <w:rPr>
                <w:rFonts w:hint="eastAsia" w:ascii="宋体" w:hAnsi="宋体"/>
                <w:color w:val="auto"/>
                <w:kern w:val="0"/>
                <w:highlight w:val="none"/>
              </w:rPr>
              <w:t>3</w:t>
            </w:r>
          </w:p>
        </w:tc>
        <w:tc>
          <w:tcPr>
            <w:tcW w:w="1546" w:type="dxa"/>
            <w:gridSpan w:val="2"/>
            <w:noWrap w:val="0"/>
            <w:vAlign w:val="center"/>
          </w:tcPr>
          <w:p w14:paraId="0F586CDA">
            <w:pPr>
              <w:snapToGrid w:val="0"/>
              <w:spacing w:line="400" w:lineRule="exact"/>
              <w:jc w:val="left"/>
              <w:rPr>
                <w:rFonts w:hint="eastAsia" w:ascii="宋体" w:hAnsi="宋体"/>
                <w:b/>
                <w:color w:val="auto"/>
                <w:kern w:val="0"/>
                <w:highlight w:val="none"/>
              </w:rPr>
            </w:pPr>
            <w:r>
              <w:rPr>
                <w:rFonts w:hint="eastAsia" w:ascii="宋体" w:hAnsi="宋体"/>
                <w:b/>
                <w:color w:val="auto"/>
                <w:kern w:val="0"/>
                <w:highlight w:val="none"/>
              </w:rPr>
              <w:t>□选项三：</w:t>
            </w:r>
          </w:p>
          <w:p w14:paraId="795125EC">
            <w:pPr>
              <w:spacing w:line="400" w:lineRule="exact"/>
              <w:jc w:val="center"/>
              <w:rPr>
                <w:rFonts w:ascii="宋体" w:hAnsi="宋体"/>
                <w:color w:val="auto"/>
                <w:kern w:val="0"/>
                <w:highlight w:val="none"/>
              </w:rPr>
            </w:pPr>
            <w:r>
              <w:rPr>
                <w:rFonts w:ascii="宋体" w:hAnsi="宋体"/>
                <w:color w:val="auto"/>
                <w:kern w:val="0"/>
                <w:highlight w:val="none"/>
              </w:rPr>
              <w:t>评标基准价计算方法</w:t>
            </w:r>
          </w:p>
        </w:tc>
        <w:tc>
          <w:tcPr>
            <w:tcW w:w="1014" w:type="dxa"/>
            <w:noWrap w:val="0"/>
            <w:vAlign w:val="center"/>
          </w:tcPr>
          <w:p w14:paraId="19B84844">
            <w:pPr>
              <w:spacing w:line="400" w:lineRule="exact"/>
              <w:jc w:val="center"/>
              <w:rPr>
                <w:rFonts w:ascii="宋体" w:hAnsi="宋体"/>
                <w:color w:val="auto"/>
                <w:kern w:val="0"/>
                <w:highlight w:val="none"/>
              </w:rPr>
            </w:pPr>
            <w:r>
              <w:rPr>
                <w:rFonts w:ascii="宋体" w:hAnsi="宋体"/>
                <w:color w:val="auto"/>
                <w:kern w:val="0"/>
                <w:highlight w:val="none"/>
              </w:rPr>
              <w:t>投标总报价</w:t>
            </w:r>
          </w:p>
        </w:tc>
        <w:tc>
          <w:tcPr>
            <w:tcW w:w="5493" w:type="dxa"/>
            <w:noWrap w:val="0"/>
            <w:vAlign w:val="top"/>
          </w:tcPr>
          <w:p w14:paraId="7FB7B830">
            <w:pPr>
              <w:snapToGrid w:val="0"/>
              <w:spacing w:line="400" w:lineRule="exact"/>
              <w:ind w:firstLine="420" w:firstLineChars="200"/>
              <w:jc w:val="left"/>
              <w:rPr>
                <w:rFonts w:ascii="宋体" w:hAnsi="宋体"/>
                <w:color w:val="auto"/>
                <w:kern w:val="0"/>
                <w:szCs w:val="21"/>
                <w:highlight w:val="none"/>
              </w:rPr>
            </w:pPr>
            <w:r>
              <w:rPr>
                <w:rFonts w:ascii="宋体" w:hAnsi="宋体"/>
                <w:color w:val="auto"/>
                <w:kern w:val="0"/>
                <w:highlight w:val="none"/>
              </w:rPr>
              <w:t>1.</w:t>
            </w:r>
            <w:r>
              <w:rPr>
                <w:rFonts w:hint="eastAsia" w:ascii="宋体" w:hAnsi="宋体"/>
                <w:color w:val="auto"/>
                <w:kern w:val="0"/>
                <w:highlight w:val="none"/>
              </w:rPr>
              <w:t xml:space="preserve"> </w:t>
            </w:r>
            <w:r>
              <w:rPr>
                <w:rFonts w:ascii="宋体" w:hAnsi="宋体"/>
                <w:color w:val="auto"/>
                <w:kern w:val="0"/>
                <w:szCs w:val="21"/>
                <w:highlight w:val="none"/>
              </w:rPr>
              <w:t>所有通过初步评审</w:t>
            </w:r>
            <w:r>
              <w:rPr>
                <w:rFonts w:hint="eastAsia" w:ascii="宋体" w:hAnsi="宋体"/>
                <w:color w:val="auto"/>
                <w:kern w:val="0"/>
                <w:szCs w:val="21"/>
                <w:highlight w:val="none"/>
              </w:rPr>
              <w:t>和本章第2.2.2（2）目评审</w:t>
            </w:r>
            <w:r>
              <w:rPr>
                <w:rFonts w:ascii="宋体" w:hAnsi="宋体"/>
                <w:color w:val="auto"/>
                <w:kern w:val="0"/>
                <w:szCs w:val="21"/>
                <w:highlight w:val="none"/>
              </w:rPr>
              <w:t>合格的投标人</w:t>
            </w:r>
            <w:r>
              <w:rPr>
                <w:rFonts w:ascii="宋体" w:hAnsi="宋体"/>
                <w:color w:val="auto"/>
                <w:szCs w:val="21"/>
                <w:highlight w:val="none"/>
              </w:rPr>
              <w:t>的投标总报</w:t>
            </w:r>
            <w:r>
              <w:rPr>
                <w:rFonts w:ascii="宋体" w:hAnsi="宋体"/>
                <w:color w:val="auto"/>
                <w:kern w:val="0"/>
                <w:szCs w:val="21"/>
                <w:highlight w:val="none"/>
              </w:rPr>
              <w:t>价中去掉六分之一（不能整除的按小数点前整数取整，不足六家报价则不去掉）的最低价和相同家数的最高价后的算术平均值P1。</w:t>
            </w:r>
          </w:p>
          <w:p w14:paraId="46FFEACA">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highlight w:val="none"/>
              </w:rPr>
              <w:t>2</w:t>
            </w:r>
            <w:r>
              <w:rPr>
                <w:rFonts w:ascii="宋体" w:hAnsi="宋体"/>
                <w:color w:val="auto"/>
                <w:kern w:val="0"/>
                <w:highlight w:val="none"/>
              </w:rPr>
              <w:t>.</w:t>
            </w:r>
            <w:r>
              <w:rPr>
                <w:rFonts w:ascii="宋体" w:hAnsi="宋体"/>
                <w:color w:val="auto"/>
                <w:kern w:val="0"/>
                <w:szCs w:val="21"/>
                <w:highlight w:val="none"/>
              </w:rPr>
              <w:t>算术平均值P1下浮M</w:t>
            </w:r>
            <w:r>
              <w:rPr>
                <w:rFonts w:hint="eastAsia" w:ascii="宋体" w:hAnsi="宋体"/>
                <w:color w:val="auto"/>
                <w:kern w:val="0"/>
                <w:szCs w:val="21"/>
                <w:highlight w:val="none"/>
              </w:rPr>
              <w:t>，</w:t>
            </w:r>
            <w:r>
              <w:rPr>
                <w:rFonts w:ascii="宋体" w:hAnsi="宋体"/>
                <w:color w:val="auto"/>
                <w:kern w:val="0"/>
                <w:szCs w:val="21"/>
                <w:highlight w:val="none"/>
              </w:rPr>
              <w:t>即为本项目的投标总报价的评标基准价P3。（M为</w:t>
            </w:r>
            <w:r>
              <w:rPr>
                <w:rFonts w:hint="eastAsia" w:ascii="宋体" w:hAnsi="宋体"/>
                <w:color w:val="auto"/>
                <w:kern w:val="0"/>
                <w:highlight w:val="none"/>
              </w:rPr>
              <w:t>1%</w:t>
            </w:r>
            <w:r>
              <w:rPr>
                <w:rFonts w:ascii="宋体" w:hAnsi="宋体"/>
                <w:color w:val="auto"/>
                <w:kern w:val="0"/>
                <w:highlight w:val="none"/>
              </w:rPr>
              <w:t>～</w:t>
            </w:r>
            <w:r>
              <w:rPr>
                <w:rFonts w:hint="eastAsia" w:ascii="宋体" w:hAnsi="宋体"/>
                <w:color w:val="auto"/>
                <w:kern w:val="0"/>
                <w:highlight w:val="none"/>
              </w:rPr>
              <w:t>5%范围内</w:t>
            </w:r>
            <w:r>
              <w:rPr>
                <w:rFonts w:ascii="宋体" w:hAnsi="宋体"/>
                <w:color w:val="auto"/>
                <w:kern w:val="0"/>
                <w:highlight w:val="none"/>
              </w:rPr>
              <w:t>的取值，具体值在招标文件中明确</w:t>
            </w:r>
            <w:r>
              <w:rPr>
                <w:rFonts w:ascii="宋体" w:hAnsi="宋体"/>
                <w:color w:val="auto"/>
                <w:kern w:val="0"/>
                <w:szCs w:val="21"/>
                <w:highlight w:val="none"/>
              </w:rPr>
              <w:t>）</w:t>
            </w:r>
          </w:p>
          <w:p w14:paraId="4C8A0305">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评标基准价计算的最终</w:t>
            </w:r>
            <w:r>
              <w:rPr>
                <w:rFonts w:ascii="宋体" w:hAnsi="宋体"/>
                <w:color w:val="auto"/>
                <w:kern w:val="0"/>
                <w:szCs w:val="21"/>
                <w:highlight w:val="none"/>
              </w:rPr>
              <w:t>结果取小数点后两位，第三位四舍五入。</w:t>
            </w:r>
          </w:p>
          <w:p w14:paraId="15825950">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在评标基准价计算完成后（除计算错误外），在后续的评审中不得再对其做出调整。</w:t>
            </w:r>
          </w:p>
          <w:p w14:paraId="0C55A584">
            <w:pPr>
              <w:snapToGrid w:val="0"/>
              <w:spacing w:line="400" w:lineRule="exact"/>
              <w:ind w:firstLine="420" w:firstLineChars="200"/>
              <w:rPr>
                <w:rFonts w:ascii="宋体" w:hAnsi="宋体"/>
                <w:color w:val="auto"/>
                <w:kern w:val="0"/>
                <w:highlight w:val="none"/>
              </w:rPr>
            </w:pPr>
            <w:r>
              <w:rPr>
                <w:rFonts w:ascii="宋体" w:hAnsi="宋体"/>
                <w:color w:val="auto"/>
                <w:kern w:val="0"/>
                <w:szCs w:val="21"/>
                <w:highlight w:val="none"/>
              </w:rPr>
              <w:t>浮动值M的范围百分数取整。</w:t>
            </w:r>
          </w:p>
        </w:tc>
      </w:tr>
      <w:tr w14:paraId="58AB0D8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422" w:type="dxa"/>
            <w:gridSpan w:val="3"/>
            <w:vMerge w:val="restart"/>
            <w:noWrap w:val="0"/>
            <w:vAlign w:val="center"/>
          </w:tcPr>
          <w:p w14:paraId="6C81394B">
            <w:pPr>
              <w:spacing w:line="400" w:lineRule="exact"/>
              <w:jc w:val="center"/>
              <w:rPr>
                <w:rFonts w:hint="eastAsia" w:ascii="宋体" w:hAnsi="宋体"/>
                <w:color w:val="auto"/>
                <w:kern w:val="0"/>
                <w:highlight w:val="none"/>
              </w:rPr>
            </w:pPr>
            <w:r>
              <w:rPr>
                <w:rFonts w:ascii="宋体" w:hAnsi="宋体"/>
                <w:color w:val="auto"/>
                <w:kern w:val="0"/>
                <w:highlight w:val="none"/>
              </w:rPr>
              <w:t>2.2.</w:t>
            </w:r>
            <w:r>
              <w:rPr>
                <w:rFonts w:hint="eastAsia" w:ascii="宋体" w:hAnsi="宋体"/>
                <w:color w:val="auto"/>
                <w:kern w:val="0"/>
                <w:highlight w:val="none"/>
              </w:rPr>
              <w:t>4</w:t>
            </w:r>
          </w:p>
          <w:p w14:paraId="1974A121">
            <w:pPr>
              <w:spacing w:line="400" w:lineRule="exact"/>
              <w:jc w:val="center"/>
              <w:rPr>
                <w:rFonts w:ascii="宋体" w:hAnsi="宋体"/>
                <w:color w:val="auto"/>
                <w:kern w:val="0"/>
                <w:highlight w:val="none"/>
              </w:rPr>
            </w:pPr>
            <w:r>
              <w:rPr>
                <w:rFonts w:hint="eastAsia" w:ascii="宋体" w:hAnsi="宋体"/>
                <w:color w:val="auto"/>
                <w:kern w:val="0"/>
                <w:highlight w:val="none"/>
              </w:rPr>
              <w:t>（1）</w:t>
            </w:r>
          </w:p>
        </w:tc>
        <w:tc>
          <w:tcPr>
            <w:tcW w:w="2560" w:type="dxa"/>
            <w:gridSpan w:val="3"/>
            <w:vMerge w:val="restart"/>
            <w:noWrap w:val="0"/>
            <w:vAlign w:val="center"/>
          </w:tcPr>
          <w:p w14:paraId="7F542337">
            <w:pPr>
              <w:spacing w:line="400" w:lineRule="exact"/>
              <w:jc w:val="center"/>
              <w:rPr>
                <w:rFonts w:ascii="宋体" w:hAnsi="宋体"/>
                <w:color w:val="auto"/>
                <w:kern w:val="0"/>
                <w:highlight w:val="none"/>
              </w:rPr>
            </w:pPr>
            <w:r>
              <w:rPr>
                <w:rFonts w:hint="eastAsia" w:ascii="宋体" w:hAnsi="宋体"/>
                <w:color w:val="auto"/>
                <w:kern w:val="0"/>
                <w:highlight w:val="none"/>
              </w:rPr>
              <w:t>允许偏差率</w:t>
            </w:r>
          </w:p>
        </w:tc>
        <w:tc>
          <w:tcPr>
            <w:tcW w:w="5493" w:type="dxa"/>
            <w:noWrap w:val="0"/>
            <w:vAlign w:val="center"/>
          </w:tcPr>
          <w:p w14:paraId="712D3BF7">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投标总报价的偏差率计算公式</w:t>
            </w:r>
          </w:p>
          <w:p w14:paraId="4DF1B52B">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偏差率</w:t>
            </w:r>
            <w:r>
              <w:rPr>
                <w:rFonts w:ascii="宋体" w:hAnsi="宋体"/>
                <w:color w:val="auto"/>
                <w:kern w:val="0"/>
                <w:sz w:val="28"/>
                <w:szCs w:val="28"/>
                <w:highlight w:val="none"/>
              </w:rPr>
              <w:t>=</w:t>
            </w:r>
            <w:r>
              <w:rPr>
                <w:rFonts w:ascii="宋体" w:hAnsi="宋体"/>
                <w:color w:val="auto"/>
                <w:kern w:val="0"/>
                <w:highlight w:val="none"/>
              </w:rPr>
              <w:t>100％×（投标人报价一评标基准价P2（或P1或P3））／评标基准价P2（或P1或P3）</w:t>
            </w:r>
          </w:p>
          <w:p w14:paraId="0E038720">
            <w:pPr>
              <w:spacing w:line="400" w:lineRule="exact"/>
              <w:ind w:firstLine="200"/>
              <w:rPr>
                <w:rFonts w:ascii="宋体" w:hAnsi="宋体"/>
                <w:color w:val="auto"/>
                <w:kern w:val="0"/>
                <w:highlight w:val="none"/>
              </w:rPr>
            </w:pPr>
            <w:r>
              <w:rPr>
                <w:rFonts w:ascii="宋体" w:hAnsi="宋体"/>
                <w:color w:val="auto"/>
                <w:kern w:val="0"/>
                <w:highlight w:val="none"/>
              </w:rPr>
              <w:t xml:space="preserve">  偏差率</w:t>
            </w:r>
            <w:r>
              <w:rPr>
                <w:rFonts w:ascii="宋体" w:hAnsi="宋体"/>
                <w:color w:val="auto"/>
                <w:kern w:val="0"/>
                <w:szCs w:val="21"/>
                <w:highlight w:val="none"/>
              </w:rPr>
              <w:t>计算的最终结果</w:t>
            </w:r>
            <w:r>
              <w:rPr>
                <w:rFonts w:hint="eastAsia" w:ascii="宋体" w:hAnsi="宋体"/>
                <w:color w:val="auto"/>
                <w:kern w:val="0"/>
                <w:szCs w:val="21"/>
                <w:highlight w:val="none"/>
              </w:rPr>
              <w:t>取</w:t>
            </w:r>
            <w:r>
              <w:rPr>
                <w:rFonts w:ascii="宋体" w:hAnsi="宋体"/>
                <w:color w:val="auto"/>
                <w:kern w:val="0"/>
                <w:szCs w:val="21"/>
                <w:highlight w:val="none"/>
              </w:rPr>
              <w:t>小数点后两位，小数点后第三位“四舍五入”。</w:t>
            </w:r>
          </w:p>
        </w:tc>
      </w:tr>
      <w:tr w14:paraId="0ED6787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422" w:type="dxa"/>
            <w:gridSpan w:val="3"/>
            <w:vMerge w:val="continue"/>
            <w:noWrap w:val="0"/>
            <w:vAlign w:val="center"/>
          </w:tcPr>
          <w:p w14:paraId="69D675D4">
            <w:pPr>
              <w:spacing w:line="400" w:lineRule="exact"/>
              <w:jc w:val="center"/>
              <w:rPr>
                <w:rFonts w:ascii="宋体" w:hAnsi="宋体"/>
                <w:color w:val="auto"/>
                <w:kern w:val="0"/>
                <w:highlight w:val="none"/>
              </w:rPr>
            </w:pPr>
          </w:p>
        </w:tc>
        <w:tc>
          <w:tcPr>
            <w:tcW w:w="2560" w:type="dxa"/>
            <w:gridSpan w:val="3"/>
            <w:vMerge w:val="continue"/>
            <w:noWrap w:val="0"/>
            <w:vAlign w:val="center"/>
          </w:tcPr>
          <w:p w14:paraId="1DC3ABE4">
            <w:pPr>
              <w:spacing w:line="400" w:lineRule="exact"/>
              <w:jc w:val="center"/>
              <w:rPr>
                <w:rFonts w:ascii="宋体" w:hAnsi="宋体"/>
                <w:color w:val="auto"/>
                <w:kern w:val="0"/>
                <w:highlight w:val="none"/>
              </w:rPr>
            </w:pPr>
          </w:p>
        </w:tc>
        <w:tc>
          <w:tcPr>
            <w:tcW w:w="5493" w:type="dxa"/>
            <w:noWrap w:val="0"/>
            <w:vAlign w:val="center"/>
          </w:tcPr>
          <w:p w14:paraId="2FA933B7">
            <w:pPr>
              <w:snapToGrid w:val="0"/>
              <w:spacing w:line="400" w:lineRule="exact"/>
              <w:ind w:firstLine="420" w:firstLineChars="200"/>
              <w:jc w:val="left"/>
              <w:rPr>
                <w:rFonts w:hint="eastAsia" w:ascii="宋体" w:hAnsi="宋体"/>
                <w:color w:val="auto"/>
                <w:szCs w:val="28"/>
                <w:highlight w:val="none"/>
              </w:rPr>
            </w:pPr>
            <w:r>
              <w:rPr>
                <w:rFonts w:hint="eastAsia" w:ascii="宋体" w:hAnsi="宋体"/>
                <w:color w:val="auto"/>
                <w:szCs w:val="28"/>
                <w:highlight w:val="none"/>
              </w:rPr>
              <w:t>本项目</w:t>
            </w:r>
            <w:r>
              <w:rPr>
                <w:rFonts w:ascii="宋体" w:hAnsi="宋体"/>
                <w:color w:val="auto"/>
                <w:szCs w:val="28"/>
                <w:highlight w:val="none"/>
              </w:rPr>
              <w:t>投标总报价</w:t>
            </w:r>
            <w:r>
              <w:rPr>
                <w:rFonts w:hint="eastAsia" w:ascii="宋体" w:hAnsi="宋体"/>
                <w:color w:val="auto"/>
                <w:szCs w:val="28"/>
                <w:highlight w:val="none"/>
              </w:rPr>
              <w:t>允许偏差范围</w:t>
            </w:r>
            <w:r>
              <w:rPr>
                <w:rFonts w:ascii="宋体" w:hAnsi="宋体"/>
                <w:color w:val="auto"/>
                <w:szCs w:val="28"/>
                <w:highlight w:val="none"/>
              </w:rPr>
              <w:t>为：</w:t>
            </w:r>
          </w:p>
          <w:p w14:paraId="2F4B1912">
            <w:pPr>
              <w:snapToGrid w:val="0"/>
              <w:spacing w:line="400" w:lineRule="exact"/>
              <w:ind w:firstLine="420" w:firstLineChars="200"/>
              <w:jc w:val="left"/>
              <w:rPr>
                <w:rFonts w:hint="eastAsia" w:ascii="宋体" w:hAnsi="宋体"/>
                <w:color w:val="auto"/>
                <w:szCs w:val="28"/>
                <w:highlight w:val="none"/>
              </w:rPr>
            </w:pPr>
            <w:r>
              <w:rPr>
                <w:rFonts w:hint="eastAsia" w:ascii="宋体" w:hAnsi="宋体"/>
                <w:color w:val="auto"/>
                <w:szCs w:val="28"/>
                <w:highlight w:val="none"/>
              </w:rPr>
              <w:t>□</w:t>
            </w:r>
            <w:r>
              <w:rPr>
                <w:rFonts w:ascii="宋体" w:hAnsi="宋体"/>
                <w:color w:val="auto"/>
                <w:szCs w:val="28"/>
                <w:highlight w:val="none"/>
                <w:u w:val="single"/>
              </w:rPr>
              <w:t>　    　</w:t>
            </w:r>
            <w:r>
              <w:rPr>
                <w:rFonts w:ascii="宋体" w:hAnsi="宋体"/>
                <w:color w:val="auto"/>
                <w:szCs w:val="28"/>
                <w:highlight w:val="none"/>
              </w:rPr>
              <w:t>% 至</w:t>
            </w:r>
            <w:r>
              <w:rPr>
                <w:rFonts w:ascii="宋体" w:hAnsi="宋体"/>
                <w:color w:val="auto"/>
                <w:szCs w:val="28"/>
                <w:highlight w:val="none"/>
                <w:u w:val="single"/>
              </w:rPr>
              <w:t>　    　</w:t>
            </w:r>
            <w:r>
              <w:rPr>
                <w:rFonts w:ascii="宋体" w:hAnsi="宋体"/>
                <w:color w:val="auto"/>
                <w:szCs w:val="28"/>
                <w:highlight w:val="none"/>
              </w:rPr>
              <w:t>%</w:t>
            </w:r>
            <w:r>
              <w:rPr>
                <w:rFonts w:hint="eastAsia" w:ascii="宋体" w:hAnsi="宋体"/>
                <w:color w:val="auto"/>
                <w:szCs w:val="28"/>
                <w:highlight w:val="none"/>
              </w:rPr>
              <w:t>；</w:t>
            </w:r>
          </w:p>
          <w:p w14:paraId="38E47182">
            <w:pPr>
              <w:snapToGrid w:val="0"/>
              <w:spacing w:line="400" w:lineRule="exact"/>
              <w:ind w:firstLine="420" w:firstLineChars="200"/>
              <w:jc w:val="left"/>
              <w:rPr>
                <w:rFonts w:ascii="宋体" w:hAnsi="宋体"/>
                <w:color w:val="auto"/>
                <w:szCs w:val="28"/>
                <w:highlight w:val="none"/>
              </w:rPr>
            </w:pPr>
            <w:r>
              <w:rPr>
                <w:rFonts w:hint="eastAsia" w:ascii="宋体" w:hAnsi="宋体"/>
                <w:color w:val="auto"/>
                <w:szCs w:val="28"/>
                <w:highlight w:val="none"/>
              </w:rPr>
              <w:t>□不设偏差范围。</w:t>
            </w:r>
          </w:p>
          <w:p w14:paraId="76A7409D">
            <w:pPr>
              <w:spacing w:line="400" w:lineRule="exact"/>
              <w:ind w:firstLine="420" w:firstLineChars="200"/>
              <w:jc w:val="left"/>
              <w:rPr>
                <w:rFonts w:ascii="宋体" w:hAnsi="宋体"/>
                <w:i/>
                <w:color w:val="auto"/>
                <w:kern w:val="0"/>
                <w:highlight w:val="none"/>
              </w:rPr>
            </w:pPr>
            <w:r>
              <w:rPr>
                <w:rFonts w:ascii="宋体" w:hAnsi="宋体"/>
                <w:i/>
                <w:color w:val="auto"/>
                <w:szCs w:val="28"/>
                <w:highlight w:val="none"/>
              </w:rPr>
              <w:t>[提示：填入本工程具体允许偏差范围</w:t>
            </w:r>
            <w:r>
              <w:rPr>
                <w:rFonts w:hint="eastAsia" w:ascii="宋体" w:hAnsi="宋体"/>
                <w:i/>
                <w:color w:val="auto"/>
                <w:szCs w:val="28"/>
                <w:highlight w:val="none"/>
              </w:rPr>
              <w:t>，招标人可以不设偏差范围。采用本章第3.2.1（2）目选项三的不设置允许偏差范围。</w:t>
            </w:r>
            <w:r>
              <w:rPr>
                <w:rFonts w:ascii="宋体" w:hAnsi="宋体"/>
                <w:i/>
                <w:color w:val="auto"/>
                <w:szCs w:val="28"/>
                <w:highlight w:val="none"/>
              </w:rPr>
              <w:t>]</w:t>
            </w:r>
          </w:p>
        </w:tc>
      </w:tr>
      <w:tr w14:paraId="3C3BA5D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422" w:type="dxa"/>
            <w:gridSpan w:val="3"/>
            <w:noWrap w:val="0"/>
            <w:vAlign w:val="center"/>
          </w:tcPr>
          <w:p w14:paraId="2800FE13">
            <w:pPr>
              <w:spacing w:line="400" w:lineRule="exact"/>
              <w:jc w:val="center"/>
              <w:rPr>
                <w:rFonts w:hint="eastAsia" w:ascii="宋体" w:hAnsi="宋体"/>
                <w:color w:val="auto"/>
                <w:kern w:val="0"/>
                <w:highlight w:val="none"/>
              </w:rPr>
            </w:pPr>
            <w:r>
              <w:rPr>
                <w:rFonts w:ascii="宋体" w:hAnsi="宋体"/>
                <w:color w:val="auto"/>
                <w:kern w:val="0"/>
                <w:highlight w:val="none"/>
              </w:rPr>
              <w:t>2.2.</w:t>
            </w:r>
            <w:r>
              <w:rPr>
                <w:rFonts w:hint="eastAsia" w:ascii="宋体" w:hAnsi="宋体"/>
                <w:color w:val="auto"/>
                <w:kern w:val="0"/>
                <w:highlight w:val="none"/>
              </w:rPr>
              <w:t>4</w:t>
            </w:r>
          </w:p>
          <w:p w14:paraId="31E372AC">
            <w:pPr>
              <w:spacing w:line="400" w:lineRule="exact"/>
              <w:jc w:val="center"/>
              <w:rPr>
                <w:rFonts w:ascii="宋体" w:hAnsi="宋体"/>
                <w:color w:val="auto"/>
                <w:kern w:val="0"/>
                <w:highlight w:val="none"/>
              </w:rPr>
            </w:pPr>
            <w:r>
              <w:rPr>
                <w:rFonts w:hint="eastAsia" w:ascii="宋体" w:hAnsi="宋体"/>
                <w:color w:val="auto"/>
                <w:kern w:val="0"/>
                <w:highlight w:val="none"/>
              </w:rPr>
              <w:t>（2）</w:t>
            </w:r>
          </w:p>
        </w:tc>
        <w:tc>
          <w:tcPr>
            <w:tcW w:w="2560" w:type="dxa"/>
            <w:gridSpan w:val="3"/>
            <w:noWrap w:val="0"/>
            <w:vAlign w:val="center"/>
          </w:tcPr>
          <w:p w14:paraId="00695229">
            <w:pPr>
              <w:spacing w:line="400" w:lineRule="exact"/>
              <w:jc w:val="center"/>
              <w:rPr>
                <w:rFonts w:ascii="宋体" w:hAnsi="宋体"/>
                <w:color w:val="auto"/>
                <w:kern w:val="0"/>
                <w:highlight w:val="none"/>
              </w:rPr>
            </w:pPr>
            <w:r>
              <w:rPr>
                <w:rFonts w:ascii="宋体" w:hAnsi="宋体"/>
                <w:color w:val="auto"/>
                <w:kern w:val="0"/>
                <w:highlight w:val="none"/>
              </w:rPr>
              <w:t>投标</w:t>
            </w:r>
            <w:r>
              <w:rPr>
                <w:rFonts w:hint="eastAsia" w:ascii="宋体" w:hAnsi="宋体"/>
                <w:color w:val="auto"/>
                <w:kern w:val="0"/>
                <w:highlight w:val="none"/>
              </w:rPr>
              <w:t>总</w:t>
            </w:r>
            <w:r>
              <w:rPr>
                <w:rFonts w:ascii="宋体" w:hAnsi="宋体"/>
                <w:color w:val="auto"/>
                <w:kern w:val="0"/>
                <w:highlight w:val="none"/>
              </w:rPr>
              <w:t>报价的允许偏差范围</w:t>
            </w:r>
          </w:p>
        </w:tc>
        <w:tc>
          <w:tcPr>
            <w:tcW w:w="5493" w:type="dxa"/>
            <w:noWrap w:val="0"/>
            <w:vAlign w:val="center"/>
          </w:tcPr>
          <w:p w14:paraId="56CA1F0D">
            <w:pPr>
              <w:spacing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允许偏差范围：</w:t>
            </w:r>
          </w:p>
          <w:p w14:paraId="1A41875C">
            <w:pPr>
              <w:tabs>
                <w:tab w:val="left" w:pos="718"/>
              </w:tabs>
              <w:spacing w:line="400" w:lineRule="exact"/>
              <w:ind w:firstLine="420" w:firstLineChars="200"/>
              <w:rPr>
                <w:rFonts w:ascii="宋体" w:hAnsi="宋体"/>
                <w:color w:val="auto"/>
                <w:kern w:val="0"/>
                <w:highlight w:val="none"/>
              </w:rPr>
            </w:pPr>
            <w:r>
              <w:rPr>
                <w:rFonts w:ascii="宋体" w:hAnsi="宋体"/>
                <w:color w:val="auto"/>
                <w:kern w:val="0"/>
                <w:highlight w:val="none"/>
              </w:rPr>
              <w:t>1.</w:t>
            </w:r>
            <w:r>
              <w:rPr>
                <w:rFonts w:hint="eastAsia" w:ascii="宋体" w:hAnsi="宋体"/>
                <w:color w:val="auto"/>
                <w:kern w:val="0"/>
                <w:highlight w:val="none"/>
              </w:rPr>
              <w:t xml:space="preserve"> </w:t>
            </w:r>
            <w:r>
              <w:rPr>
                <w:rFonts w:ascii="宋体" w:hAnsi="宋体"/>
                <w:color w:val="auto"/>
                <w:kern w:val="0"/>
                <w:highlight w:val="none"/>
              </w:rPr>
              <w:t>房屋建筑工程：－10%～－5%至＋3%；</w:t>
            </w:r>
          </w:p>
          <w:p w14:paraId="15391DC9">
            <w:pPr>
              <w:tabs>
                <w:tab w:val="left" w:pos="718"/>
              </w:tabs>
              <w:spacing w:line="400" w:lineRule="exact"/>
              <w:ind w:firstLine="420" w:firstLineChars="200"/>
              <w:rPr>
                <w:rFonts w:ascii="宋体" w:hAnsi="宋体"/>
                <w:color w:val="auto"/>
                <w:kern w:val="0"/>
                <w:highlight w:val="none"/>
              </w:rPr>
            </w:pPr>
            <w:r>
              <w:rPr>
                <w:rFonts w:hint="eastAsia" w:ascii="宋体" w:hAnsi="宋体"/>
                <w:color w:val="auto"/>
                <w:kern w:val="0"/>
                <w:highlight w:val="none"/>
              </w:rPr>
              <w:t>2</w:t>
            </w:r>
            <w:r>
              <w:rPr>
                <w:rFonts w:ascii="宋体" w:hAnsi="宋体"/>
                <w:color w:val="auto"/>
                <w:kern w:val="0"/>
                <w:highlight w:val="none"/>
              </w:rPr>
              <w:t>.</w:t>
            </w:r>
            <w:r>
              <w:rPr>
                <w:rFonts w:hint="eastAsia" w:ascii="宋体" w:hAnsi="宋体"/>
                <w:color w:val="auto"/>
                <w:kern w:val="0"/>
                <w:highlight w:val="none"/>
              </w:rPr>
              <w:t xml:space="preserve"> </w:t>
            </w:r>
            <w:r>
              <w:rPr>
                <w:rFonts w:ascii="宋体" w:hAnsi="宋体"/>
                <w:color w:val="auto"/>
                <w:kern w:val="0"/>
                <w:highlight w:val="none"/>
              </w:rPr>
              <w:t>装饰装修工程、土石方及构筑物工程、市政基础设施工程：－15%～－10%至＋3%；</w:t>
            </w:r>
          </w:p>
          <w:p w14:paraId="045E6308">
            <w:pPr>
              <w:spacing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3</w:t>
            </w:r>
            <w:r>
              <w:rPr>
                <w:rFonts w:ascii="宋体" w:hAnsi="宋体"/>
                <w:color w:val="auto"/>
                <w:kern w:val="0"/>
                <w:highlight w:val="none"/>
              </w:rPr>
              <w:t>.</w:t>
            </w:r>
            <w:r>
              <w:rPr>
                <w:rFonts w:hint="eastAsia" w:ascii="宋体" w:hAnsi="宋体"/>
                <w:color w:val="auto"/>
                <w:kern w:val="0"/>
                <w:highlight w:val="none"/>
              </w:rPr>
              <w:t xml:space="preserve"> </w:t>
            </w:r>
            <w:r>
              <w:rPr>
                <w:rFonts w:ascii="宋体" w:hAnsi="宋体"/>
                <w:color w:val="auto"/>
                <w:kern w:val="0"/>
                <w:highlight w:val="none"/>
              </w:rPr>
              <w:t>设备安装工程：－15%～－7%至＋3%；</w:t>
            </w:r>
          </w:p>
          <w:p w14:paraId="42EF3A08">
            <w:pPr>
              <w:spacing w:line="400" w:lineRule="exact"/>
              <w:ind w:firstLine="420" w:firstLineChars="200"/>
              <w:rPr>
                <w:rFonts w:hint="eastAsia" w:ascii="宋体" w:hAnsi="宋体"/>
                <w:i/>
                <w:color w:val="auto"/>
                <w:kern w:val="0"/>
                <w:highlight w:val="none"/>
              </w:rPr>
            </w:pPr>
            <w:r>
              <w:rPr>
                <w:rFonts w:ascii="宋体" w:hAnsi="宋体"/>
                <w:i/>
                <w:color w:val="auto"/>
                <w:kern w:val="0"/>
                <w:highlight w:val="none"/>
              </w:rPr>
              <w:t>[提示：招标人在编制招标文件时，可在</w:t>
            </w:r>
            <w:r>
              <w:rPr>
                <w:rFonts w:hint="eastAsia" w:ascii="宋体" w:hAnsi="宋体"/>
                <w:i/>
                <w:color w:val="auto"/>
                <w:kern w:val="0"/>
                <w:highlight w:val="none"/>
              </w:rPr>
              <w:t>上述</w:t>
            </w:r>
            <w:r>
              <w:rPr>
                <w:rFonts w:ascii="宋体" w:hAnsi="宋体"/>
                <w:i/>
                <w:color w:val="auto"/>
                <w:kern w:val="0"/>
                <w:highlight w:val="none"/>
              </w:rPr>
              <w:t>范围内自行确定具体上下限值]</w:t>
            </w:r>
          </w:p>
        </w:tc>
      </w:tr>
      <w:tr w14:paraId="2E5F1C8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5" w:type="dxa"/>
            <w:noWrap w:val="0"/>
            <w:vAlign w:val="center"/>
          </w:tcPr>
          <w:p w14:paraId="01150EA1">
            <w:pPr>
              <w:spacing w:line="400" w:lineRule="exact"/>
              <w:jc w:val="center"/>
              <w:rPr>
                <w:rFonts w:ascii="宋体" w:hAnsi="宋体"/>
                <w:color w:val="auto"/>
                <w:kern w:val="0"/>
                <w:highlight w:val="none"/>
              </w:rPr>
            </w:pPr>
            <w:r>
              <w:rPr>
                <w:rFonts w:ascii="宋体" w:hAnsi="宋体"/>
                <w:color w:val="auto"/>
                <w:highlight w:val="none"/>
              </w:rPr>
              <w:t>3</w:t>
            </w:r>
          </w:p>
        </w:tc>
        <w:tc>
          <w:tcPr>
            <w:tcW w:w="1417" w:type="dxa"/>
            <w:gridSpan w:val="3"/>
            <w:noWrap w:val="0"/>
            <w:vAlign w:val="center"/>
          </w:tcPr>
          <w:p w14:paraId="25FAE3AF">
            <w:pPr>
              <w:spacing w:line="400" w:lineRule="exact"/>
              <w:jc w:val="center"/>
              <w:rPr>
                <w:rFonts w:ascii="宋体" w:hAnsi="宋体"/>
                <w:color w:val="auto"/>
                <w:kern w:val="0"/>
                <w:highlight w:val="none"/>
              </w:rPr>
            </w:pPr>
            <w:r>
              <w:rPr>
                <w:rFonts w:ascii="宋体" w:hAnsi="宋体"/>
                <w:color w:val="auto"/>
                <w:highlight w:val="none"/>
              </w:rPr>
              <w:t>评标程序</w:t>
            </w:r>
          </w:p>
        </w:tc>
        <w:tc>
          <w:tcPr>
            <w:tcW w:w="7203" w:type="dxa"/>
            <w:gridSpan w:val="3"/>
            <w:noWrap w:val="0"/>
            <w:vAlign w:val="top"/>
          </w:tcPr>
          <w:p w14:paraId="455F80B0">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1.按本章评标办法第3.1款进行初步评审。未通过初步评审或评标委员会认定为无效的投标文件的不再进行后续评审。</w:t>
            </w:r>
          </w:p>
          <w:p w14:paraId="68713721">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2.按本章评标办法前附表第2.2.2（1）目及第3.2.1（1）目的规定对技术部分进行评审。采用项目经理答辩的，确定答辩顺序的原则为：</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1B34C51D">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3.按本章评标办法前附表第2.2.2（2）目的规定对投标函部分及经济部分部分进行评审，经评审不合格的投标文件不再参与后续评审。</w:t>
            </w:r>
          </w:p>
          <w:p w14:paraId="0052D02D">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4.因评标委员会作否决投标处理导致有效投标人不足三个的，评标委员会应当否决所有投标。但是有效投标人的经济、技术等指标仍然具有市场竞争力，能够满足招标文件要求的，评标委员会可以继续评标并确定中标候选人。</w:t>
            </w:r>
          </w:p>
          <w:p w14:paraId="0ADFA7D7">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5.经评审合格的投标人按照本章第2.2.3项计算方法计算评标基准价，并按本附表第3.2.1（2）目规定的评分方法对投标总报价进行评分。</w:t>
            </w:r>
          </w:p>
          <w:p w14:paraId="237A8DEA">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6.对技术部分、投标总报价得分进行汇总，确定得分由高至低前三名投标人为中标候选人。</w:t>
            </w:r>
          </w:p>
        </w:tc>
      </w:tr>
      <w:tr w14:paraId="6E311EB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18" w:hRule="atLeast"/>
          <w:jc w:val="center"/>
        </w:trPr>
        <w:tc>
          <w:tcPr>
            <w:tcW w:w="855" w:type="dxa"/>
            <w:vMerge w:val="restart"/>
            <w:noWrap w:val="0"/>
            <w:vAlign w:val="center"/>
          </w:tcPr>
          <w:p w14:paraId="7543FDF1">
            <w:pPr>
              <w:spacing w:line="400" w:lineRule="exact"/>
              <w:jc w:val="center"/>
              <w:rPr>
                <w:rFonts w:ascii="宋体" w:hAnsi="宋体"/>
                <w:color w:val="auto"/>
                <w:highlight w:val="none"/>
              </w:rPr>
            </w:pPr>
            <w:r>
              <w:rPr>
                <w:rFonts w:ascii="宋体" w:hAnsi="宋体"/>
                <w:color w:val="auto"/>
                <w:highlight w:val="none"/>
              </w:rPr>
              <w:t>3.2.1</w:t>
            </w:r>
          </w:p>
          <w:p w14:paraId="6E419831">
            <w:pPr>
              <w:spacing w:line="400" w:lineRule="exact"/>
              <w:jc w:val="center"/>
              <w:rPr>
                <w:rFonts w:ascii="宋体" w:hAnsi="宋体"/>
                <w:color w:val="auto"/>
                <w:highlight w:val="none"/>
              </w:rPr>
            </w:pPr>
            <w:r>
              <w:rPr>
                <w:rFonts w:ascii="宋体" w:hAnsi="宋体"/>
                <w:color w:val="auto"/>
                <w:highlight w:val="none"/>
              </w:rPr>
              <w:t>（</w:t>
            </w:r>
            <w:r>
              <w:rPr>
                <w:rFonts w:hint="eastAsia" w:ascii="宋体" w:hAnsi="宋体"/>
                <w:color w:val="auto"/>
                <w:highlight w:val="none"/>
              </w:rPr>
              <w:t>1</w:t>
            </w:r>
            <w:r>
              <w:rPr>
                <w:rFonts w:ascii="宋体" w:hAnsi="宋体"/>
                <w:color w:val="auto"/>
                <w:highlight w:val="none"/>
              </w:rPr>
              <w:t>）</w:t>
            </w:r>
          </w:p>
        </w:tc>
        <w:tc>
          <w:tcPr>
            <w:tcW w:w="1417" w:type="dxa"/>
            <w:gridSpan w:val="3"/>
            <w:vMerge w:val="restart"/>
            <w:noWrap w:val="0"/>
            <w:vAlign w:val="center"/>
          </w:tcPr>
          <w:p w14:paraId="607DAFE2">
            <w:pPr>
              <w:spacing w:line="400" w:lineRule="exact"/>
              <w:jc w:val="center"/>
              <w:rPr>
                <w:rFonts w:ascii="宋体" w:hAnsi="宋体"/>
                <w:color w:val="auto"/>
                <w:highlight w:val="none"/>
              </w:rPr>
            </w:pPr>
            <w:r>
              <w:rPr>
                <w:rFonts w:hint="eastAsia" w:ascii="宋体" w:hAnsi="宋体"/>
                <w:color w:val="auto"/>
                <w:highlight w:val="none"/>
              </w:rPr>
              <w:t>技术部分</w:t>
            </w:r>
            <w:r>
              <w:rPr>
                <w:rFonts w:ascii="宋体" w:hAnsi="宋体"/>
                <w:color w:val="auto"/>
                <w:kern w:val="0"/>
                <w:highlight w:val="none"/>
              </w:rPr>
              <w:t>得分</w:t>
            </w:r>
            <w:r>
              <w:rPr>
                <w:rFonts w:ascii="宋体" w:hAnsi="宋体"/>
                <w:color w:val="auto"/>
                <w:spacing w:val="-4"/>
                <w:highlight w:val="none"/>
              </w:rPr>
              <w:t>（</w:t>
            </w:r>
            <w:r>
              <w:rPr>
                <w:rFonts w:hint="eastAsia" w:ascii="宋体" w:hAnsi="宋体"/>
                <w:color w:val="auto"/>
                <w:spacing w:val="-4"/>
                <w:highlight w:val="none"/>
              </w:rPr>
              <w:t>A）</w:t>
            </w:r>
          </w:p>
        </w:tc>
        <w:tc>
          <w:tcPr>
            <w:tcW w:w="1710" w:type="dxa"/>
            <w:gridSpan w:val="2"/>
            <w:tcBorders>
              <w:bottom w:val="single" w:color="auto" w:sz="4" w:space="0"/>
            </w:tcBorders>
            <w:noWrap w:val="0"/>
            <w:vAlign w:val="center"/>
          </w:tcPr>
          <w:p w14:paraId="0A2ADA76">
            <w:pPr>
              <w:spacing w:line="400" w:lineRule="exact"/>
              <w:jc w:val="left"/>
              <w:rPr>
                <w:rFonts w:ascii="宋体" w:hAnsi="宋体"/>
                <w:color w:val="auto"/>
                <w:highlight w:val="none"/>
              </w:rPr>
            </w:pPr>
            <w:r>
              <w:rPr>
                <w:rFonts w:ascii="宋体" w:hAnsi="宋体"/>
                <w:color w:val="auto"/>
                <w:kern w:val="0"/>
                <w:highlight w:val="none"/>
              </w:rPr>
              <w:t>内容完整性和编制水平</w:t>
            </w:r>
          </w:p>
        </w:tc>
        <w:tc>
          <w:tcPr>
            <w:tcW w:w="5493" w:type="dxa"/>
            <w:vMerge w:val="restart"/>
            <w:noWrap w:val="0"/>
            <w:vAlign w:val="center"/>
          </w:tcPr>
          <w:p w14:paraId="3D5F6B75">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不符合第二章投标人须知前附表第3.7.5项要求的，技术方案得0分。</w:t>
            </w:r>
          </w:p>
          <w:p w14:paraId="338A6234">
            <w:pPr>
              <w:autoSpaceDE w:val="0"/>
              <w:autoSpaceDN w:val="0"/>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评标委员会按第2.2.</w:t>
            </w:r>
            <w:r>
              <w:rPr>
                <w:rFonts w:hint="eastAsia" w:ascii="宋体" w:hAnsi="宋体"/>
                <w:color w:val="auto"/>
                <w:szCs w:val="21"/>
                <w:highlight w:val="none"/>
              </w:rPr>
              <w:t>2（1）目</w:t>
            </w:r>
            <w:r>
              <w:rPr>
                <w:rFonts w:ascii="宋体" w:hAnsi="宋体"/>
                <w:color w:val="auto"/>
                <w:szCs w:val="21"/>
                <w:highlight w:val="none"/>
              </w:rPr>
              <w:t>各评审因素设定的分值评分。</w:t>
            </w:r>
          </w:p>
          <w:p w14:paraId="1EEA6E31">
            <w:pPr>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评标委员会成员为5人及以上时，所有评委打分中去掉一个最高和一个最低分，余下评委打分取算术平均值为该投标人技术方案得分。</w:t>
            </w:r>
          </w:p>
          <w:p w14:paraId="30246E92">
            <w:pPr>
              <w:spacing w:line="400" w:lineRule="exact"/>
              <w:ind w:firstLine="420" w:firstLineChars="200"/>
              <w:rPr>
                <w:rFonts w:hint="eastAsia" w:ascii="宋体" w:hAnsi="宋体"/>
                <w:color w:val="auto"/>
                <w:kern w:val="0"/>
                <w:szCs w:val="21"/>
                <w:highlight w:val="none"/>
              </w:rPr>
            </w:pPr>
            <w:r>
              <w:rPr>
                <w:rFonts w:ascii="宋体" w:hAnsi="宋体"/>
                <w:color w:val="auto"/>
                <w:kern w:val="0"/>
                <w:szCs w:val="21"/>
                <w:highlight w:val="none"/>
              </w:rPr>
              <w:t>技术方案得分的最终结果取小数点后两位，第三位四舍五入。</w:t>
            </w:r>
          </w:p>
        </w:tc>
      </w:tr>
      <w:tr w14:paraId="64F8FCC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36" w:hRule="atLeast"/>
          <w:jc w:val="center"/>
        </w:trPr>
        <w:tc>
          <w:tcPr>
            <w:tcW w:w="855" w:type="dxa"/>
            <w:vMerge w:val="continue"/>
            <w:noWrap w:val="0"/>
            <w:vAlign w:val="center"/>
          </w:tcPr>
          <w:p w14:paraId="7DB2EBCB">
            <w:pPr>
              <w:spacing w:line="400" w:lineRule="exact"/>
              <w:jc w:val="center"/>
              <w:rPr>
                <w:rFonts w:ascii="宋体" w:hAnsi="宋体"/>
                <w:color w:val="auto"/>
                <w:highlight w:val="none"/>
              </w:rPr>
            </w:pPr>
          </w:p>
        </w:tc>
        <w:tc>
          <w:tcPr>
            <w:tcW w:w="1417" w:type="dxa"/>
            <w:gridSpan w:val="3"/>
            <w:vMerge w:val="continue"/>
            <w:noWrap w:val="0"/>
            <w:vAlign w:val="center"/>
          </w:tcPr>
          <w:p w14:paraId="242D3FE5">
            <w:pPr>
              <w:spacing w:line="400" w:lineRule="exact"/>
              <w:jc w:val="center"/>
              <w:rPr>
                <w:rFonts w:hint="eastAsia" w:ascii="宋体" w:hAnsi="宋体"/>
                <w:color w:val="auto"/>
                <w:highlight w:val="none"/>
              </w:rPr>
            </w:pPr>
          </w:p>
        </w:tc>
        <w:tc>
          <w:tcPr>
            <w:tcW w:w="1710" w:type="dxa"/>
            <w:gridSpan w:val="2"/>
            <w:tcBorders>
              <w:top w:val="single" w:color="auto" w:sz="4" w:space="0"/>
              <w:bottom w:val="single" w:color="auto" w:sz="4" w:space="0"/>
            </w:tcBorders>
            <w:noWrap w:val="0"/>
            <w:vAlign w:val="center"/>
          </w:tcPr>
          <w:p w14:paraId="2E7363D6">
            <w:pPr>
              <w:spacing w:line="400" w:lineRule="exact"/>
              <w:jc w:val="left"/>
              <w:rPr>
                <w:rFonts w:ascii="宋体" w:hAnsi="宋体"/>
                <w:color w:val="auto"/>
                <w:highlight w:val="none"/>
              </w:rPr>
            </w:pPr>
            <w:r>
              <w:rPr>
                <w:rFonts w:ascii="宋体" w:hAnsi="宋体"/>
                <w:color w:val="auto"/>
                <w:kern w:val="0"/>
                <w:highlight w:val="none"/>
              </w:rPr>
              <w:t>施工方案与技术措施</w:t>
            </w:r>
          </w:p>
        </w:tc>
        <w:tc>
          <w:tcPr>
            <w:tcW w:w="5493" w:type="dxa"/>
            <w:vMerge w:val="continue"/>
            <w:noWrap w:val="0"/>
            <w:vAlign w:val="center"/>
          </w:tcPr>
          <w:p w14:paraId="6134A913">
            <w:pPr>
              <w:autoSpaceDE w:val="0"/>
              <w:autoSpaceDN w:val="0"/>
              <w:adjustRightInd w:val="0"/>
              <w:snapToGrid w:val="0"/>
              <w:spacing w:line="400" w:lineRule="exact"/>
              <w:ind w:firstLine="420" w:firstLineChars="200"/>
              <w:rPr>
                <w:rFonts w:ascii="宋体" w:hAnsi="宋体"/>
                <w:color w:val="auto"/>
                <w:szCs w:val="21"/>
                <w:highlight w:val="none"/>
              </w:rPr>
            </w:pPr>
          </w:p>
        </w:tc>
      </w:tr>
      <w:tr w14:paraId="49F0CEC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51" w:hRule="atLeast"/>
          <w:jc w:val="center"/>
        </w:trPr>
        <w:tc>
          <w:tcPr>
            <w:tcW w:w="855" w:type="dxa"/>
            <w:vMerge w:val="continue"/>
            <w:noWrap w:val="0"/>
            <w:vAlign w:val="center"/>
          </w:tcPr>
          <w:p w14:paraId="3268BF78">
            <w:pPr>
              <w:spacing w:line="400" w:lineRule="exact"/>
              <w:jc w:val="center"/>
              <w:rPr>
                <w:rFonts w:ascii="宋体" w:hAnsi="宋体"/>
                <w:color w:val="auto"/>
                <w:highlight w:val="none"/>
              </w:rPr>
            </w:pPr>
          </w:p>
        </w:tc>
        <w:tc>
          <w:tcPr>
            <w:tcW w:w="1417" w:type="dxa"/>
            <w:gridSpan w:val="3"/>
            <w:vMerge w:val="continue"/>
            <w:noWrap w:val="0"/>
            <w:vAlign w:val="center"/>
          </w:tcPr>
          <w:p w14:paraId="683BCA56">
            <w:pPr>
              <w:spacing w:line="400" w:lineRule="exact"/>
              <w:jc w:val="center"/>
              <w:rPr>
                <w:rFonts w:hint="eastAsia" w:ascii="宋体" w:hAnsi="宋体"/>
                <w:color w:val="auto"/>
                <w:highlight w:val="none"/>
              </w:rPr>
            </w:pPr>
          </w:p>
        </w:tc>
        <w:tc>
          <w:tcPr>
            <w:tcW w:w="1710" w:type="dxa"/>
            <w:gridSpan w:val="2"/>
            <w:tcBorders>
              <w:top w:val="single" w:color="auto" w:sz="4" w:space="0"/>
              <w:bottom w:val="single" w:color="auto" w:sz="4" w:space="0"/>
            </w:tcBorders>
            <w:noWrap w:val="0"/>
            <w:vAlign w:val="center"/>
          </w:tcPr>
          <w:p w14:paraId="252DEE78">
            <w:pPr>
              <w:spacing w:line="400" w:lineRule="exact"/>
              <w:jc w:val="left"/>
              <w:rPr>
                <w:rFonts w:ascii="宋体" w:hAnsi="宋体"/>
                <w:color w:val="auto"/>
                <w:highlight w:val="none"/>
              </w:rPr>
            </w:pPr>
            <w:r>
              <w:rPr>
                <w:rFonts w:ascii="宋体" w:hAnsi="宋体"/>
                <w:color w:val="auto"/>
                <w:kern w:val="0"/>
                <w:highlight w:val="none"/>
              </w:rPr>
              <w:t>质量管理体系与措施</w:t>
            </w:r>
          </w:p>
        </w:tc>
        <w:tc>
          <w:tcPr>
            <w:tcW w:w="5493" w:type="dxa"/>
            <w:vMerge w:val="continue"/>
            <w:noWrap w:val="0"/>
            <w:vAlign w:val="center"/>
          </w:tcPr>
          <w:p w14:paraId="206586B3">
            <w:pPr>
              <w:autoSpaceDE w:val="0"/>
              <w:autoSpaceDN w:val="0"/>
              <w:adjustRightInd w:val="0"/>
              <w:snapToGrid w:val="0"/>
              <w:spacing w:line="400" w:lineRule="exact"/>
              <w:ind w:firstLine="420" w:firstLineChars="200"/>
              <w:rPr>
                <w:rFonts w:ascii="宋体" w:hAnsi="宋体"/>
                <w:color w:val="auto"/>
                <w:szCs w:val="21"/>
                <w:highlight w:val="none"/>
              </w:rPr>
            </w:pPr>
          </w:p>
        </w:tc>
      </w:tr>
      <w:tr w14:paraId="1F210E1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02" w:hRule="atLeast"/>
          <w:jc w:val="center"/>
        </w:trPr>
        <w:tc>
          <w:tcPr>
            <w:tcW w:w="855" w:type="dxa"/>
            <w:vMerge w:val="continue"/>
            <w:noWrap w:val="0"/>
            <w:vAlign w:val="center"/>
          </w:tcPr>
          <w:p w14:paraId="33BB48F7">
            <w:pPr>
              <w:spacing w:line="400" w:lineRule="exact"/>
              <w:jc w:val="center"/>
              <w:rPr>
                <w:rFonts w:ascii="宋体" w:hAnsi="宋体"/>
                <w:color w:val="auto"/>
                <w:highlight w:val="none"/>
              </w:rPr>
            </w:pPr>
          </w:p>
        </w:tc>
        <w:tc>
          <w:tcPr>
            <w:tcW w:w="1417" w:type="dxa"/>
            <w:gridSpan w:val="3"/>
            <w:vMerge w:val="continue"/>
            <w:noWrap w:val="0"/>
            <w:vAlign w:val="center"/>
          </w:tcPr>
          <w:p w14:paraId="5F92DFBB">
            <w:pPr>
              <w:spacing w:line="400" w:lineRule="exact"/>
              <w:jc w:val="center"/>
              <w:rPr>
                <w:rFonts w:hint="eastAsia" w:ascii="宋体" w:hAnsi="宋体"/>
                <w:color w:val="auto"/>
                <w:highlight w:val="none"/>
              </w:rPr>
            </w:pPr>
          </w:p>
        </w:tc>
        <w:tc>
          <w:tcPr>
            <w:tcW w:w="1710" w:type="dxa"/>
            <w:gridSpan w:val="2"/>
            <w:tcBorders>
              <w:top w:val="single" w:color="auto" w:sz="4" w:space="0"/>
              <w:bottom w:val="single" w:color="auto" w:sz="4" w:space="0"/>
            </w:tcBorders>
            <w:noWrap w:val="0"/>
            <w:vAlign w:val="center"/>
          </w:tcPr>
          <w:p w14:paraId="1BD8A436">
            <w:pPr>
              <w:spacing w:line="400" w:lineRule="exact"/>
              <w:jc w:val="left"/>
              <w:rPr>
                <w:rFonts w:ascii="宋体" w:hAnsi="宋体"/>
                <w:color w:val="auto"/>
                <w:highlight w:val="none"/>
              </w:rPr>
            </w:pPr>
            <w:r>
              <w:rPr>
                <w:rFonts w:ascii="宋体" w:hAnsi="宋体"/>
                <w:color w:val="auto"/>
                <w:kern w:val="0"/>
                <w:highlight w:val="none"/>
              </w:rPr>
              <w:t>安全管理体系与措施</w:t>
            </w:r>
          </w:p>
        </w:tc>
        <w:tc>
          <w:tcPr>
            <w:tcW w:w="5493" w:type="dxa"/>
            <w:vMerge w:val="continue"/>
            <w:noWrap w:val="0"/>
            <w:vAlign w:val="center"/>
          </w:tcPr>
          <w:p w14:paraId="6EF21534">
            <w:pPr>
              <w:autoSpaceDE w:val="0"/>
              <w:autoSpaceDN w:val="0"/>
              <w:adjustRightInd w:val="0"/>
              <w:snapToGrid w:val="0"/>
              <w:spacing w:line="400" w:lineRule="exact"/>
              <w:ind w:firstLine="420" w:firstLineChars="200"/>
              <w:rPr>
                <w:rFonts w:ascii="宋体" w:hAnsi="宋体"/>
                <w:color w:val="auto"/>
                <w:szCs w:val="21"/>
                <w:highlight w:val="none"/>
              </w:rPr>
            </w:pPr>
          </w:p>
        </w:tc>
      </w:tr>
      <w:tr w14:paraId="6F54FC6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18" w:hRule="atLeast"/>
          <w:jc w:val="center"/>
        </w:trPr>
        <w:tc>
          <w:tcPr>
            <w:tcW w:w="855" w:type="dxa"/>
            <w:vMerge w:val="continue"/>
            <w:noWrap w:val="0"/>
            <w:vAlign w:val="center"/>
          </w:tcPr>
          <w:p w14:paraId="362F6E42">
            <w:pPr>
              <w:spacing w:line="400" w:lineRule="exact"/>
              <w:jc w:val="center"/>
              <w:rPr>
                <w:rFonts w:ascii="宋体" w:hAnsi="宋体"/>
                <w:color w:val="auto"/>
                <w:highlight w:val="none"/>
              </w:rPr>
            </w:pPr>
          </w:p>
        </w:tc>
        <w:tc>
          <w:tcPr>
            <w:tcW w:w="1417" w:type="dxa"/>
            <w:gridSpan w:val="3"/>
            <w:vMerge w:val="continue"/>
            <w:noWrap w:val="0"/>
            <w:vAlign w:val="center"/>
          </w:tcPr>
          <w:p w14:paraId="2F70C5FB">
            <w:pPr>
              <w:spacing w:line="400" w:lineRule="exact"/>
              <w:jc w:val="center"/>
              <w:rPr>
                <w:rFonts w:hint="eastAsia" w:ascii="宋体" w:hAnsi="宋体"/>
                <w:color w:val="auto"/>
                <w:highlight w:val="none"/>
              </w:rPr>
            </w:pPr>
          </w:p>
        </w:tc>
        <w:tc>
          <w:tcPr>
            <w:tcW w:w="1710" w:type="dxa"/>
            <w:gridSpan w:val="2"/>
            <w:tcBorders>
              <w:top w:val="single" w:color="auto" w:sz="4" w:space="0"/>
              <w:bottom w:val="single" w:color="auto" w:sz="4" w:space="0"/>
            </w:tcBorders>
            <w:noWrap w:val="0"/>
            <w:vAlign w:val="center"/>
          </w:tcPr>
          <w:p w14:paraId="5E8D35C1">
            <w:pPr>
              <w:spacing w:line="400" w:lineRule="exact"/>
              <w:jc w:val="left"/>
              <w:rPr>
                <w:rFonts w:ascii="宋体" w:hAnsi="宋体"/>
                <w:color w:val="auto"/>
                <w:highlight w:val="none"/>
              </w:rPr>
            </w:pPr>
            <w:r>
              <w:rPr>
                <w:rFonts w:ascii="宋体" w:hAnsi="宋体"/>
                <w:color w:val="auto"/>
                <w:kern w:val="0"/>
                <w:highlight w:val="none"/>
              </w:rPr>
              <w:t>环境保护管理体系措施</w:t>
            </w:r>
          </w:p>
        </w:tc>
        <w:tc>
          <w:tcPr>
            <w:tcW w:w="5493" w:type="dxa"/>
            <w:vMerge w:val="continue"/>
            <w:noWrap w:val="0"/>
            <w:vAlign w:val="center"/>
          </w:tcPr>
          <w:p w14:paraId="3B2BC599">
            <w:pPr>
              <w:autoSpaceDE w:val="0"/>
              <w:autoSpaceDN w:val="0"/>
              <w:adjustRightInd w:val="0"/>
              <w:snapToGrid w:val="0"/>
              <w:spacing w:line="400" w:lineRule="exact"/>
              <w:ind w:firstLine="420" w:firstLineChars="200"/>
              <w:rPr>
                <w:rFonts w:ascii="宋体" w:hAnsi="宋体"/>
                <w:color w:val="auto"/>
                <w:szCs w:val="21"/>
                <w:highlight w:val="none"/>
              </w:rPr>
            </w:pPr>
          </w:p>
        </w:tc>
      </w:tr>
      <w:tr w14:paraId="59B0D9D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02" w:hRule="atLeast"/>
          <w:jc w:val="center"/>
        </w:trPr>
        <w:tc>
          <w:tcPr>
            <w:tcW w:w="855" w:type="dxa"/>
            <w:vMerge w:val="continue"/>
            <w:noWrap w:val="0"/>
            <w:vAlign w:val="center"/>
          </w:tcPr>
          <w:p w14:paraId="2EDDA23C">
            <w:pPr>
              <w:spacing w:line="400" w:lineRule="exact"/>
              <w:jc w:val="center"/>
              <w:rPr>
                <w:rFonts w:ascii="宋体" w:hAnsi="宋体"/>
                <w:color w:val="auto"/>
                <w:highlight w:val="none"/>
              </w:rPr>
            </w:pPr>
          </w:p>
        </w:tc>
        <w:tc>
          <w:tcPr>
            <w:tcW w:w="1417" w:type="dxa"/>
            <w:gridSpan w:val="3"/>
            <w:vMerge w:val="continue"/>
            <w:noWrap w:val="0"/>
            <w:vAlign w:val="center"/>
          </w:tcPr>
          <w:p w14:paraId="4EDC7D23">
            <w:pPr>
              <w:spacing w:line="400" w:lineRule="exact"/>
              <w:jc w:val="center"/>
              <w:rPr>
                <w:rFonts w:hint="eastAsia" w:ascii="宋体" w:hAnsi="宋体"/>
                <w:color w:val="auto"/>
                <w:highlight w:val="none"/>
              </w:rPr>
            </w:pPr>
          </w:p>
        </w:tc>
        <w:tc>
          <w:tcPr>
            <w:tcW w:w="1710" w:type="dxa"/>
            <w:gridSpan w:val="2"/>
            <w:tcBorders>
              <w:top w:val="single" w:color="auto" w:sz="4" w:space="0"/>
              <w:bottom w:val="single" w:color="auto" w:sz="4" w:space="0"/>
            </w:tcBorders>
            <w:noWrap w:val="0"/>
            <w:vAlign w:val="center"/>
          </w:tcPr>
          <w:p w14:paraId="782041AD">
            <w:pPr>
              <w:spacing w:line="400" w:lineRule="exact"/>
              <w:jc w:val="left"/>
              <w:rPr>
                <w:rFonts w:ascii="宋体" w:hAnsi="宋体"/>
                <w:color w:val="auto"/>
                <w:highlight w:val="none"/>
              </w:rPr>
            </w:pPr>
            <w:r>
              <w:rPr>
                <w:rFonts w:ascii="宋体" w:hAnsi="宋体"/>
                <w:color w:val="auto"/>
                <w:kern w:val="0"/>
                <w:highlight w:val="none"/>
              </w:rPr>
              <w:t>工程进度计划与措施</w:t>
            </w:r>
          </w:p>
        </w:tc>
        <w:tc>
          <w:tcPr>
            <w:tcW w:w="5493" w:type="dxa"/>
            <w:vMerge w:val="continue"/>
            <w:noWrap w:val="0"/>
            <w:vAlign w:val="center"/>
          </w:tcPr>
          <w:p w14:paraId="2F2C48E5">
            <w:pPr>
              <w:autoSpaceDE w:val="0"/>
              <w:autoSpaceDN w:val="0"/>
              <w:adjustRightInd w:val="0"/>
              <w:snapToGrid w:val="0"/>
              <w:spacing w:line="400" w:lineRule="exact"/>
              <w:ind w:firstLine="420" w:firstLineChars="200"/>
              <w:rPr>
                <w:rFonts w:ascii="宋体" w:hAnsi="宋体"/>
                <w:color w:val="auto"/>
                <w:szCs w:val="21"/>
                <w:highlight w:val="none"/>
              </w:rPr>
            </w:pPr>
          </w:p>
        </w:tc>
      </w:tr>
      <w:tr w14:paraId="649905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855" w:type="dxa"/>
            <w:vMerge w:val="continue"/>
            <w:noWrap w:val="0"/>
            <w:vAlign w:val="center"/>
          </w:tcPr>
          <w:p w14:paraId="7E59ECD4">
            <w:pPr>
              <w:spacing w:line="400" w:lineRule="exact"/>
              <w:jc w:val="center"/>
              <w:rPr>
                <w:rFonts w:ascii="宋体" w:hAnsi="宋体"/>
                <w:color w:val="auto"/>
                <w:highlight w:val="none"/>
              </w:rPr>
            </w:pPr>
          </w:p>
        </w:tc>
        <w:tc>
          <w:tcPr>
            <w:tcW w:w="1417" w:type="dxa"/>
            <w:gridSpan w:val="3"/>
            <w:vMerge w:val="continue"/>
            <w:noWrap w:val="0"/>
            <w:vAlign w:val="center"/>
          </w:tcPr>
          <w:p w14:paraId="3CBD2041">
            <w:pPr>
              <w:spacing w:line="400" w:lineRule="exact"/>
              <w:jc w:val="center"/>
              <w:rPr>
                <w:rFonts w:hint="eastAsia" w:ascii="宋体" w:hAnsi="宋体"/>
                <w:color w:val="auto"/>
                <w:highlight w:val="none"/>
              </w:rPr>
            </w:pPr>
          </w:p>
        </w:tc>
        <w:tc>
          <w:tcPr>
            <w:tcW w:w="1710" w:type="dxa"/>
            <w:gridSpan w:val="2"/>
            <w:tcBorders>
              <w:top w:val="single" w:color="auto" w:sz="4" w:space="0"/>
              <w:bottom w:val="single" w:color="auto" w:sz="4" w:space="0"/>
            </w:tcBorders>
            <w:noWrap w:val="0"/>
            <w:vAlign w:val="center"/>
          </w:tcPr>
          <w:p w14:paraId="535AD556">
            <w:pPr>
              <w:spacing w:line="400" w:lineRule="exact"/>
              <w:jc w:val="left"/>
              <w:rPr>
                <w:rFonts w:ascii="宋体" w:hAnsi="宋体"/>
                <w:color w:val="auto"/>
                <w:highlight w:val="none"/>
              </w:rPr>
            </w:pPr>
            <w:r>
              <w:rPr>
                <w:rFonts w:ascii="宋体" w:hAnsi="宋体"/>
                <w:color w:val="auto"/>
                <w:kern w:val="0"/>
                <w:highlight w:val="none"/>
              </w:rPr>
              <w:t>资源配备计划与先进性</w:t>
            </w:r>
          </w:p>
        </w:tc>
        <w:tc>
          <w:tcPr>
            <w:tcW w:w="5493" w:type="dxa"/>
            <w:vMerge w:val="continue"/>
            <w:noWrap w:val="0"/>
            <w:vAlign w:val="center"/>
          </w:tcPr>
          <w:p w14:paraId="4C3EDB99">
            <w:pPr>
              <w:autoSpaceDE w:val="0"/>
              <w:autoSpaceDN w:val="0"/>
              <w:adjustRightInd w:val="0"/>
              <w:snapToGrid w:val="0"/>
              <w:spacing w:line="400" w:lineRule="exact"/>
              <w:ind w:firstLine="420" w:firstLineChars="200"/>
              <w:rPr>
                <w:rFonts w:ascii="宋体" w:hAnsi="宋体"/>
                <w:color w:val="auto"/>
                <w:szCs w:val="21"/>
                <w:highlight w:val="none"/>
              </w:rPr>
            </w:pPr>
          </w:p>
        </w:tc>
      </w:tr>
      <w:tr w14:paraId="693196B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855" w:type="dxa"/>
            <w:vMerge w:val="continue"/>
            <w:noWrap w:val="0"/>
            <w:vAlign w:val="center"/>
          </w:tcPr>
          <w:p w14:paraId="209815E3">
            <w:pPr>
              <w:spacing w:line="400" w:lineRule="exact"/>
              <w:jc w:val="center"/>
              <w:rPr>
                <w:rFonts w:ascii="宋体" w:hAnsi="宋体"/>
                <w:color w:val="auto"/>
                <w:highlight w:val="none"/>
              </w:rPr>
            </w:pPr>
          </w:p>
        </w:tc>
        <w:tc>
          <w:tcPr>
            <w:tcW w:w="1417" w:type="dxa"/>
            <w:gridSpan w:val="3"/>
            <w:vMerge w:val="continue"/>
            <w:noWrap w:val="0"/>
            <w:vAlign w:val="center"/>
          </w:tcPr>
          <w:p w14:paraId="64721A0F">
            <w:pPr>
              <w:spacing w:line="400" w:lineRule="exact"/>
              <w:jc w:val="center"/>
              <w:rPr>
                <w:rFonts w:hint="eastAsia" w:ascii="宋体" w:hAnsi="宋体"/>
                <w:color w:val="auto"/>
                <w:highlight w:val="none"/>
              </w:rPr>
            </w:pPr>
          </w:p>
        </w:tc>
        <w:tc>
          <w:tcPr>
            <w:tcW w:w="1710" w:type="dxa"/>
            <w:gridSpan w:val="2"/>
            <w:tcBorders>
              <w:top w:val="single" w:color="auto" w:sz="4" w:space="0"/>
              <w:bottom w:val="single" w:color="auto" w:sz="4" w:space="0"/>
            </w:tcBorders>
            <w:noWrap w:val="0"/>
            <w:vAlign w:val="top"/>
          </w:tcPr>
          <w:p w14:paraId="005B302E">
            <w:pPr>
              <w:spacing w:line="400" w:lineRule="exact"/>
              <w:jc w:val="left"/>
              <w:rPr>
                <w:rFonts w:ascii="宋体" w:hAnsi="宋体"/>
                <w:color w:val="auto"/>
                <w:highlight w:val="none"/>
              </w:rPr>
            </w:pPr>
            <w:r>
              <w:rPr>
                <w:rFonts w:hint="eastAsia" w:ascii="宋体" w:hAnsi="宋体" w:cs="宋体"/>
                <w:color w:val="auto"/>
                <w:kern w:val="0"/>
                <w:highlight w:val="none"/>
              </w:rPr>
              <w:t>□危大工程清单安全管理措施</w:t>
            </w:r>
          </w:p>
        </w:tc>
        <w:tc>
          <w:tcPr>
            <w:tcW w:w="5493" w:type="dxa"/>
            <w:vMerge w:val="continue"/>
            <w:noWrap w:val="0"/>
            <w:vAlign w:val="center"/>
          </w:tcPr>
          <w:p w14:paraId="08D66265">
            <w:pPr>
              <w:autoSpaceDE w:val="0"/>
              <w:autoSpaceDN w:val="0"/>
              <w:adjustRightInd w:val="0"/>
              <w:snapToGrid w:val="0"/>
              <w:spacing w:line="400" w:lineRule="exact"/>
              <w:ind w:firstLine="420" w:firstLineChars="200"/>
              <w:rPr>
                <w:rFonts w:ascii="宋体" w:hAnsi="宋体"/>
                <w:color w:val="auto"/>
                <w:szCs w:val="21"/>
                <w:highlight w:val="none"/>
              </w:rPr>
            </w:pPr>
          </w:p>
        </w:tc>
      </w:tr>
      <w:tr w14:paraId="06BE136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855" w:type="dxa"/>
            <w:vMerge w:val="continue"/>
            <w:noWrap w:val="0"/>
            <w:vAlign w:val="center"/>
          </w:tcPr>
          <w:p w14:paraId="5204D3C2">
            <w:pPr>
              <w:spacing w:line="400" w:lineRule="exact"/>
              <w:jc w:val="center"/>
              <w:rPr>
                <w:rFonts w:ascii="宋体" w:hAnsi="宋体"/>
                <w:color w:val="auto"/>
                <w:highlight w:val="none"/>
              </w:rPr>
            </w:pPr>
          </w:p>
        </w:tc>
        <w:tc>
          <w:tcPr>
            <w:tcW w:w="1417" w:type="dxa"/>
            <w:gridSpan w:val="3"/>
            <w:vMerge w:val="continue"/>
            <w:noWrap w:val="0"/>
            <w:vAlign w:val="center"/>
          </w:tcPr>
          <w:p w14:paraId="1E9DAB81">
            <w:pPr>
              <w:spacing w:line="400" w:lineRule="exact"/>
              <w:jc w:val="center"/>
              <w:rPr>
                <w:rFonts w:hint="eastAsia" w:ascii="宋体" w:hAnsi="宋体"/>
                <w:color w:val="auto"/>
                <w:highlight w:val="none"/>
              </w:rPr>
            </w:pPr>
          </w:p>
        </w:tc>
        <w:tc>
          <w:tcPr>
            <w:tcW w:w="1710" w:type="dxa"/>
            <w:gridSpan w:val="2"/>
            <w:tcBorders>
              <w:top w:val="single" w:color="auto" w:sz="4" w:space="0"/>
              <w:bottom w:val="single" w:color="auto" w:sz="4" w:space="0"/>
            </w:tcBorders>
            <w:noWrap w:val="0"/>
            <w:vAlign w:val="top"/>
          </w:tcPr>
          <w:p w14:paraId="3C706D73">
            <w:pPr>
              <w:spacing w:line="400" w:lineRule="exact"/>
              <w:jc w:val="left"/>
              <w:rPr>
                <w:rFonts w:ascii="宋体" w:hAnsi="宋体"/>
                <w:color w:val="auto"/>
                <w:highlight w:val="none"/>
              </w:rPr>
            </w:pPr>
            <w:r>
              <w:rPr>
                <w:rFonts w:hint="eastAsia" w:ascii="宋体" w:hAnsi="宋体" w:cs="宋体"/>
                <w:color w:val="auto"/>
                <w:kern w:val="0"/>
                <w:highlight w:val="none"/>
              </w:rPr>
              <w:t>□BIM、智慧工地建设管理方案及措施</w:t>
            </w:r>
          </w:p>
        </w:tc>
        <w:tc>
          <w:tcPr>
            <w:tcW w:w="5493" w:type="dxa"/>
            <w:vMerge w:val="continue"/>
            <w:noWrap w:val="0"/>
            <w:vAlign w:val="center"/>
          </w:tcPr>
          <w:p w14:paraId="3758182D">
            <w:pPr>
              <w:autoSpaceDE w:val="0"/>
              <w:autoSpaceDN w:val="0"/>
              <w:adjustRightInd w:val="0"/>
              <w:snapToGrid w:val="0"/>
              <w:spacing w:line="400" w:lineRule="exact"/>
              <w:ind w:firstLine="420" w:firstLineChars="200"/>
              <w:rPr>
                <w:rFonts w:ascii="宋体" w:hAnsi="宋体"/>
                <w:color w:val="auto"/>
                <w:szCs w:val="21"/>
                <w:highlight w:val="none"/>
              </w:rPr>
            </w:pPr>
          </w:p>
        </w:tc>
      </w:tr>
      <w:tr w14:paraId="345CCEF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855" w:type="dxa"/>
            <w:vMerge w:val="continue"/>
            <w:noWrap w:val="0"/>
            <w:vAlign w:val="center"/>
          </w:tcPr>
          <w:p w14:paraId="7BF95C94">
            <w:pPr>
              <w:spacing w:line="400" w:lineRule="exact"/>
              <w:jc w:val="center"/>
              <w:rPr>
                <w:rFonts w:ascii="宋体" w:hAnsi="宋体"/>
                <w:color w:val="auto"/>
                <w:highlight w:val="none"/>
              </w:rPr>
            </w:pPr>
          </w:p>
        </w:tc>
        <w:tc>
          <w:tcPr>
            <w:tcW w:w="1417" w:type="dxa"/>
            <w:gridSpan w:val="3"/>
            <w:vMerge w:val="continue"/>
            <w:noWrap w:val="0"/>
            <w:vAlign w:val="center"/>
          </w:tcPr>
          <w:p w14:paraId="7207DB45">
            <w:pPr>
              <w:spacing w:line="400" w:lineRule="exact"/>
              <w:jc w:val="center"/>
              <w:rPr>
                <w:rFonts w:hint="eastAsia" w:ascii="宋体" w:hAnsi="宋体"/>
                <w:color w:val="auto"/>
                <w:highlight w:val="none"/>
              </w:rPr>
            </w:pPr>
          </w:p>
        </w:tc>
        <w:tc>
          <w:tcPr>
            <w:tcW w:w="1710" w:type="dxa"/>
            <w:gridSpan w:val="2"/>
            <w:tcBorders>
              <w:top w:val="single" w:color="auto" w:sz="4" w:space="0"/>
              <w:bottom w:val="single" w:color="auto" w:sz="4" w:space="0"/>
            </w:tcBorders>
            <w:noWrap w:val="0"/>
            <w:vAlign w:val="top"/>
          </w:tcPr>
          <w:p w14:paraId="7610BB13">
            <w:pPr>
              <w:spacing w:line="400" w:lineRule="exact"/>
              <w:jc w:val="left"/>
              <w:rPr>
                <w:rFonts w:ascii="宋体" w:hAnsi="宋体"/>
                <w:color w:val="auto"/>
                <w:highlight w:val="none"/>
              </w:rPr>
            </w:pPr>
            <w:r>
              <w:rPr>
                <w:rFonts w:hint="eastAsia" w:ascii="宋体" w:hAnsi="宋体" w:cs="宋体"/>
                <w:color w:val="auto"/>
                <w:kern w:val="0"/>
                <w:highlight w:val="none"/>
              </w:rPr>
              <w:t>□</w:t>
            </w:r>
            <w:r>
              <w:rPr>
                <w:rFonts w:ascii="宋体" w:hAnsi="宋体" w:cs="宋体"/>
                <w:color w:val="auto"/>
                <w:kern w:val="0"/>
                <w:highlight w:val="none"/>
              </w:rPr>
              <w:t>……</w:t>
            </w:r>
          </w:p>
        </w:tc>
        <w:tc>
          <w:tcPr>
            <w:tcW w:w="5493" w:type="dxa"/>
            <w:vMerge w:val="continue"/>
            <w:noWrap w:val="0"/>
            <w:vAlign w:val="center"/>
          </w:tcPr>
          <w:p w14:paraId="716CA34C">
            <w:pPr>
              <w:autoSpaceDE w:val="0"/>
              <w:autoSpaceDN w:val="0"/>
              <w:adjustRightInd w:val="0"/>
              <w:snapToGrid w:val="0"/>
              <w:spacing w:line="400" w:lineRule="exact"/>
              <w:ind w:firstLine="420" w:firstLineChars="200"/>
              <w:rPr>
                <w:rFonts w:ascii="宋体" w:hAnsi="宋体"/>
                <w:color w:val="auto"/>
                <w:szCs w:val="21"/>
                <w:highlight w:val="none"/>
              </w:rPr>
            </w:pPr>
          </w:p>
        </w:tc>
      </w:tr>
      <w:tr w14:paraId="393E32A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855" w:type="dxa"/>
            <w:vMerge w:val="continue"/>
            <w:noWrap w:val="0"/>
            <w:vAlign w:val="center"/>
          </w:tcPr>
          <w:p w14:paraId="55588062">
            <w:pPr>
              <w:spacing w:line="400" w:lineRule="exact"/>
              <w:jc w:val="center"/>
              <w:rPr>
                <w:rFonts w:ascii="宋体" w:hAnsi="宋体"/>
                <w:color w:val="auto"/>
                <w:highlight w:val="none"/>
              </w:rPr>
            </w:pPr>
          </w:p>
        </w:tc>
        <w:tc>
          <w:tcPr>
            <w:tcW w:w="1417" w:type="dxa"/>
            <w:gridSpan w:val="3"/>
            <w:vMerge w:val="continue"/>
            <w:noWrap w:val="0"/>
            <w:vAlign w:val="center"/>
          </w:tcPr>
          <w:p w14:paraId="39EF7C96">
            <w:pPr>
              <w:spacing w:line="400" w:lineRule="exact"/>
              <w:jc w:val="center"/>
              <w:rPr>
                <w:rFonts w:hint="eastAsia" w:ascii="宋体" w:hAnsi="宋体"/>
                <w:color w:val="auto"/>
                <w:highlight w:val="none"/>
              </w:rPr>
            </w:pPr>
          </w:p>
        </w:tc>
        <w:tc>
          <w:tcPr>
            <w:tcW w:w="1710" w:type="dxa"/>
            <w:gridSpan w:val="2"/>
            <w:tcBorders>
              <w:top w:val="single" w:color="auto" w:sz="4" w:space="0"/>
              <w:bottom w:val="single" w:color="auto" w:sz="4" w:space="0"/>
            </w:tcBorders>
            <w:noWrap w:val="0"/>
            <w:vAlign w:val="center"/>
          </w:tcPr>
          <w:p w14:paraId="2852888D">
            <w:pPr>
              <w:spacing w:line="400" w:lineRule="exact"/>
              <w:rPr>
                <w:rFonts w:hint="eastAsia" w:ascii="宋体" w:hAnsi="宋体" w:cs="宋体"/>
                <w:color w:val="auto"/>
                <w:kern w:val="0"/>
                <w:highlight w:val="none"/>
              </w:rPr>
            </w:pPr>
            <w:r>
              <w:rPr>
                <w:rFonts w:hint="eastAsia" w:ascii="宋体" w:hAnsi="宋体" w:cs="宋体"/>
                <w:color w:val="auto"/>
                <w:kern w:val="0"/>
                <w:highlight w:val="none"/>
              </w:rPr>
              <w:t>□项目经理答辩</w:t>
            </w:r>
          </w:p>
        </w:tc>
        <w:tc>
          <w:tcPr>
            <w:tcW w:w="5493" w:type="dxa"/>
            <w:noWrap w:val="0"/>
            <w:vAlign w:val="center"/>
          </w:tcPr>
          <w:p w14:paraId="4E260E93">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评标委员会按第2.2.2（1）目各评审因素设定的分值评分。</w:t>
            </w:r>
          </w:p>
          <w:p w14:paraId="0A62FFD1">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项目经理不参与答辩的，其答辩部分分值为0分；采用暗标评审的，若答辩过程中透露与投标人企业有关的任何信息的，其答辩部分分值得0分。</w:t>
            </w:r>
          </w:p>
          <w:p w14:paraId="62941D24">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评标委员会成员为5人及以上时，所有评委评分中去掉一个最高和一个最低分，余下评委评分取算术平均值为该投标人答辩得分。</w:t>
            </w:r>
          </w:p>
          <w:p w14:paraId="0C70CA2F">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投标人答辩得分的最终结果取小数点后两位，第三位四舍五入。</w:t>
            </w:r>
          </w:p>
        </w:tc>
      </w:tr>
      <w:tr w14:paraId="506BFDA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855" w:type="dxa"/>
            <w:noWrap w:val="0"/>
            <w:vAlign w:val="center"/>
          </w:tcPr>
          <w:p w14:paraId="31DBA943">
            <w:pPr>
              <w:spacing w:line="400" w:lineRule="exact"/>
              <w:jc w:val="center"/>
              <w:rPr>
                <w:rFonts w:ascii="宋体" w:hAnsi="宋体"/>
                <w:color w:val="auto"/>
                <w:highlight w:val="none"/>
              </w:rPr>
            </w:pPr>
            <w:r>
              <w:rPr>
                <w:rFonts w:ascii="宋体" w:hAnsi="宋体"/>
                <w:color w:val="auto"/>
                <w:highlight w:val="none"/>
              </w:rPr>
              <w:t>3.2.1（</w:t>
            </w:r>
            <w:r>
              <w:rPr>
                <w:rFonts w:hint="eastAsia" w:ascii="宋体" w:hAnsi="宋体"/>
                <w:color w:val="auto"/>
                <w:highlight w:val="none"/>
              </w:rPr>
              <w:t>2</w:t>
            </w:r>
            <w:r>
              <w:rPr>
                <w:rFonts w:ascii="宋体" w:hAnsi="宋体"/>
                <w:color w:val="auto"/>
                <w:highlight w:val="none"/>
              </w:rPr>
              <w:t>）</w:t>
            </w:r>
          </w:p>
        </w:tc>
        <w:tc>
          <w:tcPr>
            <w:tcW w:w="1417" w:type="dxa"/>
            <w:gridSpan w:val="3"/>
            <w:noWrap w:val="0"/>
            <w:vAlign w:val="center"/>
          </w:tcPr>
          <w:p w14:paraId="05F4E8AF">
            <w:pPr>
              <w:spacing w:line="400" w:lineRule="exact"/>
              <w:rPr>
                <w:rFonts w:ascii="宋体" w:hAnsi="宋体"/>
                <w:b/>
                <w:color w:val="auto"/>
                <w:kern w:val="0"/>
                <w:szCs w:val="21"/>
                <w:highlight w:val="none"/>
              </w:rPr>
            </w:pPr>
            <w:r>
              <w:rPr>
                <w:rFonts w:hint="eastAsia" w:ascii="宋体" w:hAnsi="宋体"/>
                <w:b/>
                <w:color w:val="auto"/>
                <w:kern w:val="0"/>
                <w:szCs w:val="21"/>
                <w:highlight w:val="none"/>
              </w:rPr>
              <w:t>□</w:t>
            </w:r>
            <w:r>
              <w:rPr>
                <w:rFonts w:ascii="宋体" w:hAnsi="宋体"/>
                <w:b/>
                <w:color w:val="auto"/>
                <w:kern w:val="0"/>
                <w:szCs w:val="21"/>
                <w:highlight w:val="none"/>
              </w:rPr>
              <w:t>选项一</w:t>
            </w:r>
            <w:r>
              <w:rPr>
                <w:rFonts w:ascii="宋体" w:hAnsi="宋体"/>
                <w:b/>
                <w:color w:val="auto"/>
                <w:kern w:val="0"/>
                <w:highlight w:val="none"/>
              </w:rPr>
              <w:t>：</w:t>
            </w:r>
          </w:p>
          <w:p w14:paraId="33A9559C">
            <w:pPr>
              <w:spacing w:line="400" w:lineRule="exact"/>
              <w:jc w:val="center"/>
              <w:rPr>
                <w:rFonts w:ascii="宋体" w:hAnsi="宋体"/>
                <w:color w:val="auto"/>
                <w:highlight w:val="none"/>
              </w:rPr>
            </w:pPr>
            <w:r>
              <w:rPr>
                <w:rFonts w:ascii="宋体" w:hAnsi="宋体"/>
                <w:color w:val="auto"/>
                <w:highlight w:val="none"/>
              </w:rPr>
              <w:t>投标报价</w:t>
            </w:r>
            <w:r>
              <w:rPr>
                <w:rFonts w:ascii="宋体" w:hAnsi="宋体"/>
                <w:color w:val="auto"/>
                <w:kern w:val="0"/>
                <w:highlight w:val="none"/>
              </w:rPr>
              <w:t>得分</w:t>
            </w:r>
            <w:r>
              <w:rPr>
                <w:rFonts w:ascii="宋体" w:hAnsi="宋体"/>
                <w:color w:val="auto"/>
                <w:spacing w:val="-8"/>
                <w:highlight w:val="none"/>
              </w:rPr>
              <w:t>（</w:t>
            </w:r>
            <w:r>
              <w:rPr>
                <w:rFonts w:hint="eastAsia" w:ascii="宋体" w:hAnsi="宋体"/>
                <w:color w:val="auto"/>
                <w:spacing w:val="-8"/>
                <w:highlight w:val="none"/>
              </w:rPr>
              <w:t>B</w:t>
            </w:r>
            <w:r>
              <w:rPr>
                <w:rFonts w:ascii="宋体" w:hAnsi="宋体"/>
                <w:color w:val="auto"/>
                <w:spacing w:val="-8"/>
                <w:highlight w:val="none"/>
              </w:rPr>
              <w:t>）</w:t>
            </w:r>
          </w:p>
        </w:tc>
        <w:tc>
          <w:tcPr>
            <w:tcW w:w="1710" w:type="dxa"/>
            <w:gridSpan w:val="2"/>
            <w:tcBorders>
              <w:top w:val="single" w:color="auto" w:sz="4" w:space="0"/>
            </w:tcBorders>
            <w:noWrap w:val="0"/>
            <w:vAlign w:val="center"/>
          </w:tcPr>
          <w:p w14:paraId="497A451F">
            <w:pPr>
              <w:spacing w:line="400" w:lineRule="exact"/>
              <w:jc w:val="center"/>
              <w:rPr>
                <w:rFonts w:ascii="宋体" w:hAnsi="宋体"/>
                <w:color w:val="auto"/>
                <w:highlight w:val="none"/>
              </w:rPr>
            </w:pPr>
            <w:r>
              <w:rPr>
                <w:rFonts w:ascii="宋体" w:hAnsi="宋体"/>
                <w:color w:val="auto"/>
                <w:highlight w:val="none"/>
              </w:rPr>
              <w:t>投标总报价</w:t>
            </w:r>
          </w:p>
        </w:tc>
        <w:tc>
          <w:tcPr>
            <w:tcW w:w="5493" w:type="dxa"/>
            <w:noWrap w:val="0"/>
            <w:vAlign w:val="center"/>
          </w:tcPr>
          <w:p w14:paraId="0F390F52">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设置</w:t>
            </w:r>
            <w:r>
              <w:rPr>
                <w:rFonts w:ascii="宋体" w:hAnsi="宋体"/>
                <w:color w:val="auto"/>
                <w:szCs w:val="21"/>
                <w:highlight w:val="none"/>
              </w:rPr>
              <w:t>允许偏差范围</w:t>
            </w:r>
            <w:r>
              <w:rPr>
                <w:rFonts w:hint="eastAsia" w:ascii="宋体" w:hAnsi="宋体"/>
                <w:color w:val="auto"/>
                <w:szCs w:val="21"/>
                <w:highlight w:val="none"/>
              </w:rPr>
              <w:t>的，</w:t>
            </w:r>
            <w:r>
              <w:rPr>
                <w:rFonts w:ascii="宋体" w:hAnsi="宋体"/>
                <w:color w:val="auto"/>
                <w:kern w:val="0"/>
                <w:highlight w:val="none"/>
              </w:rPr>
              <w:t>投标总报价的偏差在</w:t>
            </w:r>
            <w:r>
              <w:rPr>
                <w:rFonts w:ascii="宋体" w:hAnsi="宋体"/>
                <w:color w:val="auto"/>
                <w:szCs w:val="21"/>
                <w:highlight w:val="none"/>
              </w:rPr>
              <w:t>允许偏差范围外，</w:t>
            </w:r>
            <w:r>
              <w:rPr>
                <w:rFonts w:ascii="宋体" w:hAnsi="宋体"/>
                <w:bCs/>
                <w:color w:val="auto"/>
                <w:szCs w:val="28"/>
                <w:highlight w:val="none"/>
              </w:rPr>
              <w:t>得零分</w:t>
            </w:r>
            <w:r>
              <w:rPr>
                <w:rFonts w:ascii="宋体" w:hAnsi="宋体"/>
                <w:color w:val="auto"/>
                <w:kern w:val="0"/>
                <w:highlight w:val="none"/>
              </w:rPr>
              <w:t>；</w:t>
            </w:r>
            <w:r>
              <w:rPr>
                <w:rFonts w:hint="eastAsia" w:ascii="宋体" w:hAnsi="宋体"/>
                <w:color w:val="auto"/>
                <w:kern w:val="0"/>
                <w:highlight w:val="none"/>
              </w:rPr>
              <w:t>不设置允许偏差范围或</w:t>
            </w:r>
            <w:r>
              <w:rPr>
                <w:rFonts w:ascii="宋体" w:hAnsi="宋体"/>
                <w:color w:val="auto"/>
                <w:szCs w:val="21"/>
                <w:highlight w:val="none"/>
              </w:rPr>
              <w:t>投标总报价偏差在允许范围内的（含上、下限值），得</w:t>
            </w:r>
            <w:r>
              <w:rPr>
                <w:rFonts w:ascii="宋体" w:hAnsi="宋体"/>
                <w:bCs/>
                <w:color w:val="auto"/>
                <w:szCs w:val="28"/>
                <w:highlight w:val="none"/>
              </w:rPr>
              <w:t>本附表第2.2.1项规定分值的满分</w:t>
            </w:r>
            <w:r>
              <w:rPr>
                <w:rFonts w:ascii="宋体" w:hAnsi="宋体"/>
                <w:bCs/>
                <w:color w:val="auto"/>
                <w:szCs w:val="28"/>
                <w:highlight w:val="none"/>
                <w:u w:val="single"/>
              </w:rPr>
              <w:t xml:space="preserve">     </w:t>
            </w:r>
            <w:r>
              <w:rPr>
                <w:rFonts w:ascii="宋体" w:hAnsi="宋体"/>
                <w:color w:val="auto"/>
                <w:szCs w:val="21"/>
                <w:highlight w:val="none"/>
              </w:rPr>
              <w:t>分。在此基础上，投标总报价与评标基准价相比，每增加1%扣</w:t>
            </w:r>
            <w:r>
              <w:rPr>
                <w:rFonts w:ascii="宋体" w:hAnsi="宋体"/>
                <w:color w:val="auto"/>
                <w:szCs w:val="21"/>
                <w:highlight w:val="none"/>
                <w:u w:val="single"/>
              </w:rPr>
              <w:t>　</w:t>
            </w:r>
            <w:r>
              <w:rPr>
                <w:rFonts w:hint="eastAsia" w:ascii="宋体" w:hAnsi="宋体"/>
                <w:color w:val="auto"/>
                <w:szCs w:val="21"/>
                <w:highlight w:val="none"/>
                <w:u w:val="single"/>
              </w:rPr>
              <w:t xml:space="preserve">   </w:t>
            </w:r>
            <w:r>
              <w:rPr>
                <w:rFonts w:ascii="宋体" w:hAnsi="宋体"/>
                <w:color w:val="auto"/>
                <w:szCs w:val="21"/>
                <w:highlight w:val="none"/>
                <w:u w:val="single"/>
              </w:rPr>
              <w:t>　</w:t>
            </w:r>
            <w:r>
              <w:rPr>
                <w:rFonts w:hint="eastAsia" w:ascii="宋体" w:hAnsi="宋体"/>
                <w:color w:val="auto"/>
                <w:szCs w:val="21"/>
                <w:highlight w:val="none"/>
              </w:rPr>
              <w:t>（1～2）</w:t>
            </w:r>
            <w:r>
              <w:rPr>
                <w:rFonts w:ascii="宋体" w:hAnsi="宋体"/>
                <w:color w:val="auto"/>
                <w:szCs w:val="21"/>
                <w:highlight w:val="none"/>
              </w:rPr>
              <w:t>分，每减少1%扣</w:t>
            </w:r>
            <w:r>
              <w:rPr>
                <w:rFonts w:ascii="宋体" w:hAnsi="宋体"/>
                <w:color w:val="auto"/>
                <w:szCs w:val="21"/>
                <w:highlight w:val="none"/>
                <w:u w:val="single"/>
              </w:rPr>
              <w:t>　</w:t>
            </w:r>
            <w:r>
              <w:rPr>
                <w:rFonts w:hint="eastAsia" w:ascii="宋体" w:hAnsi="宋体"/>
                <w:color w:val="auto"/>
                <w:szCs w:val="21"/>
                <w:highlight w:val="none"/>
                <w:u w:val="single"/>
              </w:rPr>
              <w:t xml:space="preserve">  </w:t>
            </w:r>
            <w:r>
              <w:rPr>
                <w:rFonts w:ascii="宋体" w:hAnsi="宋体"/>
                <w:color w:val="auto"/>
                <w:szCs w:val="21"/>
                <w:highlight w:val="none"/>
                <w:u w:val="single"/>
              </w:rPr>
              <w:t>　</w:t>
            </w:r>
            <w:r>
              <w:rPr>
                <w:rFonts w:hint="eastAsia" w:ascii="宋体" w:hAnsi="宋体"/>
                <w:color w:val="auto"/>
                <w:szCs w:val="21"/>
                <w:highlight w:val="none"/>
              </w:rPr>
              <w:t>（0.5～1）</w:t>
            </w:r>
            <w:r>
              <w:rPr>
                <w:rFonts w:ascii="宋体" w:hAnsi="宋体"/>
                <w:color w:val="auto"/>
                <w:szCs w:val="21"/>
                <w:highlight w:val="none"/>
              </w:rPr>
              <w:t>分，扣完为止。</w:t>
            </w:r>
          </w:p>
          <w:p w14:paraId="7F744382">
            <w:pPr>
              <w:spacing w:line="400" w:lineRule="exact"/>
              <w:ind w:firstLine="420" w:firstLineChars="200"/>
              <w:rPr>
                <w:rFonts w:ascii="宋体" w:hAnsi="宋体"/>
                <w:color w:val="auto"/>
                <w:szCs w:val="21"/>
                <w:highlight w:val="none"/>
              </w:rPr>
            </w:pPr>
            <w:r>
              <w:rPr>
                <w:rFonts w:ascii="宋体" w:hAnsi="宋体"/>
                <w:color w:val="auto"/>
                <w:szCs w:val="21"/>
                <w:highlight w:val="none"/>
              </w:rPr>
              <w:t>按插入法计算得分。</w:t>
            </w:r>
          </w:p>
          <w:p w14:paraId="5367FC5D">
            <w:pPr>
              <w:spacing w:line="400" w:lineRule="exact"/>
              <w:ind w:firstLine="420" w:firstLineChars="200"/>
              <w:rPr>
                <w:rFonts w:ascii="宋体" w:hAnsi="宋体"/>
                <w:color w:val="auto"/>
                <w:szCs w:val="21"/>
                <w:highlight w:val="none"/>
              </w:rPr>
            </w:pPr>
            <w:r>
              <w:rPr>
                <w:rFonts w:ascii="宋体" w:hAnsi="宋体"/>
                <w:color w:val="auto"/>
                <w:szCs w:val="21"/>
                <w:highlight w:val="none"/>
              </w:rPr>
              <w:t>在偏差范围内，未参与评标基准价计算的投标报价，仍应参加计算相应分值。</w:t>
            </w:r>
          </w:p>
          <w:p w14:paraId="4542CFED">
            <w:pPr>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投标总报价最终结果</w:t>
            </w:r>
            <w:r>
              <w:rPr>
                <w:rFonts w:ascii="宋体" w:hAnsi="宋体"/>
                <w:color w:val="auto"/>
                <w:kern w:val="0"/>
                <w:szCs w:val="21"/>
                <w:highlight w:val="none"/>
              </w:rPr>
              <w:t>取小数点后两位，第三位四舍五入。</w:t>
            </w:r>
          </w:p>
        </w:tc>
      </w:tr>
      <w:tr w14:paraId="17DE5B9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55" w:type="dxa"/>
            <w:noWrap w:val="0"/>
            <w:vAlign w:val="center"/>
          </w:tcPr>
          <w:p w14:paraId="170C9D8B">
            <w:pPr>
              <w:spacing w:line="400" w:lineRule="exact"/>
              <w:jc w:val="center"/>
              <w:rPr>
                <w:rFonts w:ascii="宋体" w:hAnsi="宋体"/>
                <w:color w:val="auto"/>
                <w:highlight w:val="none"/>
              </w:rPr>
            </w:pPr>
            <w:r>
              <w:rPr>
                <w:rFonts w:ascii="宋体" w:hAnsi="宋体"/>
                <w:color w:val="auto"/>
                <w:highlight w:val="none"/>
              </w:rPr>
              <w:t>3.2.1（</w:t>
            </w:r>
            <w:r>
              <w:rPr>
                <w:rFonts w:hint="eastAsia" w:ascii="宋体" w:hAnsi="宋体"/>
                <w:color w:val="auto"/>
                <w:highlight w:val="none"/>
              </w:rPr>
              <w:t>2</w:t>
            </w:r>
            <w:r>
              <w:rPr>
                <w:rFonts w:ascii="宋体" w:hAnsi="宋体"/>
                <w:color w:val="auto"/>
                <w:highlight w:val="none"/>
              </w:rPr>
              <w:t>）</w:t>
            </w:r>
          </w:p>
        </w:tc>
        <w:tc>
          <w:tcPr>
            <w:tcW w:w="1417" w:type="dxa"/>
            <w:gridSpan w:val="3"/>
            <w:noWrap w:val="0"/>
            <w:vAlign w:val="center"/>
          </w:tcPr>
          <w:p w14:paraId="7C3F87B2">
            <w:pPr>
              <w:spacing w:line="400" w:lineRule="exact"/>
              <w:rPr>
                <w:rFonts w:hint="eastAsia" w:ascii="宋体" w:hAnsi="宋体"/>
                <w:b/>
                <w:color w:val="auto"/>
                <w:kern w:val="0"/>
                <w:szCs w:val="21"/>
                <w:highlight w:val="none"/>
              </w:rPr>
            </w:pPr>
            <w:r>
              <w:rPr>
                <w:rFonts w:hint="eastAsia" w:ascii="宋体" w:hAnsi="宋体"/>
                <w:b/>
                <w:color w:val="auto"/>
                <w:kern w:val="0"/>
                <w:szCs w:val="21"/>
                <w:highlight w:val="none"/>
              </w:rPr>
              <w:t>□</w:t>
            </w:r>
            <w:r>
              <w:rPr>
                <w:rFonts w:ascii="宋体" w:hAnsi="宋体"/>
                <w:b/>
                <w:color w:val="auto"/>
                <w:kern w:val="0"/>
                <w:szCs w:val="21"/>
                <w:highlight w:val="none"/>
              </w:rPr>
              <w:t>选项二：</w:t>
            </w:r>
          </w:p>
          <w:p w14:paraId="1BD9BEA2">
            <w:pPr>
              <w:spacing w:line="400" w:lineRule="exact"/>
              <w:jc w:val="center"/>
              <w:rPr>
                <w:rFonts w:ascii="宋体" w:hAnsi="宋体"/>
                <w:color w:val="auto"/>
                <w:highlight w:val="none"/>
              </w:rPr>
            </w:pPr>
            <w:r>
              <w:rPr>
                <w:rFonts w:ascii="宋体" w:hAnsi="宋体"/>
                <w:color w:val="auto"/>
                <w:highlight w:val="none"/>
              </w:rPr>
              <w:t>投标报价</w:t>
            </w:r>
            <w:r>
              <w:rPr>
                <w:rFonts w:ascii="宋体" w:hAnsi="宋体"/>
                <w:color w:val="auto"/>
                <w:kern w:val="0"/>
                <w:highlight w:val="none"/>
              </w:rPr>
              <w:t>得分</w:t>
            </w:r>
            <w:r>
              <w:rPr>
                <w:rFonts w:ascii="宋体" w:hAnsi="宋体"/>
                <w:color w:val="auto"/>
                <w:spacing w:val="-8"/>
                <w:highlight w:val="none"/>
              </w:rPr>
              <w:t>（</w:t>
            </w:r>
            <w:r>
              <w:rPr>
                <w:rFonts w:hint="eastAsia" w:ascii="宋体" w:hAnsi="宋体"/>
                <w:color w:val="auto"/>
                <w:spacing w:val="-8"/>
                <w:highlight w:val="none"/>
              </w:rPr>
              <w:t>B</w:t>
            </w:r>
            <w:r>
              <w:rPr>
                <w:rFonts w:ascii="宋体" w:hAnsi="宋体"/>
                <w:color w:val="auto"/>
                <w:spacing w:val="-8"/>
                <w:highlight w:val="none"/>
              </w:rPr>
              <w:t>）</w:t>
            </w:r>
          </w:p>
        </w:tc>
        <w:tc>
          <w:tcPr>
            <w:tcW w:w="1710" w:type="dxa"/>
            <w:gridSpan w:val="2"/>
            <w:noWrap w:val="0"/>
            <w:vAlign w:val="center"/>
          </w:tcPr>
          <w:p w14:paraId="2088AD6B">
            <w:pPr>
              <w:spacing w:line="400" w:lineRule="exact"/>
              <w:jc w:val="center"/>
              <w:rPr>
                <w:rFonts w:ascii="宋体" w:hAnsi="宋体"/>
                <w:color w:val="auto"/>
                <w:highlight w:val="none"/>
              </w:rPr>
            </w:pPr>
            <w:r>
              <w:rPr>
                <w:rFonts w:ascii="宋体" w:hAnsi="宋体"/>
                <w:color w:val="auto"/>
                <w:highlight w:val="none"/>
              </w:rPr>
              <w:t>投标总报价</w:t>
            </w:r>
          </w:p>
        </w:tc>
        <w:tc>
          <w:tcPr>
            <w:tcW w:w="5493" w:type="dxa"/>
            <w:noWrap w:val="0"/>
            <w:vAlign w:val="center"/>
          </w:tcPr>
          <w:p w14:paraId="64463E0D">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设置</w:t>
            </w:r>
            <w:r>
              <w:rPr>
                <w:rFonts w:ascii="宋体" w:hAnsi="宋体"/>
                <w:color w:val="auto"/>
                <w:szCs w:val="21"/>
                <w:highlight w:val="none"/>
              </w:rPr>
              <w:t>允许偏差范围</w:t>
            </w:r>
            <w:r>
              <w:rPr>
                <w:rFonts w:hint="eastAsia" w:ascii="宋体" w:hAnsi="宋体"/>
                <w:color w:val="auto"/>
                <w:szCs w:val="21"/>
                <w:highlight w:val="none"/>
              </w:rPr>
              <w:t>的，</w:t>
            </w:r>
            <w:r>
              <w:rPr>
                <w:rFonts w:ascii="宋体" w:hAnsi="宋体"/>
                <w:color w:val="auto"/>
                <w:kern w:val="0"/>
                <w:highlight w:val="none"/>
              </w:rPr>
              <w:t>投标总报价的偏差在</w:t>
            </w:r>
            <w:r>
              <w:rPr>
                <w:rFonts w:ascii="宋体" w:hAnsi="宋体"/>
                <w:color w:val="auto"/>
                <w:szCs w:val="21"/>
                <w:highlight w:val="none"/>
              </w:rPr>
              <w:t>允许偏差范围外，</w:t>
            </w:r>
            <w:r>
              <w:rPr>
                <w:rFonts w:ascii="宋体" w:hAnsi="宋体"/>
                <w:bCs/>
                <w:color w:val="auto"/>
                <w:szCs w:val="28"/>
                <w:highlight w:val="none"/>
              </w:rPr>
              <w:t>得零分</w:t>
            </w:r>
            <w:r>
              <w:rPr>
                <w:rFonts w:ascii="宋体" w:hAnsi="宋体"/>
                <w:color w:val="auto"/>
                <w:kern w:val="0"/>
                <w:highlight w:val="none"/>
              </w:rPr>
              <w:t>；</w:t>
            </w:r>
            <w:r>
              <w:rPr>
                <w:rFonts w:hint="eastAsia" w:ascii="宋体" w:hAnsi="宋体"/>
                <w:color w:val="auto"/>
                <w:kern w:val="0"/>
                <w:highlight w:val="none"/>
              </w:rPr>
              <w:t>不设置允许偏差范围或</w:t>
            </w:r>
            <w:r>
              <w:rPr>
                <w:rFonts w:ascii="宋体" w:hAnsi="宋体"/>
                <w:color w:val="auto"/>
                <w:szCs w:val="21"/>
                <w:highlight w:val="none"/>
              </w:rPr>
              <w:t>投标总报价偏差在允许范围内的（含上、下限值），得</w:t>
            </w:r>
            <w:r>
              <w:rPr>
                <w:rFonts w:ascii="宋体" w:hAnsi="宋体"/>
                <w:bCs/>
                <w:color w:val="auto"/>
                <w:szCs w:val="28"/>
                <w:highlight w:val="none"/>
                <w:u w:val="single"/>
              </w:rPr>
              <w:t xml:space="preserve">     </w:t>
            </w:r>
            <w:r>
              <w:rPr>
                <w:rFonts w:ascii="宋体" w:hAnsi="宋体"/>
                <w:color w:val="auto"/>
                <w:szCs w:val="21"/>
                <w:highlight w:val="none"/>
              </w:rPr>
              <w:t>分。在此基础上，投标总报价与评标基准价相比，每增加1%扣</w:t>
            </w:r>
            <w:r>
              <w:rPr>
                <w:rFonts w:ascii="宋体" w:hAnsi="宋体"/>
                <w:color w:val="auto"/>
                <w:szCs w:val="21"/>
                <w:highlight w:val="none"/>
                <w:u w:val="single"/>
              </w:rPr>
              <w:t>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（1～2）</w:t>
            </w:r>
            <w:r>
              <w:rPr>
                <w:rFonts w:ascii="宋体" w:hAnsi="宋体"/>
                <w:color w:val="auto"/>
                <w:szCs w:val="21"/>
                <w:highlight w:val="none"/>
              </w:rPr>
              <w:t>分，扣完为止，每减少1%加</w:t>
            </w:r>
            <w:r>
              <w:rPr>
                <w:rFonts w:ascii="宋体" w:hAnsi="宋体"/>
                <w:color w:val="auto"/>
                <w:szCs w:val="21"/>
                <w:highlight w:val="none"/>
                <w:u w:val="single"/>
              </w:rPr>
              <w:t>　</w:t>
            </w:r>
            <w:r>
              <w:rPr>
                <w:rFonts w:hint="eastAsia" w:ascii="宋体" w:hAnsi="宋体"/>
                <w:color w:val="auto"/>
                <w:szCs w:val="21"/>
                <w:highlight w:val="none"/>
                <w:u w:val="single"/>
              </w:rPr>
              <w:t xml:space="preserve">   </w:t>
            </w:r>
            <w:r>
              <w:rPr>
                <w:rFonts w:hint="eastAsia" w:ascii="宋体" w:hAnsi="宋体"/>
                <w:color w:val="auto"/>
                <w:szCs w:val="21"/>
                <w:highlight w:val="none"/>
              </w:rPr>
              <w:t>（1～2）</w:t>
            </w:r>
            <w:r>
              <w:rPr>
                <w:rFonts w:ascii="宋体" w:hAnsi="宋体"/>
                <w:color w:val="auto"/>
                <w:szCs w:val="21"/>
                <w:highlight w:val="none"/>
              </w:rPr>
              <w:t>分，最多加</w:t>
            </w:r>
            <w:r>
              <w:rPr>
                <w:rFonts w:ascii="宋体" w:hAnsi="宋体"/>
                <w:color w:val="auto"/>
                <w:szCs w:val="21"/>
                <w:highlight w:val="none"/>
                <w:u w:val="single"/>
              </w:rPr>
              <w:t>　</w:t>
            </w:r>
            <w:r>
              <w:rPr>
                <w:rFonts w:hint="eastAsia" w:ascii="宋体" w:hAnsi="宋体"/>
                <w:color w:val="auto"/>
                <w:szCs w:val="21"/>
                <w:highlight w:val="none"/>
                <w:u w:val="single"/>
              </w:rPr>
              <w:t xml:space="preserve">    </w:t>
            </w:r>
            <w:r>
              <w:rPr>
                <w:rFonts w:ascii="宋体" w:hAnsi="宋体"/>
                <w:color w:val="auto"/>
                <w:szCs w:val="21"/>
                <w:highlight w:val="none"/>
              </w:rPr>
              <w:t>分。</w:t>
            </w:r>
          </w:p>
          <w:p w14:paraId="1B0D8C33">
            <w:pPr>
              <w:spacing w:line="400" w:lineRule="exact"/>
              <w:ind w:firstLine="420" w:firstLineChars="200"/>
              <w:rPr>
                <w:rFonts w:ascii="宋体" w:hAnsi="宋体"/>
                <w:color w:val="auto"/>
                <w:szCs w:val="21"/>
                <w:highlight w:val="none"/>
              </w:rPr>
            </w:pPr>
            <w:r>
              <w:rPr>
                <w:rFonts w:ascii="宋体" w:hAnsi="宋体"/>
                <w:color w:val="auto"/>
                <w:szCs w:val="21"/>
                <w:highlight w:val="none"/>
              </w:rPr>
              <w:t>按插入法计算得分。</w:t>
            </w:r>
          </w:p>
          <w:p w14:paraId="408B9176">
            <w:pPr>
              <w:spacing w:line="400" w:lineRule="exact"/>
              <w:ind w:firstLine="420" w:firstLineChars="200"/>
              <w:rPr>
                <w:rFonts w:ascii="宋体" w:hAnsi="宋体"/>
                <w:color w:val="auto"/>
                <w:szCs w:val="21"/>
                <w:highlight w:val="none"/>
              </w:rPr>
            </w:pPr>
            <w:r>
              <w:rPr>
                <w:rFonts w:ascii="宋体" w:hAnsi="宋体"/>
                <w:color w:val="auto"/>
                <w:szCs w:val="21"/>
                <w:highlight w:val="none"/>
              </w:rPr>
              <w:t>在偏差范围内，未参与评标基准价计算的投标报价，仍应参加计算相应分值。</w:t>
            </w:r>
          </w:p>
          <w:p w14:paraId="7E11E7D3">
            <w:pPr>
              <w:spacing w:line="400" w:lineRule="exact"/>
              <w:ind w:firstLine="420" w:firstLineChars="200"/>
              <w:rPr>
                <w:rFonts w:ascii="宋体" w:hAnsi="宋体"/>
                <w:color w:val="auto"/>
                <w:kern w:val="0"/>
                <w:highlight w:val="none"/>
              </w:rPr>
            </w:pPr>
            <w:r>
              <w:rPr>
                <w:rFonts w:hint="eastAsia" w:ascii="宋体" w:hAnsi="宋体"/>
                <w:color w:val="auto"/>
                <w:kern w:val="0"/>
                <w:szCs w:val="21"/>
                <w:highlight w:val="none"/>
              </w:rPr>
              <w:t>投标总报价最终结果</w:t>
            </w:r>
            <w:r>
              <w:rPr>
                <w:rFonts w:ascii="宋体" w:hAnsi="宋体"/>
                <w:color w:val="auto"/>
                <w:kern w:val="0"/>
                <w:szCs w:val="21"/>
                <w:highlight w:val="none"/>
              </w:rPr>
              <w:t>取小数点后两位，第三位四舍五入。</w:t>
            </w:r>
          </w:p>
        </w:tc>
      </w:tr>
      <w:tr w14:paraId="6647DE4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55" w:type="dxa"/>
            <w:noWrap w:val="0"/>
            <w:vAlign w:val="center"/>
          </w:tcPr>
          <w:p w14:paraId="28014172">
            <w:pPr>
              <w:spacing w:line="400" w:lineRule="exact"/>
              <w:jc w:val="center"/>
              <w:rPr>
                <w:rFonts w:hint="eastAsia" w:ascii="宋体" w:hAnsi="宋体"/>
                <w:color w:val="auto"/>
                <w:highlight w:val="none"/>
              </w:rPr>
            </w:pPr>
            <w:r>
              <w:rPr>
                <w:rFonts w:hint="eastAsia" w:ascii="宋体" w:hAnsi="宋体"/>
                <w:color w:val="auto"/>
                <w:highlight w:val="none"/>
              </w:rPr>
              <w:t>3.2.1</w:t>
            </w:r>
          </w:p>
          <w:p w14:paraId="6CC6FF23">
            <w:pPr>
              <w:spacing w:line="400" w:lineRule="exact"/>
              <w:jc w:val="center"/>
              <w:rPr>
                <w:rFonts w:ascii="宋体" w:hAnsi="宋体"/>
                <w:color w:val="auto"/>
                <w:highlight w:val="none"/>
              </w:rPr>
            </w:pPr>
            <w:r>
              <w:rPr>
                <w:rFonts w:hint="eastAsia" w:ascii="宋体" w:hAnsi="宋体"/>
                <w:color w:val="auto"/>
                <w:highlight w:val="none"/>
              </w:rPr>
              <w:t>（2）</w:t>
            </w:r>
          </w:p>
        </w:tc>
        <w:tc>
          <w:tcPr>
            <w:tcW w:w="1417" w:type="dxa"/>
            <w:gridSpan w:val="3"/>
            <w:noWrap w:val="0"/>
            <w:vAlign w:val="center"/>
          </w:tcPr>
          <w:p w14:paraId="3824E195">
            <w:pPr>
              <w:spacing w:line="400" w:lineRule="exact"/>
              <w:rPr>
                <w:rFonts w:hint="eastAsia" w:ascii="宋体" w:hAnsi="宋体"/>
                <w:b/>
                <w:color w:val="auto"/>
                <w:kern w:val="0"/>
                <w:szCs w:val="21"/>
                <w:highlight w:val="none"/>
              </w:rPr>
            </w:pPr>
            <w:r>
              <w:rPr>
                <w:rFonts w:hint="eastAsia" w:ascii="宋体" w:hAnsi="宋体"/>
                <w:b/>
                <w:color w:val="auto"/>
                <w:kern w:val="0"/>
                <w:szCs w:val="21"/>
                <w:highlight w:val="none"/>
              </w:rPr>
              <w:t>□选项三：</w:t>
            </w:r>
          </w:p>
          <w:p w14:paraId="0E158FD8">
            <w:pPr>
              <w:spacing w:line="400" w:lineRule="exact"/>
              <w:jc w:val="center"/>
              <w:rPr>
                <w:rFonts w:ascii="宋体" w:hAnsi="宋体"/>
                <w:color w:val="auto"/>
                <w:highlight w:val="none"/>
              </w:rPr>
            </w:pPr>
            <w:r>
              <w:rPr>
                <w:rFonts w:hint="eastAsia" w:ascii="宋体" w:hAnsi="宋体"/>
                <w:color w:val="auto"/>
                <w:highlight w:val="none"/>
              </w:rPr>
              <w:t>投标报价得分（B）</w:t>
            </w:r>
          </w:p>
        </w:tc>
        <w:tc>
          <w:tcPr>
            <w:tcW w:w="1710" w:type="dxa"/>
            <w:gridSpan w:val="2"/>
            <w:noWrap w:val="0"/>
            <w:vAlign w:val="center"/>
          </w:tcPr>
          <w:p w14:paraId="6B99B798">
            <w:pPr>
              <w:spacing w:line="400" w:lineRule="exact"/>
              <w:jc w:val="center"/>
              <w:rPr>
                <w:rFonts w:ascii="宋体" w:hAnsi="宋体"/>
                <w:color w:val="auto"/>
                <w:highlight w:val="none"/>
              </w:rPr>
            </w:pPr>
            <w:r>
              <w:rPr>
                <w:rFonts w:hint="eastAsia" w:ascii="宋体" w:hAnsi="宋体"/>
                <w:color w:val="auto"/>
                <w:highlight w:val="none"/>
              </w:rPr>
              <w:t>投标总报价</w:t>
            </w:r>
          </w:p>
        </w:tc>
        <w:tc>
          <w:tcPr>
            <w:tcW w:w="5493" w:type="dxa"/>
            <w:noWrap w:val="0"/>
            <w:vAlign w:val="center"/>
          </w:tcPr>
          <w:p w14:paraId="7880D07C">
            <w:pPr>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所有通过初步评审和本章第2.2.2（2）目评审合格的投标人，投标报价得本附表第2.2.1项规定分值的满分</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分。在此基础上，投标总报价与评标基准价相比，每增加1%扣</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（1～2）分，扣完为止，低于评标基准价的不加分、不扣分。</w:t>
            </w:r>
          </w:p>
          <w:p w14:paraId="02521203">
            <w:pPr>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按插入法计算得分。</w:t>
            </w:r>
          </w:p>
          <w:p w14:paraId="54BDB6D3">
            <w:pPr>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未参与评标基准价计算的投标报价，仍应参加计算相应分值。</w:t>
            </w:r>
          </w:p>
          <w:p w14:paraId="3294A1D1">
            <w:pPr>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投标总报价最终结果取小数点后两位，第三位四舍五入。</w:t>
            </w:r>
          </w:p>
        </w:tc>
      </w:tr>
      <w:tr w14:paraId="5AB905D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2272" w:type="dxa"/>
            <w:gridSpan w:val="4"/>
            <w:noWrap w:val="0"/>
            <w:vAlign w:val="center"/>
          </w:tcPr>
          <w:p w14:paraId="6C0BBC30">
            <w:pPr>
              <w:spacing w:line="400" w:lineRule="exact"/>
              <w:ind w:firstLine="18" w:firstLineChars="9"/>
              <w:jc w:val="center"/>
              <w:rPr>
                <w:rFonts w:ascii="宋体" w:hAnsi="宋体"/>
                <w:color w:val="auto"/>
                <w:szCs w:val="21"/>
                <w:highlight w:val="none"/>
              </w:rPr>
            </w:pPr>
            <w:r>
              <w:rPr>
                <w:rFonts w:ascii="宋体" w:hAnsi="宋体"/>
                <w:color w:val="auto"/>
                <w:szCs w:val="21"/>
                <w:highlight w:val="none"/>
              </w:rPr>
              <w:t>3.2.3</w:t>
            </w:r>
          </w:p>
        </w:tc>
        <w:tc>
          <w:tcPr>
            <w:tcW w:w="1710" w:type="dxa"/>
            <w:gridSpan w:val="2"/>
            <w:noWrap w:val="0"/>
            <w:vAlign w:val="center"/>
          </w:tcPr>
          <w:p w14:paraId="407363F9">
            <w:pPr>
              <w:spacing w:line="400" w:lineRule="exact"/>
              <w:ind w:firstLine="18" w:firstLineChars="9"/>
              <w:jc w:val="center"/>
              <w:rPr>
                <w:rFonts w:ascii="宋体" w:hAnsi="宋体"/>
                <w:color w:val="auto"/>
                <w:szCs w:val="21"/>
                <w:highlight w:val="none"/>
              </w:rPr>
            </w:pPr>
            <w:r>
              <w:rPr>
                <w:rFonts w:ascii="宋体" w:hAnsi="宋体"/>
                <w:color w:val="auto"/>
                <w:szCs w:val="21"/>
                <w:highlight w:val="none"/>
              </w:rPr>
              <w:t>投标人得分</w:t>
            </w:r>
          </w:p>
        </w:tc>
        <w:tc>
          <w:tcPr>
            <w:tcW w:w="5493" w:type="dxa"/>
            <w:noWrap w:val="0"/>
            <w:vAlign w:val="center"/>
          </w:tcPr>
          <w:p w14:paraId="15FAF828">
            <w:pPr>
              <w:spacing w:line="400" w:lineRule="exact"/>
              <w:jc w:val="center"/>
              <w:rPr>
                <w:rFonts w:ascii="宋体" w:hAnsi="宋体"/>
                <w:color w:val="auto"/>
                <w:szCs w:val="21"/>
                <w:highlight w:val="none"/>
                <w:u w:val="single"/>
              </w:rPr>
            </w:pPr>
            <w:r>
              <w:rPr>
                <w:rFonts w:ascii="宋体" w:hAnsi="宋体"/>
                <w:color w:val="auto"/>
                <w:szCs w:val="21"/>
                <w:highlight w:val="none"/>
                <w:u w:val="single"/>
              </w:rPr>
              <w:t>投标人得分=A+B</w:t>
            </w:r>
          </w:p>
        </w:tc>
      </w:tr>
    </w:tbl>
    <w:p w14:paraId="0EC82C88">
      <w:pPr>
        <w:pStyle w:val="4"/>
        <w:spacing w:before="0" w:after="0" w:line="360" w:lineRule="auto"/>
        <w:rPr>
          <w:rFonts w:ascii="宋体" w:hAnsi="宋体"/>
          <w:b w:val="0"/>
          <w:snapToGrid w:val="0"/>
          <w:color w:val="auto"/>
          <w:highlight w:val="none"/>
        </w:rPr>
      </w:pPr>
      <w:bookmarkStart w:id="608" w:name="_Toc509218776"/>
    </w:p>
    <w:p w14:paraId="5FB2EECA">
      <w:pPr>
        <w:pStyle w:val="4"/>
        <w:spacing w:before="0" w:after="0" w:line="360" w:lineRule="auto"/>
        <w:rPr>
          <w:rFonts w:ascii="宋体" w:hAnsi="宋体"/>
          <w:b w:val="0"/>
          <w:snapToGrid w:val="0"/>
          <w:color w:val="auto"/>
          <w:highlight w:val="none"/>
        </w:rPr>
      </w:pPr>
    </w:p>
    <w:p w14:paraId="1AF83D6C">
      <w:pPr>
        <w:pStyle w:val="4"/>
        <w:spacing w:before="0" w:after="0" w:line="360" w:lineRule="auto"/>
        <w:rPr>
          <w:rFonts w:ascii="宋体" w:hAnsi="宋体"/>
          <w:b w:val="0"/>
          <w:snapToGrid w:val="0"/>
          <w:color w:val="auto"/>
          <w:highlight w:val="none"/>
        </w:rPr>
      </w:pPr>
      <w:r>
        <w:rPr>
          <w:rFonts w:ascii="宋体" w:hAnsi="宋体"/>
          <w:b w:val="0"/>
          <w:snapToGrid w:val="0"/>
          <w:color w:val="auto"/>
          <w:highlight w:val="none"/>
        </w:rPr>
        <w:br w:type="page"/>
      </w:r>
      <w:bookmarkStart w:id="609" w:name="_Toc57820627"/>
      <w:r>
        <w:rPr>
          <w:rFonts w:ascii="宋体" w:hAnsi="宋体"/>
          <w:b w:val="0"/>
          <w:snapToGrid w:val="0"/>
          <w:color w:val="auto"/>
          <w:highlight w:val="none"/>
        </w:rPr>
        <w:t>1.  评标方法</w:t>
      </w:r>
      <w:bookmarkEnd w:id="593"/>
      <w:bookmarkEnd w:id="594"/>
      <w:bookmarkEnd w:id="595"/>
      <w:bookmarkEnd w:id="596"/>
      <w:bookmarkEnd w:id="597"/>
      <w:bookmarkEnd w:id="598"/>
      <w:bookmarkEnd w:id="608"/>
      <w:bookmarkEnd w:id="609"/>
    </w:p>
    <w:p w14:paraId="43C76B70">
      <w:pPr>
        <w:autoSpaceDE w:val="0"/>
        <w:autoSpaceDN w:val="0"/>
        <w:adjustRightInd w:val="0"/>
        <w:snapToGrid w:val="0"/>
        <w:spacing w:line="360" w:lineRule="auto"/>
        <w:ind w:firstLine="420"/>
        <w:rPr>
          <w:rFonts w:ascii="宋体" w:hAnsi="宋体"/>
          <w:color w:val="auto"/>
          <w:kern w:val="0"/>
          <w:szCs w:val="21"/>
          <w:highlight w:val="none"/>
        </w:rPr>
      </w:pPr>
      <w:r>
        <w:rPr>
          <w:rFonts w:ascii="宋体" w:hAnsi="宋体"/>
          <w:color w:val="auto"/>
          <w:kern w:val="0"/>
          <w:szCs w:val="21"/>
          <w:highlight w:val="none"/>
        </w:rPr>
        <w:t>本次评标采用综合评估法</w:t>
      </w:r>
      <w:r>
        <w:rPr>
          <w:rFonts w:ascii="宋体" w:hAnsi="宋体"/>
          <w:color w:val="auto"/>
          <w:spacing w:val="-47"/>
          <w:kern w:val="0"/>
          <w:szCs w:val="21"/>
          <w:highlight w:val="none"/>
        </w:rPr>
        <w:t>。</w:t>
      </w:r>
      <w:r>
        <w:rPr>
          <w:rFonts w:ascii="宋体" w:hAnsi="宋体"/>
          <w:color w:val="auto"/>
          <w:kern w:val="0"/>
          <w:szCs w:val="21"/>
          <w:highlight w:val="none"/>
        </w:rPr>
        <w:t xml:space="preserve">评标委员会按照本章第 </w:t>
      </w:r>
      <w:r>
        <w:rPr>
          <w:rFonts w:ascii="宋体" w:hAnsi="宋体"/>
          <w:color w:val="auto"/>
          <w:spacing w:val="1"/>
          <w:kern w:val="0"/>
          <w:szCs w:val="21"/>
          <w:highlight w:val="none"/>
        </w:rPr>
        <w:t>2</w:t>
      </w:r>
      <w:r>
        <w:rPr>
          <w:rFonts w:ascii="宋体" w:hAnsi="宋体"/>
          <w:color w:val="auto"/>
          <w:spacing w:val="-1"/>
          <w:kern w:val="0"/>
          <w:szCs w:val="21"/>
          <w:highlight w:val="none"/>
        </w:rPr>
        <w:t>.</w:t>
      </w:r>
      <w:r>
        <w:rPr>
          <w:rFonts w:ascii="宋体" w:hAnsi="宋体"/>
          <w:color w:val="auto"/>
          <w:kern w:val="0"/>
          <w:szCs w:val="21"/>
          <w:highlight w:val="none"/>
        </w:rPr>
        <w:t>2</w:t>
      </w:r>
      <w:r>
        <w:rPr>
          <w:rFonts w:ascii="宋体" w:hAnsi="宋体"/>
          <w:color w:val="auto"/>
          <w:spacing w:val="1"/>
          <w:kern w:val="0"/>
          <w:szCs w:val="21"/>
          <w:highlight w:val="none"/>
        </w:rPr>
        <w:t xml:space="preserve"> </w:t>
      </w:r>
      <w:r>
        <w:rPr>
          <w:rFonts w:ascii="宋体" w:hAnsi="宋体"/>
          <w:color w:val="auto"/>
          <w:kern w:val="0"/>
          <w:szCs w:val="21"/>
          <w:highlight w:val="none"/>
        </w:rPr>
        <w:t>款</w:t>
      </w:r>
      <w:r>
        <w:rPr>
          <w:rFonts w:ascii="宋体" w:hAnsi="宋体"/>
          <w:color w:val="auto"/>
          <w:spacing w:val="-1"/>
          <w:kern w:val="0"/>
          <w:szCs w:val="21"/>
          <w:highlight w:val="none"/>
        </w:rPr>
        <w:t>规</w:t>
      </w:r>
      <w:r>
        <w:rPr>
          <w:rFonts w:ascii="宋体" w:hAnsi="宋体"/>
          <w:color w:val="auto"/>
          <w:kern w:val="0"/>
          <w:szCs w:val="21"/>
          <w:highlight w:val="none"/>
        </w:rPr>
        <w:t>定的评分标准进行打分，按得分由高到低顺序推荐中标候选人</w:t>
      </w:r>
      <w:r>
        <w:rPr>
          <w:rFonts w:ascii="宋体" w:hAnsi="宋体"/>
          <w:color w:val="auto"/>
          <w:spacing w:val="-20"/>
          <w:kern w:val="0"/>
          <w:szCs w:val="21"/>
          <w:highlight w:val="none"/>
        </w:rPr>
        <w:t>，</w:t>
      </w:r>
      <w:r>
        <w:rPr>
          <w:rFonts w:ascii="宋体" w:hAnsi="宋体"/>
          <w:color w:val="auto"/>
          <w:kern w:val="0"/>
          <w:szCs w:val="21"/>
          <w:highlight w:val="none"/>
        </w:rPr>
        <w:t>或根据招标人授权直接确定中标人</w:t>
      </w:r>
      <w:r>
        <w:rPr>
          <w:rFonts w:hint="eastAsia" w:ascii="宋体" w:hAnsi="宋体"/>
          <w:color w:val="auto"/>
          <w:kern w:val="0"/>
          <w:szCs w:val="21"/>
          <w:highlight w:val="none"/>
        </w:rPr>
        <w:t>，若出现投标人投标报价相同的，以评标办法前附表约定的原则确定排序</w:t>
      </w:r>
      <w:r>
        <w:rPr>
          <w:rFonts w:ascii="宋体" w:hAnsi="宋体"/>
          <w:color w:val="auto"/>
          <w:spacing w:val="-31"/>
          <w:kern w:val="0"/>
          <w:szCs w:val="21"/>
          <w:highlight w:val="none"/>
        </w:rPr>
        <w:t>。</w:t>
      </w:r>
    </w:p>
    <w:p w14:paraId="10C2E1A4">
      <w:pPr>
        <w:pStyle w:val="4"/>
        <w:spacing w:before="0" w:after="0" w:line="360" w:lineRule="auto"/>
        <w:rPr>
          <w:rFonts w:ascii="宋体" w:hAnsi="宋体"/>
          <w:b w:val="0"/>
          <w:snapToGrid w:val="0"/>
          <w:color w:val="auto"/>
          <w:highlight w:val="none"/>
        </w:rPr>
      </w:pPr>
      <w:bookmarkStart w:id="610" w:name="_Toc57820628"/>
      <w:bookmarkStart w:id="611" w:name="_Toc287620752"/>
      <w:bookmarkStart w:id="612" w:name="_Toc224103385"/>
      <w:bookmarkStart w:id="613" w:name="_Toc287607813"/>
      <w:bookmarkStart w:id="614" w:name="_Toc200513199"/>
      <w:bookmarkStart w:id="615" w:name="_Toc277082619"/>
      <w:bookmarkStart w:id="616" w:name="_Toc430530501"/>
      <w:bookmarkStart w:id="617" w:name="_Toc509218777"/>
      <w:r>
        <w:rPr>
          <w:rFonts w:ascii="宋体" w:hAnsi="宋体"/>
          <w:b w:val="0"/>
          <w:snapToGrid w:val="0"/>
          <w:color w:val="auto"/>
          <w:highlight w:val="none"/>
        </w:rPr>
        <w:t>2.  评审标准</w:t>
      </w:r>
      <w:bookmarkEnd w:id="610"/>
      <w:bookmarkEnd w:id="611"/>
      <w:bookmarkEnd w:id="612"/>
      <w:bookmarkEnd w:id="613"/>
      <w:bookmarkEnd w:id="614"/>
      <w:bookmarkEnd w:id="615"/>
      <w:bookmarkEnd w:id="616"/>
      <w:bookmarkEnd w:id="617"/>
    </w:p>
    <w:p w14:paraId="5623ABFC">
      <w:pPr>
        <w:pStyle w:val="5"/>
        <w:snapToGrid w:val="0"/>
        <w:spacing w:before="0" w:after="0" w:line="360" w:lineRule="auto"/>
        <w:rPr>
          <w:rFonts w:ascii="宋体" w:hAnsi="宋体"/>
          <w:b w:val="0"/>
          <w:snapToGrid w:val="0"/>
          <w:color w:val="auto"/>
          <w:sz w:val="24"/>
          <w:szCs w:val="24"/>
          <w:highlight w:val="none"/>
        </w:rPr>
      </w:pPr>
      <w:bookmarkStart w:id="618" w:name="_Toc287620753"/>
      <w:bookmarkStart w:id="619" w:name="_Toc200513200"/>
      <w:bookmarkStart w:id="620" w:name="_Toc287607814"/>
      <w:bookmarkStart w:id="621" w:name="_Toc430530502"/>
      <w:bookmarkStart w:id="622" w:name="_Toc57820629"/>
      <w:bookmarkStart w:id="623" w:name="_Toc277082620"/>
      <w:bookmarkStart w:id="624" w:name="_Toc509218778"/>
      <w:bookmarkStart w:id="625" w:name="_Toc224103386"/>
      <w:r>
        <w:rPr>
          <w:rFonts w:ascii="宋体" w:hAnsi="宋体"/>
          <w:b w:val="0"/>
          <w:snapToGrid w:val="0"/>
          <w:color w:val="auto"/>
          <w:sz w:val="24"/>
          <w:szCs w:val="24"/>
          <w:highlight w:val="none"/>
        </w:rPr>
        <w:t>2.1  初步评审标准</w:t>
      </w:r>
      <w:bookmarkEnd w:id="618"/>
      <w:bookmarkEnd w:id="619"/>
      <w:bookmarkEnd w:id="620"/>
      <w:bookmarkEnd w:id="621"/>
      <w:bookmarkEnd w:id="622"/>
      <w:bookmarkEnd w:id="623"/>
      <w:bookmarkEnd w:id="624"/>
      <w:bookmarkEnd w:id="625"/>
    </w:p>
    <w:p w14:paraId="19BCE22D">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2.1.</w:t>
      </w:r>
      <w:r>
        <w:rPr>
          <w:rFonts w:hint="eastAsia" w:ascii="宋体" w:hAnsi="宋体"/>
          <w:color w:val="auto"/>
          <w:kern w:val="0"/>
          <w:szCs w:val="21"/>
          <w:highlight w:val="none"/>
        </w:rPr>
        <w:t>1A</w:t>
      </w:r>
      <w:r>
        <w:rPr>
          <w:rFonts w:ascii="宋体" w:hAnsi="宋体"/>
          <w:color w:val="auto"/>
          <w:kern w:val="0"/>
          <w:szCs w:val="21"/>
          <w:highlight w:val="none"/>
        </w:rPr>
        <w:t xml:space="preserve">  资格评审标准：见评标办法前附表（适用于未进行资格预审的）。</w:t>
      </w:r>
    </w:p>
    <w:p w14:paraId="7E0CC10F">
      <w:pPr>
        <w:autoSpaceDE w:val="0"/>
        <w:autoSpaceDN w:val="0"/>
        <w:adjustRightInd w:val="0"/>
        <w:snapToGrid w:val="0"/>
        <w:spacing w:line="360" w:lineRule="auto"/>
        <w:ind w:firstLine="535" w:firstLineChars="255"/>
        <w:rPr>
          <w:rFonts w:hint="eastAsia" w:ascii="宋体" w:hAnsi="宋体"/>
          <w:color w:val="auto"/>
          <w:kern w:val="0"/>
          <w:szCs w:val="21"/>
          <w:highlight w:val="none"/>
        </w:rPr>
      </w:pPr>
      <w:r>
        <w:rPr>
          <w:rFonts w:ascii="宋体" w:hAnsi="宋体"/>
          <w:color w:val="auto"/>
          <w:kern w:val="0"/>
          <w:szCs w:val="21"/>
          <w:highlight w:val="none"/>
        </w:rPr>
        <w:t>2.1.</w:t>
      </w:r>
      <w:r>
        <w:rPr>
          <w:rFonts w:hint="eastAsia" w:ascii="宋体" w:hAnsi="宋体"/>
          <w:color w:val="auto"/>
          <w:kern w:val="0"/>
          <w:szCs w:val="21"/>
          <w:highlight w:val="none"/>
        </w:rPr>
        <w:t>1B</w:t>
      </w:r>
      <w:r>
        <w:rPr>
          <w:rFonts w:ascii="宋体" w:hAnsi="宋体"/>
          <w:color w:val="auto"/>
          <w:kern w:val="0"/>
          <w:szCs w:val="21"/>
          <w:highlight w:val="none"/>
        </w:rPr>
        <w:t xml:space="preserve">  资格评审标准：见资格预审文件第三章“资格审查办法”详细审查标准（适用于已进行资格预审的）。</w:t>
      </w:r>
    </w:p>
    <w:p w14:paraId="0B0D851A">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2.1.</w:t>
      </w:r>
      <w:r>
        <w:rPr>
          <w:rFonts w:hint="eastAsia" w:ascii="宋体" w:hAnsi="宋体"/>
          <w:color w:val="auto"/>
          <w:kern w:val="0"/>
          <w:szCs w:val="21"/>
          <w:highlight w:val="none"/>
        </w:rPr>
        <w:t>2</w:t>
      </w:r>
      <w:r>
        <w:rPr>
          <w:rFonts w:ascii="宋体" w:hAnsi="宋体"/>
          <w:color w:val="auto"/>
          <w:kern w:val="0"/>
          <w:szCs w:val="21"/>
          <w:highlight w:val="none"/>
        </w:rPr>
        <w:t xml:space="preserve">  形式评审标准：见评标办法前附表。</w:t>
      </w:r>
    </w:p>
    <w:p w14:paraId="5B7123A0">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2.1.3  响应性评审标准：见评标办法前附表。</w:t>
      </w:r>
    </w:p>
    <w:p w14:paraId="0EC72DED">
      <w:pPr>
        <w:pStyle w:val="5"/>
        <w:snapToGrid w:val="0"/>
        <w:spacing w:before="0" w:after="0" w:line="360" w:lineRule="auto"/>
        <w:rPr>
          <w:rFonts w:ascii="宋体" w:hAnsi="宋体"/>
          <w:b w:val="0"/>
          <w:snapToGrid w:val="0"/>
          <w:color w:val="auto"/>
          <w:sz w:val="24"/>
          <w:szCs w:val="24"/>
          <w:highlight w:val="none"/>
        </w:rPr>
      </w:pPr>
      <w:bookmarkStart w:id="626" w:name="_Toc430530503"/>
      <w:bookmarkStart w:id="627" w:name="_Toc509218779"/>
      <w:bookmarkStart w:id="628" w:name="_Toc224103387"/>
      <w:bookmarkStart w:id="629" w:name="_Toc287607815"/>
      <w:bookmarkStart w:id="630" w:name="_Toc57820630"/>
      <w:bookmarkStart w:id="631" w:name="_Toc277082621"/>
      <w:bookmarkStart w:id="632" w:name="_Toc287620754"/>
      <w:bookmarkStart w:id="633" w:name="_Toc200513201"/>
      <w:r>
        <w:rPr>
          <w:rFonts w:ascii="宋体" w:hAnsi="宋体"/>
          <w:b w:val="0"/>
          <w:snapToGrid w:val="0"/>
          <w:color w:val="auto"/>
          <w:sz w:val="24"/>
          <w:szCs w:val="24"/>
          <w:highlight w:val="none"/>
        </w:rPr>
        <w:t>2.2  分值构成与评分标准</w:t>
      </w:r>
      <w:bookmarkEnd w:id="626"/>
      <w:bookmarkEnd w:id="627"/>
      <w:bookmarkEnd w:id="628"/>
      <w:bookmarkEnd w:id="629"/>
      <w:bookmarkEnd w:id="630"/>
      <w:bookmarkEnd w:id="631"/>
      <w:bookmarkEnd w:id="632"/>
      <w:bookmarkEnd w:id="633"/>
    </w:p>
    <w:p w14:paraId="519689D4">
      <w:pPr>
        <w:autoSpaceDE w:val="0"/>
        <w:autoSpaceDN w:val="0"/>
        <w:adjustRightInd w:val="0"/>
        <w:snapToGrid w:val="0"/>
        <w:spacing w:line="360" w:lineRule="auto"/>
        <w:ind w:firstLine="525" w:firstLineChars="250"/>
        <w:rPr>
          <w:rFonts w:ascii="宋体" w:hAnsi="宋体"/>
          <w:color w:val="auto"/>
          <w:kern w:val="0"/>
          <w:szCs w:val="21"/>
          <w:highlight w:val="none"/>
        </w:rPr>
      </w:pPr>
      <w:r>
        <w:rPr>
          <w:rFonts w:ascii="宋体" w:hAnsi="宋体"/>
          <w:color w:val="auto"/>
          <w:kern w:val="0"/>
          <w:szCs w:val="21"/>
          <w:highlight w:val="none"/>
        </w:rPr>
        <w:t>2.2.1  分值构成</w:t>
      </w:r>
    </w:p>
    <w:p w14:paraId="029FC1DE">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spacing w:val="1"/>
          <w:kern w:val="0"/>
          <w:szCs w:val="21"/>
          <w:highlight w:val="none"/>
        </w:rPr>
        <w:t>1</w:t>
      </w:r>
      <w:r>
        <w:rPr>
          <w:rFonts w:ascii="宋体" w:hAnsi="宋体"/>
          <w:color w:val="auto"/>
          <w:kern w:val="0"/>
          <w:szCs w:val="21"/>
          <w:highlight w:val="none"/>
        </w:rPr>
        <w:t>）技术</w:t>
      </w:r>
      <w:r>
        <w:rPr>
          <w:rFonts w:hint="eastAsia" w:ascii="宋体" w:hAnsi="宋体"/>
          <w:color w:val="auto"/>
          <w:kern w:val="0"/>
          <w:szCs w:val="21"/>
          <w:highlight w:val="none"/>
        </w:rPr>
        <w:t>部分</w:t>
      </w:r>
      <w:r>
        <w:rPr>
          <w:rFonts w:ascii="宋体" w:hAnsi="宋体"/>
          <w:color w:val="auto"/>
          <w:kern w:val="0"/>
          <w:szCs w:val="21"/>
          <w:highlight w:val="none"/>
        </w:rPr>
        <w:t>：见评标办法前附表</w:t>
      </w:r>
      <w:r>
        <w:rPr>
          <w:rFonts w:hint="eastAsia" w:ascii="宋体" w:hAnsi="宋体"/>
          <w:color w:val="auto"/>
          <w:kern w:val="0"/>
          <w:szCs w:val="21"/>
          <w:highlight w:val="none"/>
        </w:rPr>
        <w:t>；</w:t>
      </w:r>
    </w:p>
    <w:p w14:paraId="7CE26B70">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spacing w:val="1"/>
          <w:kern w:val="0"/>
          <w:szCs w:val="21"/>
          <w:highlight w:val="none"/>
        </w:rPr>
        <w:t>2</w:t>
      </w:r>
      <w:r>
        <w:rPr>
          <w:rFonts w:ascii="宋体" w:hAnsi="宋体"/>
          <w:color w:val="auto"/>
          <w:kern w:val="0"/>
          <w:szCs w:val="21"/>
          <w:highlight w:val="none"/>
        </w:rPr>
        <w:t>）投标</w:t>
      </w:r>
      <w:r>
        <w:rPr>
          <w:rFonts w:hint="eastAsia" w:ascii="宋体" w:hAnsi="宋体"/>
          <w:color w:val="auto"/>
          <w:kern w:val="0"/>
          <w:szCs w:val="21"/>
          <w:highlight w:val="none"/>
        </w:rPr>
        <w:t>总</w:t>
      </w:r>
      <w:r>
        <w:rPr>
          <w:rFonts w:ascii="宋体" w:hAnsi="宋体"/>
          <w:color w:val="auto"/>
          <w:spacing w:val="-1"/>
          <w:kern w:val="0"/>
          <w:szCs w:val="21"/>
          <w:highlight w:val="none"/>
        </w:rPr>
        <w:t>报</w:t>
      </w:r>
      <w:r>
        <w:rPr>
          <w:rFonts w:ascii="宋体" w:hAnsi="宋体"/>
          <w:color w:val="auto"/>
          <w:kern w:val="0"/>
          <w:szCs w:val="21"/>
          <w:highlight w:val="none"/>
        </w:rPr>
        <w:t>价：见评标办法前附表</w:t>
      </w:r>
      <w:r>
        <w:rPr>
          <w:rFonts w:hint="eastAsia" w:ascii="宋体" w:hAnsi="宋体"/>
          <w:color w:val="auto"/>
          <w:kern w:val="0"/>
          <w:szCs w:val="21"/>
          <w:highlight w:val="none"/>
        </w:rPr>
        <w:t>。</w:t>
      </w:r>
    </w:p>
    <w:p w14:paraId="3DE45F05">
      <w:pPr>
        <w:autoSpaceDE w:val="0"/>
        <w:autoSpaceDN w:val="0"/>
        <w:adjustRightInd w:val="0"/>
        <w:snapToGrid w:val="0"/>
        <w:spacing w:line="360" w:lineRule="auto"/>
        <w:ind w:firstLine="535" w:firstLineChars="255"/>
        <w:rPr>
          <w:rFonts w:hint="eastAsia"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2  评审标准</w:t>
      </w:r>
    </w:p>
    <w:p w14:paraId="2FA652AD">
      <w:pPr>
        <w:autoSpaceDE w:val="0"/>
        <w:autoSpaceDN w:val="0"/>
        <w:adjustRightInd w:val="0"/>
        <w:snapToGrid w:val="0"/>
        <w:spacing w:line="360" w:lineRule="auto"/>
        <w:ind w:firstLine="535" w:firstLineChars="255"/>
        <w:rPr>
          <w:rFonts w:hint="eastAsia" w:ascii="宋体" w:hAnsi="宋体"/>
          <w:color w:val="auto"/>
          <w:kern w:val="0"/>
          <w:szCs w:val="21"/>
          <w:highlight w:val="none"/>
        </w:rPr>
      </w:pPr>
      <w:r>
        <w:rPr>
          <w:rFonts w:hint="eastAsia" w:ascii="宋体" w:hAnsi="宋体"/>
          <w:color w:val="auto"/>
          <w:kern w:val="0"/>
          <w:szCs w:val="21"/>
          <w:highlight w:val="none"/>
        </w:rPr>
        <w:t>（1）</w:t>
      </w:r>
      <w:r>
        <w:rPr>
          <w:rFonts w:ascii="宋体" w:hAnsi="宋体"/>
          <w:color w:val="auto"/>
          <w:kern w:val="0"/>
          <w:szCs w:val="21"/>
          <w:highlight w:val="none"/>
        </w:rPr>
        <w:t>技术</w:t>
      </w:r>
      <w:r>
        <w:rPr>
          <w:rFonts w:hint="eastAsia" w:ascii="宋体" w:hAnsi="宋体"/>
          <w:color w:val="auto"/>
          <w:kern w:val="0"/>
          <w:szCs w:val="21"/>
          <w:highlight w:val="none"/>
        </w:rPr>
        <w:t>部分</w:t>
      </w:r>
      <w:r>
        <w:rPr>
          <w:rFonts w:ascii="宋体" w:hAnsi="宋体"/>
          <w:color w:val="auto"/>
          <w:kern w:val="0"/>
          <w:szCs w:val="21"/>
          <w:highlight w:val="none"/>
        </w:rPr>
        <w:t>评分标准：见评标办法前附表；（对于施工难度大、专业技术复杂的项目，应由招标人会同设计单位提出技术方案编写要点，作为评分标准）。</w:t>
      </w:r>
    </w:p>
    <w:p w14:paraId="035DB225">
      <w:pPr>
        <w:autoSpaceDE w:val="0"/>
        <w:autoSpaceDN w:val="0"/>
        <w:adjustRightInd w:val="0"/>
        <w:snapToGrid w:val="0"/>
        <w:spacing w:line="360" w:lineRule="auto"/>
        <w:ind w:firstLine="535" w:firstLineChars="255"/>
        <w:rPr>
          <w:rFonts w:hint="eastAsia" w:ascii="宋体" w:hAnsi="宋体"/>
          <w:color w:val="auto"/>
          <w:kern w:val="0"/>
          <w:szCs w:val="21"/>
          <w:highlight w:val="none"/>
        </w:rPr>
      </w:pPr>
      <w:r>
        <w:rPr>
          <w:rFonts w:hint="eastAsia" w:ascii="宋体" w:hAnsi="宋体"/>
          <w:color w:val="auto"/>
          <w:kern w:val="0"/>
          <w:szCs w:val="21"/>
          <w:highlight w:val="none"/>
        </w:rPr>
        <w:t>（2）投标函部分及经济部分评审标准：见评标办法前附表；</w:t>
      </w:r>
    </w:p>
    <w:p w14:paraId="193DA93F">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3</w:t>
      </w:r>
      <w:r>
        <w:rPr>
          <w:rFonts w:ascii="宋体" w:hAnsi="宋体"/>
          <w:color w:val="auto"/>
          <w:kern w:val="0"/>
          <w:szCs w:val="21"/>
          <w:highlight w:val="none"/>
        </w:rPr>
        <w:t xml:space="preserve">  评标基准价计算</w:t>
      </w:r>
    </w:p>
    <w:p w14:paraId="090FEC59">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评标基准价计算方法：见评标办法前附表。</w:t>
      </w:r>
    </w:p>
    <w:p w14:paraId="721AD1ED">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4</w:t>
      </w:r>
      <w:r>
        <w:rPr>
          <w:rFonts w:ascii="宋体" w:hAnsi="宋体"/>
          <w:color w:val="auto"/>
          <w:kern w:val="0"/>
          <w:szCs w:val="21"/>
          <w:highlight w:val="none"/>
        </w:rPr>
        <w:t xml:space="preserve"> </w:t>
      </w:r>
      <w:r>
        <w:rPr>
          <w:rFonts w:hint="eastAsia" w:ascii="宋体" w:hAnsi="宋体"/>
          <w:color w:val="auto"/>
          <w:kern w:val="0"/>
          <w:szCs w:val="21"/>
          <w:highlight w:val="none"/>
        </w:rPr>
        <w:t xml:space="preserve"> </w:t>
      </w:r>
      <w:r>
        <w:rPr>
          <w:rFonts w:ascii="宋体" w:hAnsi="宋体"/>
          <w:color w:val="auto"/>
          <w:kern w:val="0"/>
          <w:szCs w:val="21"/>
          <w:highlight w:val="none"/>
        </w:rPr>
        <w:t>投标报价的偏差率计算</w:t>
      </w:r>
      <w:r>
        <w:rPr>
          <w:rFonts w:hint="eastAsia" w:ascii="宋体" w:hAnsi="宋体"/>
          <w:color w:val="auto"/>
          <w:kern w:val="0"/>
          <w:szCs w:val="21"/>
          <w:highlight w:val="none"/>
        </w:rPr>
        <w:t>和允许偏差范围</w:t>
      </w:r>
    </w:p>
    <w:p w14:paraId="40721E8E">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（1）</w:t>
      </w:r>
      <w:r>
        <w:rPr>
          <w:rFonts w:ascii="宋体" w:hAnsi="宋体"/>
          <w:color w:val="auto"/>
          <w:kern w:val="0"/>
          <w:szCs w:val="21"/>
          <w:highlight w:val="none"/>
        </w:rPr>
        <w:t>投标报价的偏差率计算公式：见评标办法前附表</w:t>
      </w:r>
      <w:r>
        <w:rPr>
          <w:rFonts w:hint="eastAsia" w:ascii="宋体" w:hAnsi="宋体"/>
          <w:color w:val="auto"/>
          <w:kern w:val="0"/>
          <w:szCs w:val="21"/>
          <w:highlight w:val="none"/>
        </w:rPr>
        <w:t>；</w:t>
      </w:r>
    </w:p>
    <w:p w14:paraId="0A559BB9">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（2）投标报价的允许偏差范围</w:t>
      </w:r>
      <w:r>
        <w:rPr>
          <w:rFonts w:ascii="宋体" w:hAnsi="宋体"/>
          <w:color w:val="auto"/>
          <w:kern w:val="0"/>
          <w:szCs w:val="21"/>
          <w:highlight w:val="none"/>
        </w:rPr>
        <w:t>：见评标办法前附表</w:t>
      </w:r>
      <w:r>
        <w:rPr>
          <w:rFonts w:hint="eastAsia" w:ascii="宋体" w:hAnsi="宋体"/>
          <w:color w:val="auto"/>
          <w:kern w:val="0"/>
          <w:szCs w:val="21"/>
          <w:highlight w:val="none"/>
        </w:rPr>
        <w:t>。</w:t>
      </w:r>
    </w:p>
    <w:p w14:paraId="285BE91F">
      <w:pPr>
        <w:pStyle w:val="4"/>
        <w:spacing w:before="0" w:after="0" w:line="360" w:lineRule="auto"/>
        <w:rPr>
          <w:rFonts w:ascii="宋体" w:hAnsi="宋体"/>
          <w:b w:val="0"/>
          <w:snapToGrid w:val="0"/>
          <w:color w:val="auto"/>
          <w:highlight w:val="none"/>
        </w:rPr>
      </w:pPr>
      <w:bookmarkStart w:id="634" w:name="_Toc200513202"/>
      <w:bookmarkStart w:id="635" w:name="_Toc224103388"/>
      <w:bookmarkStart w:id="636" w:name="_Toc509218780"/>
      <w:bookmarkStart w:id="637" w:name="_Toc277082622"/>
      <w:bookmarkStart w:id="638" w:name="_Toc287607816"/>
      <w:bookmarkStart w:id="639" w:name="_Toc287620755"/>
      <w:bookmarkStart w:id="640" w:name="_Toc430530504"/>
      <w:bookmarkStart w:id="641" w:name="_Toc57820631"/>
      <w:r>
        <w:rPr>
          <w:rFonts w:ascii="宋体" w:hAnsi="宋体"/>
          <w:b w:val="0"/>
          <w:snapToGrid w:val="0"/>
          <w:color w:val="auto"/>
          <w:highlight w:val="none"/>
        </w:rPr>
        <w:t>3.  评标程序</w:t>
      </w:r>
      <w:bookmarkEnd w:id="634"/>
      <w:bookmarkEnd w:id="635"/>
      <w:bookmarkEnd w:id="636"/>
      <w:bookmarkEnd w:id="637"/>
      <w:bookmarkEnd w:id="638"/>
      <w:bookmarkEnd w:id="639"/>
      <w:bookmarkEnd w:id="640"/>
      <w:bookmarkEnd w:id="641"/>
    </w:p>
    <w:p w14:paraId="1B56148B">
      <w:pPr>
        <w:pStyle w:val="5"/>
        <w:snapToGrid w:val="0"/>
        <w:spacing w:before="0" w:after="0" w:line="360" w:lineRule="auto"/>
        <w:rPr>
          <w:rFonts w:ascii="宋体" w:hAnsi="宋体"/>
          <w:b w:val="0"/>
          <w:snapToGrid w:val="0"/>
          <w:color w:val="auto"/>
          <w:sz w:val="24"/>
          <w:szCs w:val="24"/>
          <w:highlight w:val="none"/>
        </w:rPr>
      </w:pPr>
      <w:bookmarkStart w:id="642" w:name="_Toc224103389"/>
      <w:bookmarkStart w:id="643" w:name="_Toc57820632"/>
      <w:bookmarkStart w:id="644" w:name="_Toc287620756"/>
      <w:bookmarkStart w:id="645" w:name="_Toc200513203"/>
      <w:bookmarkStart w:id="646" w:name="_Toc277082623"/>
      <w:bookmarkStart w:id="647" w:name="_Toc287607817"/>
      <w:bookmarkStart w:id="648" w:name="_Toc509218781"/>
      <w:bookmarkStart w:id="649" w:name="_Toc430530505"/>
      <w:r>
        <w:rPr>
          <w:rFonts w:ascii="宋体" w:hAnsi="宋体"/>
          <w:b w:val="0"/>
          <w:snapToGrid w:val="0"/>
          <w:color w:val="auto"/>
          <w:sz w:val="24"/>
          <w:szCs w:val="24"/>
          <w:highlight w:val="none"/>
        </w:rPr>
        <w:t>3.1  初步评审</w:t>
      </w:r>
      <w:bookmarkEnd w:id="642"/>
      <w:bookmarkEnd w:id="643"/>
      <w:bookmarkEnd w:id="644"/>
      <w:bookmarkEnd w:id="645"/>
      <w:bookmarkEnd w:id="646"/>
      <w:bookmarkEnd w:id="647"/>
      <w:bookmarkEnd w:id="648"/>
      <w:bookmarkEnd w:id="649"/>
    </w:p>
    <w:p w14:paraId="0900FA77">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3.1.1  评标委员会依据本章第 2.1 款规定的标准对投标文件进行初步评审。有一项不符合评审标准的，作否决投标处理。（适用于未进行资格预审的）</w:t>
      </w:r>
    </w:p>
    <w:p w14:paraId="5780C6AA">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3.1.1  评标委员会依据本章第2.1.1项</w:t>
      </w:r>
      <w:r>
        <w:rPr>
          <w:rFonts w:hint="eastAsia" w:ascii="宋体" w:hAnsi="宋体"/>
          <w:color w:val="auto"/>
          <w:kern w:val="0"/>
          <w:szCs w:val="21"/>
          <w:highlight w:val="none"/>
        </w:rPr>
        <w:t>至</w:t>
      </w:r>
      <w:r>
        <w:rPr>
          <w:rFonts w:ascii="宋体" w:hAnsi="宋体"/>
          <w:color w:val="auto"/>
          <w:kern w:val="0"/>
          <w:szCs w:val="21"/>
          <w:highlight w:val="none"/>
        </w:rPr>
        <w:t>第2.1.3项规定的评审标准对投标文件进行初步评审。有一项不符合评审标准的，作否决投标处理。当投标人资格预审申请文件的内容发生重大变化时，评标委员会依据本章第2.1.2项规定的标准对其更新资料进行评审。（适用于已进行资格预审的）</w:t>
      </w:r>
    </w:p>
    <w:p w14:paraId="7BE453B2">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3.1.2  投标人有以下情形之一的，其投标作否决投标处理：</w:t>
      </w:r>
    </w:p>
    <w:p w14:paraId="6CC344E9">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ascii="宋体" w:hAnsi="宋体"/>
          <w:color w:val="auto"/>
          <w:spacing w:val="1"/>
          <w:kern w:val="0"/>
          <w:szCs w:val="21"/>
          <w:highlight w:val="none"/>
        </w:rPr>
        <w:t>1</w:t>
      </w:r>
      <w:r>
        <w:rPr>
          <w:rFonts w:ascii="宋体" w:hAnsi="宋体"/>
          <w:color w:val="auto"/>
          <w:kern w:val="0"/>
          <w:szCs w:val="21"/>
          <w:highlight w:val="none"/>
        </w:rPr>
        <w:t>）第二</w:t>
      </w:r>
      <w:r>
        <w:rPr>
          <w:rFonts w:ascii="宋体" w:hAnsi="宋体"/>
          <w:color w:val="auto"/>
          <w:spacing w:val="-1"/>
          <w:kern w:val="0"/>
          <w:szCs w:val="21"/>
          <w:highlight w:val="none"/>
        </w:rPr>
        <w:t>章</w:t>
      </w:r>
      <w:r>
        <w:rPr>
          <w:rFonts w:ascii="宋体" w:hAnsi="宋体"/>
          <w:color w:val="auto"/>
          <w:kern w:val="0"/>
          <w:szCs w:val="21"/>
          <w:highlight w:val="none"/>
        </w:rPr>
        <w:t>“投标人须知”第</w:t>
      </w:r>
      <w:r>
        <w:rPr>
          <w:rFonts w:ascii="宋体" w:hAnsi="宋体"/>
          <w:color w:val="auto"/>
          <w:spacing w:val="1"/>
          <w:kern w:val="0"/>
          <w:szCs w:val="21"/>
          <w:highlight w:val="none"/>
        </w:rPr>
        <w:t>1</w:t>
      </w:r>
      <w:r>
        <w:rPr>
          <w:rFonts w:ascii="宋体" w:hAnsi="宋体"/>
          <w:color w:val="auto"/>
          <w:spacing w:val="-1"/>
          <w:kern w:val="0"/>
          <w:szCs w:val="21"/>
          <w:highlight w:val="none"/>
        </w:rPr>
        <w:t>.</w:t>
      </w:r>
      <w:r>
        <w:rPr>
          <w:rFonts w:ascii="宋体" w:hAnsi="宋体"/>
          <w:color w:val="auto"/>
          <w:spacing w:val="1"/>
          <w:kern w:val="0"/>
          <w:szCs w:val="21"/>
          <w:highlight w:val="none"/>
        </w:rPr>
        <w:t>4</w:t>
      </w:r>
      <w:r>
        <w:rPr>
          <w:rFonts w:ascii="宋体" w:hAnsi="宋体"/>
          <w:color w:val="auto"/>
          <w:spacing w:val="-1"/>
          <w:kern w:val="0"/>
          <w:szCs w:val="21"/>
          <w:highlight w:val="none"/>
        </w:rPr>
        <w:t>.</w:t>
      </w:r>
      <w:r>
        <w:rPr>
          <w:rFonts w:ascii="宋体" w:hAnsi="宋体"/>
          <w:color w:val="auto"/>
          <w:kern w:val="0"/>
          <w:szCs w:val="21"/>
          <w:highlight w:val="none"/>
        </w:rPr>
        <w:t>3项规定的任何一种情形的；</w:t>
      </w:r>
    </w:p>
    <w:p w14:paraId="13A747A1">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ascii="宋体" w:hAnsi="宋体"/>
          <w:color w:val="auto"/>
          <w:spacing w:val="1"/>
          <w:kern w:val="0"/>
          <w:szCs w:val="21"/>
          <w:highlight w:val="none"/>
        </w:rPr>
        <w:t>2</w:t>
      </w:r>
      <w:r>
        <w:rPr>
          <w:rFonts w:ascii="宋体" w:hAnsi="宋体"/>
          <w:color w:val="auto"/>
          <w:kern w:val="0"/>
          <w:szCs w:val="21"/>
          <w:highlight w:val="none"/>
        </w:rPr>
        <w:t>）</w:t>
      </w:r>
      <w:r>
        <w:rPr>
          <w:rFonts w:hint="eastAsia" w:ascii="宋体" w:hAnsi="宋体" w:cs="宋体"/>
          <w:color w:val="auto"/>
          <w:szCs w:val="21"/>
          <w:highlight w:val="none"/>
        </w:rPr>
        <w:t>本次投标有串通投标、弄虚作假等其他违反招投标相关法律、法规行为的</w:t>
      </w:r>
      <w:r>
        <w:rPr>
          <w:rFonts w:ascii="宋体" w:hAnsi="宋体"/>
          <w:color w:val="auto"/>
          <w:kern w:val="0"/>
          <w:szCs w:val="21"/>
          <w:highlight w:val="none"/>
        </w:rPr>
        <w:t>；</w:t>
      </w:r>
    </w:p>
    <w:p w14:paraId="0EE974E5">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ascii="宋体" w:hAnsi="宋体"/>
          <w:color w:val="auto"/>
          <w:spacing w:val="1"/>
          <w:kern w:val="0"/>
          <w:szCs w:val="21"/>
          <w:highlight w:val="none"/>
        </w:rPr>
        <w:t>3</w:t>
      </w:r>
      <w:r>
        <w:rPr>
          <w:rFonts w:ascii="宋体" w:hAnsi="宋体"/>
          <w:color w:val="auto"/>
          <w:kern w:val="0"/>
          <w:szCs w:val="21"/>
          <w:highlight w:val="none"/>
        </w:rPr>
        <w:t>）</w:t>
      </w:r>
      <w:r>
        <w:rPr>
          <w:rFonts w:hint="eastAsia" w:ascii="宋体" w:hAnsi="宋体"/>
          <w:color w:val="auto"/>
          <w:kern w:val="0"/>
          <w:szCs w:val="21"/>
          <w:highlight w:val="none"/>
        </w:rPr>
        <w:t>拒绝</w:t>
      </w:r>
      <w:r>
        <w:rPr>
          <w:rFonts w:ascii="宋体" w:hAnsi="宋体"/>
          <w:color w:val="auto"/>
          <w:kern w:val="0"/>
          <w:szCs w:val="21"/>
          <w:highlight w:val="none"/>
        </w:rPr>
        <w:t>按</w:t>
      </w:r>
      <w:r>
        <w:rPr>
          <w:rFonts w:ascii="宋体" w:hAnsi="宋体"/>
          <w:color w:val="auto"/>
          <w:spacing w:val="-1"/>
          <w:kern w:val="0"/>
          <w:szCs w:val="21"/>
          <w:highlight w:val="none"/>
        </w:rPr>
        <w:t>评</w:t>
      </w:r>
      <w:r>
        <w:rPr>
          <w:rFonts w:ascii="宋体" w:hAnsi="宋体"/>
          <w:color w:val="auto"/>
          <w:kern w:val="0"/>
          <w:szCs w:val="21"/>
          <w:highlight w:val="none"/>
        </w:rPr>
        <w:t>标委员会要求澄清、说明或补正的</w:t>
      </w:r>
      <w:r>
        <w:rPr>
          <w:rFonts w:hint="eastAsia" w:ascii="宋体" w:hAnsi="宋体"/>
          <w:color w:val="auto"/>
          <w:kern w:val="0"/>
          <w:szCs w:val="21"/>
          <w:highlight w:val="none"/>
        </w:rPr>
        <w:t>。</w:t>
      </w:r>
    </w:p>
    <w:p w14:paraId="67F6D9F0">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3.1.3  投标报价有算术错误的，评标委员会按以下原则对投标报价进行修正，修正的价格经投标人书面确认后具有约束力</w:t>
      </w:r>
      <w:r>
        <w:rPr>
          <w:rFonts w:hint="eastAsia" w:ascii="宋体" w:hAnsi="宋体"/>
          <w:color w:val="auto"/>
          <w:kern w:val="0"/>
          <w:szCs w:val="21"/>
          <w:highlight w:val="none"/>
        </w:rPr>
        <w:t>，修正原则如下：</w:t>
      </w:r>
    </w:p>
    <w:p w14:paraId="4A326BE8">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（1）投标文件中的大写金额与小写金额不一致的，以大写金额为准；</w:t>
      </w:r>
    </w:p>
    <w:p w14:paraId="77A9D4B5">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（2）</w:t>
      </w:r>
      <w:r>
        <w:rPr>
          <w:rFonts w:hint="eastAsia" w:ascii="宋体" w:hAnsi="宋体"/>
          <w:color w:val="auto"/>
          <w:kern w:val="0"/>
          <w:szCs w:val="21"/>
          <w:highlight w:val="none"/>
        </w:rPr>
        <w:t>投标函中的总报价与已标价工程量清单总报价不一致，且工程量清单总报价与依据单价、工程数量、分部分项工程合价计算出的结果</w:t>
      </w:r>
      <w:r>
        <w:rPr>
          <w:rFonts w:ascii="宋体" w:hAnsi="宋体"/>
          <w:color w:val="auto"/>
          <w:kern w:val="0"/>
          <w:szCs w:val="21"/>
          <w:highlight w:val="none"/>
        </w:rPr>
        <w:t>不一致的，</w:t>
      </w:r>
      <w:r>
        <w:rPr>
          <w:rFonts w:hint="eastAsia" w:ascii="宋体" w:hAnsi="宋体"/>
          <w:color w:val="auto"/>
          <w:kern w:val="0"/>
          <w:szCs w:val="21"/>
          <w:highlight w:val="none"/>
        </w:rPr>
        <w:t>由评标委员会作否决投标处理</w:t>
      </w:r>
      <w:r>
        <w:rPr>
          <w:rFonts w:ascii="宋体" w:hAnsi="宋体"/>
          <w:color w:val="auto"/>
          <w:kern w:val="0"/>
          <w:szCs w:val="21"/>
          <w:highlight w:val="none"/>
        </w:rPr>
        <w:t>。</w:t>
      </w:r>
    </w:p>
    <w:p w14:paraId="406420C8">
      <w:pPr>
        <w:pStyle w:val="5"/>
        <w:snapToGrid w:val="0"/>
        <w:spacing w:before="0" w:after="0" w:line="360" w:lineRule="auto"/>
        <w:rPr>
          <w:rFonts w:ascii="宋体" w:hAnsi="宋体"/>
          <w:b w:val="0"/>
          <w:snapToGrid w:val="0"/>
          <w:color w:val="auto"/>
          <w:sz w:val="24"/>
          <w:szCs w:val="24"/>
          <w:highlight w:val="none"/>
        </w:rPr>
      </w:pPr>
      <w:bookmarkStart w:id="650" w:name="_Toc224103390"/>
      <w:bookmarkStart w:id="651" w:name="_Toc200513204"/>
      <w:bookmarkStart w:id="652" w:name="_Toc57820633"/>
      <w:bookmarkStart w:id="653" w:name="_Toc430530506"/>
      <w:bookmarkStart w:id="654" w:name="_Toc509218782"/>
      <w:bookmarkStart w:id="655" w:name="_Toc277082624"/>
      <w:bookmarkStart w:id="656" w:name="_Toc287607818"/>
      <w:bookmarkStart w:id="657" w:name="_Toc287620757"/>
      <w:r>
        <w:rPr>
          <w:rFonts w:ascii="宋体" w:hAnsi="宋体"/>
          <w:b w:val="0"/>
          <w:snapToGrid w:val="0"/>
          <w:color w:val="auto"/>
          <w:sz w:val="24"/>
          <w:szCs w:val="24"/>
          <w:highlight w:val="none"/>
        </w:rPr>
        <w:t>3.2  详细评审</w:t>
      </w:r>
      <w:bookmarkEnd w:id="650"/>
      <w:bookmarkEnd w:id="651"/>
      <w:bookmarkEnd w:id="652"/>
      <w:bookmarkEnd w:id="653"/>
      <w:bookmarkEnd w:id="654"/>
      <w:bookmarkEnd w:id="655"/>
      <w:bookmarkEnd w:id="656"/>
      <w:bookmarkEnd w:id="657"/>
    </w:p>
    <w:p w14:paraId="13C48B5D">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3.2.1  评标委员会按本章第2.2款规定的量化因素和分值进行打分，并计算出综合评估得分。</w:t>
      </w:r>
    </w:p>
    <w:p w14:paraId="455C01B0">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1</w:t>
      </w:r>
      <w:r>
        <w:rPr>
          <w:rFonts w:ascii="宋体" w:hAnsi="宋体"/>
          <w:color w:val="auto"/>
          <w:kern w:val="0"/>
          <w:szCs w:val="21"/>
          <w:highlight w:val="none"/>
        </w:rPr>
        <w:t>）按本章第3.2.1（</w:t>
      </w:r>
      <w:r>
        <w:rPr>
          <w:rFonts w:hint="eastAsia" w:ascii="宋体" w:hAnsi="宋体"/>
          <w:color w:val="auto"/>
          <w:kern w:val="0"/>
          <w:szCs w:val="21"/>
          <w:highlight w:val="none"/>
        </w:rPr>
        <w:t>1</w:t>
      </w:r>
      <w:r>
        <w:rPr>
          <w:rFonts w:ascii="宋体" w:hAnsi="宋体"/>
          <w:color w:val="auto"/>
          <w:kern w:val="0"/>
          <w:szCs w:val="21"/>
          <w:highlight w:val="none"/>
        </w:rPr>
        <w:t>）目规定的评审因素和分值对技术</w:t>
      </w:r>
      <w:r>
        <w:rPr>
          <w:rFonts w:hint="eastAsia" w:ascii="宋体" w:hAnsi="宋体"/>
          <w:color w:val="auto"/>
          <w:kern w:val="0"/>
          <w:szCs w:val="21"/>
          <w:highlight w:val="none"/>
        </w:rPr>
        <w:t>部分</w:t>
      </w:r>
      <w:r>
        <w:rPr>
          <w:rFonts w:ascii="宋体" w:hAnsi="宋体"/>
          <w:color w:val="auto"/>
          <w:kern w:val="0"/>
          <w:szCs w:val="21"/>
          <w:highlight w:val="none"/>
        </w:rPr>
        <w:t>计算出得分</w:t>
      </w:r>
      <w:r>
        <w:rPr>
          <w:rFonts w:hint="eastAsia" w:ascii="宋体" w:hAnsi="宋体"/>
          <w:color w:val="auto"/>
          <w:kern w:val="0"/>
          <w:szCs w:val="21"/>
          <w:highlight w:val="none"/>
        </w:rPr>
        <w:t>A（</w:t>
      </w:r>
      <w:r>
        <w:rPr>
          <w:rFonts w:ascii="宋体" w:hAnsi="宋体"/>
          <w:snapToGrid w:val="0"/>
          <w:color w:val="auto"/>
          <w:kern w:val="0"/>
          <w:szCs w:val="21"/>
          <w:highlight w:val="none"/>
        </w:rPr>
        <w:t>所有评委打分中去掉一个最高和一个最低分，余下评委打分取算术平均值为该投标人技术</w:t>
      </w:r>
      <w:r>
        <w:rPr>
          <w:rFonts w:hint="eastAsia" w:ascii="宋体" w:hAnsi="宋体"/>
          <w:snapToGrid w:val="0"/>
          <w:color w:val="auto"/>
          <w:kern w:val="0"/>
          <w:szCs w:val="21"/>
          <w:highlight w:val="none"/>
        </w:rPr>
        <w:t>部分</w:t>
      </w:r>
      <w:r>
        <w:rPr>
          <w:rFonts w:ascii="宋体" w:hAnsi="宋体"/>
          <w:snapToGrid w:val="0"/>
          <w:color w:val="auto"/>
          <w:kern w:val="0"/>
          <w:szCs w:val="21"/>
          <w:highlight w:val="none"/>
        </w:rPr>
        <w:t>得分。</w:t>
      </w:r>
      <w:r>
        <w:rPr>
          <w:rFonts w:ascii="宋体" w:hAnsi="宋体"/>
          <w:color w:val="auto"/>
          <w:kern w:val="0"/>
          <w:szCs w:val="21"/>
          <w:highlight w:val="none"/>
        </w:rPr>
        <w:t>）</w:t>
      </w:r>
    </w:p>
    <w:p w14:paraId="5E7E95CD">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2</w:t>
      </w:r>
      <w:r>
        <w:rPr>
          <w:rFonts w:ascii="宋体" w:hAnsi="宋体"/>
          <w:color w:val="auto"/>
          <w:kern w:val="0"/>
          <w:szCs w:val="21"/>
          <w:highlight w:val="none"/>
        </w:rPr>
        <w:t>）按本章第3.2.1（</w:t>
      </w:r>
      <w:r>
        <w:rPr>
          <w:rFonts w:hint="eastAsia" w:ascii="宋体" w:hAnsi="宋体"/>
          <w:color w:val="auto"/>
          <w:kern w:val="0"/>
          <w:szCs w:val="21"/>
          <w:highlight w:val="none"/>
        </w:rPr>
        <w:t>2</w:t>
      </w:r>
      <w:r>
        <w:rPr>
          <w:rFonts w:ascii="宋体" w:hAnsi="宋体"/>
          <w:color w:val="auto"/>
          <w:kern w:val="0"/>
          <w:szCs w:val="21"/>
          <w:highlight w:val="none"/>
        </w:rPr>
        <w:t>）目规定的评审因素和分值对投标总报价计算出得分</w:t>
      </w:r>
      <w:r>
        <w:rPr>
          <w:rFonts w:hint="eastAsia" w:ascii="宋体" w:hAnsi="宋体"/>
          <w:color w:val="auto"/>
          <w:kern w:val="0"/>
          <w:szCs w:val="21"/>
          <w:highlight w:val="none"/>
        </w:rPr>
        <w:t>B。</w:t>
      </w:r>
    </w:p>
    <w:p w14:paraId="4A204965">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3.2.2  各类评分分值的最终计算结果保留小数点后两位，小数点后第三位“四舍五入”。</w:t>
      </w:r>
    </w:p>
    <w:p w14:paraId="797D3ED9">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3.2.3  投标人得分=A+B</w:t>
      </w:r>
      <w:r>
        <w:rPr>
          <w:rFonts w:hint="eastAsia" w:ascii="宋体" w:hAnsi="宋体"/>
          <w:color w:val="auto"/>
          <w:kern w:val="0"/>
          <w:szCs w:val="21"/>
          <w:highlight w:val="none"/>
        </w:rPr>
        <w:t>。</w:t>
      </w:r>
    </w:p>
    <w:p w14:paraId="5754D8E8">
      <w:pPr>
        <w:pStyle w:val="5"/>
        <w:snapToGrid w:val="0"/>
        <w:spacing w:before="0" w:after="0" w:line="360" w:lineRule="auto"/>
        <w:rPr>
          <w:rFonts w:ascii="宋体" w:hAnsi="宋体"/>
          <w:b w:val="0"/>
          <w:snapToGrid w:val="0"/>
          <w:color w:val="auto"/>
          <w:sz w:val="24"/>
          <w:szCs w:val="24"/>
          <w:highlight w:val="none"/>
        </w:rPr>
      </w:pPr>
      <w:bookmarkStart w:id="658" w:name="_Toc277082625"/>
      <w:bookmarkStart w:id="659" w:name="_Toc200513205"/>
      <w:bookmarkStart w:id="660" w:name="_Toc287607819"/>
      <w:bookmarkStart w:id="661" w:name="_Toc224103391"/>
      <w:bookmarkStart w:id="662" w:name="_Toc287620758"/>
      <w:bookmarkStart w:id="663" w:name="_Toc509218783"/>
      <w:bookmarkStart w:id="664" w:name="_Toc57820634"/>
      <w:bookmarkStart w:id="665" w:name="_Toc430530507"/>
      <w:r>
        <w:rPr>
          <w:rFonts w:ascii="宋体" w:hAnsi="宋体"/>
          <w:b w:val="0"/>
          <w:snapToGrid w:val="0"/>
          <w:color w:val="auto"/>
          <w:sz w:val="24"/>
          <w:szCs w:val="24"/>
          <w:highlight w:val="none"/>
        </w:rPr>
        <w:t>3.3  投标文件的澄清和补正</w:t>
      </w:r>
      <w:bookmarkEnd w:id="658"/>
      <w:bookmarkEnd w:id="659"/>
      <w:bookmarkEnd w:id="660"/>
      <w:bookmarkEnd w:id="661"/>
      <w:bookmarkEnd w:id="662"/>
      <w:bookmarkEnd w:id="663"/>
      <w:bookmarkEnd w:id="664"/>
      <w:bookmarkEnd w:id="665"/>
    </w:p>
    <w:p w14:paraId="48FCD345">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3.3.1  在评标过程中，评标委员会可以书面形式要求投标人对所提交投标文件中不明确的内容进行书面澄清或说明，或者对细微偏差进行补正。评标委员会不接受投标人主动提出的澄清、说明或补正。</w:t>
      </w:r>
    </w:p>
    <w:p w14:paraId="5333DBD4">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3.3.2  澄清、说明和补正不得改变投标文件的实质性内容（算术性错误修正的除外）。投标人的书面澄清、说明和补正属于投标文件的组成部分。</w:t>
      </w:r>
    </w:p>
    <w:p w14:paraId="2D56BA46">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3.3.3  评标委员会对投标人提交的澄清、说明或补正有疑问的，可以要求投标人进一步澄清、说明或补正，直至满足评标委员会的要求。</w:t>
      </w:r>
    </w:p>
    <w:p w14:paraId="3F557922">
      <w:pPr>
        <w:pStyle w:val="5"/>
        <w:snapToGrid w:val="0"/>
        <w:spacing w:before="0" w:after="0" w:line="360" w:lineRule="auto"/>
        <w:rPr>
          <w:rFonts w:ascii="宋体" w:hAnsi="宋体"/>
          <w:b w:val="0"/>
          <w:snapToGrid w:val="0"/>
          <w:color w:val="auto"/>
          <w:sz w:val="24"/>
          <w:szCs w:val="24"/>
          <w:highlight w:val="none"/>
        </w:rPr>
      </w:pPr>
      <w:bookmarkStart w:id="666" w:name="_Toc200513206"/>
      <w:bookmarkStart w:id="667" w:name="_Toc287620759"/>
      <w:bookmarkStart w:id="668" w:name="_Toc430530508"/>
      <w:bookmarkStart w:id="669" w:name="_Toc287607820"/>
      <w:bookmarkStart w:id="670" w:name="_Toc277082626"/>
      <w:bookmarkStart w:id="671" w:name="_Toc57820635"/>
      <w:bookmarkStart w:id="672" w:name="_Toc224103392"/>
      <w:bookmarkStart w:id="673" w:name="_Toc509218784"/>
      <w:r>
        <w:rPr>
          <w:rFonts w:ascii="宋体" w:hAnsi="宋体"/>
          <w:b w:val="0"/>
          <w:snapToGrid w:val="0"/>
          <w:color w:val="auto"/>
          <w:sz w:val="24"/>
          <w:szCs w:val="24"/>
          <w:highlight w:val="none"/>
        </w:rPr>
        <w:t>3.4  评标结果</w:t>
      </w:r>
      <w:bookmarkEnd w:id="666"/>
      <w:bookmarkEnd w:id="667"/>
      <w:bookmarkEnd w:id="668"/>
      <w:bookmarkEnd w:id="669"/>
      <w:bookmarkEnd w:id="670"/>
      <w:bookmarkEnd w:id="671"/>
      <w:bookmarkEnd w:id="672"/>
      <w:bookmarkEnd w:id="673"/>
    </w:p>
    <w:p w14:paraId="1FBF93B8">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w:t>
      </w:r>
      <w:r>
        <w:rPr>
          <w:rFonts w:ascii="宋体" w:hAnsi="宋体"/>
          <w:color w:val="auto"/>
          <w:spacing w:val="-1"/>
          <w:kern w:val="0"/>
          <w:szCs w:val="21"/>
          <w:highlight w:val="none"/>
        </w:rPr>
        <w:t>4</w:t>
      </w:r>
      <w:r>
        <w:rPr>
          <w:rFonts w:ascii="宋体" w:hAnsi="宋体"/>
          <w:color w:val="auto"/>
          <w:kern w:val="0"/>
          <w:szCs w:val="21"/>
          <w:highlight w:val="none"/>
        </w:rPr>
        <w:t xml:space="preserve">.1 </w:t>
      </w:r>
      <w:r>
        <w:rPr>
          <w:rFonts w:ascii="宋体" w:hAnsi="宋体"/>
          <w:color w:val="auto"/>
          <w:spacing w:val="1"/>
          <w:kern w:val="0"/>
          <w:szCs w:val="21"/>
          <w:highlight w:val="none"/>
        </w:rPr>
        <w:t xml:space="preserve"> </w:t>
      </w:r>
      <w:r>
        <w:rPr>
          <w:rFonts w:ascii="宋体" w:hAnsi="宋体"/>
          <w:color w:val="auto"/>
          <w:kern w:val="0"/>
          <w:szCs w:val="21"/>
          <w:highlight w:val="none"/>
        </w:rPr>
        <w:t>除第二章“投标</w:t>
      </w:r>
      <w:r>
        <w:rPr>
          <w:rFonts w:ascii="宋体" w:hAnsi="宋体"/>
          <w:color w:val="auto"/>
          <w:spacing w:val="1"/>
          <w:kern w:val="0"/>
          <w:szCs w:val="21"/>
          <w:highlight w:val="none"/>
        </w:rPr>
        <w:t>人</w:t>
      </w:r>
      <w:r>
        <w:rPr>
          <w:rFonts w:ascii="宋体" w:hAnsi="宋体"/>
          <w:color w:val="auto"/>
          <w:kern w:val="0"/>
          <w:szCs w:val="21"/>
          <w:highlight w:val="none"/>
        </w:rPr>
        <w:t>须知”前</w:t>
      </w:r>
      <w:r>
        <w:rPr>
          <w:rFonts w:ascii="宋体" w:hAnsi="宋体"/>
          <w:color w:val="auto"/>
          <w:spacing w:val="1"/>
          <w:kern w:val="0"/>
          <w:szCs w:val="21"/>
          <w:highlight w:val="none"/>
        </w:rPr>
        <w:t>附</w:t>
      </w:r>
      <w:r>
        <w:rPr>
          <w:rFonts w:ascii="宋体" w:hAnsi="宋体"/>
          <w:color w:val="auto"/>
          <w:kern w:val="0"/>
          <w:szCs w:val="21"/>
          <w:highlight w:val="none"/>
        </w:rPr>
        <w:t>表授权直</w:t>
      </w:r>
      <w:r>
        <w:rPr>
          <w:rFonts w:ascii="宋体" w:hAnsi="宋体"/>
          <w:color w:val="auto"/>
          <w:spacing w:val="1"/>
          <w:kern w:val="0"/>
          <w:szCs w:val="21"/>
          <w:highlight w:val="none"/>
        </w:rPr>
        <w:t>接</w:t>
      </w:r>
      <w:r>
        <w:rPr>
          <w:rFonts w:ascii="宋体" w:hAnsi="宋体"/>
          <w:color w:val="auto"/>
          <w:kern w:val="0"/>
          <w:szCs w:val="21"/>
          <w:highlight w:val="none"/>
        </w:rPr>
        <w:t>确定中标</w:t>
      </w:r>
      <w:r>
        <w:rPr>
          <w:rFonts w:ascii="宋体" w:hAnsi="宋体"/>
          <w:color w:val="auto"/>
          <w:spacing w:val="1"/>
          <w:kern w:val="0"/>
          <w:szCs w:val="21"/>
          <w:highlight w:val="none"/>
        </w:rPr>
        <w:t>人</w:t>
      </w:r>
      <w:r>
        <w:rPr>
          <w:rFonts w:ascii="宋体" w:hAnsi="宋体"/>
          <w:color w:val="auto"/>
          <w:kern w:val="0"/>
          <w:szCs w:val="21"/>
          <w:highlight w:val="none"/>
        </w:rPr>
        <w:t>外，评标</w:t>
      </w:r>
      <w:r>
        <w:rPr>
          <w:rFonts w:ascii="宋体" w:hAnsi="宋体"/>
          <w:color w:val="auto"/>
          <w:spacing w:val="1"/>
          <w:kern w:val="0"/>
          <w:szCs w:val="21"/>
          <w:highlight w:val="none"/>
        </w:rPr>
        <w:t>委</w:t>
      </w:r>
      <w:r>
        <w:rPr>
          <w:rFonts w:ascii="宋体" w:hAnsi="宋体"/>
          <w:color w:val="auto"/>
          <w:kern w:val="0"/>
          <w:szCs w:val="21"/>
          <w:highlight w:val="none"/>
        </w:rPr>
        <w:t>员会按照</w:t>
      </w:r>
      <w:r>
        <w:rPr>
          <w:rFonts w:ascii="宋体" w:hAnsi="宋体"/>
          <w:color w:val="auto"/>
          <w:spacing w:val="1"/>
          <w:kern w:val="0"/>
          <w:szCs w:val="21"/>
          <w:highlight w:val="none"/>
        </w:rPr>
        <w:t>得分</w:t>
      </w:r>
      <w:r>
        <w:rPr>
          <w:rFonts w:ascii="宋体" w:hAnsi="宋体"/>
          <w:color w:val="auto"/>
          <w:kern w:val="0"/>
          <w:szCs w:val="21"/>
          <w:highlight w:val="none"/>
        </w:rPr>
        <w:t>由高到低的顺序推荐中标候选人。</w:t>
      </w:r>
    </w:p>
    <w:p w14:paraId="74CE26A9">
      <w:pPr>
        <w:autoSpaceDE w:val="0"/>
        <w:autoSpaceDN w:val="0"/>
        <w:adjustRightInd w:val="0"/>
        <w:snapToGrid w:val="0"/>
        <w:spacing w:line="360" w:lineRule="auto"/>
        <w:ind w:firstLine="424" w:firstLineChars="200"/>
        <w:rPr>
          <w:rFonts w:ascii="宋体" w:hAnsi="宋体"/>
          <w:color w:val="auto"/>
          <w:kern w:val="0"/>
          <w:sz w:val="20"/>
          <w:szCs w:val="20"/>
          <w:highlight w:val="none"/>
        </w:rPr>
      </w:pPr>
      <w:r>
        <w:rPr>
          <w:rFonts w:ascii="宋体" w:hAnsi="宋体"/>
          <w:color w:val="auto"/>
          <w:spacing w:val="1"/>
          <w:kern w:val="0"/>
          <w:szCs w:val="21"/>
          <w:highlight w:val="none"/>
        </w:rPr>
        <w:t>3</w:t>
      </w:r>
      <w:r>
        <w:rPr>
          <w:rFonts w:ascii="宋体" w:hAnsi="宋体"/>
          <w:color w:val="auto"/>
          <w:kern w:val="0"/>
          <w:szCs w:val="21"/>
          <w:highlight w:val="none"/>
        </w:rPr>
        <w:t>.4.2  评标</w:t>
      </w:r>
      <w:r>
        <w:rPr>
          <w:rFonts w:ascii="宋体" w:hAnsi="宋体"/>
          <w:color w:val="auto"/>
          <w:spacing w:val="-1"/>
          <w:kern w:val="0"/>
          <w:szCs w:val="21"/>
          <w:highlight w:val="none"/>
        </w:rPr>
        <w:t>委</w:t>
      </w:r>
      <w:r>
        <w:rPr>
          <w:rFonts w:ascii="宋体" w:hAnsi="宋体"/>
          <w:color w:val="auto"/>
          <w:kern w:val="0"/>
          <w:szCs w:val="21"/>
          <w:highlight w:val="none"/>
        </w:rPr>
        <w:t>员会完成评标后，应当向招标人提交书面评标报告。</w:t>
      </w:r>
    </w:p>
    <w:p w14:paraId="7EB301F7">
      <w:pPr>
        <w:spacing w:line="360" w:lineRule="auto"/>
        <w:rPr>
          <w:rFonts w:hint="eastAsia" w:ascii="宋体" w:hAnsi="宋体"/>
          <w:b/>
          <w:color w:val="auto"/>
          <w:szCs w:val="20"/>
          <w:highlight w:val="none"/>
        </w:rPr>
      </w:pPr>
      <w:r>
        <w:rPr>
          <w:rFonts w:ascii="宋体" w:hAnsi="宋体"/>
          <w:color w:val="auto"/>
          <w:kern w:val="0"/>
          <w:sz w:val="20"/>
          <w:szCs w:val="20"/>
          <w:highlight w:val="none"/>
        </w:rPr>
        <w:br w:type="page"/>
      </w:r>
    </w:p>
    <w:p w14:paraId="5C0FCB9D">
      <w:pPr>
        <w:pStyle w:val="33"/>
        <w:spacing w:line="360" w:lineRule="auto"/>
        <w:rPr>
          <w:rFonts w:hint="eastAsia" w:ascii="宋体" w:hAnsi="宋体"/>
          <w:b/>
          <w:color w:val="auto"/>
          <w:sz w:val="28"/>
          <w:szCs w:val="28"/>
          <w:highlight w:val="none"/>
          <w:u w:val="none"/>
          <w:lang w:eastAsia="zh-CN"/>
        </w:rPr>
      </w:pPr>
      <w:bookmarkStart w:id="674" w:name="招标文件03章02评标办法综合评估法02附件02"/>
      <w:bookmarkEnd w:id="674"/>
      <w:bookmarkStart w:id="675" w:name="招标文件04章合同条款及格式"/>
      <w:bookmarkEnd w:id="675"/>
      <w:bookmarkStart w:id="676" w:name="_Toc230410480"/>
      <w:bookmarkStart w:id="677" w:name="_Toc277082627"/>
      <w:r>
        <w:rPr>
          <w:rFonts w:ascii="宋体" w:hAnsi="宋体"/>
          <w:b/>
          <w:color w:val="auto"/>
          <w:sz w:val="28"/>
          <w:szCs w:val="28"/>
          <w:highlight w:val="none"/>
          <w:u w:val="none"/>
          <w:lang w:eastAsia="zh-CN"/>
        </w:rPr>
        <w:t>附件A：综合评估法否决投标情况一览表</w:t>
      </w:r>
      <w:bookmarkEnd w:id="676"/>
    </w:p>
    <w:bookmarkEnd w:id="677"/>
    <w:p w14:paraId="32485A6F">
      <w:pPr>
        <w:pStyle w:val="33"/>
        <w:spacing w:line="360" w:lineRule="auto"/>
        <w:ind w:firstLine="420" w:firstLineChars="200"/>
        <w:jc w:val="both"/>
        <w:rPr>
          <w:rFonts w:ascii="宋体" w:hAnsi="宋体"/>
          <w:color w:val="auto"/>
          <w:sz w:val="21"/>
          <w:szCs w:val="21"/>
          <w:highlight w:val="none"/>
          <w:u w:val="none"/>
          <w:lang w:eastAsia="zh-CN"/>
        </w:rPr>
      </w:pPr>
      <w:r>
        <w:rPr>
          <w:rFonts w:hint="eastAsia" w:ascii="宋体" w:hAnsi="宋体"/>
          <w:color w:val="auto"/>
          <w:sz w:val="21"/>
          <w:szCs w:val="21"/>
          <w:highlight w:val="none"/>
          <w:u w:val="none"/>
          <w:lang w:eastAsia="zh-CN"/>
        </w:rPr>
        <w:t>投标文件存在本一览表下列情形之一的，投标文件视为重大偏差并作否决投标处理，否则，评标委员会不得视为重大偏差而否决投标人的投标文件</w:t>
      </w:r>
      <w:r>
        <w:rPr>
          <w:rFonts w:ascii="宋体" w:hAnsi="宋体"/>
          <w:color w:val="auto"/>
          <w:sz w:val="21"/>
          <w:szCs w:val="21"/>
          <w:highlight w:val="none"/>
          <w:u w:val="none"/>
          <w:lang w:eastAsia="zh-CN"/>
        </w:rPr>
        <w:t>。</w:t>
      </w:r>
    </w:p>
    <w:tbl>
      <w:tblPr>
        <w:tblStyle w:val="45"/>
        <w:tblW w:w="0" w:type="auto"/>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237"/>
        <w:gridCol w:w="1899"/>
        <w:gridCol w:w="6333"/>
      </w:tblGrid>
      <w:tr w14:paraId="405D258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noWrap w:val="0"/>
            <w:vAlign w:val="center"/>
          </w:tcPr>
          <w:p w14:paraId="3471CE8F">
            <w:pPr>
              <w:spacing w:line="400" w:lineRule="exact"/>
              <w:jc w:val="center"/>
              <w:rPr>
                <w:rFonts w:ascii="宋体" w:hAnsi="宋体"/>
                <w:b/>
                <w:color w:val="auto"/>
                <w:szCs w:val="21"/>
                <w:highlight w:val="none"/>
              </w:rPr>
            </w:pPr>
            <w:r>
              <w:rPr>
                <w:rFonts w:ascii="宋体" w:hAnsi="宋体"/>
                <w:b/>
                <w:color w:val="auto"/>
                <w:szCs w:val="21"/>
                <w:highlight w:val="none"/>
              </w:rPr>
              <w:t>章节号</w:t>
            </w:r>
          </w:p>
        </w:tc>
        <w:tc>
          <w:tcPr>
            <w:tcW w:w="1899" w:type="dxa"/>
            <w:noWrap w:val="0"/>
            <w:vAlign w:val="center"/>
          </w:tcPr>
          <w:p w14:paraId="4365A925">
            <w:pPr>
              <w:spacing w:line="400" w:lineRule="exact"/>
              <w:jc w:val="center"/>
              <w:rPr>
                <w:rFonts w:ascii="宋体" w:hAnsi="宋体"/>
                <w:b/>
                <w:color w:val="auto"/>
                <w:szCs w:val="21"/>
                <w:highlight w:val="none"/>
              </w:rPr>
            </w:pPr>
            <w:r>
              <w:rPr>
                <w:rFonts w:ascii="宋体" w:hAnsi="宋体"/>
                <w:b/>
                <w:color w:val="auto"/>
                <w:szCs w:val="21"/>
                <w:highlight w:val="none"/>
              </w:rPr>
              <w:t>条款名称</w:t>
            </w:r>
          </w:p>
        </w:tc>
        <w:tc>
          <w:tcPr>
            <w:tcW w:w="6333" w:type="dxa"/>
            <w:noWrap w:val="0"/>
            <w:vAlign w:val="center"/>
          </w:tcPr>
          <w:p w14:paraId="09F51A0D">
            <w:pPr>
              <w:spacing w:line="400" w:lineRule="exact"/>
              <w:jc w:val="center"/>
              <w:rPr>
                <w:rFonts w:ascii="宋体" w:hAnsi="宋体"/>
                <w:b/>
                <w:color w:val="auto"/>
                <w:szCs w:val="21"/>
                <w:highlight w:val="none"/>
              </w:rPr>
            </w:pPr>
            <w:r>
              <w:rPr>
                <w:rFonts w:ascii="宋体" w:hAnsi="宋体"/>
                <w:b/>
                <w:color w:val="auto"/>
                <w:szCs w:val="21"/>
                <w:highlight w:val="none"/>
              </w:rPr>
              <w:t>否决投标条件</w:t>
            </w:r>
          </w:p>
        </w:tc>
      </w:tr>
      <w:tr w14:paraId="3D84CD9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restart"/>
            <w:noWrap w:val="0"/>
            <w:vAlign w:val="center"/>
          </w:tcPr>
          <w:p w14:paraId="5BC46FD6">
            <w:pPr>
              <w:spacing w:line="400" w:lineRule="exact"/>
              <w:jc w:val="center"/>
              <w:rPr>
                <w:rFonts w:hint="eastAsia" w:ascii="宋体" w:hAnsi="宋体"/>
                <w:color w:val="auto"/>
                <w:szCs w:val="21"/>
                <w:highlight w:val="none"/>
              </w:rPr>
            </w:pPr>
            <w:r>
              <w:rPr>
                <w:rFonts w:hint="eastAsia" w:ascii="宋体" w:hAnsi="宋体"/>
                <w:color w:val="auto"/>
                <w:szCs w:val="21"/>
                <w:highlight w:val="none"/>
              </w:rPr>
              <w:t>第三章</w:t>
            </w:r>
          </w:p>
        </w:tc>
        <w:tc>
          <w:tcPr>
            <w:tcW w:w="1899" w:type="dxa"/>
            <w:vMerge w:val="restart"/>
            <w:noWrap w:val="0"/>
            <w:vAlign w:val="center"/>
          </w:tcPr>
          <w:p w14:paraId="052DE2C4">
            <w:pPr>
              <w:spacing w:line="400" w:lineRule="exact"/>
              <w:jc w:val="center"/>
              <w:rPr>
                <w:rFonts w:hint="eastAsia" w:ascii="宋体" w:hAnsi="宋体"/>
                <w:color w:val="auto"/>
                <w:szCs w:val="21"/>
                <w:highlight w:val="none"/>
              </w:rPr>
            </w:pPr>
            <w:r>
              <w:rPr>
                <w:rFonts w:hint="eastAsia" w:ascii="宋体" w:hAnsi="宋体"/>
                <w:color w:val="auto"/>
                <w:szCs w:val="21"/>
                <w:highlight w:val="none"/>
              </w:rPr>
              <w:t>资格评审</w:t>
            </w:r>
          </w:p>
        </w:tc>
        <w:tc>
          <w:tcPr>
            <w:tcW w:w="6333" w:type="dxa"/>
            <w:noWrap w:val="0"/>
            <w:vAlign w:val="center"/>
          </w:tcPr>
          <w:p w14:paraId="49430CC4">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A-1投标人的资质条件、营业执照及安全生产条件须满足投标人须知前附表1.4.1项第1条的要求，否则由评标委员会作否决投标处理。</w:t>
            </w:r>
          </w:p>
        </w:tc>
      </w:tr>
      <w:tr w14:paraId="77BC6C1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noWrap w:val="0"/>
            <w:vAlign w:val="center"/>
          </w:tcPr>
          <w:p w14:paraId="02F15EC9">
            <w:pPr>
              <w:spacing w:line="400" w:lineRule="exact"/>
              <w:jc w:val="center"/>
              <w:rPr>
                <w:rFonts w:hint="eastAsia" w:ascii="宋体" w:hAnsi="宋体"/>
                <w:color w:val="auto"/>
                <w:szCs w:val="21"/>
                <w:highlight w:val="none"/>
              </w:rPr>
            </w:pPr>
          </w:p>
        </w:tc>
        <w:tc>
          <w:tcPr>
            <w:tcW w:w="1899" w:type="dxa"/>
            <w:vMerge w:val="continue"/>
            <w:noWrap w:val="0"/>
            <w:vAlign w:val="center"/>
          </w:tcPr>
          <w:p w14:paraId="399044F3">
            <w:pPr>
              <w:spacing w:line="400" w:lineRule="exact"/>
              <w:jc w:val="center"/>
              <w:rPr>
                <w:rFonts w:hint="eastAsia" w:ascii="宋体" w:hAnsi="宋体"/>
                <w:color w:val="auto"/>
                <w:szCs w:val="21"/>
                <w:highlight w:val="none"/>
              </w:rPr>
            </w:pPr>
          </w:p>
        </w:tc>
        <w:tc>
          <w:tcPr>
            <w:tcW w:w="6333" w:type="dxa"/>
            <w:noWrap w:val="0"/>
            <w:vAlign w:val="center"/>
          </w:tcPr>
          <w:p w14:paraId="19B35F14">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A-2投标人的财务须满足投标人须知前附表第1.4.1项第2条的要求，否则由评标委员会作否决投标处理（如有）。</w:t>
            </w:r>
          </w:p>
        </w:tc>
      </w:tr>
      <w:tr w14:paraId="4E90233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noWrap w:val="0"/>
            <w:vAlign w:val="center"/>
          </w:tcPr>
          <w:p w14:paraId="4FBE9D94">
            <w:pPr>
              <w:spacing w:line="400" w:lineRule="exact"/>
              <w:jc w:val="center"/>
              <w:rPr>
                <w:rFonts w:hint="eastAsia" w:ascii="宋体" w:hAnsi="宋体"/>
                <w:color w:val="auto"/>
                <w:szCs w:val="21"/>
                <w:highlight w:val="none"/>
              </w:rPr>
            </w:pPr>
          </w:p>
        </w:tc>
        <w:tc>
          <w:tcPr>
            <w:tcW w:w="1899" w:type="dxa"/>
            <w:vMerge w:val="continue"/>
            <w:noWrap w:val="0"/>
            <w:vAlign w:val="center"/>
          </w:tcPr>
          <w:p w14:paraId="2F13CB20">
            <w:pPr>
              <w:spacing w:line="400" w:lineRule="exact"/>
              <w:jc w:val="center"/>
              <w:rPr>
                <w:rFonts w:hint="eastAsia" w:ascii="宋体" w:hAnsi="宋体"/>
                <w:color w:val="auto"/>
                <w:szCs w:val="21"/>
                <w:highlight w:val="none"/>
              </w:rPr>
            </w:pPr>
          </w:p>
        </w:tc>
        <w:tc>
          <w:tcPr>
            <w:tcW w:w="6333" w:type="dxa"/>
            <w:noWrap w:val="0"/>
            <w:vAlign w:val="center"/>
          </w:tcPr>
          <w:p w14:paraId="4DA24E42">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A-3投标人的业绩须满足投标人须知前附表第1.4.1项第3条的要求，否则由评标委员会作否决投标处理（如有）。</w:t>
            </w:r>
          </w:p>
        </w:tc>
      </w:tr>
      <w:tr w14:paraId="57E7BB3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noWrap w:val="0"/>
            <w:vAlign w:val="center"/>
          </w:tcPr>
          <w:p w14:paraId="04231FD1">
            <w:pPr>
              <w:spacing w:line="400" w:lineRule="exact"/>
              <w:jc w:val="center"/>
              <w:rPr>
                <w:rFonts w:hint="eastAsia" w:ascii="宋体" w:hAnsi="宋体"/>
                <w:color w:val="auto"/>
                <w:szCs w:val="21"/>
                <w:highlight w:val="none"/>
              </w:rPr>
            </w:pPr>
          </w:p>
        </w:tc>
        <w:tc>
          <w:tcPr>
            <w:tcW w:w="1899" w:type="dxa"/>
            <w:vMerge w:val="continue"/>
            <w:noWrap w:val="0"/>
            <w:vAlign w:val="center"/>
          </w:tcPr>
          <w:p w14:paraId="3A7B9D34">
            <w:pPr>
              <w:spacing w:line="400" w:lineRule="exact"/>
              <w:jc w:val="center"/>
              <w:rPr>
                <w:rFonts w:hint="eastAsia" w:ascii="宋体" w:hAnsi="宋体"/>
                <w:color w:val="auto"/>
                <w:szCs w:val="21"/>
                <w:highlight w:val="none"/>
              </w:rPr>
            </w:pPr>
          </w:p>
        </w:tc>
        <w:tc>
          <w:tcPr>
            <w:tcW w:w="6333" w:type="dxa"/>
            <w:noWrap w:val="0"/>
            <w:vAlign w:val="center"/>
          </w:tcPr>
          <w:p w14:paraId="1CA6E743">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A-4投标人的投标截止日投标资格情况须满足投标人须知前附表第1.4.1项第4条的要求，否则由评标委员会作否决投标处理。</w:t>
            </w:r>
          </w:p>
        </w:tc>
      </w:tr>
      <w:tr w14:paraId="736528D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noWrap w:val="0"/>
            <w:vAlign w:val="center"/>
          </w:tcPr>
          <w:p w14:paraId="3DF1A54A">
            <w:pPr>
              <w:spacing w:line="400" w:lineRule="exact"/>
              <w:jc w:val="center"/>
              <w:rPr>
                <w:rFonts w:hint="eastAsia" w:ascii="宋体" w:hAnsi="宋体"/>
                <w:color w:val="auto"/>
                <w:szCs w:val="21"/>
                <w:highlight w:val="none"/>
              </w:rPr>
            </w:pPr>
          </w:p>
        </w:tc>
        <w:tc>
          <w:tcPr>
            <w:tcW w:w="1899" w:type="dxa"/>
            <w:vMerge w:val="continue"/>
            <w:noWrap w:val="0"/>
            <w:vAlign w:val="center"/>
          </w:tcPr>
          <w:p w14:paraId="11DDD159">
            <w:pPr>
              <w:spacing w:line="400" w:lineRule="exact"/>
              <w:jc w:val="center"/>
              <w:rPr>
                <w:rFonts w:hint="eastAsia" w:ascii="宋体" w:hAnsi="宋体"/>
                <w:color w:val="auto"/>
                <w:szCs w:val="21"/>
                <w:highlight w:val="none"/>
              </w:rPr>
            </w:pPr>
          </w:p>
        </w:tc>
        <w:tc>
          <w:tcPr>
            <w:tcW w:w="6333" w:type="dxa"/>
            <w:noWrap w:val="0"/>
            <w:vAlign w:val="center"/>
          </w:tcPr>
          <w:p w14:paraId="14C9FB69">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A-5投标人的项目经理资格须满足投标人须知前附表第1.4.1项第5条的要求，否则由评标委员会作否决投标处理。</w:t>
            </w:r>
          </w:p>
        </w:tc>
      </w:tr>
      <w:tr w14:paraId="0A28050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noWrap w:val="0"/>
            <w:vAlign w:val="center"/>
          </w:tcPr>
          <w:p w14:paraId="6D5A0F1D">
            <w:pPr>
              <w:spacing w:line="400" w:lineRule="exact"/>
              <w:jc w:val="center"/>
              <w:rPr>
                <w:rFonts w:hint="eastAsia" w:ascii="宋体" w:hAnsi="宋体"/>
                <w:color w:val="auto"/>
                <w:szCs w:val="21"/>
                <w:highlight w:val="none"/>
              </w:rPr>
            </w:pPr>
          </w:p>
        </w:tc>
        <w:tc>
          <w:tcPr>
            <w:tcW w:w="1899" w:type="dxa"/>
            <w:vMerge w:val="continue"/>
            <w:noWrap w:val="0"/>
            <w:vAlign w:val="center"/>
          </w:tcPr>
          <w:p w14:paraId="5D5F3D7E">
            <w:pPr>
              <w:spacing w:line="400" w:lineRule="exact"/>
              <w:jc w:val="center"/>
              <w:rPr>
                <w:rFonts w:hint="eastAsia" w:ascii="宋体" w:hAnsi="宋体"/>
                <w:color w:val="auto"/>
                <w:szCs w:val="21"/>
                <w:highlight w:val="none"/>
              </w:rPr>
            </w:pPr>
          </w:p>
        </w:tc>
        <w:tc>
          <w:tcPr>
            <w:tcW w:w="6333" w:type="dxa"/>
            <w:noWrap w:val="0"/>
            <w:vAlign w:val="center"/>
          </w:tcPr>
          <w:p w14:paraId="730BF8FF">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A-6投标人的其他要求须满足投标人须知前附表1.4.1项第6条的要求，否则由评标委员会作否决投标处理。</w:t>
            </w:r>
          </w:p>
        </w:tc>
      </w:tr>
      <w:tr w14:paraId="075B76F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noWrap w:val="0"/>
            <w:vAlign w:val="center"/>
          </w:tcPr>
          <w:p w14:paraId="3E644D1A">
            <w:pPr>
              <w:spacing w:line="400" w:lineRule="exact"/>
              <w:jc w:val="center"/>
              <w:rPr>
                <w:rFonts w:hint="eastAsia" w:ascii="宋体" w:hAnsi="宋体"/>
                <w:color w:val="auto"/>
                <w:szCs w:val="21"/>
                <w:highlight w:val="none"/>
              </w:rPr>
            </w:pPr>
          </w:p>
        </w:tc>
        <w:tc>
          <w:tcPr>
            <w:tcW w:w="1899" w:type="dxa"/>
            <w:vMerge w:val="continue"/>
            <w:noWrap w:val="0"/>
            <w:vAlign w:val="center"/>
          </w:tcPr>
          <w:p w14:paraId="19C4405B">
            <w:pPr>
              <w:spacing w:line="400" w:lineRule="exact"/>
              <w:jc w:val="center"/>
              <w:rPr>
                <w:rFonts w:hint="eastAsia" w:ascii="宋体" w:hAnsi="宋体"/>
                <w:color w:val="auto"/>
                <w:szCs w:val="21"/>
                <w:highlight w:val="none"/>
              </w:rPr>
            </w:pPr>
          </w:p>
        </w:tc>
        <w:tc>
          <w:tcPr>
            <w:tcW w:w="6333" w:type="dxa"/>
            <w:noWrap w:val="0"/>
            <w:vAlign w:val="center"/>
          </w:tcPr>
          <w:p w14:paraId="6270D96B">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A-7若有联合体投标人，则：</w:t>
            </w:r>
          </w:p>
          <w:p w14:paraId="30F7AE06">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（1）联合体各方应按照招标文件提供的格式签订联合体协议书，明确联合体牵头人和各方权利义务；</w:t>
            </w:r>
          </w:p>
          <w:p w14:paraId="70BB7396">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（2）联合体各方均应当具备承担招标项目的相应能力，联合体协议约定同一专业分工由两个及以上单位共同承担的，按照资质等级较低的单位确定资质等级；</w:t>
            </w:r>
          </w:p>
          <w:p w14:paraId="4B55998D">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（3）联合体各方不得再以自己名义单独或参加其他联合体在同一标段中投标。</w:t>
            </w:r>
          </w:p>
          <w:p w14:paraId="241CB039">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否则由评标委员会作否决投标处理。</w:t>
            </w:r>
          </w:p>
        </w:tc>
      </w:tr>
      <w:tr w14:paraId="23D4FB0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5C48802C">
            <w:pPr>
              <w:spacing w:line="400" w:lineRule="exact"/>
              <w:jc w:val="center"/>
              <w:rPr>
                <w:rFonts w:hint="eastAsia" w:ascii="宋体" w:hAnsi="宋体"/>
                <w:color w:val="auto"/>
                <w:szCs w:val="21"/>
                <w:highlight w:val="none"/>
              </w:rPr>
            </w:pPr>
          </w:p>
        </w:tc>
        <w:tc>
          <w:tcPr>
            <w:tcW w:w="1899" w:type="dxa"/>
            <w:vMerge w:val="restart"/>
            <w:noWrap w:val="0"/>
            <w:vAlign w:val="center"/>
          </w:tcPr>
          <w:p w14:paraId="5A0B96FB">
            <w:pPr>
              <w:spacing w:line="400" w:lineRule="exact"/>
              <w:jc w:val="center"/>
              <w:rPr>
                <w:rFonts w:hint="eastAsia" w:ascii="宋体" w:hAnsi="宋体"/>
                <w:color w:val="auto"/>
                <w:szCs w:val="21"/>
                <w:highlight w:val="none"/>
              </w:rPr>
            </w:pPr>
            <w:r>
              <w:rPr>
                <w:rFonts w:hint="eastAsia" w:ascii="宋体" w:hAnsi="宋体"/>
                <w:color w:val="auto"/>
                <w:szCs w:val="21"/>
                <w:highlight w:val="none"/>
              </w:rPr>
              <w:t>形式评审</w:t>
            </w:r>
          </w:p>
        </w:tc>
        <w:tc>
          <w:tcPr>
            <w:tcW w:w="6333" w:type="dxa"/>
            <w:noWrap w:val="0"/>
            <w:vAlign w:val="top"/>
          </w:tcPr>
          <w:p w14:paraId="04033FD3">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A-8投标人名称必须与营业执照、资质证书、安全生产许可证一致，依法变更名称的应提交相应证明材料，</w:t>
            </w:r>
            <w:r>
              <w:rPr>
                <w:rFonts w:ascii="宋体" w:hAnsi="宋体"/>
                <w:color w:val="auto"/>
                <w:szCs w:val="21"/>
                <w:highlight w:val="none"/>
              </w:rPr>
              <w:t>否则</w:t>
            </w:r>
            <w:r>
              <w:rPr>
                <w:rFonts w:hint="eastAsia" w:ascii="宋体" w:hAnsi="宋体"/>
                <w:color w:val="auto"/>
                <w:szCs w:val="21"/>
                <w:highlight w:val="none"/>
              </w:rPr>
              <w:t>由评标委员会</w:t>
            </w:r>
            <w:r>
              <w:rPr>
                <w:rFonts w:ascii="宋体" w:hAnsi="宋体"/>
                <w:color w:val="auto"/>
                <w:szCs w:val="21"/>
                <w:highlight w:val="none"/>
              </w:rPr>
              <w:t>作否决投标处理。</w:t>
            </w:r>
          </w:p>
        </w:tc>
      </w:tr>
      <w:tr w14:paraId="3E7E42D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300B786E">
            <w:pPr>
              <w:spacing w:line="400" w:lineRule="exact"/>
              <w:jc w:val="center"/>
              <w:rPr>
                <w:rFonts w:hint="eastAsia" w:ascii="宋体" w:hAnsi="宋体"/>
                <w:color w:val="auto"/>
                <w:szCs w:val="21"/>
                <w:highlight w:val="none"/>
              </w:rPr>
            </w:pPr>
          </w:p>
        </w:tc>
        <w:tc>
          <w:tcPr>
            <w:tcW w:w="1899" w:type="dxa"/>
            <w:vMerge w:val="continue"/>
            <w:noWrap w:val="0"/>
            <w:vAlign w:val="center"/>
          </w:tcPr>
          <w:p w14:paraId="2B49EE3F">
            <w:pPr>
              <w:spacing w:line="400" w:lineRule="exact"/>
              <w:jc w:val="center"/>
              <w:rPr>
                <w:rFonts w:hint="eastAsia" w:ascii="宋体" w:hAnsi="宋体"/>
                <w:color w:val="auto"/>
                <w:szCs w:val="21"/>
                <w:highlight w:val="none"/>
              </w:rPr>
            </w:pPr>
          </w:p>
        </w:tc>
        <w:tc>
          <w:tcPr>
            <w:tcW w:w="6333" w:type="dxa"/>
            <w:noWrap w:val="0"/>
            <w:vAlign w:val="top"/>
          </w:tcPr>
          <w:p w14:paraId="5320717A">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A-9投标文件格式（不含投标函部分）符合第二章“投标人须知”第3.7款的要求，否则由评标委员会作否决投标处理。</w:t>
            </w:r>
          </w:p>
          <w:p w14:paraId="1B295E0F">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编制投标文件时不得对第八章“投标文件格式”的相应要素作实质性修改，否则视为重大偏差，由评标委员会作否决投标处理。</w:t>
            </w:r>
          </w:p>
        </w:tc>
      </w:tr>
      <w:tr w14:paraId="0DB9050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3985365B">
            <w:pPr>
              <w:spacing w:line="400" w:lineRule="exact"/>
              <w:jc w:val="center"/>
              <w:rPr>
                <w:rFonts w:hint="eastAsia" w:ascii="宋体" w:hAnsi="宋体"/>
                <w:color w:val="auto"/>
                <w:szCs w:val="21"/>
                <w:highlight w:val="none"/>
              </w:rPr>
            </w:pPr>
          </w:p>
        </w:tc>
        <w:tc>
          <w:tcPr>
            <w:tcW w:w="1899" w:type="dxa"/>
            <w:vMerge w:val="continue"/>
            <w:noWrap w:val="0"/>
            <w:vAlign w:val="center"/>
          </w:tcPr>
          <w:p w14:paraId="37E30757">
            <w:pPr>
              <w:spacing w:line="400" w:lineRule="exact"/>
              <w:jc w:val="center"/>
              <w:rPr>
                <w:rFonts w:hint="eastAsia" w:ascii="宋体" w:hAnsi="宋体"/>
                <w:color w:val="auto"/>
                <w:szCs w:val="21"/>
                <w:highlight w:val="none"/>
              </w:rPr>
            </w:pPr>
          </w:p>
        </w:tc>
        <w:tc>
          <w:tcPr>
            <w:tcW w:w="6333" w:type="dxa"/>
            <w:noWrap w:val="0"/>
            <w:vAlign w:val="top"/>
          </w:tcPr>
          <w:p w14:paraId="515A5580">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A-10联合体参与投标的应提交联合体协议书，并明确联合体牵头人。在联合体协议中须明确由联合体牵头人委派委托代理人，否则由评标委员会作否决投标处理。</w:t>
            </w:r>
          </w:p>
        </w:tc>
      </w:tr>
      <w:tr w14:paraId="1C9C103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1B2CB6FC">
            <w:pPr>
              <w:spacing w:line="400" w:lineRule="exact"/>
              <w:jc w:val="center"/>
              <w:rPr>
                <w:rFonts w:hint="eastAsia" w:ascii="宋体" w:hAnsi="宋体"/>
                <w:color w:val="auto"/>
                <w:szCs w:val="21"/>
                <w:highlight w:val="none"/>
              </w:rPr>
            </w:pPr>
          </w:p>
        </w:tc>
        <w:tc>
          <w:tcPr>
            <w:tcW w:w="1899" w:type="dxa"/>
            <w:vMerge w:val="continue"/>
            <w:noWrap w:val="0"/>
            <w:vAlign w:val="center"/>
          </w:tcPr>
          <w:p w14:paraId="1A75C47F">
            <w:pPr>
              <w:spacing w:line="400" w:lineRule="exact"/>
              <w:jc w:val="center"/>
              <w:rPr>
                <w:rFonts w:hint="eastAsia" w:ascii="宋体" w:hAnsi="宋体"/>
                <w:color w:val="auto"/>
                <w:szCs w:val="21"/>
                <w:highlight w:val="none"/>
              </w:rPr>
            </w:pPr>
          </w:p>
        </w:tc>
        <w:tc>
          <w:tcPr>
            <w:tcW w:w="6333" w:type="dxa"/>
            <w:noWrap w:val="0"/>
            <w:vAlign w:val="top"/>
          </w:tcPr>
          <w:p w14:paraId="2ECBA452">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A-11第八章 投标文件格式（不含投标函部分）要求法定代表人或其委托代理人签字（或盖章）的须齐全，否则由评标委员会作否决投标处理。</w:t>
            </w:r>
          </w:p>
          <w:p w14:paraId="1EF51179">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若投标单位为联合体，则联合体协议书中各联合体成员单位签字（或盖章）须齐全，联合体协议书以外的投标文件格式中，要求法定代表人或其委托代理人签字（或盖章）的均由联合体牵头人法定代表人或其委托代理人签字（或盖章），否则由评标委员会作否决投标处理。</w:t>
            </w:r>
          </w:p>
          <w:p w14:paraId="29D8277D">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第八章 投标文件格式（不含投标函部分）要求加盖单位法人章的，应使用 CA 数字证书加盖投标人的单位电子印章，否则由评标委员会作否决投标处理。</w:t>
            </w:r>
          </w:p>
          <w:p w14:paraId="658D8116">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3D6C6F3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0EEAFD8A">
            <w:pPr>
              <w:spacing w:line="400" w:lineRule="exact"/>
              <w:jc w:val="center"/>
              <w:rPr>
                <w:rFonts w:hint="eastAsia" w:ascii="宋体" w:hAnsi="宋体"/>
                <w:color w:val="auto"/>
                <w:szCs w:val="21"/>
                <w:highlight w:val="none"/>
              </w:rPr>
            </w:pPr>
          </w:p>
        </w:tc>
        <w:tc>
          <w:tcPr>
            <w:tcW w:w="1899" w:type="dxa"/>
            <w:vMerge w:val="continue"/>
            <w:noWrap w:val="0"/>
            <w:vAlign w:val="center"/>
          </w:tcPr>
          <w:p w14:paraId="0AD462FD">
            <w:pPr>
              <w:spacing w:line="400" w:lineRule="exact"/>
              <w:jc w:val="center"/>
              <w:rPr>
                <w:rFonts w:hint="eastAsia" w:ascii="宋体" w:hAnsi="宋体"/>
                <w:color w:val="auto"/>
                <w:szCs w:val="21"/>
                <w:highlight w:val="none"/>
              </w:rPr>
            </w:pPr>
          </w:p>
        </w:tc>
        <w:tc>
          <w:tcPr>
            <w:tcW w:w="6333" w:type="dxa"/>
            <w:noWrap w:val="0"/>
            <w:vAlign w:val="top"/>
          </w:tcPr>
          <w:p w14:paraId="504E46B0">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A-12投标人法定代表人的委托代理人有法定代表人签署的授权委托书和投标人为其缴纳的养老保险证明材料，否则由评标委员会作否决投标处理。</w:t>
            </w:r>
          </w:p>
        </w:tc>
      </w:tr>
      <w:tr w14:paraId="15EBD6A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74972332">
            <w:pPr>
              <w:spacing w:line="400" w:lineRule="exact"/>
              <w:jc w:val="center"/>
              <w:rPr>
                <w:rFonts w:hint="eastAsia" w:ascii="宋体" w:hAnsi="宋体"/>
                <w:color w:val="auto"/>
                <w:szCs w:val="21"/>
                <w:highlight w:val="none"/>
              </w:rPr>
            </w:pPr>
          </w:p>
        </w:tc>
        <w:tc>
          <w:tcPr>
            <w:tcW w:w="1899" w:type="dxa"/>
            <w:vMerge w:val="restart"/>
            <w:noWrap w:val="0"/>
            <w:vAlign w:val="center"/>
          </w:tcPr>
          <w:p w14:paraId="6A42ED3A">
            <w:pPr>
              <w:spacing w:line="400" w:lineRule="exact"/>
              <w:jc w:val="center"/>
              <w:rPr>
                <w:rFonts w:hint="eastAsia" w:ascii="宋体" w:hAnsi="宋体"/>
                <w:color w:val="auto"/>
                <w:szCs w:val="21"/>
                <w:highlight w:val="none"/>
              </w:rPr>
            </w:pPr>
            <w:r>
              <w:rPr>
                <w:rFonts w:hint="eastAsia" w:ascii="宋体" w:hAnsi="宋体"/>
                <w:color w:val="auto"/>
                <w:szCs w:val="21"/>
                <w:highlight w:val="none"/>
              </w:rPr>
              <w:t>响应性评审</w:t>
            </w:r>
          </w:p>
        </w:tc>
        <w:tc>
          <w:tcPr>
            <w:tcW w:w="6333" w:type="dxa"/>
            <w:noWrap w:val="0"/>
            <w:vAlign w:val="center"/>
          </w:tcPr>
          <w:p w14:paraId="51B961E6">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A-13投标内容符合第二章“投标人须知”第1.3.1项规定，否则由评标委员会作否决投标处理。</w:t>
            </w:r>
          </w:p>
        </w:tc>
      </w:tr>
      <w:tr w14:paraId="647A9E6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01F6B073">
            <w:pPr>
              <w:spacing w:line="400" w:lineRule="exact"/>
              <w:jc w:val="center"/>
              <w:rPr>
                <w:rFonts w:hint="eastAsia" w:ascii="宋体" w:hAnsi="宋体"/>
                <w:color w:val="auto"/>
                <w:szCs w:val="21"/>
                <w:highlight w:val="none"/>
              </w:rPr>
            </w:pPr>
          </w:p>
        </w:tc>
        <w:tc>
          <w:tcPr>
            <w:tcW w:w="1899" w:type="dxa"/>
            <w:vMerge w:val="continue"/>
            <w:noWrap w:val="0"/>
            <w:vAlign w:val="center"/>
          </w:tcPr>
          <w:p w14:paraId="68AF2308">
            <w:pPr>
              <w:spacing w:line="400" w:lineRule="exact"/>
              <w:jc w:val="center"/>
              <w:rPr>
                <w:rFonts w:hint="eastAsia" w:ascii="宋体" w:hAnsi="宋体"/>
                <w:color w:val="auto"/>
                <w:szCs w:val="21"/>
                <w:highlight w:val="none"/>
              </w:rPr>
            </w:pPr>
          </w:p>
        </w:tc>
        <w:tc>
          <w:tcPr>
            <w:tcW w:w="6333" w:type="dxa"/>
            <w:noWrap w:val="0"/>
            <w:vAlign w:val="center"/>
          </w:tcPr>
          <w:p w14:paraId="3D820D43">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A-14投标人应按投标人须知前附表第3.4款规定递交投标保证金，并作为其投标文件的组成部分，否则由评标委员会作否决投标处理。</w:t>
            </w:r>
          </w:p>
        </w:tc>
      </w:tr>
      <w:tr w14:paraId="4CC77E4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6A8CBB4B">
            <w:pPr>
              <w:spacing w:line="400" w:lineRule="exact"/>
              <w:jc w:val="center"/>
              <w:rPr>
                <w:rFonts w:hint="eastAsia" w:ascii="宋体" w:hAnsi="宋体"/>
                <w:color w:val="auto"/>
                <w:szCs w:val="21"/>
                <w:highlight w:val="none"/>
              </w:rPr>
            </w:pPr>
          </w:p>
        </w:tc>
        <w:tc>
          <w:tcPr>
            <w:tcW w:w="1899" w:type="dxa"/>
            <w:vMerge w:val="continue"/>
            <w:noWrap w:val="0"/>
            <w:vAlign w:val="center"/>
          </w:tcPr>
          <w:p w14:paraId="101BE2C2">
            <w:pPr>
              <w:spacing w:line="400" w:lineRule="exact"/>
              <w:jc w:val="center"/>
              <w:rPr>
                <w:rFonts w:hint="eastAsia" w:ascii="宋体" w:hAnsi="宋体"/>
                <w:color w:val="auto"/>
                <w:szCs w:val="21"/>
                <w:highlight w:val="none"/>
              </w:rPr>
            </w:pPr>
          </w:p>
        </w:tc>
        <w:tc>
          <w:tcPr>
            <w:tcW w:w="6333" w:type="dxa"/>
            <w:noWrap w:val="0"/>
            <w:vAlign w:val="center"/>
          </w:tcPr>
          <w:p w14:paraId="2948ACA4">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A-15符合第四章“合同条款及格式”规定，投标文件不应附有招标人不能接受的条件。否则由评标委员会作否决投标处理。（由投标人承诺，承诺书格式详见第八章投标文件格式。）</w:t>
            </w:r>
          </w:p>
        </w:tc>
      </w:tr>
      <w:tr w14:paraId="257F55E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01A07C46">
            <w:pPr>
              <w:spacing w:line="400" w:lineRule="exact"/>
              <w:jc w:val="center"/>
              <w:rPr>
                <w:rFonts w:hint="eastAsia" w:ascii="宋体" w:hAnsi="宋体"/>
                <w:color w:val="auto"/>
                <w:szCs w:val="21"/>
                <w:highlight w:val="none"/>
              </w:rPr>
            </w:pPr>
          </w:p>
        </w:tc>
        <w:tc>
          <w:tcPr>
            <w:tcW w:w="1899" w:type="dxa"/>
            <w:vMerge w:val="continue"/>
            <w:noWrap w:val="0"/>
            <w:vAlign w:val="center"/>
          </w:tcPr>
          <w:p w14:paraId="1D0A4C3A">
            <w:pPr>
              <w:spacing w:line="400" w:lineRule="exact"/>
              <w:jc w:val="center"/>
              <w:rPr>
                <w:rFonts w:hint="eastAsia" w:ascii="宋体" w:hAnsi="宋体"/>
                <w:color w:val="auto"/>
                <w:szCs w:val="21"/>
                <w:highlight w:val="none"/>
              </w:rPr>
            </w:pPr>
          </w:p>
        </w:tc>
        <w:tc>
          <w:tcPr>
            <w:tcW w:w="6333" w:type="dxa"/>
            <w:noWrap w:val="0"/>
            <w:vAlign w:val="center"/>
          </w:tcPr>
          <w:p w14:paraId="550152F9">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A-16符合第七章“技术标准和要求”规定。否则由评标委员会作否决投标处理（如有）。（由投标人承诺，承诺书格式详见第八章投标文件格式。）</w:t>
            </w:r>
          </w:p>
        </w:tc>
      </w:tr>
      <w:tr w14:paraId="6B1A3B4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6A2D63F4">
            <w:pPr>
              <w:spacing w:line="400" w:lineRule="exact"/>
              <w:jc w:val="center"/>
              <w:rPr>
                <w:rFonts w:hint="eastAsia" w:ascii="宋体" w:hAnsi="宋体"/>
                <w:color w:val="auto"/>
                <w:szCs w:val="21"/>
                <w:highlight w:val="none"/>
              </w:rPr>
            </w:pPr>
          </w:p>
        </w:tc>
        <w:tc>
          <w:tcPr>
            <w:tcW w:w="1899" w:type="dxa"/>
            <w:vMerge w:val="continue"/>
            <w:noWrap w:val="0"/>
            <w:vAlign w:val="center"/>
          </w:tcPr>
          <w:p w14:paraId="4F91D825">
            <w:pPr>
              <w:spacing w:line="400" w:lineRule="exact"/>
              <w:jc w:val="center"/>
              <w:rPr>
                <w:rFonts w:hint="eastAsia" w:ascii="宋体" w:hAnsi="宋体"/>
                <w:color w:val="auto"/>
                <w:szCs w:val="21"/>
                <w:highlight w:val="none"/>
              </w:rPr>
            </w:pPr>
          </w:p>
        </w:tc>
        <w:tc>
          <w:tcPr>
            <w:tcW w:w="6333" w:type="dxa"/>
            <w:noWrap w:val="0"/>
            <w:vAlign w:val="center"/>
          </w:tcPr>
          <w:p w14:paraId="2C6C4AC8">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A-17投标人有以下情形之一的，其投标文件由评标委员会</w:t>
            </w:r>
            <w:r>
              <w:rPr>
                <w:rFonts w:ascii="宋体" w:hAnsi="宋体"/>
                <w:color w:val="auto"/>
                <w:szCs w:val="21"/>
                <w:highlight w:val="none"/>
              </w:rPr>
              <w:t>作否决投标处理</w:t>
            </w:r>
            <w:r>
              <w:rPr>
                <w:rFonts w:hint="eastAsia" w:ascii="宋体" w:hAnsi="宋体"/>
                <w:color w:val="auto"/>
                <w:szCs w:val="21"/>
                <w:highlight w:val="none"/>
              </w:rPr>
              <w:t>：</w:t>
            </w:r>
          </w:p>
          <w:p w14:paraId="345EB393">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1.第二章“投标人须知”第1.4.3项规定的任何一种情形的；</w:t>
            </w:r>
          </w:p>
          <w:p w14:paraId="55C0BC2F">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2.本次投标有串通投标、弄虚作假等违反招投标相关法律、法规的行为的；</w:t>
            </w:r>
          </w:p>
          <w:p w14:paraId="6FCB9617">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3.拒绝按评标委员会要求澄清、说明或补正的。</w:t>
            </w:r>
          </w:p>
        </w:tc>
      </w:tr>
      <w:tr w14:paraId="0C6FC6F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6FDB30A9">
            <w:pPr>
              <w:spacing w:line="400" w:lineRule="exact"/>
              <w:jc w:val="center"/>
              <w:rPr>
                <w:rFonts w:ascii="宋体" w:hAnsi="宋体"/>
                <w:color w:val="auto"/>
                <w:szCs w:val="21"/>
                <w:highlight w:val="none"/>
              </w:rPr>
            </w:pPr>
          </w:p>
        </w:tc>
        <w:tc>
          <w:tcPr>
            <w:tcW w:w="1899" w:type="dxa"/>
            <w:vMerge w:val="restart"/>
            <w:noWrap w:val="0"/>
            <w:vAlign w:val="center"/>
          </w:tcPr>
          <w:p w14:paraId="2A99FD06">
            <w:pPr>
              <w:spacing w:line="400" w:lineRule="exact"/>
              <w:jc w:val="center"/>
              <w:rPr>
                <w:rFonts w:ascii="宋体" w:hAnsi="宋体"/>
                <w:color w:val="auto"/>
                <w:szCs w:val="21"/>
                <w:highlight w:val="none"/>
              </w:rPr>
            </w:pPr>
            <w:r>
              <w:rPr>
                <w:rFonts w:hint="eastAsia" w:ascii="宋体" w:hAnsi="宋体"/>
                <w:color w:val="auto"/>
                <w:szCs w:val="21"/>
                <w:highlight w:val="none"/>
              </w:rPr>
              <w:t>投标函部分及经济部分评审</w:t>
            </w:r>
          </w:p>
        </w:tc>
        <w:tc>
          <w:tcPr>
            <w:tcW w:w="6333" w:type="dxa"/>
            <w:noWrap w:val="0"/>
            <w:vAlign w:val="top"/>
          </w:tcPr>
          <w:p w14:paraId="17461DD2">
            <w:pPr>
              <w:spacing w:line="400" w:lineRule="exact"/>
              <w:ind w:firstLine="420" w:firstLineChars="200"/>
              <w:rPr>
                <w:rFonts w:ascii="宋体" w:hAnsi="宋体"/>
                <w:i/>
                <w:color w:val="auto"/>
                <w:szCs w:val="21"/>
                <w:highlight w:val="none"/>
              </w:rPr>
            </w:pPr>
            <w:r>
              <w:rPr>
                <w:rFonts w:hint="eastAsia" w:ascii="宋体" w:hAnsi="宋体"/>
                <w:color w:val="auto"/>
                <w:szCs w:val="21"/>
                <w:highlight w:val="none"/>
              </w:rPr>
              <w:t>A-18投标函部分的格式符合第二章“投标人须知”第3.7款的要求，否则由评标委员会作否决投标处理。</w:t>
            </w:r>
          </w:p>
        </w:tc>
      </w:tr>
      <w:tr w14:paraId="33C4366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672F10E1">
            <w:pPr>
              <w:spacing w:line="400" w:lineRule="exact"/>
              <w:jc w:val="center"/>
              <w:rPr>
                <w:rFonts w:ascii="宋体" w:hAnsi="宋体"/>
                <w:color w:val="auto"/>
                <w:szCs w:val="21"/>
                <w:highlight w:val="none"/>
              </w:rPr>
            </w:pPr>
          </w:p>
        </w:tc>
        <w:tc>
          <w:tcPr>
            <w:tcW w:w="1899" w:type="dxa"/>
            <w:vMerge w:val="continue"/>
            <w:noWrap w:val="0"/>
            <w:vAlign w:val="center"/>
          </w:tcPr>
          <w:p w14:paraId="24994103">
            <w:pPr>
              <w:spacing w:line="400" w:lineRule="exact"/>
              <w:jc w:val="center"/>
              <w:rPr>
                <w:rFonts w:ascii="宋体" w:hAnsi="宋体"/>
                <w:color w:val="auto"/>
                <w:szCs w:val="21"/>
                <w:highlight w:val="none"/>
              </w:rPr>
            </w:pPr>
          </w:p>
        </w:tc>
        <w:tc>
          <w:tcPr>
            <w:tcW w:w="6333" w:type="dxa"/>
            <w:noWrap w:val="0"/>
            <w:vAlign w:val="top"/>
          </w:tcPr>
          <w:p w14:paraId="76919097">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A-19</w:t>
            </w:r>
            <w:r>
              <w:rPr>
                <w:rFonts w:hint="eastAsia" w:ascii="宋体" w:hAnsi="宋体" w:cs="宋体"/>
                <w:color w:val="auto"/>
                <w:kern w:val="0"/>
                <w:highlight w:val="none"/>
              </w:rPr>
              <w:t>投标函部分的格式要求法定代表人或其委托代理人签字（或盖章）的须齐全，要求加盖单位法人章的，应使用 CA 数字证书加盖投标人的单位电子印章</w:t>
            </w:r>
            <w:r>
              <w:rPr>
                <w:rFonts w:hint="eastAsia" w:ascii="宋体" w:hAnsi="宋体"/>
                <w:color w:val="auto"/>
                <w:szCs w:val="21"/>
                <w:highlight w:val="none"/>
              </w:rPr>
              <w:t>，否则由评标委员会作否决投标处理。</w:t>
            </w:r>
          </w:p>
          <w:p w14:paraId="2D339E56">
            <w:pPr>
              <w:spacing w:line="400" w:lineRule="exact"/>
              <w:ind w:firstLine="420" w:firstLineChars="200"/>
              <w:rPr>
                <w:rFonts w:ascii="宋体" w:hAnsi="宋体"/>
                <w:i/>
                <w:color w:val="auto"/>
                <w:szCs w:val="21"/>
                <w:highlight w:val="none"/>
              </w:rPr>
            </w:pPr>
            <w:r>
              <w:rPr>
                <w:rFonts w:hint="eastAsia" w:ascii="宋体" w:hAnsi="宋体"/>
                <w:color w:val="auto"/>
                <w:szCs w:val="21"/>
                <w:highlight w:val="none"/>
              </w:rPr>
              <w:t>联合体投标的，除联合体协议书外，投标函部分的格式中要求投标人加盖单位法人章的，均由联合体牵头人使用 CA 数字证书加盖其单位电子印章，否则由评标委员会作否决投标处理。</w:t>
            </w:r>
          </w:p>
        </w:tc>
      </w:tr>
      <w:tr w14:paraId="6E43569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0D7499CA">
            <w:pPr>
              <w:spacing w:line="400" w:lineRule="exact"/>
              <w:jc w:val="center"/>
              <w:rPr>
                <w:rFonts w:ascii="宋体" w:hAnsi="宋体"/>
                <w:color w:val="auto"/>
                <w:szCs w:val="21"/>
                <w:highlight w:val="none"/>
              </w:rPr>
            </w:pPr>
          </w:p>
        </w:tc>
        <w:tc>
          <w:tcPr>
            <w:tcW w:w="1899" w:type="dxa"/>
            <w:vMerge w:val="continue"/>
            <w:noWrap w:val="0"/>
            <w:vAlign w:val="center"/>
          </w:tcPr>
          <w:p w14:paraId="3E3BD21A">
            <w:pPr>
              <w:spacing w:line="400" w:lineRule="exact"/>
              <w:jc w:val="center"/>
              <w:rPr>
                <w:rFonts w:ascii="宋体" w:hAnsi="宋体"/>
                <w:color w:val="auto"/>
                <w:szCs w:val="21"/>
                <w:highlight w:val="none"/>
              </w:rPr>
            </w:pPr>
          </w:p>
        </w:tc>
        <w:tc>
          <w:tcPr>
            <w:tcW w:w="6333" w:type="dxa"/>
            <w:noWrap w:val="0"/>
            <w:vAlign w:val="top"/>
          </w:tcPr>
          <w:p w14:paraId="28705F6E">
            <w:pPr>
              <w:spacing w:line="400" w:lineRule="exact"/>
              <w:ind w:firstLine="420" w:firstLineChars="200"/>
              <w:rPr>
                <w:rFonts w:ascii="宋体" w:hAnsi="宋体"/>
                <w:i/>
                <w:color w:val="auto"/>
                <w:szCs w:val="21"/>
                <w:highlight w:val="none"/>
              </w:rPr>
            </w:pPr>
            <w:r>
              <w:rPr>
                <w:rFonts w:hint="eastAsia" w:ascii="宋体" w:hAnsi="宋体"/>
                <w:color w:val="auto"/>
                <w:szCs w:val="21"/>
                <w:highlight w:val="none"/>
              </w:rPr>
              <w:t>A-20工期符合第二章“投标人须知”第1.3.2项规定，否则由评标委员会作否决投标处理。</w:t>
            </w:r>
          </w:p>
        </w:tc>
      </w:tr>
      <w:tr w14:paraId="452810F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58F1D840">
            <w:pPr>
              <w:spacing w:line="400" w:lineRule="exact"/>
              <w:jc w:val="center"/>
              <w:rPr>
                <w:rFonts w:ascii="宋体" w:hAnsi="宋体"/>
                <w:color w:val="auto"/>
                <w:szCs w:val="21"/>
                <w:highlight w:val="none"/>
              </w:rPr>
            </w:pPr>
          </w:p>
        </w:tc>
        <w:tc>
          <w:tcPr>
            <w:tcW w:w="1899" w:type="dxa"/>
            <w:vMerge w:val="continue"/>
            <w:noWrap w:val="0"/>
            <w:vAlign w:val="center"/>
          </w:tcPr>
          <w:p w14:paraId="52A9D24C">
            <w:pPr>
              <w:spacing w:line="400" w:lineRule="exact"/>
              <w:jc w:val="center"/>
              <w:rPr>
                <w:rFonts w:ascii="宋体" w:hAnsi="宋体"/>
                <w:color w:val="auto"/>
                <w:szCs w:val="21"/>
                <w:highlight w:val="none"/>
              </w:rPr>
            </w:pPr>
          </w:p>
        </w:tc>
        <w:tc>
          <w:tcPr>
            <w:tcW w:w="6333" w:type="dxa"/>
            <w:noWrap w:val="0"/>
            <w:vAlign w:val="top"/>
          </w:tcPr>
          <w:p w14:paraId="4B2AF95B">
            <w:pPr>
              <w:spacing w:line="400" w:lineRule="exact"/>
              <w:ind w:firstLine="420" w:firstLineChars="200"/>
              <w:rPr>
                <w:rFonts w:ascii="宋体" w:hAnsi="宋体"/>
                <w:i/>
                <w:color w:val="auto"/>
                <w:szCs w:val="21"/>
                <w:highlight w:val="none"/>
              </w:rPr>
            </w:pPr>
            <w:r>
              <w:rPr>
                <w:rFonts w:hint="eastAsia" w:ascii="宋体" w:hAnsi="宋体"/>
                <w:color w:val="auto"/>
                <w:szCs w:val="21"/>
                <w:highlight w:val="none"/>
              </w:rPr>
              <w:t>A-21工程质量符合第二章“投标人须知”第1.3.3项规定，否则由评标委员会作否决投标处理。</w:t>
            </w:r>
          </w:p>
        </w:tc>
      </w:tr>
      <w:tr w14:paraId="553C31B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75116921">
            <w:pPr>
              <w:spacing w:line="400" w:lineRule="exact"/>
              <w:jc w:val="center"/>
              <w:rPr>
                <w:rFonts w:ascii="宋体" w:hAnsi="宋体"/>
                <w:color w:val="auto"/>
                <w:szCs w:val="21"/>
                <w:highlight w:val="none"/>
              </w:rPr>
            </w:pPr>
          </w:p>
        </w:tc>
        <w:tc>
          <w:tcPr>
            <w:tcW w:w="1899" w:type="dxa"/>
            <w:vMerge w:val="continue"/>
            <w:noWrap w:val="0"/>
            <w:vAlign w:val="center"/>
          </w:tcPr>
          <w:p w14:paraId="582ABD66">
            <w:pPr>
              <w:spacing w:line="400" w:lineRule="exact"/>
              <w:jc w:val="center"/>
              <w:rPr>
                <w:rFonts w:ascii="宋体" w:hAnsi="宋体"/>
                <w:color w:val="auto"/>
                <w:szCs w:val="21"/>
                <w:highlight w:val="none"/>
              </w:rPr>
            </w:pPr>
          </w:p>
        </w:tc>
        <w:tc>
          <w:tcPr>
            <w:tcW w:w="6333" w:type="dxa"/>
            <w:noWrap w:val="0"/>
            <w:vAlign w:val="top"/>
          </w:tcPr>
          <w:p w14:paraId="22815AA1">
            <w:pPr>
              <w:spacing w:line="400" w:lineRule="exact"/>
              <w:ind w:firstLine="420" w:firstLineChars="200"/>
              <w:rPr>
                <w:rFonts w:ascii="宋体" w:hAnsi="宋体"/>
                <w:i/>
                <w:color w:val="auto"/>
                <w:szCs w:val="21"/>
                <w:highlight w:val="none"/>
              </w:rPr>
            </w:pPr>
            <w:r>
              <w:rPr>
                <w:rFonts w:hint="eastAsia" w:ascii="宋体" w:hAnsi="宋体"/>
                <w:color w:val="auto"/>
                <w:szCs w:val="21"/>
                <w:highlight w:val="none"/>
              </w:rPr>
              <w:t>A-22投标有效期符合第二章“投标人须知”第3.3.1项规定，否则由评标委员会作否决投标处理。</w:t>
            </w:r>
          </w:p>
        </w:tc>
      </w:tr>
      <w:tr w14:paraId="116444B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3E7DF3C6">
            <w:pPr>
              <w:spacing w:line="400" w:lineRule="exact"/>
              <w:jc w:val="center"/>
              <w:rPr>
                <w:rFonts w:ascii="宋体" w:hAnsi="宋体"/>
                <w:color w:val="auto"/>
                <w:szCs w:val="21"/>
                <w:highlight w:val="none"/>
              </w:rPr>
            </w:pPr>
          </w:p>
        </w:tc>
        <w:tc>
          <w:tcPr>
            <w:tcW w:w="1899" w:type="dxa"/>
            <w:vMerge w:val="continue"/>
            <w:noWrap w:val="0"/>
            <w:vAlign w:val="center"/>
          </w:tcPr>
          <w:p w14:paraId="6D7031AB">
            <w:pPr>
              <w:spacing w:line="400" w:lineRule="exact"/>
              <w:jc w:val="center"/>
              <w:rPr>
                <w:rFonts w:ascii="宋体" w:hAnsi="宋体"/>
                <w:color w:val="auto"/>
                <w:szCs w:val="21"/>
                <w:highlight w:val="none"/>
              </w:rPr>
            </w:pPr>
          </w:p>
        </w:tc>
        <w:tc>
          <w:tcPr>
            <w:tcW w:w="6333" w:type="dxa"/>
            <w:noWrap w:val="0"/>
            <w:vAlign w:val="center"/>
          </w:tcPr>
          <w:p w14:paraId="22D4377C">
            <w:pPr>
              <w:spacing w:line="400" w:lineRule="exact"/>
              <w:ind w:firstLine="420" w:firstLineChars="200"/>
              <w:rPr>
                <w:rFonts w:ascii="宋体" w:hAnsi="宋体"/>
                <w:i/>
                <w:color w:val="auto"/>
                <w:szCs w:val="21"/>
                <w:highlight w:val="none"/>
              </w:rPr>
            </w:pPr>
            <w:r>
              <w:rPr>
                <w:rFonts w:hint="eastAsia" w:ascii="宋体" w:hAnsi="宋体"/>
                <w:color w:val="auto"/>
                <w:szCs w:val="21"/>
                <w:highlight w:val="none"/>
              </w:rPr>
              <w:t>A-23投标函中的总报价必须与已标价工程量清单总报价一致,且工程量清单总报价与依据单价、工程数量、分部分项工程合价计算出的结果应一致，否则由评标委员会作否决投标处理。</w:t>
            </w:r>
          </w:p>
        </w:tc>
      </w:tr>
      <w:tr w14:paraId="0E4AE80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590A00B3">
            <w:pPr>
              <w:spacing w:line="400" w:lineRule="exact"/>
              <w:jc w:val="center"/>
              <w:rPr>
                <w:rFonts w:ascii="宋体" w:hAnsi="宋体"/>
                <w:color w:val="auto"/>
                <w:szCs w:val="21"/>
                <w:highlight w:val="none"/>
              </w:rPr>
            </w:pPr>
          </w:p>
        </w:tc>
        <w:tc>
          <w:tcPr>
            <w:tcW w:w="1899" w:type="dxa"/>
            <w:vMerge w:val="continue"/>
            <w:noWrap w:val="0"/>
            <w:vAlign w:val="center"/>
          </w:tcPr>
          <w:p w14:paraId="6DEF6184">
            <w:pPr>
              <w:spacing w:line="400" w:lineRule="exact"/>
              <w:jc w:val="center"/>
              <w:rPr>
                <w:rFonts w:ascii="宋体" w:hAnsi="宋体"/>
                <w:color w:val="auto"/>
                <w:szCs w:val="21"/>
                <w:highlight w:val="none"/>
              </w:rPr>
            </w:pPr>
          </w:p>
        </w:tc>
        <w:tc>
          <w:tcPr>
            <w:tcW w:w="6333" w:type="dxa"/>
            <w:noWrap w:val="0"/>
            <w:vAlign w:val="center"/>
          </w:tcPr>
          <w:p w14:paraId="0849DD00">
            <w:pPr>
              <w:spacing w:line="400" w:lineRule="exact"/>
              <w:ind w:firstLine="420" w:firstLineChars="200"/>
              <w:rPr>
                <w:rFonts w:ascii="宋体" w:hAnsi="宋体"/>
                <w:i/>
                <w:color w:val="auto"/>
                <w:szCs w:val="21"/>
                <w:highlight w:val="none"/>
              </w:rPr>
            </w:pPr>
            <w:r>
              <w:rPr>
                <w:rFonts w:hint="eastAsia" w:ascii="宋体" w:hAnsi="宋体"/>
                <w:color w:val="auto"/>
                <w:szCs w:val="21"/>
                <w:highlight w:val="none"/>
              </w:rPr>
              <w:t>A-24投标人的投标总报价不得超过投标总报价最高限价，否则由评标委员会作否决投标处理。</w:t>
            </w:r>
          </w:p>
        </w:tc>
      </w:tr>
      <w:tr w14:paraId="1814F4A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2DA1CA32">
            <w:pPr>
              <w:spacing w:line="400" w:lineRule="exact"/>
              <w:jc w:val="center"/>
              <w:rPr>
                <w:rFonts w:ascii="宋体" w:hAnsi="宋体"/>
                <w:color w:val="auto"/>
                <w:szCs w:val="21"/>
                <w:highlight w:val="none"/>
              </w:rPr>
            </w:pPr>
          </w:p>
        </w:tc>
        <w:tc>
          <w:tcPr>
            <w:tcW w:w="1899" w:type="dxa"/>
            <w:vMerge w:val="continue"/>
            <w:noWrap w:val="0"/>
            <w:vAlign w:val="center"/>
          </w:tcPr>
          <w:p w14:paraId="43144158">
            <w:pPr>
              <w:spacing w:line="400" w:lineRule="exact"/>
              <w:jc w:val="center"/>
              <w:rPr>
                <w:rFonts w:ascii="宋体" w:hAnsi="宋体"/>
                <w:color w:val="auto"/>
                <w:szCs w:val="21"/>
                <w:highlight w:val="none"/>
              </w:rPr>
            </w:pPr>
          </w:p>
        </w:tc>
        <w:tc>
          <w:tcPr>
            <w:tcW w:w="6333" w:type="dxa"/>
            <w:noWrap w:val="0"/>
            <w:vAlign w:val="center"/>
          </w:tcPr>
          <w:p w14:paraId="4E2CEE85">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A-25投标函中的安全文明施工费必须按照招标人给出的暂定金额填报，否则视为对招标文件不作实质性响应，其投标文件由评标委员会作否决投标处理。</w:t>
            </w:r>
          </w:p>
        </w:tc>
      </w:tr>
      <w:tr w14:paraId="152A355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58D4BFDB">
            <w:pPr>
              <w:spacing w:line="400" w:lineRule="exact"/>
              <w:jc w:val="center"/>
              <w:rPr>
                <w:rFonts w:ascii="宋体" w:hAnsi="宋体"/>
                <w:color w:val="auto"/>
                <w:szCs w:val="21"/>
                <w:highlight w:val="none"/>
              </w:rPr>
            </w:pPr>
          </w:p>
        </w:tc>
        <w:tc>
          <w:tcPr>
            <w:tcW w:w="1899" w:type="dxa"/>
            <w:vMerge w:val="continue"/>
            <w:noWrap w:val="0"/>
            <w:vAlign w:val="center"/>
          </w:tcPr>
          <w:p w14:paraId="4819B8CD">
            <w:pPr>
              <w:spacing w:line="400" w:lineRule="exact"/>
              <w:jc w:val="center"/>
              <w:rPr>
                <w:rFonts w:ascii="宋体" w:hAnsi="宋体"/>
                <w:color w:val="auto"/>
                <w:szCs w:val="21"/>
                <w:highlight w:val="none"/>
              </w:rPr>
            </w:pPr>
          </w:p>
        </w:tc>
        <w:tc>
          <w:tcPr>
            <w:tcW w:w="6333" w:type="dxa"/>
            <w:noWrap w:val="0"/>
            <w:vAlign w:val="center"/>
          </w:tcPr>
          <w:p w14:paraId="3F20BDE2">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A-26只能有一个有效报价。在招标文件没有规定的情况下，不得提交选择性报价，否则由评标委员会作否决投标处理。</w:t>
            </w:r>
          </w:p>
        </w:tc>
      </w:tr>
      <w:tr w14:paraId="3319BED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4A1DF92D">
            <w:pPr>
              <w:spacing w:line="400" w:lineRule="exact"/>
              <w:jc w:val="center"/>
              <w:rPr>
                <w:rFonts w:ascii="宋体" w:hAnsi="宋体"/>
                <w:color w:val="auto"/>
                <w:szCs w:val="21"/>
                <w:highlight w:val="none"/>
              </w:rPr>
            </w:pPr>
          </w:p>
        </w:tc>
        <w:tc>
          <w:tcPr>
            <w:tcW w:w="1899" w:type="dxa"/>
            <w:vMerge w:val="continue"/>
            <w:noWrap w:val="0"/>
            <w:vAlign w:val="center"/>
          </w:tcPr>
          <w:p w14:paraId="5DA7261C">
            <w:pPr>
              <w:spacing w:line="400" w:lineRule="exact"/>
              <w:jc w:val="center"/>
              <w:rPr>
                <w:rFonts w:ascii="宋体" w:hAnsi="宋体"/>
                <w:color w:val="auto"/>
                <w:szCs w:val="21"/>
                <w:highlight w:val="none"/>
              </w:rPr>
            </w:pPr>
          </w:p>
        </w:tc>
        <w:tc>
          <w:tcPr>
            <w:tcW w:w="6333" w:type="dxa"/>
            <w:noWrap w:val="0"/>
            <w:vAlign w:val="center"/>
          </w:tcPr>
          <w:p w14:paraId="1285EEA1">
            <w:pPr>
              <w:spacing w:line="400" w:lineRule="exact"/>
              <w:ind w:firstLine="420" w:firstLineChars="200"/>
              <w:rPr>
                <w:rFonts w:ascii="宋体" w:hAnsi="宋体"/>
                <w:i/>
                <w:color w:val="auto"/>
                <w:szCs w:val="21"/>
                <w:highlight w:val="none"/>
              </w:rPr>
            </w:pPr>
            <w:r>
              <w:rPr>
                <w:rFonts w:hint="eastAsia" w:ascii="宋体" w:hAnsi="宋体"/>
                <w:color w:val="auto"/>
                <w:szCs w:val="21"/>
                <w:highlight w:val="none"/>
              </w:rPr>
              <w:t>A-27投标人必须按招标工程量清单填报价格。项目编码、项目名称、项目特征、计量单位、工程量必须与招标工程量清单一致。否则交由评标委员会作否决投标处理。</w:t>
            </w:r>
          </w:p>
        </w:tc>
      </w:tr>
      <w:tr w14:paraId="365F20B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217267DF">
            <w:pPr>
              <w:spacing w:line="400" w:lineRule="exact"/>
              <w:jc w:val="center"/>
              <w:rPr>
                <w:rFonts w:ascii="宋体" w:hAnsi="宋体"/>
                <w:color w:val="auto"/>
                <w:szCs w:val="21"/>
                <w:highlight w:val="none"/>
              </w:rPr>
            </w:pPr>
          </w:p>
        </w:tc>
        <w:tc>
          <w:tcPr>
            <w:tcW w:w="1899" w:type="dxa"/>
            <w:vMerge w:val="continue"/>
            <w:noWrap w:val="0"/>
            <w:vAlign w:val="center"/>
          </w:tcPr>
          <w:p w14:paraId="5F3F13EA">
            <w:pPr>
              <w:spacing w:line="400" w:lineRule="exact"/>
              <w:jc w:val="center"/>
              <w:rPr>
                <w:rFonts w:ascii="宋体" w:hAnsi="宋体"/>
                <w:color w:val="auto"/>
                <w:szCs w:val="21"/>
                <w:highlight w:val="none"/>
              </w:rPr>
            </w:pPr>
          </w:p>
        </w:tc>
        <w:tc>
          <w:tcPr>
            <w:tcW w:w="6333" w:type="dxa"/>
            <w:noWrap w:val="0"/>
            <w:vAlign w:val="center"/>
          </w:tcPr>
          <w:p w14:paraId="237DEBA1">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A-28招标人在工程量清单中所列出的价格（包括暂列金额、暂估价等），投标人不得修改，否则由评标委员会作否决投标处理。</w:t>
            </w:r>
          </w:p>
        </w:tc>
      </w:tr>
      <w:tr w14:paraId="5F82E0C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1FDCFC44">
            <w:pPr>
              <w:spacing w:line="400" w:lineRule="exact"/>
              <w:jc w:val="center"/>
              <w:rPr>
                <w:rFonts w:ascii="宋体" w:hAnsi="宋体"/>
                <w:color w:val="auto"/>
                <w:szCs w:val="21"/>
                <w:highlight w:val="none"/>
              </w:rPr>
            </w:pPr>
          </w:p>
        </w:tc>
        <w:tc>
          <w:tcPr>
            <w:tcW w:w="1899" w:type="dxa"/>
            <w:vMerge w:val="continue"/>
            <w:noWrap w:val="0"/>
            <w:vAlign w:val="center"/>
          </w:tcPr>
          <w:p w14:paraId="4716F5C2">
            <w:pPr>
              <w:spacing w:line="400" w:lineRule="exact"/>
              <w:jc w:val="center"/>
              <w:rPr>
                <w:rFonts w:ascii="宋体" w:hAnsi="宋体"/>
                <w:color w:val="auto"/>
                <w:szCs w:val="21"/>
                <w:highlight w:val="none"/>
              </w:rPr>
            </w:pPr>
          </w:p>
        </w:tc>
        <w:tc>
          <w:tcPr>
            <w:tcW w:w="6333" w:type="dxa"/>
            <w:noWrap w:val="0"/>
            <w:vAlign w:val="center"/>
          </w:tcPr>
          <w:p w14:paraId="494961E6">
            <w:pPr>
              <w:spacing w:line="400" w:lineRule="exact"/>
              <w:ind w:firstLine="420" w:firstLineChars="200"/>
              <w:rPr>
                <w:rFonts w:ascii="宋体" w:hAnsi="宋体"/>
                <w:i/>
                <w:color w:val="auto"/>
                <w:szCs w:val="21"/>
                <w:highlight w:val="none"/>
              </w:rPr>
            </w:pPr>
            <w:r>
              <w:rPr>
                <w:rFonts w:hint="eastAsia" w:ascii="宋体" w:hAnsi="宋体"/>
                <w:color w:val="auto"/>
                <w:szCs w:val="21"/>
                <w:highlight w:val="none"/>
              </w:rPr>
              <w:t>A-29投标人的每项清单综合单价报价不得超过每项清单综合单价最高限价，否则由评标委员会作否决投标处理。</w:t>
            </w:r>
          </w:p>
        </w:tc>
      </w:tr>
      <w:tr w14:paraId="05DFC6D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297C3E76">
            <w:pPr>
              <w:spacing w:line="400" w:lineRule="exact"/>
              <w:jc w:val="center"/>
              <w:rPr>
                <w:rFonts w:ascii="宋体" w:hAnsi="宋体"/>
                <w:color w:val="auto"/>
                <w:szCs w:val="21"/>
                <w:highlight w:val="none"/>
              </w:rPr>
            </w:pPr>
          </w:p>
        </w:tc>
        <w:tc>
          <w:tcPr>
            <w:tcW w:w="1899" w:type="dxa"/>
            <w:vMerge w:val="continue"/>
            <w:noWrap w:val="0"/>
            <w:vAlign w:val="center"/>
          </w:tcPr>
          <w:p w14:paraId="69644C39">
            <w:pPr>
              <w:spacing w:line="400" w:lineRule="exact"/>
              <w:jc w:val="center"/>
              <w:rPr>
                <w:rFonts w:ascii="宋体" w:hAnsi="宋体"/>
                <w:color w:val="auto"/>
                <w:szCs w:val="21"/>
                <w:highlight w:val="none"/>
              </w:rPr>
            </w:pPr>
          </w:p>
        </w:tc>
        <w:tc>
          <w:tcPr>
            <w:tcW w:w="6333" w:type="dxa"/>
            <w:noWrap w:val="0"/>
            <w:vAlign w:val="top"/>
          </w:tcPr>
          <w:p w14:paraId="2C8469CE">
            <w:pPr>
              <w:spacing w:line="400" w:lineRule="exact"/>
              <w:ind w:firstLine="420" w:firstLineChars="200"/>
              <w:rPr>
                <w:rFonts w:ascii="宋体" w:hAnsi="宋体"/>
                <w:i/>
                <w:color w:val="auto"/>
                <w:szCs w:val="21"/>
                <w:highlight w:val="none"/>
              </w:rPr>
            </w:pPr>
            <w:r>
              <w:rPr>
                <w:rFonts w:hint="eastAsia" w:ascii="宋体" w:hAnsi="宋体"/>
                <w:color w:val="auto"/>
                <w:szCs w:val="21"/>
                <w:highlight w:val="none"/>
              </w:rPr>
              <w:t>A-30投标报价有算术错误的，按照第三章3.评标程序第3.1.3项规定执行，否则由评标委员会作否决投标处理。</w:t>
            </w:r>
          </w:p>
        </w:tc>
      </w:tr>
      <w:tr w14:paraId="7FD7909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noWrap w:val="0"/>
            <w:vAlign w:val="center"/>
          </w:tcPr>
          <w:p w14:paraId="01CE08F1">
            <w:pPr>
              <w:spacing w:line="400" w:lineRule="exact"/>
              <w:jc w:val="center"/>
              <w:rPr>
                <w:rFonts w:ascii="宋体" w:hAnsi="宋体"/>
                <w:color w:val="auto"/>
                <w:szCs w:val="21"/>
                <w:highlight w:val="none"/>
              </w:rPr>
            </w:pPr>
            <w:r>
              <w:rPr>
                <w:rFonts w:ascii="宋体" w:hAnsi="宋体"/>
                <w:color w:val="auto"/>
                <w:szCs w:val="21"/>
                <w:highlight w:val="none"/>
              </w:rPr>
              <w:t>其他</w:t>
            </w:r>
          </w:p>
        </w:tc>
        <w:tc>
          <w:tcPr>
            <w:tcW w:w="1899" w:type="dxa"/>
            <w:noWrap w:val="0"/>
            <w:vAlign w:val="center"/>
          </w:tcPr>
          <w:p w14:paraId="27178EA3">
            <w:pPr>
              <w:spacing w:line="400" w:lineRule="exact"/>
              <w:jc w:val="center"/>
              <w:rPr>
                <w:rFonts w:ascii="宋体" w:hAnsi="宋体"/>
                <w:color w:val="auto"/>
                <w:szCs w:val="21"/>
                <w:highlight w:val="none"/>
              </w:rPr>
            </w:pPr>
          </w:p>
        </w:tc>
        <w:tc>
          <w:tcPr>
            <w:tcW w:w="6333" w:type="dxa"/>
            <w:noWrap w:val="0"/>
            <w:vAlign w:val="top"/>
          </w:tcPr>
          <w:p w14:paraId="524B7BA8">
            <w:pPr>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[提示：招标人必须将所有否决投标条款集中罗列于此表，若无其他否决投标条款则在该条写无。]</w:t>
            </w:r>
          </w:p>
        </w:tc>
      </w:tr>
    </w:tbl>
    <w:p w14:paraId="3BA35078">
      <w:pPr>
        <w:autoSpaceDE w:val="0"/>
        <w:autoSpaceDN w:val="0"/>
        <w:adjustRightInd w:val="0"/>
        <w:snapToGrid w:val="0"/>
        <w:spacing w:line="360" w:lineRule="auto"/>
        <w:jc w:val="left"/>
        <w:rPr>
          <w:rFonts w:ascii="宋体" w:hAnsi="宋体"/>
          <w:b/>
          <w:color w:val="auto"/>
          <w:kern w:val="0"/>
          <w:sz w:val="20"/>
          <w:szCs w:val="20"/>
          <w:highlight w:val="none"/>
        </w:rPr>
      </w:pPr>
    </w:p>
    <w:p w14:paraId="6B89F233">
      <w:pPr>
        <w:autoSpaceDE w:val="0"/>
        <w:autoSpaceDN w:val="0"/>
        <w:adjustRightInd w:val="0"/>
        <w:snapToGrid w:val="0"/>
        <w:spacing w:before="340" w:after="330" w:line="360" w:lineRule="auto"/>
        <w:jc w:val="left"/>
        <w:rPr>
          <w:rFonts w:ascii="宋体" w:hAnsi="宋体"/>
          <w:color w:val="auto"/>
          <w:kern w:val="0"/>
          <w:sz w:val="52"/>
          <w:szCs w:val="52"/>
          <w:highlight w:val="none"/>
        </w:rPr>
      </w:pPr>
      <w:r>
        <w:rPr>
          <w:rFonts w:ascii="宋体" w:hAnsi="宋体"/>
          <w:color w:val="auto"/>
          <w:kern w:val="0"/>
          <w:highlight w:val="none"/>
        </w:rPr>
        <w:br w:type="page"/>
      </w:r>
    </w:p>
    <w:p w14:paraId="1975B88D">
      <w:pPr>
        <w:pStyle w:val="3"/>
        <w:spacing w:line="360" w:lineRule="auto"/>
        <w:jc w:val="center"/>
        <w:rPr>
          <w:rFonts w:ascii="宋体" w:hAnsi="宋体"/>
          <w:color w:val="auto"/>
          <w:kern w:val="0"/>
          <w:highlight w:val="none"/>
        </w:rPr>
      </w:pPr>
      <w:bookmarkStart w:id="678" w:name="_Toc509218785"/>
      <w:bookmarkStart w:id="679" w:name="_Toc430530509"/>
      <w:bookmarkStart w:id="680" w:name="_Toc57820636"/>
      <w:r>
        <w:rPr>
          <w:rFonts w:hint="eastAsia" w:ascii="宋体" w:hAnsi="宋体"/>
          <w:color w:val="auto"/>
          <w:kern w:val="0"/>
          <w:highlight w:val="none"/>
        </w:rPr>
        <w:t>第四章  合同条款及格式</w:t>
      </w:r>
      <w:bookmarkEnd w:id="678"/>
      <w:bookmarkEnd w:id="679"/>
      <w:bookmarkEnd w:id="680"/>
    </w:p>
    <w:p w14:paraId="6729E098">
      <w:pPr>
        <w:rPr>
          <w:rFonts w:ascii="宋体" w:hAnsi="宋体"/>
          <w:color w:val="auto"/>
          <w:sz w:val="44"/>
          <w:szCs w:val="44"/>
          <w:highlight w:val="none"/>
        </w:rPr>
      </w:pPr>
      <w:r>
        <w:rPr>
          <w:rFonts w:ascii="宋体" w:hAnsi="宋体"/>
          <w:color w:val="auto"/>
          <w:highlight w:val="none"/>
        </w:rPr>
        <w:br w:type="page"/>
      </w:r>
      <w:bookmarkStart w:id="681" w:name="_Toc351203480"/>
      <w:bookmarkStart w:id="682" w:name="_Toc296503025"/>
      <w:bookmarkStart w:id="683" w:name="_Toc296890982"/>
    </w:p>
    <w:p w14:paraId="0ECBF6F6">
      <w:pPr>
        <w:spacing w:line="360" w:lineRule="auto"/>
        <w:jc w:val="center"/>
        <w:rPr>
          <w:rFonts w:ascii="宋体" w:hAnsi="宋体"/>
          <w:color w:val="auto"/>
          <w:sz w:val="44"/>
          <w:szCs w:val="44"/>
          <w:highlight w:val="none"/>
        </w:rPr>
      </w:pPr>
      <w:r>
        <w:rPr>
          <w:rFonts w:hint="eastAsia" w:ascii="宋体" w:hAnsi="宋体"/>
          <w:color w:val="auto"/>
          <w:sz w:val="44"/>
          <w:szCs w:val="44"/>
          <w:highlight w:val="none"/>
        </w:rPr>
        <w:t>第一部分 合同协议书</w:t>
      </w:r>
    </w:p>
    <w:p w14:paraId="7AACD07A">
      <w:pPr>
        <w:pStyle w:val="123"/>
        <w:snapToGrid w:val="0"/>
        <w:spacing w:before="0" w:line="360" w:lineRule="auto"/>
        <w:ind w:firstLine="562" w:firstLineChars="200"/>
        <w:rPr>
          <w:rFonts w:ascii="宋体" w:hAnsi="宋体"/>
          <w:color w:val="auto"/>
          <w:highlight w:val="none"/>
        </w:rPr>
      </w:pPr>
    </w:p>
    <w:p w14:paraId="17BB4367">
      <w:pPr>
        <w:spacing w:line="360" w:lineRule="auto"/>
        <w:ind w:firstLine="420" w:firstLineChars="200"/>
        <w:rPr>
          <w:rFonts w:hint="eastAsia" w:ascii="宋体" w:hAnsi="宋体"/>
          <w:bCs/>
          <w:i/>
          <w:color w:val="auto"/>
          <w:szCs w:val="21"/>
          <w:highlight w:val="none"/>
        </w:rPr>
      </w:pPr>
      <w:r>
        <w:rPr>
          <w:rFonts w:hint="eastAsia" w:ascii="宋体" w:hAnsi="宋体"/>
          <w:bCs/>
          <w:i/>
          <w:color w:val="auto"/>
          <w:szCs w:val="21"/>
          <w:highlight w:val="none"/>
        </w:rPr>
        <w:t>[提示：合同协议书为示范性内容，招标人在编制招标文件时不必填写，供中标后签订合同时填写。]</w:t>
      </w:r>
    </w:p>
    <w:p w14:paraId="0A00C0FE">
      <w:pPr>
        <w:rPr>
          <w:rFonts w:ascii="宋体" w:hAnsi="宋体"/>
          <w:b/>
          <w:color w:val="auto"/>
          <w:highlight w:val="none"/>
        </w:rPr>
      </w:pPr>
      <w:r>
        <w:rPr>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2691130</wp:posOffset>
                </wp:positionH>
                <wp:positionV relativeFrom="paragraph">
                  <wp:posOffset>8717280</wp:posOffset>
                </wp:positionV>
                <wp:extent cx="807720" cy="693420"/>
                <wp:effectExtent l="0" t="0" r="11430" b="11430"/>
                <wp:wrapNone/>
                <wp:docPr id="1" name="矩形 130"/>
                <wp:cNvGraphicFramePr/>
                <a:graphic xmlns:a="http://schemas.openxmlformats.org/drawingml/2006/main">
                  <a:graphicData uri="http://schemas.microsoft.com/office/word/2010/wordprocessingShape">
                    <wps:wsp>
                      <wps:cNvSpPr/>
                      <wps:spPr>
                        <a:xfrm>
                          <a:off x="0" y="0"/>
                          <a:ext cx="807720" cy="693420"/>
                        </a:xfrm>
                        <a:prstGeom prst="rect">
                          <a:avLst/>
                        </a:prstGeom>
                        <a:solidFill>
                          <a:srgbClr val="FFFFFF"/>
                        </a:solidFill>
                        <a:ln>
                          <a:noFill/>
                        </a:ln>
                      </wps:spPr>
                      <wps:txbx>
                        <w:txbxContent>
                          <w:p w14:paraId="527A38CF"/>
                        </w:txbxContent>
                      </wps:txbx>
                      <wps:bodyPr wrap="square" upright="1"/>
                    </wps:wsp>
                  </a:graphicData>
                </a:graphic>
              </wp:anchor>
            </w:drawing>
          </mc:Choice>
          <mc:Fallback>
            <w:pict>
              <v:rect id="矩形 130" o:spid="_x0000_s1026" o:spt="1" style="position:absolute;left:0pt;margin-left:211.9pt;margin-top:686.4pt;height:54.6pt;width:63.6pt;z-index:251659264;mso-width-relative:page;mso-height-relative:page;" fillcolor="#FFFFFF" filled="t" stroked="f" coordsize="21600,21600" o:gfxdata="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89ed32QAAAA0BAAAPAAAAAAAAAAEAIAAAACIAAABkcnMvZG93bnJldi54&#10;bWxQSwECFAAUAAAACACHTuJA4Lr+1MABAAB5AwAADgAAAAAAAAABACAAAAAoAQAAZHJzL2Uyb0Rv&#10;Yy54bWxQSwUGAAAAAAYABgBZAQAAWgUAAAAA&#10;">
                <v:fill on="t" focussize="0,0"/>
                <v:stroke on="f"/>
                <v:imagedata o:title=""/>
                <o:lock v:ext="edit" aspectratio="f"/>
                <v:textbox>
                  <w:txbxContent>
                    <w:p w14:paraId="527A38CF"/>
                  </w:txbxContent>
                </v:textbox>
              </v:rect>
            </w:pict>
          </mc:Fallback>
        </mc:AlternateContent>
      </w:r>
      <w:r>
        <w:rPr>
          <w:rFonts w:ascii="宋体" w:hAnsi="宋体"/>
          <w:color w:val="auto"/>
          <w:highlight w:val="none"/>
        </w:rPr>
        <w:br w:type="page"/>
      </w:r>
    </w:p>
    <w:p w14:paraId="112785A3">
      <w:pPr>
        <w:pStyle w:val="5"/>
        <w:jc w:val="center"/>
        <w:rPr>
          <w:rFonts w:ascii="宋体" w:hAnsi="宋体"/>
          <w:b w:val="0"/>
          <w:color w:val="auto"/>
          <w:sz w:val="44"/>
          <w:szCs w:val="44"/>
          <w:highlight w:val="none"/>
        </w:rPr>
      </w:pPr>
      <w:bookmarkStart w:id="684" w:name="_Toc534185765"/>
      <w:bookmarkStart w:id="685" w:name="_Toc509218786"/>
      <w:bookmarkStart w:id="686" w:name="_Toc57820637"/>
      <w:bookmarkStart w:id="687" w:name="_Toc351203494"/>
      <w:r>
        <w:rPr>
          <w:rFonts w:ascii="宋体" w:hAnsi="宋体"/>
          <w:color w:val="auto"/>
          <w:sz w:val="44"/>
          <w:szCs w:val="44"/>
          <w:highlight w:val="none"/>
        </w:rPr>
        <w:t>第一部分 合同协议书</w:t>
      </w:r>
      <w:bookmarkEnd w:id="684"/>
      <w:bookmarkEnd w:id="685"/>
      <w:bookmarkEnd w:id="686"/>
    </w:p>
    <w:bookmarkEnd w:id="687"/>
    <w:p w14:paraId="6F4D227F">
      <w:pPr>
        <w:snapToGrid w:val="0"/>
        <w:spacing w:line="600" w:lineRule="exact"/>
        <w:ind w:firstLine="480" w:firstLineChars="200"/>
        <w:rPr>
          <w:rFonts w:ascii="宋体" w:hAnsi="宋体"/>
          <w:color w:val="auto"/>
          <w:sz w:val="24"/>
          <w:highlight w:val="none"/>
        </w:rPr>
      </w:pPr>
      <w:bookmarkStart w:id="688" w:name="_Toc351203632"/>
    </w:p>
    <w:p w14:paraId="5FFF5F3F">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发包人（全称）：</w:t>
      </w:r>
      <w:r>
        <w:rPr>
          <w:rFonts w:hint="eastAsia" w:ascii="宋体" w:hAnsi="宋体"/>
          <w:color w:val="auto"/>
          <w:szCs w:val="21"/>
          <w:highlight w:val="none"/>
          <w:u w:val="single"/>
        </w:rPr>
        <w:t xml:space="preserve">                             </w:t>
      </w:r>
    </w:p>
    <w:p w14:paraId="3F435667">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承包人（全称）：</w:t>
      </w:r>
      <w:r>
        <w:rPr>
          <w:rFonts w:hint="eastAsia" w:ascii="宋体" w:hAnsi="宋体"/>
          <w:color w:val="auto"/>
          <w:szCs w:val="21"/>
          <w:highlight w:val="none"/>
          <w:u w:val="single"/>
        </w:rPr>
        <w:t xml:space="preserve">                                 </w:t>
      </w:r>
    </w:p>
    <w:p w14:paraId="14E98E18">
      <w:pPr>
        <w:spacing w:line="360" w:lineRule="auto"/>
        <w:ind w:firstLine="420" w:firstLineChars="200"/>
        <w:rPr>
          <w:rFonts w:ascii="宋体" w:hAnsi="宋体"/>
          <w:b/>
          <w:color w:val="auto"/>
          <w:szCs w:val="21"/>
          <w:highlight w:val="none"/>
          <w:u w:val="single"/>
        </w:rPr>
      </w:pPr>
      <w:r>
        <w:rPr>
          <w:rFonts w:hint="eastAsia" w:ascii="宋体" w:hAnsi="宋体"/>
          <w:color w:val="auto"/>
          <w:szCs w:val="21"/>
          <w:highlight w:val="none"/>
        </w:rPr>
        <w:t>根据《中华人民共和国民法典》、《中华人民共和国建筑法》及有关法律、法规规定，遵循平等、自愿、公平和诚实信用的原则，双方就</w:t>
      </w:r>
      <w:r>
        <w:rPr>
          <w:rFonts w:hint="eastAsia" w:ascii="宋体" w:hAnsi="宋体"/>
          <w:color w:val="auto"/>
          <w:szCs w:val="21"/>
          <w:highlight w:val="none"/>
          <w:u w:val="single"/>
        </w:rPr>
        <w:t xml:space="preserve">                           </w:t>
      </w:r>
      <w:r>
        <w:rPr>
          <w:rFonts w:hint="eastAsia" w:ascii="宋体" w:hAnsi="宋体"/>
          <w:color w:val="auto"/>
          <w:szCs w:val="21"/>
          <w:highlight w:val="none"/>
        </w:rPr>
        <w:t>工程施工及有关事项协商一致，共同达成如下协议：</w:t>
      </w:r>
    </w:p>
    <w:p w14:paraId="6F84F27B">
      <w:pPr>
        <w:pStyle w:val="6"/>
        <w:keepNext/>
        <w:keepLines/>
        <w:spacing w:before="120" w:after="120" w:line="360" w:lineRule="auto"/>
        <w:ind w:firstLine="422" w:firstLineChars="200"/>
        <w:jc w:val="both"/>
        <w:rPr>
          <w:color w:val="auto"/>
          <w:kern w:val="2"/>
          <w:sz w:val="21"/>
          <w:szCs w:val="21"/>
          <w:highlight w:val="none"/>
        </w:rPr>
      </w:pPr>
      <w:bookmarkStart w:id="689" w:name="_Toc351203481"/>
      <w:bookmarkStart w:id="690" w:name="_Toc532375573"/>
      <w:bookmarkStart w:id="691" w:name="_Toc532377166"/>
      <w:r>
        <w:rPr>
          <w:rFonts w:hint="eastAsia"/>
          <w:color w:val="auto"/>
          <w:kern w:val="2"/>
          <w:sz w:val="21"/>
          <w:szCs w:val="21"/>
          <w:highlight w:val="none"/>
        </w:rPr>
        <w:t>一、工程概况</w:t>
      </w:r>
      <w:bookmarkEnd w:id="689"/>
      <w:bookmarkEnd w:id="690"/>
      <w:bookmarkEnd w:id="691"/>
    </w:p>
    <w:p w14:paraId="0461B883">
      <w:pPr>
        <w:snapToGrid w:val="0"/>
        <w:spacing w:line="360" w:lineRule="auto"/>
        <w:ind w:firstLine="420" w:firstLineChars="200"/>
        <w:rPr>
          <w:rFonts w:ascii="宋体" w:hAnsi="宋体"/>
          <w:color w:val="auto"/>
          <w:szCs w:val="21"/>
          <w:highlight w:val="none"/>
          <w:u w:val="single"/>
        </w:rPr>
      </w:pPr>
      <w:r>
        <w:rPr>
          <w:rFonts w:hint="eastAsia" w:ascii="宋体" w:hAnsi="宋体"/>
          <w:bCs/>
          <w:color w:val="auto"/>
          <w:szCs w:val="21"/>
          <w:highlight w:val="none"/>
        </w:rPr>
        <w:t>1.工程名称</w:t>
      </w:r>
      <w:r>
        <w:rPr>
          <w:rFonts w:hint="eastAsia" w:ascii="宋体" w:hAnsi="宋体"/>
          <w:color w:val="auto"/>
          <w:szCs w:val="21"/>
          <w:highlight w:val="none"/>
        </w:rPr>
        <w:t>：</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47405D07">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2.工程地点：</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602BC65C">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3.工程立项批准文号：</w:t>
      </w:r>
      <w:r>
        <w:rPr>
          <w:rFonts w:hint="eastAsia" w:ascii="宋体" w:hAnsi="宋体"/>
          <w:color w:val="auto"/>
          <w:szCs w:val="21"/>
          <w:highlight w:val="none"/>
          <w:u w:val="single"/>
        </w:rPr>
        <w:t xml:space="preserve">                        </w:t>
      </w:r>
      <w:r>
        <w:rPr>
          <w:rFonts w:hint="eastAsia" w:ascii="宋体" w:hAnsi="宋体"/>
          <w:bCs/>
          <w:color w:val="auto"/>
          <w:szCs w:val="21"/>
          <w:highlight w:val="none"/>
        </w:rPr>
        <w:t>。</w:t>
      </w:r>
    </w:p>
    <w:p w14:paraId="54C81BA0">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4.资金来源：</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5D5D0D35">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5.工程内容：</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304B301C">
      <w:pPr>
        <w:snapToGrid w:val="0"/>
        <w:spacing w:line="360" w:lineRule="auto"/>
        <w:ind w:firstLine="420" w:firstLineChars="200"/>
        <w:jc w:val="left"/>
        <w:rPr>
          <w:rFonts w:ascii="宋体" w:hAnsi="宋体"/>
          <w:bCs/>
          <w:color w:val="auto"/>
          <w:szCs w:val="21"/>
          <w:highlight w:val="none"/>
        </w:rPr>
      </w:pPr>
      <w:r>
        <w:rPr>
          <w:rFonts w:hint="eastAsia" w:ascii="宋体" w:hAnsi="宋体"/>
          <w:bCs/>
          <w:color w:val="auto"/>
          <w:szCs w:val="21"/>
          <w:highlight w:val="none"/>
        </w:rPr>
        <w:t>6.工程承包范围：</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535E3092">
      <w:pPr>
        <w:pStyle w:val="6"/>
        <w:keepNext/>
        <w:keepLines/>
        <w:spacing w:before="120" w:after="120" w:line="360" w:lineRule="auto"/>
        <w:ind w:firstLine="422" w:firstLineChars="200"/>
        <w:jc w:val="both"/>
        <w:rPr>
          <w:color w:val="auto"/>
          <w:kern w:val="2"/>
          <w:sz w:val="21"/>
          <w:szCs w:val="21"/>
          <w:highlight w:val="none"/>
        </w:rPr>
      </w:pPr>
      <w:bookmarkStart w:id="692" w:name="_Toc532377167"/>
      <w:bookmarkStart w:id="693" w:name="_Toc351203482"/>
      <w:bookmarkStart w:id="694" w:name="_Toc532375574"/>
      <w:r>
        <w:rPr>
          <w:rFonts w:hint="eastAsia"/>
          <w:color w:val="auto"/>
          <w:kern w:val="2"/>
          <w:sz w:val="21"/>
          <w:szCs w:val="21"/>
          <w:highlight w:val="none"/>
        </w:rPr>
        <w:t>二、合同工期</w:t>
      </w:r>
      <w:bookmarkEnd w:id="692"/>
      <w:bookmarkEnd w:id="693"/>
      <w:bookmarkEnd w:id="694"/>
    </w:p>
    <w:p w14:paraId="40C3063C">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承包人投标函中承诺的工期：</w:t>
      </w:r>
      <w:r>
        <w:rPr>
          <w:rFonts w:hint="eastAsia" w:ascii="宋体" w:hAnsi="宋体"/>
          <w:bCs/>
          <w:color w:val="auto"/>
          <w:szCs w:val="21"/>
          <w:highlight w:val="none"/>
          <w:u w:val="single"/>
        </w:rPr>
        <w:t>日历天</w:t>
      </w:r>
      <w:r>
        <w:rPr>
          <w:rFonts w:hint="eastAsia" w:ascii="宋体" w:hAnsi="宋体"/>
          <w:bCs/>
          <w:color w:val="auto"/>
          <w:szCs w:val="21"/>
          <w:highlight w:val="none"/>
        </w:rPr>
        <w:t>。</w:t>
      </w:r>
    </w:p>
    <w:p w14:paraId="0E0BC4DF">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计划开工日期：</w:t>
      </w:r>
      <w:r>
        <w:rPr>
          <w:rFonts w:hint="eastAsia" w:ascii="宋体" w:hAnsi="宋体"/>
          <w:bCs/>
          <w:color w:val="auto"/>
          <w:szCs w:val="21"/>
          <w:highlight w:val="none"/>
          <w:u w:val="single"/>
        </w:rPr>
        <w:t></w:t>
      </w:r>
      <w:r>
        <w:rPr>
          <w:rFonts w:hint="eastAsia" w:ascii="宋体" w:hAnsi="宋体"/>
          <w:bCs/>
          <w:color w:val="auto"/>
          <w:szCs w:val="21"/>
          <w:highlight w:val="none"/>
        </w:rPr>
        <w:t>年</w:t>
      </w:r>
      <w:r>
        <w:rPr>
          <w:rFonts w:hint="eastAsia" w:ascii="宋体" w:hAnsi="宋体"/>
          <w:bCs/>
          <w:color w:val="auto"/>
          <w:szCs w:val="21"/>
          <w:highlight w:val="none"/>
          <w:u w:val="single"/>
        </w:rPr>
        <w:t></w:t>
      </w:r>
      <w:r>
        <w:rPr>
          <w:rFonts w:hint="eastAsia" w:ascii="宋体" w:hAnsi="宋体"/>
          <w:bCs/>
          <w:color w:val="auto"/>
          <w:szCs w:val="21"/>
          <w:highlight w:val="none"/>
        </w:rPr>
        <w:t>月</w:t>
      </w:r>
      <w:r>
        <w:rPr>
          <w:rFonts w:hint="eastAsia" w:ascii="宋体" w:hAnsi="宋体"/>
          <w:bCs/>
          <w:color w:val="auto"/>
          <w:szCs w:val="21"/>
          <w:highlight w:val="none"/>
          <w:u w:val="single"/>
        </w:rPr>
        <w:t></w:t>
      </w:r>
      <w:r>
        <w:rPr>
          <w:rFonts w:hint="eastAsia" w:ascii="宋体" w:hAnsi="宋体"/>
          <w:bCs/>
          <w:color w:val="auto"/>
          <w:szCs w:val="21"/>
          <w:highlight w:val="none"/>
        </w:rPr>
        <w:t>日，实际开工日期以监理工程师签发的工程开工通知明确的开工日期为准。</w:t>
      </w:r>
    </w:p>
    <w:p w14:paraId="613CB69E">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计划竣工日期：</w:t>
      </w:r>
      <w:r>
        <w:rPr>
          <w:rFonts w:hint="eastAsia" w:ascii="宋体" w:hAnsi="宋体"/>
          <w:bCs/>
          <w:color w:val="auto"/>
          <w:szCs w:val="21"/>
          <w:highlight w:val="none"/>
          <w:u w:val="single"/>
        </w:rPr>
        <w:t></w:t>
      </w:r>
      <w:r>
        <w:rPr>
          <w:rFonts w:hint="eastAsia" w:ascii="宋体" w:hAnsi="宋体"/>
          <w:bCs/>
          <w:color w:val="auto"/>
          <w:szCs w:val="21"/>
          <w:highlight w:val="none"/>
        </w:rPr>
        <w:t>年</w:t>
      </w:r>
      <w:r>
        <w:rPr>
          <w:rFonts w:hint="eastAsia" w:ascii="宋体" w:hAnsi="宋体"/>
          <w:bCs/>
          <w:color w:val="auto"/>
          <w:szCs w:val="21"/>
          <w:highlight w:val="none"/>
          <w:u w:val="single"/>
        </w:rPr>
        <w:t></w:t>
      </w:r>
      <w:r>
        <w:rPr>
          <w:rFonts w:hint="eastAsia" w:ascii="宋体" w:hAnsi="宋体"/>
          <w:bCs/>
          <w:color w:val="auto"/>
          <w:szCs w:val="21"/>
          <w:highlight w:val="none"/>
        </w:rPr>
        <w:t>月</w:t>
      </w:r>
      <w:r>
        <w:rPr>
          <w:rFonts w:hint="eastAsia" w:ascii="宋体" w:hAnsi="宋体"/>
          <w:bCs/>
          <w:color w:val="auto"/>
          <w:szCs w:val="21"/>
          <w:highlight w:val="none"/>
          <w:u w:val="single"/>
        </w:rPr>
        <w:t></w:t>
      </w:r>
      <w:r>
        <w:rPr>
          <w:rFonts w:hint="eastAsia" w:ascii="宋体" w:hAnsi="宋体"/>
          <w:bCs/>
          <w:color w:val="auto"/>
          <w:szCs w:val="21"/>
          <w:highlight w:val="none"/>
        </w:rPr>
        <w:t>日，实际竣工日期以工程竣工验收合格之日为准。</w:t>
      </w:r>
    </w:p>
    <w:p w14:paraId="34D25889">
      <w:pPr>
        <w:spacing w:line="360" w:lineRule="auto"/>
        <w:ind w:firstLine="420" w:firstLineChars="200"/>
        <w:rPr>
          <w:rFonts w:ascii="宋体" w:hAnsi="宋体"/>
          <w:color w:val="auto"/>
          <w:szCs w:val="21"/>
          <w:highlight w:val="none"/>
        </w:rPr>
      </w:pPr>
      <w:r>
        <w:rPr>
          <w:rFonts w:hint="eastAsia" w:ascii="宋体" w:hAnsi="宋体"/>
          <w:bCs/>
          <w:color w:val="auto"/>
          <w:szCs w:val="21"/>
          <w:highlight w:val="none"/>
        </w:rPr>
        <w:t>工期总日历天数</w:t>
      </w:r>
      <w:r>
        <w:rPr>
          <w:rFonts w:hint="eastAsia" w:ascii="宋体" w:hAnsi="宋体"/>
          <w:bCs/>
          <w:color w:val="auto"/>
          <w:szCs w:val="21"/>
          <w:highlight w:val="none"/>
          <w:u w:val="single"/>
        </w:rPr>
        <w:t></w:t>
      </w:r>
      <w:r>
        <w:rPr>
          <w:rFonts w:hint="eastAsia" w:ascii="宋体" w:hAnsi="宋体"/>
          <w:bCs/>
          <w:color w:val="auto"/>
          <w:szCs w:val="21"/>
          <w:highlight w:val="none"/>
        </w:rPr>
        <w:t>天。工期总日历天数与根据前述计划开竣工日期计算的工期天数不一</w:t>
      </w:r>
      <w:r>
        <w:rPr>
          <w:rFonts w:hint="eastAsia" w:ascii="宋体" w:hAnsi="宋体"/>
          <w:color w:val="auto"/>
          <w:szCs w:val="21"/>
          <w:highlight w:val="none"/>
        </w:rPr>
        <w:t>致的，以工期总日历天数为准。</w:t>
      </w:r>
    </w:p>
    <w:p w14:paraId="7C922029">
      <w:pPr>
        <w:pStyle w:val="6"/>
        <w:keepNext/>
        <w:keepLines/>
        <w:spacing w:before="120" w:after="120" w:line="360" w:lineRule="auto"/>
        <w:ind w:firstLine="422" w:firstLineChars="200"/>
        <w:jc w:val="both"/>
        <w:rPr>
          <w:color w:val="auto"/>
          <w:kern w:val="2"/>
          <w:sz w:val="21"/>
          <w:szCs w:val="21"/>
          <w:highlight w:val="none"/>
        </w:rPr>
      </w:pPr>
      <w:bookmarkStart w:id="695" w:name="_Toc532375575"/>
      <w:bookmarkStart w:id="696" w:name="_Toc351203483"/>
      <w:bookmarkStart w:id="697" w:name="_Toc532377168"/>
      <w:r>
        <w:rPr>
          <w:rFonts w:hint="eastAsia"/>
          <w:color w:val="auto"/>
          <w:kern w:val="2"/>
          <w:sz w:val="21"/>
          <w:szCs w:val="21"/>
          <w:highlight w:val="none"/>
        </w:rPr>
        <w:t>三、质量标准</w:t>
      </w:r>
      <w:bookmarkEnd w:id="695"/>
      <w:bookmarkEnd w:id="696"/>
      <w:bookmarkEnd w:id="697"/>
    </w:p>
    <w:p w14:paraId="28CDE7F3">
      <w:pPr>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工程质量</w:t>
      </w:r>
      <w:r>
        <w:rPr>
          <w:rFonts w:hint="eastAsia" w:ascii="宋体" w:hAnsi="宋体"/>
          <w:color w:val="auto"/>
          <w:szCs w:val="21"/>
          <w:highlight w:val="none"/>
          <w:u w:val="single"/>
        </w:rPr>
        <w:t>符合国家</w:t>
      </w:r>
      <w:r>
        <w:rPr>
          <w:rFonts w:ascii="宋体" w:hAnsi="宋体"/>
          <w:color w:val="auto"/>
          <w:szCs w:val="21"/>
          <w:highlight w:val="none"/>
          <w:u w:val="single"/>
        </w:rPr>
        <w:t>和重庆市现行</w:t>
      </w:r>
      <w:r>
        <w:rPr>
          <w:rFonts w:hint="eastAsia" w:ascii="宋体" w:hAnsi="宋体"/>
          <w:color w:val="auto"/>
          <w:szCs w:val="21"/>
          <w:highlight w:val="none"/>
          <w:u w:val="single"/>
        </w:rPr>
        <w:t>有关施工质量验收规范要求，并达到合格</w:t>
      </w:r>
      <w:r>
        <w:rPr>
          <w:rFonts w:hint="eastAsia" w:ascii="宋体" w:hAnsi="宋体"/>
          <w:color w:val="auto"/>
          <w:szCs w:val="21"/>
          <w:highlight w:val="none"/>
        </w:rPr>
        <w:t>标准。</w:t>
      </w:r>
    </w:p>
    <w:p w14:paraId="0DE39B2C">
      <w:pPr>
        <w:pStyle w:val="6"/>
        <w:keepNext/>
        <w:keepLines/>
        <w:spacing w:before="120" w:after="120" w:line="360" w:lineRule="auto"/>
        <w:ind w:firstLine="422" w:firstLineChars="200"/>
        <w:jc w:val="both"/>
        <w:rPr>
          <w:color w:val="auto"/>
          <w:kern w:val="2"/>
          <w:sz w:val="21"/>
          <w:szCs w:val="21"/>
          <w:highlight w:val="none"/>
        </w:rPr>
      </w:pPr>
      <w:bookmarkStart w:id="698" w:name="_Toc532377169"/>
      <w:bookmarkStart w:id="699" w:name="_Toc351203484"/>
      <w:bookmarkStart w:id="700" w:name="_Toc532375576"/>
      <w:r>
        <w:rPr>
          <w:rFonts w:hint="eastAsia"/>
          <w:color w:val="auto"/>
          <w:kern w:val="2"/>
          <w:sz w:val="21"/>
          <w:szCs w:val="21"/>
          <w:highlight w:val="none"/>
        </w:rPr>
        <w:t>四、签约合同价与合同价格形式</w:t>
      </w:r>
      <w:bookmarkEnd w:id="698"/>
      <w:bookmarkEnd w:id="699"/>
      <w:bookmarkEnd w:id="700"/>
      <w:r>
        <w:rPr>
          <w:rFonts w:hint="eastAsia"/>
          <w:color w:val="auto"/>
          <w:kern w:val="2"/>
          <w:sz w:val="21"/>
          <w:szCs w:val="21"/>
          <w:highlight w:val="none"/>
        </w:rPr>
        <w:tab/>
      </w:r>
    </w:p>
    <w:p w14:paraId="50E1D60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1.承包人投标函中承诺的中标价为：</w:t>
      </w:r>
    </w:p>
    <w:p w14:paraId="7741544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人民币（大写）</w:t>
      </w:r>
      <w:r>
        <w:rPr>
          <w:rFonts w:hint="eastAsia" w:ascii="宋体" w:hAnsi="宋体"/>
          <w:color w:val="auto"/>
          <w:szCs w:val="21"/>
          <w:highlight w:val="none"/>
          <w:u w:val="single"/>
        </w:rPr>
        <w:t xml:space="preserve">                  </w:t>
      </w:r>
      <w:r>
        <w:rPr>
          <w:rFonts w:hint="eastAsia" w:ascii="宋体" w:hAnsi="宋体"/>
          <w:color w:val="auto"/>
          <w:szCs w:val="21"/>
          <w:highlight w:val="none"/>
        </w:rPr>
        <w:t>（¥</w:t>
      </w:r>
      <w:r>
        <w:rPr>
          <w:rFonts w:hint="eastAsia" w:ascii="宋体" w:hAnsi="宋体"/>
          <w:color w:val="auto"/>
          <w:szCs w:val="21"/>
          <w:highlight w:val="none"/>
          <w:u w:val="single"/>
        </w:rPr>
        <w:t xml:space="preserve">            </w:t>
      </w:r>
      <w:r>
        <w:rPr>
          <w:rFonts w:hint="eastAsia" w:ascii="宋体" w:hAnsi="宋体"/>
          <w:color w:val="auto"/>
          <w:szCs w:val="21"/>
          <w:highlight w:val="none"/>
        </w:rPr>
        <w:t>元）；</w:t>
      </w:r>
    </w:p>
    <w:p w14:paraId="1F41C12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2.签约合同价为：</w:t>
      </w:r>
    </w:p>
    <w:p w14:paraId="1EF48F79">
      <w:pPr>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人民币（大写）</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w:t>
      </w:r>
      <w:r>
        <w:rPr>
          <w:rFonts w:ascii="宋体" w:hAnsi="宋体"/>
          <w:color w:val="auto"/>
          <w:szCs w:val="21"/>
          <w:highlight w:val="none"/>
          <w:u w:val="single"/>
        </w:rPr>
        <w:t xml:space="preserve">            </w:t>
      </w:r>
      <w:r>
        <w:rPr>
          <w:rFonts w:ascii="宋体" w:hAnsi="宋体"/>
          <w:color w:val="auto"/>
          <w:szCs w:val="21"/>
          <w:highlight w:val="none"/>
        </w:rPr>
        <w:t>元）</w:t>
      </w:r>
      <w:r>
        <w:rPr>
          <w:rFonts w:hint="eastAsia" w:ascii="宋体" w:hAnsi="宋体"/>
          <w:color w:val="auto"/>
          <w:szCs w:val="21"/>
          <w:highlight w:val="none"/>
        </w:rPr>
        <w:t>；</w:t>
      </w:r>
    </w:p>
    <w:p w14:paraId="6222A2FC">
      <w:pPr>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其中：</w:t>
      </w:r>
    </w:p>
    <w:p w14:paraId="3510334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（1）安全文明施工费：</w:t>
      </w:r>
    </w:p>
    <w:p w14:paraId="08F06F17">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人民币（大写）</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w:t>
      </w:r>
      <w:r>
        <w:rPr>
          <w:rFonts w:ascii="宋体" w:hAnsi="宋体"/>
          <w:color w:val="auto"/>
          <w:szCs w:val="21"/>
          <w:highlight w:val="none"/>
          <w:u w:val="single"/>
        </w:rPr>
        <w:t xml:space="preserve">            </w:t>
      </w:r>
      <w:r>
        <w:rPr>
          <w:rFonts w:ascii="宋体" w:hAnsi="宋体"/>
          <w:color w:val="auto"/>
          <w:szCs w:val="21"/>
          <w:highlight w:val="none"/>
        </w:rPr>
        <w:t>元）</w:t>
      </w:r>
      <w:r>
        <w:rPr>
          <w:rFonts w:hint="eastAsia" w:ascii="宋体" w:hAnsi="宋体"/>
          <w:color w:val="auto"/>
          <w:szCs w:val="21"/>
          <w:highlight w:val="none"/>
        </w:rPr>
        <w:t>；</w:t>
      </w:r>
    </w:p>
    <w:p w14:paraId="6744987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（2）材料和工程设备暂估价金额：</w:t>
      </w:r>
    </w:p>
    <w:p w14:paraId="36DD989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人民币（大写）</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w:t>
      </w:r>
      <w:r>
        <w:rPr>
          <w:rFonts w:ascii="宋体" w:hAnsi="宋体"/>
          <w:color w:val="auto"/>
          <w:szCs w:val="21"/>
          <w:highlight w:val="none"/>
          <w:u w:val="single"/>
        </w:rPr>
        <w:t xml:space="preserve">            </w:t>
      </w:r>
      <w:r>
        <w:rPr>
          <w:rFonts w:ascii="宋体" w:hAnsi="宋体"/>
          <w:color w:val="auto"/>
          <w:szCs w:val="21"/>
          <w:highlight w:val="none"/>
        </w:rPr>
        <w:t>元）</w:t>
      </w:r>
      <w:r>
        <w:rPr>
          <w:rFonts w:hint="eastAsia" w:ascii="宋体" w:hAnsi="宋体"/>
          <w:color w:val="auto"/>
          <w:szCs w:val="21"/>
          <w:highlight w:val="none"/>
        </w:rPr>
        <w:t>；</w:t>
      </w:r>
    </w:p>
    <w:p w14:paraId="5B066291">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（3）专业工程暂估价金额：</w:t>
      </w:r>
    </w:p>
    <w:p w14:paraId="7E50505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人民币（大写）</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w:t>
      </w:r>
      <w:r>
        <w:rPr>
          <w:rFonts w:ascii="宋体" w:hAnsi="宋体"/>
          <w:color w:val="auto"/>
          <w:szCs w:val="21"/>
          <w:highlight w:val="none"/>
          <w:u w:val="single"/>
        </w:rPr>
        <w:t xml:space="preserve">            </w:t>
      </w:r>
      <w:r>
        <w:rPr>
          <w:rFonts w:ascii="宋体" w:hAnsi="宋体"/>
          <w:color w:val="auto"/>
          <w:szCs w:val="21"/>
          <w:highlight w:val="none"/>
        </w:rPr>
        <w:t>元）</w:t>
      </w:r>
      <w:r>
        <w:rPr>
          <w:rFonts w:hint="eastAsia" w:ascii="宋体" w:hAnsi="宋体"/>
          <w:color w:val="auto"/>
          <w:szCs w:val="21"/>
          <w:highlight w:val="none"/>
        </w:rPr>
        <w:t>；</w:t>
      </w:r>
    </w:p>
    <w:p w14:paraId="7AD3462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（4）暂列金额：</w:t>
      </w:r>
    </w:p>
    <w:p w14:paraId="4882E0C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人民币（大写）</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w:t>
      </w:r>
      <w:r>
        <w:rPr>
          <w:rFonts w:ascii="宋体" w:hAnsi="宋体"/>
          <w:color w:val="auto"/>
          <w:szCs w:val="21"/>
          <w:highlight w:val="none"/>
          <w:u w:val="single"/>
        </w:rPr>
        <w:t xml:space="preserve">            </w:t>
      </w:r>
      <w:r>
        <w:rPr>
          <w:rFonts w:ascii="宋体" w:hAnsi="宋体"/>
          <w:color w:val="auto"/>
          <w:szCs w:val="21"/>
          <w:highlight w:val="none"/>
        </w:rPr>
        <w:t>元）</w:t>
      </w:r>
      <w:r>
        <w:rPr>
          <w:rFonts w:hint="eastAsia" w:ascii="宋体" w:hAnsi="宋体"/>
          <w:color w:val="auto"/>
          <w:szCs w:val="21"/>
          <w:highlight w:val="none"/>
        </w:rPr>
        <w:t>。</w:t>
      </w:r>
    </w:p>
    <w:p w14:paraId="4BEC811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（5）人工费（工资款）</w:t>
      </w:r>
    </w:p>
    <w:p w14:paraId="3209569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该项目实行人工费（工资款）与其他工程款分账管理，发包人将应付工程款中的人工费（工资款），以不低于已完成合同价款的</w:t>
      </w:r>
      <w:r>
        <w:rPr>
          <w:rFonts w:hint="eastAsia" w:ascii="宋体" w:hAnsi="宋体"/>
          <w:color w:val="auto"/>
          <w:szCs w:val="21"/>
          <w:highlight w:val="none"/>
          <w:u w:val="single"/>
        </w:rPr>
        <w:t xml:space="preserve">    </w:t>
      </w:r>
      <w:r>
        <w:rPr>
          <w:rFonts w:hint="eastAsia" w:ascii="宋体" w:hAnsi="宋体"/>
          <w:color w:val="auto"/>
          <w:szCs w:val="21"/>
          <w:highlight w:val="none"/>
        </w:rPr>
        <w:t>（不低于25%，以设备采购为主的工程项目不受此限制），农民工工资单独支付至承包人设立的农民工工资专用账户。</w:t>
      </w:r>
    </w:p>
    <w:p w14:paraId="34A89BA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3.合同价格形式：</w:t>
      </w:r>
      <w:r>
        <w:rPr>
          <w:rFonts w:ascii="宋体" w:hAnsi="宋体"/>
          <w:color w:val="auto"/>
          <w:szCs w:val="21"/>
          <w:highlight w:val="none"/>
          <w:u w:val="single"/>
        </w:rPr>
        <w:t xml:space="preserve">              </w:t>
      </w:r>
      <w:r>
        <w:rPr>
          <w:rFonts w:hint="eastAsia" w:ascii="宋体" w:hAnsi="宋体"/>
          <w:color w:val="auto"/>
          <w:szCs w:val="21"/>
          <w:highlight w:val="none"/>
        </w:rPr>
        <w:t>。</w:t>
      </w:r>
    </w:p>
    <w:p w14:paraId="15DFF1DA">
      <w:pPr>
        <w:pStyle w:val="6"/>
        <w:keepNext/>
        <w:keepLines/>
        <w:spacing w:before="120" w:after="120" w:line="360" w:lineRule="auto"/>
        <w:ind w:firstLine="422" w:firstLineChars="200"/>
        <w:jc w:val="both"/>
        <w:rPr>
          <w:color w:val="auto"/>
          <w:kern w:val="2"/>
          <w:sz w:val="21"/>
          <w:szCs w:val="21"/>
          <w:highlight w:val="none"/>
        </w:rPr>
      </w:pPr>
      <w:bookmarkStart w:id="701" w:name="_Toc351203485"/>
      <w:bookmarkStart w:id="702" w:name="_Toc532377170"/>
      <w:bookmarkStart w:id="703" w:name="_Toc532375577"/>
      <w:r>
        <w:rPr>
          <w:rFonts w:hint="eastAsia"/>
          <w:color w:val="auto"/>
          <w:kern w:val="2"/>
          <w:sz w:val="21"/>
          <w:szCs w:val="21"/>
          <w:highlight w:val="none"/>
        </w:rPr>
        <w:t>五、</w:t>
      </w:r>
      <w:bookmarkEnd w:id="701"/>
      <w:r>
        <w:rPr>
          <w:rFonts w:hint="eastAsia"/>
          <w:color w:val="auto"/>
          <w:kern w:val="2"/>
          <w:sz w:val="21"/>
          <w:szCs w:val="21"/>
          <w:highlight w:val="none"/>
        </w:rPr>
        <w:t>项目经理及技术负责人</w:t>
      </w:r>
      <w:bookmarkEnd w:id="702"/>
      <w:bookmarkEnd w:id="703"/>
    </w:p>
    <w:p w14:paraId="181BC00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承包人投标文件中承诺的项目经理：</w:t>
      </w:r>
    </w:p>
    <w:p w14:paraId="7E5C00D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姓名：</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14:paraId="349C3BD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身份证号码：</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14:paraId="54E05B5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建造师</w:t>
      </w:r>
      <w:r>
        <w:rPr>
          <w:rFonts w:ascii="宋体" w:hAnsi="宋体"/>
          <w:color w:val="auto"/>
          <w:szCs w:val="21"/>
          <w:highlight w:val="none"/>
        </w:rPr>
        <w:t>注册证书号</w:t>
      </w:r>
      <w:r>
        <w:rPr>
          <w:rFonts w:hint="eastAsia" w:ascii="宋体" w:hAnsi="宋体"/>
          <w:color w:val="auto"/>
          <w:szCs w:val="21"/>
          <w:highlight w:val="none"/>
        </w:rPr>
        <w:t>：</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14:paraId="1216843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承包人投标文件中承诺的技术负责人：</w:t>
      </w:r>
    </w:p>
    <w:p w14:paraId="77C2604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姓名：</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14:paraId="5B0889E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身份证号码：</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14:paraId="6E41B169">
      <w:pPr>
        <w:pStyle w:val="2"/>
        <w:spacing w:line="360" w:lineRule="auto"/>
        <w:rPr>
          <w:rFonts w:ascii="宋体" w:hAnsi="宋体"/>
          <w:color w:val="auto"/>
          <w:szCs w:val="21"/>
          <w:highlight w:val="none"/>
        </w:rPr>
      </w:pPr>
      <w:r>
        <w:rPr>
          <w:rFonts w:hint="eastAsia" w:ascii="宋体" w:hAnsi="宋体"/>
          <w:color w:val="auto"/>
          <w:szCs w:val="21"/>
          <w:highlight w:val="none"/>
        </w:rPr>
        <w:t xml:space="preserve">    证书名称</w:t>
      </w:r>
      <w:r>
        <w:rPr>
          <w:rFonts w:ascii="宋体" w:hAnsi="宋体"/>
          <w:color w:val="auto"/>
          <w:szCs w:val="21"/>
          <w:highlight w:val="none"/>
        </w:rPr>
        <w:t>及号码：</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107A96F9">
      <w:pPr>
        <w:pStyle w:val="6"/>
        <w:keepNext/>
        <w:keepLines/>
        <w:spacing w:before="120" w:after="120" w:line="360" w:lineRule="auto"/>
        <w:ind w:firstLine="422" w:firstLineChars="200"/>
        <w:jc w:val="both"/>
        <w:rPr>
          <w:color w:val="auto"/>
          <w:kern w:val="2"/>
          <w:sz w:val="21"/>
          <w:szCs w:val="21"/>
          <w:highlight w:val="none"/>
        </w:rPr>
      </w:pPr>
      <w:bookmarkStart w:id="704" w:name="_Toc532377171"/>
      <w:bookmarkStart w:id="705" w:name="_Toc532375578"/>
      <w:bookmarkStart w:id="706" w:name="_Toc351203486"/>
      <w:r>
        <w:rPr>
          <w:rFonts w:hint="eastAsia"/>
          <w:color w:val="auto"/>
          <w:kern w:val="2"/>
          <w:sz w:val="21"/>
          <w:szCs w:val="21"/>
          <w:highlight w:val="none"/>
        </w:rPr>
        <w:t>六、合同文件构成</w:t>
      </w:r>
      <w:bookmarkEnd w:id="704"/>
      <w:bookmarkEnd w:id="705"/>
      <w:bookmarkEnd w:id="706"/>
    </w:p>
    <w:p w14:paraId="6571D82E">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合同由以下文件构成：</w:t>
      </w:r>
    </w:p>
    <w:p w14:paraId="7E67927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（1）合同协议书；</w:t>
      </w:r>
    </w:p>
    <w:p w14:paraId="689562F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（2）中标通知书；</w:t>
      </w:r>
    </w:p>
    <w:p w14:paraId="574A440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（3）投标函及投标函附录；</w:t>
      </w:r>
    </w:p>
    <w:p w14:paraId="10581F4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（4）专用合同条款及其附件；</w:t>
      </w:r>
    </w:p>
    <w:p w14:paraId="132C054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（5）通用合同条款；</w:t>
      </w:r>
    </w:p>
    <w:p w14:paraId="558577E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（6）投标文件（投标函及投标函附录除外）；</w:t>
      </w:r>
    </w:p>
    <w:p w14:paraId="7E40EEC3">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（7）招标文件及修改文件；</w:t>
      </w:r>
    </w:p>
    <w:p w14:paraId="7E8B702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（8）技术标准和要求；</w:t>
      </w:r>
    </w:p>
    <w:p w14:paraId="7E6FED2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（9）图纸；</w:t>
      </w:r>
    </w:p>
    <w:p w14:paraId="5AC5865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（10）其他合同文件。</w:t>
      </w:r>
    </w:p>
    <w:p w14:paraId="7D8AD9D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在合同订立、履行过程中形成的与合同有关的书面形式的文件均构成合同文件组成部分。</w:t>
      </w:r>
    </w:p>
    <w:p w14:paraId="76BB5BC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上述各项合同文件包括合同当事人就该项合同文件所作出的补充和修改，属于同一类内容的文件，应以最新签署的为准。专用合同条款及其附件须经合同当事人签字或盖章。</w:t>
      </w:r>
    </w:p>
    <w:p w14:paraId="3AEC8FCE">
      <w:pPr>
        <w:pStyle w:val="6"/>
        <w:keepNext/>
        <w:keepLines/>
        <w:spacing w:before="120" w:after="120" w:line="360" w:lineRule="auto"/>
        <w:ind w:firstLine="422" w:firstLineChars="200"/>
        <w:jc w:val="both"/>
        <w:rPr>
          <w:color w:val="auto"/>
          <w:kern w:val="2"/>
          <w:sz w:val="21"/>
          <w:szCs w:val="21"/>
          <w:highlight w:val="none"/>
        </w:rPr>
      </w:pPr>
      <w:bookmarkStart w:id="707" w:name="_Toc351203487"/>
      <w:bookmarkStart w:id="708" w:name="_Toc532377172"/>
      <w:bookmarkStart w:id="709" w:name="_Toc532375579"/>
      <w:r>
        <w:rPr>
          <w:rFonts w:hint="eastAsia"/>
          <w:color w:val="auto"/>
          <w:kern w:val="2"/>
          <w:sz w:val="21"/>
          <w:szCs w:val="21"/>
          <w:highlight w:val="none"/>
        </w:rPr>
        <w:t>七、承诺</w:t>
      </w:r>
      <w:bookmarkEnd w:id="707"/>
      <w:bookmarkEnd w:id="708"/>
      <w:bookmarkEnd w:id="709"/>
    </w:p>
    <w:p w14:paraId="0BC9991F">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1.发包人承诺按照法律规定履行项目审批手续、筹集工程建设资金并按照合同约定的期限和方式支付合同价款。</w:t>
      </w:r>
    </w:p>
    <w:p w14:paraId="7537010E">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2.</w:t>
      </w:r>
      <w:r>
        <w:rPr>
          <w:rFonts w:hint="eastAsia" w:ascii="宋体" w:hAnsi="宋体"/>
          <w:color w:val="auto"/>
          <w:szCs w:val="21"/>
          <w:highlight w:val="none"/>
        </w:rPr>
        <w:t>承包人承诺按照法律规定及合同约定组织完成工程施工，确保工程质量和安全，不进行转包及违法分包，并在缺陷责任期及保修期内承担相应的工程维修责任</w:t>
      </w:r>
      <w:r>
        <w:rPr>
          <w:rFonts w:hint="eastAsia" w:ascii="宋体" w:hAnsi="宋体"/>
          <w:bCs/>
          <w:color w:val="auto"/>
          <w:szCs w:val="21"/>
          <w:highlight w:val="none"/>
        </w:rPr>
        <w:t>。</w:t>
      </w:r>
    </w:p>
    <w:p w14:paraId="33A4317B">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3.发包人和承包人通过招投标形式签订合同的，双方理解并承诺不再就同一工程另行签订与合同实质性内容相背离的协议。</w:t>
      </w:r>
    </w:p>
    <w:p w14:paraId="11D14334">
      <w:pPr>
        <w:pStyle w:val="6"/>
        <w:keepNext/>
        <w:keepLines/>
        <w:spacing w:before="120" w:after="120" w:line="360" w:lineRule="auto"/>
        <w:ind w:firstLine="422" w:firstLineChars="200"/>
        <w:jc w:val="both"/>
        <w:rPr>
          <w:color w:val="auto"/>
          <w:kern w:val="2"/>
          <w:sz w:val="21"/>
          <w:szCs w:val="21"/>
          <w:highlight w:val="none"/>
        </w:rPr>
      </w:pPr>
      <w:bookmarkStart w:id="710" w:name="_Toc532375580"/>
      <w:bookmarkStart w:id="711" w:name="_Toc532377173"/>
      <w:bookmarkStart w:id="712" w:name="_Toc351203488"/>
      <w:r>
        <w:rPr>
          <w:rFonts w:hint="eastAsia"/>
          <w:color w:val="auto"/>
          <w:kern w:val="2"/>
          <w:sz w:val="21"/>
          <w:szCs w:val="21"/>
          <w:highlight w:val="none"/>
        </w:rPr>
        <w:t>八、词语含义</w:t>
      </w:r>
      <w:bookmarkEnd w:id="710"/>
      <w:bookmarkEnd w:id="711"/>
      <w:bookmarkEnd w:id="712"/>
    </w:p>
    <w:p w14:paraId="47D423E7">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本协议书中词语含义与专用合同条款及通用合同条款中赋予的含义相同。</w:t>
      </w:r>
    </w:p>
    <w:p w14:paraId="1F9F39CC">
      <w:pPr>
        <w:pStyle w:val="6"/>
        <w:keepNext/>
        <w:keepLines/>
        <w:spacing w:before="120" w:after="120" w:line="360" w:lineRule="auto"/>
        <w:ind w:firstLine="422" w:firstLineChars="200"/>
        <w:jc w:val="both"/>
        <w:rPr>
          <w:color w:val="auto"/>
          <w:kern w:val="2"/>
          <w:sz w:val="21"/>
          <w:szCs w:val="21"/>
          <w:highlight w:val="none"/>
        </w:rPr>
      </w:pPr>
      <w:bookmarkStart w:id="713" w:name="_Toc532377174"/>
      <w:bookmarkStart w:id="714" w:name="_Toc532375581"/>
      <w:r>
        <w:rPr>
          <w:rFonts w:hint="eastAsia"/>
          <w:color w:val="auto"/>
          <w:kern w:val="2"/>
          <w:sz w:val="21"/>
          <w:szCs w:val="21"/>
          <w:highlight w:val="none"/>
        </w:rPr>
        <w:t>九、签订时间</w:t>
      </w:r>
      <w:bookmarkEnd w:id="713"/>
      <w:bookmarkEnd w:id="714"/>
    </w:p>
    <w:p w14:paraId="122C4FAC">
      <w:pPr>
        <w:spacing w:line="360" w:lineRule="auto"/>
        <w:ind w:firstLine="420" w:firstLineChars="200"/>
        <w:rPr>
          <w:rFonts w:ascii="宋体" w:hAnsi="宋体"/>
          <w:color w:val="auto"/>
          <w:szCs w:val="21"/>
          <w:highlight w:val="none"/>
        </w:rPr>
      </w:pPr>
      <w:r>
        <w:rPr>
          <w:rFonts w:hint="eastAsia" w:ascii="宋体" w:hAnsi="宋体"/>
          <w:bCs/>
          <w:color w:val="auto"/>
          <w:szCs w:val="21"/>
          <w:highlight w:val="none"/>
        </w:rPr>
        <w:t>合同于</w:t>
      </w:r>
      <w:r>
        <w:rPr>
          <w:rFonts w:hint="eastAsia" w:ascii="宋体" w:hAnsi="宋体"/>
          <w:bCs/>
          <w:color w:val="auto"/>
          <w:szCs w:val="21"/>
          <w:highlight w:val="none"/>
          <w:u w:val="single"/>
        </w:rPr>
        <w:t xml:space="preserve">    </w:t>
      </w:r>
      <w:r>
        <w:rPr>
          <w:rFonts w:hint="eastAsia" w:ascii="宋体" w:hAnsi="宋体"/>
          <w:bCs/>
          <w:color w:val="auto"/>
          <w:szCs w:val="21"/>
          <w:highlight w:val="none"/>
        </w:rPr>
        <w:t>年</w:t>
      </w:r>
      <w:r>
        <w:rPr>
          <w:rFonts w:hint="eastAsia" w:ascii="宋体" w:hAnsi="宋体"/>
          <w:bCs/>
          <w:color w:val="auto"/>
          <w:szCs w:val="21"/>
          <w:highlight w:val="none"/>
          <w:u w:val="single"/>
        </w:rPr>
        <w:t xml:space="preserve">    </w:t>
      </w:r>
      <w:r>
        <w:rPr>
          <w:rFonts w:hint="eastAsia" w:ascii="宋体" w:hAnsi="宋体"/>
          <w:bCs/>
          <w:color w:val="auto"/>
          <w:szCs w:val="21"/>
          <w:highlight w:val="none"/>
        </w:rPr>
        <w:t>月</w:t>
      </w:r>
      <w:r>
        <w:rPr>
          <w:rFonts w:hint="eastAsia" w:ascii="宋体" w:hAnsi="宋体"/>
          <w:bCs/>
          <w:color w:val="auto"/>
          <w:szCs w:val="21"/>
          <w:highlight w:val="none"/>
          <w:u w:val="single"/>
        </w:rPr>
        <w:t xml:space="preserve">    </w:t>
      </w:r>
      <w:r>
        <w:rPr>
          <w:rFonts w:hint="eastAsia" w:ascii="宋体" w:hAnsi="宋体"/>
          <w:bCs/>
          <w:color w:val="auto"/>
          <w:szCs w:val="21"/>
          <w:highlight w:val="none"/>
        </w:rPr>
        <w:t>日签订</w:t>
      </w:r>
    </w:p>
    <w:p w14:paraId="106C0F1A">
      <w:pPr>
        <w:pStyle w:val="6"/>
        <w:keepNext/>
        <w:keepLines/>
        <w:spacing w:before="120" w:after="120" w:line="360" w:lineRule="auto"/>
        <w:ind w:firstLine="422" w:firstLineChars="200"/>
        <w:jc w:val="both"/>
        <w:rPr>
          <w:color w:val="auto"/>
          <w:kern w:val="2"/>
          <w:sz w:val="21"/>
          <w:szCs w:val="21"/>
          <w:highlight w:val="none"/>
        </w:rPr>
      </w:pPr>
      <w:bookmarkStart w:id="715" w:name="_Toc351203489"/>
      <w:bookmarkStart w:id="716" w:name="_Toc532377175"/>
      <w:bookmarkStart w:id="717" w:name="_Toc532375582"/>
      <w:r>
        <w:rPr>
          <w:rFonts w:hint="eastAsia"/>
          <w:color w:val="auto"/>
          <w:kern w:val="2"/>
          <w:sz w:val="21"/>
          <w:szCs w:val="21"/>
          <w:highlight w:val="none"/>
        </w:rPr>
        <w:t>十、</w:t>
      </w:r>
      <w:bookmarkEnd w:id="715"/>
      <w:bookmarkStart w:id="718" w:name="_Toc351203490"/>
      <w:r>
        <w:rPr>
          <w:rFonts w:hint="eastAsia"/>
          <w:color w:val="auto"/>
          <w:kern w:val="2"/>
          <w:sz w:val="21"/>
          <w:szCs w:val="21"/>
          <w:highlight w:val="none"/>
        </w:rPr>
        <w:t>签订地点</w:t>
      </w:r>
      <w:bookmarkEnd w:id="716"/>
      <w:bookmarkEnd w:id="717"/>
      <w:bookmarkEnd w:id="718"/>
    </w:p>
    <w:p w14:paraId="389CC64E">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合同在</w:t>
      </w:r>
      <w:r>
        <w:rPr>
          <w:rFonts w:hint="eastAsia" w:ascii="宋体" w:hAnsi="宋体"/>
          <w:bCs/>
          <w:color w:val="auto"/>
          <w:szCs w:val="21"/>
          <w:highlight w:val="none"/>
          <w:u w:val="single"/>
        </w:rPr>
        <w:t xml:space="preserve">            </w:t>
      </w:r>
      <w:r>
        <w:rPr>
          <w:rFonts w:hint="eastAsia" w:ascii="宋体" w:hAnsi="宋体"/>
          <w:bCs/>
          <w:color w:val="auto"/>
          <w:szCs w:val="21"/>
          <w:highlight w:val="none"/>
        </w:rPr>
        <w:t>签订。</w:t>
      </w:r>
    </w:p>
    <w:p w14:paraId="2C1A5E5A">
      <w:pPr>
        <w:pStyle w:val="6"/>
        <w:keepNext/>
        <w:keepLines/>
        <w:spacing w:before="120" w:after="120" w:line="360" w:lineRule="auto"/>
        <w:ind w:firstLine="422" w:firstLineChars="200"/>
        <w:jc w:val="both"/>
        <w:rPr>
          <w:color w:val="auto"/>
          <w:kern w:val="2"/>
          <w:sz w:val="21"/>
          <w:szCs w:val="21"/>
          <w:highlight w:val="none"/>
        </w:rPr>
      </w:pPr>
      <w:bookmarkStart w:id="719" w:name="_Toc351203491"/>
      <w:bookmarkStart w:id="720" w:name="_Toc532375583"/>
      <w:bookmarkStart w:id="721" w:name="_Toc532377176"/>
      <w:r>
        <w:rPr>
          <w:rFonts w:hint="eastAsia"/>
          <w:color w:val="auto"/>
          <w:kern w:val="2"/>
          <w:sz w:val="21"/>
          <w:szCs w:val="21"/>
          <w:highlight w:val="none"/>
        </w:rPr>
        <w:t>十一、补充协议</w:t>
      </w:r>
      <w:bookmarkEnd w:id="719"/>
      <w:bookmarkEnd w:id="720"/>
      <w:bookmarkEnd w:id="721"/>
    </w:p>
    <w:p w14:paraId="09F4C879">
      <w:pPr>
        <w:spacing w:line="360" w:lineRule="auto"/>
        <w:ind w:firstLine="420" w:firstLineChars="200"/>
        <w:rPr>
          <w:rFonts w:ascii="宋体" w:hAnsi="宋体"/>
          <w:b/>
          <w:bCs/>
          <w:color w:val="auto"/>
          <w:szCs w:val="21"/>
          <w:highlight w:val="none"/>
        </w:rPr>
      </w:pPr>
      <w:r>
        <w:rPr>
          <w:rFonts w:hint="eastAsia" w:ascii="宋体" w:hAnsi="宋体"/>
          <w:bCs/>
          <w:color w:val="auto"/>
          <w:szCs w:val="21"/>
          <w:highlight w:val="none"/>
        </w:rPr>
        <w:t>合同未尽事宜，合同当事人另行签订补充协议，补充协议是合同的组成部分。</w:t>
      </w:r>
    </w:p>
    <w:p w14:paraId="186E0A6E">
      <w:pPr>
        <w:pStyle w:val="6"/>
        <w:keepNext/>
        <w:keepLines/>
        <w:spacing w:before="120" w:after="120" w:line="360" w:lineRule="auto"/>
        <w:ind w:firstLine="422" w:firstLineChars="200"/>
        <w:jc w:val="both"/>
        <w:rPr>
          <w:color w:val="auto"/>
          <w:kern w:val="2"/>
          <w:sz w:val="21"/>
          <w:szCs w:val="21"/>
          <w:highlight w:val="none"/>
        </w:rPr>
      </w:pPr>
      <w:bookmarkStart w:id="722" w:name="_Toc351203492"/>
      <w:bookmarkStart w:id="723" w:name="_Toc532377177"/>
      <w:bookmarkStart w:id="724" w:name="_Toc532375584"/>
      <w:r>
        <w:rPr>
          <w:rFonts w:hint="eastAsia"/>
          <w:color w:val="auto"/>
          <w:kern w:val="2"/>
          <w:sz w:val="21"/>
          <w:szCs w:val="21"/>
          <w:highlight w:val="none"/>
        </w:rPr>
        <w:t>十二、合同生效</w:t>
      </w:r>
      <w:bookmarkEnd w:id="722"/>
      <w:bookmarkEnd w:id="723"/>
      <w:bookmarkEnd w:id="724"/>
    </w:p>
    <w:p w14:paraId="66854144">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合同在以下条件全部满足之后生效：</w:t>
      </w:r>
    </w:p>
    <w:p w14:paraId="11E39A1B">
      <w:pPr>
        <w:spacing w:line="360" w:lineRule="auto"/>
        <w:ind w:firstLine="420" w:firstLineChars="200"/>
        <w:rPr>
          <w:rFonts w:ascii="宋体" w:hAnsi="宋体"/>
          <w:color w:val="auto"/>
          <w:szCs w:val="21"/>
          <w:highlight w:val="none"/>
        </w:rPr>
      </w:pPr>
      <w:r>
        <w:rPr>
          <w:rFonts w:hint="eastAsia" w:ascii="宋体" w:hAnsi="宋体"/>
          <w:bCs/>
          <w:color w:val="auto"/>
          <w:szCs w:val="21"/>
          <w:highlight w:val="none"/>
        </w:rPr>
        <w:t>1.合同</w:t>
      </w:r>
      <w:r>
        <w:rPr>
          <w:rFonts w:hint="eastAsia" w:ascii="宋体" w:hAnsi="宋体"/>
          <w:color w:val="auto"/>
          <w:szCs w:val="21"/>
          <w:highlight w:val="none"/>
        </w:rPr>
        <w:t>经双方法定代表人或其委托代理人签字并加盖</w:t>
      </w:r>
      <w:r>
        <w:rPr>
          <w:rFonts w:hint="eastAsia" w:ascii="宋体" w:hAnsi="宋体"/>
          <w:snapToGrid w:val="0"/>
          <w:color w:val="auto"/>
          <w:kern w:val="0"/>
          <w:szCs w:val="21"/>
          <w:highlight w:val="none"/>
        </w:rPr>
        <w:t>公章或合同专用章</w:t>
      </w:r>
      <w:r>
        <w:rPr>
          <w:rFonts w:hint="eastAsia" w:ascii="宋体" w:hAnsi="宋体"/>
          <w:color w:val="auto"/>
          <w:szCs w:val="21"/>
          <w:highlight w:val="none"/>
        </w:rPr>
        <w:t>；</w:t>
      </w:r>
    </w:p>
    <w:p w14:paraId="3906157D">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2.</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24704A9D">
      <w:pPr>
        <w:pStyle w:val="6"/>
        <w:keepNext/>
        <w:keepLines/>
        <w:spacing w:before="120" w:after="120" w:line="360" w:lineRule="auto"/>
        <w:ind w:firstLine="422" w:firstLineChars="200"/>
        <w:jc w:val="both"/>
        <w:rPr>
          <w:color w:val="auto"/>
          <w:kern w:val="2"/>
          <w:sz w:val="21"/>
          <w:szCs w:val="21"/>
          <w:highlight w:val="none"/>
        </w:rPr>
      </w:pPr>
      <w:bookmarkStart w:id="725" w:name="_Toc351203493"/>
      <w:bookmarkStart w:id="726" w:name="_Toc532377178"/>
      <w:bookmarkStart w:id="727" w:name="_Toc532375585"/>
      <w:r>
        <w:rPr>
          <w:rFonts w:hint="eastAsia"/>
          <w:color w:val="auto"/>
          <w:kern w:val="2"/>
          <w:sz w:val="21"/>
          <w:szCs w:val="21"/>
          <w:highlight w:val="none"/>
        </w:rPr>
        <w:t>十三、合同份数</w:t>
      </w:r>
      <w:bookmarkEnd w:id="725"/>
      <w:bookmarkEnd w:id="726"/>
      <w:bookmarkEnd w:id="727"/>
    </w:p>
    <w:p w14:paraId="0BE2ABF4">
      <w:pPr>
        <w:spacing w:line="360" w:lineRule="auto"/>
        <w:ind w:firstLine="420" w:firstLineChars="200"/>
        <w:rPr>
          <w:rFonts w:ascii="宋体" w:hAnsi="宋体"/>
          <w:bCs/>
          <w:color w:val="auto"/>
          <w:szCs w:val="21"/>
          <w:highlight w:val="none"/>
        </w:rPr>
      </w:pPr>
      <w:r>
        <w:rPr>
          <w:rFonts w:hint="eastAsia" w:ascii="宋体" w:hAnsi="宋体" w:cs="Microsoft Sans Serif"/>
          <w:bCs/>
          <w:color w:val="auto"/>
          <w:szCs w:val="21"/>
          <w:highlight w:val="none"/>
        </w:rPr>
        <w:t>合同一式</w:t>
      </w:r>
      <w:r>
        <w:rPr>
          <w:rFonts w:hint="eastAsia" w:ascii="宋体" w:hAnsi="宋体" w:cs="Microsoft Sans Serif"/>
          <w:bCs/>
          <w:color w:val="auto"/>
          <w:szCs w:val="21"/>
          <w:highlight w:val="none"/>
          <w:u w:val="single"/>
        </w:rPr>
        <w:t xml:space="preserve">     </w:t>
      </w:r>
      <w:r>
        <w:rPr>
          <w:rFonts w:hint="eastAsia" w:ascii="宋体" w:hAnsi="宋体" w:cs="Microsoft Sans Serif"/>
          <w:bCs/>
          <w:color w:val="auto"/>
          <w:szCs w:val="21"/>
          <w:highlight w:val="none"/>
        </w:rPr>
        <w:t>份，其中正本</w:t>
      </w:r>
      <w:r>
        <w:rPr>
          <w:rFonts w:hint="eastAsia" w:ascii="宋体" w:hAnsi="宋体" w:cs="Microsoft Sans Serif"/>
          <w:bCs/>
          <w:color w:val="auto"/>
          <w:szCs w:val="21"/>
          <w:highlight w:val="none"/>
          <w:u w:val="single"/>
        </w:rPr>
        <w:t xml:space="preserve">    </w:t>
      </w:r>
      <w:r>
        <w:rPr>
          <w:rFonts w:hint="eastAsia" w:ascii="宋体" w:hAnsi="宋体" w:cs="Microsoft Sans Serif"/>
          <w:bCs/>
          <w:color w:val="auto"/>
          <w:szCs w:val="21"/>
          <w:highlight w:val="none"/>
        </w:rPr>
        <w:t>份，双方各持</w:t>
      </w:r>
      <w:r>
        <w:rPr>
          <w:rFonts w:hint="eastAsia" w:ascii="宋体" w:hAnsi="宋体" w:cs="Microsoft Sans Serif"/>
          <w:bCs/>
          <w:color w:val="auto"/>
          <w:szCs w:val="21"/>
          <w:highlight w:val="none"/>
          <w:u w:val="single"/>
        </w:rPr>
        <w:t xml:space="preserve">    </w:t>
      </w:r>
      <w:r>
        <w:rPr>
          <w:rFonts w:hint="eastAsia" w:ascii="宋体" w:hAnsi="宋体" w:cs="Microsoft Sans Serif"/>
          <w:bCs/>
          <w:color w:val="auto"/>
          <w:szCs w:val="21"/>
          <w:highlight w:val="none"/>
        </w:rPr>
        <w:t>份，副本</w:t>
      </w:r>
      <w:r>
        <w:rPr>
          <w:rFonts w:hint="eastAsia" w:ascii="宋体" w:hAnsi="宋体" w:cs="Microsoft Sans Serif"/>
          <w:bCs/>
          <w:color w:val="auto"/>
          <w:szCs w:val="21"/>
          <w:highlight w:val="none"/>
          <w:u w:val="single"/>
        </w:rPr>
        <w:t xml:space="preserve">    </w:t>
      </w:r>
      <w:r>
        <w:rPr>
          <w:rFonts w:hint="eastAsia" w:ascii="宋体" w:hAnsi="宋体" w:cs="Microsoft Sans Serif"/>
          <w:bCs/>
          <w:color w:val="auto"/>
          <w:szCs w:val="21"/>
          <w:highlight w:val="none"/>
        </w:rPr>
        <w:t>份，双方各执</w:t>
      </w:r>
      <w:r>
        <w:rPr>
          <w:rFonts w:hint="eastAsia" w:ascii="宋体" w:hAnsi="宋体" w:cs="Microsoft Sans Serif"/>
          <w:bCs/>
          <w:color w:val="auto"/>
          <w:szCs w:val="21"/>
          <w:highlight w:val="none"/>
          <w:u w:val="single"/>
        </w:rPr>
        <w:t xml:space="preserve">    </w:t>
      </w:r>
      <w:r>
        <w:rPr>
          <w:rFonts w:hint="eastAsia" w:ascii="宋体" w:hAnsi="宋体" w:cs="Microsoft Sans Serif"/>
          <w:bCs/>
          <w:color w:val="auto"/>
          <w:szCs w:val="21"/>
          <w:highlight w:val="none"/>
        </w:rPr>
        <w:t>份。副本与正本不一致时，以正本为准</w:t>
      </w:r>
      <w:r>
        <w:rPr>
          <w:rFonts w:hint="eastAsia" w:ascii="宋体" w:hAnsi="宋体"/>
          <w:bCs/>
          <w:color w:val="auto"/>
          <w:szCs w:val="21"/>
          <w:highlight w:val="none"/>
        </w:rPr>
        <w:t>。</w:t>
      </w:r>
    </w:p>
    <w:p w14:paraId="5ACE9736">
      <w:pPr>
        <w:spacing w:line="360" w:lineRule="auto"/>
        <w:ind w:firstLine="420" w:firstLineChars="200"/>
        <w:rPr>
          <w:rFonts w:ascii="宋体" w:hAnsi="宋体"/>
          <w:bCs/>
          <w:color w:val="auto"/>
          <w:szCs w:val="21"/>
          <w:highlight w:val="none"/>
        </w:rPr>
      </w:pPr>
    </w:p>
    <w:p w14:paraId="32535FF0">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（以下为签字盖章页）。</w:t>
      </w:r>
    </w:p>
    <w:p w14:paraId="7E11C445">
      <w:pPr>
        <w:pStyle w:val="2"/>
        <w:spacing w:line="360" w:lineRule="auto"/>
        <w:ind w:firstLine="420" w:firstLineChars="200"/>
        <w:rPr>
          <w:rFonts w:ascii="宋体" w:hAnsi="宋体"/>
          <w:color w:val="auto"/>
          <w:szCs w:val="21"/>
          <w:highlight w:val="none"/>
        </w:rPr>
      </w:pPr>
    </w:p>
    <w:p w14:paraId="58421455">
      <w:pPr>
        <w:pStyle w:val="2"/>
        <w:spacing w:line="360" w:lineRule="auto"/>
        <w:ind w:firstLine="420" w:firstLineChars="200"/>
        <w:rPr>
          <w:rFonts w:ascii="宋体" w:hAnsi="宋体"/>
          <w:color w:val="auto"/>
          <w:szCs w:val="21"/>
          <w:highlight w:val="none"/>
        </w:rPr>
      </w:pPr>
    </w:p>
    <w:p w14:paraId="24F38103">
      <w:pPr>
        <w:adjustRightInd w:val="0"/>
        <w:spacing w:line="360" w:lineRule="auto"/>
        <w:ind w:firstLine="420" w:firstLineChars="200"/>
        <w:rPr>
          <w:rFonts w:ascii="宋体" w:hAnsi="宋体"/>
          <w:snapToGrid w:val="0"/>
          <w:color w:val="auto"/>
          <w:kern w:val="0"/>
          <w:szCs w:val="21"/>
          <w:highlight w:val="none"/>
        </w:rPr>
      </w:pPr>
      <w:bookmarkStart w:id="728" w:name="_Toc467689623"/>
      <w:r>
        <w:rPr>
          <w:rFonts w:ascii="宋体" w:hAnsi="宋体"/>
          <w:snapToGrid w:val="0"/>
          <w:color w:val="auto"/>
          <w:kern w:val="0"/>
          <w:szCs w:val="21"/>
          <w:highlight w:val="none"/>
        </w:rPr>
        <w:t>发包人：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（公章</w:t>
      </w:r>
      <w:r>
        <w:rPr>
          <w:rFonts w:hint="eastAsia" w:ascii="宋体" w:hAnsi="宋体"/>
          <w:snapToGrid w:val="0"/>
          <w:color w:val="auto"/>
          <w:kern w:val="0"/>
          <w:szCs w:val="21"/>
          <w:highlight w:val="none"/>
        </w:rPr>
        <w:t>或合同专用章</w:t>
      </w:r>
      <w:r>
        <w:rPr>
          <w:rFonts w:ascii="宋体" w:hAnsi="宋体"/>
          <w:snapToGrid w:val="0"/>
          <w:color w:val="auto"/>
          <w:kern w:val="0"/>
          <w:szCs w:val="21"/>
          <w:highlight w:val="none"/>
        </w:rPr>
        <w:t>）</w:t>
      </w:r>
    </w:p>
    <w:p w14:paraId="7865456C">
      <w:pPr>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（签字）</w:t>
      </w:r>
    </w:p>
    <w:p w14:paraId="7AE9670E">
      <w:pPr>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统一社会信用代码：</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3972E8F6">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纳税人识别号：</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5B2F4E9A">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地    址：</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77FCA003">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电    话：</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23D90936">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开户银行：</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7C2F19B6">
      <w:pPr>
        <w:spacing w:line="360" w:lineRule="auto"/>
        <w:ind w:firstLine="420" w:firstLineChars="200"/>
        <w:rPr>
          <w:rFonts w:ascii="宋体" w:hAnsi="宋体"/>
          <w:color w:val="auto"/>
          <w:szCs w:val="21"/>
          <w:highlight w:val="none"/>
        </w:rPr>
      </w:pPr>
      <w:r>
        <w:rPr>
          <w:rFonts w:hint="eastAsia" w:ascii="宋体" w:hAnsi="宋体"/>
          <w:snapToGrid w:val="0"/>
          <w:color w:val="auto"/>
          <w:kern w:val="0"/>
          <w:szCs w:val="21"/>
          <w:highlight w:val="none"/>
        </w:rPr>
        <w:t>账    号：</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1673EDC8">
      <w:pPr>
        <w:spacing w:line="360" w:lineRule="auto"/>
        <w:rPr>
          <w:rFonts w:ascii="宋体" w:hAnsi="宋体"/>
          <w:snapToGrid w:val="0"/>
          <w:color w:val="auto"/>
          <w:kern w:val="0"/>
          <w:szCs w:val="21"/>
          <w:highlight w:val="none"/>
        </w:rPr>
      </w:pPr>
    </w:p>
    <w:p w14:paraId="41D197A6">
      <w:pPr>
        <w:spacing w:line="360" w:lineRule="auto"/>
        <w:ind w:firstLine="420" w:firstLineChars="200"/>
        <w:rPr>
          <w:rFonts w:ascii="宋体" w:hAnsi="宋体"/>
          <w:color w:val="auto"/>
          <w:szCs w:val="21"/>
          <w:highlight w:val="none"/>
        </w:rPr>
      </w:pPr>
      <w:r>
        <w:rPr>
          <w:rFonts w:ascii="宋体" w:hAnsi="宋体"/>
          <w:snapToGrid w:val="0"/>
          <w:color w:val="auto"/>
          <w:kern w:val="0"/>
          <w:szCs w:val="21"/>
          <w:highlight w:val="none"/>
        </w:rPr>
        <w:t>承包人：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（公章</w:t>
      </w:r>
      <w:r>
        <w:rPr>
          <w:rFonts w:hint="eastAsia" w:ascii="宋体" w:hAnsi="宋体"/>
          <w:snapToGrid w:val="0"/>
          <w:color w:val="auto"/>
          <w:kern w:val="0"/>
          <w:szCs w:val="21"/>
          <w:highlight w:val="none"/>
        </w:rPr>
        <w:t>或合同专用章</w:t>
      </w:r>
      <w:r>
        <w:rPr>
          <w:rFonts w:ascii="宋体" w:hAnsi="宋体"/>
          <w:snapToGrid w:val="0"/>
          <w:color w:val="auto"/>
          <w:kern w:val="0"/>
          <w:szCs w:val="21"/>
          <w:highlight w:val="none"/>
        </w:rPr>
        <w:t>）</w:t>
      </w:r>
    </w:p>
    <w:p w14:paraId="5D16B7A4">
      <w:pPr>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（签字）</w:t>
      </w:r>
    </w:p>
    <w:p w14:paraId="2B1582CC">
      <w:pPr>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统一社会信用代码：</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41DA32B0">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纳税人识别号：</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75C0C77A">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地    址：</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21FDD408">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电    话：</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09BF52AA">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开户银行：</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57FC5592">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账    号：</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02F08752">
      <w:pPr>
        <w:pStyle w:val="2"/>
        <w:spacing w:line="360" w:lineRule="auto"/>
        <w:rPr>
          <w:rFonts w:ascii="宋体" w:hAnsi="宋体"/>
          <w:color w:val="auto"/>
          <w:szCs w:val="21"/>
          <w:highlight w:val="none"/>
        </w:rPr>
      </w:pPr>
    </w:p>
    <w:p w14:paraId="49CB3BA2">
      <w:pPr>
        <w:spacing w:line="360" w:lineRule="auto"/>
        <w:jc w:val="right"/>
        <w:rPr>
          <w:rFonts w:hint="eastAsia" w:ascii="宋体" w:hAnsi="宋体"/>
          <w:snapToGrid w:val="0"/>
          <w:color w:val="auto"/>
          <w:kern w:val="0"/>
          <w:szCs w:val="21"/>
          <w:highlight w:val="none"/>
        </w:rPr>
      </w:pPr>
    </w:p>
    <w:p w14:paraId="724020B4">
      <w:pPr>
        <w:spacing w:line="360" w:lineRule="auto"/>
        <w:jc w:val="right"/>
        <w:rPr>
          <w:rFonts w:hint="eastAsia" w:ascii="宋体" w:hAnsi="宋体"/>
          <w:snapToGrid w:val="0"/>
          <w:color w:val="auto"/>
          <w:kern w:val="0"/>
          <w:szCs w:val="21"/>
          <w:highlight w:val="none"/>
        </w:rPr>
      </w:pPr>
    </w:p>
    <w:p w14:paraId="1A989D00">
      <w:pPr>
        <w:spacing w:line="360" w:lineRule="auto"/>
        <w:jc w:val="right"/>
        <w:rPr>
          <w:rFonts w:ascii="宋体" w:hAnsi="宋体"/>
          <w:snapToGrid w:val="0"/>
          <w:color w:val="auto"/>
          <w:kern w:val="0"/>
          <w:szCs w:val="21"/>
          <w:highlight w:val="none"/>
        </w:rPr>
      </w:pPr>
      <w:r>
        <w:rPr>
          <w:rFonts w:hint="eastAsia" w:ascii="宋体" w:hAnsi="宋体"/>
          <w:snapToGrid w:val="0"/>
          <w:color w:val="auto"/>
          <w:kern w:val="0"/>
          <w:szCs w:val="21"/>
          <w:highlight w:val="none"/>
        </w:rPr>
        <w:t>签约时间：</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日</w:t>
      </w:r>
      <w:bookmarkEnd w:id="728"/>
    </w:p>
    <w:p w14:paraId="1A23381E">
      <w:pPr>
        <w:pStyle w:val="5"/>
        <w:jc w:val="center"/>
        <w:rPr>
          <w:rFonts w:ascii="宋体" w:hAnsi="宋体"/>
          <w:bCs w:val="0"/>
          <w:color w:val="auto"/>
          <w:sz w:val="21"/>
          <w:szCs w:val="21"/>
          <w:highlight w:val="none"/>
        </w:rPr>
      </w:pPr>
      <w:r>
        <w:rPr>
          <w:rFonts w:hint="eastAsia" w:ascii="宋体" w:hAnsi="宋体"/>
          <w:b w:val="0"/>
          <w:snapToGrid w:val="0"/>
          <w:color w:val="auto"/>
          <w:sz w:val="21"/>
          <w:szCs w:val="21"/>
          <w:highlight w:val="none"/>
          <w:lang w:val="zh-CN"/>
        </w:rPr>
        <w:br w:type="page"/>
      </w:r>
      <w:bookmarkStart w:id="729" w:name="_Toc532377179"/>
      <w:bookmarkStart w:id="730" w:name="_Toc57820638"/>
      <w:bookmarkStart w:id="731" w:name="_Toc529388289"/>
      <w:bookmarkStart w:id="732" w:name="_Toc532375586"/>
      <w:r>
        <w:rPr>
          <w:rFonts w:hint="eastAsia" w:ascii="宋体" w:hAnsi="宋体"/>
          <w:color w:val="auto"/>
          <w:sz w:val="44"/>
          <w:szCs w:val="44"/>
          <w:highlight w:val="none"/>
        </w:rPr>
        <w:t>第二部分 通用合同条款</w:t>
      </w:r>
      <w:bookmarkEnd w:id="729"/>
      <w:bookmarkEnd w:id="730"/>
      <w:bookmarkEnd w:id="731"/>
      <w:bookmarkEnd w:id="732"/>
    </w:p>
    <w:p w14:paraId="5CB8B020">
      <w:pPr>
        <w:pStyle w:val="6"/>
        <w:keepNext/>
        <w:keepLines/>
        <w:spacing w:before="156" w:beforeLines="50" w:beforeAutospacing="0" w:after="156" w:afterLines="50" w:afterAutospacing="0" w:line="360" w:lineRule="auto"/>
        <w:jc w:val="both"/>
        <w:rPr>
          <w:color w:val="auto"/>
          <w:kern w:val="2"/>
          <w:sz w:val="21"/>
          <w:szCs w:val="21"/>
          <w:highlight w:val="none"/>
        </w:rPr>
      </w:pPr>
      <w:bookmarkStart w:id="733" w:name="_Toc351203495"/>
      <w:bookmarkStart w:id="734" w:name="_Toc532375587"/>
      <w:bookmarkStart w:id="735" w:name="_Toc532377180"/>
      <w:r>
        <w:rPr>
          <w:rFonts w:hint="eastAsia"/>
          <w:color w:val="auto"/>
          <w:kern w:val="2"/>
          <w:sz w:val="21"/>
          <w:szCs w:val="21"/>
          <w:highlight w:val="none"/>
        </w:rPr>
        <w:t>1.</w:t>
      </w:r>
      <w:bookmarkStart w:id="736" w:name="_Toc303538976"/>
      <w:bookmarkEnd w:id="736"/>
      <w:bookmarkStart w:id="737" w:name="_Toc303538974"/>
      <w:bookmarkEnd w:id="737"/>
      <w:bookmarkStart w:id="738" w:name="_Toc303538973"/>
      <w:bookmarkEnd w:id="738"/>
      <w:bookmarkStart w:id="739" w:name="_Toc303538975"/>
      <w:bookmarkEnd w:id="739"/>
      <w:bookmarkStart w:id="740" w:name="_Toc303538972"/>
      <w:bookmarkEnd w:id="740"/>
      <w:bookmarkStart w:id="741" w:name="_Toc296503027"/>
      <w:bookmarkStart w:id="742" w:name="_Toc296346528"/>
      <w:r>
        <w:rPr>
          <w:rFonts w:hint="eastAsia"/>
          <w:color w:val="auto"/>
          <w:kern w:val="2"/>
          <w:sz w:val="21"/>
          <w:szCs w:val="21"/>
          <w:highlight w:val="none"/>
        </w:rPr>
        <w:t>一般约定</w:t>
      </w:r>
      <w:bookmarkEnd w:id="733"/>
      <w:bookmarkEnd w:id="734"/>
      <w:bookmarkEnd w:id="735"/>
      <w:bookmarkEnd w:id="741"/>
      <w:bookmarkEnd w:id="742"/>
    </w:p>
    <w:p w14:paraId="07EFB93E">
      <w:pPr>
        <w:pStyle w:val="7"/>
        <w:spacing w:before="0" w:beforeAutospacing="0" w:after="0" w:afterAutospacing="0" w:line="360" w:lineRule="auto"/>
        <w:ind w:firstLine="422" w:firstLineChars="200"/>
        <w:rPr>
          <w:color w:val="auto"/>
          <w:sz w:val="21"/>
          <w:szCs w:val="21"/>
          <w:highlight w:val="none"/>
        </w:rPr>
      </w:pPr>
      <w:bookmarkStart w:id="743" w:name="_Toc337558728"/>
      <w:bookmarkStart w:id="744" w:name="_Toc296346529"/>
      <w:bookmarkStart w:id="745" w:name="_Toc296503028"/>
      <w:bookmarkStart w:id="746" w:name="_Toc532377181"/>
      <w:bookmarkStart w:id="747" w:name="_Toc351203496"/>
      <w:r>
        <w:rPr>
          <w:rFonts w:hint="eastAsia"/>
          <w:color w:val="auto"/>
          <w:sz w:val="21"/>
          <w:szCs w:val="21"/>
          <w:highlight w:val="none"/>
        </w:rPr>
        <w:t>1.1词语定义</w:t>
      </w:r>
      <w:bookmarkEnd w:id="743"/>
      <w:bookmarkEnd w:id="744"/>
      <w:bookmarkEnd w:id="745"/>
      <w:r>
        <w:rPr>
          <w:rFonts w:hint="eastAsia"/>
          <w:color w:val="auto"/>
          <w:sz w:val="21"/>
          <w:szCs w:val="21"/>
          <w:highlight w:val="none"/>
        </w:rPr>
        <w:t>与解释</w:t>
      </w:r>
      <w:bookmarkEnd w:id="746"/>
      <w:bookmarkEnd w:id="747"/>
    </w:p>
    <w:p w14:paraId="4248382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合同协议书、通用合同条款、专用合同条款中的下列词语具有本款所赋予的含义：</w:t>
      </w:r>
    </w:p>
    <w:p w14:paraId="54356CCE">
      <w:pPr>
        <w:pStyle w:val="7"/>
        <w:spacing w:before="0" w:beforeAutospacing="0" w:after="0" w:afterAutospacing="0" w:line="360" w:lineRule="auto"/>
        <w:ind w:firstLine="420" w:firstLineChars="200"/>
        <w:rPr>
          <w:b w:val="0"/>
          <w:bCs w:val="0"/>
          <w:color w:val="auto"/>
          <w:sz w:val="21"/>
          <w:szCs w:val="21"/>
          <w:highlight w:val="none"/>
        </w:rPr>
      </w:pPr>
      <w:bookmarkStart w:id="748" w:name="_Toc532377182"/>
      <w:r>
        <w:rPr>
          <w:rFonts w:hint="eastAsia"/>
          <w:b w:val="0"/>
          <w:bCs w:val="0"/>
          <w:color w:val="auto"/>
          <w:sz w:val="21"/>
          <w:szCs w:val="21"/>
          <w:highlight w:val="none"/>
        </w:rPr>
        <w:t>1.1.1 合同</w:t>
      </w:r>
      <w:bookmarkEnd w:id="748"/>
    </w:p>
    <w:p w14:paraId="3B27AC3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1.1.1.1 合同：是指根据法律规定和合同当事人约定具有约束力的文件，构成合同的文件包括合同协议书、中标通知书（如有）、投标函及其附录（如有）、专用合同条款</w:t>
      </w:r>
      <w:r>
        <w:rPr>
          <w:rFonts w:hint="eastAsia" w:ascii="宋体" w:hAnsi="宋体"/>
          <w:color w:val="auto"/>
          <w:szCs w:val="21"/>
          <w:highlight w:val="none"/>
        </w:rPr>
        <w:t>及其附件</w:t>
      </w:r>
      <w:r>
        <w:rPr>
          <w:rFonts w:hint="eastAsia" w:ascii="宋体" w:hAnsi="宋体"/>
          <w:color w:val="auto"/>
          <w:kern w:val="0"/>
          <w:szCs w:val="21"/>
          <w:highlight w:val="none"/>
        </w:rPr>
        <w:t>、通用合同条款、技术标准和要求、图纸、已标价工程量清单或预算书以及其他合同文件。</w:t>
      </w:r>
    </w:p>
    <w:p w14:paraId="6761222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1.1.1.2 合同协议书：是指构成合同的由发包人和承包人共同签署的称为“合同协议书”的书面文件。</w:t>
      </w:r>
    </w:p>
    <w:p w14:paraId="6F48EF0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1.1.1.3 中标通知书：是指构成合同的由发包人通知承包人中标的书面文件。</w:t>
      </w:r>
    </w:p>
    <w:p w14:paraId="5BB01CA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1.1.1.4 投标函：是指构成合同的由承包人填写并签署的用于投标的称为“投标函”的文件。</w:t>
      </w:r>
    </w:p>
    <w:p w14:paraId="6332CA9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1.1.1.5 投标函附录：是指构成合同的附在投标函后的称为“投标函附录”的文件。</w:t>
      </w:r>
    </w:p>
    <w:p w14:paraId="37952E6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1.1.1.6 技术标准和要求：是指构成合同的施工应当遵守的或指导施工的国家、行业或地方的技术标准和要求，以及合同约定的技术标准和要求。</w:t>
      </w:r>
    </w:p>
    <w:p w14:paraId="0D54AE8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1.1.1.7 图纸：是指构成合同的图纸，包括由发包人按照合同约定提供或经发包人批准的设计文件、施工图、鸟瞰图及模型等，以及在合同履行过程中形成的图纸文件。图纸应当按照法律规定审查合格。</w:t>
      </w:r>
    </w:p>
    <w:p w14:paraId="05D93DE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1.1.1.8 已标价工程量清单：是指构成合同的由承包人按照规定的格式和要求填写并标明价格的工程量清单，包括说明和表格。</w:t>
      </w:r>
    </w:p>
    <w:p w14:paraId="5E6228E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1.1.1.9 预算书：是指构成合同的由承包人按照发包人规定的格式和要求编制的工程预算文件。</w:t>
      </w:r>
    </w:p>
    <w:p w14:paraId="00E76E4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1.1.1.10 其他合同文件：是指经合同当事人约定的与工程施工有关的具有合同约束力的文件或书面协议。合同当事人可以在专用合同条款中进行约定。</w:t>
      </w:r>
    </w:p>
    <w:p w14:paraId="6964839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 合同当事人及其他相关方</w:t>
      </w:r>
    </w:p>
    <w:p w14:paraId="0B2AA80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1.1.2.1 合同当事人：是指发包人和（或）承包人。</w:t>
      </w:r>
    </w:p>
    <w:p w14:paraId="52727D6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1.1.2.2 发包人：是指与承包人签订合同协议书的当事人及取得该当事人资格的合法继承人。</w:t>
      </w:r>
    </w:p>
    <w:p w14:paraId="5F921F0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1.1.2.3 承包人：是指与发包人签订合同协议书的，具有相应工程施工承包资质的当事人及取得该当事人资格的合法继承人。</w:t>
      </w:r>
    </w:p>
    <w:p w14:paraId="214E16F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1.1.2.4 监理人：是指在专用合同条款中指明的，受发包人委托按照法律规定进行工程监督管理的法人或其他组织。</w:t>
      </w:r>
    </w:p>
    <w:p w14:paraId="1AA02F5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1.1.2.5 设计人：是指在专用合同条款中指明的，受发包人委托负责工程设计并具备相应工程设计资质的法人或其他组织。</w:t>
      </w:r>
    </w:p>
    <w:p w14:paraId="2F2BCB7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1.1.2.6 分包人：</w:t>
      </w:r>
      <w:bookmarkStart w:id="749" w:name="#go5"/>
      <w:bookmarkEnd w:id="749"/>
      <w:r>
        <w:rPr>
          <w:rFonts w:hint="eastAsia" w:ascii="宋体" w:hAnsi="宋体"/>
          <w:color w:val="auto"/>
          <w:kern w:val="0"/>
          <w:szCs w:val="21"/>
          <w:highlight w:val="none"/>
        </w:rPr>
        <w:t>是指按照法律规定和合同约定，分包部分工程或工作，并与承包人签订分包合同的具有相应资质的法人。</w:t>
      </w:r>
    </w:p>
    <w:p w14:paraId="755381C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1.1.2.7 发包人代表：是指由发包人任命并派驻施工现场在发包人授权范围内行使发包人权利的人。</w:t>
      </w:r>
    </w:p>
    <w:p w14:paraId="1A38597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1.1.2.8 项目经理：是指由承包人任命并派驻施工现场，在承包人授权范围内负责合同履行，且按照法律规定具有相应资格的项目负责人。</w:t>
      </w:r>
    </w:p>
    <w:p w14:paraId="6668F70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1.1.2.9 总监理工程师：是指由监理人任命并派驻施工现场进行工程监理的总负责人。</w:t>
      </w:r>
    </w:p>
    <w:p w14:paraId="15E54AA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 工程和设备</w:t>
      </w:r>
    </w:p>
    <w:p w14:paraId="3C19600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1.1.3.1 工程：是指与合同协议书中工程承包范围对应的永久工程和（或）临时工程。</w:t>
      </w:r>
    </w:p>
    <w:p w14:paraId="7FE3618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1.1.3.2 永久工程：是指按合同约定建造并移交给发包人的工程，包括工程设备。</w:t>
      </w:r>
    </w:p>
    <w:p w14:paraId="40C57B3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1.1.3.3 临时工程：是指为完成合同约定的永久工程所修建的各类临时性工程，不包括施工设备。</w:t>
      </w:r>
    </w:p>
    <w:p w14:paraId="07BAFE8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1.1.3.4 单位工程：是指在合同协议书中指明的，具备独立施工条件并能形成独立使用功能的永久工程。</w:t>
      </w:r>
    </w:p>
    <w:p w14:paraId="03F738A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1.1.3.5 工程设备：是指构成永久工程的机电设备、金属结构设备、仪器及其他类似的设备和装置。</w:t>
      </w:r>
    </w:p>
    <w:p w14:paraId="334C786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1.1.3.6 施工设备：是指为完成合同约定的各项工作所需的设备、器具和其他物品，但不包括工程设备、临时工程和材料。</w:t>
      </w:r>
    </w:p>
    <w:p w14:paraId="2BE8F40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1.1.3.7 施工现场：是指用于工程施工的场所，以及在专用合同条款中指明作为施工场所组成部分的其他场所，包括永久占地和临时占地。</w:t>
      </w:r>
    </w:p>
    <w:p w14:paraId="3EAD8A3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1.1.3.8临时设施：是指为完成合同约定的各项工作所服务的临时性生产和生活设施。</w:t>
      </w:r>
    </w:p>
    <w:p w14:paraId="1321932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1.1.3.9 永久占地：是指专用合同条款中指明为实施工程需永久占用的土地。</w:t>
      </w:r>
    </w:p>
    <w:p w14:paraId="26BB815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1.1.3.10 临时占地：是指专用合同条款中指明为实施工程需要临时占用的土地。</w:t>
      </w:r>
    </w:p>
    <w:p w14:paraId="545A492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1.1.4 日期和期限</w:t>
      </w:r>
    </w:p>
    <w:p w14:paraId="06547A6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74C265B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1.1.4.2 竣工日期：包括计划竣工日期和实际竣工日期。计划竣工日期是指合同协议书约定的竣工日期；实际竣工日期按照第13.2.3项〔竣工日期〕的约定确定。 </w:t>
      </w:r>
    </w:p>
    <w:p w14:paraId="1261C464">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1.1.4.3 工期：是指在合同协议书约定的承包人完成工程所需的期限，包括按照合同约定所作的期限变更。</w:t>
      </w:r>
    </w:p>
    <w:p w14:paraId="48946C8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1.1.4.4 缺陷责任期：是指承包人按照合同约定承担缺陷修复义务，且发包人预留质量保证金（已缴纳履约保证金的除外）的期限，自工程实际竣工日期起计算。</w:t>
      </w:r>
    </w:p>
    <w:p w14:paraId="7929313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1.1.4.5 保修期：是指承包人按照合同约定对工程承担保修责任的期限，从工程竣工验收合格之日起计算。</w:t>
      </w:r>
    </w:p>
    <w:p w14:paraId="431B1F9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1.1.4.6 基准日期：招标发包的工程以投标截止日前28天的日期为基准日期，直接发包的工程以合同签订日前28天的日期为基准日期。</w:t>
      </w:r>
    </w:p>
    <w:p w14:paraId="32BDD08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1.1.4.7 天：除特别指明外，均指日历天。合同中按天计算时间的，开始当天不计入，从次日开始计算，期限最后一天的截止时间为当天24：00时。</w:t>
      </w:r>
    </w:p>
    <w:p w14:paraId="7FEF4C0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1.1.5 合同价格和费用</w:t>
      </w:r>
    </w:p>
    <w:p w14:paraId="1FE3687D">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1.1.5.1 签约合同价：是指</w:t>
      </w:r>
      <w:r>
        <w:rPr>
          <w:rFonts w:hint="eastAsia" w:ascii="宋体" w:hAnsi="宋体"/>
          <w:color w:val="auto"/>
          <w:szCs w:val="21"/>
          <w:highlight w:val="none"/>
        </w:rPr>
        <w:t>发包人和承包人在合同协议书中确定的总金额，包括安全文明施工费、暂估价及暂列金额等。</w:t>
      </w:r>
    </w:p>
    <w:p w14:paraId="608CD6C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1.1.5.2 合同价格：是指发包人用于支付承包人按照合同约定完成承包范围内全部工作的金额，包括合同履行过程中按合同约定发生的价格变化。</w:t>
      </w:r>
    </w:p>
    <w:p w14:paraId="3A4226F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1.1.5.3 费用：是指为履行合同所发生的或将要发生的所有必需的开支，包括管理费和应分摊的其他费用，但不包括利润。</w:t>
      </w:r>
    </w:p>
    <w:p w14:paraId="39F413E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1.1.5.4 暂估价：是指发包人在工程量清单或预算书中提供的用于支付必然发生但暂时不能确定价格的材料、工程设备的单价、专业工程以及服务工作的金额。</w:t>
      </w:r>
    </w:p>
    <w:p w14:paraId="04CA2EF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0C37549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1.1.5.6 计日工：是指合同履行过程中，承包人完成发包人提出的零星工作或需要采用计日工计价的变更工作时，按合同中约定的单价计价的一种方式。</w:t>
      </w:r>
    </w:p>
    <w:p w14:paraId="03A0A747">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1.1.5.7 质量保证金</w:t>
      </w:r>
      <w:bookmarkStart w:id="750" w:name="#go2"/>
      <w:bookmarkEnd w:id="750"/>
      <w:r>
        <w:rPr>
          <w:rFonts w:hint="eastAsia" w:ascii="宋体" w:hAnsi="宋体"/>
          <w:color w:val="auto"/>
          <w:kern w:val="0"/>
          <w:szCs w:val="21"/>
          <w:highlight w:val="none"/>
        </w:rPr>
        <w:t>：是指按照第15.3款〔质量保证金〕约定承包人用于保证其在缺陷责任期内履行缺陷修补义务的担保</w:t>
      </w:r>
      <w:r>
        <w:rPr>
          <w:rFonts w:hint="eastAsia" w:ascii="宋体" w:hAnsi="宋体"/>
          <w:color w:val="auto"/>
          <w:szCs w:val="21"/>
          <w:highlight w:val="none"/>
        </w:rPr>
        <w:t>。</w:t>
      </w:r>
    </w:p>
    <w:p w14:paraId="122CCC8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1.1.5.8 总价项目：是指在现行国家、行业以及地方的计量规则中无工程量计算规则，在已标价工程量清单或预算书中以总价或以费率形式计算的项目。</w:t>
      </w:r>
    </w:p>
    <w:p w14:paraId="397D913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1.1.6 其他</w:t>
      </w:r>
    </w:p>
    <w:p w14:paraId="2DC846D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1.1.6.1 书面形式：是指合同文件、信函、电报、传真等可以有形地表现所载内容的形式。</w:t>
      </w:r>
    </w:p>
    <w:p w14:paraId="47C614C5">
      <w:pPr>
        <w:pStyle w:val="7"/>
        <w:spacing w:before="0" w:beforeAutospacing="0" w:after="0" w:afterAutospacing="0" w:line="360" w:lineRule="auto"/>
        <w:ind w:firstLine="422" w:firstLineChars="200"/>
        <w:rPr>
          <w:color w:val="auto"/>
          <w:sz w:val="21"/>
          <w:szCs w:val="21"/>
          <w:highlight w:val="none"/>
        </w:rPr>
      </w:pPr>
      <w:bookmarkStart w:id="751" w:name="_Toc532377183"/>
      <w:r>
        <w:rPr>
          <w:rFonts w:hint="eastAsia"/>
          <w:color w:val="auto"/>
          <w:sz w:val="21"/>
          <w:szCs w:val="21"/>
          <w:highlight w:val="none"/>
        </w:rPr>
        <w:t>1.2 语言文字</w:t>
      </w:r>
      <w:bookmarkEnd w:id="751"/>
    </w:p>
    <w:p w14:paraId="5124C11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合同以中国的汉语简体文字编写、解释和说明。合同当事人在专用合同条款中约定使用两种以上语言时，汉语为优先解释和说明合同的语言。</w:t>
      </w:r>
    </w:p>
    <w:p w14:paraId="09851823">
      <w:pPr>
        <w:pStyle w:val="7"/>
        <w:spacing w:before="0" w:beforeAutospacing="0" w:after="0" w:afterAutospacing="0" w:line="360" w:lineRule="auto"/>
        <w:ind w:firstLine="422" w:firstLineChars="200"/>
        <w:rPr>
          <w:color w:val="auto"/>
          <w:sz w:val="21"/>
          <w:szCs w:val="21"/>
          <w:highlight w:val="none"/>
        </w:rPr>
      </w:pPr>
      <w:bookmarkStart w:id="752" w:name="_Toc337558730"/>
      <w:bookmarkStart w:id="753" w:name="_Toc296503030"/>
      <w:bookmarkStart w:id="754" w:name="_Toc351203498"/>
      <w:bookmarkStart w:id="755" w:name="_Toc532377184"/>
      <w:bookmarkStart w:id="756" w:name="_Toc296346531"/>
      <w:r>
        <w:rPr>
          <w:rFonts w:hint="eastAsia"/>
          <w:color w:val="auto"/>
          <w:sz w:val="21"/>
          <w:szCs w:val="21"/>
          <w:highlight w:val="none"/>
        </w:rPr>
        <w:t>1.3法律</w:t>
      </w:r>
      <w:bookmarkEnd w:id="752"/>
      <w:bookmarkEnd w:id="753"/>
      <w:bookmarkEnd w:id="754"/>
      <w:bookmarkEnd w:id="755"/>
      <w:bookmarkEnd w:id="756"/>
    </w:p>
    <w:p w14:paraId="0A1121B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合同所称法律是指中华人民共和国法律、行政法规、部门规章，以及工程所在地的地方性法规、自治条例、单行条例和地方政府规章等。</w:t>
      </w:r>
    </w:p>
    <w:p w14:paraId="2F8B729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合同当事人可以在专用合同条款中约定合同适用的其他规范性文件。</w:t>
      </w:r>
    </w:p>
    <w:p w14:paraId="060D8378">
      <w:pPr>
        <w:pStyle w:val="7"/>
        <w:spacing w:before="0" w:beforeAutospacing="0" w:after="0" w:afterAutospacing="0" w:line="360" w:lineRule="auto"/>
        <w:ind w:firstLine="422" w:firstLineChars="200"/>
        <w:rPr>
          <w:color w:val="auto"/>
          <w:sz w:val="21"/>
          <w:szCs w:val="21"/>
          <w:highlight w:val="none"/>
        </w:rPr>
      </w:pPr>
      <w:bookmarkStart w:id="757" w:name="_Toc351203499"/>
      <w:bookmarkStart w:id="758" w:name="_Toc532377185"/>
      <w:r>
        <w:rPr>
          <w:rFonts w:hint="eastAsia"/>
          <w:color w:val="auto"/>
          <w:sz w:val="21"/>
          <w:szCs w:val="21"/>
          <w:highlight w:val="none"/>
        </w:rPr>
        <w:t>1.4 标准和规范</w:t>
      </w:r>
      <w:bookmarkEnd w:id="757"/>
      <w:bookmarkEnd w:id="758"/>
    </w:p>
    <w:p w14:paraId="5662E74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1.4.1 适用于工程的国家标准、行业标准、工程所在地的地方性标准，以及相应的规范、规程等，合同当事人有特别要求的，应在专用合同条款中约定。</w:t>
      </w:r>
    </w:p>
    <w:p w14:paraId="782D228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1.4.2 发包人要求使用国外标准、规范的，发包人负责提供原文版本和中文译本，并在专用合同条款中约定提供标准规范的名称、份数和时间。</w:t>
      </w:r>
    </w:p>
    <w:p w14:paraId="539434D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5B4F3087">
      <w:pPr>
        <w:pStyle w:val="7"/>
        <w:spacing w:before="0" w:beforeAutospacing="0" w:after="0" w:afterAutospacing="0" w:line="360" w:lineRule="auto"/>
        <w:ind w:firstLine="422" w:firstLineChars="200"/>
        <w:rPr>
          <w:color w:val="auto"/>
          <w:sz w:val="21"/>
          <w:szCs w:val="21"/>
          <w:highlight w:val="none"/>
        </w:rPr>
      </w:pPr>
      <w:bookmarkStart w:id="759" w:name="_Toc351203500"/>
      <w:bookmarkStart w:id="760" w:name="_Toc532377186"/>
      <w:r>
        <w:rPr>
          <w:rFonts w:hint="eastAsia"/>
          <w:color w:val="auto"/>
          <w:sz w:val="21"/>
          <w:szCs w:val="21"/>
          <w:highlight w:val="none"/>
        </w:rPr>
        <w:t>1</w:t>
      </w:r>
      <w:bookmarkStart w:id="761" w:name="_Toc337558731"/>
      <w:bookmarkStart w:id="762" w:name="_Toc296503031"/>
      <w:bookmarkStart w:id="763" w:name="_Toc296346532"/>
      <w:r>
        <w:rPr>
          <w:rFonts w:hint="eastAsia"/>
          <w:color w:val="auto"/>
          <w:sz w:val="21"/>
          <w:szCs w:val="21"/>
          <w:highlight w:val="none"/>
        </w:rPr>
        <w:t>.5 合同文件的优先顺序</w:t>
      </w:r>
      <w:bookmarkEnd w:id="759"/>
      <w:bookmarkEnd w:id="760"/>
    </w:p>
    <w:bookmarkEnd w:id="761"/>
    <w:bookmarkEnd w:id="762"/>
    <w:bookmarkEnd w:id="763"/>
    <w:p w14:paraId="6A5C025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组成合同的各项文件应互相解释，互为说明。除专用合同条款另有约定外，解释合同文件的优先顺序如下：</w:t>
      </w:r>
    </w:p>
    <w:p w14:paraId="09BC504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（1）合同协议书；</w:t>
      </w:r>
    </w:p>
    <w:p w14:paraId="43A5885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（2）中标通知书（如有）；</w:t>
      </w:r>
    </w:p>
    <w:p w14:paraId="728EC8F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（3）投标函及其附录（如有）；</w:t>
      </w:r>
    </w:p>
    <w:p w14:paraId="5A4B989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（4）专用合同条款及其附件；</w:t>
      </w:r>
    </w:p>
    <w:p w14:paraId="376DD4E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（5）通用合同条款；</w:t>
      </w:r>
    </w:p>
    <w:p w14:paraId="0E4C681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（6）技术标准和要求；</w:t>
      </w:r>
    </w:p>
    <w:p w14:paraId="4D30AAA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（7）图纸；</w:t>
      </w:r>
    </w:p>
    <w:p w14:paraId="4F919FB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（8）已标价工程量清单或预算书；</w:t>
      </w:r>
    </w:p>
    <w:p w14:paraId="06C6786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（9）其他合同文件。</w:t>
      </w:r>
    </w:p>
    <w:p w14:paraId="0D14AFC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上述各项合同文件包括合同当事人就该项合同文件所作出的补充和修改，属于同一类内容的文件，应以最新签署的为准。</w:t>
      </w:r>
    </w:p>
    <w:p w14:paraId="5ED6720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在合同订立及履行过程中形成的与合同有关的文件均构成合同文件组成部分，并根据其性质确定优先解释顺序。</w:t>
      </w:r>
    </w:p>
    <w:p w14:paraId="352684A1">
      <w:pPr>
        <w:pStyle w:val="7"/>
        <w:spacing w:before="0" w:beforeAutospacing="0" w:after="0" w:afterAutospacing="0" w:line="360" w:lineRule="auto"/>
        <w:ind w:firstLine="422" w:firstLineChars="200"/>
        <w:rPr>
          <w:color w:val="auto"/>
          <w:sz w:val="21"/>
          <w:szCs w:val="21"/>
          <w:highlight w:val="none"/>
        </w:rPr>
      </w:pPr>
      <w:bookmarkStart w:id="764" w:name="_Toc532377187"/>
      <w:bookmarkStart w:id="765" w:name="_Toc351203501"/>
      <w:r>
        <w:rPr>
          <w:rFonts w:hint="eastAsia"/>
          <w:color w:val="auto"/>
          <w:sz w:val="21"/>
          <w:szCs w:val="21"/>
          <w:highlight w:val="none"/>
        </w:rPr>
        <w:t>1</w:t>
      </w:r>
      <w:bookmarkStart w:id="766" w:name="_Toc337558732"/>
      <w:bookmarkStart w:id="767" w:name="_Toc296346533"/>
      <w:bookmarkStart w:id="768" w:name="_Toc296503032"/>
      <w:r>
        <w:rPr>
          <w:rFonts w:hint="eastAsia"/>
          <w:color w:val="auto"/>
          <w:sz w:val="21"/>
          <w:szCs w:val="21"/>
          <w:highlight w:val="none"/>
        </w:rPr>
        <w:t>.6图纸和承包人文件</w:t>
      </w:r>
      <w:bookmarkEnd w:id="764"/>
      <w:bookmarkEnd w:id="765"/>
    </w:p>
    <w:bookmarkEnd w:id="766"/>
    <w:bookmarkEnd w:id="767"/>
    <w:bookmarkEnd w:id="768"/>
    <w:p w14:paraId="78FD877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1.6.1 图纸的提供和交底</w:t>
      </w:r>
    </w:p>
    <w:p w14:paraId="292DC78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7C9E403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因发包人未按合同约定提供图纸导致承包人费用增加和（或）工期延误的，按照第7.5.1项〔因发包人原因导致工期延误〕约定办理。</w:t>
      </w:r>
    </w:p>
    <w:p w14:paraId="332287D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1.6.2 图纸的错误</w:t>
      </w:r>
    </w:p>
    <w:p w14:paraId="44B24C1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2AF87D8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1.6.3 图纸的修改和补充</w:t>
      </w:r>
    </w:p>
    <w:p w14:paraId="32DA6C5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6856DC2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1.6.4 承包人文件</w:t>
      </w:r>
    </w:p>
    <w:p w14:paraId="1E86FCE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承包人应按照专用合同条款的约定提供应当由其编制的与工程施工有关的文件，并按照专用合同条款约定的期限、数量和形式提交监理人，并由监理人报送发包人。</w:t>
      </w:r>
    </w:p>
    <w:p w14:paraId="25FF4C0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6820F7B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1.6.5 图纸和承包人文件的保管</w:t>
      </w:r>
    </w:p>
    <w:p w14:paraId="6258C12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除专用合同条款另有约定外，承包人应在施工现场另外保存一套完整的图纸和承包人文件，供发包人、监理人及有关人员进行工程检查时使用。</w:t>
      </w:r>
    </w:p>
    <w:p w14:paraId="6681B0A2">
      <w:pPr>
        <w:pStyle w:val="7"/>
        <w:spacing w:before="0" w:beforeAutospacing="0" w:after="0" w:afterAutospacing="0" w:line="360" w:lineRule="auto"/>
        <w:ind w:firstLine="422" w:firstLineChars="200"/>
        <w:rPr>
          <w:color w:val="auto"/>
          <w:sz w:val="21"/>
          <w:szCs w:val="21"/>
          <w:highlight w:val="none"/>
        </w:rPr>
      </w:pPr>
      <w:bookmarkStart w:id="769" w:name="_Toc532377188"/>
      <w:bookmarkStart w:id="770" w:name="_Toc351203502"/>
      <w:r>
        <w:rPr>
          <w:rFonts w:hint="eastAsia"/>
          <w:color w:val="auto"/>
          <w:sz w:val="21"/>
          <w:szCs w:val="21"/>
          <w:highlight w:val="none"/>
        </w:rPr>
        <w:t>1</w:t>
      </w:r>
      <w:bookmarkStart w:id="771" w:name="_Toc296503033"/>
      <w:bookmarkStart w:id="772" w:name="_Toc296346534"/>
      <w:bookmarkStart w:id="773" w:name="_Toc337558733"/>
      <w:r>
        <w:rPr>
          <w:rFonts w:hint="eastAsia"/>
          <w:color w:val="auto"/>
          <w:sz w:val="21"/>
          <w:szCs w:val="21"/>
          <w:highlight w:val="none"/>
        </w:rPr>
        <w:t>.7联络</w:t>
      </w:r>
      <w:bookmarkEnd w:id="769"/>
      <w:bookmarkEnd w:id="770"/>
    </w:p>
    <w:bookmarkEnd w:id="771"/>
    <w:bookmarkEnd w:id="772"/>
    <w:bookmarkEnd w:id="773"/>
    <w:p w14:paraId="1E844EF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1.7.1 与合同有关的通知、批准、证明、证书、指示、指令、要求、请求、同意、意见、确定和决定等，均应采用书面形式，并应在合同约定的期限内送达接收人和送达地点。</w:t>
      </w:r>
    </w:p>
    <w:p w14:paraId="3712A99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1.7.2 发包人和承包人应在专用合同条款中约定各自的送达接收人和送达地点。任何一方合同当事人指定的接收人或送达地点发生变动的，应提前3天以书面形式通知对方。</w:t>
      </w:r>
    </w:p>
    <w:p w14:paraId="5F342BF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1.7.3 发包人和承包人应当及时签收另一方送达至送达地点和指定接收人的来往信函。拒不签收的，由此增加的费用和（或）延误的工期由拒绝接收一方承担。</w:t>
      </w:r>
    </w:p>
    <w:p w14:paraId="1C735F36">
      <w:pPr>
        <w:pStyle w:val="7"/>
        <w:spacing w:before="0" w:beforeAutospacing="0" w:after="0" w:afterAutospacing="0" w:line="360" w:lineRule="auto"/>
        <w:ind w:firstLine="422" w:firstLineChars="200"/>
        <w:rPr>
          <w:color w:val="auto"/>
          <w:sz w:val="21"/>
          <w:szCs w:val="21"/>
          <w:highlight w:val="none"/>
        </w:rPr>
      </w:pPr>
      <w:bookmarkStart w:id="774" w:name="_Toc351203503"/>
      <w:bookmarkStart w:id="775" w:name="_Toc532377189"/>
      <w:r>
        <w:rPr>
          <w:rFonts w:hint="eastAsia"/>
          <w:color w:val="auto"/>
          <w:sz w:val="21"/>
          <w:szCs w:val="21"/>
          <w:highlight w:val="none"/>
        </w:rPr>
        <w:t>1</w:t>
      </w:r>
      <w:bookmarkStart w:id="776" w:name="_Toc296503035"/>
      <w:bookmarkStart w:id="777" w:name="_Toc337558734"/>
      <w:bookmarkStart w:id="778" w:name="_Toc296346536"/>
      <w:r>
        <w:rPr>
          <w:rFonts w:hint="eastAsia"/>
          <w:color w:val="auto"/>
          <w:sz w:val="21"/>
          <w:szCs w:val="21"/>
          <w:highlight w:val="none"/>
        </w:rPr>
        <w:t>.8严禁贿赂</w:t>
      </w:r>
      <w:bookmarkEnd w:id="774"/>
      <w:bookmarkEnd w:id="775"/>
    </w:p>
    <w:bookmarkEnd w:id="776"/>
    <w:bookmarkEnd w:id="777"/>
    <w:bookmarkEnd w:id="778"/>
    <w:p w14:paraId="7380317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合同当事人不得以贿赂或变相贿赂的方式，谋取非法利益或损害对方权益。因一方合同当事人的贿赂造成对方损失的，应赔偿损失，并承担相应的法律责任。</w:t>
      </w:r>
    </w:p>
    <w:p w14:paraId="035489A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4DB2B1BD">
      <w:pPr>
        <w:pStyle w:val="7"/>
        <w:spacing w:before="0" w:beforeAutospacing="0" w:after="0" w:afterAutospacing="0" w:line="360" w:lineRule="auto"/>
        <w:ind w:firstLine="422" w:firstLineChars="200"/>
        <w:rPr>
          <w:color w:val="auto"/>
          <w:sz w:val="21"/>
          <w:szCs w:val="21"/>
          <w:highlight w:val="none"/>
        </w:rPr>
      </w:pPr>
      <w:bookmarkStart w:id="779" w:name="_Toc532377190"/>
      <w:bookmarkStart w:id="780" w:name="_Toc351203504"/>
      <w:r>
        <w:rPr>
          <w:rFonts w:hint="eastAsia"/>
          <w:color w:val="auto"/>
          <w:sz w:val="21"/>
          <w:szCs w:val="21"/>
          <w:highlight w:val="none"/>
        </w:rPr>
        <w:t>1</w:t>
      </w:r>
      <w:bookmarkStart w:id="781" w:name="_Toc296503036"/>
      <w:bookmarkStart w:id="782" w:name="_Toc296346537"/>
      <w:bookmarkStart w:id="783" w:name="_Toc337558735"/>
      <w:r>
        <w:rPr>
          <w:rFonts w:hint="eastAsia"/>
          <w:color w:val="auto"/>
          <w:sz w:val="21"/>
          <w:szCs w:val="21"/>
          <w:highlight w:val="none"/>
        </w:rPr>
        <w:t>.9化石、文物</w:t>
      </w:r>
      <w:bookmarkEnd w:id="779"/>
      <w:bookmarkEnd w:id="780"/>
    </w:p>
    <w:bookmarkEnd w:id="781"/>
    <w:bookmarkEnd w:id="782"/>
    <w:bookmarkEnd w:id="783"/>
    <w:p w14:paraId="657D6BA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7222ECD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发包人、监理人和承包人应按有关政府行政管理部门要求采取妥善的保护措施，由此增加的费用和（或）延误的工期由发包人承担。</w:t>
      </w:r>
    </w:p>
    <w:p w14:paraId="4D916F9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承包人发现文物后不及时报告或隐瞒不报，致使文物丢失或损坏的，应赔偿损失，并承担相应的法律责任。</w:t>
      </w:r>
    </w:p>
    <w:p w14:paraId="0BC871E4">
      <w:pPr>
        <w:pStyle w:val="7"/>
        <w:spacing w:before="0" w:beforeAutospacing="0" w:after="0" w:afterAutospacing="0" w:line="360" w:lineRule="auto"/>
        <w:ind w:firstLine="422" w:firstLineChars="200"/>
        <w:rPr>
          <w:color w:val="auto"/>
          <w:sz w:val="21"/>
          <w:szCs w:val="21"/>
          <w:highlight w:val="none"/>
        </w:rPr>
      </w:pPr>
      <w:bookmarkStart w:id="784" w:name="_Toc351203505"/>
      <w:bookmarkStart w:id="785" w:name="_Toc532377191"/>
      <w:r>
        <w:rPr>
          <w:rFonts w:hint="eastAsia"/>
          <w:color w:val="auto"/>
          <w:sz w:val="21"/>
          <w:szCs w:val="21"/>
          <w:highlight w:val="none"/>
        </w:rPr>
        <w:t>1</w:t>
      </w:r>
      <w:bookmarkStart w:id="786" w:name="_Toc337558736"/>
      <w:r>
        <w:rPr>
          <w:rFonts w:hint="eastAsia"/>
          <w:color w:val="auto"/>
          <w:sz w:val="21"/>
          <w:szCs w:val="21"/>
          <w:highlight w:val="none"/>
        </w:rPr>
        <w:t>.10交通运输</w:t>
      </w:r>
      <w:bookmarkEnd w:id="784"/>
      <w:bookmarkEnd w:id="785"/>
    </w:p>
    <w:bookmarkEnd w:id="786"/>
    <w:p w14:paraId="5FBA5C3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1.10.1 出入现场的权利</w:t>
      </w:r>
    </w:p>
    <w:p w14:paraId="06BEC72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25522EA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5C1A1ED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1.10.2 场外交通</w:t>
      </w:r>
    </w:p>
    <w:p w14:paraId="69771A1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033F03B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1.10.3场内交通</w:t>
      </w:r>
    </w:p>
    <w:p w14:paraId="69BFA21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0611ED1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0230093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场外交通和场内交通的边界由合同当事人在专用合同条款中约定。</w:t>
      </w:r>
    </w:p>
    <w:p w14:paraId="39800C8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1.10.4 超大件和超重件的运输</w:t>
      </w:r>
    </w:p>
    <w:p w14:paraId="41FB835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6978534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1.10.5 道路和桥梁的损坏责任</w:t>
      </w:r>
    </w:p>
    <w:p w14:paraId="38955AC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因承包人运输造成施工场地内外公共道路和桥梁损坏的，由承包人承担修复损坏的全部费用和可能引起的赔偿。</w:t>
      </w:r>
    </w:p>
    <w:p w14:paraId="35C8297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1.10.6 水路和航空运输</w:t>
      </w:r>
    </w:p>
    <w:p w14:paraId="2C2D795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本款前述各项的内容适用于水路运输和航空运输，其中“道路”一词的涵义包括河道、航线、船闸、机场、码头、堤防以及水路或航空运输中其他相似结构物；“车辆”一词的涵义包括船舶和飞机等。</w:t>
      </w:r>
    </w:p>
    <w:p w14:paraId="5EBD86AC">
      <w:pPr>
        <w:pStyle w:val="7"/>
        <w:spacing w:before="0" w:beforeAutospacing="0" w:after="0" w:afterAutospacing="0" w:line="360" w:lineRule="auto"/>
        <w:ind w:firstLine="422" w:firstLineChars="200"/>
        <w:rPr>
          <w:color w:val="auto"/>
          <w:sz w:val="21"/>
          <w:szCs w:val="21"/>
          <w:highlight w:val="none"/>
        </w:rPr>
      </w:pPr>
      <w:bookmarkStart w:id="787" w:name="_Toc351203506"/>
      <w:bookmarkStart w:id="788" w:name="_Toc532377192"/>
      <w:r>
        <w:rPr>
          <w:rFonts w:hint="eastAsia"/>
          <w:color w:val="auto"/>
          <w:sz w:val="21"/>
          <w:szCs w:val="21"/>
          <w:highlight w:val="none"/>
        </w:rPr>
        <w:t>1</w:t>
      </w:r>
      <w:bookmarkStart w:id="789" w:name="_Toc337558737"/>
      <w:bookmarkStart w:id="790" w:name="_Toc296503037"/>
      <w:bookmarkStart w:id="791" w:name="_Toc296346538"/>
      <w:r>
        <w:rPr>
          <w:rFonts w:hint="eastAsia"/>
          <w:color w:val="auto"/>
          <w:sz w:val="21"/>
          <w:szCs w:val="21"/>
          <w:highlight w:val="none"/>
        </w:rPr>
        <w:t>.11知识产权</w:t>
      </w:r>
      <w:bookmarkEnd w:id="787"/>
      <w:bookmarkEnd w:id="788"/>
      <w:bookmarkEnd w:id="789"/>
    </w:p>
    <w:bookmarkEnd w:id="790"/>
    <w:bookmarkEnd w:id="791"/>
    <w:p w14:paraId="00F277B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562EAFA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40CD1F3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5B8FEEB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1.11.4 除专用合同条款另有约定外，承包人在合同签订前和签订时已确定采用的专利、专有技术、技术秘密的使用费已包含在签约合同价中。</w:t>
      </w:r>
    </w:p>
    <w:p w14:paraId="48489502">
      <w:pPr>
        <w:pStyle w:val="7"/>
        <w:spacing w:before="0" w:beforeAutospacing="0" w:after="0" w:afterAutospacing="0" w:line="360" w:lineRule="auto"/>
        <w:ind w:firstLine="422" w:firstLineChars="200"/>
        <w:rPr>
          <w:color w:val="auto"/>
          <w:sz w:val="21"/>
          <w:szCs w:val="21"/>
          <w:highlight w:val="none"/>
        </w:rPr>
      </w:pPr>
      <w:bookmarkStart w:id="792" w:name="_Toc532377193"/>
      <w:bookmarkStart w:id="793" w:name="_Toc351203507"/>
      <w:r>
        <w:rPr>
          <w:rFonts w:hint="eastAsia"/>
          <w:color w:val="auto"/>
          <w:sz w:val="21"/>
          <w:szCs w:val="21"/>
          <w:highlight w:val="none"/>
        </w:rPr>
        <w:t>1</w:t>
      </w:r>
      <w:bookmarkStart w:id="794" w:name="_Toc337558738"/>
      <w:r>
        <w:rPr>
          <w:rFonts w:hint="eastAsia"/>
          <w:color w:val="auto"/>
          <w:sz w:val="21"/>
          <w:szCs w:val="21"/>
          <w:highlight w:val="none"/>
        </w:rPr>
        <w:t>.12保密</w:t>
      </w:r>
      <w:bookmarkEnd w:id="792"/>
      <w:bookmarkEnd w:id="793"/>
    </w:p>
    <w:bookmarkEnd w:id="794"/>
    <w:p w14:paraId="1552A60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除法律规定或合同另有约定外，未经发包人同意，承包人不得将发包人提供的图纸、文件以及声明需要保密的资料信息等商业秘密泄露给第三方。</w:t>
      </w:r>
    </w:p>
    <w:p w14:paraId="29BE543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除法律规定或合同另有约定外，未经承包人同意，发包人不得将承包人提供的技术秘密及声明需要保密的资料信息等商业秘密泄露给第三方。</w:t>
      </w:r>
    </w:p>
    <w:p w14:paraId="6012998D">
      <w:pPr>
        <w:pStyle w:val="7"/>
        <w:spacing w:before="0" w:beforeAutospacing="0" w:after="0" w:afterAutospacing="0" w:line="360" w:lineRule="auto"/>
        <w:ind w:firstLine="422" w:firstLineChars="200"/>
        <w:rPr>
          <w:color w:val="auto"/>
          <w:sz w:val="21"/>
          <w:szCs w:val="21"/>
          <w:highlight w:val="none"/>
        </w:rPr>
      </w:pPr>
      <w:bookmarkStart w:id="795" w:name="_Toc532377194"/>
      <w:bookmarkStart w:id="796" w:name="_Toc351203508"/>
      <w:r>
        <w:rPr>
          <w:rFonts w:hint="eastAsia"/>
          <w:color w:val="auto"/>
          <w:sz w:val="21"/>
          <w:szCs w:val="21"/>
          <w:highlight w:val="none"/>
        </w:rPr>
        <w:t>1.13工程量清单错误的修正</w:t>
      </w:r>
      <w:bookmarkEnd w:id="795"/>
      <w:bookmarkEnd w:id="796"/>
    </w:p>
    <w:p w14:paraId="71C2EF2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除专用合同条款另有约定外，发包人提供的工程量清单，应被认为是准确的和完整的。出现下列情形之一时，发包人应予以修正，并相应调整合同价格：</w:t>
      </w:r>
    </w:p>
    <w:p w14:paraId="232704F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（1）工程量清单存在缺项、漏项的；</w:t>
      </w:r>
    </w:p>
    <w:p w14:paraId="6A64F29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（2）工程量清单偏差超出专用合同条款约定的工程量偏差范围的；</w:t>
      </w:r>
    </w:p>
    <w:p w14:paraId="5DE0D4D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（3）未按照国家现行计量规范强制性规定计量的。</w:t>
      </w:r>
    </w:p>
    <w:p w14:paraId="6D1AFA9B">
      <w:pPr>
        <w:pStyle w:val="6"/>
        <w:keepNext/>
        <w:keepLines/>
        <w:spacing w:before="156" w:beforeLines="50" w:beforeAutospacing="0" w:after="156" w:afterLines="50" w:afterAutospacing="0" w:line="360" w:lineRule="auto"/>
        <w:jc w:val="both"/>
        <w:rPr>
          <w:color w:val="auto"/>
          <w:kern w:val="2"/>
          <w:sz w:val="21"/>
          <w:szCs w:val="21"/>
          <w:highlight w:val="none"/>
        </w:rPr>
      </w:pPr>
      <w:bookmarkStart w:id="797" w:name="_Toc532375588"/>
      <w:bookmarkStart w:id="798" w:name="_Toc532377195"/>
      <w:bookmarkStart w:id="799" w:name="_Toc351203509"/>
      <w:r>
        <w:rPr>
          <w:rFonts w:hint="eastAsia"/>
          <w:color w:val="auto"/>
          <w:kern w:val="2"/>
          <w:sz w:val="21"/>
          <w:szCs w:val="21"/>
          <w:highlight w:val="none"/>
        </w:rPr>
        <w:t>2</w:t>
      </w:r>
      <w:bookmarkStart w:id="800" w:name="_Toc296346539"/>
      <w:bookmarkStart w:id="801" w:name="_Toc296503038"/>
      <w:bookmarkStart w:id="802" w:name="_Toc337558739"/>
      <w:bookmarkStart w:id="803" w:name="OLE_LINK2"/>
      <w:r>
        <w:rPr>
          <w:rFonts w:hint="eastAsia"/>
          <w:color w:val="auto"/>
          <w:kern w:val="2"/>
          <w:sz w:val="21"/>
          <w:szCs w:val="21"/>
          <w:highlight w:val="none"/>
        </w:rPr>
        <w:t>. 发包人</w:t>
      </w:r>
      <w:bookmarkEnd w:id="797"/>
      <w:bookmarkEnd w:id="798"/>
      <w:bookmarkEnd w:id="799"/>
    </w:p>
    <w:bookmarkEnd w:id="800"/>
    <w:bookmarkEnd w:id="801"/>
    <w:bookmarkEnd w:id="802"/>
    <w:p w14:paraId="7D313B46">
      <w:pPr>
        <w:pStyle w:val="7"/>
        <w:spacing w:before="0" w:beforeAutospacing="0" w:after="0" w:afterAutospacing="0" w:line="360" w:lineRule="auto"/>
        <w:ind w:firstLine="422" w:firstLineChars="200"/>
        <w:rPr>
          <w:color w:val="auto"/>
          <w:sz w:val="21"/>
          <w:szCs w:val="21"/>
          <w:highlight w:val="none"/>
        </w:rPr>
      </w:pPr>
      <w:bookmarkStart w:id="804" w:name="_Toc351203510"/>
      <w:bookmarkStart w:id="805" w:name="_Toc532377196"/>
      <w:r>
        <w:rPr>
          <w:rFonts w:hint="eastAsia"/>
          <w:color w:val="auto"/>
          <w:sz w:val="21"/>
          <w:szCs w:val="21"/>
          <w:highlight w:val="none"/>
        </w:rPr>
        <w:t>2</w:t>
      </w:r>
      <w:bookmarkStart w:id="806" w:name="_Toc296503039"/>
      <w:bookmarkStart w:id="807" w:name="_Toc337558740"/>
      <w:bookmarkStart w:id="808" w:name="_Toc296346540"/>
      <w:r>
        <w:rPr>
          <w:rFonts w:hint="eastAsia"/>
          <w:color w:val="auto"/>
          <w:sz w:val="21"/>
          <w:szCs w:val="21"/>
          <w:highlight w:val="none"/>
        </w:rPr>
        <w:t>.1 许可或批准</w:t>
      </w:r>
      <w:bookmarkEnd w:id="804"/>
      <w:bookmarkEnd w:id="805"/>
    </w:p>
    <w:p w14:paraId="7F16220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3EACAA2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因发包人原因未能及时办理完毕前述许可、批准或备案，由发包人承担由此增加的费用和（或）延误的工期，并支付承包人合理的利润。</w:t>
      </w:r>
    </w:p>
    <w:p w14:paraId="4971EBC2">
      <w:pPr>
        <w:pStyle w:val="7"/>
        <w:spacing w:before="0" w:beforeAutospacing="0" w:after="0" w:afterAutospacing="0" w:line="360" w:lineRule="auto"/>
        <w:ind w:firstLine="422" w:firstLineChars="200"/>
        <w:rPr>
          <w:color w:val="auto"/>
          <w:sz w:val="21"/>
          <w:szCs w:val="21"/>
          <w:highlight w:val="none"/>
        </w:rPr>
      </w:pPr>
      <w:bookmarkStart w:id="809" w:name="_Toc532377197"/>
      <w:bookmarkStart w:id="810" w:name="_Toc351203511"/>
      <w:r>
        <w:rPr>
          <w:rFonts w:hint="eastAsia"/>
          <w:color w:val="auto"/>
          <w:sz w:val="21"/>
          <w:szCs w:val="21"/>
          <w:highlight w:val="none"/>
        </w:rPr>
        <w:t>2.2 发包人代表</w:t>
      </w:r>
      <w:bookmarkEnd w:id="809"/>
      <w:bookmarkEnd w:id="810"/>
    </w:p>
    <w:p w14:paraId="2B5329A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1A10710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发包人代表不能按照合同约定履行其职责及义务，并导致合同无法继续正常履行的，承包人可以要求发包人撤换发包人代表。</w:t>
      </w:r>
    </w:p>
    <w:p w14:paraId="18A7441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不属于法定必须监理的工程，监理人的职权可以由发包人代表或发包人指定的其他人员行使。</w:t>
      </w:r>
    </w:p>
    <w:p w14:paraId="1D8F4B1F">
      <w:pPr>
        <w:pStyle w:val="7"/>
        <w:spacing w:before="0" w:beforeAutospacing="0" w:after="0" w:afterAutospacing="0" w:line="360" w:lineRule="auto"/>
        <w:ind w:firstLine="422" w:firstLineChars="200"/>
        <w:rPr>
          <w:color w:val="auto"/>
          <w:sz w:val="21"/>
          <w:szCs w:val="21"/>
          <w:highlight w:val="none"/>
        </w:rPr>
      </w:pPr>
      <w:bookmarkStart w:id="811" w:name="_Toc351203512"/>
      <w:bookmarkStart w:id="812" w:name="_Toc532377198"/>
      <w:r>
        <w:rPr>
          <w:rFonts w:hint="eastAsia"/>
          <w:color w:val="auto"/>
          <w:sz w:val="21"/>
          <w:szCs w:val="21"/>
          <w:highlight w:val="none"/>
        </w:rPr>
        <w:t>2.3 发包人人员</w:t>
      </w:r>
      <w:bookmarkEnd w:id="811"/>
      <w:bookmarkEnd w:id="812"/>
    </w:p>
    <w:p w14:paraId="3C3F161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发包人应要求在施工现场的发包人人员遵守法律及有关安全、质量、环境保护、文明施工等规定，并保障承包人免于承受因发包人人员未遵守上述要求给承包人造成的损失和责任。</w:t>
      </w:r>
    </w:p>
    <w:p w14:paraId="2DF488D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发包人人员包括发包人代表及其他由发包人派驻施工现场的人员。</w:t>
      </w:r>
      <w:bookmarkEnd w:id="806"/>
      <w:bookmarkEnd w:id="807"/>
      <w:bookmarkEnd w:id="808"/>
    </w:p>
    <w:p w14:paraId="1E15CA09">
      <w:pPr>
        <w:pStyle w:val="7"/>
        <w:spacing w:before="0" w:beforeAutospacing="0" w:after="0" w:afterAutospacing="0" w:line="360" w:lineRule="auto"/>
        <w:ind w:firstLine="422" w:firstLineChars="200"/>
        <w:rPr>
          <w:color w:val="auto"/>
          <w:sz w:val="21"/>
          <w:szCs w:val="21"/>
          <w:highlight w:val="none"/>
        </w:rPr>
      </w:pPr>
      <w:bookmarkStart w:id="813" w:name="_Toc351203513"/>
      <w:bookmarkStart w:id="814" w:name="_Toc532377199"/>
      <w:r>
        <w:rPr>
          <w:rFonts w:hint="eastAsia"/>
          <w:color w:val="auto"/>
          <w:sz w:val="21"/>
          <w:szCs w:val="21"/>
          <w:highlight w:val="none"/>
        </w:rPr>
        <w:t>2</w:t>
      </w:r>
      <w:bookmarkStart w:id="815" w:name="_Toc296503040"/>
      <w:bookmarkStart w:id="816" w:name="_Toc337558741"/>
      <w:bookmarkStart w:id="817" w:name="_Toc296346541"/>
      <w:r>
        <w:rPr>
          <w:rFonts w:hint="eastAsia"/>
          <w:color w:val="auto"/>
          <w:sz w:val="21"/>
          <w:szCs w:val="21"/>
          <w:highlight w:val="none"/>
        </w:rPr>
        <w:t>.4 施工现场、施工条件和基础资料的提供</w:t>
      </w:r>
      <w:bookmarkEnd w:id="813"/>
      <w:bookmarkEnd w:id="814"/>
      <w:bookmarkEnd w:id="815"/>
      <w:bookmarkEnd w:id="816"/>
      <w:bookmarkEnd w:id="817"/>
    </w:p>
    <w:p w14:paraId="709701D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2.4.1 提供施工现场</w:t>
      </w:r>
    </w:p>
    <w:p w14:paraId="54A68F7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w:t>
      </w:r>
      <w:bookmarkEnd w:id="803"/>
      <w:r>
        <w:rPr>
          <w:rFonts w:hint="eastAsia" w:ascii="宋体" w:hAnsi="宋体"/>
          <w:color w:val="auto"/>
          <w:kern w:val="0"/>
          <w:szCs w:val="21"/>
          <w:highlight w:val="none"/>
        </w:rPr>
        <w:t>专用合同条款另有约定外，发包人应最迟于开工日期7天前向承包人移交施工现场。</w:t>
      </w:r>
    </w:p>
    <w:p w14:paraId="6960CF8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2.4.2 提供施工条件</w:t>
      </w:r>
    </w:p>
    <w:p w14:paraId="3065BCF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除专用合同条款另有约定外，发包人应负责提供施工所需要的条件，包括：</w:t>
      </w:r>
    </w:p>
    <w:p w14:paraId="399F184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（1）将施工用水、电力、通讯线路等施工所必需的条件接至施工现场内；</w:t>
      </w:r>
    </w:p>
    <w:p w14:paraId="065FFD7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（2）保证向承包人提供正常施工所需要的进入施工现场的交通条件；</w:t>
      </w:r>
    </w:p>
    <w:p w14:paraId="460D560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（3）协调处理施工现场周围地下管线和邻近建筑物、构筑物、古树名木的保护工作，并承担相关费用；</w:t>
      </w:r>
    </w:p>
    <w:p w14:paraId="36356C5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（4）按照专用合同条款约定应提供的其他设施和条件。</w:t>
      </w:r>
    </w:p>
    <w:p w14:paraId="348B010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2.4.3 提供基础资料</w:t>
      </w:r>
    </w:p>
    <w:p w14:paraId="6CD8AC1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287DAB5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按照法律规定确需在开工后方能提供的基础资料，发包人应尽其努力及时地在相应工程施工前的合理期限内提供，合理期限应以不影响承包人的正常施工为限。</w:t>
      </w:r>
    </w:p>
    <w:p w14:paraId="4906863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2.4.4 逾期提供的责任</w:t>
      </w:r>
    </w:p>
    <w:p w14:paraId="4FCEB2E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因发包人原因未能按合同约定及时向承包人提供施工现场、施工条件、基础资料的，由发包人承担由此增加的费用和（或）延误的工期。</w:t>
      </w:r>
    </w:p>
    <w:p w14:paraId="236E1DB3">
      <w:pPr>
        <w:pStyle w:val="7"/>
        <w:spacing w:before="0" w:beforeAutospacing="0" w:after="0" w:afterAutospacing="0" w:line="360" w:lineRule="auto"/>
        <w:ind w:firstLine="422" w:firstLineChars="200"/>
        <w:rPr>
          <w:color w:val="auto"/>
          <w:sz w:val="21"/>
          <w:szCs w:val="21"/>
          <w:highlight w:val="none"/>
        </w:rPr>
      </w:pPr>
      <w:bookmarkStart w:id="818" w:name="_Toc351203514"/>
      <w:bookmarkStart w:id="819" w:name="_Toc532377200"/>
      <w:r>
        <w:rPr>
          <w:rFonts w:hint="eastAsia"/>
          <w:color w:val="auto"/>
          <w:sz w:val="21"/>
          <w:szCs w:val="21"/>
          <w:highlight w:val="none"/>
        </w:rPr>
        <w:t>2</w:t>
      </w:r>
      <w:bookmarkStart w:id="820" w:name="_Toc337558745"/>
      <w:bookmarkStart w:id="821" w:name="_Toc296503042"/>
      <w:bookmarkStart w:id="822" w:name="_Toc296346543"/>
      <w:r>
        <w:rPr>
          <w:rFonts w:hint="eastAsia"/>
          <w:color w:val="auto"/>
          <w:sz w:val="21"/>
          <w:szCs w:val="21"/>
          <w:highlight w:val="none"/>
        </w:rPr>
        <w:t>.5 资</w:t>
      </w:r>
      <w:bookmarkEnd w:id="820"/>
      <w:bookmarkEnd w:id="821"/>
      <w:bookmarkEnd w:id="822"/>
      <w:r>
        <w:rPr>
          <w:rFonts w:hint="eastAsia"/>
          <w:color w:val="auto"/>
          <w:sz w:val="21"/>
          <w:szCs w:val="21"/>
          <w:highlight w:val="none"/>
        </w:rPr>
        <w:t>金来源证明及支付担保</w:t>
      </w:r>
      <w:bookmarkEnd w:id="818"/>
      <w:bookmarkEnd w:id="819"/>
    </w:p>
    <w:p w14:paraId="7BD9D5F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除专用合同条款另有约定外，发包人应在收到承包人要求提供资金来源证明的书面通知后28天内，向承包人提供能够按照合同约定支付合同价款的相应资金来源证明。</w:t>
      </w:r>
    </w:p>
    <w:p w14:paraId="57BA3AA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43D09D1B">
      <w:pPr>
        <w:pStyle w:val="7"/>
        <w:spacing w:before="0" w:beforeAutospacing="0" w:after="0" w:afterAutospacing="0" w:line="360" w:lineRule="auto"/>
        <w:ind w:firstLine="422" w:firstLineChars="200"/>
        <w:rPr>
          <w:color w:val="auto"/>
          <w:sz w:val="21"/>
          <w:szCs w:val="21"/>
          <w:highlight w:val="none"/>
        </w:rPr>
      </w:pPr>
      <w:bookmarkStart w:id="823" w:name="_Toc532377201"/>
      <w:bookmarkStart w:id="824" w:name="_Toc351203515"/>
      <w:r>
        <w:rPr>
          <w:rFonts w:hint="eastAsia"/>
          <w:color w:val="auto"/>
          <w:sz w:val="21"/>
          <w:szCs w:val="21"/>
          <w:highlight w:val="none"/>
        </w:rPr>
        <w:t>2.6 支付合同价款</w:t>
      </w:r>
      <w:bookmarkEnd w:id="823"/>
      <w:bookmarkEnd w:id="824"/>
    </w:p>
    <w:p w14:paraId="756E600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发包人应按合同约定向承包人及时支付合同价款。</w:t>
      </w:r>
    </w:p>
    <w:p w14:paraId="576B9448">
      <w:pPr>
        <w:pStyle w:val="7"/>
        <w:spacing w:before="0" w:beforeAutospacing="0" w:after="0" w:afterAutospacing="0" w:line="360" w:lineRule="auto"/>
        <w:ind w:firstLine="422" w:firstLineChars="200"/>
        <w:rPr>
          <w:color w:val="auto"/>
          <w:sz w:val="21"/>
          <w:szCs w:val="21"/>
          <w:highlight w:val="none"/>
        </w:rPr>
      </w:pPr>
      <w:bookmarkStart w:id="825" w:name="_Toc351203516"/>
      <w:bookmarkStart w:id="826" w:name="_Toc532377202"/>
      <w:r>
        <w:rPr>
          <w:rFonts w:hint="eastAsia"/>
          <w:color w:val="auto"/>
          <w:sz w:val="21"/>
          <w:szCs w:val="21"/>
          <w:highlight w:val="none"/>
        </w:rPr>
        <w:t>2.7 组织竣工验收</w:t>
      </w:r>
      <w:bookmarkEnd w:id="825"/>
      <w:bookmarkEnd w:id="826"/>
    </w:p>
    <w:p w14:paraId="1AA1198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发包人应按合同约定及时组织竣工验收。</w:t>
      </w:r>
    </w:p>
    <w:p w14:paraId="5FCC5950">
      <w:pPr>
        <w:pStyle w:val="7"/>
        <w:spacing w:before="0" w:beforeAutospacing="0" w:after="0" w:afterAutospacing="0" w:line="360" w:lineRule="auto"/>
        <w:ind w:firstLine="422" w:firstLineChars="200"/>
        <w:rPr>
          <w:color w:val="auto"/>
          <w:sz w:val="21"/>
          <w:szCs w:val="21"/>
          <w:highlight w:val="none"/>
        </w:rPr>
      </w:pPr>
      <w:bookmarkStart w:id="827" w:name="_Toc532377203"/>
      <w:bookmarkStart w:id="828" w:name="_Toc351203517"/>
      <w:r>
        <w:rPr>
          <w:rFonts w:hint="eastAsia"/>
          <w:color w:val="auto"/>
          <w:sz w:val="21"/>
          <w:szCs w:val="21"/>
          <w:highlight w:val="none"/>
        </w:rPr>
        <w:t>2.8 现场统一管理协议</w:t>
      </w:r>
      <w:bookmarkEnd w:id="827"/>
      <w:bookmarkEnd w:id="828"/>
    </w:p>
    <w:p w14:paraId="737DAA0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发包人应与承包人、由发包人直接发包的专业工程的承包人签订施工现场统一管理协议，明确各方的权利义务。施工现场统一管理协议作为专用合同条款的附件。</w:t>
      </w:r>
    </w:p>
    <w:p w14:paraId="7FF3EEB0">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829" w:name="_Toc351203518"/>
      <w:bookmarkStart w:id="830" w:name="_Toc532375589"/>
      <w:bookmarkStart w:id="831" w:name="_Toc532377204"/>
      <w:r>
        <w:rPr>
          <w:rFonts w:hint="eastAsia"/>
          <w:color w:val="auto"/>
          <w:kern w:val="2"/>
          <w:sz w:val="21"/>
          <w:szCs w:val="21"/>
          <w:highlight w:val="none"/>
        </w:rPr>
        <w:t>3</w:t>
      </w:r>
      <w:bookmarkStart w:id="832" w:name="_Toc296503045"/>
      <w:bookmarkStart w:id="833" w:name="_Toc337558746"/>
      <w:bookmarkStart w:id="834" w:name="_Toc296346546"/>
      <w:r>
        <w:rPr>
          <w:rFonts w:hint="eastAsia"/>
          <w:color w:val="auto"/>
          <w:kern w:val="2"/>
          <w:sz w:val="21"/>
          <w:szCs w:val="21"/>
          <w:highlight w:val="none"/>
        </w:rPr>
        <w:t>. 承包人</w:t>
      </w:r>
      <w:bookmarkEnd w:id="829"/>
      <w:bookmarkEnd w:id="830"/>
      <w:bookmarkEnd w:id="831"/>
    </w:p>
    <w:bookmarkEnd w:id="832"/>
    <w:bookmarkEnd w:id="833"/>
    <w:bookmarkEnd w:id="834"/>
    <w:p w14:paraId="5A99F937">
      <w:pPr>
        <w:pStyle w:val="7"/>
        <w:spacing w:before="0" w:beforeAutospacing="0" w:after="0" w:afterAutospacing="0" w:line="360" w:lineRule="auto"/>
        <w:ind w:firstLine="422" w:firstLineChars="200"/>
        <w:rPr>
          <w:color w:val="auto"/>
          <w:sz w:val="21"/>
          <w:szCs w:val="21"/>
          <w:highlight w:val="none"/>
        </w:rPr>
      </w:pPr>
      <w:bookmarkStart w:id="835" w:name="_Toc532377205"/>
      <w:bookmarkStart w:id="836" w:name="_Toc351203519"/>
      <w:r>
        <w:rPr>
          <w:rFonts w:hint="eastAsia"/>
          <w:color w:val="auto"/>
          <w:sz w:val="21"/>
          <w:szCs w:val="21"/>
          <w:highlight w:val="none"/>
        </w:rPr>
        <w:t>3</w:t>
      </w:r>
      <w:bookmarkStart w:id="837" w:name="_Toc296346547"/>
      <w:bookmarkStart w:id="838" w:name="_Toc337558747"/>
      <w:bookmarkStart w:id="839" w:name="_Toc296503046"/>
      <w:r>
        <w:rPr>
          <w:rFonts w:hint="eastAsia"/>
          <w:color w:val="auto"/>
          <w:sz w:val="21"/>
          <w:szCs w:val="21"/>
          <w:highlight w:val="none"/>
        </w:rPr>
        <w:t>.1 承包人的一般义务</w:t>
      </w:r>
      <w:bookmarkEnd w:id="835"/>
      <w:bookmarkEnd w:id="836"/>
    </w:p>
    <w:bookmarkEnd w:id="837"/>
    <w:bookmarkEnd w:id="838"/>
    <w:bookmarkEnd w:id="839"/>
    <w:p w14:paraId="1AC2C92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承包人在履行合同过程中应遵守法律和工程建设标准规范，并履行以下义务：</w:t>
      </w:r>
    </w:p>
    <w:p w14:paraId="69BBEFBF">
      <w:pPr>
        <w:numPr>
          <w:ilvl w:val="0"/>
          <w:numId w:val="1"/>
        </w:num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办理法律规定应由承包人办理的许可和批准，并将办理结果书面报送发包人留存；</w:t>
      </w:r>
    </w:p>
    <w:p w14:paraId="7B3F95E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（2）按法律规定和合同约定完成工程，并在保修期内承担保修义务；</w:t>
      </w:r>
    </w:p>
    <w:p w14:paraId="7121CCE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（3）按法律规定和合同约定采取施工安全和环境保护措施，办理工伤保险，确保工程及人员、材料、设备和设施的安全；</w:t>
      </w:r>
    </w:p>
    <w:p w14:paraId="26130A3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（4）按合同约定的工作内容和施工进度要求，编制施工组织设计和施工措施计划，并对所有施工作业和施工方法的完备性和安全可靠性负责；</w:t>
      </w:r>
    </w:p>
    <w:p w14:paraId="4B2DAED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1ED6C91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（6）按照第6.3款〔环境保护〕约定负责施工场地及其周边环境与生态的保护工作；</w:t>
      </w:r>
    </w:p>
    <w:p w14:paraId="086C3DF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（7）按第6.1款〔安全文明施工〕约定采取施工安全措施，确保工程及其人员、材料、设备和设施的安全，防止因工程施工造成的人身伤害和财产损失；</w:t>
      </w:r>
    </w:p>
    <w:p w14:paraId="349D746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（8）将发包人按合同约定支付的各项价款专用于合同工程，且应及时支付其雇用人员工资，并及时向分包人支付合同价款；</w:t>
      </w:r>
    </w:p>
    <w:p w14:paraId="16F02B7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（9）按照法律规定和合同约定编制竣工资料，完成竣工资料立卷及归档，并按专用合同条款约定的竣工资料的套数、内容、时间等要求移交发包人；</w:t>
      </w:r>
    </w:p>
    <w:p w14:paraId="08BDE0C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（10）应履行的其他义务。</w:t>
      </w:r>
    </w:p>
    <w:p w14:paraId="40789512">
      <w:pPr>
        <w:pStyle w:val="7"/>
        <w:spacing w:before="0" w:beforeAutospacing="0" w:after="0" w:afterAutospacing="0" w:line="360" w:lineRule="auto"/>
        <w:ind w:firstLine="422" w:firstLineChars="200"/>
        <w:rPr>
          <w:color w:val="auto"/>
          <w:sz w:val="21"/>
          <w:szCs w:val="21"/>
          <w:highlight w:val="none"/>
        </w:rPr>
      </w:pPr>
      <w:bookmarkStart w:id="840" w:name="_Toc351203520"/>
      <w:bookmarkStart w:id="841" w:name="_Toc532377206"/>
      <w:r>
        <w:rPr>
          <w:rFonts w:hint="eastAsia"/>
          <w:color w:val="auto"/>
          <w:sz w:val="21"/>
          <w:szCs w:val="21"/>
          <w:highlight w:val="none"/>
        </w:rPr>
        <w:t>3</w:t>
      </w:r>
      <w:bookmarkStart w:id="842" w:name="_Toc296503047"/>
      <w:bookmarkStart w:id="843" w:name="_Toc296346548"/>
      <w:bookmarkStart w:id="844" w:name="_Toc337558748"/>
      <w:r>
        <w:rPr>
          <w:rFonts w:hint="eastAsia"/>
          <w:color w:val="auto"/>
          <w:sz w:val="21"/>
          <w:szCs w:val="21"/>
          <w:highlight w:val="none"/>
        </w:rPr>
        <w:t xml:space="preserve">.2 </w:t>
      </w:r>
      <w:bookmarkEnd w:id="840"/>
      <w:r>
        <w:rPr>
          <w:rFonts w:hint="eastAsia"/>
          <w:color w:val="auto"/>
          <w:sz w:val="21"/>
          <w:szCs w:val="21"/>
          <w:highlight w:val="none"/>
        </w:rPr>
        <w:t>项目经理</w:t>
      </w:r>
      <w:bookmarkEnd w:id="841"/>
    </w:p>
    <w:bookmarkEnd w:id="842"/>
    <w:bookmarkEnd w:id="843"/>
    <w:bookmarkEnd w:id="844"/>
    <w:p w14:paraId="40F3D30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29269B8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7C1FF18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承包人违反上述约定的，应按照专用合同条款的约定，承担违约责任。</w:t>
      </w:r>
    </w:p>
    <w:p w14:paraId="68DEB69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5508FBC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6296A88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230222C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3.2.5 项目经理因特殊情况授权其下属人员履行其某项工作职责的，该下属人员应具备履行相应职责的能力，并应提前7天将上述人员的姓名和授权范围书面通知监理人，并征得发包人书面同意。</w:t>
      </w:r>
    </w:p>
    <w:p w14:paraId="48C84C77">
      <w:pPr>
        <w:pStyle w:val="7"/>
        <w:spacing w:before="0" w:beforeAutospacing="0" w:after="0" w:afterAutospacing="0" w:line="360" w:lineRule="auto"/>
        <w:ind w:firstLine="422" w:firstLineChars="200"/>
        <w:rPr>
          <w:color w:val="auto"/>
          <w:sz w:val="21"/>
          <w:szCs w:val="21"/>
          <w:highlight w:val="none"/>
        </w:rPr>
      </w:pPr>
      <w:bookmarkStart w:id="845" w:name="_Toc351203521"/>
      <w:bookmarkStart w:id="846" w:name="_Toc532377207"/>
      <w:r>
        <w:rPr>
          <w:rFonts w:hint="eastAsia"/>
          <w:color w:val="auto"/>
          <w:sz w:val="21"/>
          <w:szCs w:val="21"/>
          <w:highlight w:val="none"/>
        </w:rPr>
        <w:t>3</w:t>
      </w:r>
      <w:bookmarkStart w:id="847" w:name="_Toc296503048"/>
      <w:bookmarkStart w:id="848" w:name="_Toc296346549"/>
      <w:bookmarkStart w:id="849" w:name="_Toc337558749"/>
      <w:r>
        <w:rPr>
          <w:rFonts w:hint="eastAsia"/>
          <w:color w:val="auto"/>
          <w:sz w:val="21"/>
          <w:szCs w:val="21"/>
          <w:highlight w:val="none"/>
        </w:rPr>
        <w:t xml:space="preserve">.3 </w:t>
      </w:r>
      <w:bookmarkEnd w:id="847"/>
      <w:bookmarkEnd w:id="848"/>
      <w:r>
        <w:rPr>
          <w:rFonts w:hint="eastAsia"/>
          <w:color w:val="auto"/>
          <w:sz w:val="21"/>
          <w:szCs w:val="21"/>
          <w:highlight w:val="none"/>
        </w:rPr>
        <w:t>承包人人员</w:t>
      </w:r>
      <w:bookmarkEnd w:id="845"/>
      <w:bookmarkEnd w:id="846"/>
    </w:p>
    <w:bookmarkEnd w:id="849"/>
    <w:p w14:paraId="42B0455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1445E25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194CE1B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特殊工种作业人员均应持有相应的资格证明，监理人可以随时检查。</w:t>
      </w:r>
    </w:p>
    <w:p w14:paraId="0A6685A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2932B4D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50214B2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3.3.5 承包人擅自更换主要施工管理人员，或前述人员未经监理人或发包人同意擅自离开施工现场的，应按照专用合同条款约定承担违约责任。</w:t>
      </w:r>
    </w:p>
    <w:p w14:paraId="01F1F04A">
      <w:pPr>
        <w:pStyle w:val="7"/>
        <w:spacing w:before="0" w:beforeAutospacing="0" w:after="0" w:afterAutospacing="0" w:line="360" w:lineRule="auto"/>
        <w:ind w:firstLine="422" w:firstLineChars="200"/>
        <w:rPr>
          <w:color w:val="auto"/>
          <w:sz w:val="21"/>
          <w:szCs w:val="21"/>
          <w:highlight w:val="none"/>
        </w:rPr>
      </w:pPr>
      <w:bookmarkStart w:id="850" w:name="_Toc351203522"/>
      <w:bookmarkStart w:id="851" w:name="_Toc532377208"/>
      <w:r>
        <w:rPr>
          <w:rFonts w:hint="eastAsia"/>
          <w:color w:val="auto"/>
          <w:sz w:val="21"/>
          <w:szCs w:val="21"/>
          <w:highlight w:val="none"/>
        </w:rPr>
        <w:t>3</w:t>
      </w:r>
      <w:bookmarkStart w:id="852" w:name="_Toc296503050"/>
      <w:bookmarkStart w:id="853" w:name="_Toc296346551"/>
      <w:bookmarkStart w:id="854" w:name="_Toc337558750"/>
      <w:r>
        <w:rPr>
          <w:rFonts w:hint="eastAsia"/>
          <w:color w:val="auto"/>
          <w:sz w:val="21"/>
          <w:szCs w:val="21"/>
          <w:highlight w:val="none"/>
        </w:rPr>
        <w:t>.4 承包人现场查勘</w:t>
      </w:r>
      <w:bookmarkEnd w:id="850"/>
      <w:bookmarkEnd w:id="851"/>
    </w:p>
    <w:bookmarkEnd w:id="852"/>
    <w:bookmarkEnd w:id="853"/>
    <w:bookmarkEnd w:id="854"/>
    <w:p w14:paraId="26D8572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承包人应对基于发包人按照第2.4.3项〔提供基础资料〕提交的基础资料所做出的解释和推断负责，但因基础资料存在错误、遗漏导致承包人解释或推断失实的，由发包人承担责任。</w:t>
      </w:r>
    </w:p>
    <w:p w14:paraId="6617EAE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7F3644E0">
      <w:pPr>
        <w:pStyle w:val="7"/>
        <w:spacing w:before="0" w:beforeAutospacing="0" w:after="0" w:afterAutospacing="0" w:line="360" w:lineRule="auto"/>
        <w:ind w:firstLine="422" w:firstLineChars="200"/>
        <w:rPr>
          <w:color w:val="auto"/>
          <w:sz w:val="21"/>
          <w:szCs w:val="21"/>
          <w:highlight w:val="none"/>
        </w:rPr>
      </w:pPr>
      <w:bookmarkStart w:id="855" w:name="_Toc532377209"/>
      <w:bookmarkStart w:id="856" w:name="_Toc351203523"/>
      <w:r>
        <w:rPr>
          <w:rFonts w:hint="eastAsia"/>
          <w:color w:val="auto"/>
          <w:sz w:val="21"/>
          <w:szCs w:val="21"/>
          <w:highlight w:val="none"/>
        </w:rPr>
        <w:t>3</w:t>
      </w:r>
      <w:bookmarkStart w:id="857" w:name="_Toc296346552"/>
      <w:bookmarkStart w:id="858" w:name="_Toc337558751"/>
      <w:bookmarkStart w:id="859" w:name="_Toc296503051"/>
      <w:r>
        <w:rPr>
          <w:rFonts w:hint="eastAsia"/>
          <w:color w:val="auto"/>
          <w:sz w:val="21"/>
          <w:szCs w:val="21"/>
          <w:highlight w:val="none"/>
        </w:rPr>
        <w:t>.5 分包</w:t>
      </w:r>
      <w:bookmarkEnd w:id="855"/>
      <w:bookmarkEnd w:id="856"/>
    </w:p>
    <w:bookmarkEnd w:id="857"/>
    <w:bookmarkEnd w:id="858"/>
    <w:bookmarkEnd w:id="859"/>
    <w:p w14:paraId="1279962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3.5.1 分包的一般约定</w:t>
      </w:r>
    </w:p>
    <w:p w14:paraId="0370500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344E0FD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承包人不得以劳务分包的名义转包或违法分包工程。</w:t>
      </w:r>
    </w:p>
    <w:p w14:paraId="7ED2FF9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3.5.2 分包的确定</w:t>
      </w:r>
    </w:p>
    <w:p w14:paraId="10BBB0C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4BDE653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3.5.3 分包管理</w:t>
      </w:r>
    </w:p>
    <w:p w14:paraId="1A3569F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承包人应向监理人提交分包人的主要施工管理人员表，并对分包人的施工人员进行实名制管理，包括但不限于进出场管理、登记造册以及各种证照的办理。</w:t>
      </w:r>
    </w:p>
    <w:p w14:paraId="7333CCB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3.5.4 分包合同价款</w:t>
      </w:r>
    </w:p>
    <w:p w14:paraId="5790E53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（1）除本项第（2）目约定的情况或专用合同条款另有约定外，分包合同价款由承包人与分包人结算，未经承包人同意，发包人不得向分包人支付分包工程价款；</w:t>
      </w:r>
    </w:p>
    <w:p w14:paraId="0649A3B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（2）生效法律文书要求发包人向分包人支付分包合同价款的，发包人有权从应付承包人工程款中扣除该部分款项。</w:t>
      </w:r>
    </w:p>
    <w:p w14:paraId="49B86F3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3.5.5 分包合同权益的转让</w:t>
      </w:r>
    </w:p>
    <w:p w14:paraId="5C68C42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860" w:name="_Toc351203524"/>
    </w:p>
    <w:p w14:paraId="5EDC6D25">
      <w:pPr>
        <w:pStyle w:val="7"/>
        <w:spacing w:before="0" w:beforeAutospacing="0" w:after="0" w:afterAutospacing="0" w:line="360" w:lineRule="auto"/>
        <w:ind w:firstLine="422" w:firstLineChars="200"/>
        <w:rPr>
          <w:color w:val="auto"/>
          <w:sz w:val="21"/>
          <w:szCs w:val="21"/>
          <w:highlight w:val="none"/>
        </w:rPr>
      </w:pPr>
      <w:bookmarkStart w:id="861" w:name="_Toc532377210"/>
      <w:r>
        <w:rPr>
          <w:rFonts w:hint="eastAsia"/>
          <w:color w:val="auto"/>
          <w:sz w:val="21"/>
          <w:szCs w:val="21"/>
          <w:highlight w:val="none"/>
        </w:rPr>
        <w:t>3.6 工程照管与成品、半成品保护</w:t>
      </w:r>
      <w:bookmarkEnd w:id="860"/>
      <w:bookmarkEnd w:id="861"/>
    </w:p>
    <w:p w14:paraId="2989725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（1）除专用合同条款另有约定外，自发包人向承包人移交施工现场之日起，承包人应负责照管工程及工程相关的材料、工程设备，直到颁发工程接收证书之日止。</w:t>
      </w:r>
    </w:p>
    <w:p w14:paraId="7925449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（2）在承包人负责照管期间，因承包人原因造成工程、材料、工程设备损坏的，由承包人负责修复或更换，并承担由此增加的费用和（或）延误的工期。</w:t>
      </w:r>
    </w:p>
    <w:p w14:paraId="41D14ED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（3）对合同内分期完成的成品和半成品，在工程接收证书颁发前，由承包人承担保护责任。因承包人原因造成成品或半成品损坏的，由承包人负责修复或更换，并承担由此增加的费用和（或）延误的工期。</w:t>
      </w:r>
    </w:p>
    <w:p w14:paraId="70E81D79">
      <w:pPr>
        <w:pStyle w:val="7"/>
        <w:spacing w:before="0" w:beforeAutospacing="0" w:after="0" w:afterAutospacing="0" w:line="360" w:lineRule="auto"/>
        <w:ind w:firstLine="422" w:firstLineChars="200"/>
        <w:rPr>
          <w:color w:val="auto"/>
          <w:sz w:val="21"/>
          <w:szCs w:val="21"/>
          <w:highlight w:val="none"/>
        </w:rPr>
      </w:pPr>
      <w:bookmarkStart w:id="862" w:name="_Toc351203525"/>
      <w:bookmarkStart w:id="863" w:name="_Toc532377211"/>
      <w:r>
        <w:rPr>
          <w:rFonts w:hint="eastAsia"/>
          <w:color w:val="auto"/>
          <w:sz w:val="21"/>
          <w:szCs w:val="21"/>
          <w:highlight w:val="none"/>
        </w:rPr>
        <w:t>3</w:t>
      </w:r>
      <w:bookmarkStart w:id="864" w:name="_Toc296346553"/>
      <w:bookmarkStart w:id="865" w:name="_Toc296503052"/>
      <w:bookmarkStart w:id="866" w:name="_Toc337558752"/>
      <w:r>
        <w:rPr>
          <w:rFonts w:hint="eastAsia"/>
          <w:color w:val="auto"/>
          <w:sz w:val="21"/>
          <w:szCs w:val="21"/>
          <w:highlight w:val="none"/>
        </w:rPr>
        <w:t>.7 履约担保</w:t>
      </w:r>
      <w:bookmarkEnd w:id="862"/>
      <w:bookmarkEnd w:id="863"/>
    </w:p>
    <w:bookmarkEnd w:id="864"/>
    <w:bookmarkEnd w:id="865"/>
    <w:bookmarkEnd w:id="866"/>
    <w:p w14:paraId="5FBA117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39C6F6E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因承包人原因导致工期延长的，继续提供履约担保所增加的费用由承包人承担；非因承包人原因导致工期延长的，继续提供履约担保所增加的费用由发包人承担。</w:t>
      </w:r>
    </w:p>
    <w:p w14:paraId="135E9A6B">
      <w:pPr>
        <w:pStyle w:val="7"/>
        <w:spacing w:before="0" w:beforeAutospacing="0" w:after="0" w:afterAutospacing="0" w:line="360" w:lineRule="auto"/>
        <w:ind w:firstLine="422" w:firstLineChars="200"/>
        <w:rPr>
          <w:color w:val="auto"/>
          <w:sz w:val="21"/>
          <w:szCs w:val="21"/>
          <w:highlight w:val="none"/>
        </w:rPr>
      </w:pPr>
      <w:bookmarkStart w:id="867" w:name="_Toc351203526"/>
      <w:bookmarkStart w:id="868" w:name="_Toc532377212"/>
      <w:r>
        <w:rPr>
          <w:rFonts w:hint="eastAsia"/>
          <w:color w:val="auto"/>
          <w:sz w:val="21"/>
          <w:szCs w:val="21"/>
          <w:highlight w:val="none"/>
        </w:rPr>
        <w:t>3.8 联合体</w:t>
      </w:r>
      <w:bookmarkEnd w:id="867"/>
      <w:bookmarkEnd w:id="868"/>
    </w:p>
    <w:p w14:paraId="0AAFB14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3.8.1 联合体各方应共同与发包人签订合同协议书。联合体各方应为履行合同向发包人承担连带责任。</w:t>
      </w:r>
    </w:p>
    <w:p w14:paraId="144B205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3.8.2 联合体协议经发包人确认后作为合同附件。在履行合同过程中，未经发包人同意，不得修改联合体协议。</w:t>
      </w:r>
    </w:p>
    <w:p w14:paraId="5705C32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3.8.3 联合体牵头人负责与发包人和监理人联系，并接受指示，负责组织联合体各成员全面履行合同。</w:t>
      </w:r>
    </w:p>
    <w:p w14:paraId="344A1354">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869" w:name="_Toc532375590"/>
      <w:bookmarkStart w:id="870" w:name="_Toc532377213"/>
      <w:bookmarkStart w:id="871" w:name="_Toc351203527"/>
      <w:r>
        <w:rPr>
          <w:rFonts w:hint="eastAsia"/>
          <w:color w:val="auto"/>
          <w:kern w:val="2"/>
          <w:sz w:val="21"/>
          <w:szCs w:val="21"/>
          <w:highlight w:val="none"/>
        </w:rPr>
        <w:t>4</w:t>
      </w:r>
      <w:bookmarkStart w:id="872" w:name="_Toc296503053"/>
      <w:bookmarkStart w:id="873" w:name="_Toc296346554"/>
      <w:bookmarkStart w:id="874" w:name="_Toc337558753"/>
      <w:r>
        <w:rPr>
          <w:rFonts w:hint="eastAsia"/>
          <w:color w:val="auto"/>
          <w:kern w:val="2"/>
          <w:sz w:val="21"/>
          <w:szCs w:val="21"/>
          <w:highlight w:val="none"/>
        </w:rPr>
        <w:t>. 监</w:t>
      </w:r>
      <w:bookmarkEnd w:id="872"/>
      <w:bookmarkEnd w:id="873"/>
      <w:r>
        <w:rPr>
          <w:rFonts w:hint="eastAsia"/>
          <w:color w:val="auto"/>
          <w:kern w:val="2"/>
          <w:sz w:val="21"/>
          <w:szCs w:val="21"/>
          <w:highlight w:val="none"/>
        </w:rPr>
        <w:t>理人</w:t>
      </w:r>
      <w:bookmarkEnd w:id="869"/>
      <w:bookmarkEnd w:id="870"/>
      <w:bookmarkEnd w:id="871"/>
    </w:p>
    <w:bookmarkEnd w:id="874"/>
    <w:p w14:paraId="6EBD1568">
      <w:pPr>
        <w:pStyle w:val="7"/>
        <w:spacing w:before="0" w:beforeAutospacing="0" w:after="0" w:afterAutospacing="0" w:line="360" w:lineRule="auto"/>
        <w:ind w:firstLine="422" w:firstLineChars="200"/>
        <w:rPr>
          <w:color w:val="auto"/>
          <w:sz w:val="21"/>
          <w:szCs w:val="21"/>
          <w:highlight w:val="none"/>
        </w:rPr>
      </w:pPr>
      <w:bookmarkStart w:id="875" w:name="_Toc532377214"/>
      <w:bookmarkStart w:id="876" w:name="_Toc351203528"/>
      <w:r>
        <w:rPr>
          <w:rFonts w:hint="eastAsia"/>
          <w:color w:val="auto"/>
          <w:sz w:val="21"/>
          <w:szCs w:val="21"/>
          <w:highlight w:val="none"/>
        </w:rPr>
        <w:t>4</w:t>
      </w:r>
      <w:bookmarkStart w:id="877" w:name="_Toc337558754"/>
      <w:bookmarkStart w:id="878" w:name="_Toc296503054"/>
      <w:bookmarkStart w:id="879" w:name="_Toc296346555"/>
      <w:r>
        <w:rPr>
          <w:rFonts w:hint="eastAsia"/>
          <w:color w:val="auto"/>
          <w:sz w:val="21"/>
          <w:szCs w:val="21"/>
          <w:highlight w:val="none"/>
        </w:rPr>
        <w:t>.1监理人的一般规定</w:t>
      </w:r>
      <w:bookmarkEnd w:id="875"/>
      <w:bookmarkEnd w:id="876"/>
    </w:p>
    <w:bookmarkEnd w:id="877"/>
    <w:bookmarkEnd w:id="878"/>
    <w:bookmarkEnd w:id="879"/>
    <w:p w14:paraId="5D69A78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01537D2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除专用合同条款另有约定外，监理人在施工现场的办公场所、生活场所由承包人提供，所发生的费用由发包人承担。</w:t>
      </w:r>
    </w:p>
    <w:p w14:paraId="2B60BE1F">
      <w:pPr>
        <w:pStyle w:val="7"/>
        <w:spacing w:before="0" w:beforeAutospacing="0" w:after="0" w:afterAutospacing="0" w:line="360" w:lineRule="auto"/>
        <w:ind w:firstLine="422" w:firstLineChars="200"/>
        <w:rPr>
          <w:color w:val="auto"/>
          <w:sz w:val="21"/>
          <w:szCs w:val="21"/>
          <w:highlight w:val="none"/>
        </w:rPr>
      </w:pPr>
      <w:bookmarkStart w:id="880" w:name="_Toc532377215"/>
      <w:bookmarkStart w:id="881" w:name="_Toc351203529"/>
      <w:r>
        <w:rPr>
          <w:rFonts w:hint="eastAsia"/>
          <w:color w:val="auto"/>
          <w:sz w:val="21"/>
          <w:szCs w:val="21"/>
          <w:highlight w:val="none"/>
        </w:rPr>
        <w:t>4</w:t>
      </w:r>
      <w:bookmarkStart w:id="882" w:name="_Toc337558755"/>
      <w:r>
        <w:rPr>
          <w:rFonts w:hint="eastAsia"/>
          <w:color w:val="auto"/>
          <w:sz w:val="21"/>
          <w:szCs w:val="21"/>
          <w:highlight w:val="none"/>
        </w:rPr>
        <w:t>.2监理人员</w:t>
      </w:r>
      <w:bookmarkEnd w:id="880"/>
      <w:bookmarkEnd w:id="881"/>
    </w:p>
    <w:bookmarkEnd w:id="882"/>
    <w:p w14:paraId="7312F06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1EB69205">
      <w:pPr>
        <w:pStyle w:val="7"/>
        <w:spacing w:before="0" w:beforeAutospacing="0" w:after="0" w:afterAutospacing="0" w:line="360" w:lineRule="auto"/>
        <w:ind w:firstLine="422" w:firstLineChars="200"/>
        <w:rPr>
          <w:color w:val="auto"/>
          <w:sz w:val="21"/>
          <w:szCs w:val="21"/>
          <w:highlight w:val="none"/>
        </w:rPr>
      </w:pPr>
      <w:bookmarkStart w:id="883" w:name="_Toc351203530"/>
      <w:bookmarkStart w:id="884" w:name="_Toc532377216"/>
      <w:r>
        <w:rPr>
          <w:rFonts w:hint="eastAsia"/>
          <w:color w:val="auto"/>
          <w:sz w:val="21"/>
          <w:szCs w:val="21"/>
          <w:highlight w:val="none"/>
        </w:rPr>
        <w:t>4</w:t>
      </w:r>
      <w:bookmarkStart w:id="885" w:name="_Toc296503055"/>
      <w:bookmarkStart w:id="886" w:name="_Toc296346556"/>
      <w:bookmarkStart w:id="887" w:name="_Toc337558756"/>
      <w:r>
        <w:rPr>
          <w:rFonts w:hint="eastAsia"/>
          <w:color w:val="auto"/>
          <w:sz w:val="21"/>
          <w:szCs w:val="21"/>
          <w:highlight w:val="none"/>
        </w:rPr>
        <w:t>.3</w:t>
      </w:r>
      <w:bookmarkEnd w:id="885"/>
      <w:bookmarkEnd w:id="886"/>
      <w:r>
        <w:rPr>
          <w:rFonts w:hint="eastAsia"/>
          <w:color w:val="auto"/>
          <w:sz w:val="21"/>
          <w:szCs w:val="21"/>
          <w:highlight w:val="none"/>
        </w:rPr>
        <w:t>监理人的指</w:t>
      </w:r>
      <w:bookmarkEnd w:id="887"/>
      <w:r>
        <w:rPr>
          <w:rFonts w:hint="eastAsia"/>
          <w:color w:val="auto"/>
          <w:sz w:val="21"/>
          <w:szCs w:val="21"/>
          <w:highlight w:val="none"/>
        </w:rPr>
        <w:t>示</w:t>
      </w:r>
      <w:bookmarkEnd w:id="883"/>
      <w:bookmarkEnd w:id="884"/>
    </w:p>
    <w:p w14:paraId="35B6E01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403896D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386957A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承包人对监理人发出的指示有疑问的，应向监理人提出书面异议，监理人应在48小时内对该指示予以确认、更改或撤销，监理人逾期未回复的，承包人有权拒绝执行上述指示。</w:t>
      </w:r>
    </w:p>
    <w:p w14:paraId="65B5489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4235DE51">
      <w:pPr>
        <w:pStyle w:val="7"/>
        <w:spacing w:before="0" w:beforeAutospacing="0" w:after="0" w:afterAutospacing="0" w:line="360" w:lineRule="auto"/>
        <w:ind w:firstLine="422" w:firstLineChars="200"/>
        <w:rPr>
          <w:color w:val="auto"/>
          <w:sz w:val="21"/>
          <w:szCs w:val="21"/>
          <w:highlight w:val="none"/>
        </w:rPr>
      </w:pPr>
      <w:bookmarkStart w:id="888" w:name="_Toc532377217"/>
      <w:bookmarkStart w:id="889" w:name="_Toc351203531"/>
      <w:r>
        <w:rPr>
          <w:rFonts w:hint="eastAsia"/>
          <w:color w:val="auto"/>
          <w:sz w:val="21"/>
          <w:szCs w:val="21"/>
          <w:highlight w:val="none"/>
        </w:rPr>
        <w:t>4</w:t>
      </w:r>
      <w:bookmarkStart w:id="890" w:name="_Toc296346558"/>
      <w:bookmarkStart w:id="891" w:name="_Toc337558757"/>
      <w:bookmarkStart w:id="892" w:name="_Toc296503057"/>
      <w:r>
        <w:rPr>
          <w:rFonts w:hint="eastAsia"/>
          <w:color w:val="auto"/>
          <w:sz w:val="21"/>
          <w:szCs w:val="21"/>
          <w:highlight w:val="none"/>
        </w:rPr>
        <w:t>.4 商定或确定</w:t>
      </w:r>
      <w:bookmarkEnd w:id="888"/>
      <w:bookmarkEnd w:id="889"/>
    </w:p>
    <w:bookmarkEnd w:id="890"/>
    <w:bookmarkEnd w:id="891"/>
    <w:bookmarkEnd w:id="892"/>
    <w:p w14:paraId="1EBF9A3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合同当事人进行商定或确定时，总监理工程师应当会同合同当事人尽量通过协商达成一致，不能达成一致的，由总监理工程师按照合同约定审慎做出公正的确定。</w:t>
      </w:r>
    </w:p>
    <w:p w14:paraId="2FB22B1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37AFE30C">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893" w:name="_Toc532375591"/>
      <w:bookmarkStart w:id="894" w:name="_Toc351203532"/>
      <w:bookmarkStart w:id="895" w:name="_Toc532377218"/>
      <w:r>
        <w:rPr>
          <w:rFonts w:hint="eastAsia"/>
          <w:color w:val="auto"/>
          <w:kern w:val="2"/>
          <w:sz w:val="21"/>
          <w:szCs w:val="21"/>
          <w:highlight w:val="none"/>
        </w:rPr>
        <w:t>5</w:t>
      </w:r>
      <w:bookmarkStart w:id="896" w:name="_Toc337558758"/>
      <w:r>
        <w:rPr>
          <w:rFonts w:hint="eastAsia"/>
          <w:color w:val="auto"/>
          <w:kern w:val="2"/>
          <w:sz w:val="21"/>
          <w:szCs w:val="21"/>
          <w:highlight w:val="none"/>
        </w:rPr>
        <w:t>. 工程质量</w:t>
      </w:r>
      <w:bookmarkEnd w:id="893"/>
      <w:bookmarkEnd w:id="894"/>
      <w:bookmarkEnd w:id="895"/>
    </w:p>
    <w:bookmarkEnd w:id="896"/>
    <w:p w14:paraId="34B008E3">
      <w:pPr>
        <w:pStyle w:val="7"/>
        <w:spacing w:before="0" w:beforeAutospacing="0" w:after="0" w:afterAutospacing="0" w:line="360" w:lineRule="auto"/>
        <w:ind w:firstLine="422" w:firstLineChars="200"/>
        <w:rPr>
          <w:color w:val="auto"/>
          <w:sz w:val="21"/>
          <w:szCs w:val="21"/>
          <w:highlight w:val="none"/>
        </w:rPr>
      </w:pPr>
      <w:bookmarkStart w:id="897" w:name="_Toc351203533"/>
      <w:bookmarkStart w:id="898" w:name="_Toc532377219"/>
      <w:r>
        <w:rPr>
          <w:rFonts w:hint="eastAsia"/>
          <w:color w:val="auto"/>
          <w:sz w:val="21"/>
          <w:szCs w:val="21"/>
          <w:highlight w:val="none"/>
        </w:rPr>
        <w:t>5</w:t>
      </w:r>
      <w:bookmarkStart w:id="899" w:name="_Toc337558759"/>
      <w:r>
        <w:rPr>
          <w:rFonts w:hint="eastAsia"/>
          <w:color w:val="auto"/>
          <w:sz w:val="21"/>
          <w:szCs w:val="21"/>
          <w:highlight w:val="none"/>
        </w:rPr>
        <w:t>.1质量要求</w:t>
      </w:r>
      <w:bookmarkEnd w:id="897"/>
      <w:bookmarkEnd w:id="898"/>
    </w:p>
    <w:bookmarkEnd w:id="899"/>
    <w:p w14:paraId="1B7023B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5.1.1 工程质量标准必须符合现行国家有关工程施工质量验收规范和标准的要求。有关工程质量的特殊标准或要求由合同当事人在专用合同条款中约定。</w:t>
      </w:r>
    </w:p>
    <w:p w14:paraId="2FA7BF0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5.1.2 因发包人原因造成工程质量未达到合同约定标准的，由发包人承担由此增加的费用和（或）延误的工期，并支付承包人合理的利润。</w:t>
      </w:r>
    </w:p>
    <w:p w14:paraId="480D944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5.1.3 因承包人原因造成工程质量未达到合同约定标准的，发包人有权要求承包人返工直至工程质量达到合同约定的标准为止，并由承包人承担由此增加的费用和（或）延误的工期。</w:t>
      </w:r>
    </w:p>
    <w:p w14:paraId="3FE04A90">
      <w:pPr>
        <w:pStyle w:val="7"/>
        <w:spacing w:before="0" w:beforeAutospacing="0" w:after="0" w:afterAutospacing="0" w:line="360" w:lineRule="auto"/>
        <w:ind w:firstLine="422" w:firstLineChars="200"/>
        <w:rPr>
          <w:color w:val="auto"/>
          <w:sz w:val="21"/>
          <w:szCs w:val="21"/>
          <w:highlight w:val="none"/>
        </w:rPr>
      </w:pPr>
      <w:bookmarkStart w:id="900" w:name="_Toc351203534"/>
      <w:bookmarkStart w:id="901" w:name="_Toc532377220"/>
      <w:r>
        <w:rPr>
          <w:rFonts w:hint="eastAsia"/>
          <w:color w:val="auto"/>
          <w:sz w:val="21"/>
          <w:szCs w:val="21"/>
          <w:highlight w:val="none"/>
        </w:rPr>
        <w:t>5</w:t>
      </w:r>
      <w:bookmarkStart w:id="902" w:name="_Toc337558760"/>
      <w:r>
        <w:rPr>
          <w:rFonts w:hint="eastAsia"/>
          <w:color w:val="auto"/>
          <w:sz w:val="21"/>
          <w:szCs w:val="21"/>
          <w:highlight w:val="none"/>
        </w:rPr>
        <w:t>.2质量保证措施</w:t>
      </w:r>
      <w:bookmarkEnd w:id="900"/>
      <w:bookmarkEnd w:id="901"/>
    </w:p>
    <w:bookmarkEnd w:id="902"/>
    <w:p w14:paraId="0DEE9E7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5.2.1 发包人的质量管理</w:t>
      </w:r>
    </w:p>
    <w:p w14:paraId="292B4BE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发包人应按照法律规定及合同约定完成与工程质量有关的各项工作。</w:t>
      </w:r>
    </w:p>
    <w:p w14:paraId="1225FC3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5.2.2 承包人的质量管理</w:t>
      </w:r>
    </w:p>
    <w:p w14:paraId="4BAFE85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200518B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承包人应对施工人员进行质量教育和技术培训，定期考核施工人员的劳动技能，严格执行施工规范和操作规程。</w:t>
      </w:r>
    </w:p>
    <w:p w14:paraId="664EAD7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353BE6C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5.2.3 监理人的质量检查和检验</w:t>
      </w:r>
    </w:p>
    <w:p w14:paraId="285B019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746B9C2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33EA8F43">
      <w:pPr>
        <w:pStyle w:val="7"/>
        <w:spacing w:before="0" w:beforeAutospacing="0" w:after="0" w:afterAutospacing="0" w:line="360" w:lineRule="auto"/>
        <w:ind w:firstLine="422" w:firstLineChars="200"/>
        <w:rPr>
          <w:color w:val="auto"/>
          <w:sz w:val="21"/>
          <w:szCs w:val="21"/>
          <w:highlight w:val="none"/>
        </w:rPr>
      </w:pPr>
      <w:bookmarkStart w:id="903" w:name="_Toc532377221"/>
      <w:bookmarkStart w:id="904" w:name="_Toc351203535"/>
      <w:r>
        <w:rPr>
          <w:rFonts w:hint="eastAsia"/>
          <w:color w:val="auto"/>
          <w:sz w:val="21"/>
          <w:szCs w:val="21"/>
          <w:highlight w:val="none"/>
        </w:rPr>
        <w:t>5</w:t>
      </w:r>
      <w:bookmarkStart w:id="905" w:name="_Toc337558761"/>
      <w:r>
        <w:rPr>
          <w:rFonts w:hint="eastAsia"/>
          <w:color w:val="auto"/>
          <w:sz w:val="21"/>
          <w:szCs w:val="21"/>
          <w:highlight w:val="none"/>
        </w:rPr>
        <w:t>.3 隐蔽工程检查</w:t>
      </w:r>
      <w:bookmarkEnd w:id="903"/>
      <w:bookmarkEnd w:id="904"/>
    </w:p>
    <w:bookmarkEnd w:id="905"/>
    <w:p w14:paraId="68E3796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5.3.1承包人自检</w:t>
      </w:r>
    </w:p>
    <w:p w14:paraId="093A93D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承包人应当对工程隐蔽部位进行自检，并经自检确认是否具备覆盖条件。</w:t>
      </w:r>
    </w:p>
    <w:p w14:paraId="1AD20A8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5.3.2检查程序</w:t>
      </w:r>
    </w:p>
    <w:p w14:paraId="04A659D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788CF40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6F5A42F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4DB468D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5.3.3 重新检查</w:t>
      </w:r>
    </w:p>
    <w:p w14:paraId="13407D6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11E394D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5.3.4 承包人私自覆盖</w:t>
      </w:r>
    </w:p>
    <w:p w14:paraId="08F8AB9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70599B61">
      <w:pPr>
        <w:pStyle w:val="7"/>
        <w:spacing w:before="0" w:beforeAutospacing="0" w:after="0" w:afterAutospacing="0" w:line="360" w:lineRule="auto"/>
        <w:ind w:firstLine="422" w:firstLineChars="200"/>
        <w:rPr>
          <w:color w:val="auto"/>
          <w:sz w:val="21"/>
          <w:szCs w:val="21"/>
          <w:highlight w:val="none"/>
        </w:rPr>
      </w:pPr>
      <w:bookmarkStart w:id="906" w:name="_Toc532377222"/>
      <w:r>
        <w:rPr>
          <w:rFonts w:hint="eastAsia"/>
          <w:color w:val="auto"/>
          <w:sz w:val="21"/>
          <w:szCs w:val="21"/>
          <w:highlight w:val="none"/>
        </w:rPr>
        <w:t>5.4不合格工程的处理</w:t>
      </w:r>
      <w:bookmarkEnd w:id="906"/>
    </w:p>
    <w:p w14:paraId="5A7337F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5477E60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5.4.2 因发包人原因造成工程不合格的，由此增加的费用和（或）延误的工期由发包人承担，并支付承包人合理的利润。</w:t>
      </w:r>
    </w:p>
    <w:p w14:paraId="3E1A13BA">
      <w:pPr>
        <w:pStyle w:val="7"/>
        <w:spacing w:before="0" w:beforeAutospacing="0" w:after="0" w:afterAutospacing="0" w:line="360" w:lineRule="auto"/>
        <w:ind w:firstLine="422" w:firstLineChars="200"/>
        <w:rPr>
          <w:color w:val="auto"/>
          <w:sz w:val="21"/>
          <w:szCs w:val="21"/>
          <w:highlight w:val="none"/>
        </w:rPr>
      </w:pPr>
      <w:bookmarkStart w:id="907" w:name="_Toc351203537"/>
      <w:bookmarkStart w:id="908" w:name="_Toc532377223"/>
      <w:r>
        <w:rPr>
          <w:rFonts w:hint="eastAsia"/>
          <w:color w:val="auto"/>
          <w:sz w:val="21"/>
          <w:szCs w:val="21"/>
          <w:highlight w:val="none"/>
        </w:rPr>
        <w:t>5.5 质量争议检测</w:t>
      </w:r>
      <w:bookmarkEnd w:id="907"/>
      <w:bookmarkEnd w:id="908"/>
    </w:p>
    <w:p w14:paraId="4860CD1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合同当事人对工程质量有争议的，由双方协商确定的工程质量检测机构鉴定，由此产生的费用及因此造成的损失，由责任方承担。</w:t>
      </w:r>
    </w:p>
    <w:p w14:paraId="2CC237E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合同当事人均有责任的，由双方根据其责任分别承担。合同当事人无法达成一致的，按照第4.4款〔商定或确定〕执行。</w:t>
      </w:r>
    </w:p>
    <w:p w14:paraId="648BC0AF">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909" w:name="_Toc351203538"/>
      <w:bookmarkStart w:id="910" w:name="_Toc532375592"/>
      <w:bookmarkStart w:id="911" w:name="_Toc532377224"/>
      <w:r>
        <w:rPr>
          <w:rFonts w:hint="eastAsia"/>
          <w:color w:val="auto"/>
          <w:kern w:val="2"/>
          <w:sz w:val="21"/>
          <w:szCs w:val="21"/>
          <w:highlight w:val="none"/>
        </w:rPr>
        <w:t>6</w:t>
      </w:r>
      <w:bookmarkStart w:id="912" w:name="_Toc337558763"/>
      <w:r>
        <w:rPr>
          <w:rFonts w:hint="eastAsia"/>
          <w:color w:val="auto"/>
          <w:kern w:val="2"/>
          <w:sz w:val="21"/>
          <w:szCs w:val="21"/>
          <w:highlight w:val="none"/>
        </w:rPr>
        <w:t>. 安全文明施工与环境保护</w:t>
      </w:r>
      <w:bookmarkEnd w:id="909"/>
      <w:bookmarkEnd w:id="910"/>
      <w:bookmarkEnd w:id="911"/>
    </w:p>
    <w:bookmarkEnd w:id="912"/>
    <w:p w14:paraId="628F3694">
      <w:pPr>
        <w:pStyle w:val="7"/>
        <w:spacing w:before="0" w:beforeAutospacing="0" w:after="0" w:afterAutospacing="0" w:line="360" w:lineRule="auto"/>
        <w:ind w:firstLine="422" w:firstLineChars="200"/>
        <w:rPr>
          <w:color w:val="auto"/>
          <w:sz w:val="21"/>
          <w:szCs w:val="21"/>
          <w:highlight w:val="none"/>
        </w:rPr>
      </w:pPr>
      <w:bookmarkStart w:id="913" w:name="_Toc351203539"/>
      <w:bookmarkStart w:id="914" w:name="_Toc532377225"/>
      <w:r>
        <w:rPr>
          <w:rFonts w:hint="eastAsia"/>
          <w:color w:val="auto"/>
          <w:sz w:val="21"/>
          <w:szCs w:val="21"/>
          <w:highlight w:val="none"/>
        </w:rPr>
        <w:t>6</w:t>
      </w:r>
      <w:bookmarkStart w:id="915" w:name="_Toc337558764"/>
      <w:r>
        <w:rPr>
          <w:rFonts w:hint="eastAsia"/>
          <w:color w:val="auto"/>
          <w:sz w:val="21"/>
          <w:szCs w:val="21"/>
          <w:highlight w:val="none"/>
        </w:rPr>
        <w:t>.1安全文明施工</w:t>
      </w:r>
      <w:bookmarkEnd w:id="913"/>
      <w:bookmarkEnd w:id="914"/>
    </w:p>
    <w:bookmarkEnd w:id="915"/>
    <w:p w14:paraId="060BE6A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6.1.1安全生产要求</w:t>
      </w:r>
    </w:p>
    <w:p w14:paraId="1E8A911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1888FC5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在施工过程中，如遇到突发的地质变动、事先未知的地下施工障碍等影响施工安全的紧急情况，承包人应及时报告监理人和发包人，发包人应当及时下令停工并报政府有关行政管理部门采取应急措施。</w:t>
      </w:r>
    </w:p>
    <w:p w14:paraId="74D9B7E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因安全生产需要暂停施工的，按照第7.8款〔暂停施工〕的约定执行。</w:t>
      </w:r>
    </w:p>
    <w:p w14:paraId="1A7FF37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6.1.2 安全生产保证措施</w:t>
      </w:r>
    </w:p>
    <w:p w14:paraId="5DEE050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w:t>
      </w:r>
    </w:p>
    <w:p w14:paraId="221CB44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6.1.3特别安全生产事项</w:t>
      </w:r>
    </w:p>
    <w:p w14:paraId="6F1A941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79B3CE0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承包人在动力设备、输电线路、地下管道、密封防震车间、易燃易爆地段以及临街交通要道附近施工时，施工开始前应向发包人和监理人提出安全防护措施，经发包人认可后实施。 </w:t>
      </w:r>
    </w:p>
    <w:p w14:paraId="1018604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14:paraId="2174EDF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需单独编制危险性较大分部分项专项工程施工方案的，及要求进行专家论证的超过一定规模的危险性较大的分部分项工程，承包人应及时编制和组织论证。</w:t>
      </w:r>
    </w:p>
    <w:p w14:paraId="4D4FD8D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6.1.4 治安保卫</w:t>
      </w:r>
    </w:p>
    <w:p w14:paraId="60286A0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除专用合同条款另有约定外，发包人应与当地公安部门协商，在现场建立治安管理机构或联防组织，统一管理施工场地的治安保卫事项，履行合同工程的治安保卫职责。</w:t>
      </w:r>
    </w:p>
    <w:p w14:paraId="669AE9B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发包人和承包人除应协助现场治安管理机构或联防组织维护施工场地的社会治安外，还应做好包括生活区在内的各自管辖区的治安保卫工作。</w:t>
      </w:r>
    </w:p>
    <w:p w14:paraId="3E65773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2D175B2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6.1.5 文明施工</w:t>
      </w:r>
    </w:p>
    <w:p w14:paraId="5BD4D2C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7A36C17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2A11979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6.1.6 安全文明施工费</w:t>
      </w:r>
    </w:p>
    <w:p w14:paraId="41838F4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安全文明施工费由发包人承担，发包人不得以任何形式扣减该部分费用。因基准日期后合同所适用的法律或政府有关规定发生变化，增加的安全文明施工费由发包人承担。</w:t>
      </w:r>
    </w:p>
    <w:p w14:paraId="64A4A20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616C7BA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48A77C2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66C1FCA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6.1.7 紧急情况处理</w:t>
      </w:r>
    </w:p>
    <w:p w14:paraId="5CC90A8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3579589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6.1.8 事故处理</w:t>
      </w:r>
    </w:p>
    <w:p w14:paraId="53E5818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6A0464C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6.1.9 安全生产责任</w:t>
      </w:r>
    </w:p>
    <w:p w14:paraId="09BD1A5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6.1.9.1 发包人的安全责任</w:t>
      </w:r>
    </w:p>
    <w:p w14:paraId="14996C6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发包人应负责赔偿以下各种情况造成的损失：</w:t>
      </w:r>
    </w:p>
    <w:p w14:paraId="30DACF7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（1）工程或工程的任何部分对土地的占用所造成的第三者财产损失；</w:t>
      </w:r>
    </w:p>
    <w:p w14:paraId="60EB15A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（2）由于发包人原因在施工场地及其毗邻地带造成的第三者人身伤亡和财产损失；</w:t>
      </w:r>
    </w:p>
    <w:p w14:paraId="59E352E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（3）由于发包人原因对承包人、监理人造成的人员人身伤亡和财产损失；</w:t>
      </w:r>
    </w:p>
    <w:p w14:paraId="427C859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（4）由于发包人原因造成的发包人自身人员的人身伤害以及财产损失。</w:t>
      </w:r>
    </w:p>
    <w:p w14:paraId="0F9E492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6.1.9.2 承包人的安全责任</w:t>
      </w:r>
    </w:p>
    <w:p w14:paraId="38CECC5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由于承包人原因在施工场地内及其毗邻地带造成的发包人、监理人以及第三者人员伤亡和财产损失，由承包人负责赔偿。</w:t>
      </w:r>
    </w:p>
    <w:p w14:paraId="66573B7E">
      <w:pPr>
        <w:pStyle w:val="7"/>
        <w:spacing w:before="0" w:beforeAutospacing="0" w:after="0" w:afterAutospacing="0" w:line="360" w:lineRule="auto"/>
        <w:ind w:firstLine="422" w:firstLineChars="200"/>
        <w:rPr>
          <w:color w:val="auto"/>
          <w:sz w:val="21"/>
          <w:szCs w:val="21"/>
          <w:highlight w:val="none"/>
        </w:rPr>
      </w:pPr>
      <w:bookmarkStart w:id="916" w:name="_Toc532377226"/>
      <w:bookmarkStart w:id="917" w:name="_Toc351203540"/>
      <w:r>
        <w:rPr>
          <w:rFonts w:hint="eastAsia"/>
          <w:color w:val="auto"/>
          <w:sz w:val="21"/>
          <w:szCs w:val="21"/>
          <w:highlight w:val="none"/>
        </w:rPr>
        <w:t>6</w:t>
      </w:r>
      <w:bookmarkStart w:id="918" w:name="_Toc337558765"/>
      <w:r>
        <w:rPr>
          <w:rFonts w:hint="eastAsia"/>
          <w:color w:val="auto"/>
          <w:sz w:val="21"/>
          <w:szCs w:val="21"/>
          <w:highlight w:val="none"/>
        </w:rPr>
        <w:t>.2 职业健康</w:t>
      </w:r>
      <w:bookmarkEnd w:id="916"/>
      <w:bookmarkEnd w:id="917"/>
    </w:p>
    <w:bookmarkEnd w:id="918"/>
    <w:p w14:paraId="33D3400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6.2.1 劳动保护</w:t>
      </w:r>
    </w:p>
    <w:p w14:paraId="15C3F4C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37FDC62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5AEC3C6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承包人应按法律规定安排工作时间，保证其雇佣人员享有休息和休假的权利。因工程施工的特殊需要占用休假日或延长工作时间的，应不超过法律规定的限度，并按法律规定给予补休或付酬。</w:t>
      </w:r>
    </w:p>
    <w:p w14:paraId="3D98E2B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6.2.2 生活条件</w:t>
      </w:r>
    </w:p>
    <w:p w14:paraId="6DACEDC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0EE56556">
      <w:pPr>
        <w:pStyle w:val="7"/>
        <w:spacing w:before="0" w:beforeAutospacing="0" w:after="0" w:afterAutospacing="0" w:line="360" w:lineRule="auto"/>
        <w:ind w:firstLine="422" w:firstLineChars="200"/>
        <w:rPr>
          <w:color w:val="auto"/>
          <w:sz w:val="21"/>
          <w:szCs w:val="21"/>
          <w:highlight w:val="none"/>
        </w:rPr>
      </w:pPr>
      <w:bookmarkStart w:id="919" w:name="_Toc351203541"/>
      <w:bookmarkStart w:id="920" w:name="_Toc532377227"/>
      <w:r>
        <w:rPr>
          <w:rFonts w:hint="eastAsia"/>
          <w:color w:val="auto"/>
          <w:sz w:val="21"/>
          <w:szCs w:val="21"/>
          <w:highlight w:val="none"/>
        </w:rPr>
        <w:t>6</w:t>
      </w:r>
      <w:bookmarkStart w:id="921" w:name="_Toc337558766"/>
      <w:r>
        <w:rPr>
          <w:rFonts w:hint="eastAsia"/>
          <w:color w:val="auto"/>
          <w:sz w:val="21"/>
          <w:szCs w:val="21"/>
          <w:highlight w:val="none"/>
        </w:rPr>
        <w:t>.3 环境保护</w:t>
      </w:r>
      <w:bookmarkEnd w:id="919"/>
      <w:bookmarkEnd w:id="920"/>
    </w:p>
    <w:bookmarkEnd w:id="921"/>
    <w:p w14:paraId="4F8A739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7BC824D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承包人应当承担因其原因引起的环境污染侵权损害赔偿责任，因上述环境污染引起纠纷而导致暂停施工的，由此增加的费用和（或）延误的工期由承包人承担。</w:t>
      </w:r>
    </w:p>
    <w:p w14:paraId="5B941897">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922" w:name="_Toc351203542"/>
      <w:bookmarkStart w:id="923" w:name="_Toc532377228"/>
      <w:bookmarkStart w:id="924" w:name="_Toc532375593"/>
      <w:r>
        <w:rPr>
          <w:rFonts w:hint="eastAsia"/>
          <w:color w:val="auto"/>
          <w:kern w:val="2"/>
          <w:sz w:val="21"/>
          <w:szCs w:val="21"/>
          <w:highlight w:val="none"/>
        </w:rPr>
        <w:t>7</w:t>
      </w:r>
      <w:bookmarkStart w:id="925" w:name="_Toc337558767"/>
      <w:r>
        <w:rPr>
          <w:rFonts w:hint="eastAsia"/>
          <w:color w:val="auto"/>
          <w:kern w:val="2"/>
          <w:sz w:val="21"/>
          <w:szCs w:val="21"/>
          <w:highlight w:val="none"/>
        </w:rPr>
        <w:t>. 工期和进度</w:t>
      </w:r>
      <w:bookmarkEnd w:id="922"/>
      <w:bookmarkEnd w:id="923"/>
      <w:bookmarkEnd w:id="924"/>
    </w:p>
    <w:bookmarkEnd w:id="925"/>
    <w:p w14:paraId="32F34526">
      <w:pPr>
        <w:pStyle w:val="7"/>
        <w:spacing w:before="0" w:beforeAutospacing="0" w:after="0" w:afterAutospacing="0" w:line="360" w:lineRule="auto"/>
        <w:ind w:firstLine="422" w:firstLineChars="200"/>
        <w:rPr>
          <w:color w:val="auto"/>
          <w:sz w:val="21"/>
          <w:szCs w:val="21"/>
          <w:highlight w:val="none"/>
        </w:rPr>
      </w:pPr>
      <w:bookmarkStart w:id="926" w:name="_Toc351203543"/>
      <w:bookmarkStart w:id="927" w:name="_Toc532377229"/>
      <w:r>
        <w:rPr>
          <w:rFonts w:hint="eastAsia"/>
          <w:color w:val="auto"/>
          <w:sz w:val="21"/>
          <w:szCs w:val="21"/>
          <w:highlight w:val="none"/>
        </w:rPr>
        <w:t>7</w:t>
      </w:r>
      <w:bookmarkStart w:id="928" w:name="_Toc337558768"/>
      <w:bookmarkStart w:id="929" w:name="_Toc296503066"/>
      <w:bookmarkStart w:id="930" w:name="_Toc296346567"/>
      <w:r>
        <w:rPr>
          <w:rFonts w:hint="eastAsia"/>
          <w:color w:val="auto"/>
          <w:sz w:val="21"/>
          <w:szCs w:val="21"/>
          <w:highlight w:val="none"/>
        </w:rPr>
        <w:t>.1施工组织设计</w:t>
      </w:r>
      <w:bookmarkEnd w:id="926"/>
      <w:bookmarkEnd w:id="927"/>
    </w:p>
    <w:bookmarkEnd w:id="928"/>
    <w:p w14:paraId="25B6FEE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7.1.1 施工组织设计的内容</w:t>
      </w:r>
    </w:p>
    <w:p w14:paraId="1DAC93F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施工组织设计应包含以下内容：</w:t>
      </w:r>
    </w:p>
    <w:p w14:paraId="4F150F4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（1）施工方案； </w:t>
      </w:r>
    </w:p>
    <w:p w14:paraId="1D473DD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（2）施工现场平面布置图；</w:t>
      </w:r>
    </w:p>
    <w:p w14:paraId="472098E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（3）施工进度计划和保证措施； </w:t>
      </w:r>
    </w:p>
    <w:p w14:paraId="0C63FAA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（4）劳动力及材料供应计划；</w:t>
      </w:r>
    </w:p>
    <w:p w14:paraId="61720C3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（5）施工机械设备的选用；</w:t>
      </w:r>
    </w:p>
    <w:p w14:paraId="609F9E2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（6）质量保证体系及措施；</w:t>
      </w:r>
    </w:p>
    <w:p w14:paraId="667FBB7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（7）安全生产、文明施工措施；</w:t>
      </w:r>
    </w:p>
    <w:p w14:paraId="16829BA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（8）环境保护、成本控制措施；</w:t>
      </w:r>
    </w:p>
    <w:p w14:paraId="0C10C0D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（9）合同当事人约定的其他内容。</w:t>
      </w:r>
    </w:p>
    <w:p w14:paraId="3D07D9C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7.1.2 施工组织设计的提交和修改</w:t>
      </w:r>
    </w:p>
    <w:p w14:paraId="0E4E22B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593E667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施工进度计划的编制和修改按照第7.2款〔施工进度计划〕执行。</w:t>
      </w:r>
    </w:p>
    <w:p w14:paraId="63682BFF">
      <w:pPr>
        <w:pStyle w:val="7"/>
        <w:spacing w:before="0" w:beforeAutospacing="0" w:after="0" w:afterAutospacing="0" w:line="360" w:lineRule="auto"/>
        <w:ind w:firstLine="422" w:firstLineChars="200"/>
        <w:rPr>
          <w:color w:val="auto"/>
          <w:sz w:val="21"/>
          <w:szCs w:val="21"/>
          <w:highlight w:val="none"/>
        </w:rPr>
      </w:pPr>
      <w:bookmarkStart w:id="931" w:name="_Toc532377230"/>
      <w:bookmarkStart w:id="932" w:name="_Toc351203544"/>
      <w:r>
        <w:rPr>
          <w:rFonts w:hint="eastAsia"/>
          <w:color w:val="auto"/>
          <w:sz w:val="21"/>
          <w:szCs w:val="21"/>
          <w:highlight w:val="none"/>
        </w:rPr>
        <w:t>7</w:t>
      </w:r>
      <w:bookmarkStart w:id="933" w:name="_Toc337558769"/>
      <w:r>
        <w:rPr>
          <w:rFonts w:hint="eastAsia"/>
          <w:color w:val="auto"/>
          <w:sz w:val="21"/>
          <w:szCs w:val="21"/>
          <w:highlight w:val="none"/>
        </w:rPr>
        <w:t>.2 施工进度计划</w:t>
      </w:r>
      <w:bookmarkEnd w:id="931"/>
      <w:bookmarkEnd w:id="932"/>
    </w:p>
    <w:bookmarkEnd w:id="933"/>
    <w:p w14:paraId="6E3AB94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7.2.1 施工进度计划的编制</w:t>
      </w:r>
    </w:p>
    <w:p w14:paraId="552A12E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58A2EBD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7.2.2 施工进度计划的修订</w:t>
      </w:r>
    </w:p>
    <w:p w14:paraId="365F866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6E8B1202">
      <w:pPr>
        <w:pStyle w:val="7"/>
        <w:spacing w:before="0" w:beforeAutospacing="0" w:after="0" w:afterAutospacing="0" w:line="360" w:lineRule="auto"/>
        <w:ind w:firstLine="422" w:firstLineChars="200"/>
        <w:rPr>
          <w:color w:val="auto"/>
          <w:sz w:val="21"/>
          <w:szCs w:val="21"/>
          <w:highlight w:val="none"/>
        </w:rPr>
      </w:pPr>
      <w:bookmarkStart w:id="934" w:name="_Toc351203545"/>
      <w:bookmarkStart w:id="935" w:name="_Toc532377231"/>
      <w:r>
        <w:rPr>
          <w:rFonts w:hint="eastAsia"/>
          <w:color w:val="auto"/>
          <w:sz w:val="21"/>
          <w:szCs w:val="21"/>
          <w:highlight w:val="none"/>
        </w:rPr>
        <w:t>7</w:t>
      </w:r>
      <w:bookmarkStart w:id="936" w:name="_Toc337558770"/>
      <w:r>
        <w:rPr>
          <w:rFonts w:hint="eastAsia"/>
          <w:color w:val="auto"/>
          <w:sz w:val="21"/>
          <w:szCs w:val="21"/>
          <w:highlight w:val="none"/>
        </w:rPr>
        <w:t>.3 开工</w:t>
      </w:r>
      <w:bookmarkEnd w:id="934"/>
      <w:bookmarkEnd w:id="935"/>
    </w:p>
    <w:p w14:paraId="1885081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7.3.1 开工准备</w:t>
      </w:r>
    </w:p>
    <w:p w14:paraId="6AF3E10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6B1E914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除专用合同条款另有约定外，合同当事人应按约定完成开工准备工作。</w:t>
      </w:r>
    </w:p>
    <w:p w14:paraId="40696B9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7.3.2 开工通知</w:t>
      </w:r>
    </w:p>
    <w:bookmarkEnd w:id="936"/>
    <w:p w14:paraId="4F294AB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7456BAD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022AFBBD">
      <w:pPr>
        <w:pStyle w:val="7"/>
        <w:spacing w:before="0" w:beforeAutospacing="0" w:after="0" w:afterAutospacing="0" w:line="360" w:lineRule="auto"/>
        <w:ind w:firstLine="422" w:firstLineChars="200"/>
        <w:rPr>
          <w:color w:val="auto"/>
          <w:sz w:val="21"/>
          <w:szCs w:val="21"/>
          <w:highlight w:val="none"/>
        </w:rPr>
      </w:pPr>
      <w:bookmarkStart w:id="937" w:name="_Toc351203546"/>
      <w:bookmarkStart w:id="938" w:name="_Toc532377232"/>
      <w:r>
        <w:rPr>
          <w:rFonts w:hint="eastAsia"/>
          <w:color w:val="auto"/>
          <w:sz w:val="21"/>
          <w:szCs w:val="21"/>
          <w:highlight w:val="none"/>
        </w:rPr>
        <w:t>7.4测量放线</w:t>
      </w:r>
      <w:bookmarkEnd w:id="937"/>
      <w:bookmarkEnd w:id="938"/>
    </w:p>
    <w:p w14:paraId="535A08C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067A9C2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0DFC122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1F76A40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施工过程中对施工现场内水准点等测量标志物的保护工作由承包人负责。</w:t>
      </w:r>
      <w:bookmarkStart w:id="939" w:name="_Toc351203547"/>
    </w:p>
    <w:p w14:paraId="6419B4BF">
      <w:pPr>
        <w:pStyle w:val="7"/>
        <w:spacing w:before="0" w:beforeAutospacing="0" w:after="0" w:afterAutospacing="0" w:line="360" w:lineRule="auto"/>
        <w:ind w:firstLine="422" w:firstLineChars="200"/>
        <w:rPr>
          <w:color w:val="auto"/>
          <w:sz w:val="21"/>
          <w:szCs w:val="21"/>
          <w:highlight w:val="none"/>
        </w:rPr>
      </w:pPr>
      <w:bookmarkStart w:id="940" w:name="_Toc532377233"/>
      <w:r>
        <w:rPr>
          <w:rFonts w:hint="eastAsia"/>
          <w:color w:val="auto"/>
          <w:sz w:val="21"/>
          <w:szCs w:val="21"/>
          <w:highlight w:val="none"/>
        </w:rPr>
        <w:t>7</w:t>
      </w:r>
      <w:bookmarkEnd w:id="929"/>
      <w:bookmarkEnd w:id="930"/>
      <w:bookmarkStart w:id="941" w:name="_Toc296346574"/>
      <w:bookmarkStart w:id="942" w:name="_Toc337558772"/>
      <w:bookmarkStart w:id="943" w:name="_Toc296503073"/>
      <w:r>
        <w:rPr>
          <w:rFonts w:hint="eastAsia"/>
          <w:color w:val="auto"/>
          <w:sz w:val="21"/>
          <w:szCs w:val="21"/>
          <w:highlight w:val="none"/>
        </w:rPr>
        <w:t>.5 工期延误</w:t>
      </w:r>
      <w:bookmarkEnd w:id="939"/>
      <w:bookmarkEnd w:id="940"/>
    </w:p>
    <w:bookmarkEnd w:id="941"/>
    <w:bookmarkEnd w:id="942"/>
    <w:bookmarkEnd w:id="943"/>
    <w:p w14:paraId="5FB77D7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7.5.1 因发包人原因导致工期延误</w:t>
      </w:r>
    </w:p>
    <w:p w14:paraId="7D0ADDE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在合同履行过程中，因下列情况导致工期延误和（或）费用增加的，由发包人承担由此延误的工期和（或）增加的费用，且发包人应支付承包人合理的利润： </w:t>
      </w:r>
    </w:p>
    <w:p w14:paraId="53665CA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（1）发包人未能按合同约定提供图纸或所提供图纸不符合合同约定的；</w:t>
      </w:r>
    </w:p>
    <w:p w14:paraId="32CB5C6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（2）发包人未能按合同约定提供施工现场、施工条件、基础资料、许可、批准等开工条件的；</w:t>
      </w:r>
    </w:p>
    <w:p w14:paraId="3DC595A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（3）发包人提供的测量基准点、基准线和水准点及其书面资料存在错误或疏漏的；</w:t>
      </w:r>
    </w:p>
    <w:p w14:paraId="382298A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（4）发包人未能在计划开工日期之日起7天内同意下达开工通知的；</w:t>
      </w:r>
    </w:p>
    <w:p w14:paraId="173D2B1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（5）发包人未能按合同约定日期支付工程预付款、进度款或竣工结算款的；</w:t>
      </w:r>
    </w:p>
    <w:p w14:paraId="1DD20CA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（6）监理人未按合同约定发出指示、批准等文件的；</w:t>
      </w:r>
    </w:p>
    <w:p w14:paraId="06F2FA9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（7）专用合同条款中约定的其他情形。</w:t>
      </w:r>
    </w:p>
    <w:p w14:paraId="3AB5456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5E1B47D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7.5.2 因承包人原因导致工期延误</w:t>
      </w:r>
    </w:p>
    <w:p w14:paraId="5C2CD079">
      <w:pPr>
        <w:autoSpaceDE w:val="0"/>
        <w:autoSpaceDN w:val="0"/>
        <w:spacing w:line="360" w:lineRule="auto"/>
        <w:ind w:firstLine="420" w:firstLineChars="200"/>
        <w:jc w:val="left"/>
        <w:rPr>
          <w:rFonts w:ascii="宋体" w:hAnsi="宋体"/>
          <w:color w:val="auto"/>
          <w:kern w:val="0"/>
          <w:szCs w:val="21"/>
          <w:highlight w:val="none"/>
        </w:rPr>
      </w:pPr>
      <w:bookmarkStart w:id="944" w:name="_Toc296503076"/>
      <w:bookmarkStart w:id="945" w:name="_Toc296346577"/>
      <w:r>
        <w:rPr>
          <w:rFonts w:hint="eastAsia" w:ascii="宋体" w:hAnsi="宋体"/>
          <w:color w:val="auto"/>
          <w:kern w:val="0"/>
          <w:szCs w:val="21"/>
          <w:highlight w:val="none"/>
        </w:rPr>
        <w:t>因</w:t>
      </w:r>
      <w:bookmarkEnd w:id="944"/>
      <w:bookmarkEnd w:id="945"/>
      <w:r>
        <w:rPr>
          <w:rFonts w:hint="eastAsia" w:ascii="宋体" w:hAnsi="宋体"/>
          <w:color w:val="auto"/>
          <w:kern w:val="0"/>
          <w:szCs w:val="21"/>
          <w:highlight w:val="none"/>
        </w:rPr>
        <w:t>承包人原因造成工期延误的，可以在专用合同条款中约定逾期竣工违约金的计算方法和逾期竣工违约金的上限。承包人支付逾期竣工违约金后，不免除承包人继续完成工程及修补缺陷的义务。</w:t>
      </w:r>
    </w:p>
    <w:p w14:paraId="48D35741">
      <w:pPr>
        <w:pStyle w:val="7"/>
        <w:spacing w:before="0" w:beforeAutospacing="0" w:after="0" w:afterAutospacing="0" w:line="360" w:lineRule="auto"/>
        <w:ind w:firstLine="422" w:firstLineChars="200"/>
        <w:rPr>
          <w:color w:val="auto"/>
          <w:sz w:val="21"/>
          <w:szCs w:val="21"/>
          <w:highlight w:val="none"/>
        </w:rPr>
      </w:pPr>
      <w:bookmarkStart w:id="946" w:name="_Toc532377234"/>
      <w:bookmarkStart w:id="947" w:name="_Toc351203548"/>
      <w:r>
        <w:rPr>
          <w:rFonts w:hint="eastAsia"/>
          <w:color w:val="auto"/>
          <w:sz w:val="21"/>
          <w:szCs w:val="21"/>
          <w:highlight w:val="none"/>
        </w:rPr>
        <w:t>7</w:t>
      </w:r>
      <w:bookmarkStart w:id="948" w:name="_Toc296346575"/>
      <w:bookmarkStart w:id="949" w:name="_Toc296503074"/>
      <w:bookmarkStart w:id="950" w:name="_Toc337558773"/>
      <w:bookmarkStart w:id="951" w:name="_Toc296346578"/>
      <w:bookmarkStart w:id="952" w:name="_Toc296503077"/>
      <w:r>
        <w:rPr>
          <w:rFonts w:hint="eastAsia"/>
          <w:color w:val="auto"/>
          <w:sz w:val="21"/>
          <w:szCs w:val="21"/>
          <w:highlight w:val="none"/>
        </w:rPr>
        <w:t>.6 不利物质条件</w:t>
      </w:r>
      <w:bookmarkEnd w:id="946"/>
      <w:bookmarkEnd w:id="947"/>
    </w:p>
    <w:bookmarkEnd w:id="948"/>
    <w:bookmarkEnd w:id="949"/>
    <w:bookmarkEnd w:id="950"/>
    <w:p w14:paraId="3E18C0A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114527D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60920F56">
      <w:pPr>
        <w:pStyle w:val="7"/>
        <w:spacing w:before="0" w:beforeAutospacing="0" w:after="0" w:afterAutospacing="0" w:line="360" w:lineRule="auto"/>
        <w:ind w:firstLine="422" w:firstLineChars="200"/>
        <w:rPr>
          <w:color w:val="auto"/>
          <w:sz w:val="21"/>
          <w:szCs w:val="21"/>
          <w:highlight w:val="none"/>
        </w:rPr>
      </w:pPr>
      <w:bookmarkStart w:id="953" w:name="_Toc532377235"/>
      <w:bookmarkStart w:id="954" w:name="_Toc351203549"/>
      <w:r>
        <w:rPr>
          <w:rFonts w:hint="eastAsia"/>
          <w:color w:val="auto"/>
          <w:sz w:val="21"/>
          <w:szCs w:val="21"/>
          <w:highlight w:val="none"/>
        </w:rPr>
        <w:t>7</w:t>
      </w:r>
      <w:bookmarkStart w:id="955" w:name="_Toc337558774"/>
      <w:bookmarkStart w:id="956" w:name="_Toc296346576"/>
      <w:bookmarkStart w:id="957" w:name="_Toc296503075"/>
      <w:r>
        <w:rPr>
          <w:rFonts w:hint="eastAsia"/>
          <w:color w:val="auto"/>
          <w:sz w:val="21"/>
          <w:szCs w:val="21"/>
          <w:highlight w:val="none"/>
        </w:rPr>
        <w:t>.7 异常恶劣的气候条件</w:t>
      </w:r>
      <w:bookmarkEnd w:id="953"/>
      <w:bookmarkEnd w:id="954"/>
    </w:p>
    <w:bookmarkEnd w:id="955"/>
    <w:bookmarkEnd w:id="956"/>
    <w:bookmarkEnd w:id="957"/>
    <w:p w14:paraId="7878AB3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12C605E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958" w:name="_Toc351203550"/>
    </w:p>
    <w:p w14:paraId="5A287369">
      <w:pPr>
        <w:pStyle w:val="7"/>
        <w:spacing w:before="0" w:beforeAutospacing="0" w:after="0" w:afterAutospacing="0" w:line="360" w:lineRule="auto"/>
        <w:ind w:firstLine="422" w:firstLineChars="200"/>
        <w:rPr>
          <w:color w:val="auto"/>
          <w:sz w:val="21"/>
          <w:szCs w:val="21"/>
          <w:highlight w:val="none"/>
        </w:rPr>
      </w:pPr>
      <w:bookmarkStart w:id="959" w:name="_Toc532377236"/>
      <w:r>
        <w:rPr>
          <w:rFonts w:hint="eastAsia"/>
          <w:color w:val="auto"/>
          <w:sz w:val="21"/>
          <w:szCs w:val="21"/>
          <w:highlight w:val="none"/>
        </w:rPr>
        <w:t>7</w:t>
      </w:r>
      <w:bookmarkStart w:id="960" w:name="_Toc337558775"/>
      <w:r>
        <w:rPr>
          <w:rFonts w:hint="eastAsia"/>
          <w:color w:val="auto"/>
          <w:sz w:val="21"/>
          <w:szCs w:val="21"/>
          <w:highlight w:val="none"/>
        </w:rPr>
        <w:t>.8 暂停施工</w:t>
      </w:r>
      <w:bookmarkEnd w:id="958"/>
      <w:bookmarkEnd w:id="959"/>
    </w:p>
    <w:bookmarkEnd w:id="951"/>
    <w:bookmarkEnd w:id="952"/>
    <w:bookmarkEnd w:id="960"/>
    <w:p w14:paraId="0392DD8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7.8.1发包人原因引起的暂停施工</w:t>
      </w:r>
    </w:p>
    <w:p w14:paraId="52A65A1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因发包人原因引起暂停施工的，监理人经发包人同意后，应及时下达暂停施工指示。情况紧急且监理人未及时下达暂停施工指示的，按照第7.8.4项〔紧急情况下的暂停施工〕执行。</w:t>
      </w:r>
    </w:p>
    <w:p w14:paraId="549A8A7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因发包人原因引起的暂停施工，发包人应承担由此增加的费用和（或）延误的工期，并支付承包人合理的利润。</w:t>
      </w:r>
    </w:p>
    <w:p w14:paraId="34EA209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7.8.2 承包人原因引起的暂停施工</w:t>
      </w:r>
    </w:p>
    <w:p w14:paraId="7F457CB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4B70400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7.8.3 指示暂停施工</w:t>
      </w:r>
    </w:p>
    <w:p w14:paraId="552983A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监理人认为有必要时，并经发包人批准后，可向承包人作出暂停施工的指示，承包人应按监理人指示暂停施工。</w:t>
      </w:r>
    </w:p>
    <w:p w14:paraId="222D496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7.8.4 紧急情况下的暂停施工</w:t>
      </w:r>
    </w:p>
    <w:p w14:paraId="1013A4A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659B3EF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7.8.5 暂停施工后的复工</w:t>
      </w:r>
    </w:p>
    <w:p w14:paraId="379C312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316059C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承包人无故拖延和拒绝复工的，承包人承担由此增加的费用和（或）延误的工期；因发包人原因无法按时复工的，按照第7.5.1项〔因发包人原因导致工期延误〕约定办理。</w:t>
      </w:r>
    </w:p>
    <w:p w14:paraId="44751CB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7.8.6 暂停施工持续56天以上</w:t>
      </w:r>
    </w:p>
    <w:p w14:paraId="4CDB936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3616A57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6CFBE2E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7.8.7 暂停施工期间的工程照管</w:t>
      </w:r>
    </w:p>
    <w:p w14:paraId="10D6150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暂停施工期间，承包人应负责妥善照管工程并提供安全保障，由此增加的费用由责任方承担。</w:t>
      </w:r>
    </w:p>
    <w:p w14:paraId="5460BF9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7.8.8 暂停施工的措施</w:t>
      </w:r>
    </w:p>
    <w:p w14:paraId="4F59890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暂停施工期间，发包人和承包人均应采取必要的措施确保工程质量及安全，防止因暂停施工扩大损失。</w:t>
      </w:r>
    </w:p>
    <w:p w14:paraId="07A47093">
      <w:pPr>
        <w:pStyle w:val="7"/>
        <w:spacing w:before="0" w:beforeAutospacing="0" w:after="0" w:afterAutospacing="0" w:line="360" w:lineRule="auto"/>
        <w:ind w:firstLine="422" w:firstLineChars="200"/>
        <w:rPr>
          <w:color w:val="auto"/>
          <w:sz w:val="21"/>
          <w:szCs w:val="21"/>
          <w:highlight w:val="none"/>
        </w:rPr>
      </w:pPr>
      <w:bookmarkStart w:id="961" w:name="_Toc532377237"/>
      <w:bookmarkStart w:id="962" w:name="_Toc351203551"/>
      <w:r>
        <w:rPr>
          <w:rFonts w:hint="eastAsia"/>
          <w:color w:val="auto"/>
          <w:sz w:val="21"/>
          <w:szCs w:val="21"/>
          <w:highlight w:val="none"/>
        </w:rPr>
        <w:t>7.9提前竣工</w:t>
      </w:r>
      <w:bookmarkEnd w:id="961"/>
      <w:bookmarkEnd w:id="962"/>
    </w:p>
    <w:p w14:paraId="221FF16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48BF38B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7.9.2 发包人要求承包人提前竣工，或承包人提出提前竣工的建议能够给发包人带来效益的，合同当事人可以在专用合同条款中约定提前竣工的奖励。</w:t>
      </w:r>
    </w:p>
    <w:p w14:paraId="0A5281A6">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963" w:name="_Toc532377238"/>
      <w:bookmarkStart w:id="964" w:name="_Toc351203552"/>
      <w:bookmarkStart w:id="965" w:name="_Toc532375594"/>
      <w:r>
        <w:rPr>
          <w:rFonts w:hint="eastAsia"/>
          <w:color w:val="auto"/>
          <w:kern w:val="2"/>
          <w:sz w:val="21"/>
          <w:szCs w:val="21"/>
          <w:highlight w:val="none"/>
        </w:rPr>
        <w:t>8</w:t>
      </w:r>
      <w:bookmarkStart w:id="966" w:name="_Toc296503058"/>
      <w:bookmarkStart w:id="967" w:name="_Toc296346559"/>
      <w:bookmarkStart w:id="968" w:name="_Toc337558776"/>
      <w:r>
        <w:rPr>
          <w:rFonts w:hint="eastAsia"/>
          <w:color w:val="auto"/>
          <w:kern w:val="2"/>
          <w:sz w:val="21"/>
          <w:szCs w:val="21"/>
          <w:highlight w:val="none"/>
        </w:rPr>
        <w:t>. 材料与设备</w:t>
      </w:r>
      <w:bookmarkEnd w:id="963"/>
      <w:bookmarkEnd w:id="964"/>
      <w:bookmarkEnd w:id="965"/>
    </w:p>
    <w:bookmarkEnd w:id="966"/>
    <w:bookmarkEnd w:id="967"/>
    <w:bookmarkEnd w:id="968"/>
    <w:p w14:paraId="5CB1ECA5">
      <w:pPr>
        <w:pStyle w:val="7"/>
        <w:spacing w:before="0" w:beforeAutospacing="0" w:after="0" w:afterAutospacing="0" w:line="360" w:lineRule="auto"/>
        <w:ind w:firstLine="422" w:firstLineChars="200"/>
        <w:rPr>
          <w:color w:val="auto"/>
          <w:sz w:val="21"/>
          <w:szCs w:val="21"/>
          <w:highlight w:val="none"/>
        </w:rPr>
      </w:pPr>
      <w:bookmarkStart w:id="969" w:name="_Toc351203553"/>
      <w:bookmarkStart w:id="970" w:name="_Toc532377239"/>
      <w:r>
        <w:rPr>
          <w:rFonts w:hint="eastAsia"/>
          <w:color w:val="auto"/>
          <w:sz w:val="21"/>
          <w:szCs w:val="21"/>
          <w:highlight w:val="none"/>
        </w:rPr>
        <w:t>8</w:t>
      </w:r>
      <w:bookmarkStart w:id="971" w:name="_Toc296346560"/>
      <w:bookmarkStart w:id="972" w:name="_Toc337558777"/>
      <w:bookmarkStart w:id="973" w:name="_Toc296503059"/>
      <w:bookmarkStart w:id="974" w:name="_Toc468936960"/>
      <w:r>
        <w:rPr>
          <w:rFonts w:hint="eastAsia"/>
          <w:color w:val="auto"/>
          <w:sz w:val="21"/>
          <w:szCs w:val="21"/>
          <w:highlight w:val="none"/>
        </w:rPr>
        <w:t>.1发包人供应材料与工程设备</w:t>
      </w:r>
      <w:bookmarkEnd w:id="969"/>
      <w:bookmarkEnd w:id="970"/>
    </w:p>
    <w:bookmarkEnd w:id="971"/>
    <w:bookmarkEnd w:id="972"/>
    <w:bookmarkEnd w:id="973"/>
    <w:p w14:paraId="56A870C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发包人自行供应材料、工程设备的，应在签订合同时在专用合同条款的附件《发包人供应材料设备一览表》中明确材料、工程设备的品种、规格、型号、数量、单价、质量等级和送达地点。</w:t>
      </w:r>
    </w:p>
    <w:p w14:paraId="12AA7E1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62DA47CE">
      <w:pPr>
        <w:pStyle w:val="7"/>
        <w:spacing w:before="0" w:beforeAutospacing="0" w:after="0" w:afterAutospacing="0" w:line="360" w:lineRule="auto"/>
        <w:ind w:firstLine="422" w:firstLineChars="200"/>
        <w:rPr>
          <w:color w:val="auto"/>
          <w:sz w:val="21"/>
          <w:szCs w:val="21"/>
          <w:highlight w:val="none"/>
        </w:rPr>
      </w:pPr>
      <w:bookmarkStart w:id="975" w:name="_Toc532377240"/>
      <w:r>
        <w:rPr>
          <w:rFonts w:hint="eastAsia"/>
          <w:color w:val="auto"/>
          <w:sz w:val="21"/>
          <w:szCs w:val="21"/>
          <w:highlight w:val="none"/>
        </w:rPr>
        <w:t>8.2承包人采购材料与工程设备</w:t>
      </w:r>
      <w:bookmarkEnd w:id="975"/>
    </w:p>
    <w:p w14:paraId="574ED7F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33D6D808">
      <w:pPr>
        <w:pStyle w:val="7"/>
        <w:spacing w:before="0" w:beforeAutospacing="0" w:after="0" w:afterAutospacing="0" w:line="360" w:lineRule="auto"/>
        <w:ind w:firstLine="422" w:firstLineChars="200"/>
        <w:rPr>
          <w:color w:val="auto"/>
          <w:sz w:val="21"/>
          <w:szCs w:val="21"/>
          <w:highlight w:val="none"/>
        </w:rPr>
      </w:pPr>
      <w:bookmarkStart w:id="976" w:name="_Toc351203555"/>
      <w:bookmarkStart w:id="977" w:name="_Toc532377241"/>
      <w:r>
        <w:rPr>
          <w:rFonts w:hint="eastAsia"/>
          <w:color w:val="auto"/>
          <w:sz w:val="21"/>
          <w:szCs w:val="21"/>
          <w:highlight w:val="none"/>
        </w:rPr>
        <w:t>8</w:t>
      </w:r>
      <w:bookmarkStart w:id="978" w:name="_Toc296503061"/>
      <w:bookmarkStart w:id="979" w:name="_Toc337558779"/>
      <w:bookmarkStart w:id="980" w:name="_Toc296346562"/>
      <w:r>
        <w:rPr>
          <w:rFonts w:hint="eastAsia"/>
          <w:color w:val="auto"/>
          <w:sz w:val="21"/>
          <w:szCs w:val="21"/>
          <w:highlight w:val="none"/>
        </w:rPr>
        <w:t>.3材料与工程设备的接收与拒收</w:t>
      </w:r>
      <w:bookmarkEnd w:id="976"/>
      <w:bookmarkEnd w:id="977"/>
    </w:p>
    <w:bookmarkEnd w:id="978"/>
    <w:bookmarkEnd w:id="979"/>
    <w:bookmarkEnd w:id="980"/>
    <w:p w14:paraId="59F2547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0EE4FB4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发包人提供的材料和工程设备的规格、数量或质量不符合合同约定的，或因发包人原因导致交货日期延误或交货地点变更等情况的，按照第16.1款〔发包人违约〕约定办理。</w:t>
      </w:r>
    </w:p>
    <w:p w14:paraId="5C18F2D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8.3.2 承包人采购的材料和工程设备，应保证产品质量合格，承包人应在材料和工程设备到货前24小时通知监理人检验。承</w:t>
      </w:r>
      <w:bookmarkStart w:id="981" w:name="_Toc250655469"/>
      <w:r>
        <w:rPr>
          <w:rFonts w:hint="eastAsia" w:ascii="宋体" w:hAnsi="宋体"/>
          <w:color w:val="auto"/>
          <w:kern w:val="0"/>
          <w:szCs w:val="21"/>
          <w:highlight w:val="none"/>
        </w:rPr>
        <w:t>包人进行永久设备、材料的制造和生产的，应符合相关质量标准，并向监理人提交材料的样本以及有关资料，并应在使用该材料或工程设备之前获得监理人同意。</w:t>
      </w:r>
    </w:p>
    <w:bookmarkEnd w:id="981"/>
    <w:p w14:paraId="109E580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70FFACC2">
      <w:pPr>
        <w:pStyle w:val="7"/>
        <w:spacing w:before="0" w:beforeAutospacing="0" w:after="0" w:afterAutospacing="0" w:line="360" w:lineRule="auto"/>
        <w:ind w:firstLine="422" w:firstLineChars="200"/>
        <w:rPr>
          <w:color w:val="auto"/>
          <w:sz w:val="21"/>
          <w:szCs w:val="21"/>
          <w:highlight w:val="none"/>
        </w:rPr>
      </w:pPr>
      <w:bookmarkStart w:id="982" w:name="_Toc532377242"/>
      <w:bookmarkStart w:id="983" w:name="_Toc351203556"/>
      <w:r>
        <w:rPr>
          <w:rFonts w:hint="eastAsia"/>
          <w:color w:val="auto"/>
          <w:sz w:val="21"/>
          <w:szCs w:val="21"/>
          <w:highlight w:val="none"/>
        </w:rPr>
        <w:t>8</w:t>
      </w:r>
      <w:bookmarkStart w:id="984" w:name="_Toc337558780"/>
      <w:bookmarkStart w:id="985" w:name="_Toc296346563"/>
      <w:bookmarkStart w:id="986" w:name="_Toc296503062"/>
      <w:r>
        <w:rPr>
          <w:rFonts w:hint="eastAsia"/>
          <w:color w:val="auto"/>
          <w:sz w:val="21"/>
          <w:szCs w:val="21"/>
          <w:highlight w:val="none"/>
        </w:rPr>
        <w:t>.4材料与工程设备的保管与使用</w:t>
      </w:r>
      <w:bookmarkEnd w:id="982"/>
      <w:bookmarkEnd w:id="983"/>
    </w:p>
    <w:bookmarkEnd w:id="984"/>
    <w:bookmarkEnd w:id="985"/>
    <w:bookmarkEnd w:id="986"/>
    <w:p w14:paraId="174C48A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8.4.1 发包人供应材料与工程设备的保管与使用</w:t>
      </w:r>
    </w:p>
    <w:p w14:paraId="2F3CB26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0FE1A2A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发包人供应的材料和工程设备使用前，由承包人负责检验，检验费用由发包人承担，不合格的不得使用。</w:t>
      </w:r>
    </w:p>
    <w:p w14:paraId="7C2217C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8.4.2 承包人采购材料与工程设备的保管与使用</w:t>
      </w:r>
    </w:p>
    <w:p w14:paraId="1E97DF5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75263C9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发包人或监理人发现承包人使用不符合设计或有关标准要求的材料和工程设备时，有权要求承包人进行修复、拆除或重新采购，由此增加的费用和（或）延误的工期，由承包人承担。</w:t>
      </w:r>
    </w:p>
    <w:p w14:paraId="1384A351">
      <w:pPr>
        <w:pStyle w:val="7"/>
        <w:spacing w:before="0" w:beforeAutospacing="0" w:after="0" w:afterAutospacing="0" w:line="360" w:lineRule="auto"/>
        <w:ind w:firstLine="422" w:firstLineChars="200"/>
        <w:rPr>
          <w:color w:val="auto"/>
          <w:sz w:val="21"/>
          <w:szCs w:val="21"/>
          <w:highlight w:val="none"/>
        </w:rPr>
      </w:pPr>
      <w:bookmarkStart w:id="987" w:name="_Toc532377243"/>
      <w:bookmarkStart w:id="988" w:name="_Toc351203557"/>
      <w:r>
        <w:rPr>
          <w:rFonts w:hint="eastAsia"/>
          <w:color w:val="auto"/>
          <w:sz w:val="21"/>
          <w:szCs w:val="21"/>
          <w:highlight w:val="none"/>
        </w:rPr>
        <w:t>8.5禁止使用不合格的材料和工程设备</w:t>
      </w:r>
      <w:bookmarkEnd w:id="987"/>
      <w:bookmarkEnd w:id="988"/>
    </w:p>
    <w:p w14:paraId="7B3E6B5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8.5.1 监理人有权拒绝承包人提供的不合格材料或工程设备，并要求承包人立即进行更换。监理人应在更换后再次进行检查和检验，由此增加的费用和（或）延误的工期由承包人承担。</w:t>
      </w:r>
    </w:p>
    <w:p w14:paraId="69DAC91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8.5.2 监理人发现承包人使用了不合格的材料和工程设备，承包人应按照监理人的指示立即改正，并禁止在工程中继续使用不合格的材料和工程设备。</w:t>
      </w:r>
    </w:p>
    <w:p w14:paraId="627D190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8.5.3 发包人提供的材料或工程设备不符合合同要求的，承包人有权拒绝，并可要求发包人更换，由此增加的费用和（或）延误的工期由发包人承担，并支付承包人合理的利润。</w:t>
      </w:r>
    </w:p>
    <w:p w14:paraId="64E2E3F4">
      <w:pPr>
        <w:pStyle w:val="7"/>
        <w:spacing w:before="0" w:beforeAutospacing="0" w:after="0" w:afterAutospacing="0" w:line="360" w:lineRule="auto"/>
        <w:ind w:firstLine="422" w:firstLineChars="200"/>
        <w:rPr>
          <w:color w:val="auto"/>
          <w:sz w:val="21"/>
          <w:szCs w:val="21"/>
          <w:highlight w:val="none"/>
        </w:rPr>
      </w:pPr>
      <w:bookmarkStart w:id="989" w:name="_Toc532377244"/>
      <w:bookmarkStart w:id="990" w:name="_Toc351203558"/>
      <w:r>
        <w:rPr>
          <w:rFonts w:hint="eastAsia"/>
          <w:color w:val="auto"/>
          <w:sz w:val="21"/>
          <w:szCs w:val="21"/>
          <w:highlight w:val="none"/>
        </w:rPr>
        <w:t>8.6 样品</w:t>
      </w:r>
      <w:bookmarkEnd w:id="989"/>
      <w:bookmarkEnd w:id="990"/>
    </w:p>
    <w:p w14:paraId="6043957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8.6.1</w:t>
      </w:r>
      <w:r>
        <w:rPr>
          <w:rFonts w:hint="eastAsia" w:ascii="宋体" w:hAnsi="宋体"/>
          <w:color w:val="auto"/>
          <w:kern w:val="0"/>
          <w:szCs w:val="21"/>
          <w:highlight w:val="none"/>
        </w:rPr>
        <w:tab/>
      </w:r>
      <w:r>
        <w:rPr>
          <w:rFonts w:hint="eastAsia" w:ascii="宋体" w:hAnsi="宋体"/>
          <w:color w:val="auto"/>
          <w:kern w:val="0"/>
          <w:szCs w:val="21"/>
          <w:highlight w:val="none"/>
        </w:rPr>
        <w:t>样品的报送与封存</w:t>
      </w:r>
    </w:p>
    <w:p w14:paraId="3A33B1B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需要承包人报送样品的材料或工程设备，样品的种类、名称、规格、数量等要求均应在专用合同条款中约定。样品的报送程序如下：</w:t>
      </w:r>
    </w:p>
    <w:p w14:paraId="79F8FD6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6BB2AB9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0063282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（3）经发包人和监理人审批确认的样品应按约定的方法封样，封存的样品作为检验工程相关部分的标准之一。承包人在施工过程中不得使用与样品不符的材料或工程设备。</w:t>
      </w:r>
    </w:p>
    <w:p w14:paraId="24E9ABA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71B35C4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8.6.2 样品的保管</w:t>
      </w:r>
    </w:p>
    <w:p w14:paraId="0BD285B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经批准的样品应由监理人负责封存于现场，承包人应在现场为保存样品提供适当和固定的场所并保持适当和良好的存储环境条件。</w:t>
      </w:r>
    </w:p>
    <w:p w14:paraId="742BC890">
      <w:pPr>
        <w:pStyle w:val="7"/>
        <w:spacing w:before="0" w:beforeAutospacing="0" w:after="0" w:afterAutospacing="0" w:line="360" w:lineRule="auto"/>
        <w:ind w:firstLine="422" w:firstLineChars="200"/>
        <w:rPr>
          <w:color w:val="auto"/>
          <w:sz w:val="21"/>
          <w:szCs w:val="21"/>
          <w:highlight w:val="none"/>
        </w:rPr>
      </w:pPr>
      <w:bookmarkStart w:id="991" w:name="_Toc351203559"/>
      <w:bookmarkStart w:id="992" w:name="_Toc532377245"/>
      <w:r>
        <w:rPr>
          <w:rFonts w:hint="eastAsia"/>
          <w:color w:val="auto"/>
          <w:sz w:val="21"/>
          <w:szCs w:val="21"/>
          <w:highlight w:val="none"/>
        </w:rPr>
        <w:t>8.7材料与工程设备的替代</w:t>
      </w:r>
      <w:bookmarkEnd w:id="991"/>
      <w:bookmarkEnd w:id="992"/>
    </w:p>
    <w:p w14:paraId="339370C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8.7.1 出现下列情况需要使用替代材料和工程设备的，承包人应按照第8.7.2项约定的程序执行：</w:t>
      </w:r>
    </w:p>
    <w:p w14:paraId="2DCD2E5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（1）基准日期后生效的法律规定禁止使用的；</w:t>
      </w:r>
    </w:p>
    <w:p w14:paraId="3D7DE91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（2）发包人要求使用替代品的；</w:t>
      </w:r>
    </w:p>
    <w:p w14:paraId="6FA33D9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（3）因其他原因必须使用替代品的。</w:t>
      </w:r>
    </w:p>
    <w:p w14:paraId="7E70996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8.7.2 承包人应在使用替代材料和工程设备28天前书面通知监理人，并附下列文件：</w:t>
      </w:r>
    </w:p>
    <w:p w14:paraId="50630E3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（1）被替代的材料和工程设备的名称、数量、规格、型号、品牌、性能、价格及其他相关资料；</w:t>
      </w:r>
    </w:p>
    <w:p w14:paraId="2937443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（2）替代品的名称、数量、规格、型号、品牌、性能、价格及其他相关资料；</w:t>
      </w:r>
    </w:p>
    <w:p w14:paraId="05B6CBA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（3）替代品与被替代产品之间的差异以及使用替代品可能对工程产生的影响；</w:t>
      </w:r>
    </w:p>
    <w:p w14:paraId="12FB691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（4）替代品与被替代产品的价格差异；</w:t>
      </w:r>
    </w:p>
    <w:p w14:paraId="054303C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（5）使用替代品的理由和原因说明；</w:t>
      </w:r>
    </w:p>
    <w:p w14:paraId="55968A8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（6）监理人要求的其他文件。</w:t>
      </w:r>
    </w:p>
    <w:p w14:paraId="102745D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监理人应在收到通知后14天内向承包人发出经发包人签认的书面指示；监理人逾期发出书面指示的，视为发包人和监理人同意使用替代品。</w:t>
      </w:r>
    </w:p>
    <w:p w14:paraId="7B9D03A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4BC3D132">
      <w:pPr>
        <w:pStyle w:val="7"/>
        <w:spacing w:before="0" w:beforeAutospacing="0" w:after="0" w:afterAutospacing="0" w:line="360" w:lineRule="auto"/>
        <w:ind w:firstLine="422" w:firstLineChars="200"/>
        <w:rPr>
          <w:color w:val="auto"/>
          <w:sz w:val="21"/>
          <w:szCs w:val="21"/>
          <w:highlight w:val="none"/>
        </w:rPr>
      </w:pPr>
      <w:bookmarkStart w:id="993" w:name="_Toc532377246"/>
      <w:bookmarkStart w:id="994" w:name="_Toc351203560"/>
      <w:r>
        <w:rPr>
          <w:rFonts w:hint="eastAsia"/>
          <w:color w:val="auto"/>
          <w:sz w:val="21"/>
          <w:szCs w:val="21"/>
          <w:highlight w:val="none"/>
        </w:rPr>
        <w:t>8.8施工设备和临时设施</w:t>
      </w:r>
      <w:bookmarkEnd w:id="993"/>
      <w:bookmarkEnd w:id="994"/>
    </w:p>
    <w:p w14:paraId="7101648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8.8.1 承包人提供的施工设备和临时设施</w:t>
      </w:r>
    </w:p>
    <w:p w14:paraId="036D6CD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4BB1CAE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除专用合同条款另有约定外，承包人应自行承担修建临时设施的费用，需要临时占地的，应由发包人办理申请手续并承担相应费用。</w:t>
      </w:r>
    </w:p>
    <w:p w14:paraId="736283F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8.8.2发包人提供的施工设备和临时设施</w:t>
      </w:r>
    </w:p>
    <w:p w14:paraId="54B4914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发包人提供的施工设备或临时设施在专用合同条款中约定。</w:t>
      </w:r>
    </w:p>
    <w:p w14:paraId="7DE38E5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8.8.3要求承包人增加或更换施工设备</w:t>
      </w:r>
    </w:p>
    <w:p w14:paraId="01BAE6E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4E1DAFBF">
      <w:pPr>
        <w:pStyle w:val="7"/>
        <w:spacing w:before="0" w:beforeAutospacing="0" w:after="0" w:afterAutospacing="0" w:line="360" w:lineRule="auto"/>
        <w:ind w:firstLine="422" w:firstLineChars="200"/>
        <w:rPr>
          <w:color w:val="auto"/>
          <w:sz w:val="21"/>
          <w:szCs w:val="21"/>
          <w:highlight w:val="none"/>
        </w:rPr>
      </w:pPr>
      <w:bookmarkStart w:id="995" w:name="_Toc351203561"/>
      <w:bookmarkStart w:id="996" w:name="_Toc532377247"/>
      <w:r>
        <w:rPr>
          <w:rFonts w:hint="eastAsia"/>
          <w:color w:val="auto"/>
          <w:sz w:val="21"/>
          <w:szCs w:val="21"/>
          <w:highlight w:val="none"/>
        </w:rPr>
        <w:t>8</w:t>
      </w:r>
      <w:bookmarkStart w:id="997" w:name="_Toc296346564"/>
      <w:bookmarkStart w:id="998" w:name="_Toc296503063"/>
      <w:bookmarkStart w:id="999" w:name="_Toc337558781"/>
      <w:r>
        <w:rPr>
          <w:rFonts w:hint="eastAsia"/>
          <w:color w:val="auto"/>
          <w:sz w:val="21"/>
          <w:szCs w:val="21"/>
          <w:highlight w:val="none"/>
        </w:rPr>
        <w:t>.9材料与设备专用</w:t>
      </w:r>
      <w:bookmarkEnd w:id="995"/>
      <w:r>
        <w:rPr>
          <w:rFonts w:hint="eastAsia"/>
          <w:color w:val="auto"/>
          <w:sz w:val="21"/>
          <w:szCs w:val="21"/>
          <w:highlight w:val="none"/>
        </w:rPr>
        <w:t>要求</w:t>
      </w:r>
      <w:bookmarkEnd w:id="996"/>
    </w:p>
    <w:bookmarkEnd w:id="997"/>
    <w:bookmarkEnd w:id="998"/>
    <w:bookmarkEnd w:id="999"/>
    <w:p w14:paraId="1ECB1D3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承包人运入施工现场的材料、工程设备、施工设备以及在施工场地建设的临时设施，包括备品备件、安装工具与资料，必须专用于工程。未经发包人批准，承包人不得运出施工现场或挪作他用；</w:t>
      </w:r>
      <w:bookmarkEnd w:id="974"/>
      <w:r>
        <w:rPr>
          <w:rFonts w:hint="eastAsia" w:ascii="宋体" w:hAnsi="宋体"/>
          <w:color w:val="auto"/>
          <w:kern w:val="0"/>
          <w:szCs w:val="21"/>
          <w:highlight w:val="none"/>
        </w:rPr>
        <w:t>经发包人批准，承包人可以根据施工进度计划撤走闲置的施工设备和其他物品。</w:t>
      </w:r>
    </w:p>
    <w:p w14:paraId="6B7C3654">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000" w:name="_Toc532375595"/>
      <w:bookmarkStart w:id="1001" w:name="_Toc351203562"/>
      <w:bookmarkStart w:id="1002" w:name="_Toc532377248"/>
      <w:r>
        <w:rPr>
          <w:rFonts w:hint="eastAsia"/>
          <w:color w:val="auto"/>
          <w:kern w:val="2"/>
          <w:sz w:val="21"/>
          <w:szCs w:val="21"/>
          <w:highlight w:val="none"/>
        </w:rPr>
        <w:t>9</w:t>
      </w:r>
      <w:bookmarkStart w:id="1003" w:name="_Toc337558782"/>
      <w:bookmarkStart w:id="1004" w:name="_Toc296346584"/>
      <w:bookmarkStart w:id="1005" w:name="_Toc296503083"/>
      <w:r>
        <w:rPr>
          <w:rFonts w:hint="eastAsia"/>
          <w:color w:val="auto"/>
          <w:kern w:val="2"/>
          <w:sz w:val="21"/>
          <w:szCs w:val="21"/>
          <w:highlight w:val="none"/>
        </w:rPr>
        <w:t>. 试验与检验</w:t>
      </w:r>
      <w:bookmarkEnd w:id="1000"/>
      <w:bookmarkEnd w:id="1001"/>
      <w:bookmarkEnd w:id="1002"/>
    </w:p>
    <w:bookmarkEnd w:id="1003"/>
    <w:p w14:paraId="4E634168">
      <w:pPr>
        <w:pStyle w:val="7"/>
        <w:spacing w:before="0" w:beforeAutospacing="0" w:after="0" w:afterAutospacing="0" w:line="360" w:lineRule="auto"/>
        <w:ind w:firstLine="422" w:firstLineChars="200"/>
        <w:rPr>
          <w:color w:val="auto"/>
          <w:sz w:val="21"/>
          <w:szCs w:val="21"/>
          <w:highlight w:val="none"/>
        </w:rPr>
      </w:pPr>
      <w:bookmarkStart w:id="1006" w:name="_Toc351203563"/>
      <w:bookmarkStart w:id="1007" w:name="_Toc532377249"/>
      <w:r>
        <w:rPr>
          <w:rFonts w:hint="eastAsia"/>
          <w:color w:val="auto"/>
          <w:sz w:val="21"/>
          <w:szCs w:val="21"/>
          <w:highlight w:val="none"/>
        </w:rPr>
        <w:t>9</w:t>
      </w:r>
      <w:bookmarkStart w:id="1008" w:name="_Toc337558783"/>
      <w:r>
        <w:rPr>
          <w:rFonts w:hint="eastAsia"/>
          <w:color w:val="auto"/>
          <w:sz w:val="21"/>
          <w:szCs w:val="21"/>
          <w:highlight w:val="none"/>
        </w:rPr>
        <w:t>.1试验设备与试验人员</w:t>
      </w:r>
      <w:bookmarkEnd w:id="1006"/>
      <w:bookmarkEnd w:id="1007"/>
    </w:p>
    <w:bookmarkEnd w:id="1008"/>
    <w:p w14:paraId="7EDC945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6BF50A3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9.1.2 承包人应按专用合同条款的约定提供试验设备、取样装置、试验场所和试验条件，并向监理人提交相应进场计划表。</w:t>
      </w:r>
    </w:p>
    <w:p w14:paraId="47DFBC1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承包人配置的试验设备要符合相应试验规程的要求并经过具有资质的检测单位检测，且在正式使用该试验设备前，需要经过监理人与承包人共同校定。</w:t>
      </w:r>
    </w:p>
    <w:p w14:paraId="471C2F0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9.1.3 承包人应向监理人提交试验人员的名单及其岗位、资格等证明资料，试验人员必须能够熟练进行相应的检测试验，承包人对试验人员的试验程序和试验结果的正确性负责。</w:t>
      </w:r>
    </w:p>
    <w:p w14:paraId="35703D8C">
      <w:pPr>
        <w:pStyle w:val="7"/>
        <w:spacing w:before="0" w:beforeAutospacing="0" w:after="0" w:afterAutospacing="0" w:line="360" w:lineRule="auto"/>
        <w:ind w:firstLine="422" w:firstLineChars="200"/>
        <w:rPr>
          <w:color w:val="auto"/>
          <w:sz w:val="21"/>
          <w:szCs w:val="21"/>
          <w:highlight w:val="none"/>
        </w:rPr>
      </w:pPr>
      <w:bookmarkStart w:id="1009" w:name="_Toc532377250"/>
      <w:bookmarkStart w:id="1010" w:name="_Toc351203564"/>
      <w:r>
        <w:rPr>
          <w:rFonts w:hint="eastAsia"/>
          <w:color w:val="auto"/>
          <w:sz w:val="21"/>
          <w:szCs w:val="21"/>
          <w:highlight w:val="none"/>
        </w:rPr>
        <w:t>9</w:t>
      </w:r>
      <w:bookmarkStart w:id="1011" w:name="_Toc337558784"/>
      <w:r>
        <w:rPr>
          <w:rFonts w:hint="eastAsia"/>
          <w:color w:val="auto"/>
          <w:sz w:val="21"/>
          <w:szCs w:val="21"/>
          <w:highlight w:val="none"/>
        </w:rPr>
        <w:t>.2取样</w:t>
      </w:r>
      <w:bookmarkEnd w:id="1009"/>
      <w:bookmarkEnd w:id="1010"/>
    </w:p>
    <w:bookmarkEnd w:id="1011"/>
    <w:p w14:paraId="6BC97F6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试验属于自检性质的，承包人可以单独取样。试验属于监理人抽检性质的，可由监理人取样，也可由承包人的试验人员在监理人的监督下取样。</w:t>
      </w:r>
    </w:p>
    <w:p w14:paraId="4BB92C48">
      <w:pPr>
        <w:pStyle w:val="7"/>
        <w:spacing w:before="0" w:beforeAutospacing="0" w:after="0" w:afterAutospacing="0" w:line="360" w:lineRule="auto"/>
        <w:ind w:firstLine="422" w:firstLineChars="200"/>
        <w:rPr>
          <w:color w:val="auto"/>
          <w:sz w:val="21"/>
          <w:szCs w:val="21"/>
          <w:highlight w:val="none"/>
        </w:rPr>
      </w:pPr>
      <w:bookmarkStart w:id="1012" w:name="_Toc532377251"/>
      <w:bookmarkStart w:id="1013" w:name="_Toc351203565"/>
      <w:r>
        <w:rPr>
          <w:rFonts w:hint="eastAsia"/>
          <w:color w:val="auto"/>
          <w:sz w:val="21"/>
          <w:szCs w:val="21"/>
          <w:highlight w:val="none"/>
        </w:rPr>
        <w:t>9</w:t>
      </w:r>
      <w:bookmarkStart w:id="1014" w:name="_Toc337558785"/>
      <w:r>
        <w:rPr>
          <w:rFonts w:hint="eastAsia"/>
          <w:color w:val="auto"/>
          <w:sz w:val="21"/>
          <w:szCs w:val="21"/>
          <w:highlight w:val="none"/>
        </w:rPr>
        <w:t>.3材料、工程设备和工程的试验和检验</w:t>
      </w:r>
      <w:bookmarkEnd w:id="1012"/>
      <w:bookmarkEnd w:id="1013"/>
    </w:p>
    <w:bookmarkEnd w:id="1014"/>
    <w:p w14:paraId="6BF9706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2E02308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4547897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09D8388B">
      <w:pPr>
        <w:pStyle w:val="7"/>
        <w:spacing w:before="0" w:beforeAutospacing="0" w:after="0" w:afterAutospacing="0" w:line="360" w:lineRule="auto"/>
        <w:ind w:firstLine="422" w:firstLineChars="200"/>
        <w:rPr>
          <w:color w:val="auto"/>
          <w:sz w:val="21"/>
          <w:szCs w:val="21"/>
          <w:highlight w:val="none"/>
        </w:rPr>
      </w:pPr>
      <w:bookmarkStart w:id="1015" w:name="_Toc351203566"/>
      <w:bookmarkStart w:id="1016" w:name="_Toc532377252"/>
      <w:r>
        <w:rPr>
          <w:rFonts w:hint="eastAsia"/>
          <w:color w:val="auto"/>
          <w:sz w:val="21"/>
          <w:szCs w:val="21"/>
          <w:highlight w:val="none"/>
        </w:rPr>
        <w:t>9</w:t>
      </w:r>
      <w:bookmarkStart w:id="1017" w:name="_Toc337558786"/>
      <w:r>
        <w:rPr>
          <w:rFonts w:hint="eastAsia"/>
          <w:color w:val="auto"/>
          <w:sz w:val="21"/>
          <w:szCs w:val="21"/>
          <w:highlight w:val="none"/>
        </w:rPr>
        <w:t>.4现场工艺试验</w:t>
      </w:r>
      <w:bookmarkEnd w:id="1015"/>
      <w:bookmarkEnd w:id="1016"/>
    </w:p>
    <w:bookmarkEnd w:id="1017"/>
    <w:p w14:paraId="2232592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承包人应按合同约定或监理人指示进行现场工艺试验。对大型的现场工艺试验，监理人认为必要时，承包人应根据监理人提出的工艺试验要求，编制工艺试验措施计划，报送监理人审查。</w:t>
      </w:r>
    </w:p>
    <w:p w14:paraId="4AA99EC6">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018" w:name="_Toc351203567"/>
      <w:bookmarkStart w:id="1019" w:name="_Toc532377253"/>
      <w:bookmarkStart w:id="1020" w:name="_Toc532375596"/>
      <w:r>
        <w:rPr>
          <w:rFonts w:hint="eastAsia"/>
          <w:color w:val="auto"/>
          <w:kern w:val="2"/>
          <w:sz w:val="21"/>
          <w:szCs w:val="21"/>
          <w:highlight w:val="none"/>
        </w:rPr>
        <w:t>1</w:t>
      </w:r>
      <w:bookmarkStart w:id="1021" w:name="_Toc337558787"/>
      <w:r>
        <w:rPr>
          <w:rFonts w:hint="eastAsia"/>
          <w:color w:val="auto"/>
          <w:kern w:val="2"/>
          <w:sz w:val="21"/>
          <w:szCs w:val="21"/>
          <w:highlight w:val="none"/>
        </w:rPr>
        <w:t>0. 变更</w:t>
      </w:r>
      <w:bookmarkEnd w:id="1004"/>
      <w:bookmarkEnd w:id="1005"/>
      <w:bookmarkEnd w:id="1018"/>
      <w:bookmarkEnd w:id="1019"/>
      <w:bookmarkEnd w:id="1020"/>
    </w:p>
    <w:bookmarkEnd w:id="1021"/>
    <w:p w14:paraId="72A21A5C">
      <w:pPr>
        <w:pStyle w:val="7"/>
        <w:spacing w:before="0" w:beforeAutospacing="0" w:after="0" w:afterAutospacing="0" w:line="360" w:lineRule="auto"/>
        <w:ind w:firstLine="422" w:firstLineChars="200"/>
        <w:rPr>
          <w:color w:val="auto"/>
          <w:sz w:val="21"/>
          <w:szCs w:val="21"/>
          <w:highlight w:val="none"/>
        </w:rPr>
      </w:pPr>
      <w:bookmarkStart w:id="1022" w:name="_Toc351203568"/>
      <w:bookmarkStart w:id="1023" w:name="_Toc532377254"/>
      <w:r>
        <w:rPr>
          <w:rFonts w:hint="eastAsia"/>
          <w:color w:val="auto"/>
          <w:sz w:val="21"/>
          <w:szCs w:val="21"/>
          <w:highlight w:val="none"/>
        </w:rPr>
        <w:t>1</w:t>
      </w:r>
      <w:bookmarkStart w:id="1024" w:name="_Toc337558788"/>
      <w:bookmarkStart w:id="1025" w:name="_Toc296346585"/>
      <w:bookmarkStart w:id="1026" w:name="_Toc296503084"/>
      <w:r>
        <w:rPr>
          <w:rFonts w:hint="eastAsia"/>
          <w:color w:val="auto"/>
          <w:sz w:val="21"/>
          <w:szCs w:val="21"/>
          <w:highlight w:val="none"/>
        </w:rPr>
        <w:t>0.1变更的范围</w:t>
      </w:r>
      <w:bookmarkEnd w:id="1022"/>
      <w:bookmarkEnd w:id="1023"/>
    </w:p>
    <w:bookmarkEnd w:id="1024"/>
    <w:bookmarkEnd w:id="1025"/>
    <w:bookmarkEnd w:id="1026"/>
    <w:p w14:paraId="318CB57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除专用合同条款另有约定外，合同履行过程中发生以下情形的，应按照本条约定进行变更：</w:t>
      </w:r>
    </w:p>
    <w:p w14:paraId="15433D4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（1）增加或减少合同中任何工作，或追加额外的工作；</w:t>
      </w:r>
    </w:p>
    <w:p w14:paraId="0CF4B1F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（2）取消合同中任何工作，但转由他人实施的工作除外；</w:t>
      </w:r>
    </w:p>
    <w:p w14:paraId="2A26D68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（3）改变合同中任何工作的质量标准或其他特性；</w:t>
      </w:r>
    </w:p>
    <w:p w14:paraId="4FDF6A9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（4）改变工程的基线、标高、位置和尺寸；</w:t>
      </w:r>
    </w:p>
    <w:p w14:paraId="6E64C06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（5）改变工程的时间安排或实施顺序。</w:t>
      </w:r>
    </w:p>
    <w:p w14:paraId="6DE118FC">
      <w:pPr>
        <w:pStyle w:val="7"/>
        <w:spacing w:before="0" w:beforeAutospacing="0" w:after="0" w:afterAutospacing="0" w:line="360" w:lineRule="auto"/>
        <w:ind w:firstLine="422" w:firstLineChars="200"/>
        <w:rPr>
          <w:color w:val="auto"/>
          <w:sz w:val="21"/>
          <w:szCs w:val="21"/>
          <w:highlight w:val="none"/>
        </w:rPr>
      </w:pPr>
      <w:bookmarkStart w:id="1027" w:name="_Toc532377255"/>
      <w:r>
        <w:rPr>
          <w:rFonts w:hint="eastAsia"/>
          <w:color w:val="auto"/>
          <w:sz w:val="21"/>
          <w:szCs w:val="21"/>
          <w:highlight w:val="none"/>
        </w:rPr>
        <w:t>10.2变更权</w:t>
      </w:r>
      <w:bookmarkEnd w:id="1027"/>
    </w:p>
    <w:p w14:paraId="2C9243B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177FAB3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涉及设计变更的，应由设计人提供变更后的图纸和说明。如变更超过原设计标准或批准的建设规模时，发包人应及时办理规划、设计变更等审批手续。</w:t>
      </w:r>
    </w:p>
    <w:p w14:paraId="7E1FF758">
      <w:pPr>
        <w:pStyle w:val="7"/>
        <w:spacing w:before="0" w:beforeAutospacing="0" w:after="0" w:afterAutospacing="0" w:line="360" w:lineRule="auto"/>
        <w:ind w:firstLine="422" w:firstLineChars="200"/>
        <w:rPr>
          <w:color w:val="auto"/>
          <w:sz w:val="21"/>
          <w:szCs w:val="21"/>
          <w:highlight w:val="none"/>
        </w:rPr>
      </w:pPr>
      <w:bookmarkStart w:id="1028" w:name="_Toc532377256"/>
      <w:r>
        <w:rPr>
          <w:rFonts w:hint="eastAsia"/>
          <w:color w:val="auto"/>
          <w:sz w:val="21"/>
          <w:szCs w:val="21"/>
          <w:highlight w:val="none"/>
        </w:rPr>
        <w:t>10.3变更程序</w:t>
      </w:r>
      <w:bookmarkEnd w:id="1028"/>
    </w:p>
    <w:p w14:paraId="398F6F8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10.3.1 发包人提出变更</w:t>
      </w:r>
    </w:p>
    <w:p w14:paraId="0741FAB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发包人提出变更的，应通过监理人向承包人发出变更指示，变更指示应说明计划变更的工程范围和变更的内容。</w:t>
      </w:r>
    </w:p>
    <w:p w14:paraId="5253E9B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10.3.2 监理人提出变更建议</w:t>
      </w:r>
    </w:p>
    <w:p w14:paraId="1CFD20B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2B6721C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10.3.3 变更执行</w:t>
      </w:r>
    </w:p>
    <w:p w14:paraId="5D850E9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6E824CD5">
      <w:pPr>
        <w:pStyle w:val="7"/>
        <w:spacing w:before="0" w:beforeAutospacing="0" w:after="0" w:afterAutospacing="0" w:line="360" w:lineRule="auto"/>
        <w:ind w:firstLine="422" w:firstLineChars="200"/>
        <w:rPr>
          <w:color w:val="auto"/>
          <w:sz w:val="21"/>
          <w:szCs w:val="21"/>
          <w:highlight w:val="none"/>
        </w:rPr>
      </w:pPr>
      <w:bookmarkStart w:id="1029" w:name="_Toc351203571"/>
      <w:bookmarkStart w:id="1030" w:name="_Toc532377257"/>
      <w:r>
        <w:rPr>
          <w:rFonts w:hint="eastAsia"/>
          <w:color w:val="auto"/>
          <w:sz w:val="21"/>
          <w:szCs w:val="21"/>
          <w:highlight w:val="none"/>
        </w:rPr>
        <w:t>1</w:t>
      </w:r>
      <w:bookmarkStart w:id="1031" w:name="_Toc296346588"/>
      <w:bookmarkStart w:id="1032" w:name="_Toc337558791"/>
      <w:bookmarkStart w:id="1033" w:name="_Toc296503087"/>
      <w:r>
        <w:rPr>
          <w:rFonts w:hint="eastAsia"/>
          <w:color w:val="auto"/>
          <w:sz w:val="21"/>
          <w:szCs w:val="21"/>
          <w:highlight w:val="none"/>
        </w:rPr>
        <w:t>0.4变更估价</w:t>
      </w:r>
      <w:bookmarkEnd w:id="1029"/>
      <w:bookmarkEnd w:id="1030"/>
    </w:p>
    <w:bookmarkEnd w:id="1031"/>
    <w:bookmarkEnd w:id="1032"/>
    <w:bookmarkEnd w:id="1033"/>
    <w:p w14:paraId="0E06B39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10.4.1 变更估价原则</w:t>
      </w:r>
    </w:p>
    <w:p w14:paraId="5C0605D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除专用合同条款另有约定外，变更估价按照本款约定处理：</w:t>
      </w:r>
    </w:p>
    <w:p w14:paraId="4C4ABEA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（1）已标价工程量清单或预算书有相同项目的，按照相同项目单价认定；</w:t>
      </w:r>
    </w:p>
    <w:p w14:paraId="0FAA176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（2）已标价工程量清单或预算书中无相同项目，但有类似项目的，参照类似项目的单价认定；</w:t>
      </w:r>
    </w:p>
    <w:p w14:paraId="3F98430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04825CC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10.4.2 变更估价程序</w:t>
      </w:r>
    </w:p>
    <w:p w14:paraId="7C57F4F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56FF631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因变更引起的价格调整应计入最近一期的进度款中支付。</w:t>
      </w:r>
    </w:p>
    <w:p w14:paraId="22A76CB0">
      <w:pPr>
        <w:pStyle w:val="7"/>
        <w:spacing w:before="0" w:beforeAutospacing="0" w:after="0" w:afterAutospacing="0" w:line="360" w:lineRule="auto"/>
        <w:ind w:firstLine="422" w:firstLineChars="200"/>
        <w:rPr>
          <w:color w:val="auto"/>
          <w:sz w:val="21"/>
          <w:szCs w:val="21"/>
          <w:highlight w:val="none"/>
        </w:rPr>
      </w:pPr>
      <w:bookmarkStart w:id="1034" w:name="_Toc351203572"/>
      <w:bookmarkStart w:id="1035" w:name="_Toc532377258"/>
      <w:r>
        <w:rPr>
          <w:rFonts w:hint="eastAsia"/>
          <w:color w:val="auto"/>
          <w:sz w:val="21"/>
          <w:szCs w:val="21"/>
          <w:highlight w:val="none"/>
        </w:rPr>
        <w:t>1</w:t>
      </w:r>
      <w:bookmarkStart w:id="1036" w:name="_Toc296346595"/>
      <w:bookmarkStart w:id="1037" w:name="_Toc296503094"/>
      <w:bookmarkStart w:id="1038" w:name="_Toc337558792"/>
      <w:r>
        <w:rPr>
          <w:rFonts w:hint="eastAsia"/>
          <w:color w:val="auto"/>
          <w:sz w:val="21"/>
          <w:szCs w:val="21"/>
          <w:highlight w:val="none"/>
        </w:rPr>
        <w:t>0.5承包人的合理化建议</w:t>
      </w:r>
      <w:bookmarkEnd w:id="1034"/>
      <w:bookmarkEnd w:id="1035"/>
    </w:p>
    <w:bookmarkEnd w:id="1036"/>
    <w:bookmarkEnd w:id="1037"/>
    <w:bookmarkEnd w:id="1038"/>
    <w:p w14:paraId="4EA2BF9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承包人提出合理化建议的，应向监理人提交合理化建议说明，说明建议的内容和理由，以及实施该建议对合同价格和工期的影响。</w:t>
      </w:r>
    </w:p>
    <w:p w14:paraId="612C8B3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087AA0E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合理化建议降低了合同价格或者提高了工程经济效益的，发包人可对承包人给予奖励，奖励的方法和金额在专用合同条款中约定。</w:t>
      </w:r>
    </w:p>
    <w:p w14:paraId="7C60E6BC">
      <w:pPr>
        <w:pStyle w:val="7"/>
        <w:spacing w:before="0" w:beforeAutospacing="0" w:after="0" w:afterAutospacing="0" w:line="360" w:lineRule="auto"/>
        <w:ind w:firstLine="422" w:firstLineChars="200"/>
        <w:rPr>
          <w:color w:val="auto"/>
          <w:sz w:val="21"/>
          <w:szCs w:val="21"/>
          <w:highlight w:val="none"/>
        </w:rPr>
      </w:pPr>
      <w:bookmarkStart w:id="1039" w:name="_Toc351203573"/>
      <w:bookmarkStart w:id="1040" w:name="_Toc532377259"/>
      <w:r>
        <w:rPr>
          <w:rFonts w:hint="eastAsia"/>
          <w:color w:val="auto"/>
          <w:sz w:val="21"/>
          <w:szCs w:val="21"/>
          <w:highlight w:val="none"/>
        </w:rPr>
        <w:t>1</w:t>
      </w:r>
      <w:bookmarkStart w:id="1041" w:name="_Toc337558793"/>
      <w:r>
        <w:rPr>
          <w:rFonts w:hint="eastAsia"/>
          <w:color w:val="auto"/>
          <w:sz w:val="21"/>
          <w:szCs w:val="21"/>
          <w:highlight w:val="none"/>
        </w:rPr>
        <w:t>0.6变更引起的工期调整</w:t>
      </w:r>
      <w:bookmarkEnd w:id="1039"/>
      <w:bookmarkEnd w:id="1040"/>
      <w:bookmarkEnd w:id="1041"/>
    </w:p>
    <w:p w14:paraId="570AEF6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因变更引起工期变化的，合同当事人均可要求调整合同工期，由合同当事人按照第4.4款〔商定或确定〕并参考工程所在地的工期定额标准确定增减工期天数。</w:t>
      </w:r>
    </w:p>
    <w:p w14:paraId="2E141665">
      <w:pPr>
        <w:pStyle w:val="7"/>
        <w:spacing w:before="0" w:beforeAutospacing="0" w:after="0" w:afterAutospacing="0" w:line="360" w:lineRule="auto"/>
        <w:ind w:firstLine="422" w:firstLineChars="200"/>
        <w:rPr>
          <w:color w:val="auto"/>
          <w:sz w:val="21"/>
          <w:szCs w:val="21"/>
          <w:highlight w:val="none"/>
        </w:rPr>
      </w:pPr>
      <w:bookmarkStart w:id="1042" w:name="_Toc351203574"/>
      <w:bookmarkStart w:id="1043" w:name="_Toc532377260"/>
      <w:r>
        <w:rPr>
          <w:rFonts w:hint="eastAsia"/>
          <w:color w:val="auto"/>
          <w:sz w:val="21"/>
          <w:szCs w:val="21"/>
          <w:highlight w:val="none"/>
        </w:rPr>
        <w:t>10.7暂估价</w:t>
      </w:r>
      <w:bookmarkEnd w:id="1042"/>
      <w:bookmarkEnd w:id="1043"/>
    </w:p>
    <w:p w14:paraId="501A0C8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暂估价专业分包工程、服务、材料和工程设备的明细由合同当事人在专用合同条款中约定。</w:t>
      </w:r>
    </w:p>
    <w:p w14:paraId="4DC8FD1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10.7.1 依法必须招标的暂估价项目</w:t>
      </w:r>
    </w:p>
    <w:p w14:paraId="7CFF6B7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对于依法必须招标的暂估价项目，采取以下第1种方式确定。合同当事人也可以在专用合同条款中选择其他招标方式。</w:t>
      </w:r>
    </w:p>
    <w:p w14:paraId="3F801F2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第1种方式：对于依法必须招标的暂估价项目，由承包人招标，对该暂估价项目的确认和批准按照以下约定执行：</w:t>
      </w:r>
    </w:p>
    <w:p w14:paraId="616F1EF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56C8CC5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承包人应当根据施工进度计划，提前14天将招标文件通过监理人报送发包人审批，发包人应当在收到承包人报送的相关文件后7天内完成审批或提出修改意见；发包人有权确定最高限价并按照法律规定参加评标；</w:t>
      </w:r>
    </w:p>
    <w:p w14:paraId="4884753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0D96BFB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13188C4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10.7.2不属于依法必须招标的暂估价项目</w:t>
      </w:r>
    </w:p>
    <w:p w14:paraId="06C45EE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除专用合同条款另有约定外，对于不属于依法必须招标的暂估价项目，采取以下第1种方式确定： </w:t>
      </w:r>
    </w:p>
    <w:p w14:paraId="75270C3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第1种方式：对于不属于依法必须招标的暂估价项目，按本项约定确认和批准：</w:t>
      </w:r>
    </w:p>
    <w:p w14:paraId="18B6122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76CB39F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（2）发包人认为承包人确定的供应商、分包人无法满足工程质量或合同要求的，发包人可以要求承包人重新确定暂估价项目的供应商、分包人;</w:t>
      </w:r>
    </w:p>
    <w:p w14:paraId="7DC3AA8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（3）承包人应当在签订暂估价合同后7天内，将暂估价合同副本报送发包人留存。</w:t>
      </w:r>
    </w:p>
    <w:p w14:paraId="3458C75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第2种方式：承包人按照第10.7.1项〔依法必须招标的暂估价项目〕约定的第1种方式确定暂估价项目。</w:t>
      </w:r>
    </w:p>
    <w:p w14:paraId="6ED1B8A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第3种方式：承包人直接实施的暂估价项目</w:t>
      </w:r>
    </w:p>
    <w:p w14:paraId="3A31D87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承包人具备实施暂估价项目的资格和条件的，经发包人和承包人协商一致后，可由承包人自行实施暂估价项目，合同当事人可以在专用合同条款约定具体事项。</w:t>
      </w:r>
    </w:p>
    <w:p w14:paraId="1233764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61E45F8F">
      <w:pPr>
        <w:pStyle w:val="7"/>
        <w:spacing w:before="0" w:beforeAutospacing="0" w:after="0" w:afterAutospacing="0" w:line="360" w:lineRule="auto"/>
        <w:ind w:firstLine="422" w:firstLineChars="200"/>
        <w:rPr>
          <w:color w:val="auto"/>
          <w:sz w:val="21"/>
          <w:szCs w:val="21"/>
          <w:highlight w:val="none"/>
        </w:rPr>
      </w:pPr>
      <w:bookmarkStart w:id="1044" w:name="_Toc351203575"/>
      <w:bookmarkStart w:id="1045" w:name="_Toc532377261"/>
      <w:r>
        <w:rPr>
          <w:rFonts w:hint="eastAsia"/>
          <w:color w:val="auto"/>
          <w:sz w:val="21"/>
          <w:szCs w:val="21"/>
          <w:highlight w:val="none"/>
        </w:rPr>
        <w:t>1</w:t>
      </w:r>
      <w:bookmarkStart w:id="1046" w:name="_Toc337558794"/>
      <w:bookmarkStart w:id="1047" w:name="_Toc296503090"/>
      <w:bookmarkStart w:id="1048" w:name="_Toc322522561"/>
      <w:bookmarkStart w:id="1049" w:name="_Toc296346591"/>
      <w:r>
        <w:rPr>
          <w:rFonts w:hint="eastAsia"/>
          <w:color w:val="auto"/>
          <w:sz w:val="21"/>
          <w:szCs w:val="21"/>
          <w:highlight w:val="none"/>
        </w:rPr>
        <w:t>0.8暂列金额</w:t>
      </w:r>
      <w:bookmarkEnd w:id="1044"/>
      <w:bookmarkEnd w:id="1045"/>
    </w:p>
    <w:bookmarkEnd w:id="1046"/>
    <w:p w14:paraId="6512F02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暂列金额应按照发包人的要求使用，发包人的要求应通过监理人发出。合同当事人可以在专用合同条款中协商确定有关事项。</w:t>
      </w:r>
    </w:p>
    <w:bookmarkEnd w:id="1047"/>
    <w:bookmarkEnd w:id="1048"/>
    <w:bookmarkEnd w:id="1049"/>
    <w:p w14:paraId="77E93148">
      <w:pPr>
        <w:pStyle w:val="7"/>
        <w:spacing w:before="0" w:beforeAutospacing="0" w:after="0" w:afterAutospacing="0" w:line="360" w:lineRule="auto"/>
        <w:ind w:firstLine="422" w:firstLineChars="200"/>
        <w:rPr>
          <w:color w:val="auto"/>
          <w:sz w:val="21"/>
          <w:szCs w:val="21"/>
          <w:highlight w:val="none"/>
        </w:rPr>
      </w:pPr>
      <w:bookmarkStart w:id="1050" w:name="_Toc532377262"/>
      <w:bookmarkStart w:id="1051" w:name="_Toc351203576"/>
      <w:r>
        <w:rPr>
          <w:rFonts w:hint="eastAsia"/>
          <w:color w:val="auto"/>
          <w:sz w:val="21"/>
          <w:szCs w:val="21"/>
          <w:highlight w:val="none"/>
        </w:rPr>
        <w:t>1</w:t>
      </w:r>
      <w:bookmarkStart w:id="1052" w:name="_Toc296346592"/>
      <w:bookmarkStart w:id="1053" w:name="_Toc296503091"/>
      <w:bookmarkStart w:id="1054" w:name="_Toc337558796"/>
      <w:r>
        <w:rPr>
          <w:rFonts w:hint="eastAsia"/>
          <w:color w:val="auto"/>
          <w:sz w:val="21"/>
          <w:szCs w:val="21"/>
          <w:highlight w:val="none"/>
        </w:rPr>
        <w:t>0.9计日工</w:t>
      </w:r>
      <w:bookmarkEnd w:id="1050"/>
      <w:bookmarkEnd w:id="1051"/>
      <w:bookmarkEnd w:id="1052"/>
      <w:bookmarkEnd w:id="1053"/>
      <w:bookmarkEnd w:id="1054"/>
    </w:p>
    <w:p w14:paraId="36ACD0A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066F966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采用计日工计价的任何一项工作，承包人应在该项工作实施过程中，每天提交以下报表和有关凭证报送监理人审查：</w:t>
      </w:r>
    </w:p>
    <w:p w14:paraId="3E5237C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（1）工作名称、内容和数量；</w:t>
      </w:r>
    </w:p>
    <w:p w14:paraId="137A402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（2）投入该工作的所有人员的姓名、专业、工种、级别和耗用工时；</w:t>
      </w:r>
    </w:p>
    <w:p w14:paraId="46593BB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（3）投入该工作的材料类别和数量；</w:t>
      </w:r>
    </w:p>
    <w:p w14:paraId="49076C7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（4）投入该工作的施工设备型号、台数和耗用台时；</w:t>
      </w:r>
    </w:p>
    <w:p w14:paraId="77728EC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（5）其他有关资料和凭证。</w:t>
      </w:r>
    </w:p>
    <w:p w14:paraId="162C124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 计日工由承包人汇总后，列入最近一期进度付款申请单，由监理人审查并经发包人批准后列入进度付款。</w:t>
      </w:r>
    </w:p>
    <w:p w14:paraId="30433A50">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055" w:name="_Toc532375597"/>
      <w:bookmarkStart w:id="1056" w:name="_Toc351203577"/>
      <w:bookmarkStart w:id="1057" w:name="_Toc532377263"/>
      <w:r>
        <w:rPr>
          <w:rFonts w:hint="eastAsia"/>
          <w:color w:val="auto"/>
          <w:kern w:val="2"/>
          <w:sz w:val="21"/>
          <w:szCs w:val="21"/>
          <w:highlight w:val="none"/>
        </w:rPr>
        <w:t>11. 价格调整</w:t>
      </w:r>
      <w:bookmarkEnd w:id="1055"/>
      <w:bookmarkEnd w:id="1056"/>
      <w:bookmarkEnd w:id="1057"/>
    </w:p>
    <w:p w14:paraId="739DD171">
      <w:pPr>
        <w:pStyle w:val="7"/>
        <w:spacing w:before="0" w:beforeAutospacing="0" w:after="0" w:afterAutospacing="0" w:line="360" w:lineRule="auto"/>
        <w:ind w:firstLine="422" w:firstLineChars="200"/>
        <w:rPr>
          <w:color w:val="auto"/>
          <w:sz w:val="21"/>
          <w:szCs w:val="21"/>
          <w:highlight w:val="none"/>
        </w:rPr>
      </w:pPr>
      <w:bookmarkStart w:id="1058" w:name="_Toc351203578"/>
      <w:bookmarkStart w:id="1059" w:name="_Toc532377264"/>
      <w:bookmarkStart w:id="1060" w:name="_Toc296346593"/>
      <w:bookmarkStart w:id="1061" w:name="_Toc296503092"/>
      <w:bookmarkStart w:id="1062" w:name="_Toc337558797"/>
      <w:r>
        <w:rPr>
          <w:rFonts w:hint="eastAsia"/>
          <w:color w:val="auto"/>
          <w:sz w:val="21"/>
          <w:szCs w:val="21"/>
          <w:highlight w:val="none"/>
        </w:rPr>
        <w:t>11.1市场价格波动引起的调整</w:t>
      </w:r>
      <w:bookmarkEnd w:id="1058"/>
      <w:bookmarkEnd w:id="1059"/>
    </w:p>
    <w:bookmarkEnd w:id="1060"/>
    <w:bookmarkEnd w:id="1061"/>
    <w:bookmarkEnd w:id="1062"/>
    <w:p w14:paraId="3BFA2AC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除专用合同条款另有约定外，市场价格波动超过合同当事人约定的范围，合同价格应当调整。合同当事人可以在专用合同条款中约定选择以下一种方式对合同价格进行调整：</w:t>
      </w:r>
    </w:p>
    <w:p w14:paraId="10382D8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第1种方式：采用价格指数进行价格调整。</w:t>
      </w:r>
    </w:p>
    <w:p w14:paraId="3523922E">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（1）价格调整公式</w:t>
      </w:r>
    </w:p>
    <w:p w14:paraId="40DD47D9">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因人工、材料和设备等价格波动影响合同价格时，根据专用合同条款中约定的数据，按以下公式计算差额并调整合同价格：</w:t>
      </w:r>
    </w:p>
    <w:p w14:paraId="269E0509">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object>
          <v:shape id="_x0000_i1025" o:spt="75" type="#_x0000_t75" style="height:42.9pt;width:360pt;" o:ole="t" filled="f" o:preferrelative="t" stroked="f" coordsize="21600,21600">
            <v:path/>
            <v:fill on="f" focussize="0,0"/>
            <v:stroke on="f"/>
            <v:imagedata r:id="rId14" o:title=""/>
            <o:lock v:ext="edit" aspectratio="t"/>
            <w10:wrap type="none"/>
            <w10:anchorlock/>
          </v:shape>
          <o:OLEObject Type="Embed" ProgID="Equation.3" ShapeID="_x0000_i1025" DrawAspect="Content" ObjectID="_1468075725" r:id="rId13">
            <o:LockedField>false</o:LockedField>
          </o:OLEObject>
        </w:object>
      </w:r>
    </w:p>
    <w:p w14:paraId="6E2E797A">
      <w:pPr>
        <w:tabs>
          <w:tab w:val="left" w:pos="0"/>
          <w:tab w:val="left" w:pos="360"/>
          <w:tab w:val="left" w:pos="540"/>
        </w:tabs>
        <w:spacing w:line="360" w:lineRule="auto"/>
        <w:ind w:firstLine="200"/>
        <w:jc w:val="left"/>
        <w:rPr>
          <w:rFonts w:ascii="宋体" w:hAnsi="宋体"/>
          <w:color w:val="auto"/>
          <w:kern w:val="0"/>
          <w:szCs w:val="21"/>
          <w:highlight w:val="none"/>
        </w:rPr>
      </w:pPr>
      <w:r>
        <w:rPr>
          <w:rFonts w:hint="eastAsia" w:ascii="宋体" w:hAnsi="宋体"/>
          <w:color w:val="auto"/>
          <w:kern w:val="0"/>
          <w:szCs w:val="21"/>
          <w:highlight w:val="none"/>
        </w:rPr>
        <w:t>公式中：ΔP——需调整的价格差额；</w:t>
      </w:r>
    </w:p>
    <w:p w14:paraId="0B42FACC">
      <w:pPr>
        <w:tabs>
          <w:tab w:val="left" w:pos="0"/>
          <w:tab w:val="left" w:pos="360"/>
          <w:tab w:val="left" w:pos="540"/>
        </w:tabs>
        <w:spacing w:line="360" w:lineRule="auto"/>
        <w:ind w:firstLine="1260" w:firstLineChars="600"/>
        <w:jc w:val="left"/>
        <w:rPr>
          <w:rFonts w:ascii="宋体" w:hAnsi="宋体"/>
          <w:color w:val="auto"/>
          <w:kern w:val="0"/>
          <w:szCs w:val="21"/>
          <w:highlight w:val="none"/>
        </w:rPr>
      </w:pPr>
      <w:r>
        <w:rPr>
          <w:rFonts w:hint="eastAsia" w:ascii="宋体" w:hAnsi="宋体"/>
          <w:color w:val="auto"/>
          <w:kern w:val="0"/>
          <w:szCs w:val="21"/>
          <w:highlight w:val="none"/>
        </w:rPr>
        <w:object>
          <v:shape id="_x0000_i1026" o:spt="75" type="#_x0000_t75" style="height:18.7pt;width:18.7pt;" o:ole="t" filled="f" o:preferrelative="t" stroked="f" coordsize="21600,21600">
            <v:path/>
            <v:fill on="f" focussize="0,0"/>
            <v:stroke on="f"/>
            <v:imagedata r:id="rId16" o:title=""/>
            <o:lock v:ext="edit" aspectratio="t"/>
            <w10:wrap type="none"/>
            <w10:anchorlock/>
          </v:shape>
          <o:OLEObject Type="Embed" ProgID="Equation.3" ShapeID="_x0000_i1026" DrawAspect="Content" ObjectID="_1468075726" r:id="rId15">
            <o:LockedField>false</o:LockedField>
          </o:OLEObject>
        </w:object>
      </w:r>
      <w:r>
        <w:rPr>
          <w:rFonts w:hint="eastAsia" w:ascii="宋体" w:hAnsi="宋体"/>
          <w:color w:val="auto"/>
          <w:kern w:val="0"/>
          <w:szCs w:val="21"/>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14E4F4A1">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A——定值权重（即不调部分的权重）；</w:t>
      </w:r>
    </w:p>
    <w:p w14:paraId="6ED1E9D9">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object>
          <v:shape id="_x0000_i1027" o:spt="75" type="#_x0000_t75" style="height:21.8pt;width:100.45pt;" o:ole="t" filled="f" o:preferrelative="t" stroked="f" coordsize="21600,21600">
            <v:path/>
            <v:fill on="f" focussize="0,0"/>
            <v:stroke on="f"/>
            <v:imagedata r:id="rId18" o:title=""/>
            <o:lock v:ext="edit" aspectratio="t"/>
            <w10:wrap type="none"/>
            <w10:anchorlock/>
          </v:shape>
          <o:OLEObject Type="Embed" ProgID="Equation.3" ShapeID="_x0000_i1027" DrawAspect="Content" ObjectID="_1468075727" r:id="rId17">
            <o:LockedField>false</o:LockedField>
          </o:OLEObject>
        </w:object>
      </w:r>
      <w:r>
        <w:rPr>
          <w:rFonts w:hint="eastAsia" w:ascii="宋体" w:hAnsi="宋体"/>
          <w:color w:val="auto"/>
          <w:kern w:val="0"/>
          <w:szCs w:val="21"/>
          <w:highlight w:val="none"/>
        </w:rPr>
        <w:t>——各可调因子的变值权重（即可调部分的权重），为各可调因子在签约合同价中所占的比例；</w:t>
      </w:r>
    </w:p>
    <w:p w14:paraId="770E1F2F">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object>
          <v:shape id="_x0000_i1028" o:spt="75" type="#_x0000_t75" style="height:21.8pt;width:101.65pt;" o:ole="t" filled="f" o:preferrelative="t" stroked="f" coordsize="21600,21600">
            <v:path/>
            <v:fill on="f" focussize="0,0"/>
            <v:stroke on="f"/>
            <v:imagedata r:id="rId20" o:title=""/>
            <o:lock v:ext="edit" aspectratio="t"/>
            <w10:wrap type="none"/>
            <w10:anchorlock/>
          </v:shape>
          <o:OLEObject Type="Embed" ProgID="Equation.3" ShapeID="_x0000_i1028" DrawAspect="Content" ObjectID="_1468075728" r:id="rId19">
            <o:LockedField>false</o:LockedField>
          </o:OLEObject>
        </w:object>
      </w:r>
      <w:r>
        <w:rPr>
          <w:rFonts w:hint="eastAsia" w:ascii="宋体" w:hAnsi="宋体"/>
          <w:color w:val="auto"/>
          <w:kern w:val="0"/>
          <w:szCs w:val="21"/>
          <w:highlight w:val="none"/>
        </w:rPr>
        <w:t>——各可调因子的现行价格指数，指约定的付款证书相关周期最后一天的前42天的各可调因子的价格指数；</w:t>
      </w:r>
    </w:p>
    <w:p w14:paraId="3A7025A9">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object>
          <v:shape id="_x0000_i1029" o:spt="75" type="#_x0000_t75" style="height:21.8pt;width:108.95pt;" o:ole="t" filled="f" o:preferrelative="t" stroked="f" coordsize="21600,21600">
            <v:path/>
            <v:fill on="f" focussize="0,0"/>
            <v:stroke on="f"/>
            <v:imagedata r:id="rId22" o:title=""/>
            <o:lock v:ext="edit" aspectratio="t"/>
            <w10:wrap type="none"/>
            <w10:anchorlock/>
          </v:shape>
          <o:OLEObject Type="Embed" ProgID="Equation.3" ShapeID="_x0000_i1029" DrawAspect="Content" ObjectID="_1468075729" r:id="rId21">
            <o:LockedField>false</o:LockedField>
          </o:OLEObject>
        </w:object>
      </w:r>
      <w:r>
        <w:rPr>
          <w:rFonts w:hint="eastAsia" w:ascii="宋体" w:hAnsi="宋体"/>
          <w:color w:val="auto"/>
          <w:kern w:val="0"/>
          <w:szCs w:val="21"/>
          <w:highlight w:val="none"/>
        </w:rPr>
        <w:t>——各可调因子的基本价格指数，指基准日期的各可调因子的价格指数。</w:t>
      </w:r>
    </w:p>
    <w:p w14:paraId="01A6CB59">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6EB8BBBF">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（2）暂时确定调整差额</w:t>
      </w:r>
    </w:p>
    <w:p w14:paraId="7481AA80">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在计算调整差额时无现行价格指数的，合同当事人同意暂用前次价格指数计算。实际价格指数有调整的，合同当事人进行相应调整。</w:t>
      </w:r>
    </w:p>
    <w:p w14:paraId="6A72CD7C">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（3）权重的调整</w:t>
      </w:r>
    </w:p>
    <w:p w14:paraId="7E402E31">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因变更导致合同约定的权重不合理时，按照第4.4款〔商定或确定〕执行。</w:t>
      </w:r>
    </w:p>
    <w:p w14:paraId="7BD41A59">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（4）因承包人原因工期延误后的价格调整</w:t>
      </w:r>
    </w:p>
    <w:p w14:paraId="6190A2BE">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440BCFB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第2种方式：采用造价信息进行价格调整。</w:t>
      </w:r>
    </w:p>
    <w:p w14:paraId="040F78F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390480C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1031C80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（2）材料、工程设备价格变化的价款调整按照发包人提供的基准价格，按以下风险范围规定执行：</w:t>
      </w:r>
    </w:p>
    <w:p w14:paraId="3A29F24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097C5D0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7FFA98B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③承包人在已标价工程量清单或预算书中载明材料单价等于基准价格的：除专用合同条款另有约定外，合同履行期间材料单价涨跌幅以基准价格为基础超过±5%时，其超过部分据实调整。</w:t>
      </w:r>
    </w:p>
    <w:p w14:paraId="1933D6C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41A92C36">
      <w:pPr>
        <w:spacing w:line="360" w:lineRule="auto"/>
        <w:ind w:firstLine="420" w:firstLineChars="200"/>
        <w:jc w:val="left"/>
        <w:rPr>
          <w:rFonts w:ascii="宋体" w:hAnsi="宋体"/>
          <w:color w:val="auto"/>
          <w:kern w:val="0"/>
          <w:szCs w:val="21"/>
          <w:highlight w:val="none"/>
        </w:rPr>
      </w:pPr>
      <w:bookmarkStart w:id="1063" w:name="OLE_LINK3"/>
      <w:r>
        <w:rPr>
          <w:rFonts w:hint="eastAsia" w:ascii="宋体" w:hAnsi="宋体"/>
          <w:color w:val="auto"/>
          <w:kern w:val="0"/>
          <w:szCs w:val="21"/>
          <w:highlight w:val="none"/>
        </w:rPr>
        <w:t>前述基准价格是指由发包人在招标文件或专用合同条款中给定的材料、工程设备的价格，该价格原则上应当按照省级或行业建设主管部门或其授权的工程造价管理机构发布的信息价编制。</w:t>
      </w:r>
    </w:p>
    <w:p w14:paraId="50DD2D3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（3）施工机械台班单价或施工机械使用费发生变化超过省级或行业建设主管部门或其授权的工程造价管理机构规定的范围时，按规定调整合同价格。</w:t>
      </w:r>
    </w:p>
    <w:p w14:paraId="619FEBB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第3种方式：专用合同条款约定的其他方式。</w:t>
      </w:r>
    </w:p>
    <w:p w14:paraId="41E92B08">
      <w:pPr>
        <w:pStyle w:val="7"/>
        <w:spacing w:before="0" w:beforeAutospacing="0" w:after="0" w:afterAutospacing="0" w:line="360" w:lineRule="auto"/>
        <w:ind w:firstLine="422" w:firstLineChars="200"/>
        <w:rPr>
          <w:color w:val="auto"/>
          <w:sz w:val="21"/>
          <w:szCs w:val="21"/>
          <w:highlight w:val="none"/>
        </w:rPr>
      </w:pPr>
      <w:bookmarkStart w:id="1064" w:name="_Toc532377265"/>
      <w:bookmarkStart w:id="1065" w:name="_Toc351203579"/>
      <w:bookmarkStart w:id="1066" w:name="_Toc296503093"/>
      <w:bookmarkStart w:id="1067" w:name="_Toc337558798"/>
      <w:bookmarkStart w:id="1068" w:name="_Toc296346594"/>
      <w:r>
        <w:rPr>
          <w:rFonts w:hint="eastAsia"/>
          <w:color w:val="auto"/>
          <w:sz w:val="21"/>
          <w:szCs w:val="21"/>
          <w:highlight w:val="none"/>
        </w:rPr>
        <w:t>11.2法律变化引起的调整</w:t>
      </w:r>
      <w:bookmarkEnd w:id="1064"/>
      <w:bookmarkEnd w:id="1065"/>
    </w:p>
    <w:bookmarkEnd w:id="1066"/>
    <w:bookmarkEnd w:id="1067"/>
    <w:bookmarkEnd w:id="1068"/>
    <w:p w14:paraId="7BE6B46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33908D3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因法律变化引起的合同价格和工期调整，合同当事人无法达成一致的，由总监理工程师按第4.4款〔商定或确定〕的约定处理。</w:t>
      </w:r>
    </w:p>
    <w:p w14:paraId="2AB7E13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因承包人原因造成工期延误，在工期延误期间出现法律变化的，由此增加的费用和（或）延误的工期由承包人承担。</w:t>
      </w:r>
    </w:p>
    <w:p w14:paraId="1B54D34A">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069" w:name="_Toc351203580"/>
      <w:bookmarkStart w:id="1070" w:name="_Toc532375598"/>
      <w:bookmarkStart w:id="1071" w:name="_Toc532377266"/>
      <w:bookmarkStart w:id="1072" w:name="_Toc337558799"/>
      <w:bookmarkStart w:id="1073" w:name="_Toc296503096"/>
      <w:bookmarkStart w:id="1074" w:name="_Toc296346597"/>
      <w:r>
        <w:rPr>
          <w:rFonts w:hint="eastAsia"/>
          <w:color w:val="auto"/>
          <w:kern w:val="2"/>
          <w:sz w:val="21"/>
          <w:szCs w:val="21"/>
          <w:highlight w:val="none"/>
        </w:rPr>
        <w:t>12. 合同价格、计量与支付</w:t>
      </w:r>
      <w:bookmarkEnd w:id="1069"/>
      <w:bookmarkEnd w:id="1070"/>
      <w:bookmarkEnd w:id="1071"/>
    </w:p>
    <w:bookmarkEnd w:id="1072"/>
    <w:p w14:paraId="265125E4">
      <w:pPr>
        <w:pStyle w:val="7"/>
        <w:spacing w:before="0" w:beforeAutospacing="0" w:after="0" w:afterAutospacing="0" w:line="360" w:lineRule="auto"/>
        <w:ind w:firstLine="422" w:firstLineChars="200"/>
        <w:rPr>
          <w:color w:val="auto"/>
          <w:sz w:val="21"/>
          <w:szCs w:val="21"/>
          <w:highlight w:val="none"/>
        </w:rPr>
      </w:pPr>
      <w:bookmarkStart w:id="1075" w:name="_Toc532377267"/>
      <w:bookmarkStart w:id="1076" w:name="_Toc351203581"/>
      <w:bookmarkStart w:id="1077" w:name="_Toc337558800"/>
      <w:r>
        <w:rPr>
          <w:rFonts w:hint="eastAsia"/>
          <w:color w:val="auto"/>
          <w:sz w:val="21"/>
          <w:szCs w:val="21"/>
          <w:highlight w:val="none"/>
        </w:rPr>
        <w:t>12.1 合同价</w:t>
      </w:r>
      <w:bookmarkEnd w:id="1073"/>
      <w:bookmarkEnd w:id="1074"/>
      <w:r>
        <w:rPr>
          <w:rFonts w:hint="eastAsia"/>
          <w:color w:val="auto"/>
          <w:sz w:val="21"/>
          <w:szCs w:val="21"/>
          <w:highlight w:val="none"/>
        </w:rPr>
        <w:t>格形式</w:t>
      </w:r>
      <w:bookmarkEnd w:id="1075"/>
      <w:bookmarkEnd w:id="1076"/>
    </w:p>
    <w:bookmarkEnd w:id="1077"/>
    <w:p w14:paraId="186A769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发包人和承包人应在合同协议书中选择下列一种合同价格形式： </w:t>
      </w:r>
    </w:p>
    <w:p w14:paraId="6B01777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1.单价合同</w:t>
      </w:r>
    </w:p>
    <w:p w14:paraId="09BC264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w:t>
      </w:r>
    </w:p>
    <w:p w14:paraId="03D5FFCE">
      <w:pPr>
        <w:pStyle w:val="7"/>
        <w:spacing w:before="0" w:beforeAutospacing="0" w:after="0" w:afterAutospacing="0" w:line="360" w:lineRule="auto"/>
        <w:ind w:firstLine="420" w:firstLineChars="200"/>
        <w:rPr>
          <w:b w:val="0"/>
          <w:color w:val="auto"/>
          <w:sz w:val="21"/>
          <w:szCs w:val="21"/>
          <w:highlight w:val="none"/>
        </w:rPr>
      </w:pPr>
      <w:bookmarkStart w:id="1078" w:name="_Toc532377268"/>
      <w:r>
        <w:rPr>
          <w:rFonts w:hint="eastAsia"/>
          <w:b w:val="0"/>
          <w:color w:val="auto"/>
          <w:sz w:val="21"/>
          <w:szCs w:val="21"/>
          <w:highlight w:val="none"/>
        </w:rPr>
        <w:t>2.总价合同</w:t>
      </w:r>
      <w:bookmarkEnd w:id="1078"/>
    </w:p>
    <w:p w14:paraId="677EDEB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52438686">
      <w:pPr>
        <w:pStyle w:val="7"/>
        <w:spacing w:before="0" w:beforeAutospacing="0" w:after="0" w:afterAutospacing="0" w:line="360" w:lineRule="auto"/>
        <w:ind w:firstLine="420" w:firstLineChars="200"/>
        <w:rPr>
          <w:b w:val="0"/>
          <w:color w:val="auto"/>
          <w:sz w:val="21"/>
          <w:szCs w:val="21"/>
          <w:highlight w:val="none"/>
        </w:rPr>
      </w:pPr>
      <w:bookmarkStart w:id="1079" w:name="_Toc532377269"/>
      <w:r>
        <w:rPr>
          <w:rFonts w:hint="eastAsia"/>
          <w:b w:val="0"/>
          <w:color w:val="auto"/>
          <w:sz w:val="21"/>
          <w:szCs w:val="21"/>
          <w:highlight w:val="none"/>
        </w:rPr>
        <w:t>3.其它价格形式</w:t>
      </w:r>
      <w:bookmarkEnd w:id="1079"/>
    </w:p>
    <w:p w14:paraId="20F4142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合同当事人可在专用合同条款中约定其他合同价格形式。</w:t>
      </w:r>
    </w:p>
    <w:p w14:paraId="7F06E824">
      <w:pPr>
        <w:pStyle w:val="7"/>
        <w:spacing w:before="0" w:beforeAutospacing="0" w:after="0" w:afterAutospacing="0" w:line="360" w:lineRule="auto"/>
        <w:ind w:firstLine="422" w:firstLineChars="200"/>
        <w:rPr>
          <w:color w:val="auto"/>
          <w:sz w:val="21"/>
          <w:szCs w:val="21"/>
          <w:highlight w:val="none"/>
        </w:rPr>
      </w:pPr>
      <w:bookmarkStart w:id="1080" w:name="_Toc296346598"/>
      <w:bookmarkStart w:id="1081" w:name="_Toc296503097"/>
      <w:bookmarkStart w:id="1082" w:name="_Toc532377270"/>
      <w:bookmarkStart w:id="1083" w:name="_Toc351203582"/>
      <w:bookmarkStart w:id="1084" w:name="_Toc337558801"/>
      <w:r>
        <w:rPr>
          <w:rFonts w:hint="eastAsia"/>
          <w:color w:val="auto"/>
          <w:sz w:val="21"/>
          <w:szCs w:val="21"/>
          <w:highlight w:val="none"/>
        </w:rPr>
        <w:t>12.2预</w:t>
      </w:r>
      <w:bookmarkEnd w:id="1080"/>
      <w:bookmarkEnd w:id="1081"/>
      <w:bookmarkStart w:id="1085" w:name="_Toc296503100"/>
      <w:bookmarkStart w:id="1086" w:name="_Toc296346601"/>
      <w:r>
        <w:rPr>
          <w:rFonts w:hint="eastAsia"/>
          <w:color w:val="auto"/>
          <w:sz w:val="21"/>
          <w:szCs w:val="21"/>
          <w:highlight w:val="none"/>
        </w:rPr>
        <w:t>付款</w:t>
      </w:r>
      <w:bookmarkEnd w:id="1082"/>
      <w:bookmarkEnd w:id="1083"/>
    </w:p>
    <w:bookmarkEnd w:id="1084"/>
    <w:bookmarkEnd w:id="1085"/>
    <w:bookmarkEnd w:id="1086"/>
    <w:p w14:paraId="60E5816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12.2.1预付款的支付</w:t>
      </w:r>
    </w:p>
    <w:p w14:paraId="060F4A7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预付款的支付按照专用合同条款约定执行，但至迟应在开工通知载明的开工日期7天前支付。预付款应当用于材料、工程设备、施工设备的采购及修建临时工程、组织施工队伍进场等。</w:t>
      </w:r>
    </w:p>
    <w:p w14:paraId="4FEB2BE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除专用合同条款另有约定外，预付款在进度付款中同比例扣回。</w:t>
      </w:r>
      <w:bookmarkEnd w:id="1063"/>
      <w:r>
        <w:rPr>
          <w:rFonts w:hint="eastAsia" w:ascii="宋体" w:hAnsi="宋体"/>
          <w:color w:val="auto"/>
          <w:kern w:val="0"/>
          <w:szCs w:val="21"/>
          <w:highlight w:val="none"/>
        </w:rPr>
        <w:t>在颁发工程接收证书前，提前解除合同的，尚未扣完的预付款应与合同价款一并结算。</w:t>
      </w:r>
    </w:p>
    <w:p w14:paraId="013CFB1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发包人逾期支付预付款超过7天的，承包人有权向发包人发出要求预付的催告通知，发包人收到通知后7天内仍未支付的，承包人有权暂停施工，并按第16.1.1项〔发包人违约的情形〕执行。</w:t>
      </w:r>
    </w:p>
    <w:p w14:paraId="5DFEE4C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12.2.2 预付款担保</w:t>
      </w:r>
    </w:p>
    <w:p w14:paraId="71A2830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67FD5A4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发包人在工程款中逐期扣回预付款后，预付款担保额度应相应减少，但剩余的预付款担保金额不得低于未被扣回的预付款金额。</w:t>
      </w:r>
    </w:p>
    <w:p w14:paraId="2EB135E7">
      <w:pPr>
        <w:pStyle w:val="7"/>
        <w:spacing w:before="0" w:beforeAutospacing="0" w:after="0" w:afterAutospacing="0" w:line="360" w:lineRule="auto"/>
        <w:ind w:firstLine="422" w:firstLineChars="200"/>
        <w:rPr>
          <w:color w:val="auto"/>
          <w:sz w:val="21"/>
          <w:szCs w:val="21"/>
          <w:highlight w:val="none"/>
        </w:rPr>
      </w:pPr>
      <w:bookmarkStart w:id="1087" w:name="_Toc351203583"/>
      <w:bookmarkStart w:id="1088" w:name="_Toc532377271"/>
      <w:bookmarkStart w:id="1089" w:name="_Toc337558802"/>
      <w:r>
        <w:rPr>
          <w:rFonts w:hint="eastAsia"/>
          <w:color w:val="auto"/>
          <w:sz w:val="21"/>
          <w:szCs w:val="21"/>
          <w:highlight w:val="none"/>
        </w:rPr>
        <w:t>12.3计量</w:t>
      </w:r>
      <w:bookmarkEnd w:id="1087"/>
      <w:bookmarkEnd w:id="1088"/>
    </w:p>
    <w:bookmarkEnd w:id="1089"/>
    <w:p w14:paraId="42E0B41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12.3.1 计量原则</w:t>
      </w:r>
    </w:p>
    <w:p w14:paraId="3F85515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工程量计量按照合同约定的工程量计算规则、图纸及变更指示等进行计量。工程量计算规则应以相关的国家标准、行业标准等为依据，由合同当事人在专用合同条款中约定。</w:t>
      </w:r>
    </w:p>
    <w:p w14:paraId="5E856AE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12.3.2 计量周期</w:t>
      </w:r>
    </w:p>
    <w:p w14:paraId="21D552F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除专用合同条款另有约定外，工程量的计量按月进行。</w:t>
      </w:r>
    </w:p>
    <w:p w14:paraId="12E3CFD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12.3.3 单价合同的计量</w:t>
      </w:r>
    </w:p>
    <w:p w14:paraId="55F5B49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除专用合同条款另有约定外，单价合同的计量按照本项约定执行：</w:t>
      </w:r>
    </w:p>
    <w:p w14:paraId="3FC5A18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（1）承包人应于每月25日向监理人报送上月20日至当月19日已完成的工程量报告，并附具进度付款申请单、已完成工程量报表和有关资料。</w:t>
      </w:r>
    </w:p>
    <w:p w14:paraId="002CEE0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01252B9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（3）监理人未在收到承包人提交的工程量报表后的7天内完成审核的，承包人报送的工程量报告中的工程量视为承包人实际完成的工程量，据此计算工程价款。</w:t>
      </w:r>
    </w:p>
    <w:p w14:paraId="31961FA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12.3.4 总价合同的计量</w:t>
      </w:r>
    </w:p>
    <w:p w14:paraId="6FAAA2C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除专用合同条款另有约定外，按月计量支付的总价合同，按照本项约定执行：</w:t>
      </w:r>
    </w:p>
    <w:p w14:paraId="6B83056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（1）承包人应于每月25日向监理人报送上月20日至当月19日已完成的工程量报告，并附具进度付款申请单、已完成工程量报表和有关资料。</w:t>
      </w:r>
    </w:p>
    <w:p w14:paraId="23EFDF3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09A6A6A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（3）监理人未在收到承包人提交的工程量报表后的7天内完成复核的，承包人提交的工程量报告中的工程量视为承包人实际完成的工程量。</w:t>
      </w:r>
    </w:p>
    <w:p w14:paraId="1DAE353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12.3.5 总价合同采用支付分解表计量支付的，可以按照第12.3.4项〔总价合同的计量〕约定进行计量，但合同价款按照支付分解表进行支付。</w:t>
      </w:r>
    </w:p>
    <w:p w14:paraId="38FD26F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12.3.6 其他价格形式合同的计量</w:t>
      </w:r>
    </w:p>
    <w:p w14:paraId="4A91736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合同当事人可在专用合同条款中约定其他价格形式合同的计量方式和程序。</w:t>
      </w:r>
    </w:p>
    <w:p w14:paraId="57B584C6">
      <w:pPr>
        <w:pStyle w:val="7"/>
        <w:spacing w:before="0" w:beforeAutospacing="0" w:after="0" w:afterAutospacing="0" w:line="360" w:lineRule="auto"/>
        <w:ind w:firstLine="422" w:firstLineChars="200"/>
        <w:rPr>
          <w:color w:val="auto"/>
          <w:sz w:val="21"/>
          <w:szCs w:val="21"/>
          <w:highlight w:val="none"/>
        </w:rPr>
      </w:pPr>
      <w:bookmarkStart w:id="1090" w:name="_Toc296346602"/>
      <w:bookmarkStart w:id="1091" w:name="_Toc296503101"/>
      <w:bookmarkStart w:id="1092" w:name="_Toc351203584"/>
      <w:bookmarkStart w:id="1093" w:name="_Toc532377272"/>
      <w:bookmarkStart w:id="1094" w:name="_Toc337558803"/>
      <w:r>
        <w:rPr>
          <w:rFonts w:hint="eastAsia"/>
          <w:color w:val="auto"/>
          <w:sz w:val="21"/>
          <w:szCs w:val="21"/>
          <w:highlight w:val="none"/>
        </w:rPr>
        <w:t>12.4工程进度款支</w:t>
      </w:r>
      <w:bookmarkEnd w:id="1090"/>
      <w:bookmarkEnd w:id="1091"/>
      <w:r>
        <w:rPr>
          <w:rFonts w:hint="eastAsia"/>
          <w:color w:val="auto"/>
          <w:sz w:val="21"/>
          <w:szCs w:val="21"/>
          <w:highlight w:val="none"/>
        </w:rPr>
        <w:t>付</w:t>
      </w:r>
      <w:bookmarkEnd w:id="1092"/>
      <w:bookmarkEnd w:id="1093"/>
    </w:p>
    <w:bookmarkEnd w:id="1094"/>
    <w:p w14:paraId="6CACDBE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12.4.1 付款周期</w:t>
      </w:r>
    </w:p>
    <w:p w14:paraId="578E0A3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除专用合同条款另有约定外，付款周期应按照第12.3.2项〔计量周期〕的约定与计量周期保持一致。</w:t>
      </w:r>
    </w:p>
    <w:p w14:paraId="29AE5F0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12.4.2 进度付款申请单的编制</w:t>
      </w:r>
    </w:p>
    <w:p w14:paraId="7F81119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除专用合同条款另有约定外，进度付款申请单应包括下列内容：</w:t>
      </w:r>
    </w:p>
    <w:p w14:paraId="20C2A28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（1）截至本次付款周期已完成工作对应的金额；</w:t>
      </w:r>
    </w:p>
    <w:p w14:paraId="065852E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（2）根据第10条〔变更〕应增加和扣减的变更金额；</w:t>
      </w:r>
    </w:p>
    <w:p w14:paraId="144EC19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（3）根据第12.2款〔预付款〕约定应支付的预付款和扣减的返还预付款；</w:t>
      </w:r>
    </w:p>
    <w:p w14:paraId="6F11873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（4）根据第15.3款〔质量保证金〕约定应扣减的质量保证金；</w:t>
      </w:r>
    </w:p>
    <w:p w14:paraId="2E67D87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（5）根据第19条〔索赔〕应增加和扣减的索赔金额；</w:t>
      </w:r>
    </w:p>
    <w:p w14:paraId="17636C8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（6）对已签发的进度款支付证书中出现错误的修正，应在本次进度付款中支付或扣除的金额；</w:t>
      </w:r>
    </w:p>
    <w:p w14:paraId="3D524A4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（7）根据合同约定应增加和扣减的其他金额。</w:t>
      </w:r>
    </w:p>
    <w:p w14:paraId="63AECA6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12.4.3 进度付款申请单的提交</w:t>
      </w:r>
    </w:p>
    <w:p w14:paraId="5785D61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（1）单价合同进度付款申请单的提交</w:t>
      </w:r>
    </w:p>
    <w:p w14:paraId="4BABBC1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4B9D795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（2）总价合同进度付款申请单的提交</w:t>
      </w:r>
    </w:p>
    <w:p w14:paraId="7F3832F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总价合同按月计量支付的，承包人按照第12.3.4项〔总价合同的计量〕约定的时间按月向监理人提交进度付款申请单，并附上已完成工程量报表和有关资料。</w:t>
      </w:r>
    </w:p>
    <w:p w14:paraId="050EC91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总价合同按支付分解表支付的，承包人应按照第12.4.6项〔支付分解表〕及第12.4.2项〔进度付款申请单的编制〕的约定向监理人提交进度付款申请单。</w:t>
      </w:r>
    </w:p>
    <w:p w14:paraId="0BE97CB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（3）其他价格形式合同的进度付款申请单的提交</w:t>
      </w:r>
    </w:p>
    <w:p w14:paraId="045C984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合同当事人可在专用合同条款中约定其他价格形式合同的进度付款申请单的编制和提交程序。</w:t>
      </w:r>
    </w:p>
    <w:p w14:paraId="2F7EF9F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12.4.4 进度款审核和支付</w:t>
      </w:r>
    </w:p>
    <w:p w14:paraId="6568E52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5F92E13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3252F98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1304E1D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（3）发包人签发进度款支付证书或临时进度款支付证书，不表明发包人已同意、批准或接受了承包人完成的相应部分的工作。</w:t>
      </w:r>
    </w:p>
    <w:p w14:paraId="3F0F79B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12.4.5 进度付款的修正</w:t>
      </w:r>
    </w:p>
    <w:p w14:paraId="016BACC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在对已签发的进度款支付证书进行阶段汇总和复核中发现错误、遗漏或重复的，发包人和承包人均有权提出修正申请。经发包人和承包人同意的修正，应在下期进度付款中支付或扣除。</w:t>
      </w:r>
    </w:p>
    <w:p w14:paraId="0E39AAD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12.4.6 支付分解表</w:t>
      </w:r>
    </w:p>
    <w:p w14:paraId="7C8E4D3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1.支付分解表的编制要求</w:t>
      </w:r>
    </w:p>
    <w:p w14:paraId="4E87AAD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（1）支付分解表中所列的每期付款金额，应为第12.4.2项〔进度付款申请单的编制〕第（1）目的估算金额；</w:t>
      </w:r>
    </w:p>
    <w:p w14:paraId="19924B0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（2）实际进度与施工进度计划不一致的，合同当事人可按照第4.4款〔商定或确定〕修改支付分解表；</w:t>
      </w:r>
    </w:p>
    <w:p w14:paraId="449DD30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（3）不采用支付分解表的，承包人应向发包人和监理人提交按季度编制的支付估算分解表，用于支付参考。</w:t>
      </w:r>
    </w:p>
    <w:p w14:paraId="288FE30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2.总价合同支付分解表的编制与审批</w:t>
      </w:r>
    </w:p>
    <w:p w14:paraId="586782C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5BCECF0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（2）监理人应在收到支付分解表后7天内完成审核并报送发包人。发包人应在收到经监理人审核的支付分解表后7天内完成审批，经发包人批准的支付分解表为有约束力的支付分解表。</w:t>
      </w:r>
    </w:p>
    <w:p w14:paraId="186935D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（3）发包人逾期未完成支付分解表审批的，也未及时要求承包人进行修正和提供补充资料的，则承包人提交的支付分解表视为已经获得发包人批准。</w:t>
      </w:r>
    </w:p>
    <w:p w14:paraId="5BD47D4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3.单价合同的总价项目支付分解表的编制与审批</w:t>
      </w:r>
    </w:p>
    <w:p w14:paraId="7FF4979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746AC49C">
      <w:pPr>
        <w:pStyle w:val="7"/>
        <w:spacing w:before="0" w:beforeAutospacing="0" w:after="0" w:afterAutospacing="0" w:line="360" w:lineRule="auto"/>
        <w:ind w:firstLine="422" w:firstLineChars="200"/>
        <w:rPr>
          <w:color w:val="auto"/>
          <w:sz w:val="21"/>
          <w:szCs w:val="21"/>
          <w:highlight w:val="none"/>
        </w:rPr>
      </w:pPr>
      <w:bookmarkStart w:id="1095" w:name="_Toc532377273"/>
      <w:r>
        <w:rPr>
          <w:rFonts w:hint="eastAsia"/>
          <w:color w:val="auto"/>
          <w:sz w:val="21"/>
          <w:szCs w:val="21"/>
          <w:highlight w:val="none"/>
        </w:rPr>
        <w:t>12.5支付账户</w:t>
      </w:r>
      <w:bookmarkEnd w:id="1095"/>
    </w:p>
    <w:p w14:paraId="28735DD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发包人应将合同价款支付至合同协议书中约定的承包人账户。</w:t>
      </w:r>
    </w:p>
    <w:p w14:paraId="3B45A1A9">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096" w:name="_Toc351203586"/>
      <w:bookmarkStart w:id="1097" w:name="_Toc532375599"/>
      <w:bookmarkStart w:id="1098" w:name="_Toc532377274"/>
      <w:bookmarkStart w:id="1099" w:name="_Toc296503106"/>
      <w:bookmarkStart w:id="1100" w:name="_Toc322522574"/>
      <w:bookmarkStart w:id="1101" w:name="_Toc337558804"/>
      <w:bookmarkStart w:id="1102" w:name="_Toc296346607"/>
      <w:r>
        <w:rPr>
          <w:rFonts w:hint="eastAsia"/>
          <w:color w:val="auto"/>
          <w:kern w:val="2"/>
          <w:sz w:val="21"/>
          <w:szCs w:val="21"/>
          <w:highlight w:val="none"/>
        </w:rPr>
        <w:t>13. 验收和工程试车</w:t>
      </w:r>
      <w:bookmarkEnd w:id="1096"/>
      <w:bookmarkEnd w:id="1097"/>
      <w:bookmarkEnd w:id="1098"/>
    </w:p>
    <w:bookmarkEnd w:id="1099"/>
    <w:bookmarkEnd w:id="1100"/>
    <w:bookmarkEnd w:id="1101"/>
    <w:bookmarkEnd w:id="1102"/>
    <w:p w14:paraId="647CFE24">
      <w:pPr>
        <w:pStyle w:val="7"/>
        <w:spacing w:before="0" w:beforeAutospacing="0" w:after="0" w:afterAutospacing="0" w:line="360" w:lineRule="auto"/>
        <w:ind w:firstLine="422" w:firstLineChars="200"/>
        <w:rPr>
          <w:color w:val="auto"/>
          <w:sz w:val="21"/>
          <w:szCs w:val="21"/>
          <w:highlight w:val="none"/>
        </w:rPr>
      </w:pPr>
      <w:bookmarkStart w:id="1103" w:name="_Toc351203587"/>
      <w:bookmarkStart w:id="1104" w:name="_Toc532377275"/>
      <w:bookmarkStart w:id="1105" w:name="_Toc337558805"/>
      <w:bookmarkStart w:id="1106" w:name="_Toc296503110"/>
      <w:bookmarkStart w:id="1107" w:name="_Toc296346611"/>
      <w:r>
        <w:rPr>
          <w:rFonts w:hint="eastAsia"/>
          <w:color w:val="auto"/>
          <w:sz w:val="21"/>
          <w:szCs w:val="21"/>
          <w:highlight w:val="none"/>
        </w:rPr>
        <w:t>13.1分部分项工程验收</w:t>
      </w:r>
      <w:bookmarkEnd w:id="1103"/>
      <w:bookmarkEnd w:id="1104"/>
    </w:p>
    <w:bookmarkEnd w:id="1105"/>
    <w:p w14:paraId="1DFA39B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13.1.1 分部分项工程质量应符合国家有关工程施工验收规范、标准及合同约定，承包人应按照施工组织设计的要求完成分部分项工程施工。</w:t>
      </w:r>
    </w:p>
    <w:p w14:paraId="2E7ABB5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14:paraId="26D740A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分部分项工程的验收资料应当作为竣工资料的组成部分。</w:t>
      </w:r>
    </w:p>
    <w:p w14:paraId="519E1901">
      <w:pPr>
        <w:pStyle w:val="7"/>
        <w:spacing w:before="0" w:beforeAutospacing="0" w:after="0" w:afterAutospacing="0" w:line="360" w:lineRule="auto"/>
        <w:ind w:firstLine="422" w:firstLineChars="200"/>
        <w:rPr>
          <w:color w:val="auto"/>
          <w:sz w:val="21"/>
          <w:szCs w:val="21"/>
          <w:highlight w:val="none"/>
        </w:rPr>
      </w:pPr>
      <w:bookmarkStart w:id="1108" w:name="_Toc532377276"/>
      <w:bookmarkStart w:id="1109" w:name="_Toc351203588"/>
      <w:bookmarkStart w:id="1110" w:name="_Toc337558806"/>
      <w:r>
        <w:rPr>
          <w:rFonts w:hint="eastAsia"/>
          <w:color w:val="auto"/>
          <w:sz w:val="21"/>
          <w:szCs w:val="21"/>
          <w:highlight w:val="none"/>
        </w:rPr>
        <w:t>13.2竣工验收</w:t>
      </w:r>
      <w:bookmarkEnd w:id="1108"/>
      <w:bookmarkEnd w:id="1109"/>
    </w:p>
    <w:bookmarkEnd w:id="1106"/>
    <w:bookmarkEnd w:id="1107"/>
    <w:bookmarkEnd w:id="1110"/>
    <w:p w14:paraId="539A1D8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13.2.1竣工验收条件</w:t>
      </w:r>
    </w:p>
    <w:p w14:paraId="073600E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工程具备以下条件的，承包人可以申请竣工验收：</w:t>
      </w:r>
    </w:p>
    <w:p w14:paraId="4A5589D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（1）除发包人同意的甩项工作和缺陷修补工作外，合同范围内的全部工程以及有关工作，包括合同要求的试验、试运行以及检验均已完成，并符合合同要求；</w:t>
      </w:r>
    </w:p>
    <w:p w14:paraId="38A41E3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（2）已按合同约定编制了甩项工作和缺陷修补工作清单以及相应的施工计划；</w:t>
      </w:r>
    </w:p>
    <w:p w14:paraId="1A6800E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（3）已按合同约定的内容和份数备齐竣工资料。</w:t>
      </w:r>
    </w:p>
    <w:p w14:paraId="5D673E2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13.2.2竣工验收程序</w:t>
      </w:r>
    </w:p>
    <w:p w14:paraId="221DB75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除专用合同条款另有约定外，承包人申请竣工验收的，应当按照以下程序进行：</w:t>
      </w:r>
    </w:p>
    <w:p w14:paraId="4624DA1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7A8C4C3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5666C8A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（3）竣工验收合格的，发包人应在验收合格后14天内向承包人签发工程接收证书。发包人无正当理由逾期不颁发工程接收证书的，自验收合格后第15天起视为已颁发工程接收证书。</w:t>
      </w:r>
    </w:p>
    <w:p w14:paraId="229DB67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2B68959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6169E5E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除专用合同条款另有约定外，发包人不按照本项约定组织竣工验收、颁发工程接收证书的，每逾期一天，应以签约合同价为基数，按照中国人民银行发布的同期同类贷款基准利率支付违约金。</w:t>
      </w:r>
    </w:p>
    <w:p w14:paraId="320EF39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13.2.3竣工日期</w:t>
      </w:r>
    </w:p>
    <w:p w14:paraId="2637853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1111" w:name="#go14"/>
      <w:bookmarkEnd w:id="1111"/>
      <w:r>
        <w:rPr>
          <w:rFonts w:hint="eastAsia" w:ascii="宋体" w:hAnsi="宋体"/>
          <w:color w:val="auto"/>
          <w:kern w:val="0"/>
          <w:szCs w:val="21"/>
          <w:highlight w:val="none"/>
        </w:rPr>
        <w:t>收申请报告的日期为实际竣工日期；工程未经竣工验收，发包人擅自使用的，以转移占有工程之日为实际竣工日期。</w:t>
      </w:r>
    </w:p>
    <w:p w14:paraId="3DD96E8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13.2.4 拒绝接收全部或部分工程</w:t>
      </w:r>
    </w:p>
    <w:p w14:paraId="75A119C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023159C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13.2.5 移交、接收全部与部分工程</w:t>
      </w:r>
    </w:p>
    <w:p w14:paraId="705F70E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除专用合同条款另有约定外，合同当事人应当在颁发工程接收证书后7天内完成工程的移交。</w:t>
      </w:r>
    </w:p>
    <w:p w14:paraId="7DACFD3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14:paraId="48B01E8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承包人无正当理由不移交工程的，承包人应承担工程照管、成品保护、保管等与工程有关的各项费用，合同当事人可以在专用合同条款中另行约定承包人无正当理由不移交工程的违约责任。</w:t>
      </w:r>
    </w:p>
    <w:p w14:paraId="2BA6D916">
      <w:pPr>
        <w:pStyle w:val="7"/>
        <w:spacing w:before="0" w:beforeAutospacing="0" w:after="0" w:afterAutospacing="0" w:line="360" w:lineRule="auto"/>
        <w:ind w:firstLine="422" w:firstLineChars="200"/>
        <w:rPr>
          <w:color w:val="auto"/>
          <w:sz w:val="21"/>
          <w:szCs w:val="21"/>
          <w:highlight w:val="none"/>
        </w:rPr>
      </w:pPr>
      <w:bookmarkStart w:id="1112" w:name="_Toc532377277"/>
      <w:bookmarkStart w:id="1113" w:name="_Toc351203589"/>
      <w:bookmarkStart w:id="1114" w:name="_Toc296346612"/>
      <w:bookmarkStart w:id="1115" w:name="_Toc296503111"/>
      <w:bookmarkStart w:id="1116" w:name="_Toc337558807"/>
      <w:r>
        <w:rPr>
          <w:rFonts w:hint="eastAsia"/>
          <w:color w:val="auto"/>
          <w:sz w:val="21"/>
          <w:szCs w:val="21"/>
          <w:highlight w:val="none"/>
        </w:rPr>
        <w:t>13.3工程试车</w:t>
      </w:r>
      <w:bookmarkEnd w:id="1112"/>
      <w:bookmarkEnd w:id="1113"/>
    </w:p>
    <w:bookmarkEnd w:id="1114"/>
    <w:bookmarkEnd w:id="1115"/>
    <w:bookmarkEnd w:id="1116"/>
    <w:p w14:paraId="641B72C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13.3.1试车程序</w:t>
      </w:r>
    </w:p>
    <w:p w14:paraId="2BEC55B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工程需要试车的，除专用合同条款另有约定外，试车内容应与承包人承包范围相一致，试车费用由承包人承担。工程试车应按如下程序进行：</w:t>
      </w:r>
    </w:p>
    <w:p w14:paraId="4E7CED5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34B761A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3B45655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3CC8C29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13.3.2 试车中的责任</w:t>
      </w:r>
    </w:p>
    <w:p w14:paraId="0475675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0321F9C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37AAD01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13.3.3 投料试车</w:t>
      </w:r>
    </w:p>
    <w:p w14:paraId="6B7F180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如需进行投料试车的，发包人应在工程竣工验收后组织投料试车。发包人要求在工程竣工验收前进行或需要承包人配合时，应征得承包人同意，并在专用合同条款中约定有关事项。</w:t>
      </w:r>
    </w:p>
    <w:p w14:paraId="5F7DBBC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77D8BA00">
      <w:pPr>
        <w:pStyle w:val="7"/>
        <w:spacing w:before="0" w:beforeAutospacing="0" w:after="0" w:afterAutospacing="0" w:line="360" w:lineRule="auto"/>
        <w:ind w:firstLine="422" w:firstLineChars="200"/>
        <w:rPr>
          <w:color w:val="auto"/>
          <w:sz w:val="21"/>
          <w:szCs w:val="21"/>
          <w:highlight w:val="none"/>
        </w:rPr>
      </w:pPr>
      <w:bookmarkStart w:id="1117" w:name="_Toc532377278"/>
      <w:r>
        <w:rPr>
          <w:rFonts w:hint="eastAsia"/>
          <w:color w:val="auto"/>
          <w:sz w:val="21"/>
          <w:szCs w:val="21"/>
          <w:highlight w:val="none"/>
        </w:rPr>
        <w:t>13.4提前交付单位工程的验收</w:t>
      </w:r>
      <w:bookmarkEnd w:id="1117"/>
    </w:p>
    <w:p w14:paraId="67735F5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13.4.1 发包人需要在工程竣工前使用单位工程的，或承包人提出提前交付已经竣工的单位工程且经发包人同意的，可进行单位工程验收，验收的程序按照第13.2款〔竣工验收〕的约定进行。</w:t>
      </w:r>
    </w:p>
    <w:p w14:paraId="75AD4A4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16B7CEA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13.4.2 发包人要求在工程竣工前交付单位工程，由此导致承包人费用增加和（或）工期延误的，由发包人承担由此增加的费用和（或）延误的工期，并支付承包人合理的利润。</w:t>
      </w:r>
    </w:p>
    <w:p w14:paraId="6DE9D9FD">
      <w:pPr>
        <w:pStyle w:val="7"/>
        <w:spacing w:before="0" w:beforeAutospacing="0" w:after="0" w:afterAutospacing="0" w:line="360" w:lineRule="auto"/>
        <w:ind w:firstLine="422" w:firstLineChars="200"/>
        <w:rPr>
          <w:color w:val="auto"/>
          <w:sz w:val="21"/>
          <w:szCs w:val="21"/>
          <w:highlight w:val="none"/>
        </w:rPr>
      </w:pPr>
      <w:bookmarkStart w:id="1118" w:name="_Toc532377279"/>
      <w:bookmarkStart w:id="1119" w:name="_Toc351203591"/>
      <w:r>
        <w:rPr>
          <w:rFonts w:hint="eastAsia"/>
          <w:color w:val="auto"/>
          <w:sz w:val="21"/>
          <w:szCs w:val="21"/>
          <w:highlight w:val="none"/>
        </w:rPr>
        <w:t>13.5 施工期运行</w:t>
      </w:r>
      <w:bookmarkEnd w:id="1118"/>
      <w:bookmarkEnd w:id="1119"/>
    </w:p>
    <w:p w14:paraId="332B2A4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12AEFEC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13.5.2 在施工期运行中发现工程或工程设备损坏或存在缺陷的，由承包人按第15.2款〔缺陷责任期〕约定进行修复。</w:t>
      </w:r>
    </w:p>
    <w:p w14:paraId="53D72325">
      <w:pPr>
        <w:pStyle w:val="7"/>
        <w:spacing w:before="0" w:beforeAutospacing="0" w:after="0" w:afterAutospacing="0" w:line="360" w:lineRule="auto"/>
        <w:ind w:firstLine="422" w:firstLineChars="200"/>
        <w:rPr>
          <w:color w:val="auto"/>
          <w:sz w:val="21"/>
          <w:szCs w:val="21"/>
          <w:highlight w:val="none"/>
        </w:rPr>
      </w:pPr>
      <w:bookmarkStart w:id="1120" w:name="_Toc296346613"/>
      <w:bookmarkStart w:id="1121" w:name="_Toc296503112"/>
      <w:bookmarkStart w:id="1122" w:name="_Toc351203592"/>
      <w:bookmarkStart w:id="1123" w:name="_Toc532377280"/>
      <w:bookmarkStart w:id="1124" w:name="_Toc337558809"/>
      <w:r>
        <w:rPr>
          <w:rFonts w:hint="eastAsia"/>
          <w:color w:val="auto"/>
          <w:sz w:val="21"/>
          <w:szCs w:val="21"/>
          <w:highlight w:val="none"/>
        </w:rPr>
        <w:t>13.6 竣工退</w:t>
      </w:r>
      <w:bookmarkEnd w:id="1120"/>
      <w:bookmarkEnd w:id="1121"/>
      <w:r>
        <w:rPr>
          <w:rFonts w:hint="eastAsia"/>
          <w:color w:val="auto"/>
          <w:sz w:val="21"/>
          <w:szCs w:val="21"/>
          <w:highlight w:val="none"/>
        </w:rPr>
        <w:t>场</w:t>
      </w:r>
      <w:bookmarkEnd w:id="1122"/>
      <w:bookmarkEnd w:id="1123"/>
    </w:p>
    <w:bookmarkEnd w:id="1124"/>
    <w:p w14:paraId="7B86819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13.6.1 竣工退场</w:t>
      </w:r>
    </w:p>
    <w:p w14:paraId="749E54B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颁发工程接收证书后，承包人应按以下要求对施工现场进行清理：</w:t>
      </w:r>
    </w:p>
    <w:p w14:paraId="153834C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（1）施工现场内残留的垃圾已全部清除出场；</w:t>
      </w:r>
    </w:p>
    <w:p w14:paraId="0F1772F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（2）临时工程已拆除，场地已进行清理、平整或复原；</w:t>
      </w:r>
    </w:p>
    <w:p w14:paraId="3830E90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（3）按合同约定应撤离的人员、承包人施工设备和剩余的材料，包括废弃的施工设备和材料，已按计划撤离施工现场；</w:t>
      </w:r>
    </w:p>
    <w:p w14:paraId="6D73C97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（4）施工现场周边及其附近道路、河道的施工堆积物，已全部清理；</w:t>
      </w:r>
    </w:p>
    <w:p w14:paraId="1A7F0F7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（5）施工现场其他场地清理工作已全部完成。</w:t>
      </w:r>
    </w:p>
    <w:p w14:paraId="13308E1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57AC0F7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13.6.2 地表还原</w:t>
      </w:r>
    </w:p>
    <w:p w14:paraId="740F3BB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1CF24E7B">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125" w:name="_Toc532375600"/>
      <w:bookmarkStart w:id="1126" w:name="_Toc351203593"/>
      <w:bookmarkStart w:id="1127" w:name="_Toc532377281"/>
      <w:bookmarkStart w:id="1128" w:name="_Toc337558810"/>
      <w:bookmarkStart w:id="1129" w:name="_Toc296346614"/>
      <w:bookmarkStart w:id="1130" w:name="_Toc296503113"/>
      <w:r>
        <w:rPr>
          <w:rFonts w:hint="eastAsia"/>
          <w:color w:val="auto"/>
          <w:kern w:val="2"/>
          <w:sz w:val="21"/>
          <w:szCs w:val="21"/>
          <w:highlight w:val="none"/>
        </w:rPr>
        <w:t>14. 竣工结算</w:t>
      </w:r>
      <w:bookmarkEnd w:id="1125"/>
      <w:bookmarkEnd w:id="1126"/>
      <w:bookmarkEnd w:id="1127"/>
    </w:p>
    <w:bookmarkEnd w:id="1128"/>
    <w:p w14:paraId="570FF7CA">
      <w:pPr>
        <w:pStyle w:val="7"/>
        <w:spacing w:before="0" w:beforeAutospacing="0" w:after="0" w:afterAutospacing="0" w:line="360" w:lineRule="auto"/>
        <w:ind w:firstLine="422" w:firstLineChars="200"/>
        <w:rPr>
          <w:color w:val="auto"/>
          <w:sz w:val="21"/>
          <w:szCs w:val="21"/>
          <w:highlight w:val="none"/>
        </w:rPr>
      </w:pPr>
      <w:bookmarkStart w:id="1131" w:name="_Toc532377282"/>
      <w:bookmarkStart w:id="1132" w:name="_Toc351203594"/>
      <w:bookmarkStart w:id="1133" w:name="_Toc337558811"/>
      <w:r>
        <w:rPr>
          <w:rFonts w:hint="eastAsia"/>
          <w:color w:val="auto"/>
          <w:sz w:val="21"/>
          <w:szCs w:val="21"/>
          <w:highlight w:val="none"/>
        </w:rPr>
        <w:t>14.1 竣工结算申请</w:t>
      </w:r>
      <w:bookmarkEnd w:id="1131"/>
      <w:bookmarkEnd w:id="1132"/>
    </w:p>
    <w:bookmarkEnd w:id="1133"/>
    <w:p w14:paraId="7E327A6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14:paraId="47EAB63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除专用合同条款另有约定外，竣工结算申请单应包括以下内容：</w:t>
      </w:r>
    </w:p>
    <w:p w14:paraId="6A5563F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（1）竣工结算合同价格；</w:t>
      </w:r>
    </w:p>
    <w:p w14:paraId="406E9F1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（2）发包人已支付承包人的款项；</w:t>
      </w:r>
    </w:p>
    <w:p w14:paraId="46DE637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（3）应扣留的质量保证金。已缴纳履约保证金的或提供其他工程质量担保方式的除外； </w:t>
      </w:r>
    </w:p>
    <w:p w14:paraId="2EBC94A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（4）发包人应支付承包人的合同价款。</w:t>
      </w:r>
    </w:p>
    <w:p w14:paraId="38E43505">
      <w:pPr>
        <w:pStyle w:val="7"/>
        <w:spacing w:before="0" w:beforeAutospacing="0" w:after="0" w:afterAutospacing="0" w:line="360" w:lineRule="auto"/>
        <w:ind w:firstLine="422" w:firstLineChars="200"/>
        <w:rPr>
          <w:color w:val="auto"/>
          <w:sz w:val="21"/>
          <w:szCs w:val="21"/>
          <w:highlight w:val="none"/>
        </w:rPr>
      </w:pPr>
      <w:bookmarkStart w:id="1134" w:name="_Toc351203595"/>
      <w:bookmarkStart w:id="1135" w:name="_Toc532377283"/>
      <w:bookmarkStart w:id="1136" w:name="_Toc337558812"/>
      <w:r>
        <w:rPr>
          <w:rFonts w:hint="eastAsia"/>
          <w:color w:val="auto"/>
          <w:sz w:val="21"/>
          <w:szCs w:val="21"/>
          <w:highlight w:val="none"/>
        </w:rPr>
        <w:t>14.2 竣工结算审核</w:t>
      </w:r>
      <w:bookmarkEnd w:id="1134"/>
      <w:bookmarkEnd w:id="1135"/>
    </w:p>
    <w:bookmarkEnd w:id="1136"/>
    <w:p w14:paraId="4072DB9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14:paraId="2429206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0175099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4F457BD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4AD8536C">
      <w:pPr>
        <w:pStyle w:val="7"/>
        <w:spacing w:before="0" w:beforeAutospacing="0" w:after="0" w:afterAutospacing="0" w:line="360" w:lineRule="auto"/>
        <w:ind w:firstLine="422" w:firstLineChars="200"/>
        <w:rPr>
          <w:color w:val="auto"/>
          <w:sz w:val="21"/>
          <w:szCs w:val="21"/>
          <w:highlight w:val="none"/>
        </w:rPr>
      </w:pPr>
      <w:bookmarkStart w:id="1137" w:name="_Toc532377284"/>
      <w:bookmarkStart w:id="1138" w:name="_Toc351203596"/>
      <w:bookmarkStart w:id="1139" w:name="_Toc337558813"/>
      <w:r>
        <w:rPr>
          <w:rFonts w:hint="eastAsia"/>
          <w:color w:val="auto"/>
          <w:sz w:val="21"/>
          <w:szCs w:val="21"/>
          <w:highlight w:val="none"/>
        </w:rPr>
        <w:t>14.3 甩项竣工协议</w:t>
      </w:r>
      <w:bookmarkEnd w:id="1137"/>
      <w:bookmarkEnd w:id="1138"/>
    </w:p>
    <w:bookmarkEnd w:id="1139"/>
    <w:p w14:paraId="05755073">
      <w:pPr>
        <w:autoSpaceDE w:val="0"/>
        <w:autoSpaceDN w:val="0"/>
        <w:spacing w:line="360" w:lineRule="auto"/>
        <w:ind w:firstLine="411" w:firstLineChars="196"/>
        <w:jc w:val="left"/>
        <w:rPr>
          <w:rFonts w:ascii="宋体" w:hAnsi="宋体"/>
          <w:color w:val="auto"/>
          <w:kern w:val="0"/>
          <w:szCs w:val="21"/>
          <w:highlight w:val="none"/>
        </w:rPr>
      </w:pPr>
      <w:r>
        <w:rPr>
          <w:rFonts w:hint="eastAsia" w:ascii="宋体" w:hAnsi="宋体"/>
          <w:color w:val="auto"/>
          <w:kern w:val="0"/>
          <w:szCs w:val="21"/>
          <w:highlight w:val="none"/>
        </w:rPr>
        <w:t>发包人要求甩项竣工的，合同当事人应签订甩项竣工协议。在甩项竣工协议中应明确，合同当事人按照第14.1款〔竣工结算申请〕及14.2款〔竣工结算审核〕的约定，对已完合格工程进行结算，并支付相应合同价款。</w:t>
      </w:r>
    </w:p>
    <w:p w14:paraId="51FA879B">
      <w:pPr>
        <w:pStyle w:val="7"/>
        <w:spacing w:before="0" w:beforeAutospacing="0" w:after="0" w:afterAutospacing="0" w:line="360" w:lineRule="auto"/>
        <w:ind w:firstLine="422" w:firstLineChars="200"/>
        <w:rPr>
          <w:color w:val="auto"/>
          <w:sz w:val="21"/>
          <w:szCs w:val="21"/>
          <w:highlight w:val="none"/>
        </w:rPr>
      </w:pPr>
      <w:bookmarkStart w:id="1140" w:name="_Toc351203597"/>
      <w:bookmarkStart w:id="1141" w:name="_Toc532377285"/>
      <w:bookmarkStart w:id="1142" w:name="_Toc337558814"/>
      <w:r>
        <w:rPr>
          <w:rFonts w:hint="eastAsia"/>
          <w:color w:val="auto"/>
          <w:sz w:val="21"/>
          <w:szCs w:val="21"/>
          <w:highlight w:val="none"/>
        </w:rPr>
        <w:t>14.4 最终结清</w:t>
      </w:r>
      <w:bookmarkEnd w:id="1140"/>
      <w:bookmarkEnd w:id="1141"/>
    </w:p>
    <w:bookmarkEnd w:id="1142"/>
    <w:p w14:paraId="0EBBB71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14.4.1 最终结清申请单</w:t>
      </w:r>
    </w:p>
    <w:p w14:paraId="2B539B4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（1）除专用合同条款另有约定外，承包人应在缺陷责任期终止证书颁发后7天内，按专用合同条款约定的份数向发包人提交最终结清申请单，并提供相关证明材料。</w:t>
      </w:r>
    </w:p>
    <w:p w14:paraId="041746E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除专用合同条款另有约定外，最终结清申请单应列明质量保证金、应扣除的质量保证金、缺陷责任期内发生的增减费用。</w:t>
      </w:r>
    </w:p>
    <w:p w14:paraId="198098A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（2）发包人对最终结清申请单内容有异议的，有权要求承包人进行修正和提供补充资料，承包人应向发包人提交修正后的最终结清申请单。</w:t>
      </w:r>
    </w:p>
    <w:p w14:paraId="0ED21E7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14.4.2 最终结清证书和支付</w:t>
      </w:r>
    </w:p>
    <w:p w14:paraId="07CF176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4D23109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2027EC5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（3）承包人对发包人颁发的最终结清证书有异议的，按第20条〔争议解决〕的约定办理。</w:t>
      </w:r>
    </w:p>
    <w:p w14:paraId="088B22BA">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143" w:name="_Toc532375601"/>
      <w:bookmarkStart w:id="1144" w:name="_Toc532377286"/>
      <w:bookmarkStart w:id="1145" w:name="_Toc351203598"/>
      <w:bookmarkStart w:id="1146" w:name="_Toc337558815"/>
      <w:r>
        <w:rPr>
          <w:rFonts w:hint="eastAsia"/>
          <w:color w:val="auto"/>
          <w:kern w:val="2"/>
          <w:sz w:val="21"/>
          <w:szCs w:val="21"/>
          <w:highlight w:val="none"/>
        </w:rPr>
        <w:t>15. 缺陷责任与保修</w:t>
      </w:r>
      <w:bookmarkEnd w:id="1143"/>
      <w:bookmarkEnd w:id="1144"/>
      <w:bookmarkEnd w:id="1145"/>
    </w:p>
    <w:bookmarkEnd w:id="1129"/>
    <w:bookmarkEnd w:id="1130"/>
    <w:bookmarkEnd w:id="1146"/>
    <w:p w14:paraId="7AFF67E6">
      <w:pPr>
        <w:pStyle w:val="7"/>
        <w:spacing w:before="0" w:beforeAutospacing="0" w:after="0" w:afterAutospacing="0" w:line="360" w:lineRule="auto"/>
        <w:ind w:firstLine="422" w:firstLineChars="200"/>
        <w:rPr>
          <w:color w:val="auto"/>
          <w:sz w:val="21"/>
          <w:szCs w:val="21"/>
          <w:highlight w:val="none"/>
        </w:rPr>
      </w:pPr>
      <w:bookmarkStart w:id="1147" w:name="_Toc351203599"/>
      <w:bookmarkStart w:id="1148" w:name="_Toc532377287"/>
      <w:bookmarkStart w:id="1149" w:name="_Toc337558816"/>
      <w:bookmarkStart w:id="1150" w:name="_Toc296346615"/>
      <w:bookmarkStart w:id="1151" w:name="_Toc296503114"/>
      <w:r>
        <w:rPr>
          <w:rFonts w:hint="eastAsia"/>
          <w:color w:val="auto"/>
          <w:sz w:val="21"/>
          <w:szCs w:val="21"/>
          <w:highlight w:val="none"/>
        </w:rPr>
        <w:t>15.1 工程保修的原则</w:t>
      </w:r>
      <w:bookmarkEnd w:id="1147"/>
      <w:bookmarkEnd w:id="1148"/>
    </w:p>
    <w:bookmarkEnd w:id="1149"/>
    <w:p w14:paraId="670B141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在工程移交发包人后，因承包人原因产生的质量缺陷，承包人应承担质量缺陷责任和保修义务。缺陷责任期届满，承包人仍应按合同约定的工程各部位保修年限承担保修义务。</w:t>
      </w:r>
    </w:p>
    <w:p w14:paraId="7310BF33">
      <w:pPr>
        <w:pStyle w:val="7"/>
        <w:spacing w:before="0" w:beforeAutospacing="0" w:after="0" w:afterAutospacing="0" w:line="360" w:lineRule="auto"/>
        <w:ind w:firstLine="422" w:firstLineChars="200"/>
        <w:rPr>
          <w:color w:val="auto"/>
          <w:sz w:val="21"/>
          <w:szCs w:val="21"/>
          <w:highlight w:val="none"/>
        </w:rPr>
      </w:pPr>
      <w:bookmarkStart w:id="1152" w:name="_Toc532377288"/>
      <w:bookmarkStart w:id="1153" w:name="_Toc351203600"/>
      <w:bookmarkStart w:id="1154" w:name="_Toc337558817"/>
      <w:r>
        <w:rPr>
          <w:rFonts w:hint="eastAsia"/>
          <w:color w:val="auto"/>
          <w:sz w:val="21"/>
          <w:szCs w:val="21"/>
          <w:highlight w:val="none"/>
        </w:rPr>
        <w:t>15.2 缺陷责任期</w:t>
      </w:r>
      <w:bookmarkEnd w:id="1150"/>
      <w:bookmarkEnd w:id="1151"/>
      <w:bookmarkEnd w:id="1152"/>
      <w:bookmarkEnd w:id="1153"/>
    </w:p>
    <w:bookmarkEnd w:id="1154"/>
    <w:p w14:paraId="070A3E0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15.2.1 缺陷责任期从工程通过竣工验收之日起计算，合同当事人应在专用合同条款约定缺陷责任期的具体期限，但该期限最长不超过24个月。</w:t>
      </w:r>
    </w:p>
    <w:p w14:paraId="431997E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4845AF4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包人延长缺陷责任期，并应在原缺陷责任期届满前发出延长通知。但缺陷责任期（含延长部分）最长不能超过24个月。</w:t>
      </w:r>
    </w:p>
    <w:p w14:paraId="342381A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由他人原因造成的缺陷，发包人负责组织维修，承包人不承担费用，且发包人不得从保证金中扣除费用。</w:t>
      </w:r>
    </w:p>
    <w:p w14:paraId="1E7D0A5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15.2.3 任何一项缺陷或损坏修复后，经检查证明其影响了工程或工程设备的使用性能，承包人应重新进行合同约定的试验和试运行，试验和试运行的全部费用应由责任方承担。</w:t>
      </w:r>
    </w:p>
    <w:p w14:paraId="734FC04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37EBA356">
      <w:pPr>
        <w:pStyle w:val="7"/>
        <w:spacing w:before="0" w:beforeAutospacing="0" w:after="0" w:afterAutospacing="0" w:line="360" w:lineRule="auto"/>
        <w:ind w:firstLine="422" w:firstLineChars="200"/>
        <w:rPr>
          <w:color w:val="auto"/>
          <w:sz w:val="21"/>
          <w:szCs w:val="21"/>
          <w:highlight w:val="none"/>
        </w:rPr>
      </w:pPr>
      <w:bookmarkStart w:id="1155" w:name="_Toc351203601"/>
      <w:bookmarkStart w:id="1156" w:name="_Toc532377289"/>
      <w:bookmarkStart w:id="1157" w:name="_Toc337558818"/>
      <w:bookmarkStart w:id="1158" w:name="_Toc296346616"/>
      <w:bookmarkStart w:id="1159" w:name="_Toc296503115"/>
      <w:r>
        <w:rPr>
          <w:rFonts w:hint="eastAsia"/>
          <w:color w:val="auto"/>
          <w:sz w:val="21"/>
          <w:szCs w:val="21"/>
          <w:highlight w:val="none"/>
        </w:rPr>
        <w:t>15.3 质量保证金</w:t>
      </w:r>
      <w:bookmarkEnd w:id="1155"/>
      <w:bookmarkEnd w:id="1156"/>
    </w:p>
    <w:bookmarkEnd w:id="1157"/>
    <w:p w14:paraId="25A35F5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经合同当事人协商一致扣留质量保证金的，应在专用合同条款中予以明确。</w:t>
      </w:r>
    </w:p>
    <w:p w14:paraId="27A417C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在工程项目竣工前，承包人已经提供履约担保的，发包人不得同时预留工程质量保证金。</w:t>
      </w:r>
    </w:p>
    <w:p w14:paraId="17ACAD1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15.3.1 承包人提供质量保证金的方式</w:t>
      </w:r>
    </w:p>
    <w:p w14:paraId="40B0E5F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承包人提供质量保证金有以下三种方式：</w:t>
      </w:r>
    </w:p>
    <w:p w14:paraId="784724E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（1）质量保证金保函；</w:t>
      </w:r>
    </w:p>
    <w:p w14:paraId="12BA939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（2）相应比例的工程款；</w:t>
      </w:r>
    </w:p>
    <w:p w14:paraId="50516D2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（3）双方约定的其他方式。</w:t>
      </w:r>
    </w:p>
    <w:p w14:paraId="42F5487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除专用合同条款另有约定外，质量保证金原则上采用上述第（1）种方式。</w:t>
      </w:r>
    </w:p>
    <w:p w14:paraId="66A267A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15.3.2 质量保证金的扣留</w:t>
      </w:r>
    </w:p>
    <w:p w14:paraId="74282DE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质量保证金的扣留有以下三种方式：</w:t>
      </w:r>
    </w:p>
    <w:p w14:paraId="6CCE259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（1）在支付工程进度款时逐次扣留，在此情形下，质量保证金的计算基数不包括预付款的支付、扣回以及价格调整的金额；</w:t>
      </w:r>
    </w:p>
    <w:p w14:paraId="1839365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（2）工</w:t>
      </w:r>
      <w:bookmarkStart w:id="1160" w:name="#go6"/>
      <w:bookmarkEnd w:id="1160"/>
      <w:r>
        <w:rPr>
          <w:rFonts w:hint="eastAsia" w:ascii="宋体" w:hAnsi="宋体"/>
          <w:color w:val="auto"/>
          <w:kern w:val="0"/>
          <w:szCs w:val="21"/>
          <w:highlight w:val="none"/>
        </w:rPr>
        <w:t>程竣工结算时一次性扣留质量保证金；</w:t>
      </w:r>
    </w:p>
    <w:p w14:paraId="6B904CD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（3）双方约定的其他扣留方式。</w:t>
      </w:r>
    </w:p>
    <w:p w14:paraId="1EDB049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除专用合同条款另有约定外，质量保证金的扣留原则上采用上述第（1）种方式。</w:t>
      </w:r>
    </w:p>
    <w:p w14:paraId="01616C0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w:t>
      </w:r>
      <w:bookmarkStart w:id="1161" w:name="#go4"/>
      <w:bookmarkEnd w:id="1161"/>
      <w:r>
        <w:rPr>
          <w:rFonts w:hint="eastAsia" w:ascii="宋体" w:hAnsi="宋体"/>
          <w:color w:val="auto"/>
          <w:kern w:val="0"/>
          <w:szCs w:val="21"/>
          <w:highlight w:val="none"/>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52F46AC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发包人在退还质量保证金的同时按照中国人民银行发布的同期同类贷款基准利率支付利息。</w:t>
      </w:r>
    </w:p>
    <w:p w14:paraId="303D6D0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15.3.3 质量保证金的退还</w:t>
      </w:r>
    </w:p>
    <w:p w14:paraId="44D8D9A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缺陷责任期内，承包人认真履行合同约定的责任，到期后，承包人可向发包人申请返还保证金。</w:t>
      </w:r>
    </w:p>
    <w:p w14:paraId="52F8BDB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5C8620C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发包人和承包人对保证金预留、返还以及工程维修质量、费用有争议的，按合同第20条约定的争议和纠纷解决程序处理。</w:t>
      </w:r>
    </w:p>
    <w:p w14:paraId="40BA3264">
      <w:pPr>
        <w:pStyle w:val="7"/>
        <w:spacing w:before="0" w:beforeAutospacing="0" w:after="0" w:afterAutospacing="0" w:line="360" w:lineRule="auto"/>
        <w:ind w:firstLine="422" w:firstLineChars="200"/>
        <w:rPr>
          <w:color w:val="auto"/>
          <w:sz w:val="21"/>
          <w:szCs w:val="21"/>
          <w:highlight w:val="none"/>
        </w:rPr>
      </w:pPr>
      <w:bookmarkStart w:id="1162" w:name="_Toc351203602"/>
      <w:bookmarkStart w:id="1163" w:name="_Toc532377290"/>
      <w:bookmarkStart w:id="1164" w:name="_Toc337558819"/>
      <w:r>
        <w:rPr>
          <w:rFonts w:hint="eastAsia"/>
          <w:color w:val="auto"/>
          <w:sz w:val="21"/>
          <w:szCs w:val="21"/>
          <w:highlight w:val="none"/>
        </w:rPr>
        <w:t>15.4 保修</w:t>
      </w:r>
      <w:bookmarkEnd w:id="1162"/>
      <w:bookmarkEnd w:id="1163"/>
    </w:p>
    <w:bookmarkEnd w:id="1158"/>
    <w:bookmarkEnd w:id="1159"/>
    <w:bookmarkEnd w:id="1164"/>
    <w:p w14:paraId="745C922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15.4.1保修责任</w:t>
      </w:r>
    </w:p>
    <w:p w14:paraId="7AE10D3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53CF90E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发包人未经竣工验收擅自使用工程的，保修期自转移占有之日起算。</w:t>
      </w:r>
    </w:p>
    <w:p w14:paraId="233147F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15.4.2 修复费用</w:t>
      </w:r>
    </w:p>
    <w:p w14:paraId="01C6CB0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保修期内，修复的费用按照以下约定处理：</w:t>
      </w:r>
    </w:p>
    <w:p w14:paraId="2B77D56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（1）保修期内，因承包人原因造成工程的缺陷、损坏，承包人应负责修复，并承担修复的费用以及因工程的缺陷、损坏造成的人身伤害和财产损失；</w:t>
      </w:r>
    </w:p>
    <w:p w14:paraId="7BA95B8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（2）保修期内，因发包人使用不当造成工程的缺陷、损坏，可以委托承包人修复，但发包人应承担修复的费用，并支付承包人合理利润；</w:t>
      </w:r>
    </w:p>
    <w:p w14:paraId="329FD10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（3）因其他原因造成工程的缺陷、损坏，可以委托承包人修复，发包人应承担修复的费用，并支付承包人合理的利润，因工程的缺陷、损坏造成的人身伤害和财产损失由责任方承担。</w:t>
      </w:r>
    </w:p>
    <w:p w14:paraId="24A9BA0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15.4.3 修复通知</w:t>
      </w:r>
    </w:p>
    <w:p w14:paraId="26CA104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1E11EF7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15.4.4 未能修复</w:t>
      </w:r>
    </w:p>
    <w:p w14:paraId="6D182C8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701CB65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15.4.5 承包人出入权</w:t>
      </w:r>
    </w:p>
    <w:p w14:paraId="29C1DD4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5C6A44D7">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165" w:name="_Toc351203603"/>
      <w:bookmarkStart w:id="1166" w:name="_Toc532377291"/>
      <w:bookmarkStart w:id="1167" w:name="_Toc532375602"/>
      <w:bookmarkStart w:id="1168" w:name="_Toc337558820"/>
      <w:r>
        <w:rPr>
          <w:rFonts w:hint="eastAsia"/>
          <w:color w:val="auto"/>
          <w:kern w:val="2"/>
          <w:sz w:val="21"/>
          <w:szCs w:val="21"/>
          <w:highlight w:val="none"/>
        </w:rPr>
        <w:t>16. 违约</w:t>
      </w:r>
      <w:bookmarkEnd w:id="1165"/>
      <w:bookmarkEnd w:id="1166"/>
      <w:bookmarkEnd w:id="1167"/>
    </w:p>
    <w:bookmarkEnd w:id="1168"/>
    <w:p w14:paraId="7F8CCB57">
      <w:pPr>
        <w:pStyle w:val="7"/>
        <w:spacing w:before="0" w:beforeAutospacing="0" w:after="0" w:afterAutospacing="0" w:line="360" w:lineRule="auto"/>
        <w:ind w:firstLine="422" w:firstLineChars="200"/>
        <w:rPr>
          <w:color w:val="auto"/>
          <w:sz w:val="21"/>
          <w:szCs w:val="21"/>
          <w:highlight w:val="none"/>
        </w:rPr>
      </w:pPr>
      <w:bookmarkStart w:id="1169" w:name="_Toc296346630"/>
      <w:bookmarkStart w:id="1170" w:name="_Toc296503129"/>
      <w:bookmarkStart w:id="1171" w:name="_Toc532377292"/>
      <w:bookmarkStart w:id="1172" w:name="_Toc351203604"/>
      <w:bookmarkStart w:id="1173" w:name="_Toc337558821"/>
      <w:r>
        <w:rPr>
          <w:rFonts w:hint="eastAsia"/>
          <w:color w:val="auto"/>
          <w:sz w:val="21"/>
          <w:szCs w:val="21"/>
          <w:highlight w:val="none"/>
        </w:rPr>
        <w:t>16.1 发</w:t>
      </w:r>
      <w:bookmarkEnd w:id="1169"/>
      <w:bookmarkEnd w:id="1170"/>
      <w:r>
        <w:rPr>
          <w:rFonts w:hint="eastAsia"/>
          <w:color w:val="auto"/>
          <w:sz w:val="21"/>
          <w:szCs w:val="21"/>
          <w:highlight w:val="none"/>
        </w:rPr>
        <w:t>包人违约</w:t>
      </w:r>
      <w:bookmarkEnd w:id="1171"/>
      <w:bookmarkEnd w:id="1172"/>
    </w:p>
    <w:bookmarkEnd w:id="1173"/>
    <w:p w14:paraId="62A4E5D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16.1.1 发包人违约的情形</w:t>
      </w:r>
    </w:p>
    <w:p w14:paraId="6B955C8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在合同履行过程中发生的下列情形，属于发包人违约：</w:t>
      </w:r>
    </w:p>
    <w:p w14:paraId="74D3C44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（1）因发包人原因未能在计划开工日期前7天内下达开工通知的；</w:t>
      </w:r>
    </w:p>
    <w:p w14:paraId="149B908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（2）因发包人原因未能按合同约定支付合同价款的；</w:t>
      </w:r>
    </w:p>
    <w:p w14:paraId="0EB1B5A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（3）发包人违反第10.1款〔变更的范围〕第（2）项约定，自行实施被取消的工作或转由他人实施的；</w:t>
      </w:r>
    </w:p>
    <w:p w14:paraId="7F82083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（4）发包人提供的材料、工程设备的规格、数量或质量不符合合同约定，或因发包人原因导致交货日期延误或交货地点变更等情况的；</w:t>
      </w:r>
    </w:p>
    <w:p w14:paraId="50B4BAE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（5）因发包人违反合同约定造成暂停施工的；</w:t>
      </w:r>
    </w:p>
    <w:p w14:paraId="4D026AE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（6）发包人无正当理由没有在约定期限内发出复工指示，导致承包人无法复工的；</w:t>
      </w:r>
    </w:p>
    <w:p w14:paraId="79E6015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（7）发包人明确表示或者以其行为表明不履行合同主要义务的；</w:t>
      </w:r>
    </w:p>
    <w:p w14:paraId="1B709DC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（8）发包人未能按照合同约定履行其他义务的。</w:t>
      </w:r>
    </w:p>
    <w:p w14:paraId="33EDB18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1B47E30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16.1.2 发包人违约的责任</w:t>
      </w:r>
    </w:p>
    <w:p w14:paraId="324EFEF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发包人应承担因其违约给承包人增加的费用和（或）延误的工期，并支付承包人合理的利润。此外，合同当事人可在专用合同条款中另行约定发包人违约责任的承担方式和计算方法。</w:t>
      </w:r>
    </w:p>
    <w:p w14:paraId="41075E4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16.1.3 因发包人违约解除合同</w:t>
      </w:r>
    </w:p>
    <w:p w14:paraId="5C81DC5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7222554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16.1.4 因发包人违约解除合同后的付款</w:t>
      </w:r>
    </w:p>
    <w:p w14:paraId="69345BC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承包人按照本款约定解除合同的，发包人应在解除合同后28天内支付下列款项，并解除履约担保：</w:t>
      </w:r>
    </w:p>
    <w:p w14:paraId="445C19B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（1）合同解除前所完成工作的价款；</w:t>
      </w:r>
    </w:p>
    <w:p w14:paraId="0A515D7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（2）承包人为工程施工订购并已付款的材料、工程设备和其他物品的价款；</w:t>
      </w:r>
    </w:p>
    <w:p w14:paraId="7F522DA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（3）承包人撤离施工现场以及遣散承包人人员的款项；</w:t>
      </w:r>
    </w:p>
    <w:p w14:paraId="4D5E855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（4）按照合同约定在合同解除前应支付的违约金；</w:t>
      </w:r>
    </w:p>
    <w:p w14:paraId="19C6D24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（5）按照合同约定应当支付给承包人的其他款项；</w:t>
      </w:r>
    </w:p>
    <w:p w14:paraId="2073BDE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（6）按照合同约定应退还的质量保证金；</w:t>
      </w:r>
    </w:p>
    <w:p w14:paraId="2D141C3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（7）因解除合同给承包人造成的损失。</w:t>
      </w:r>
    </w:p>
    <w:p w14:paraId="12D6EFE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合同当事人未能就解除合同后的结清达成一致的，按照第20条〔争议解决〕的约定处理。</w:t>
      </w:r>
    </w:p>
    <w:p w14:paraId="4EEC7F0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承包人应妥善做好已完工程和与工程有关的已购材料、工程设备的保护和移交工作，并将施工设备和人员撤出施工现场，发包人应为承包人撤出提供必要条件。</w:t>
      </w:r>
    </w:p>
    <w:p w14:paraId="2C3361AD">
      <w:pPr>
        <w:pStyle w:val="7"/>
        <w:spacing w:before="0" w:beforeAutospacing="0" w:after="0" w:afterAutospacing="0" w:line="360" w:lineRule="auto"/>
        <w:ind w:firstLine="422" w:firstLineChars="200"/>
        <w:rPr>
          <w:color w:val="auto"/>
          <w:sz w:val="21"/>
          <w:szCs w:val="21"/>
          <w:highlight w:val="none"/>
        </w:rPr>
      </w:pPr>
      <w:bookmarkStart w:id="1174" w:name="_Toc351203605"/>
      <w:bookmarkStart w:id="1175" w:name="_Toc532377293"/>
      <w:bookmarkStart w:id="1176" w:name="_Toc296503131"/>
      <w:bookmarkStart w:id="1177" w:name="_Toc337558822"/>
      <w:bookmarkStart w:id="1178" w:name="_Toc296346632"/>
      <w:r>
        <w:rPr>
          <w:rFonts w:hint="eastAsia"/>
          <w:color w:val="auto"/>
          <w:sz w:val="21"/>
          <w:szCs w:val="21"/>
          <w:highlight w:val="none"/>
        </w:rPr>
        <w:t>16.2 承包人违约</w:t>
      </w:r>
      <w:bookmarkEnd w:id="1174"/>
      <w:bookmarkEnd w:id="1175"/>
    </w:p>
    <w:bookmarkEnd w:id="1176"/>
    <w:bookmarkEnd w:id="1177"/>
    <w:bookmarkEnd w:id="1178"/>
    <w:p w14:paraId="1D1EBF9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16.2.1 承包人违约的情形</w:t>
      </w:r>
    </w:p>
    <w:p w14:paraId="22668F5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在合同履行过程中发生的下列情形，属于承包人违约：</w:t>
      </w:r>
    </w:p>
    <w:p w14:paraId="71774BF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（1）承包人违反合同约定进行转包或违法分包的；</w:t>
      </w:r>
    </w:p>
    <w:p w14:paraId="1BDAB31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（2）承包人违反合同约定采购和使用不合格的材料和工程设备的；</w:t>
      </w:r>
    </w:p>
    <w:p w14:paraId="0B9CD76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（3）因承包人原因导致工程质量不符合合同要求的； </w:t>
      </w:r>
    </w:p>
    <w:p w14:paraId="7369558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（4）承包人违反第8.9款〔材料与设备专用要求〕的约定，未经批准，私自将已按照合同约定进入施工现场的材料或设备撤离施工现场的；</w:t>
      </w:r>
    </w:p>
    <w:p w14:paraId="49BEF0D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（5）承包人未能按施工进度计划及时完成合同约定的工作，造成工期延误的；</w:t>
      </w:r>
    </w:p>
    <w:p w14:paraId="6D20DBA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（6）承包人在缺陷责任期及保修期内，未能在合理期限对工程缺陷进行修复，或拒绝按发包人要求进行修复的；</w:t>
      </w:r>
    </w:p>
    <w:p w14:paraId="31A0761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（7）承包人明确表示或者以其行为表明不履行合同主要义务的；</w:t>
      </w:r>
    </w:p>
    <w:p w14:paraId="5FF6B29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（8）承包人未能按照合同约定履行其他义务的。</w:t>
      </w:r>
    </w:p>
    <w:p w14:paraId="3EAFCC2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承包人发生除本项第（7）目约定以外的其他违约情况时，监理人可向承包人发出整改通知，要求其在指定的期限内改正。</w:t>
      </w:r>
    </w:p>
    <w:p w14:paraId="50D5032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16.2.2 承包人违约的责任</w:t>
      </w:r>
    </w:p>
    <w:p w14:paraId="010AE27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承包人应承担因其违约行为而增加的费用和（或）延误的工期。此外，合同当事人可在专用合同条款中另行约定承包人违约责任的承担方式和计算方法。</w:t>
      </w:r>
    </w:p>
    <w:p w14:paraId="318B51E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16.2.3 因承包人违约解除合同</w:t>
      </w:r>
    </w:p>
    <w:p w14:paraId="0991499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23324E4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16.2.4因承包人违约解除合同后的处理</w:t>
      </w:r>
    </w:p>
    <w:p w14:paraId="525CF04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因承包人原因导致合同解除的，则合同当事人应在合同解除后28天内完成估价、付款和清算，并按以下约定执行：</w:t>
      </w:r>
    </w:p>
    <w:p w14:paraId="7C2D08C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（1）合同解除后，按第4.4款〔商定或确定〕商定或确定承包人实际完成工作对应的合同价款，以及承包人已提供的材料、工程设备、施工设备和临时工程等的价值；</w:t>
      </w:r>
    </w:p>
    <w:p w14:paraId="405C7D7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（2）合同解除后，承包人应支付的违约金；</w:t>
      </w:r>
    </w:p>
    <w:p w14:paraId="1F7A2CD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（3）合同解除后，因解除合同给发包人造成的损失；</w:t>
      </w:r>
    </w:p>
    <w:p w14:paraId="55A78F8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（4）合同解除后，承包人应按照发包人要求和监理人的指示完成现场的清理和撤离；</w:t>
      </w:r>
    </w:p>
    <w:p w14:paraId="6EAD8FB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（5）发包人和承包人应在合同解除后进行清算，出具最终结清付款证书，结清全部款项。</w:t>
      </w:r>
    </w:p>
    <w:p w14:paraId="45E4FC2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因承包人违约解除合同的，发包人有权暂停对承包人的付款，查清各项付款和已扣款项。发包人和承包人未能就合同解除后的清算和款项支付达成一致的，按照第20条〔争议解决〕的约定处理。</w:t>
      </w:r>
    </w:p>
    <w:p w14:paraId="72726FD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16.2.5采购合同权益转让</w:t>
      </w:r>
    </w:p>
    <w:p w14:paraId="2249DD2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6C1B6452">
      <w:pPr>
        <w:pStyle w:val="7"/>
        <w:spacing w:before="0" w:beforeAutospacing="0" w:after="0" w:afterAutospacing="0" w:line="360" w:lineRule="auto"/>
        <w:ind w:firstLine="422" w:firstLineChars="200"/>
        <w:rPr>
          <w:color w:val="auto"/>
          <w:sz w:val="21"/>
          <w:szCs w:val="21"/>
          <w:highlight w:val="none"/>
        </w:rPr>
      </w:pPr>
      <w:bookmarkStart w:id="1179" w:name="_Toc351203606"/>
      <w:bookmarkStart w:id="1180" w:name="_Toc532377294"/>
      <w:r>
        <w:rPr>
          <w:rFonts w:hint="eastAsia"/>
          <w:color w:val="auto"/>
          <w:sz w:val="21"/>
          <w:szCs w:val="21"/>
          <w:highlight w:val="none"/>
        </w:rPr>
        <w:t>16.3 第三人造成的违约</w:t>
      </w:r>
      <w:bookmarkEnd w:id="1179"/>
      <w:bookmarkEnd w:id="1180"/>
    </w:p>
    <w:p w14:paraId="168C4E0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在履行合同过程中，一方当事人因第三人的原因造成违约的，应当向对方当事人承担违约责任。一方当事人和第三人之间的纠纷，依照法律规定或者按照约定解决。</w:t>
      </w:r>
    </w:p>
    <w:p w14:paraId="601BAFDD">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181" w:name="_Toc351203607"/>
      <w:bookmarkStart w:id="1182" w:name="_Toc532375603"/>
      <w:bookmarkStart w:id="1183" w:name="_Toc296346617"/>
      <w:bookmarkStart w:id="1184" w:name="_Toc337558823"/>
      <w:bookmarkStart w:id="1185" w:name="_Toc296503116"/>
      <w:bookmarkStart w:id="1186" w:name="_Toc532377295"/>
      <w:r>
        <w:rPr>
          <w:rFonts w:hint="eastAsia"/>
          <w:color w:val="auto"/>
          <w:kern w:val="2"/>
          <w:sz w:val="21"/>
          <w:szCs w:val="21"/>
          <w:highlight w:val="none"/>
        </w:rPr>
        <w:t>17. 不可抗力</w:t>
      </w:r>
      <w:bookmarkEnd w:id="1181"/>
      <w:bookmarkEnd w:id="1182"/>
      <w:bookmarkEnd w:id="1183"/>
      <w:bookmarkEnd w:id="1184"/>
      <w:bookmarkEnd w:id="1185"/>
      <w:bookmarkEnd w:id="1186"/>
    </w:p>
    <w:p w14:paraId="1B363EF9">
      <w:pPr>
        <w:pStyle w:val="7"/>
        <w:spacing w:before="0" w:beforeAutospacing="0" w:after="0" w:afterAutospacing="0" w:line="360" w:lineRule="auto"/>
        <w:ind w:firstLine="422" w:firstLineChars="200"/>
        <w:rPr>
          <w:color w:val="auto"/>
          <w:sz w:val="21"/>
          <w:szCs w:val="21"/>
          <w:highlight w:val="none"/>
        </w:rPr>
      </w:pPr>
      <w:bookmarkStart w:id="1187" w:name="_Toc532377296"/>
      <w:bookmarkStart w:id="1188" w:name="_Toc351203608"/>
      <w:bookmarkStart w:id="1189" w:name="_Toc296503117"/>
      <w:bookmarkStart w:id="1190" w:name="_Toc337558824"/>
      <w:bookmarkStart w:id="1191" w:name="_Toc296346618"/>
      <w:r>
        <w:rPr>
          <w:rFonts w:hint="eastAsia"/>
          <w:color w:val="auto"/>
          <w:sz w:val="21"/>
          <w:szCs w:val="21"/>
          <w:highlight w:val="none"/>
        </w:rPr>
        <w:t>17.1 不可抗力的确认</w:t>
      </w:r>
      <w:bookmarkEnd w:id="1187"/>
      <w:bookmarkEnd w:id="1188"/>
    </w:p>
    <w:bookmarkEnd w:id="1189"/>
    <w:bookmarkEnd w:id="1190"/>
    <w:bookmarkEnd w:id="1191"/>
    <w:p w14:paraId="050AD52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2B0A28D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1B3FA7DB">
      <w:pPr>
        <w:pStyle w:val="7"/>
        <w:spacing w:before="0" w:beforeAutospacing="0" w:after="0" w:afterAutospacing="0" w:line="360" w:lineRule="auto"/>
        <w:ind w:firstLine="422" w:firstLineChars="200"/>
        <w:rPr>
          <w:color w:val="auto"/>
          <w:sz w:val="21"/>
          <w:szCs w:val="21"/>
          <w:highlight w:val="none"/>
        </w:rPr>
      </w:pPr>
      <w:bookmarkStart w:id="1192" w:name="_Toc351203609"/>
      <w:bookmarkStart w:id="1193" w:name="_Toc532377297"/>
      <w:bookmarkStart w:id="1194" w:name="_Toc337558825"/>
      <w:bookmarkStart w:id="1195" w:name="_Toc296346619"/>
      <w:bookmarkStart w:id="1196" w:name="_Toc296503118"/>
      <w:r>
        <w:rPr>
          <w:rFonts w:hint="eastAsia"/>
          <w:color w:val="auto"/>
          <w:sz w:val="21"/>
          <w:szCs w:val="21"/>
          <w:highlight w:val="none"/>
        </w:rPr>
        <w:t>17.2 不可抗力的通知</w:t>
      </w:r>
      <w:bookmarkEnd w:id="1192"/>
      <w:bookmarkEnd w:id="1193"/>
    </w:p>
    <w:bookmarkEnd w:id="1194"/>
    <w:bookmarkEnd w:id="1195"/>
    <w:bookmarkEnd w:id="1196"/>
    <w:p w14:paraId="3464CB4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合同一方当事人遇到不可抗力事件，使其履行合同义务受到阻碍时，应立即通知合同另一方当事人和监理人，书面说明不可抗力和受阻碍的详细情况，并提供必要的证明。</w:t>
      </w:r>
    </w:p>
    <w:p w14:paraId="312158A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187F0DED">
      <w:pPr>
        <w:pStyle w:val="7"/>
        <w:spacing w:before="0" w:beforeAutospacing="0" w:after="0" w:afterAutospacing="0" w:line="360" w:lineRule="auto"/>
        <w:ind w:firstLine="422" w:firstLineChars="200"/>
        <w:rPr>
          <w:color w:val="auto"/>
          <w:sz w:val="21"/>
          <w:szCs w:val="21"/>
          <w:highlight w:val="none"/>
        </w:rPr>
      </w:pPr>
      <w:bookmarkStart w:id="1197" w:name="_Toc532377298"/>
      <w:r>
        <w:rPr>
          <w:rFonts w:hint="eastAsia"/>
          <w:color w:val="auto"/>
          <w:sz w:val="21"/>
          <w:szCs w:val="21"/>
          <w:highlight w:val="none"/>
        </w:rPr>
        <w:t>17.3 不可抗力后果的承担</w:t>
      </w:r>
      <w:bookmarkEnd w:id="1197"/>
    </w:p>
    <w:p w14:paraId="7C3F227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17.3.1 不可抗力引起的后果及造成的损失由合同当事人按照法律规定及合同约定各自承担。不可抗力发生前已完成的工程应当按照合同约定进行计量支付。</w:t>
      </w:r>
    </w:p>
    <w:p w14:paraId="2CFEBF7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17.3.2 不可抗力导致的人员伤亡、财产损失、费用增加和（或）工期延误等后果，由合同当事人按以下原则承担：</w:t>
      </w:r>
    </w:p>
    <w:p w14:paraId="2AB1FFF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（1）永久工程、已运至施工现场的材料和工程设备的损坏，以及因工程损坏造成的第三人人员伤亡和财产损失由发包人承担；</w:t>
      </w:r>
    </w:p>
    <w:p w14:paraId="0C03995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（2）承包人施工设备的损坏由承包人承担；</w:t>
      </w:r>
    </w:p>
    <w:p w14:paraId="2D6D21D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（3）发包人和承包人承担各自人员伤亡和财产的损失；</w:t>
      </w:r>
    </w:p>
    <w:p w14:paraId="7F5DBA9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75B3EB6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（5）因不可抗力引起或将引起工期延误，发包人要求赶工的，由此增加的赶工费用由发包人承担；</w:t>
      </w:r>
    </w:p>
    <w:p w14:paraId="101A6E3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（6）承包人在停工期间按照发包人要求照管、清理和修复工程的费用由发包人承担。</w:t>
      </w:r>
    </w:p>
    <w:p w14:paraId="421611B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不可抗力发生后，合同当事人均应采取措施尽量避免和减少损失的扩大，任何一方当事人没有采取有效措施导致损失扩大的，应对扩大的损失承担责任。</w:t>
      </w:r>
    </w:p>
    <w:p w14:paraId="71AF626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因合同一方迟延履行合同义务，在迟延履行期间遭遇不可抗力的，不免除其违约责任。</w:t>
      </w:r>
    </w:p>
    <w:p w14:paraId="51D65E9D">
      <w:pPr>
        <w:pStyle w:val="7"/>
        <w:spacing w:before="0" w:beforeAutospacing="0" w:after="0" w:afterAutospacing="0" w:line="360" w:lineRule="auto"/>
        <w:ind w:firstLine="422" w:firstLineChars="200"/>
        <w:rPr>
          <w:color w:val="auto"/>
          <w:sz w:val="21"/>
          <w:szCs w:val="21"/>
          <w:highlight w:val="none"/>
        </w:rPr>
      </w:pPr>
      <w:bookmarkStart w:id="1198" w:name="_Toc532377299"/>
      <w:bookmarkStart w:id="1199" w:name="_Toc351203611"/>
      <w:bookmarkStart w:id="1200" w:name="_Toc337558827"/>
      <w:r>
        <w:rPr>
          <w:rFonts w:hint="eastAsia"/>
          <w:color w:val="auto"/>
          <w:sz w:val="21"/>
          <w:szCs w:val="21"/>
          <w:highlight w:val="none"/>
        </w:rPr>
        <w:t>17.4 因不可抗力解除合同</w:t>
      </w:r>
      <w:bookmarkEnd w:id="1198"/>
      <w:bookmarkEnd w:id="1199"/>
    </w:p>
    <w:bookmarkEnd w:id="1200"/>
    <w:p w14:paraId="4558D94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因不可抗力导致合同无法履行连续超过84天或累计超过140天的，发包人和承包人均有权解除合同。合同解除后，由双方当事人按照第4.4款〔商定或确定〕商定或确定发包人应支付的款项，该款项包括：</w:t>
      </w:r>
    </w:p>
    <w:p w14:paraId="5D6C170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（1）合同解除前承包人已完成工作的价款；</w:t>
      </w:r>
    </w:p>
    <w:p w14:paraId="4FE7E46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（2）承包人为工程订购的并已交付给承包人，或承包人有责任接受交付的材料、工程设备和其他物品的价款；</w:t>
      </w:r>
    </w:p>
    <w:p w14:paraId="434E445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（3）发包人要求承包人退货或解除订货合同而产生的费用，或因不能退货或解除合同而产生的损失；</w:t>
      </w:r>
    </w:p>
    <w:p w14:paraId="2E0B376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（4）承包人撤离施工现场以及遣散承包人人员的费用；</w:t>
      </w:r>
    </w:p>
    <w:p w14:paraId="2254688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（5）按照合同约定在合同解除前应支付给承包人的其他款项；</w:t>
      </w:r>
    </w:p>
    <w:p w14:paraId="59D1005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（6）扣减承包人按照合同约定应向发包人支付的款项；</w:t>
      </w:r>
    </w:p>
    <w:p w14:paraId="68C5B0C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（7）双方商定或确定的其他款项。</w:t>
      </w:r>
    </w:p>
    <w:p w14:paraId="16C367C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除专用合同条款另有约定外，合同解除后，发包人应在商定或确定上述款项后28天内完成上述款项的支付。</w:t>
      </w:r>
    </w:p>
    <w:p w14:paraId="06915CEA">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201" w:name="_Toc351203612"/>
      <w:bookmarkStart w:id="1202" w:name="_Toc532377300"/>
      <w:bookmarkStart w:id="1203" w:name="_Toc532375604"/>
      <w:bookmarkStart w:id="1204" w:name="_Toc296503120"/>
      <w:bookmarkStart w:id="1205" w:name="_Toc337558828"/>
      <w:bookmarkStart w:id="1206" w:name="_Toc296346621"/>
      <w:r>
        <w:rPr>
          <w:rFonts w:hint="eastAsia"/>
          <w:color w:val="auto"/>
          <w:kern w:val="2"/>
          <w:sz w:val="21"/>
          <w:szCs w:val="21"/>
          <w:highlight w:val="none"/>
        </w:rPr>
        <w:t>18. 保险</w:t>
      </w:r>
      <w:bookmarkEnd w:id="1201"/>
      <w:bookmarkEnd w:id="1202"/>
      <w:bookmarkEnd w:id="1203"/>
    </w:p>
    <w:bookmarkEnd w:id="1204"/>
    <w:bookmarkEnd w:id="1205"/>
    <w:bookmarkEnd w:id="1206"/>
    <w:p w14:paraId="0B99EF52">
      <w:pPr>
        <w:pStyle w:val="7"/>
        <w:spacing w:before="0" w:beforeAutospacing="0" w:after="0" w:afterAutospacing="0" w:line="360" w:lineRule="auto"/>
        <w:ind w:firstLine="422" w:firstLineChars="200"/>
        <w:rPr>
          <w:color w:val="auto"/>
          <w:sz w:val="21"/>
          <w:szCs w:val="21"/>
          <w:highlight w:val="none"/>
        </w:rPr>
      </w:pPr>
      <w:bookmarkStart w:id="1207" w:name="_Toc532377301"/>
      <w:bookmarkStart w:id="1208" w:name="_Toc351203613"/>
      <w:bookmarkStart w:id="1209" w:name="_Toc296346622"/>
      <w:bookmarkStart w:id="1210" w:name="_Toc337558829"/>
      <w:bookmarkStart w:id="1211" w:name="_Toc296503121"/>
      <w:r>
        <w:rPr>
          <w:rFonts w:hint="eastAsia"/>
          <w:color w:val="auto"/>
          <w:sz w:val="21"/>
          <w:szCs w:val="21"/>
          <w:highlight w:val="none"/>
        </w:rPr>
        <w:t>18.1 工程保险</w:t>
      </w:r>
      <w:bookmarkEnd w:id="1207"/>
      <w:bookmarkEnd w:id="1208"/>
    </w:p>
    <w:bookmarkEnd w:id="1209"/>
    <w:bookmarkEnd w:id="1210"/>
    <w:bookmarkEnd w:id="1211"/>
    <w:p w14:paraId="3569E7F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除专用合同条款另有约定外，发包人应投保建筑工程一切险或安装工程一切险；发包人委托承包人投保的，因投保产生的保险费和其他相关费用由发包人承担。</w:t>
      </w:r>
    </w:p>
    <w:p w14:paraId="67DBDCAB">
      <w:pPr>
        <w:pStyle w:val="7"/>
        <w:spacing w:before="0" w:beforeAutospacing="0" w:after="0" w:afterAutospacing="0" w:line="360" w:lineRule="auto"/>
        <w:ind w:firstLine="422" w:firstLineChars="200"/>
        <w:rPr>
          <w:color w:val="auto"/>
          <w:sz w:val="21"/>
          <w:szCs w:val="21"/>
          <w:highlight w:val="none"/>
        </w:rPr>
      </w:pPr>
      <w:bookmarkStart w:id="1212" w:name="_Toc351203614"/>
      <w:bookmarkStart w:id="1213" w:name="_Toc532377302"/>
      <w:bookmarkStart w:id="1214" w:name="_Toc337558830"/>
      <w:bookmarkStart w:id="1215" w:name="_Toc296503122"/>
      <w:bookmarkStart w:id="1216" w:name="_Toc296346623"/>
      <w:r>
        <w:rPr>
          <w:rFonts w:hint="eastAsia"/>
          <w:color w:val="auto"/>
          <w:sz w:val="21"/>
          <w:szCs w:val="21"/>
          <w:highlight w:val="none"/>
        </w:rPr>
        <w:t>18.2 工伤保险</w:t>
      </w:r>
      <w:bookmarkEnd w:id="1212"/>
      <w:bookmarkEnd w:id="1213"/>
    </w:p>
    <w:bookmarkEnd w:id="1214"/>
    <w:bookmarkEnd w:id="1215"/>
    <w:bookmarkEnd w:id="1216"/>
    <w:p w14:paraId="2729CE0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18.2.1 发包人应依照法律规定参加工伤保险，并为在施工现场的全部员工办理工伤保险，缴纳工伤保险费，并要求监理人及由发包人为履行合同聘请的第三方依法参加工伤保险。</w:t>
      </w:r>
    </w:p>
    <w:p w14:paraId="742CD9C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18.2.2 承包人应依照法律规定参加工伤保险，并为其履行合同的全部员工办理工伤保险，缴纳工伤保险费，并要求分包人及由承包人为履行合同聘请的第三方依法参加工伤保险。</w:t>
      </w:r>
    </w:p>
    <w:p w14:paraId="6FB5A353">
      <w:pPr>
        <w:pStyle w:val="7"/>
        <w:spacing w:before="0" w:beforeAutospacing="0" w:after="0" w:afterAutospacing="0" w:line="360" w:lineRule="auto"/>
        <w:ind w:firstLine="422" w:firstLineChars="200"/>
        <w:rPr>
          <w:color w:val="auto"/>
          <w:sz w:val="21"/>
          <w:szCs w:val="21"/>
          <w:highlight w:val="none"/>
        </w:rPr>
      </w:pPr>
      <w:bookmarkStart w:id="1217" w:name="_Toc351203615"/>
      <w:bookmarkStart w:id="1218" w:name="_Toc532377303"/>
      <w:bookmarkStart w:id="1219" w:name="_Toc296503125"/>
      <w:bookmarkStart w:id="1220" w:name="_Toc296346626"/>
      <w:bookmarkStart w:id="1221" w:name="_Toc337558831"/>
      <w:r>
        <w:rPr>
          <w:rFonts w:hint="eastAsia"/>
          <w:color w:val="auto"/>
          <w:sz w:val="21"/>
          <w:szCs w:val="21"/>
          <w:highlight w:val="none"/>
        </w:rPr>
        <w:t>18.3其他保险</w:t>
      </w:r>
      <w:bookmarkEnd w:id="1217"/>
      <w:bookmarkEnd w:id="1218"/>
    </w:p>
    <w:bookmarkEnd w:id="1219"/>
    <w:bookmarkEnd w:id="1220"/>
    <w:bookmarkEnd w:id="1221"/>
    <w:p w14:paraId="1308B4B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发包人和承包人可以为其施工现场的全部人员办理意外伤害保险并支付保险费，包括其员工及为履行合同聘请的第三方的人员，具体事项由合同当事人在专用合同条款约定。</w:t>
      </w:r>
    </w:p>
    <w:p w14:paraId="0C6BA72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除专用合同条款另有约定外，承包人应为其施工设备等办理财产保险。</w:t>
      </w:r>
    </w:p>
    <w:p w14:paraId="477940AA">
      <w:pPr>
        <w:pStyle w:val="7"/>
        <w:spacing w:before="0" w:beforeAutospacing="0" w:after="0" w:afterAutospacing="0" w:line="360" w:lineRule="auto"/>
        <w:ind w:firstLine="422" w:firstLineChars="200"/>
        <w:rPr>
          <w:color w:val="auto"/>
          <w:sz w:val="21"/>
          <w:szCs w:val="21"/>
          <w:highlight w:val="none"/>
        </w:rPr>
      </w:pPr>
      <w:bookmarkStart w:id="1222" w:name="_Toc351203616"/>
      <w:bookmarkStart w:id="1223" w:name="_Toc532377304"/>
      <w:r>
        <w:rPr>
          <w:rFonts w:hint="eastAsia"/>
          <w:color w:val="auto"/>
          <w:sz w:val="21"/>
          <w:szCs w:val="21"/>
          <w:highlight w:val="none"/>
        </w:rPr>
        <w:t>18.4持续保险</w:t>
      </w:r>
      <w:bookmarkEnd w:id="1222"/>
      <w:bookmarkEnd w:id="1223"/>
    </w:p>
    <w:p w14:paraId="29D8685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合同当事人应与保险人保持联系，使保险人能够随时了解工程实施中的变动，并确保按保险合同条款要求持续保险。</w:t>
      </w:r>
    </w:p>
    <w:p w14:paraId="369C7709">
      <w:pPr>
        <w:pStyle w:val="7"/>
        <w:spacing w:before="0" w:beforeAutospacing="0" w:after="0" w:afterAutospacing="0" w:line="360" w:lineRule="auto"/>
        <w:ind w:firstLine="422" w:firstLineChars="200"/>
        <w:rPr>
          <w:color w:val="auto"/>
          <w:sz w:val="21"/>
          <w:szCs w:val="21"/>
          <w:highlight w:val="none"/>
        </w:rPr>
      </w:pPr>
      <w:bookmarkStart w:id="1224" w:name="_Toc532377305"/>
      <w:bookmarkStart w:id="1225" w:name="_Toc351203617"/>
      <w:bookmarkStart w:id="1226" w:name="_Toc296346627"/>
      <w:bookmarkStart w:id="1227" w:name="_Toc296503126"/>
      <w:bookmarkStart w:id="1228" w:name="_Toc337558832"/>
      <w:r>
        <w:rPr>
          <w:rFonts w:hint="eastAsia"/>
          <w:color w:val="auto"/>
          <w:sz w:val="21"/>
          <w:szCs w:val="21"/>
          <w:highlight w:val="none"/>
        </w:rPr>
        <w:t>18.5 保险凭证</w:t>
      </w:r>
      <w:bookmarkEnd w:id="1224"/>
      <w:bookmarkEnd w:id="1225"/>
    </w:p>
    <w:bookmarkEnd w:id="1226"/>
    <w:bookmarkEnd w:id="1227"/>
    <w:bookmarkEnd w:id="1228"/>
    <w:p w14:paraId="6A99780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合同当事人应及时向另一方当事人提交其已投保的各项保险的凭证和保险单复印件。</w:t>
      </w:r>
    </w:p>
    <w:p w14:paraId="2AB8AB1F">
      <w:pPr>
        <w:pStyle w:val="7"/>
        <w:spacing w:before="0" w:beforeAutospacing="0" w:after="0" w:afterAutospacing="0" w:line="360" w:lineRule="auto"/>
        <w:ind w:firstLine="422" w:firstLineChars="200"/>
        <w:rPr>
          <w:color w:val="auto"/>
          <w:sz w:val="21"/>
          <w:szCs w:val="21"/>
          <w:highlight w:val="none"/>
        </w:rPr>
      </w:pPr>
      <w:bookmarkStart w:id="1229" w:name="_Toc351203618"/>
      <w:bookmarkStart w:id="1230" w:name="_Toc532377306"/>
      <w:bookmarkStart w:id="1231" w:name="_Toc296503127"/>
      <w:bookmarkStart w:id="1232" w:name="_Toc337558833"/>
      <w:bookmarkStart w:id="1233" w:name="_Toc296346628"/>
      <w:r>
        <w:rPr>
          <w:rFonts w:hint="eastAsia"/>
          <w:color w:val="auto"/>
          <w:sz w:val="21"/>
          <w:szCs w:val="21"/>
          <w:highlight w:val="none"/>
        </w:rPr>
        <w:t>18.6 未按约定投保的补救</w:t>
      </w:r>
      <w:bookmarkEnd w:id="1229"/>
      <w:bookmarkEnd w:id="1230"/>
    </w:p>
    <w:bookmarkEnd w:id="1231"/>
    <w:bookmarkEnd w:id="1232"/>
    <w:bookmarkEnd w:id="1233"/>
    <w:p w14:paraId="105EC5C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18.6.1发包人未按合同约定办理保险，或未能使保险持续有效的，则承包人可代为办理，所需费用由发包人承担。发包人未按合同约定办理保险，导致未能得到足额赔偿的，由发包人负责补足。</w:t>
      </w:r>
    </w:p>
    <w:p w14:paraId="28D4596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18.6.2承包人未按合同约定办理保险，或未能使保险持续有效的，则发包人可代为办理，所需费用由承包人承担。承包人未按合同约定办理保险，导致未能得到足额赔偿的，由承包人负责补足。</w:t>
      </w:r>
    </w:p>
    <w:p w14:paraId="11FD9C9F">
      <w:pPr>
        <w:pStyle w:val="7"/>
        <w:spacing w:before="0" w:beforeAutospacing="0" w:after="0" w:afterAutospacing="0" w:line="360" w:lineRule="auto"/>
        <w:ind w:firstLine="422" w:firstLineChars="200"/>
        <w:rPr>
          <w:color w:val="auto"/>
          <w:sz w:val="21"/>
          <w:szCs w:val="21"/>
          <w:highlight w:val="none"/>
        </w:rPr>
      </w:pPr>
      <w:bookmarkStart w:id="1234" w:name="_Toc532377307"/>
      <w:bookmarkStart w:id="1235" w:name="_Toc351203619"/>
      <w:bookmarkStart w:id="1236" w:name="_Toc337558834"/>
      <w:r>
        <w:rPr>
          <w:rFonts w:hint="eastAsia"/>
          <w:color w:val="auto"/>
          <w:sz w:val="21"/>
          <w:szCs w:val="21"/>
          <w:highlight w:val="none"/>
        </w:rPr>
        <w:t>18.7 通知义务</w:t>
      </w:r>
      <w:bookmarkEnd w:id="1234"/>
      <w:bookmarkEnd w:id="1235"/>
    </w:p>
    <w:bookmarkEnd w:id="1236"/>
    <w:p w14:paraId="3A385BB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685D7DB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保险事故发生时，投保人应按照保险合同规定的条件和期限及时向保险人报告。发包人和承包人应当在知道保险事故发生后及时通知对方。</w:t>
      </w:r>
    </w:p>
    <w:p w14:paraId="33DAFA1E">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237" w:name="_Toc532377308"/>
      <w:bookmarkStart w:id="1238" w:name="_Toc532375605"/>
      <w:r>
        <w:rPr>
          <w:rFonts w:hint="eastAsia"/>
          <w:color w:val="auto"/>
          <w:kern w:val="2"/>
          <w:sz w:val="21"/>
          <w:szCs w:val="21"/>
          <w:highlight w:val="none"/>
        </w:rPr>
        <w:t>19. 索赔</w:t>
      </w:r>
      <w:bookmarkEnd w:id="1237"/>
      <w:bookmarkEnd w:id="1238"/>
    </w:p>
    <w:p w14:paraId="458CB173">
      <w:pPr>
        <w:pStyle w:val="7"/>
        <w:spacing w:before="0" w:beforeAutospacing="0" w:after="0" w:afterAutospacing="0" w:line="360" w:lineRule="auto"/>
        <w:ind w:firstLine="422" w:firstLineChars="200"/>
        <w:rPr>
          <w:color w:val="auto"/>
          <w:sz w:val="21"/>
          <w:szCs w:val="21"/>
          <w:highlight w:val="none"/>
        </w:rPr>
      </w:pPr>
      <w:bookmarkStart w:id="1239" w:name="_Toc532377309"/>
      <w:r>
        <w:rPr>
          <w:rFonts w:hint="eastAsia"/>
          <w:color w:val="auto"/>
          <w:sz w:val="21"/>
          <w:szCs w:val="21"/>
          <w:highlight w:val="none"/>
        </w:rPr>
        <w:t>19.1承包人的索赔</w:t>
      </w:r>
      <w:bookmarkEnd w:id="1239"/>
    </w:p>
    <w:p w14:paraId="7BAEB24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根据合同约定，承包人认为有权得到追加付款和（或）延长工期的，应按以下程序向发包人提出索赔：</w:t>
      </w:r>
    </w:p>
    <w:p w14:paraId="6A71E8E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07AE91C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（2）承包人应在发出索赔意向通知书后28天内，向监理人正式递交索赔报告；索赔报告应详细说明索赔理由以及要求追加的付款金额和（或）延长的工期，并附必要的记录和证明材料；</w:t>
      </w:r>
    </w:p>
    <w:p w14:paraId="16AC5B9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（3）索赔事件具有持续影响的，承包人应按合理时间间隔继续递交延续索赔通知，说明持续影响的实际情况和记录，列出累计的追加付款金额和（或）工期延长天数；</w:t>
      </w:r>
    </w:p>
    <w:p w14:paraId="710AE0B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（4）在索赔事件影响结束后28天内，承包人应向监理人递交最终索赔报告，说明最终要求索赔的追加付款金额和（或）延长的工期，并附必要的记录和证明材料。</w:t>
      </w:r>
    </w:p>
    <w:p w14:paraId="1DAB3B76">
      <w:pPr>
        <w:pStyle w:val="7"/>
        <w:spacing w:before="0" w:beforeAutospacing="0" w:after="0" w:afterAutospacing="0" w:line="360" w:lineRule="auto"/>
        <w:ind w:firstLine="422" w:firstLineChars="200"/>
        <w:rPr>
          <w:color w:val="auto"/>
          <w:sz w:val="21"/>
          <w:szCs w:val="21"/>
          <w:highlight w:val="none"/>
        </w:rPr>
      </w:pPr>
      <w:bookmarkStart w:id="1240" w:name="_Toc351203622"/>
      <w:bookmarkStart w:id="1241" w:name="_Toc532377310"/>
      <w:bookmarkStart w:id="1242" w:name="_Toc296503142"/>
      <w:bookmarkStart w:id="1243" w:name="_Toc296346643"/>
      <w:bookmarkStart w:id="1244" w:name="_Toc337558837"/>
      <w:r>
        <w:rPr>
          <w:rFonts w:hint="eastAsia"/>
          <w:color w:val="auto"/>
          <w:sz w:val="21"/>
          <w:szCs w:val="21"/>
          <w:highlight w:val="none"/>
        </w:rPr>
        <w:t>19.2 对承包人索赔的处理</w:t>
      </w:r>
      <w:bookmarkEnd w:id="1240"/>
      <w:bookmarkEnd w:id="1241"/>
    </w:p>
    <w:bookmarkEnd w:id="1242"/>
    <w:bookmarkEnd w:id="1243"/>
    <w:bookmarkEnd w:id="1244"/>
    <w:p w14:paraId="53A2103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对承包人索赔的处理如下：</w:t>
      </w:r>
    </w:p>
    <w:p w14:paraId="45A06C1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（1）监理人应在收到索赔报告后14天内完成审查并报送发包人。监理人对索赔报告存在异议的，有权要求承包人提交全部原始记录副本；</w:t>
      </w:r>
    </w:p>
    <w:p w14:paraId="400ADC1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（2）发包人应在监理人收到索赔报告或有关索赔的进一步证明材料后的28天内，由监理人向承包人出具经发包人签认的索赔处理结果。发包人逾期答复的，则视为认可承包人的索赔要求；</w:t>
      </w:r>
    </w:p>
    <w:p w14:paraId="50FC643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（3）承包人接受索赔处理结果的，索赔款项在当期进度款中进行支付；承包人不接受索赔处理结果的，按照第20条〔争议解决〕约定处理。</w:t>
      </w:r>
    </w:p>
    <w:p w14:paraId="79EFD6FC">
      <w:pPr>
        <w:pStyle w:val="7"/>
        <w:spacing w:before="0" w:beforeAutospacing="0" w:after="0" w:afterAutospacing="0" w:line="360" w:lineRule="auto"/>
        <w:ind w:firstLine="422" w:firstLineChars="200"/>
        <w:rPr>
          <w:color w:val="auto"/>
          <w:sz w:val="21"/>
          <w:szCs w:val="21"/>
          <w:highlight w:val="none"/>
        </w:rPr>
      </w:pPr>
      <w:bookmarkStart w:id="1245" w:name="_Toc532377311"/>
      <w:bookmarkStart w:id="1246" w:name="_Toc351203623"/>
      <w:bookmarkStart w:id="1247" w:name="_Toc337558838"/>
      <w:bookmarkStart w:id="1248" w:name="_Toc296346644"/>
      <w:bookmarkStart w:id="1249" w:name="_Toc296503143"/>
      <w:r>
        <w:rPr>
          <w:rFonts w:hint="eastAsia"/>
          <w:color w:val="auto"/>
          <w:sz w:val="21"/>
          <w:szCs w:val="21"/>
          <w:highlight w:val="none"/>
        </w:rPr>
        <w:t>19.3发包人的索赔</w:t>
      </w:r>
      <w:bookmarkEnd w:id="1245"/>
      <w:bookmarkEnd w:id="1246"/>
    </w:p>
    <w:bookmarkEnd w:id="1247"/>
    <w:bookmarkEnd w:id="1248"/>
    <w:bookmarkEnd w:id="1249"/>
    <w:p w14:paraId="00CC58F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根据合同约定，发包人认为有权得到赔付金额和（或）延长缺陷责任期的，监理人应向承包人发出通知并附有详细的证明。</w:t>
      </w:r>
    </w:p>
    <w:p w14:paraId="06435E5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2A340775">
      <w:pPr>
        <w:pStyle w:val="7"/>
        <w:spacing w:before="0" w:beforeAutospacing="0" w:after="0" w:afterAutospacing="0" w:line="360" w:lineRule="auto"/>
        <w:ind w:firstLine="422" w:firstLineChars="200"/>
        <w:rPr>
          <w:color w:val="auto"/>
          <w:sz w:val="21"/>
          <w:szCs w:val="21"/>
          <w:highlight w:val="none"/>
        </w:rPr>
      </w:pPr>
      <w:bookmarkStart w:id="1250" w:name="_Toc351203624"/>
      <w:bookmarkStart w:id="1251" w:name="_Toc532377312"/>
      <w:bookmarkStart w:id="1252" w:name="_Toc296503144"/>
      <w:bookmarkStart w:id="1253" w:name="_Toc296346645"/>
      <w:bookmarkStart w:id="1254" w:name="_Toc337558839"/>
      <w:r>
        <w:rPr>
          <w:rFonts w:hint="eastAsia"/>
          <w:color w:val="auto"/>
          <w:sz w:val="21"/>
          <w:szCs w:val="21"/>
          <w:highlight w:val="none"/>
        </w:rPr>
        <w:t>19.4 对发包人索赔的处理</w:t>
      </w:r>
      <w:bookmarkEnd w:id="1250"/>
      <w:bookmarkEnd w:id="1251"/>
    </w:p>
    <w:bookmarkEnd w:id="1252"/>
    <w:bookmarkEnd w:id="1253"/>
    <w:bookmarkEnd w:id="1254"/>
    <w:p w14:paraId="01A4740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对发包人索赔的处理如下：</w:t>
      </w:r>
    </w:p>
    <w:p w14:paraId="3E151F2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（1）承包人收到发包人提交的索赔报告后，应及时审查索赔报告的内容、查验发包人证明材料；</w:t>
      </w:r>
    </w:p>
    <w:p w14:paraId="7407A10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（2）承包人应在收到索赔报告或有关索赔的进一步证明材料后28天内，将索赔处理结果答复发包人。如果承包人未在上述期限内作出答复的，则视为对发包人索赔要求的认可；</w:t>
      </w:r>
    </w:p>
    <w:p w14:paraId="74DF44E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（3）承包人接受索赔处理结果的，发包人可从应支付给承包人的合同价款中扣除赔付的金额或延长缺陷责任期；发包人不接受索赔处理结果的，按第20条〔争议解决〕约定处理。</w:t>
      </w:r>
    </w:p>
    <w:p w14:paraId="67573D52">
      <w:pPr>
        <w:pStyle w:val="7"/>
        <w:spacing w:before="0" w:beforeAutospacing="0" w:after="0" w:afterAutospacing="0" w:line="360" w:lineRule="auto"/>
        <w:ind w:firstLine="420" w:firstLineChars="200"/>
        <w:rPr>
          <w:b w:val="0"/>
          <w:color w:val="auto"/>
          <w:sz w:val="21"/>
          <w:szCs w:val="21"/>
          <w:highlight w:val="none"/>
        </w:rPr>
      </w:pPr>
      <w:bookmarkStart w:id="1255" w:name="_Toc351203625"/>
      <w:bookmarkStart w:id="1256" w:name="_Toc532377313"/>
      <w:r>
        <w:rPr>
          <w:rFonts w:hint="eastAsia"/>
          <w:b w:val="0"/>
          <w:color w:val="auto"/>
          <w:sz w:val="21"/>
          <w:szCs w:val="21"/>
          <w:highlight w:val="none"/>
        </w:rPr>
        <w:t>19.5 提出索赔的期限</w:t>
      </w:r>
      <w:bookmarkEnd w:id="1255"/>
      <w:bookmarkEnd w:id="1256"/>
    </w:p>
    <w:p w14:paraId="51E88EC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（1）承包人按第14.2款〔竣工结算审核〕约定接收竣工付款证书后，应被视为已无权再提出在工程接收证书颁发前所发生的任何索赔。</w:t>
      </w:r>
    </w:p>
    <w:p w14:paraId="6DE3062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（2）承包人按第14.4款〔最终结清〕提交的最终结清申请单中，只限于提出工程接收证书颁发后发生的索赔。提出索赔的期限自接受最终结清证书时终止。</w:t>
      </w:r>
    </w:p>
    <w:p w14:paraId="4BFE2DDE">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257" w:name="_Toc532377314"/>
      <w:bookmarkStart w:id="1258" w:name="_Toc532375606"/>
      <w:bookmarkStart w:id="1259" w:name="_Toc351203626"/>
      <w:r>
        <w:rPr>
          <w:rFonts w:hint="eastAsia"/>
          <w:color w:val="auto"/>
          <w:kern w:val="2"/>
          <w:sz w:val="21"/>
          <w:szCs w:val="21"/>
          <w:highlight w:val="none"/>
        </w:rPr>
        <w:t>20</w:t>
      </w:r>
      <w:bookmarkStart w:id="1260" w:name="_Toc296503146"/>
      <w:bookmarkStart w:id="1261" w:name="_Toc337558840"/>
      <w:bookmarkStart w:id="1262" w:name="_Toc296346647"/>
      <w:r>
        <w:rPr>
          <w:rFonts w:hint="eastAsia"/>
          <w:color w:val="auto"/>
          <w:kern w:val="2"/>
          <w:sz w:val="21"/>
          <w:szCs w:val="21"/>
          <w:highlight w:val="none"/>
        </w:rPr>
        <w:t>. 争议解决</w:t>
      </w:r>
      <w:bookmarkEnd w:id="1257"/>
      <w:bookmarkEnd w:id="1258"/>
      <w:bookmarkEnd w:id="1259"/>
    </w:p>
    <w:bookmarkEnd w:id="1260"/>
    <w:bookmarkEnd w:id="1261"/>
    <w:bookmarkEnd w:id="1262"/>
    <w:p w14:paraId="79A2629D">
      <w:pPr>
        <w:pStyle w:val="7"/>
        <w:spacing w:before="0" w:beforeAutospacing="0" w:after="0" w:afterAutospacing="0" w:line="360" w:lineRule="auto"/>
        <w:ind w:firstLine="422" w:firstLineChars="200"/>
        <w:rPr>
          <w:color w:val="auto"/>
          <w:sz w:val="21"/>
          <w:szCs w:val="21"/>
          <w:highlight w:val="none"/>
        </w:rPr>
      </w:pPr>
      <w:bookmarkStart w:id="1263" w:name="_Toc532377315"/>
      <w:bookmarkStart w:id="1264" w:name="_Toc351203627"/>
      <w:bookmarkStart w:id="1265" w:name="_Toc296346648"/>
      <w:bookmarkStart w:id="1266" w:name="_Toc337558841"/>
      <w:bookmarkStart w:id="1267" w:name="_Toc296503147"/>
      <w:r>
        <w:rPr>
          <w:rFonts w:hint="eastAsia"/>
          <w:color w:val="auto"/>
          <w:sz w:val="21"/>
          <w:szCs w:val="21"/>
          <w:highlight w:val="none"/>
        </w:rPr>
        <w:t>20.1和解</w:t>
      </w:r>
      <w:bookmarkEnd w:id="1263"/>
      <w:bookmarkEnd w:id="1264"/>
    </w:p>
    <w:bookmarkEnd w:id="1265"/>
    <w:bookmarkEnd w:id="1266"/>
    <w:bookmarkEnd w:id="1267"/>
    <w:p w14:paraId="69B2E6B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合同当事人可以就争议自行和解，自行和解达成协议的经双方签字并盖章后作为合同补充文件，双方均应遵照执行。</w:t>
      </w:r>
    </w:p>
    <w:p w14:paraId="785D78E2">
      <w:pPr>
        <w:pStyle w:val="7"/>
        <w:spacing w:before="0" w:beforeAutospacing="0" w:after="0" w:afterAutospacing="0" w:line="360" w:lineRule="auto"/>
        <w:ind w:firstLine="422" w:firstLineChars="200"/>
        <w:rPr>
          <w:color w:val="auto"/>
          <w:sz w:val="21"/>
          <w:szCs w:val="21"/>
          <w:highlight w:val="none"/>
        </w:rPr>
      </w:pPr>
      <w:bookmarkStart w:id="1268" w:name="_Toc351203628"/>
      <w:bookmarkStart w:id="1269" w:name="_Toc532377316"/>
      <w:r>
        <w:rPr>
          <w:rFonts w:hint="eastAsia"/>
          <w:color w:val="auto"/>
          <w:sz w:val="21"/>
          <w:szCs w:val="21"/>
          <w:highlight w:val="none"/>
        </w:rPr>
        <w:t>20</w:t>
      </w:r>
      <w:bookmarkStart w:id="1270" w:name="_Toc337558842"/>
      <w:bookmarkStart w:id="1271" w:name="_Toc296346649"/>
      <w:bookmarkStart w:id="1272" w:name="_Toc296503148"/>
      <w:r>
        <w:rPr>
          <w:rFonts w:hint="eastAsia"/>
          <w:color w:val="auto"/>
          <w:sz w:val="21"/>
          <w:szCs w:val="21"/>
          <w:highlight w:val="none"/>
        </w:rPr>
        <w:t>.2调解</w:t>
      </w:r>
      <w:bookmarkEnd w:id="1268"/>
      <w:bookmarkEnd w:id="1269"/>
    </w:p>
    <w:bookmarkEnd w:id="1270"/>
    <w:bookmarkEnd w:id="1271"/>
    <w:bookmarkEnd w:id="1272"/>
    <w:p w14:paraId="5944B1C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合同当事人可以就争议请求建设行政主管部门、行业协会或其他第三方进行调解，调解达成协议的，经双方签字并盖章后作为合同补充文件，双方均应遵照执行。</w:t>
      </w:r>
    </w:p>
    <w:p w14:paraId="211F9FA2">
      <w:pPr>
        <w:pStyle w:val="7"/>
        <w:spacing w:before="0" w:beforeAutospacing="0" w:after="0" w:afterAutospacing="0" w:line="360" w:lineRule="auto"/>
        <w:ind w:firstLine="422" w:firstLineChars="200"/>
        <w:rPr>
          <w:color w:val="auto"/>
          <w:sz w:val="21"/>
          <w:szCs w:val="21"/>
          <w:highlight w:val="none"/>
        </w:rPr>
      </w:pPr>
      <w:bookmarkStart w:id="1273" w:name="_Toc532377317"/>
      <w:bookmarkStart w:id="1274" w:name="_Toc351203629"/>
      <w:bookmarkStart w:id="1275" w:name="_Toc337558843"/>
      <w:bookmarkStart w:id="1276" w:name="_Toc296346650"/>
      <w:bookmarkStart w:id="1277" w:name="_Toc296503149"/>
      <w:r>
        <w:rPr>
          <w:rFonts w:hint="eastAsia"/>
          <w:color w:val="auto"/>
          <w:sz w:val="21"/>
          <w:szCs w:val="21"/>
          <w:highlight w:val="none"/>
        </w:rPr>
        <w:t>20.3争议评审</w:t>
      </w:r>
      <w:bookmarkEnd w:id="1273"/>
      <w:bookmarkEnd w:id="1274"/>
    </w:p>
    <w:bookmarkEnd w:id="1275"/>
    <w:bookmarkEnd w:id="1276"/>
    <w:bookmarkEnd w:id="1277"/>
    <w:p w14:paraId="2257556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合同当事人在专用合同条款中约定采取争议评审方式解决争议以及评审规则，并按下列约定执行： </w:t>
      </w:r>
    </w:p>
    <w:p w14:paraId="62324A1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20.3.1 争议评审小组的确定</w:t>
      </w:r>
    </w:p>
    <w:p w14:paraId="15EB335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合同当事人可以共同选择一名或三名争议评审员，组成争议评审小组。除专用合同条款另有约定外，合同当事人应当自合同签订后28天内，或者争议发生后14天内，选定争议评审员。</w:t>
      </w:r>
    </w:p>
    <w:p w14:paraId="2C32596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71D353E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除专用合同条款另有约定外，评审员报酬由发包人和承包人各承担一半。</w:t>
      </w:r>
    </w:p>
    <w:p w14:paraId="5F43680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20.3.2 争议评审小组的决定</w:t>
      </w:r>
    </w:p>
    <w:p w14:paraId="54EF235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4CBA7DC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20.3.3 争议评审小组决定的效力</w:t>
      </w:r>
    </w:p>
    <w:p w14:paraId="5758CB3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争议评审小组作出的书面决定经合同当事人签字确认后，对双方具有约束力，双方应遵照执行。</w:t>
      </w:r>
    </w:p>
    <w:p w14:paraId="7EA53E9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任何一方当事人不接受争议评审小组决定或不履行争议评审小组决定的，双方可选择采用其他争议解决方式。</w:t>
      </w:r>
    </w:p>
    <w:p w14:paraId="40FE091A">
      <w:pPr>
        <w:pStyle w:val="7"/>
        <w:spacing w:before="0" w:beforeAutospacing="0" w:after="0" w:afterAutospacing="0" w:line="360" w:lineRule="auto"/>
        <w:ind w:firstLine="422" w:firstLineChars="200"/>
        <w:rPr>
          <w:color w:val="auto"/>
          <w:sz w:val="21"/>
          <w:szCs w:val="21"/>
          <w:highlight w:val="none"/>
        </w:rPr>
      </w:pPr>
      <w:bookmarkStart w:id="1278" w:name="_Toc532377318"/>
      <w:bookmarkStart w:id="1279" w:name="_Toc351203630"/>
      <w:bookmarkStart w:id="1280" w:name="_Toc296503150"/>
      <w:bookmarkStart w:id="1281" w:name="_Toc337558844"/>
      <w:bookmarkStart w:id="1282" w:name="_Toc296346651"/>
      <w:r>
        <w:rPr>
          <w:rFonts w:hint="eastAsia"/>
          <w:color w:val="auto"/>
          <w:sz w:val="21"/>
          <w:szCs w:val="21"/>
          <w:highlight w:val="none"/>
        </w:rPr>
        <w:t>20.4仲裁或诉讼</w:t>
      </w:r>
      <w:bookmarkEnd w:id="1278"/>
      <w:bookmarkEnd w:id="1279"/>
    </w:p>
    <w:bookmarkEnd w:id="1280"/>
    <w:bookmarkEnd w:id="1281"/>
    <w:bookmarkEnd w:id="1282"/>
    <w:p w14:paraId="2F49ADB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因合同及合同有关事项产生的争议，合同当事人可以在专用合同条款中约定以下一种方式解决争议：</w:t>
      </w:r>
    </w:p>
    <w:p w14:paraId="2BE67BE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（1）向约定的仲裁委员会申请仲裁；</w:t>
      </w:r>
    </w:p>
    <w:p w14:paraId="40EAA70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（2）向有管辖权的人民法院起诉。</w:t>
      </w:r>
    </w:p>
    <w:p w14:paraId="21FF9B45">
      <w:pPr>
        <w:pStyle w:val="7"/>
        <w:spacing w:before="0" w:beforeAutospacing="0" w:after="0" w:afterAutospacing="0" w:line="360" w:lineRule="auto"/>
        <w:ind w:firstLine="420" w:firstLineChars="200"/>
        <w:rPr>
          <w:b w:val="0"/>
          <w:color w:val="auto"/>
          <w:sz w:val="21"/>
          <w:szCs w:val="21"/>
          <w:highlight w:val="none"/>
        </w:rPr>
      </w:pPr>
      <w:bookmarkStart w:id="1283" w:name="_Toc532377319"/>
      <w:bookmarkStart w:id="1284" w:name="_Toc351203631"/>
      <w:bookmarkStart w:id="1285" w:name="_Toc296503152"/>
      <w:bookmarkStart w:id="1286" w:name="_Toc337558845"/>
      <w:bookmarkStart w:id="1287" w:name="_Toc296346653"/>
      <w:r>
        <w:rPr>
          <w:rFonts w:hint="eastAsia"/>
          <w:b w:val="0"/>
          <w:color w:val="auto"/>
          <w:sz w:val="21"/>
          <w:szCs w:val="21"/>
          <w:highlight w:val="none"/>
        </w:rPr>
        <w:t>20.5争议解决条款效力</w:t>
      </w:r>
      <w:bookmarkEnd w:id="1283"/>
      <w:bookmarkEnd w:id="1284"/>
    </w:p>
    <w:bookmarkEnd w:id="1285"/>
    <w:bookmarkEnd w:id="1286"/>
    <w:bookmarkEnd w:id="1287"/>
    <w:p w14:paraId="3A59AE2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合同有关争议解决的条款独立存在，合同的变更、解除、终止、无效或者被撤销均不影响其效力。</w:t>
      </w:r>
    </w:p>
    <w:p w14:paraId="661CE853">
      <w:pPr>
        <w:keepNext/>
        <w:keepLines/>
        <w:snapToGrid w:val="0"/>
        <w:spacing w:before="260" w:after="260" w:line="360" w:lineRule="auto"/>
        <w:outlineLvl w:val="2"/>
        <w:rPr>
          <w:rFonts w:ascii="宋体" w:hAnsi="宋体"/>
          <w:b/>
          <w:bCs/>
          <w:color w:val="auto"/>
          <w:szCs w:val="21"/>
          <w:highlight w:val="none"/>
          <w:lang w:val="zh-CN"/>
        </w:rPr>
      </w:pPr>
      <w:r>
        <w:rPr>
          <w:rFonts w:hint="eastAsia" w:ascii="宋体" w:hAnsi="宋体"/>
          <w:b/>
          <w:bCs/>
          <w:color w:val="auto"/>
          <w:szCs w:val="21"/>
          <w:highlight w:val="none"/>
          <w:lang w:val="zh-CN"/>
        </w:rPr>
        <w:br w:type="page"/>
      </w:r>
    </w:p>
    <w:p w14:paraId="6236F941">
      <w:pPr>
        <w:pStyle w:val="5"/>
        <w:jc w:val="center"/>
        <w:rPr>
          <w:rFonts w:ascii="宋体" w:hAnsi="宋体"/>
          <w:color w:val="auto"/>
          <w:sz w:val="44"/>
          <w:szCs w:val="44"/>
          <w:highlight w:val="none"/>
        </w:rPr>
      </w:pPr>
      <w:bookmarkStart w:id="1288" w:name="_Toc532377320"/>
      <w:bookmarkStart w:id="1289" w:name="_Toc529388290"/>
      <w:bookmarkStart w:id="1290" w:name="_Toc57820639"/>
      <w:bookmarkStart w:id="1291" w:name="_Toc532375607"/>
      <w:r>
        <w:rPr>
          <w:rFonts w:hint="eastAsia" w:ascii="宋体" w:hAnsi="宋体"/>
          <w:color w:val="auto"/>
          <w:sz w:val="44"/>
          <w:szCs w:val="44"/>
          <w:highlight w:val="none"/>
        </w:rPr>
        <w:t>第三部分 专用合同条款</w:t>
      </w:r>
      <w:bookmarkEnd w:id="1288"/>
      <w:bookmarkEnd w:id="1289"/>
      <w:bookmarkEnd w:id="1290"/>
      <w:bookmarkEnd w:id="1291"/>
    </w:p>
    <w:p w14:paraId="720219D8">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292" w:name="_Toc351203633"/>
      <w:bookmarkStart w:id="1293" w:name="_Toc532377321"/>
      <w:bookmarkStart w:id="1294" w:name="_Toc532375608"/>
      <w:bookmarkStart w:id="1295" w:name="_Hlk528927191"/>
      <w:r>
        <w:rPr>
          <w:rFonts w:hint="eastAsia"/>
          <w:color w:val="auto"/>
          <w:kern w:val="2"/>
          <w:sz w:val="21"/>
          <w:szCs w:val="21"/>
          <w:highlight w:val="none"/>
        </w:rPr>
        <w:t>1</w:t>
      </w:r>
      <w:bookmarkStart w:id="1296" w:name="_Toc296347155"/>
      <w:bookmarkStart w:id="1297" w:name="_Toc297048342"/>
      <w:bookmarkStart w:id="1298" w:name="_Toc296346657"/>
      <w:bookmarkStart w:id="1299" w:name="_Toc296891196"/>
      <w:bookmarkStart w:id="1300" w:name="_Toc296944495"/>
      <w:bookmarkStart w:id="1301" w:name="_Toc292559866"/>
      <w:bookmarkStart w:id="1302" w:name="_Toc296503156"/>
      <w:bookmarkStart w:id="1303" w:name="_Toc296890984"/>
      <w:bookmarkStart w:id="1304" w:name="_Toc292559361"/>
      <w:bookmarkStart w:id="1305" w:name="_Toc297120456"/>
      <w:r>
        <w:rPr>
          <w:rFonts w:hint="eastAsia"/>
          <w:color w:val="auto"/>
          <w:kern w:val="2"/>
          <w:sz w:val="21"/>
          <w:szCs w:val="21"/>
          <w:highlight w:val="none"/>
        </w:rPr>
        <w:t>. 一般约定</w:t>
      </w:r>
      <w:bookmarkEnd w:id="1292"/>
      <w:bookmarkEnd w:id="1293"/>
      <w:bookmarkEnd w:id="1294"/>
    </w:p>
    <w:bookmarkEnd w:id="1296"/>
    <w:bookmarkEnd w:id="1297"/>
    <w:bookmarkEnd w:id="1298"/>
    <w:bookmarkEnd w:id="1299"/>
    <w:bookmarkEnd w:id="1300"/>
    <w:bookmarkEnd w:id="1301"/>
    <w:bookmarkEnd w:id="1302"/>
    <w:bookmarkEnd w:id="1303"/>
    <w:bookmarkEnd w:id="1304"/>
    <w:bookmarkEnd w:id="1305"/>
    <w:p w14:paraId="663B2FDB">
      <w:pPr>
        <w:pStyle w:val="7"/>
        <w:spacing w:before="0" w:beforeAutospacing="0" w:after="0" w:afterAutospacing="0" w:line="360" w:lineRule="auto"/>
        <w:ind w:firstLine="422" w:firstLineChars="200"/>
        <w:rPr>
          <w:color w:val="auto"/>
          <w:sz w:val="21"/>
          <w:szCs w:val="21"/>
          <w:highlight w:val="none"/>
        </w:rPr>
      </w:pPr>
      <w:bookmarkStart w:id="1306" w:name="_Toc532377322"/>
      <w:r>
        <w:rPr>
          <w:rFonts w:hint="eastAsia"/>
          <w:color w:val="auto"/>
          <w:sz w:val="21"/>
          <w:szCs w:val="21"/>
          <w:highlight w:val="none"/>
        </w:rPr>
        <w:t>1.1词语定义与解释</w:t>
      </w:r>
      <w:bookmarkEnd w:id="1306"/>
    </w:p>
    <w:p w14:paraId="6E292D6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 合同</w:t>
      </w:r>
    </w:p>
    <w:p w14:paraId="02DAD5A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1.1.1.6技术标准和要求：</w:t>
      </w:r>
      <w:r>
        <w:rPr>
          <w:rFonts w:hint="eastAsia" w:ascii="宋体" w:hAnsi="宋体"/>
          <w:color w:val="auto"/>
          <w:kern w:val="0"/>
          <w:szCs w:val="21"/>
          <w:highlight w:val="none"/>
          <w:u w:val="single"/>
        </w:rPr>
        <w:t>本目中的技术标准和要求是指技术规范，即合同所约定的技术标准和要求，是合同文件的组成部分。与通用合同条款中“技术标准和要求”一词具有相同含义，包括合同双方当事人约定对其所作的修改或补充</w:t>
      </w:r>
      <w:r>
        <w:rPr>
          <w:rFonts w:hint="eastAsia" w:ascii="宋体" w:hAnsi="宋体"/>
          <w:color w:val="auto"/>
          <w:kern w:val="0"/>
          <w:szCs w:val="21"/>
          <w:highlight w:val="none"/>
        </w:rPr>
        <w:t>。</w:t>
      </w:r>
    </w:p>
    <w:p w14:paraId="1AACA84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1.1.1.8 已标价工程量清单：</w:t>
      </w:r>
      <w:r>
        <w:rPr>
          <w:rFonts w:hint="eastAsia" w:ascii="宋体" w:hAnsi="宋体"/>
          <w:color w:val="auto"/>
          <w:kern w:val="0"/>
          <w:szCs w:val="21"/>
          <w:highlight w:val="none"/>
          <w:u w:val="single"/>
        </w:rPr>
        <w:t>指构成合同的由承包人按照发包人规定的格式和要求填写并标明价格、经算术性错误修订及其他错误修订（如有）且承包人已确认的工程量清单</w:t>
      </w:r>
      <w:r>
        <w:rPr>
          <w:rFonts w:hint="eastAsia" w:ascii="宋体" w:hAnsi="宋体"/>
          <w:color w:val="auto"/>
          <w:kern w:val="0"/>
          <w:szCs w:val="21"/>
          <w:highlight w:val="none"/>
        </w:rPr>
        <w:t>。</w:t>
      </w:r>
    </w:p>
    <w:p w14:paraId="6A81748D">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1.1.1.10 其他合同文件包括：</w:t>
      </w:r>
      <w:r>
        <w:rPr>
          <w:rFonts w:hint="eastAsia" w:ascii="宋体" w:hAnsi="宋体"/>
          <w:color w:val="auto"/>
          <w:szCs w:val="21"/>
          <w:highlight w:val="none"/>
          <w:u w:val="single"/>
        </w:rPr>
        <w:t>按照合同协议书</w:t>
      </w:r>
      <w:r>
        <w:rPr>
          <w:rFonts w:hint="eastAsia" w:ascii="宋体" w:hAnsi="宋体"/>
          <w:bCs/>
          <w:color w:val="auto"/>
          <w:szCs w:val="21"/>
          <w:highlight w:val="none"/>
          <w:u w:val="single"/>
        </w:rPr>
        <w:t>〔</w:t>
      </w:r>
      <w:r>
        <w:rPr>
          <w:rFonts w:hint="eastAsia" w:ascii="宋体" w:hAnsi="宋体"/>
          <w:color w:val="auto"/>
          <w:szCs w:val="21"/>
          <w:highlight w:val="none"/>
          <w:u w:val="single"/>
        </w:rPr>
        <w:t>第六条</w:t>
      </w:r>
      <w:r>
        <w:rPr>
          <w:rFonts w:hint="eastAsia" w:ascii="宋体" w:hAnsi="宋体"/>
          <w:bCs/>
          <w:color w:val="auto"/>
          <w:szCs w:val="21"/>
          <w:highlight w:val="none"/>
          <w:u w:val="single"/>
        </w:rPr>
        <w:t>〕</w:t>
      </w:r>
      <w:r>
        <w:rPr>
          <w:rFonts w:hint="eastAsia" w:ascii="宋体" w:hAnsi="宋体"/>
          <w:color w:val="auto"/>
          <w:szCs w:val="21"/>
          <w:highlight w:val="none"/>
          <w:u w:val="single"/>
        </w:rPr>
        <w:t>约定执行</w:t>
      </w:r>
      <w:r>
        <w:rPr>
          <w:rFonts w:hint="eastAsia" w:ascii="宋体" w:hAnsi="宋体"/>
          <w:color w:val="auto"/>
          <w:szCs w:val="21"/>
          <w:highlight w:val="none"/>
        </w:rPr>
        <w:t>。</w:t>
      </w:r>
    </w:p>
    <w:p w14:paraId="30C65B2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本项补充1.1.1.11～1.1.1.16目：</w:t>
      </w:r>
    </w:p>
    <w:p w14:paraId="45A70C8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1.1.1.11 招标文件：</w:t>
      </w:r>
      <w:r>
        <w:rPr>
          <w:rFonts w:hint="eastAsia" w:ascii="宋体" w:hAnsi="宋体"/>
          <w:color w:val="auto"/>
          <w:kern w:val="0"/>
          <w:szCs w:val="21"/>
          <w:highlight w:val="none"/>
          <w:u w:val="single"/>
        </w:rPr>
        <w:t>指本工程的招标文件、图纸、其他技术资料及招标人发出的对招标文件所作的澄清、修改等资料</w:t>
      </w:r>
      <w:r>
        <w:rPr>
          <w:rFonts w:hint="eastAsia" w:ascii="宋体" w:hAnsi="宋体"/>
          <w:color w:val="auto"/>
          <w:kern w:val="0"/>
          <w:szCs w:val="21"/>
          <w:highlight w:val="none"/>
        </w:rPr>
        <w:t>。</w:t>
      </w:r>
    </w:p>
    <w:p w14:paraId="6CCE9AA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1.1.1.12 工作：</w:t>
      </w:r>
      <w:r>
        <w:rPr>
          <w:rFonts w:hint="eastAsia" w:ascii="宋体" w:hAnsi="宋体"/>
          <w:color w:val="auto"/>
          <w:kern w:val="0"/>
          <w:szCs w:val="21"/>
          <w:highlight w:val="none"/>
          <w:u w:val="single"/>
        </w:rPr>
        <w:t>指根据合同条款规定，或根据合同合理推及的，为本工程（包括永久工程和临时工程）施工与维护所需要的管理、劳务、材料、施工设备和其他物品的提供</w:t>
      </w:r>
      <w:r>
        <w:rPr>
          <w:rFonts w:hint="eastAsia" w:ascii="宋体" w:hAnsi="宋体"/>
          <w:color w:val="auto"/>
          <w:kern w:val="0"/>
          <w:szCs w:val="21"/>
          <w:highlight w:val="none"/>
        </w:rPr>
        <w:t>。</w:t>
      </w:r>
    </w:p>
    <w:p w14:paraId="2C20439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1.1.1.13 重大设计变更：按照规定需要重新报建设行政主管部门批准的设计变更。</w:t>
      </w:r>
    </w:p>
    <w:p w14:paraId="51900868">
      <w:pPr>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1.1.1.</w:t>
      </w:r>
      <w:r>
        <w:rPr>
          <w:rFonts w:hint="eastAsia" w:ascii="宋体" w:hAnsi="宋体"/>
          <w:color w:val="auto"/>
          <w:szCs w:val="21"/>
          <w:highlight w:val="none"/>
        </w:rPr>
        <w:t>14 公章：专指法定单位名称章</w:t>
      </w:r>
      <w:r>
        <w:rPr>
          <w:rFonts w:ascii="宋体" w:hAnsi="宋体"/>
          <w:color w:val="auto"/>
          <w:szCs w:val="21"/>
          <w:highlight w:val="none"/>
        </w:rPr>
        <w:t>。</w:t>
      </w:r>
    </w:p>
    <w:bookmarkEnd w:id="1295"/>
    <w:p w14:paraId="22DEA6E2">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1.1.1.15 到岗：指承包人按照到岗履职承诺安排满足办理施工许可手续相关要求的项目主要管理人员实际到施工现场就职履约的行为。</w:t>
      </w:r>
    </w:p>
    <w:p w14:paraId="494AAC55">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1.1.1.16 项目法人：指具有民事权利能力和民事行为能力，依法独立享有民事权利和承担民事义务，以建设项目为目的，从事项目管理的机构、单位或组织。</w:t>
      </w:r>
    </w:p>
    <w:p w14:paraId="5E46074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1.1.2 合同当事人及其他相关方</w:t>
      </w:r>
    </w:p>
    <w:p w14:paraId="703D3C5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1.1.2.4 监理人：</w:t>
      </w:r>
    </w:p>
    <w:p w14:paraId="2550841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名    称：</w:t>
      </w:r>
      <w:r>
        <w:rPr>
          <w:rFonts w:ascii="宋体" w:hAnsi="宋体"/>
          <w:color w:val="auto"/>
          <w:szCs w:val="21"/>
          <w:highlight w:val="none"/>
          <w:u w:val="single"/>
        </w:rPr>
        <w:t xml:space="preserve">    </w:t>
      </w:r>
      <w:r>
        <w:rPr>
          <w:rFonts w:hint="eastAsia" w:ascii="宋体" w:hAnsi="宋体"/>
          <w:color w:val="auto"/>
          <w:szCs w:val="21"/>
          <w:highlight w:val="none"/>
        </w:rPr>
        <w:t>；</w:t>
      </w:r>
    </w:p>
    <w:p w14:paraId="379A8C2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资质类别和等级：</w:t>
      </w:r>
      <w:r>
        <w:rPr>
          <w:rFonts w:ascii="宋体" w:hAnsi="宋体"/>
          <w:color w:val="auto"/>
          <w:szCs w:val="21"/>
          <w:highlight w:val="none"/>
          <w:u w:val="single"/>
        </w:rPr>
        <w:t></w:t>
      </w:r>
      <w:r>
        <w:rPr>
          <w:rFonts w:hint="eastAsia" w:ascii="宋体" w:hAnsi="宋体"/>
          <w:color w:val="auto"/>
          <w:szCs w:val="21"/>
          <w:highlight w:val="none"/>
        </w:rPr>
        <w:t>；</w:t>
      </w:r>
    </w:p>
    <w:p w14:paraId="7279AC5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联系方式：</w:t>
      </w:r>
      <w:r>
        <w:rPr>
          <w:rFonts w:ascii="宋体" w:hAnsi="宋体"/>
          <w:color w:val="auto"/>
          <w:szCs w:val="21"/>
          <w:highlight w:val="none"/>
          <w:u w:val="single"/>
        </w:rPr>
        <w:t xml:space="preserve">    </w:t>
      </w:r>
      <w:r>
        <w:rPr>
          <w:rFonts w:hint="eastAsia" w:ascii="宋体" w:hAnsi="宋体"/>
          <w:color w:val="auto"/>
          <w:szCs w:val="21"/>
          <w:highlight w:val="none"/>
        </w:rPr>
        <w:t>。</w:t>
      </w:r>
    </w:p>
    <w:p w14:paraId="4D95BC0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1.1.2.5 设计人：</w:t>
      </w:r>
    </w:p>
    <w:p w14:paraId="7F4E2F0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名    称：</w:t>
      </w:r>
      <w:r>
        <w:rPr>
          <w:rFonts w:ascii="宋体" w:hAnsi="宋体"/>
          <w:color w:val="auto"/>
          <w:szCs w:val="21"/>
          <w:highlight w:val="none"/>
          <w:u w:val="single"/>
        </w:rPr>
        <w:t xml:space="preserve">    </w:t>
      </w:r>
      <w:r>
        <w:rPr>
          <w:rFonts w:hint="eastAsia" w:ascii="宋体" w:hAnsi="宋体"/>
          <w:color w:val="auto"/>
          <w:szCs w:val="21"/>
          <w:highlight w:val="none"/>
        </w:rPr>
        <w:t>；</w:t>
      </w:r>
    </w:p>
    <w:p w14:paraId="23E3ECE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资质类别和等级：</w:t>
      </w:r>
      <w:r>
        <w:rPr>
          <w:rFonts w:ascii="宋体" w:hAnsi="宋体"/>
          <w:color w:val="auto"/>
          <w:szCs w:val="21"/>
          <w:highlight w:val="none"/>
          <w:u w:val="single"/>
        </w:rPr>
        <w:t></w:t>
      </w:r>
      <w:r>
        <w:rPr>
          <w:rFonts w:hint="eastAsia" w:ascii="宋体" w:hAnsi="宋体"/>
          <w:color w:val="auto"/>
          <w:szCs w:val="21"/>
          <w:highlight w:val="none"/>
        </w:rPr>
        <w:t>；</w:t>
      </w:r>
    </w:p>
    <w:p w14:paraId="4BC16D7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联系方式：</w:t>
      </w:r>
      <w:r>
        <w:rPr>
          <w:rFonts w:ascii="宋体" w:hAnsi="宋体"/>
          <w:color w:val="auto"/>
          <w:szCs w:val="21"/>
          <w:highlight w:val="none"/>
          <w:u w:val="single"/>
        </w:rPr>
        <w:t xml:space="preserve">    </w:t>
      </w:r>
      <w:r>
        <w:rPr>
          <w:rFonts w:hint="eastAsia" w:ascii="宋体" w:hAnsi="宋体"/>
          <w:color w:val="auto"/>
          <w:szCs w:val="21"/>
          <w:highlight w:val="none"/>
        </w:rPr>
        <w:t>。</w:t>
      </w:r>
    </w:p>
    <w:p w14:paraId="7E0BCD3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1.1.3 工程和设备</w:t>
      </w:r>
    </w:p>
    <w:p w14:paraId="160B76AD">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1.1.3.7 作为施工现场组成部分的其他场所包括：</w:t>
      </w:r>
      <w:r>
        <w:rPr>
          <w:rFonts w:hint="eastAsia" w:ascii="宋体" w:hAnsi="宋体"/>
          <w:color w:val="auto"/>
          <w:kern w:val="0"/>
          <w:szCs w:val="21"/>
          <w:highlight w:val="none"/>
          <w:u w:val="single"/>
        </w:rPr>
        <w:t>永久占地、临时占地以及为修建临时工程而租用、占用的土地</w:t>
      </w:r>
      <w:r>
        <w:rPr>
          <w:rFonts w:hint="eastAsia" w:ascii="宋体" w:hAnsi="宋体"/>
          <w:color w:val="auto"/>
          <w:szCs w:val="21"/>
          <w:highlight w:val="none"/>
        </w:rPr>
        <w:t>。</w:t>
      </w:r>
    </w:p>
    <w:p w14:paraId="5E8AFE4B">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1.1.3.9 永久占地包括：</w:t>
      </w:r>
      <w:r>
        <w:rPr>
          <w:rFonts w:hint="eastAsia" w:ascii="宋体" w:hAnsi="宋体"/>
          <w:color w:val="auto"/>
          <w:kern w:val="0"/>
          <w:szCs w:val="21"/>
          <w:highlight w:val="none"/>
          <w:u w:val="single"/>
        </w:rPr>
        <w:t>为实施合同工程而需要的一切永久占用的土地，即合同工程</w:t>
      </w:r>
      <w:r>
        <w:rPr>
          <w:rFonts w:hint="eastAsia" w:ascii="宋体" w:hAnsi="宋体"/>
          <w:color w:val="auto"/>
          <w:szCs w:val="21"/>
          <w:highlight w:val="none"/>
          <w:u w:val="single"/>
        </w:rPr>
        <w:t>用地红线范围内的土地</w:t>
      </w:r>
      <w:r>
        <w:rPr>
          <w:rFonts w:hint="eastAsia" w:ascii="宋体" w:hAnsi="宋体"/>
          <w:color w:val="auto"/>
          <w:szCs w:val="21"/>
          <w:highlight w:val="none"/>
        </w:rPr>
        <w:t>。</w:t>
      </w:r>
    </w:p>
    <w:p w14:paraId="3CCF14C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1.1.3.10 临时占地包括：</w:t>
      </w:r>
      <w:r>
        <w:rPr>
          <w:rFonts w:hint="eastAsia" w:ascii="宋体" w:hAnsi="宋体"/>
          <w:color w:val="auto"/>
          <w:szCs w:val="21"/>
          <w:highlight w:val="none"/>
          <w:u w:val="single"/>
        </w:rPr>
        <w:t>为实施合同工程而需要</w:t>
      </w:r>
      <w:r>
        <w:rPr>
          <w:rFonts w:hint="eastAsia" w:ascii="宋体" w:hAnsi="宋体"/>
          <w:color w:val="auto"/>
          <w:kern w:val="0"/>
          <w:szCs w:val="21"/>
          <w:highlight w:val="none"/>
          <w:u w:val="single"/>
        </w:rPr>
        <w:t>的一切</w:t>
      </w:r>
      <w:r>
        <w:rPr>
          <w:rFonts w:hint="eastAsia" w:ascii="宋体" w:hAnsi="宋体"/>
          <w:color w:val="auto"/>
          <w:szCs w:val="21"/>
          <w:highlight w:val="none"/>
          <w:u w:val="single"/>
        </w:rPr>
        <w:t>临时占用的土地，包括施工所用的临时便道等的临时出入道，以及生产（办公）、生活等临时设施用地</w:t>
      </w:r>
      <w:r>
        <w:rPr>
          <w:rFonts w:hint="eastAsia" w:ascii="宋体" w:hAnsi="宋体"/>
          <w:color w:val="auto"/>
          <w:szCs w:val="21"/>
          <w:highlight w:val="none"/>
        </w:rPr>
        <w:t>。</w:t>
      </w:r>
    </w:p>
    <w:p w14:paraId="4481805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1.1.6 其他</w:t>
      </w:r>
    </w:p>
    <w:p w14:paraId="1220786A">
      <w:pPr>
        <w:spacing w:line="360" w:lineRule="auto"/>
        <w:ind w:firstLine="420" w:firstLineChars="200"/>
        <w:jc w:val="left"/>
        <w:rPr>
          <w:rFonts w:ascii="宋体" w:hAnsi="宋体"/>
          <w:color w:val="auto"/>
          <w:szCs w:val="21"/>
          <w:highlight w:val="none"/>
        </w:rPr>
      </w:pPr>
      <w:bookmarkStart w:id="1307" w:name="_Hlk528927262"/>
      <w:r>
        <w:rPr>
          <w:rFonts w:hint="eastAsia" w:ascii="宋体" w:hAnsi="宋体"/>
          <w:color w:val="auto"/>
          <w:szCs w:val="21"/>
          <w:highlight w:val="none"/>
        </w:rPr>
        <w:t>本项补充1.1.6.2～1.1.6.3目：</w:t>
      </w:r>
    </w:p>
    <w:p w14:paraId="50435D0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1.1.6.2 转包、违法分包及挂靠：指符合《住房和城乡建设部关于印发建筑工程施工发包与承包违法行为认定查处管理办法的通知》（建市规〔2019〕1号）规定认定条件的</w:t>
      </w:r>
      <w:r>
        <w:rPr>
          <w:rFonts w:hint="eastAsia" w:ascii="宋体" w:hAnsi="宋体"/>
          <w:color w:val="auto"/>
          <w:kern w:val="0"/>
          <w:szCs w:val="21"/>
          <w:highlight w:val="none"/>
        </w:rPr>
        <w:t>违法行为</w:t>
      </w:r>
      <w:r>
        <w:rPr>
          <w:rFonts w:hint="eastAsia" w:ascii="宋体" w:hAnsi="宋体"/>
          <w:color w:val="auto"/>
          <w:szCs w:val="21"/>
          <w:highlight w:val="none"/>
        </w:rPr>
        <w:t>。</w:t>
      </w:r>
    </w:p>
    <w:bookmarkEnd w:id="1307"/>
    <w:p w14:paraId="26D3243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1.1.6.3 危险性较大的分部分项工程（以下简称“危大工程”）：指住房和城乡建设部令第37号《危险性较大的分部分项工程安全管理规定》规定的房屋建筑和市政基础设施工程在施工过程中，容易导致人员群死群伤或者造成重大经济损失的分部分项工程。危大工程及超过一定规模的危大工程范围以国务院住房城乡建设主管部门制定及重庆市住房和城乡建设委员会补充的范围为准。</w:t>
      </w:r>
    </w:p>
    <w:p w14:paraId="200A220D">
      <w:pPr>
        <w:pStyle w:val="7"/>
        <w:spacing w:before="0" w:beforeAutospacing="0" w:after="0" w:afterAutospacing="0" w:line="360" w:lineRule="auto"/>
        <w:ind w:firstLine="422" w:firstLineChars="200"/>
        <w:rPr>
          <w:color w:val="auto"/>
          <w:sz w:val="21"/>
          <w:szCs w:val="21"/>
          <w:highlight w:val="none"/>
        </w:rPr>
      </w:pPr>
      <w:bookmarkStart w:id="1308" w:name="_Toc532377323"/>
      <w:r>
        <w:rPr>
          <w:rFonts w:hint="eastAsia"/>
          <w:color w:val="auto"/>
          <w:sz w:val="21"/>
          <w:szCs w:val="21"/>
          <w:highlight w:val="none"/>
        </w:rPr>
        <w:t>1.4 标准和规范</w:t>
      </w:r>
      <w:bookmarkEnd w:id="1308"/>
    </w:p>
    <w:p w14:paraId="7A21A9C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1.4.1 适用于工程的标准规范包括：</w:t>
      </w:r>
    </w:p>
    <w:p w14:paraId="06575FB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（1）施工图所涉及的技术标准、规范、规程、图集等；</w:t>
      </w:r>
    </w:p>
    <w:p w14:paraId="2CA08BEB">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（2）国家、行业或重庆市与本工程有关的标准，以及相应的规范、规程等，当这些标准、规范、规程不一致时，以标准、规范、规程要求最高的为准。</w:t>
      </w:r>
    </w:p>
    <w:p w14:paraId="151097FE">
      <w:pPr>
        <w:spacing w:line="360" w:lineRule="auto"/>
        <w:ind w:firstLine="420" w:firstLineChars="200"/>
        <w:jc w:val="left"/>
        <w:rPr>
          <w:rFonts w:ascii="宋体" w:hAnsi="宋体"/>
          <w:color w:val="auto"/>
          <w:szCs w:val="21"/>
          <w:highlight w:val="none"/>
          <w:u w:val="single"/>
        </w:rPr>
      </w:pPr>
      <w:r>
        <w:rPr>
          <w:rFonts w:ascii="宋体" w:hAnsi="宋体"/>
          <w:color w:val="auto"/>
          <w:szCs w:val="21"/>
          <w:highlight w:val="none"/>
        </w:rPr>
        <w:t>（</w:t>
      </w:r>
      <w:r>
        <w:rPr>
          <w:rFonts w:hint="eastAsia" w:ascii="宋体" w:hAnsi="宋体"/>
          <w:color w:val="auto"/>
          <w:szCs w:val="21"/>
          <w:highlight w:val="none"/>
        </w:rPr>
        <w:t>3</w:t>
      </w:r>
      <w:r>
        <w:rPr>
          <w:rFonts w:ascii="宋体" w:hAnsi="宋体"/>
          <w:color w:val="auto"/>
          <w:szCs w:val="21"/>
          <w:highlight w:val="none"/>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5BC3437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1.4.2 发包人提供国外标准、规范的名称：</w:t>
      </w:r>
      <w:r>
        <w:rPr>
          <w:rFonts w:hint="eastAsia" w:ascii="宋体" w:hAnsi="宋体"/>
          <w:color w:val="auto"/>
          <w:kern w:val="0"/>
          <w:szCs w:val="21"/>
          <w:highlight w:val="none"/>
          <w:u w:val="single"/>
        </w:rPr>
        <w:t xml:space="preserve"> / </w:t>
      </w:r>
      <w:r>
        <w:rPr>
          <w:rFonts w:hint="eastAsia" w:ascii="宋体" w:hAnsi="宋体"/>
          <w:color w:val="auto"/>
          <w:kern w:val="0"/>
          <w:szCs w:val="21"/>
          <w:highlight w:val="none"/>
        </w:rPr>
        <w:t>；</w:t>
      </w:r>
    </w:p>
    <w:p w14:paraId="38DB9B3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发包人提供国外标准、规范的份数：</w:t>
      </w:r>
      <w:r>
        <w:rPr>
          <w:rFonts w:hint="eastAsia" w:ascii="宋体" w:hAnsi="宋体"/>
          <w:color w:val="auto"/>
          <w:kern w:val="0"/>
          <w:szCs w:val="21"/>
          <w:highlight w:val="none"/>
          <w:u w:val="single"/>
        </w:rPr>
        <w:t xml:space="preserve"> / </w:t>
      </w:r>
      <w:r>
        <w:rPr>
          <w:rFonts w:hint="eastAsia" w:ascii="宋体" w:hAnsi="宋体"/>
          <w:color w:val="auto"/>
          <w:kern w:val="0"/>
          <w:szCs w:val="21"/>
          <w:highlight w:val="none"/>
        </w:rPr>
        <w:t>；</w:t>
      </w:r>
    </w:p>
    <w:p w14:paraId="3508803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发包人提供国外标准、规范的名称：</w:t>
      </w:r>
      <w:r>
        <w:rPr>
          <w:rFonts w:hint="eastAsia" w:ascii="宋体" w:hAnsi="宋体"/>
          <w:color w:val="auto"/>
          <w:kern w:val="0"/>
          <w:szCs w:val="21"/>
          <w:highlight w:val="none"/>
          <w:u w:val="single"/>
        </w:rPr>
        <w:t xml:space="preserve"> / </w:t>
      </w:r>
      <w:r>
        <w:rPr>
          <w:rFonts w:hint="eastAsia" w:ascii="宋体" w:hAnsi="宋体"/>
          <w:color w:val="auto"/>
          <w:kern w:val="0"/>
          <w:szCs w:val="21"/>
          <w:highlight w:val="none"/>
        </w:rPr>
        <w:t>。</w:t>
      </w:r>
    </w:p>
    <w:p w14:paraId="0A89663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1.4.3 发包人对工程的技术标准和功能要求的特殊要求：</w:t>
      </w:r>
      <w:r>
        <w:rPr>
          <w:rFonts w:hint="eastAsia" w:ascii="宋体" w:hAnsi="宋体"/>
          <w:color w:val="auto"/>
          <w:kern w:val="0"/>
          <w:szCs w:val="21"/>
          <w:highlight w:val="none"/>
          <w:u w:val="single"/>
        </w:rPr>
        <w:t xml:space="preserve">/ </w:t>
      </w:r>
      <w:r>
        <w:rPr>
          <w:rFonts w:hint="eastAsia" w:ascii="宋体" w:hAnsi="宋体"/>
          <w:color w:val="auto"/>
          <w:szCs w:val="21"/>
          <w:highlight w:val="none"/>
        </w:rPr>
        <w:t>。</w:t>
      </w:r>
    </w:p>
    <w:p w14:paraId="4962CA47">
      <w:pPr>
        <w:pStyle w:val="7"/>
        <w:spacing w:before="0" w:beforeAutospacing="0" w:after="0" w:afterAutospacing="0" w:line="360" w:lineRule="auto"/>
        <w:ind w:firstLine="422" w:firstLineChars="200"/>
        <w:rPr>
          <w:color w:val="auto"/>
          <w:sz w:val="21"/>
          <w:szCs w:val="21"/>
          <w:highlight w:val="none"/>
        </w:rPr>
      </w:pPr>
      <w:bookmarkStart w:id="1309" w:name="_Toc532377324"/>
      <w:r>
        <w:rPr>
          <w:rFonts w:hint="eastAsia"/>
          <w:color w:val="auto"/>
          <w:sz w:val="21"/>
          <w:szCs w:val="21"/>
          <w:highlight w:val="none"/>
        </w:rPr>
        <w:t>1.5 合同文件的优先顺序</w:t>
      </w:r>
      <w:bookmarkEnd w:id="1309"/>
    </w:p>
    <w:p w14:paraId="4A7FD5D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合同文件组成及优先顺序为：</w:t>
      </w:r>
      <w:r>
        <w:rPr>
          <w:rFonts w:hint="eastAsia" w:ascii="宋体" w:hAnsi="宋体"/>
          <w:color w:val="auto"/>
          <w:szCs w:val="21"/>
          <w:highlight w:val="none"/>
          <w:u w:val="single"/>
        </w:rPr>
        <w:t>按照合同协议书</w:t>
      </w:r>
      <w:r>
        <w:rPr>
          <w:rFonts w:hint="eastAsia" w:ascii="宋体" w:hAnsi="宋体"/>
          <w:bCs/>
          <w:color w:val="auto"/>
          <w:szCs w:val="21"/>
          <w:highlight w:val="none"/>
          <w:u w:val="single"/>
        </w:rPr>
        <w:t>〔</w:t>
      </w:r>
      <w:r>
        <w:rPr>
          <w:rFonts w:hint="eastAsia" w:ascii="宋体" w:hAnsi="宋体"/>
          <w:color w:val="auto"/>
          <w:szCs w:val="21"/>
          <w:highlight w:val="none"/>
          <w:u w:val="single"/>
        </w:rPr>
        <w:t>第六条</w:t>
      </w:r>
      <w:r>
        <w:rPr>
          <w:rFonts w:hint="eastAsia" w:ascii="宋体" w:hAnsi="宋体"/>
          <w:bCs/>
          <w:color w:val="auto"/>
          <w:szCs w:val="21"/>
          <w:highlight w:val="none"/>
          <w:u w:val="single"/>
        </w:rPr>
        <w:t>〕</w:t>
      </w:r>
      <w:r>
        <w:rPr>
          <w:rFonts w:hint="eastAsia" w:ascii="宋体" w:hAnsi="宋体"/>
          <w:color w:val="auto"/>
          <w:szCs w:val="21"/>
          <w:highlight w:val="none"/>
          <w:u w:val="single"/>
        </w:rPr>
        <w:t>约定执行</w:t>
      </w:r>
      <w:r>
        <w:rPr>
          <w:rFonts w:hint="eastAsia" w:ascii="宋体" w:hAnsi="宋体"/>
          <w:color w:val="auto"/>
          <w:szCs w:val="21"/>
          <w:highlight w:val="none"/>
        </w:rPr>
        <w:t>。</w:t>
      </w:r>
    </w:p>
    <w:p w14:paraId="5E0347F7">
      <w:pPr>
        <w:pStyle w:val="7"/>
        <w:spacing w:before="0" w:beforeAutospacing="0" w:after="0" w:afterAutospacing="0" w:line="360" w:lineRule="auto"/>
        <w:ind w:firstLine="422" w:firstLineChars="200"/>
        <w:rPr>
          <w:color w:val="auto"/>
          <w:sz w:val="21"/>
          <w:szCs w:val="21"/>
          <w:highlight w:val="none"/>
        </w:rPr>
      </w:pPr>
      <w:bookmarkStart w:id="1310" w:name="_Toc532377325"/>
      <w:r>
        <w:rPr>
          <w:rFonts w:hint="eastAsia"/>
          <w:color w:val="auto"/>
          <w:sz w:val="21"/>
          <w:szCs w:val="21"/>
          <w:highlight w:val="none"/>
        </w:rPr>
        <w:t>1.6 图纸和承包人文件</w:t>
      </w:r>
      <w:bookmarkEnd w:id="1310"/>
    </w:p>
    <w:p w14:paraId="5E9EBD3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1.6.1 图纸的提供和交底</w:t>
      </w:r>
    </w:p>
    <w:p w14:paraId="0869808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发包人向承包人提供图纸的期限：</w:t>
      </w:r>
      <w:r>
        <w:rPr>
          <w:rFonts w:hint="eastAsia" w:ascii="宋体" w:hAnsi="宋体"/>
          <w:color w:val="auto"/>
          <w:szCs w:val="21"/>
          <w:highlight w:val="none"/>
          <w:u w:val="single"/>
        </w:rPr>
        <w:t>通用合同条款第7.3.2款</w:t>
      </w:r>
      <w:r>
        <w:rPr>
          <w:rFonts w:hint="eastAsia" w:ascii="宋体" w:hAnsi="宋体"/>
          <w:bCs/>
          <w:color w:val="auto"/>
          <w:szCs w:val="21"/>
          <w:highlight w:val="none"/>
          <w:u w:val="single"/>
        </w:rPr>
        <w:t>〔</w:t>
      </w:r>
      <w:r>
        <w:rPr>
          <w:rFonts w:hint="eastAsia" w:ascii="宋体" w:hAnsi="宋体"/>
          <w:color w:val="auto"/>
          <w:szCs w:val="21"/>
          <w:highlight w:val="none"/>
          <w:u w:val="single"/>
        </w:rPr>
        <w:t>开工通知</w:t>
      </w:r>
      <w:r>
        <w:rPr>
          <w:rFonts w:hint="eastAsia" w:ascii="宋体" w:hAnsi="宋体"/>
          <w:bCs/>
          <w:color w:val="auto"/>
          <w:szCs w:val="21"/>
          <w:highlight w:val="none"/>
          <w:u w:val="single"/>
        </w:rPr>
        <w:t>〕</w:t>
      </w:r>
      <w:r>
        <w:rPr>
          <w:rFonts w:hint="eastAsia" w:ascii="宋体" w:hAnsi="宋体"/>
          <w:color w:val="auto"/>
          <w:szCs w:val="21"/>
          <w:highlight w:val="none"/>
          <w:u w:val="single"/>
        </w:rPr>
        <w:t>载明的开工日期前14天</w:t>
      </w:r>
      <w:r>
        <w:rPr>
          <w:rFonts w:hint="eastAsia" w:ascii="宋体" w:hAnsi="宋体"/>
          <w:color w:val="auto"/>
          <w:szCs w:val="21"/>
          <w:highlight w:val="none"/>
        </w:rPr>
        <w:t>；</w:t>
      </w:r>
    </w:p>
    <w:p w14:paraId="738E8F1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发包人向承包人提供图纸的数量：</w:t>
      </w:r>
      <w:r>
        <w:rPr>
          <w:rFonts w:hint="eastAsia" w:ascii="宋体" w:hAnsi="宋体"/>
          <w:color w:val="auto"/>
          <w:szCs w:val="21"/>
          <w:highlight w:val="none"/>
          <w:u w:val="single"/>
        </w:rPr>
        <w:t xml:space="preserve">  套</w:t>
      </w:r>
      <w:r>
        <w:rPr>
          <w:rFonts w:hint="eastAsia" w:ascii="宋体" w:hAnsi="宋体"/>
          <w:color w:val="auto"/>
          <w:szCs w:val="21"/>
          <w:highlight w:val="none"/>
        </w:rPr>
        <w:t xml:space="preserve">； </w:t>
      </w:r>
    </w:p>
    <w:p w14:paraId="7E7F048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发包人向承包人提供图纸的内容：</w:t>
      </w:r>
      <w:r>
        <w:rPr>
          <w:rFonts w:hint="eastAsia" w:ascii="宋体" w:hAnsi="宋体"/>
          <w:color w:val="auto"/>
          <w:szCs w:val="21"/>
          <w:highlight w:val="none"/>
          <w:u w:val="single"/>
        </w:rPr>
        <w:t>工程承包范围内工程的施工图设计文件</w:t>
      </w:r>
      <w:r>
        <w:rPr>
          <w:rFonts w:hint="eastAsia" w:ascii="宋体" w:hAnsi="宋体"/>
          <w:color w:val="auto"/>
          <w:szCs w:val="21"/>
          <w:highlight w:val="none"/>
        </w:rPr>
        <w:t>；</w:t>
      </w:r>
    </w:p>
    <w:p w14:paraId="096365B7">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发包人组织承包人、监理人和设计人进行图纸会审和设计交底的时间：</w:t>
      </w:r>
      <w:r>
        <w:rPr>
          <w:rFonts w:hint="eastAsia" w:ascii="宋体" w:hAnsi="宋体"/>
          <w:color w:val="auto"/>
          <w:szCs w:val="21"/>
          <w:highlight w:val="none"/>
          <w:u w:val="single"/>
        </w:rPr>
        <w:t>提供施工图后7天内</w:t>
      </w:r>
      <w:r>
        <w:rPr>
          <w:rFonts w:hint="eastAsia" w:ascii="宋体" w:hAnsi="宋体"/>
          <w:color w:val="auto"/>
          <w:szCs w:val="21"/>
          <w:highlight w:val="none"/>
        </w:rPr>
        <w:t>。</w:t>
      </w:r>
    </w:p>
    <w:p w14:paraId="275F47D5">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承包人可以书面方式通过监理人向发包人申请进行紧急的设计交底，发包人认为确有必要且条件许可时，应尽快组织实施承包人申请的设计交底。</w:t>
      </w:r>
    </w:p>
    <w:p w14:paraId="750FE6B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1.6.2 图纸的错误</w:t>
      </w:r>
    </w:p>
    <w:p w14:paraId="6F2C454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在收到发包人提供的图纸后，承包人应对收到的图纸进行仔细核查，并在开始施工前，将发现的图纸存在的差错、遗漏或缺陷及时通知监理人。监理人接到该通知后，应附相关意见并立即报送发包人，发包人应在收到监理人报送的通知后作出决定。</w:t>
      </w:r>
    </w:p>
    <w:p w14:paraId="41DD94F9">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承包人不得利用图纸的差错、遗漏或缺陷，从中获得不正当的利益。</w:t>
      </w:r>
    </w:p>
    <w:p w14:paraId="0FE75F1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1.6.4 承包人文件</w:t>
      </w:r>
    </w:p>
    <w:p w14:paraId="1F1E690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需要由承包人提供的书面文件，包括：</w:t>
      </w:r>
      <w:r>
        <w:rPr>
          <w:rFonts w:hint="eastAsia" w:ascii="宋体" w:hAnsi="宋体"/>
          <w:color w:val="auto"/>
          <w:szCs w:val="21"/>
          <w:highlight w:val="none"/>
          <w:u w:val="single"/>
        </w:rPr>
        <w:t>施工组织设计、专项施工方案、</w:t>
      </w:r>
      <w:r>
        <w:rPr>
          <w:rFonts w:ascii="宋体" w:hAnsi="宋体"/>
          <w:color w:val="auto"/>
          <w:szCs w:val="21"/>
          <w:highlight w:val="none"/>
          <w:u w:val="single"/>
        </w:rPr>
        <w:t>危险性较大分部分项工程施工方案</w:t>
      </w:r>
      <w:r>
        <w:rPr>
          <w:rFonts w:hint="eastAsia" w:ascii="宋体" w:hAnsi="宋体"/>
          <w:color w:val="auto"/>
          <w:szCs w:val="21"/>
          <w:highlight w:val="none"/>
          <w:u w:val="single"/>
        </w:rPr>
        <w:t>（如有）、安全应急方案、进度计划、报表及计划、竣工资料及施工过程中因工程变更需要报送的施工方案、施工过程中涉及工程价款变更的相关资料、完整的竣工结算资料等</w:t>
      </w:r>
      <w:r>
        <w:rPr>
          <w:rFonts w:hint="eastAsia" w:ascii="宋体" w:hAnsi="宋体"/>
          <w:color w:val="auto"/>
          <w:szCs w:val="21"/>
          <w:highlight w:val="none"/>
        </w:rPr>
        <w:t>。</w:t>
      </w:r>
    </w:p>
    <w:p w14:paraId="7AF0BF6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承包人提供文件的期限、数量：</w:t>
      </w:r>
    </w:p>
    <w:p w14:paraId="15B7F758">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（1）</w:t>
      </w:r>
      <w:r>
        <w:rPr>
          <w:rFonts w:hint="eastAsia" w:ascii="宋体" w:hAnsi="宋体"/>
          <w:color w:val="auto"/>
          <w:szCs w:val="21"/>
          <w:highlight w:val="none"/>
          <w:u w:val="single"/>
        </w:rPr>
        <w:t>图纸会审及设计交底后7天内，向监理人、发包人提交经优化完善的施工组织设计和工程总体进度计划及当年年度施工进度计划。进度计划安排必须符合发包人对本工程总体进度计划的安排。专项施工方案应在专项施工7日前通过审查（含专家论证）。施工组织设计和专项施工方案经监理人审批同意后执行。承包人应接受监理人、发包人对其提交的施工组织设计和专项施工方案中不合理的工期安排及技术措施、方案的修改意见，并修改完善后重新报批，直至获得批准</w:t>
      </w:r>
      <w:r>
        <w:rPr>
          <w:rFonts w:hint="eastAsia" w:ascii="宋体" w:hAnsi="宋体"/>
          <w:color w:val="auto"/>
          <w:szCs w:val="21"/>
          <w:highlight w:val="none"/>
        </w:rPr>
        <w:t>。</w:t>
      </w:r>
    </w:p>
    <w:p w14:paraId="5754675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u w:val="single"/>
        </w:rPr>
        <w:t>每月  日前报送月工程进度完成报表</w:t>
      </w:r>
      <w:r>
        <w:rPr>
          <w:rFonts w:hint="eastAsia" w:ascii="宋体" w:hAnsi="宋体"/>
          <w:color w:val="auto"/>
          <w:szCs w:val="21"/>
          <w:highlight w:val="none"/>
        </w:rPr>
        <w:t>。</w:t>
      </w:r>
    </w:p>
    <w:p w14:paraId="5ABEA57F">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（3）合同另有约定的，按照其约定。</w:t>
      </w:r>
    </w:p>
    <w:p w14:paraId="3450A051">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承包人提供的文件的形式：□采用电子招标的，投标文件以电子文档为准，其他文件以书面文件为准；□采用纸质招标的，当书面文件与电子文档不一致的，以书面文件为准。监理人审批承包人文件的期限：</w:t>
      </w:r>
      <w:r>
        <w:rPr>
          <w:rFonts w:hint="eastAsia" w:ascii="宋体" w:hAnsi="宋体"/>
          <w:color w:val="auto"/>
          <w:szCs w:val="21"/>
          <w:highlight w:val="none"/>
          <w:u w:val="single"/>
        </w:rPr>
        <w:t>收到施工组织设计和工程总体进度计划及当年年度施工进度计划后7天内；合同另有约定的，从其约定</w:t>
      </w:r>
      <w:r>
        <w:rPr>
          <w:rFonts w:hint="eastAsia" w:ascii="宋体" w:hAnsi="宋体"/>
          <w:color w:val="auto"/>
          <w:szCs w:val="21"/>
          <w:highlight w:val="none"/>
        </w:rPr>
        <w:t>。</w:t>
      </w:r>
    </w:p>
    <w:p w14:paraId="7745E5E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承包人提供的文件的费用：</w:t>
      </w:r>
      <w:r>
        <w:rPr>
          <w:rFonts w:hint="eastAsia" w:ascii="宋体" w:hAnsi="宋体"/>
          <w:color w:val="auto"/>
          <w:szCs w:val="21"/>
          <w:highlight w:val="none"/>
          <w:u w:val="single"/>
        </w:rPr>
        <w:t>由承包人承担</w:t>
      </w:r>
      <w:r>
        <w:rPr>
          <w:rFonts w:hint="eastAsia" w:ascii="宋体" w:hAnsi="宋体"/>
          <w:color w:val="auto"/>
          <w:szCs w:val="21"/>
          <w:highlight w:val="none"/>
        </w:rPr>
        <w:t>。</w:t>
      </w:r>
    </w:p>
    <w:p w14:paraId="7F421433">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发包人审批承包人文件的期限：</w:t>
      </w:r>
      <w:r>
        <w:rPr>
          <w:rFonts w:hint="eastAsia" w:ascii="宋体" w:hAnsi="宋体"/>
          <w:color w:val="auto"/>
          <w:szCs w:val="21"/>
          <w:highlight w:val="none"/>
          <w:u w:val="single"/>
        </w:rPr>
        <w:t>收到后14天内；合同另有约定的，从其约定</w:t>
      </w:r>
      <w:r>
        <w:rPr>
          <w:rFonts w:hint="eastAsia" w:ascii="宋体" w:hAnsi="宋体"/>
          <w:color w:val="auto"/>
          <w:szCs w:val="21"/>
          <w:highlight w:val="none"/>
        </w:rPr>
        <w:t>。</w:t>
      </w:r>
    </w:p>
    <w:p w14:paraId="441936D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监理人、发包人的修改意见和审批，不免除或减轻承包人对该工作、工程、材料、工程设备等应承担的责任和义务</w:t>
      </w:r>
      <w:r>
        <w:rPr>
          <w:rFonts w:hint="eastAsia" w:ascii="宋体" w:hAnsi="宋体"/>
          <w:color w:val="auto"/>
          <w:szCs w:val="21"/>
          <w:highlight w:val="none"/>
        </w:rPr>
        <w:t>。</w:t>
      </w:r>
    </w:p>
    <w:p w14:paraId="0AE39682">
      <w:pPr>
        <w:pStyle w:val="7"/>
        <w:spacing w:before="0" w:beforeAutospacing="0" w:after="0" w:afterAutospacing="0" w:line="360" w:lineRule="auto"/>
        <w:ind w:firstLine="422" w:firstLineChars="200"/>
        <w:rPr>
          <w:color w:val="auto"/>
          <w:sz w:val="21"/>
          <w:szCs w:val="21"/>
          <w:highlight w:val="none"/>
        </w:rPr>
      </w:pPr>
      <w:bookmarkStart w:id="1311" w:name="_Toc532377326"/>
      <w:r>
        <w:rPr>
          <w:rFonts w:hint="eastAsia"/>
          <w:color w:val="auto"/>
          <w:sz w:val="21"/>
          <w:szCs w:val="21"/>
          <w:highlight w:val="none"/>
        </w:rPr>
        <w:t>1.7 联络</w:t>
      </w:r>
      <w:bookmarkEnd w:id="1311"/>
    </w:p>
    <w:p w14:paraId="41B45CA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1.7.1 发包人和承包人应当在</w:t>
      </w:r>
      <w:r>
        <w:rPr>
          <w:rFonts w:hint="eastAsia" w:ascii="宋体" w:hAnsi="宋体"/>
          <w:color w:val="auto"/>
          <w:szCs w:val="21"/>
          <w:highlight w:val="none"/>
          <w:u w:val="single"/>
        </w:rPr>
        <w:t xml:space="preserve"> 1 </w:t>
      </w:r>
      <w:r>
        <w:rPr>
          <w:rFonts w:hint="eastAsia" w:ascii="宋体" w:hAnsi="宋体"/>
          <w:color w:val="auto"/>
          <w:kern w:val="0"/>
          <w:szCs w:val="21"/>
          <w:highlight w:val="none"/>
        </w:rPr>
        <w:t>天内将与合同有关的通知、批准、证明、证书、指示、指令、要求、请求、同意、意见、确定和决定等书面函件送达对方当事人，并办理书面签收手续。</w:t>
      </w:r>
    </w:p>
    <w:p w14:paraId="6EAACD1E">
      <w:pPr>
        <w:tabs>
          <w:tab w:val="left" w:pos="7513"/>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1.7.2 发包人接收文件地点：</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5866C65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发包人指定的接收人：</w:t>
      </w:r>
      <w:bookmarkStart w:id="1312" w:name="_Hlk528493983"/>
      <w:bookmarkEnd w:id="1312"/>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4D409A04">
      <w:pPr>
        <w:tabs>
          <w:tab w:val="left" w:pos="7513"/>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承包人接收文件地点：</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4549DC1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承包人指定的接收人：</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5195CB02">
      <w:pPr>
        <w:tabs>
          <w:tab w:val="left" w:pos="7371"/>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监理人接收文件地点：</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7EDC45D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监理人指定的接收人：</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3279B3CB">
      <w:pPr>
        <w:pStyle w:val="7"/>
        <w:spacing w:before="0" w:beforeAutospacing="0" w:after="0" w:afterAutospacing="0" w:line="360" w:lineRule="auto"/>
        <w:ind w:firstLine="422" w:firstLineChars="200"/>
        <w:rPr>
          <w:color w:val="auto"/>
          <w:sz w:val="21"/>
          <w:szCs w:val="21"/>
          <w:highlight w:val="none"/>
        </w:rPr>
      </w:pPr>
      <w:bookmarkStart w:id="1313" w:name="_Toc532377327"/>
      <w:r>
        <w:rPr>
          <w:rFonts w:hint="eastAsia"/>
          <w:color w:val="auto"/>
          <w:sz w:val="21"/>
          <w:szCs w:val="21"/>
          <w:highlight w:val="none"/>
        </w:rPr>
        <w:t>1.8 严禁贿赂</w:t>
      </w:r>
      <w:bookmarkEnd w:id="1313"/>
    </w:p>
    <w:p w14:paraId="160FBD2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本款补充以下内容：</w:t>
      </w:r>
    </w:p>
    <w:p w14:paraId="1ECEBFD2">
      <w:pPr>
        <w:spacing w:line="360" w:lineRule="auto"/>
        <w:ind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rPr>
        <w:t>在合同执行过程中，合同当事人应严格履行附件8《廉洁从业协议》。</w:t>
      </w:r>
    </w:p>
    <w:p w14:paraId="6FF0FDCE">
      <w:pPr>
        <w:pStyle w:val="7"/>
        <w:spacing w:before="0" w:beforeAutospacing="0" w:after="0" w:afterAutospacing="0" w:line="360" w:lineRule="auto"/>
        <w:ind w:firstLine="422" w:firstLineChars="200"/>
        <w:rPr>
          <w:color w:val="auto"/>
          <w:sz w:val="21"/>
          <w:szCs w:val="21"/>
          <w:highlight w:val="none"/>
        </w:rPr>
      </w:pPr>
      <w:bookmarkStart w:id="1314" w:name="_Toc532377328"/>
      <w:r>
        <w:rPr>
          <w:rFonts w:hint="eastAsia"/>
          <w:color w:val="auto"/>
          <w:sz w:val="21"/>
          <w:szCs w:val="21"/>
          <w:highlight w:val="none"/>
        </w:rPr>
        <w:t>1.10 交通运输</w:t>
      </w:r>
      <w:bookmarkEnd w:id="1314"/>
    </w:p>
    <w:p w14:paraId="684D93C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w:t>
      </w:r>
      <w:bookmarkStart w:id="1315" w:name="_Toc303539100"/>
      <w:bookmarkStart w:id="1316" w:name="_Toc300934943"/>
      <w:bookmarkStart w:id="1317" w:name="_Toc304295521"/>
      <w:bookmarkStart w:id="1318" w:name="_Toc312677986"/>
      <w:bookmarkStart w:id="1319" w:name="_Toc318581155"/>
      <w:r>
        <w:rPr>
          <w:rFonts w:hint="eastAsia" w:ascii="宋体" w:hAnsi="宋体"/>
          <w:color w:val="auto"/>
          <w:szCs w:val="21"/>
          <w:highlight w:val="none"/>
        </w:rPr>
        <w:t>.10.1 出入现场的权利</w:t>
      </w:r>
    </w:p>
    <w:p w14:paraId="4140DE7E">
      <w:pPr>
        <w:spacing w:line="360" w:lineRule="auto"/>
        <w:ind w:firstLine="420" w:firstLineChars="200"/>
        <w:jc w:val="left"/>
        <w:rPr>
          <w:rFonts w:ascii="宋体" w:hAnsi="宋体"/>
          <w:color w:val="auto"/>
          <w:kern w:val="0"/>
          <w:szCs w:val="21"/>
          <w:highlight w:val="none"/>
        </w:rPr>
      </w:pPr>
      <w:r>
        <w:rPr>
          <w:rFonts w:hint="eastAsia" w:ascii="宋体" w:hAnsi="宋体"/>
          <w:color w:val="auto"/>
          <w:szCs w:val="21"/>
          <w:highlight w:val="none"/>
        </w:rPr>
        <w:t>关于出入现场的权利的约定：</w:t>
      </w:r>
      <w:r>
        <w:rPr>
          <w:rFonts w:hint="eastAsia" w:ascii="宋体" w:hAnsi="宋体"/>
          <w:color w:val="auto"/>
          <w:szCs w:val="21"/>
          <w:highlight w:val="none"/>
          <w:u w:val="single"/>
        </w:rPr>
        <w:t xml:space="preserve">        </w:t>
      </w:r>
      <w:r>
        <w:rPr>
          <w:rFonts w:hint="eastAsia" w:ascii="宋体" w:hAnsi="宋体"/>
          <w:color w:val="auto"/>
          <w:szCs w:val="21"/>
          <w:highlight w:val="none"/>
        </w:rPr>
        <w:t>。</w:t>
      </w:r>
    </w:p>
    <w:bookmarkEnd w:id="1315"/>
    <w:bookmarkEnd w:id="1316"/>
    <w:bookmarkEnd w:id="1317"/>
    <w:bookmarkEnd w:id="1318"/>
    <w:bookmarkEnd w:id="1319"/>
    <w:p w14:paraId="008285A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1.10.2 场外交通</w:t>
      </w:r>
    </w:p>
    <w:p w14:paraId="3E3BB3F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承包人应遵守有关交通法规，执行有关道路限速、限行、禁止超载的规定，并配合交通管理部门的监督和检查。场外交通以施工场地移交时的现状为准。</w:t>
      </w:r>
    </w:p>
    <w:p w14:paraId="3E6FA06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w:t>
      </w:r>
      <w:bookmarkStart w:id="1320" w:name="_Toc303539101"/>
      <w:bookmarkStart w:id="1321" w:name="_Toc300934944"/>
      <w:bookmarkStart w:id="1322" w:name="_Toc304295522"/>
      <w:bookmarkStart w:id="1323" w:name="_Toc318581156"/>
      <w:bookmarkStart w:id="1324" w:name="_Toc312677987"/>
      <w:r>
        <w:rPr>
          <w:rFonts w:hint="eastAsia" w:ascii="宋体" w:hAnsi="宋体"/>
          <w:color w:val="auto"/>
          <w:szCs w:val="21"/>
          <w:highlight w:val="none"/>
        </w:rPr>
        <w:t>.10.3 场内交通</w:t>
      </w:r>
    </w:p>
    <w:p w14:paraId="0B8FCB40">
      <w:pPr>
        <w:spacing w:line="360" w:lineRule="auto"/>
        <w:ind w:firstLine="420" w:firstLineChars="200"/>
        <w:jc w:val="left"/>
        <w:rPr>
          <w:rFonts w:ascii="宋体" w:hAnsi="宋体"/>
          <w:color w:val="auto"/>
          <w:szCs w:val="21"/>
          <w:highlight w:val="none"/>
          <w:u w:val="single"/>
        </w:rPr>
      </w:pPr>
      <w:r>
        <w:rPr>
          <w:rFonts w:hint="eastAsia" w:ascii="宋体" w:hAnsi="宋体"/>
          <w:color w:val="auto"/>
          <w:kern w:val="0"/>
          <w:szCs w:val="21"/>
          <w:highlight w:val="none"/>
        </w:rPr>
        <w:t>关于场外交通和场内交通的边界的约定：</w:t>
      </w:r>
      <w:r>
        <w:rPr>
          <w:rFonts w:hint="eastAsia" w:ascii="宋体" w:hAnsi="宋体"/>
          <w:color w:val="auto"/>
          <w:szCs w:val="21"/>
          <w:highlight w:val="none"/>
          <w:u w:val="single"/>
        </w:rPr>
        <w:t>以合同工程用地红线为界，用地红线外为场外交通，用地红线范围内为场内交通（场外道路穿越场内的除外）</w:t>
      </w:r>
      <w:r>
        <w:rPr>
          <w:rFonts w:hint="eastAsia" w:ascii="宋体" w:hAnsi="宋体"/>
          <w:color w:val="auto"/>
          <w:szCs w:val="21"/>
          <w:highlight w:val="none"/>
        </w:rPr>
        <w:t>。</w:t>
      </w:r>
    </w:p>
    <w:p w14:paraId="39DDC79B">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关于发包人向承包人免费提供满足工程施工需要的场内道路和交通设施的约定：</w:t>
      </w:r>
      <w:r>
        <w:rPr>
          <w:rFonts w:hint="eastAsia" w:ascii="宋体" w:hAnsi="宋体"/>
          <w:color w:val="auto"/>
          <w:kern w:val="0"/>
          <w:szCs w:val="21"/>
          <w:highlight w:val="none"/>
          <w:u w:val="single"/>
        </w:rPr>
        <w:t>以施工场地移交时的现状为准</w:t>
      </w:r>
      <w:r>
        <w:rPr>
          <w:rFonts w:hint="eastAsia" w:ascii="宋体" w:hAnsi="宋体"/>
          <w:color w:val="auto"/>
          <w:szCs w:val="21"/>
          <w:highlight w:val="none"/>
        </w:rPr>
        <w:t>。</w:t>
      </w:r>
    </w:p>
    <w:bookmarkEnd w:id="1320"/>
    <w:bookmarkEnd w:id="1321"/>
    <w:bookmarkEnd w:id="1322"/>
    <w:bookmarkEnd w:id="1323"/>
    <w:bookmarkEnd w:id="1324"/>
    <w:p w14:paraId="51D1260C">
      <w:pPr>
        <w:spacing w:line="360" w:lineRule="auto"/>
        <w:ind w:firstLine="420" w:firstLineChars="200"/>
        <w:jc w:val="left"/>
        <w:rPr>
          <w:rFonts w:ascii="宋体" w:hAnsi="宋体"/>
          <w:color w:val="auto"/>
          <w:szCs w:val="21"/>
          <w:highlight w:val="none"/>
        </w:rPr>
      </w:pPr>
      <w:bookmarkStart w:id="1325" w:name="_Toc318581157"/>
      <w:r>
        <w:rPr>
          <w:rFonts w:hint="eastAsia" w:ascii="宋体" w:hAnsi="宋体"/>
          <w:color w:val="auto"/>
          <w:szCs w:val="21"/>
          <w:highlight w:val="none"/>
        </w:rPr>
        <w:t>1.10.4 超大件和超重件的运输</w:t>
      </w:r>
    </w:p>
    <w:p w14:paraId="32398B6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运输超大件或超重件所需的道路和桥梁临时加固改造费用和其他有关费用由</w:t>
      </w:r>
      <w:r>
        <w:rPr>
          <w:rFonts w:hint="eastAsia" w:ascii="宋体" w:hAnsi="宋体"/>
          <w:color w:val="auto"/>
          <w:szCs w:val="21"/>
          <w:highlight w:val="none"/>
          <w:u w:val="single"/>
        </w:rPr>
        <w:t>发包人</w:t>
      </w:r>
      <w:r>
        <w:rPr>
          <w:rFonts w:hint="eastAsia" w:ascii="宋体" w:hAnsi="宋体"/>
          <w:color w:val="auto"/>
          <w:szCs w:val="21"/>
          <w:highlight w:val="none"/>
        </w:rPr>
        <w:t>承担。</w:t>
      </w:r>
    </w:p>
    <w:bookmarkEnd w:id="1325"/>
    <w:p w14:paraId="4A3BE2AF">
      <w:pPr>
        <w:pStyle w:val="7"/>
        <w:spacing w:before="0" w:beforeAutospacing="0" w:after="0" w:afterAutospacing="0" w:line="360" w:lineRule="auto"/>
        <w:ind w:firstLine="422" w:firstLineChars="200"/>
        <w:rPr>
          <w:color w:val="auto"/>
          <w:sz w:val="21"/>
          <w:szCs w:val="21"/>
          <w:highlight w:val="none"/>
        </w:rPr>
      </w:pPr>
      <w:bookmarkStart w:id="1326" w:name="_Toc532377329"/>
      <w:r>
        <w:rPr>
          <w:rFonts w:hint="eastAsia"/>
          <w:color w:val="auto"/>
          <w:sz w:val="21"/>
          <w:szCs w:val="21"/>
          <w:highlight w:val="none"/>
        </w:rPr>
        <w:t>1.11 知识产权</w:t>
      </w:r>
      <w:bookmarkEnd w:id="1326"/>
    </w:p>
    <w:p w14:paraId="0B6CDD9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1.11.1 关于发包人提供给承包人的图纸、发包人为实施工程自行编制或委托编制的技术规范以及反映发包人关于合同要求或其他类似性质的文件的著作权的归属：</w:t>
      </w:r>
      <w:r>
        <w:rPr>
          <w:rFonts w:hint="eastAsia" w:ascii="宋体" w:hAnsi="宋体"/>
          <w:color w:val="auto"/>
          <w:szCs w:val="21"/>
          <w:highlight w:val="none"/>
          <w:u w:val="single"/>
        </w:rPr>
        <w:t>属于发包人</w:t>
      </w:r>
      <w:r>
        <w:rPr>
          <w:rFonts w:hint="eastAsia" w:ascii="宋体" w:hAnsi="宋体"/>
          <w:color w:val="auto"/>
          <w:szCs w:val="21"/>
          <w:highlight w:val="none"/>
        </w:rPr>
        <w:t>。</w:t>
      </w:r>
    </w:p>
    <w:p w14:paraId="2EDE59B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关于发包人提供的上述文件的使用限制的要求：</w:t>
      </w:r>
      <w:r>
        <w:rPr>
          <w:rFonts w:hint="eastAsia" w:ascii="宋体" w:hAnsi="宋体"/>
          <w:color w:val="auto"/>
          <w:szCs w:val="21"/>
          <w:highlight w:val="none"/>
          <w:u w:val="single"/>
        </w:rPr>
        <w:t>按通用合同条款执行</w:t>
      </w:r>
      <w:r>
        <w:rPr>
          <w:rFonts w:hint="eastAsia" w:ascii="宋体" w:hAnsi="宋体"/>
          <w:color w:val="auto"/>
          <w:szCs w:val="21"/>
          <w:highlight w:val="none"/>
        </w:rPr>
        <w:t>。</w:t>
      </w:r>
    </w:p>
    <w:p w14:paraId="7702D46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1.11.4 承包人在施工过程中所采用的专利、专有技术、技术秘密的使用费的承担方式：</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2C52B5B5">
      <w:pPr>
        <w:pStyle w:val="7"/>
        <w:spacing w:before="0" w:beforeAutospacing="0" w:after="0" w:afterAutospacing="0" w:line="360" w:lineRule="auto"/>
        <w:ind w:firstLine="422" w:firstLineChars="200"/>
        <w:rPr>
          <w:color w:val="auto"/>
          <w:sz w:val="21"/>
          <w:szCs w:val="21"/>
          <w:highlight w:val="none"/>
        </w:rPr>
      </w:pPr>
      <w:bookmarkStart w:id="1327" w:name="_Toc532377330"/>
      <w:r>
        <w:rPr>
          <w:rFonts w:hint="eastAsia"/>
          <w:color w:val="auto"/>
          <w:sz w:val="21"/>
          <w:szCs w:val="21"/>
          <w:highlight w:val="none"/>
        </w:rPr>
        <w:t>1.13工程量清单错误的修正</w:t>
      </w:r>
      <w:bookmarkEnd w:id="1327"/>
    </w:p>
    <w:p w14:paraId="4DA08251">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出现工程量清单错误时，责任和权利划分：</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7552F02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出现工程量清单错误时，是否调整合同价格：</w:t>
      </w:r>
      <w:r>
        <w:rPr>
          <w:rFonts w:hint="eastAsia" w:ascii="宋体" w:hAnsi="宋体"/>
          <w:color w:val="auto"/>
          <w:szCs w:val="21"/>
          <w:highlight w:val="none"/>
          <w:u w:val="single"/>
        </w:rPr>
        <w:t xml:space="preserve">        </w:t>
      </w:r>
      <w:r>
        <w:rPr>
          <w:rFonts w:hint="eastAsia" w:ascii="宋体" w:hAnsi="宋体"/>
          <w:color w:val="auto"/>
          <w:kern w:val="0"/>
          <w:szCs w:val="21"/>
          <w:highlight w:val="none"/>
        </w:rPr>
        <w:t>。</w:t>
      </w:r>
    </w:p>
    <w:p w14:paraId="6BABAE2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允许调整合同价格的工程量偏差范围：</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0FD4783A">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328" w:name="_Toc532375609"/>
      <w:bookmarkStart w:id="1329" w:name="_Toc532377331"/>
      <w:bookmarkStart w:id="1330" w:name="_Toc351203634"/>
      <w:r>
        <w:rPr>
          <w:rFonts w:hint="eastAsia"/>
          <w:color w:val="auto"/>
          <w:kern w:val="2"/>
          <w:sz w:val="21"/>
          <w:szCs w:val="21"/>
          <w:highlight w:val="none"/>
        </w:rPr>
        <w:t>2</w:t>
      </w:r>
      <w:bookmarkStart w:id="1331" w:name="_Toc297048343"/>
      <w:bookmarkStart w:id="1332" w:name="_Toc296347156"/>
      <w:bookmarkStart w:id="1333" w:name="_Toc297120457"/>
      <w:bookmarkStart w:id="1334" w:name="_Toc296503157"/>
      <w:bookmarkStart w:id="1335" w:name="_Toc296890985"/>
      <w:bookmarkStart w:id="1336" w:name="_Toc296891197"/>
      <w:bookmarkStart w:id="1337" w:name="_Toc292559867"/>
      <w:bookmarkStart w:id="1338" w:name="_Toc296346658"/>
      <w:bookmarkStart w:id="1339" w:name="_Toc292559362"/>
      <w:bookmarkStart w:id="1340" w:name="_Toc296944496"/>
      <w:r>
        <w:rPr>
          <w:rFonts w:hint="eastAsia"/>
          <w:color w:val="auto"/>
          <w:kern w:val="2"/>
          <w:sz w:val="21"/>
          <w:szCs w:val="21"/>
          <w:highlight w:val="none"/>
        </w:rPr>
        <w:t>. 发包人</w:t>
      </w:r>
      <w:bookmarkEnd w:id="1328"/>
      <w:bookmarkEnd w:id="1329"/>
      <w:bookmarkEnd w:id="1330"/>
    </w:p>
    <w:bookmarkEnd w:id="1331"/>
    <w:bookmarkEnd w:id="1332"/>
    <w:bookmarkEnd w:id="1333"/>
    <w:bookmarkEnd w:id="1334"/>
    <w:bookmarkEnd w:id="1335"/>
    <w:bookmarkEnd w:id="1336"/>
    <w:bookmarkEnd w:id="1337"/>
    <w:bookmarkEnd w:id="1338"/>
    <w:bookmarkEnd w:id="1339"/>
    <w:bookmarkEnd w:id="1340"/>
    <w:p w14:paraId="48BF1AD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2.2.1 发包人代表</w:t>
      </w:r>
    </w:p>
    <w:p w14:paraId="18FCB5B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发包人代表：</w:t>
      </w:r>
    </w:p>
    <w:p w14:paraId="26619EA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姓    名：</w:t>
      </w:r>
      <w:r>
        <w:rPr>
          <w:rFonts w:ascii="宋体" w:hAnsi="宋体"/>
          <w:color w:val="auto"/>
          <w:szCs w:val="21"/>
          <w:highlight w:val="none"/>
          <w:u w:val="single"/>
        </w:rPr>
        <w:t xml:space="preserve">              </w:t>
      </w:r>
      <w:r>
        <w:rPr>
          <w:rFonts w:hint="eastAsia" w:ascii="宋体" w:hAnsi="宋体"/>
          <w:color w:val="auto"/>
          <w:szCs w:val="21"/>
          <w:highlight w:val="none"/>
        </w:rPr>
        <w:t>；</w:t>
      </w:r>
    </w:p>
    <w:p w14:paraId="593BF07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身份证号：</w:t>
      </w:r>
      <w:r>
        <w:rPr>
          <w:rFonts w:ascii="宋体" w:hAnsi="宋体"/>
          <w:color w:val="auto"/>
          <w:szCs w:val="21"/>
          <w:highlight w:val="none"/>
          <w:u w:val="single"/>
        </w:rPr>
        <w:t xml:space="preserve">              </w:t>
      </w:r>
      <w:r>
        <w:rPr>
          <w:rFonts w:hint="eastAsia" w:ascii="宋体" w:hAnsi="宋体"/>
          <w:color w:val="auto"/>
          <w:szCs w:val="21"/>
          <w:highlight w:val="none"/>
        </w:rPr>
        <w:t>；</w:t>
      </w:r>
    </w:p>
    <w:p w14:paraId="0145F9A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职    务：</w:t>
      </w:r>
      <w:r>
        <w:rPr>
          <w:rFonts w:ascii="宋体" w:hAnsi="宋体"/>
          <w:color w:val="auto"/>
          <w:szCs w:val="21"/>
          <w:highlight w:val="none"/>
          <w:u w:val="single"/>
        </w:rPr>
        <w:t xml:space="preserve">              </w:t>
      </w:r>
      <w:r>
        <w:rPr>
          <w:rFonts w:hint="eastAsia" w:ascii="宋体" w:hAnsi="宋体"/>
          <w:color w:val="auto"/>
          <w:szCs w:val="21"/>
          <w:highlight w:val="none"/>
        </w:rPr>
        <w:t>；</w:t>
      </w:r>
    </w:p>
    <w:p w14:paraId="14B6AB2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联系方式：</w:t>
      </w:r>
      <w:r>
        <w:rPr>
          <w:rFonts w:ascii="宋体" w:hAnsi="宋体"/>
          <w:color w:val="auto"/>
          <w:szCs w:val="21"/>
          <w:highlight w:val="none"/>
          <w:u w:val="single"/>
        </w:rPr>
        <w:t xml:space="preserve">              </w:t>
      </w:r>
      <w:r>
        <w:rPr>
          <w:rFonts w:hint="eastAsia" w:ascii="宋体" w:hAnsi="宋体"/>
          <w:color w:val="auto"/>
          <w:szCs w:val="21"/>
          <w:highlight w:val="none"/>
        </w:rPr>
        <w:t>；</w:t>
      </w:r>
    </w:p>
    <w:p w14:paraId="7EF08BA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邮    编：</w:t>
      </w:r>
      <w:r>
        <w:rPr>
          <w:rFonts w:ascii="宋体" w:hAnsi="宋体"/>
          <w:color w:val="auto"/>
          <w:szCs w:val="21"/>
          <w:highlight w:val="none"/>
          <w:u w:val="single"/>
        </w:rPr>
        <w:t xml:space="preserve">              </w:t>
      </w:r>
      <w:r>
        <w:rPr>
          <w:rFonts w:hint="eastAsia" w:ascii="宋体" w:hAnsi="宋体"/>
          <w:color w:val="auto"/>
          <w:szCs w:val="21"/>
          <w:highlight w:val="none"/>
        </w:rPr>
        <w:t>；</w:t>
      </w:r>
    </w:p>
    <w:p w14:paraId="22D714B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发包人对发包人代表的授权范围如下：</w:t>
      </w:r>
      <w:r>
        <w:rPr>
          <w:rFonts w:hint="eastAsia" w:ascii="宋体" w:hAnsi="宋体"/>
          <w:color w:val="auto"/>
          <w:szCs w:val="21"/>
          <w:highlight w:val="none"/>
          <w:u w:val="single"/>
        </w:rPr>
        <w:t>代表发包人对项目建设进行协调、管控、审查，确保安全、质量、环保、进度、成本可控，及时处理项目相关问题，向承包人、监理人等下达各类指令。由发包人授权的，以授权书载明的授权范围为准</w:t>
      </w:r>
      <w:r>
        <w:rPr>
          <w:rFonts w:hint="eastAsia" w:ascii="宋体" w:hAnsi="宋体"/>
          <w:color w:val="auto"/>
          <w:szCs w:val="21"/>
          <w:highlight w:val="none"/>
        </w:rPr>
        <w:t>。</w:t>
      </w:r>
    </w:p>
    <w:p w14:paraId="47F22A0E">
      <w:pPr>
        <w:pStyle w:val="7"/>
        <w:spacing w:before="0" w:beforeAutospacing="0" w:after="0" w:afterAutospacing="0" w:line="360" w:lineRule="auto"/>
        <w:ind w:firstLine="422" w:firstLineChars="200"/>
        <w:rPr>
          <w:color w:val="auto"/>
          <w:sz w:val="21"/>
          <w:szCs w:val="21"/>
          <w:highlight w:val="none"/>
        </w:rPr>
      </w:pPr>
      <w:bookmarkStart w:id="1341" w:name="_Toc532377332"/>
      <w:r>
        <w:rPr>
          <w:rFonts w:hint="eastAsia"/>
          <w:color w:val="auto"/>
          <w:sz w:val="21"/>
          <w:szCs w:val="21"/>
          <w:highlight w:val="none"/>
        </w:rPr>
        <w:t>2.4 施工现场、施工条件和基础资料的提供</w:t>
      </w:r>
      <w:bookmarkEnd w:id="1341"/>
    </w:p>
    <w:p w14:paraId="1FA3AB9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2.4.1 提供施工现场</w:t>
      </w:r>
    </w:p>
    <w:p w14:paraId="3C1BF5B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2.4.1.1 提供场地：</w:t>
      </w:r>
    </w:p>
    <w:p w14:paraId="5809683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施工场地的提供采用以下第</w:t>
      </w:r>
      <w:r>
        <w:rPr>
          <w:rFonts w:hint="eastAsia" w:ascii="宋体" w:hAnsi="宋体"/>
          <w:color w:val="auto"/>
          <w:szCs w:val="21"/>
          <w:highlight w:val="none"/>
          <w:u w:val="single"/>
        </w:rPr>
        <w:t xml:space="preserve">    </w:t>
      </w:r>
      <w:r>
        <w:rPr>
          <w:rFonts w:hint="eastAsia" w:ascii="宋体" w:hAnsi="宋体"/>
          <w:color w:val="auto"/>
          <w:szCs w:val="21"/>
          <w:highlight w:val="none"/>
        </w:rPr>
        <w:t>种方式：</w:t>
      </w:r>
    </w:p>
    <w:p w14:paraId="466B661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（1）一次提供全部施工场地：发包人于</w:t>
      </w:r>
      <w:r>
        <w:rPr>
          <w:rFonts w:hint="eastAsia" w:ascii="宋体" w:hAnsi="宋体"/>
          <w:color w:val="auto"/>
          <w:szCs w:val="21"/>
          <w:highlight w:val="none"/>
          <w:u w:val="single"/>
        </w:rPr>
        <w:t>开工</w:t>
      </w:r>
      <w:r>
        <w:rPr>
          <w:rFonts w:hint="eastAsia" w:ascii="宋体" w:hAnsi="宋体"/>
          <w:color w:val="auto"/>
          <w:szCs w:val="21"/>
          <w:highlight w:val="none"/>
        </w:rPr>
        <w:t>前向承包人提供合同工程用地红线范围内的施工场地。</w:t>
      </w:r>
    </w:p>
    <w:p w14:paraId="3A33147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（2）分次提供全部施工场地：</w:t>
      </w:r>
      <w:r>
        <w:rPr>
          <w:rFonts w:hint="eastAsia" w:ascii="宋体" w:hAnsi="宋体"/>
          <w:color w:val="auto"/>
          <w:szCs w:val="21"/>
          <w:highlight w:val="none"/>
          <w:u w:val="single"/>
        </w:rPr>
        <w:t>发包人按约定的时间分次向承包人提供合同工程用地红线范围内的施工场地</w:t>
      </w:r>
      <w:r>
        <w:rPr>
          <w:rFonts w:hint="eastAsia" w:ascii="宋体" w:hAnsi="宋体"/>
          <w:color w:val="auto"/>
          <w:szCs w:val="21"/>
          <w:highlight w:val="none"/>
        </w:rPr>
        <w:t>。</w:t>
      </w:r>
    </w:p>
    <w:p w14:paraId="1C46F80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承包人编制的施工组织计划已充分考虑了施工场地提供的因素</w:t>
      </w:r>
      <w:r>
        <w:rPr>
          <w:rFonts w:hint="eastAsia" w:ascii="宋体" w:hAnsi="宋体"/>
          <w:color w:val="auto"/>
          <w:szCs w:val="21"/>
          <w:highlight w:val="none"/>
        </w:rPr>
        <w:t>。</w:t>
      </w:r>
    </w:p>
    <w:p w14:paraId="1D1C1C9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施工场地未能按约定提供的，承包人应结合施工场地实际交地情况，优化施工组织计划。施工场地未能按约定提供，影响项目关键线路的，承包人可提交索赔申请，并经监理人、发包人审批后可按约定顺延项目工期，否则工期不予顺延</w:t>
      </w:r>
      <w:r>
        <w:rPr>
          <w:rFonts w:hint="eastAsia" w:ascii="宋体" w:hAnsi="宋体"/>
          <w:color w:val="auto"/>
          <w:szCs w:val="21"/>
          <w:highlight w:val="none"/>
        </w:rPr>
        <w:t>。</w:t>
      </w:r>
    </w:p>
    <w:p w14:paraId="2461EB6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2.4.2 提供施工条件</w:t>
      </w:r>
    </w:p>
    <w:p w14:paraId="22579A6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关于发包人应负责提供施工所需要的条件：</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31F37EDA">
      <w:pPr>
        <w:pStyle w:val="7"/>
        <w:spacing w:before="0" w:beforeAutospacing="0" w:after="0" w:afterAutospacing="0" w:line="360" w:lineRule="auto"/>
        <w:ind w:firstLine="422" w:firstLineChars="200"/>
        <w:rPr>
          <w:color w:val="auto"/>
          <w:sz w:val="21"/>
          <w:szCs w:val="21"/>
          <w:highlight w:val="none"/>
        </w:rPr>
      </w:pPr>
      <w:bookmarkStart w:id="1342" w:name="_Toc532377333"/>
      <w:r>
        <w:rPr>
          <w:rFonts w:hint="eastAsia"/>
          <w:color w:val="auto"/>
          <w:sz w:val="21"/>
          <w:szCs w:val="21"/>
          <w:highlight w:val="none"/>
        </w:rPr>
        <w:t>2.5 资金来源证明及支付担保</w:t>
      </w:r>
      <w:bookmarkEnd w:id="1342"/>
    </w:p>
    <w:p w14:paraId="04BD113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发包人提供资金来源证明的期限要求：</w:t>
      </w:r>
      <w:r>
        <w:rPr>
          <w:rFonts w:hint="eastAsia" w:ascii="宋体" w:hAnsi="宋体"/>
          <w:color w:val="auto"/>
          <w:szCs w:val="21"/>
          <w:highlight w:val="none"/>
          <w:u w:val="single"/>
        </w:rPr>
        <w:t>不采用</w:t>
      </w:r>
      <w:r>
        <w:rPr>
          <w:rFonts w:hint="eastAsia" w:ascii="宋体" w:hAnsi="宋体"/>
          <w:color w:val="auto"/>
          <w:szCs w:val="21"/>
          <w:highlight w:val="none"/>
        </w:rPr>
        <w:t>。</w:t>
      </w:r>
    </w:p>
    <w:p w14:paraId="4DDF280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发包人是否提供支付担保：</w:t>
      </w:r>
      <w:r>
        <w:rPr>
          <w:rFonts w:hint="eastAsia" w:ascii="宋体" w:hAnsi="宋体"/>
          <w:color w:val="auto"/>
          <w:szCs w:val="21"/>
          <w:highlight w:val="none"/>
          <w:u w:val="single"/>
        </w:rPr>
        <w:t>提供</w:t>
      </w:r>
      <w:r>
        <w:rPr>
          <w:rFonts w:hint="eastAsia" w:ascii="宋体" w:hAnsi="宋体"/>
          <w:color w:val="auto"/>
          <w:szCs w:val="21"/>
          <w:highlight w:val="none"/>
        </w:rPr>
        <w:t>。</w:t>
      </w:r>
    </w:p>
    <w:p w14:paraId="06F3EF7F">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支付担保的形式：</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182B5EEE">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支付担保的金额：</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1D7B1A4F">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支付担保的时间：</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502AC380">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支付担保的期限：</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7118D87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支付担保的退还时间：</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2BE87DB8">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343" w:name="_Toc532377334"/>
      <w:bookmarkStart w:id="1344" w:name="_Toc532375610"/>
      <w:bookmarkStart w:id="1345" w:name="_Toc351203635"/>
      <w:r>
        <w:rPr>
          <w:rFonts w:hint="eastAsia"/>
          <w:color w:val="auto"/>
          <w:kern w:val="2"/>
          <w:sz w:val="21"/>
          <w:szCs w:val="21"/>
          <w:highlight w:val="none"/>
        </w:rPr>
        <w:t>3</w:t>
      </w:r>
      <w:bookmarkStart w:id="1346" w:name="_Toc292559868"/>
      <w:bookmarkStart w:id="1347" w:name="_Toc296944497"/>
      <w:bookmarkStart w:id="1348" w:name="_Toc292559363"/>
      <w:bookmarkStart w:id="1349" w:name="_Toc297048344"/>
      <w:bookmarkStart w:id="1350" w:name="_Toc297120458"/>
      <w:bookmarkStart w:id="1351" w:name="_Toc296503158"/>
      <w:bookmarkStart w:id="1352" w:name="_Toc296890986"/>
      <w:bookmarkStart w:id="1353" w:name="_Toc296346659"/>
      <w:bookmarkStart w:id="1354" w:name="_Toc296891198"/>
      <w:bookmarkStart w:id="1355" w:name="_Toc296347157"/>
      <w:r>
        <w:rPr>
          <w:rFonts w:hint="eastAsia"/>
          <w:color w:val="auto"/>
          <w:kern w:val="2"/>
          <w:sz w:val="21"/>
          <w:szCs w:val="21"/>
          <w:highlight w:val="none"/>
        </w:rPr>
        <w:t>. 承包人</w:t>
      </w:r>
      <w:bookmarkEnd w:id="1343"/>
      <w:bookmarkEnd w:id="1344"/>
      <w:bookmarkEnd w:id="1345"/>
    </w:p>
    <w:bookmarkEnd w:id="1346"/>
    <w:bookmarkEnd w:id="1347"/>
    <w:bookmarkEnd w:id="1348"/>
    <w:bookmarkEnd w:id="1349"/>
    <w:bookmarkEnd w:id="1350"/>
    <w:bookmarkEnd w:id="1351"/>
    <w:bookmarkEnd w:id="1352"/>
    <w:bookmarkEnd w:id="1353"/>
    <w:bookmarkEnd w:id="1354"/>
    <w:bookmarkEnd w:id="1355"/>
    <w:p w14:paraId="15620444">
      <w:pPr>
        <w:pStyle w:val="7"/>
        <w:spacing w:before="0" w:beforeAutospacing="0" w:after="0" w:afterAutospacing="0" w:line="360" w:lineRule="auto"/>
        <w:ind w:firstLine="422" w:firstLineChars="200"/>
        <w:rPr>
          <w:color w:val="auto"/>
          <w:sz w:val="21"/>
          <w:szCs w:val="21"/>
          <w:highlight w:val="none"/>
        </w:rPr>
      </w:pPr>
      <w:bookmarkStart w:id="1356" w:name="_Toc532377335"/>
      <w:r>
        <w:rPr>
          <w:rFonts w:hint="eastAsia"/>
          <w:color w:val="auto"/>
          <w:sz w:val="21"/>
          <w:szCs w:val="21"/>
          <w:highlight w:val="none"/>
        </w:rPr>
        <w:t>3.1 承包人的一般义务</w:t>
      </w:r>
      <w:bookmarkEnd w:id="1356"/>
    </w:p>
    <w:p w14:paraId="46B9904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本款细化为3.1.1～3.1.10项：</w:t>
      </w:r>
    </w:p>
    <w:p w14:paraId="5E41325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3.1.1办理法律规定和合同约定应由承包人办理的许可和批准，并将办理结果书面报送发包人留存；协助发包人办理施工所需的工程质量监督、安全监督、施工许可证等相关证件及手续。</w:t>
      </w:r>
    </w:p>
    <w:p w14:paraId="628EC2E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3.1.2按法律规定和合同约定完成工程，包括满足合同所必需的或合同隐含的以及由承包人义务而产生的任何工程，还应包括合同根据相关法律法规、技术规范等对工程的稳定性、完整性或安全、可靠、有效运行所必需的所有工程，并在保修期内承担保修义务。</w:t>
      </w:r>
    </w:p>
    <w:p w14:paraId="107AB62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3.1.3按法律规定和合同约定采取施工安全和环境保护措施，办理工伤保险，确保工程及人员、材料、设备和设施的安全。施工期间，承包人应避免因施工危及红线范围外的邻近道路、建筑安全；应注意做好对周边建（构）筑物、绿化、设施设备的保护，做好围挡、监测以及安全防护，采取有效的防尘及降低噪声的措施，减小施工噪音及污水等对周边环境的影响包括对居民生活、工作、生产和经营等的影响；对不实施拆迁的建、构筑物应采取保护措施，并保证既有道路的正常通行。</w:t>
      </w:r>
    </w:p>
    <w:p w14:paraId="2A05D77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3.1.4按合同约定的工作内容和施工进度要求，编制施工组织设计和施工措施计划，并对所有施工作业和施工方法的完备性和安全可靠性负责。施工组织设计中的措施保障水平应满足工程按合同进度实施的需要，且不得低于投标时施工组织设计的措施保障水平。</w:t>
      </w:r>
    </w:p>
    <w:p w14:paraId="5A49F2B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73F3031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3.1.6按照第6.3款〔环境保护〕约定负责施工场地及其周边环境与生态的保护工作。</w:t>
      </w:r>
    </w:p>
    <w:p w14:paraId="779422C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3.1.7按照第6.1款〔安全文明施工〕约定采取施工安全措施，确保工程及其人员、材料、设备和设施的安全，防止因工程施工造成的人身伤害和财产损失。</w:t>
      </w:r>
    </w:p>
    <w:p w14:paraId="58C8D0A6">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3.1.8将发包人按合同约定支付的各项价款专用于合同工程，且应及时支付其雇用人员工资，并及时向分包人支付合同价款。</w:t>
      </w:r>
    </w:p>
    <w:p w14:paraId="4F7C518E">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3.1.9承包人提交的竣工资料的内容：</w:t>
      </w:r>
      <w:r>
        <w:rPr>
          <w:rFonts w:hint="eastAsia" w:ascii="宋体" w:hAnsi="宋体"/>
          <w:color w:val="auto"/>
          <w:szCs w:val="21"/>
          <w:highlight w:val="none"/>
          <w:u w:val="single"/>
        </w:rPr>
        <w:t>工程施工技术资料、工程质量保证资料、工程检验评定资料、竣工图及其他应交资料，应符合《建设工程文件归档整理规范》（GB/T50328-2014）和重庆市有关文件规定</w:t>
      </w:r>
      <w:r>
        <w:rPr>
          <w:rFonts w:hint="eastAsia" w:ascii="宋体" w:hAnsi="宋体"/>
          <w:color w:val="auto"/>
          <w:szCs w:val="21"/>
          <w:highlight w:val="none"/>
        </w:rPr>
        <w:t>。</w:t>
      </w:r>
    </w:p>
    <w:p w14:paraId="481A24D0">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承包人需要提交的竣工资料套数：完整竣工资料一式</w:t>
      </w:r>
      <w:r>
        <w:rPr>
          <w:rFonts w:hint="eastAsia" w:ascii="宋体" w:hAnsi="宋体"/>
          <w:color w:val="auto"/>
          <w:szCs w:val="21"/>
          <w:highlight w:val="none"/>
          <w:u w:val="single"/>
        </w:rPr>
        <w:t xml:space="preserve">    </w:t>
      </w:r>
      <w:r>
        <w:rPr>
          <w:rFonts w:hint="eastAsia" w:ascii="宋体" w:hAnsi="宋体"/>
          <w:color w:val="auto"/>
          <w:szCs w:val="21"/>
          <w:highlight w:val="none"/>
        </w:rPr>
        <w:t>套（含电子文档）。</w:t>
      </w:r>
    </w:p>
    <w:p w14:paraId="0950E81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承包人提交的竣工资料的费用承担：</w:t>
      </w:r>
      <w:r>
        <w:rPr>
          <w:rFonts w:hint="eastAsia" w:ascii="宋体" w:hAnsi="宋体"/>
          <w:color w:val="auto"/>
          <w:szCs w:val="21"/>
          <w:highlight w:val="none"/>
          <w:u w:val="single"/>
        </w:rPr>
        <w:t>由承包人承担</w:t>
      </w:r>
      <w:r>
        <w:rPr>
          <w:rFonts w:hint="eastAsia" w:ascii="宋体" w:hAnsi="宋体"/>
          <w:color w:val="auto"/>
          <w:szCs w:val="21"/>
          <w:highlight w:val="none"/>
        </w:rPr>
        <w:t>。</w:t>
      </w:r>
    </w:p>
    <w:p w14:paraId="44F98BF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承包人提交的竣工资料移交时间：</w:t>
      </w:r>
      <w:r>
        <w:rPr>
          <w:rFonts w:hint="eastAsia" w:ascii="宋体" w:hAnsi="宋体"/>
          <w:color w:val="auto"/>
          <w:szCs w:val="21"/>
          <w:highlight w:val="none"/>
          <w:u w:val="single"/>
        </w:rPr>
        <w:t>工程竣工验收合格后  个月内移交给发包人</w:t>
      </w:r>
      <w:r>
        <w:rPr>
          <w:rFonts w:hint="eastAsia" w:ascii="宋体" w:hAnsi="宋体"/>
          <w:color w:val="auto"/>
          <w:szCs w:val="21"/>
          <w:highlight w:val="none"/>
        </w:rPr>
        <w:t>。</w:t>
      </w:r>
    </w:p>
    <w:p w14:paraId="1F13984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承包人提交的竣工资料形式要求：</w:t>
      </w:r>
      <w:r>
        <w:rPr>
          <w:rFonts w:hint="eastAsia" w:ascii="宋体" w:hAnsi="宋体"/>
          <w:color w:val="auto"/>
          <w:szCs w:val="21"/>
          <w:highlight w:val="none"/>
          <w:u w:val="single"/>
        </w:rPr>
        <w:t>完整的书面文件及电子文档</w:t>
      </w:r>
      <w:r>
        <w:rPr>
          <w:rFonts w:hint="eastAsia" w:ascii="宋体" w:hAnsi="宋体"/>
          <w:color w:val="auto"/>
          <w:szCs w:val="21"/>
          <w:highlight w:val="none"/>
        </w:rPr>
        <w:t>。</w:t>
      </w:r>
    </w:p>
    <w:p w14:paraId="57D2FA8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3.1.10承包人应履行的其他义务：</w:t>
      </w:r>
    </w:p>
    <w:p w14:paraId="50F5B28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3.1.10.1在开始施工之前，承包人应核查、复测本工程的各种基准标志。承包人应及时将上述基准标志中存在的错误、不完整或其他缺陷通知发包人，以便发包人核实后重新确认。</w:t>
      </w:r>
    </w:p>
    <w:p w14:paraId="3C43B66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3.1.10.2承包人应负责合同工程范围内测量控制网的测量设定和管理工作，为控制施工造成测量控制网误差累加，每月承包人复测一次测量控制网，并将修正数据及时通知发包人。经监理人批准，其他相关承包人可免费使用施工控制网。</w:t>
      </w:r>
    </w:p>
    <w:p w14:paraId="0AC5DEB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3.1.10.3承包人应在开始施工之前对本工程进行排查，补充完善遗漏的危大工程重点部位及环节。危大工程施工前，承包人应对危大工程编制专项施工方案，对于超过一定规模的危大工程，承包人还应组织召开专家论证会对专项施工方案进行论证，通过后方可实施。</w:t>
      </w:r>
    </w:p>
    <w:p w14:paraId="3493C12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3.1.10.4承包人应服从发包人要求的管理模式、工作方式和工作要求，同时接受监理人、跟审单位的管理和全程监督，配合项目结、决算的办理。</w:t>
      </w:r>
    </w:p>
    <w:p w14:paraId="494F0D89">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3.1.10.5</w:t>
      </w:r>
      <w:r>
        <w:rPr>
          <w:rFonts w:hint="eastAsia" w:ascii="宋体" w:hAnsi="宋体"/>
          <w:color w:val="auto"/>
          <w:szCs w:val="21"/>
          <w:highlight w:val="none"/>
          <w:u w:val="single"/>
        </w:rPr>
        <w:t>承包人应为本工程开立专用账户，接受发包人的监管</w:t>
      </w:r>
      <w:r>
        <w:rPr>
          <w:rFonts w:hint="eastAsia" w:ascii="宋体" w:hAnsi="宋体"/>
          <w:color w:val="auto"/>
          <w:szCs w:val="21"/>
          <w:highlight w:val="none"/>
        </w:rPr>
        <w:t>。</w:t>
      </w:r>
    </w:p>
    <w:p w14:paraId="5E95DAD1">
      <w:pPr>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rPr>
        <w:t>3.1.10.6</w:t>
      </w:r>
      <w:r>
        <w:rPr>
          <w:rFonts w:hint="eastAsia" w:ascii="宋体" w:hAnsi="宋体"/>
          <w:color w:val="auto"/>
          <w:szCs w:val="21"/>
          <w:highlight w:val="none"/>
          <w:u w:val="single"/>
        </w:rPr>
        <w:t xml:space="preserve">        。</w:t>
      </w:r>
    </w:p>
    <w:p w14:paraId="4FEA9FD3">
      <w:pPr>
        <w:pStyle w:val="7"/>
        <w:spacing w:before="0" w:beforeAutospacing="0" w:after="0" w:afterAutospacing="0" w:line="360" w:lineRule="auto"/>
        <w:ind w:firstLine="422" w:firstLineChars="200"/>
        <w:rPr>
          <w:color w:val="auto"/>
          <w:sz w:val="21"/>
          <w:szCs w:val="21"/>
          <w:highlight w:val="none"/>
        </w:rPr>
      </w:pPr>
      <w:bookmarkStart w:id="1357" w:name="_Toc532377336"/>
      <w:r>
        <w:rPr>
          <w:rFonts w:hint="eastAsia"/>
          <w:color w:val="auto"/>
          <w:sz w:val="21"/>
          <w:szCs w:val="21"/>
          <w:highlight w:val="none"/>
        </w:rPr>
        <w:t>3.2 项目经理</w:t>
      </w:r>
      <w:bookmarkEnd w:id="1357"/>
    </w:p>
    <w:p w14:paraId="0E9276AC">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 xml:space="preserve">3.2.1 </w:t>
      </w:r>
      <w:r>
        <w:rPr>
          <w:rFonts w:hint="eastAsia" w:ascii="宋体" w:hAnsi="宋体"/>
          <w:color w:val="auto"/>
          <w:szCs w:val="21"/>
          <w:highlight w:val="none"/>
        </w:rPr>
        <w:t>项目经理：</w:t>
      </w:r>
    </w:p>
    <w:p w14:paraId="58D7B66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姓    名：</w:t>
      </w:r>
      <w:r>
        <w:rPr>
          <w:rFonts w:ascii="宋体" w:hAnsi="宋体"/>
          <w:color w:val="auto"/>
          <w:szCs w:val="21"/>
          <w:highlight w:val="none"/>
          <w:u w:val="single"/>
        </w:rPr>
        <w:t xml:space="preserve">                          </w:t>
      </w:r>
      <w:r>
        <w:rPr>
          <w:rFonts w:hint="eastAsia" w:ascii="宋体" w:hAnsi="宋体"/>
          <w:color w:val="auto"/>
          <w:szCs w:val="21"/>
          <w:highlight w:val="none"/>
        </w:rPr>
        <w:t>；</w:t>
      </w:r>
    </w:p>
    <w:p w14:paraId="379A6F9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身份证号：</w:t>
      </w:r>
      <w:r>
        <w:rPr>
          <w:rFonts w:ascii="宋体" w:hAnsi="宋体"/>
          <w:color w:val="auto"/>
          <w:szCs w:val="21"/>
          <w:highlight w:val="none"/>
          <w:u w:val="single"/>
        </w:rPr>
        <w:t>                    </w:t>
      </w:r>
      <w:r>
        <w:rPr>
          <w:rFonts w:hint="eastAsia" w:ascii="宋体" w:hAnsi="宋体"/>
          <w:color w:val="auto"/>
          <w:szCs w:val="21"/>
          <w:highlight w:val="none"/>
        </w:rPr>
        <w:t>；</w:t>
      </w:r>
    </w:p>
    <w:p w14:paraId="4284230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建造师执业资格等级：</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595E1CA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建造师注册证书号：</w:t>
      </w:r>
      <w:r>
        <w:rPr>
          <w:rFonts w:ascii="宋体" w:hAnsi="宋体"/>
          <w:color w:val="auto"/>
          <w:szCs w:val="21"/>
          <w:highlight w:val="none"/>
          <w:u w:val="single"/>
        </w:rPr>
        <w:t>       </w:t>
      </w:r>
      <w:r>
        <w:rPr>
          <w:rFonts w:hint="eastAsia" w:ascii="宋体" w:hAnsi="宋体"/>
          <w:color w:val="auto"/>
          <w:szCs w:val="21"/>
          <w:highlight w:val="none"/>
        </w:rPr>
        <w:t>；</w:t>
      </w:r>
    </w:p>
    <w:p w14:paraId="00CE587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建造师执业印章号：</w:t>
      </w:r>
      <w:r>
        <w:rPr>
          <w:rFonts w:ascii="宋体" w:hAnsi="宋体"/>
          <w:color w:val="auto"/>
          <w:szCs w:val="21"/>
          <w:highlight w:val="none"/>
          <w:u w:val="single"/>
        </w:rPr>
        <w:t>                     </w:t>
      </w:r>
      <w:r>
        <w:rPr>
          <w:rFonts w:hint="eastAsia" w:ascii="宋体" w:hAnsi="宋体"/>
          <w:color w:val="auto"/>
          <w:szCs w:val="21"/>
          <w:highlight w:val="none"/>
        </w:rPr>
        <w:t>；</w:t>
      </w:r>
    </w:p>
    <w:p w14:paraId="682FA0E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安全生产考核合格证书号：</w:t>
      </w:r>
      <w:r>
        <w:rPr>
          <w:rFonts w:ascii="宋体" w:hAnsi="宋体"/>
          <w:color w:val="auto"/>
          <w:szCs w:val="21"/>
          <w:highlight w:val="none"/>
          <w:u w:val="single"/>
        </w:rPr>
        <w:t>           </w:t>
      </w:r>
      <w:r>
        <w:rPr>
          <w:rFonts w:hint="eastAsia" w:ascii="宋体" w:hAnsi="宋体"/>
          <w:color w:val="auto"/>
          <w:szCs w:val="21"/>
          <w:highlight w:val="none"/>
        </w:rPr>
        <w:t>；</w:t>
      </w:r>
    </w:p>
    <w:p w14:paraId="60D1A05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联系方式：</w:t>
      </w:r>
      <w:r>
        <w:rPr>
          <w:rFonts w:ascii="宋体" w:hAnsi="宋体"/>
          <w:color w:val="auto"/>
          <w:szCs w:val="21"/>
          <w:highlight w:val="none"/>
          <w:u w:val="single"/>
        </w:rPr>
        <w:t>         </w:t>
      </w:r>
      <w:r>
        <w:rPr>
          <w:rFonts w:hint="eastAsia" w:ascii="宋体" w:hAnsi="宋体"/>
          <w:color w:val="auto"/>
          <w:szCs w:val="21"/>
          <w:highlight w:val="none"/>
        </w:rPr>
        <w:t>。</w:t>
      </w:r>
    </w:p>
    <w:p w14:paraId="5DD4DB4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承包人对项目经理的授权范围如下：</w:t>
      </w:r>
      <w:r>
        <w:rPr>
          <w:rFonts w:hint="eastAsia" w:ascii="宋体" w:hAnsi="宋体"/>
          <w:color w:val="auto"/>
          <w:szCs w:val="21"/>
          <w:highlight w:val="none"/>
          <w:u w:val="single"/>
        </w:rPr>
        <w:t>严格按设计图纸、现行国家施工规范及验收规范组织施工，保证工程质量、进度、安全；及时向监理人、发包人报告现场情况（以承包人书面授权范围为准）</w:t>
      </w:r>
      <w:r>
        <w:rPr>
          <w:rFonts w:hint="eastAsia" w:ascii="宋体" w:hAnsi="宋体"/>
          <w:color w:val="auto"/>
          <w:szCs w:val="21"/>
          <w:highlight w:val="none"/>
        </w:rPr>
        <w:t>。</w:t>
      </w:r>
    </w:p>
    <w:p w14:paraId="20C3380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关于项目经理每月在施工现场的时间要求：</w:t>
      </w:r>
      <w:r>
        <w:rPr>
          <w:rFonts w:hint="eastAsia" w:ascii="宋体" w:hAnsi="宋体"/>
          <w:color w:val="auto"/>
          <w:szCs w:val="21"/>
          <w:highlight w:val="none"/>
          <w:u w:val="single"/>
        </w:rPr>
        <w:t>不少于22天，由监理人负责项目经理的考勤</w:t>
      </w:r>
      <w:r>
        <w:rPr>
          <w:rFonts w:hint="eastAsia" w:ascii="宋体" w:hAnsi="宋体"/>
          <w:color w:val="auto"/>
          <w:szCs w:val="21"/>
          <w:highlight w:val="none"/>
        </w:rPr>
        <w:t>。</w:t>
      </w:r>
    </w:p>
    <w:p w14:paraId="50EE03A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承包人应在合同签订后7天内提交与项目经理签订的劳动合同及为项目经理缴纳社会保险的证明，承包人未在限期内提交的，项目经理无权履行职责，发包人有权要求更换项目经理</w:t>
      </w:r>
      <w:r>
        <w:rPr>
          <w:rFonts w:hint="eastAsia" w:ascii="宋体" w:hAnsi="宋体"/>
          <w:color w:val="auto"/>
          <w:szCs w:val="21"/>
          <w:highlight w:val="none"/>
        </w:rPr>
        <w:t>。</w:t>
      </w:r>
    </w:p>
    <w:p w14:paraId="4D2D4C5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3.2.2 技术负责人</w:t>
      </w:r>
    </w:p>
    <w:p w14:paraId="459BE63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姓    名：</w:t>
      </w:r>
      <w:r>
        <w:rPr>
          <w:rFonts w:ascii="宋体" w:hAnsi="宋体"/>
          <w:color w:val="auto"/>
          <w:szCs w:val="21"/>
          <w:highlight w:val="none"/>
          <w:u w:val="single"/>
        </w:rPr>
        <w:t xml:space="preserve">                          </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60357BF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身份证号：</w:t>
      </w:r>
      <w:r>
        <w:rPr>
          <w:rFonts w:ascii="宋体" w:hAnsi="宋体"/>
          <w:color w:val="auto"/>
          <w:szCs w:val="21"/>
          <w:highlight w:val="none"/>
          <w:u w:val="single"/>
        </w:rPr>
        <w:t xml:space="preserve">                          </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27ABC95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联系方式：</w:t>
      </w:r>
      <w:r>
        <w:rPr>
          <w:rFonts w:ascii="宋体" w:hAnsi="宋体"/>
          <w:color w:val="auto"/>
          <w:szCs w:val="21"/>
          <w:highlight w:val="none"/>
          <w:u w:val="single"/>
        </w:rPr>
        <w:t xml:space="preserve">                          </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6463E46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专     业：</w:t>
      </w:r>
      <w:r>
        <w:rPr>
          <w:rFonts w:ascii="宋体" w:hAnsi="宋体"/>
          <w:color w:val="auto"/>
          <w:szCs w:val="21"/>
          <w:highlight w:val="none"/>
          <w:u w:val="single"/>
        </w:rPr>
        <w:t xml:space="preserve">                          </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55FFE46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证书名称及号码：</w:t>
      </w:r>
      <w:r>
        <w:rPr>
          <w:rFonts w:ascii="宋体" w:hAnsi="宋体"/>
          <w:color w:val="auto"/>
          <w:szCs w:val="21"/>
          <w:highlight w:val="none"/>
          <w:u w:val="single"/>
        </w:rPr>
        <w:t xml:space="preserve">                         </w:t>
      </w:r>
      <w:r>
        <w:rPr>
          <w:rFonts w:hint="eastAsia" w:ascii="宋体" w:hAnsi="宋体"/>
          <w:color w:val="auto"/>
          <w:szCs w:val="21"/>
          <w:highlight w:val="none"/>
        </w:rPr>
        <w:t>；</w:t>
      </w:r>
    </w:p>
    <w:p w14:paraId="37CF8222">
      <w:pPr>
        <w:pStyle w:val="2"/>
        <w:spacing w:after="0" w:line="360" w:lineRule="auto"/>
        <w:rPr>
          <w:rFonts w:ascii="宋体" w:hAnsi="宋体"/>
          <w:color w:val="auto"/>
          <w:szCs w:val="21"/>
          <w:highlight w:val="none"/>
        </w:rPr>
      </w:pPr>
      <w:r>
        <w:rPr>
          <w:rFonts w:hint="eastAsia" w:ascii="宋体" w:hAnsi="宋体"/>
          <w:color w:val="auto"/>
          <w:szCs w:val="21"/>
          <w:highlight w:val="none"/>
        </w:rPr>
        <w:t xml:space="preserve">    </w:t>
      </w:r>
      <w:r>
        <w:rPr>
          <w:rFonts w:ascii="宋体" w:hAnsi="宋体"/>
          <w:color w:val="auto"/>
          <w:szCs w:val="21"/>
          <w:highlight w:val="none"/>
        </w:rPr>
        <w:t>联系方式：</w:t>
      </w:r>
      <w:r>
        <w:rPr>
          <w:rFonts w:ascii="宋体" w:hAnsi="宋体"/>
          <w:color w:val="auto"/>
          <w:szCs w:val="21"/>
          <w:highlight w:val="none"/>
          <w:u w:val="single"/>
        </w:rPr>
        <w:t xml:space="preserve">         </w:t>
      </w:r>
      <w:r>
        <w:rPr>
          <w:rFonts w:hint="eastAsia" w:ascii="宋体" w:hAnsi="宋体"/>
          <w:color w:val="auto"/>
          <w:szCs w:val="21"/>
          <w:highlight w:val="none"/>
        </w:rPr>
        <w:t>。</w:t>
      </w:r>
    </w:p>
    <w:p w14:paraId="428233E9">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关于技</w:t>
      </w:r>
      <w:r>
        <w:rPr>
          <w:rFonts w:hint="eastAsia" w:ascii="宋体" w:hAnsi="宋体"/>
          <w:color w:val="auto"/>
          <w:szCs w:val="21"/>
          <w:highlight w:val="none"/>
        </w:rPr>
        <w:t>术负责人每月在施工现场的时间要求：</w:t>
      </w:r>
      <w:r>
        <w:rPr>
          <w:rFonts w:hint="eastAsia" w:ascii="宋体" w:hAnsi="宋体"/>
          <w:color w:val="auto"/>
          <w:szCs w:val="21"/>
          <w:highlight w:val="none"/>
          <w:u w:val="single"/>
        </w:rPr>
        <w:t>不少于22天，由监理人负责技术负责人的考勤</w:t>
      </w:r>
      <w:r>
        <w:rPr>
          <w:rFonts w:hint="eastAsia" w:ascii="宋体" w:hAnsi="宋体"/>
          <w:color w:val="auto"/>
          <w:szCs w:val="21"/>
          <w:highlight w:val="none"/>
        </w:rPr>
        <w:t>。</w:t>
      </w:r>
    </w:p>
    <w:p w14:paraId="7F08939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承包人应在合同签订后7天内提交与技术负责人签订的劳动合同及为技术负责人缴纳社会保险的证明，承包人未在限期内提交的，技术负责人无权履行职责，发包人有权要求更换技术负责人</w:t>
      </w:r>
      <w:r>
        <w:rPr>
          <w:rFonts w:hint="eastAsia" w:ascii="宋体" w:hAnsi="宋体"/>
          <w:color w:val="auto"/>
          <w:szCs w:val="21"/>
          <w:highlight w:val="none"/>
        </w:rPr>
        <w:t>。</w:t>
      </w:r>
      <w:bookmarkStart w:id="1358" w:name="_Hlk528927599"/>
    </w:p>
    <w:bookmarkEnd w:id="1358"/>
    <w:p w14:paraId="266C9494">
      <w:pPr>
        <w:spacing w:line="360" w:lineRule="auto"/>
        <w:ind w:firstLine="420" w:firstLineChars="200"/>
        <w:jc w:val="left"/>
        <w:rPr>
          <w:rFonts w:ascii="宋体" w:hAnsi="宋体"/>
          <w:color w:val="auto"/>
          <w:szCs w:val="21"/>
          <w:highlight w:val="none"/>
        </w:rPr>
      </w:pPr>
      <w:bookmarkStart w:id="1359" w:name="_Hlk528927718"/>
      <w:r>
        <w:rPr>
          <w:rFonts w:hint="eastAsia" w:ascii="宋体" w:hAnsi="宋体"/>
          <w:color w:val="auto"/>
          <w:szCs w:val="21"/>
          <w:highlight w:val="none"/>
        </w:rPr>
        <w:t>3.2.3 发包人有权书面通知承包人更换其认为不称职/不履职的项目经理和（或）技术负责人，通知中应当载明要求更换的理由。承包人应在接到更换通知后7天内向发包人提出书面的改进报告。发包人收到改进报告后仍要求更换的，承包人应在接到第二次更换通知的14天内进行更换，并将新任命的项目经理和（或）技术负责人的注册执业资格、职称证书、管理经验等资料书面报送发包人审核批准。继任项目经理和（或）技术负责人继续履行合同约定的职责。</w:t>
      </w:r>
      <w:bookmarkEnd w:id="1359"/>
    </w:p>
    <w:p w14:paraId="05BC9F1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若项目经理和技术负责人出现下列情形需更换的，承包人按通用条款第3.2.3项的规定向发包人发出通知，经发包人领导班子集体决策同意后予以批准，并将变更信息推送给行业主管部门：</w:t>
      </w:r>
    </w:p>
    <w:p w14:paraId="42D09C2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1、死亡；</w:t>
      </w:r>
    </w:p>
    <w:p w14:paraId="13EAD79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2、非承包人原因导致工期延长，而致使项目经理和技术负责人达到法定退休年龄且确需退休；</w:t>
      </w:r>
    </w:p>
    <w:p w14:paraId="6A9DFC8F">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3、按《职工非因工伤残或因病丧失劳动能力程度鉴定标准（试行）》规定鉴定为完全丧失劳动能力和大部分丧失劳动能力；</w:t>
      </w:r>
    </w:p>
    <w:p w14:paraId="6BA836EB">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4、非承包人原因导致中标3个月不能开工；</w:t>
      </w:r>
    </w:p>
    <w:p w14:paraId="0B92A1D9">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5、被公安或者司法机关限制人身自由；</w:t>
      </w:r>
    </w:p>
    <w:p w14:paraId="0061D470">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6、被取消职称或者执业资格，不满足项目管理要求；</w:t>
      </w:r>
    </w:p>
    <w:p w14:paraId="39AB09FD">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7、非承包人原因导致确需变更的其它情形。</w:t>
      </w:r>
    </w:p>
    <w:p w14:paraId="7E69DC6E">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本款补充3.2.6项</w:t>
      </w:r>
    </w:p>
    <w:p w14:paraId="467C5CA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3.2.6 国有资金投资项目其他主要人员变更参照《重庆市政府投资项目合同变更管理暂行办法》的规定。</w:t>
      </w:r>
    </w:p>
    <w:p w14:paraId="778F428F">
      <w:pPr>
        <w:pStyle w:val="7"/>
        <w:spacing w:before="0" w:beforeAutospacing="0" w:after="0" w:afterAutospacing="0" w:line="360" w:lineRule="auto"/>
        <w:ind w:firstLine="422" w:firstLineChars="200"/>
        <w:rPr>
          <w:color w:val="auto"/>
          <w:sz w:val="21"/>
          <w:szCs w:val="21"/>
          <w:highlight w:val="none"/>
        </w:rPr>
      </w:pPr>
      <w:bookmarkStart w:id="1360" w:name="_Toc532377337"/>
      <w:r>
        <w:rPr>
          <w:rFonts w:hint="eastAsia"/>
          <w:color w:val="auto"/>
          <w:sz w:val="21"/>
          <w:szCs w:val="21"/>
          <w:highlight w:val="none"/>
        </w:rPr>
        <w:t>3.3 承包人人员</w:t>
      </w:r>
      <w:bookmarkEnd w:id="1360"/>
    </w:p>
    <w:p w14:paraId="4B0AACF0">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3.3.1 承包人应按建设行政主管部门现行规定配备现场施工从业人员，具体要求如下：</w:t>
      </w:r>
      <w:r>
        <w:rPr>
          <w:rFonts w:hint="eastAsia" w:ascii="宋体" w:hAnsi="宋体"/>
          <w:color w:val="auto"/>
          <w:szCs w:val="21"/>
          <w:highlight w:val="none"/>
          <w:u w:val="single"/>
        </w:rPr>
        <w:t xml:space="preserve">        </w:t>
      </w:r>
    </w:p>
    <w:p w14:paraId="2C626153">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3.3.2承包人派驻到施工现场的主要施工管理人员在施工过程中如有变动，承包人应及时向监理人提交施工现场人员变动情况的报告。承包人更换主要施工管理人员时，应提前7天书面通知监理人，并征得发包人书面同意。通知中应当载明继任人员的职称、执业资格、项目管理经验等资料。更换后的施工管理人员应当是承包人的正式员工，且在职称、执业资格、项目管理经验等方面不低于原施工管理人员。</w:t>
      </w:r>
    </w:p>
    <w:p w14:paraId="3635560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3.3.3 发包人有权书面通知承包人更换其认为不称职的主要施工管理人员，通知中应当载明要求更换的理由。承包人应在接到更换通知后7天内向发包人提出书面的改进报告。发包人收到改进报告后仍要求更换的，承包人应在接到第二次更换通知的7天内进行更换，并将新委派的主要施工管理人员的注册执业资格、职称证书、管理经验等资料书面报送发包人审核批准。</w:t>
      </w:r>
    </w:p>
    <w:p w14:paraId="552385A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3.3.4 承包人主要施工管理人员离开施工现场，指定的临时人员需满足：</w:t>
      </w:r>
      <w:r>
        <w:rPr>
          <w:rFonts w:hint="eastAsia" w:ascii="宋体" w:hAnsi="宋体"/>
          <w:color w:val="auto"/>
          <w:szCs w:val="21"/>
          <w:highlight w:val="none"/>
          <w:u w:val="single"/>
        </w:rPr>
        <w:t>《重庆市房屋建筑与市政基础设施工程现场施工从业人员配备标准》（DBJ50-157-2013）的相应要求</w:t>
      </w:r>
      <w:r>
        <w:rPr>
          <w:rFonts w:hint="eastAsia" w:ascii="宋体" w:hAnsi="宋体"/>
          <w:color w:val="auto"/>
          <w:szCs w:val="21"/>
          <w:highlight w:val="none"/>
        </w:rPr>
        <w:t>。</w:t>
      </w:r>
    </w:p>
    <w:p w14:paraId="38622D38">
      <w:pPr>
        <w:pStyle w:val="7"/>
        <w:spacing w:before="0" w:beforeAutospacing="0" w:after="0" w:afterAutospacing="0" w:line="360" w:lineRule="auto"/>
        <w:ind w:firstLine="422" w:firstLineChars="200"/>
        <w:rPr>
          <w:color w:val="auto"/>
          <w:sz w:val="21"/>
          <w:szCs w:val="21"/>
          <w:highlight w:val="none"/>
        </w:rPr>
      </w:pPr>
      <w:bookmarkStart w:id="1361" w:name="_Toc532377338"/>
      <w:r>
        <w:rPr>
          <w:rFonts w:hint="eastAsia"/>
          <w:color w:val="auto"/>
          <w:sz w:val="21"/>
          <w:szCs w:val="21"/>
          <w:highlight w:val="none"/>
        </w:rPr>
        <w:t>3</w:t>
      </w:r>
      <w:bookmarkStart w:id="1362" w:name="_Toc292559869"/>
      <w:bookmarkStart w:id="1363" w:name="_Toc297216151"/>
      <w:bookmarkStart w:id="1364" w:name="_Toc296891199"/>
      <w:bookmarkStart w:id="1365" w:name="_Toc297120459"/>
      <w:bookmarkStart w:id="1366" w:name="_Toc296944498"/>
      <w:bookmarkStart w:id="1367" w:name="_Toc296346660"/>
      <w:bookmarkStart w:id="1368" w:name="_Toc304295523"/>
      <w:bookmarkStart w:id="1369" w:name="_Toc297123492"/>
      <w:bookmarkStart w:id="1370" w:name="_Toc312677988"/>
      <w:bookmarkStart w:id="1371" w:name="_Toc303539102"/>
      <w:bookmarkStart w:id="1372" w:name="_Toc296890987"/>
      <w:bookmarkStart w:id="1373" w:name="_Toc297048345"/>
      <w:bookmarkStart w:id="1374" w:name="_Toc296347158"/>
      <w:bookmarkStart w:id="1375" w:name="_Toc292559364"/>
      <w:bookmarkStart w:id="1376" w:name="_Toc300934945"/>
      <w:bookmarkStart w:id="1377" w:name="_Toc296503159"/>
      <w:r>
        <w:rPr>
          <w:rFonts w:hint="eastAsia"/>
          <w:color w:val="auto"/>
          <w:sz w:val="21"/>
          <w:szCs w:val="21"/>
          <w:highlight w:val="none"/>
        </w:rPr>
        <w:t>.5 分包</w:t>
      </w:r>
      <w:bookmarkEnd w:id="1361"/>
    </w:p>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14:paraId="143984E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w:t>
      </w:r>
      <w:bookmarkStart w:id="1378" w:name="_Toc300934946"/>
      <w:bookmarkStart w:id="1379" w:name="_Toc297120460"/>
      <w:bookmarkStart w:id="1380" w:name="_Toc297216152"/>
      <w:bookmarkStart w:id="1381" w:name="_Toc296346661"/>
      <w:bookmarkStart w:id="1382" w:name="_Toc297123493"/>
      <w:bookmarkStart w:id="1383" w:name="_Toc312677989"/>
      <w:bookmarkStart w:id="1384" w:name="_Toc297048346"/>
      <w:bookmarkStart w:id="1385" w:name="_Toc292559365"/>
      <w:bookmarkStart w:id="1386" w:name="_Toc296891200"/>
      <w:bookmarkStart w:id="1387" w:name="_Toc296503160"/>
      <w:bookmarkStart w:id="1388" w:name="_Toc292559870"/>
      <w:bookmarkStart w:id="1389" w:name="_Toc318581158"/>
      <w:bookmarkStart w:id="1390" w:name="_Toc303539103"/>
      <w:bookmarkStart w:id="1391" w:name="_Toc296890988"/>
      <w:bookmarkStart w:id="1392" w:name="_Toc296347159"/>
      <w:bookmarkStart w:id="1393" w:name="_Toc296944499"/>
      <w:bookmarkStart w:id="1394" w:name="_Toc304295524"/>
      <w:r>
        <w:rPr>
          <w:rFonts w:hint="eastAsia" w:ascii="宋体" w:hAnsi="宋体"/>
          <w:color w:val="auto"/>
          <w:szCs w:val="21"/>
          <w:highlight w:val="none"/>
        </w:rPr>
        <w:t>.5.1 分包的一般约定</w:t>
      </w:r>
    </w:p>
    <w:p w14:paraId="51E960E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禁止分包的工程包括：主体结构、关键性工作等国家法律、法规禁止分包的工程。</w:t>
      </w:r>
    </w:p>
    <w:p w14:paraId="762BED5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主体结构、关键性工作的范围：国家法律、法规、规范、标准等所约束的范围。如房建工程主体结构指混凝土工程、砌体工程、钢结构工程（具体有基础、梁、板、柱、砼墙、楼梯工程等）</w:t>
      </w:r>
      <w:bookmarkStart w:id="1395" w:name="_Toc296891201"/>
      <w:bookmarkStart w:id="1396" w:name="_Toc296890989"/>
      <w:bookmarkStart w:id="1397" w:name="_Toc296503161"/>
      <w:bookmarkStart w:id="1398" w:name="_Toc297216153"/>
      <w:bookmarkStart w:id="1399" w:name="_Toc297123494"/>
      <w:bookmarkStart w:id="1400" w:name="_Toc296347160"/>
      <w:bookmarkStart w:id="1401" w:name="_Toc296944500"/>
      <w:bookmarkStart w:id="1402" w:name="_Toc304295525"/>
      <w:bookmarkStart w:id="1403" w:name="_Toc297048347"/>
      <w:bookmarkStart w:id="1404" w:name="_Toc297120461"/>
      <w:bookmarkStart w:id="1405" w:name="_Toc296346662"/>
      <w:bookmarkStart w:id="1406" w:name="_Toc300934947"/>
      <w:bookmarkStart w:id="1407" w:name="_Toc303539104"/>
      <w:r>
        <w:rPr>
          <w:rFonts w:hint="eastAsia" w:ascii="宋体" w:hAnsi="宋体"/>
          <w:color w:val="auto"/>
          <w:szCs w:val="21"/>
          <w:highlight w:val="none"/>
        </w:rPr>
        <w:t>；关键性工作指梁、板、柱等部位。</w:t>
      </w:r>
    </w:p>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14:paraId="2A36F15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在合同履行过程中实行项目经理、技术负责人、安全负责人实名制管理，发包人有权核查承包人管理人员的资格证件、工程价款往来银行账户、施工单位的材料构配件、设备的发票等资料，配合相关行政主管部门加大对转包、违法分包行为的查处。</w:t>
      </w:r>
    </w:p>
    <w:p w14:paraId="7798F4E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w:t>
      </w:r>
      <w:bookmarkStart w:id="1408" w:name="_Toc318581159"/>
      <w:bookmarkStart w:id="1409" w:name="_Toc312677990"/>
      <w:r>
        <w:rPr>
          <w:rFonts w:hint="eastAsia" w:ascii="宋体" w:hAnsi="宋体"/>
          <w:color w:val="auto"/>
          <w:szCs w:val="21"/>
          <w:highlight w:val="none"/>
        </w:rPr>
        <w:t>.5.2分包的确定</w:t>
      </w:r>
    </w:p>
    <w:p w14:paraId="4E87506B">
      <w:pPr>
        <w:spacing w:line="360" w:lineRule="auto"/>
        <w:ind w:firstLine="420" w:firstLineChars="200"/>
        <w:jc w:val="left"/>
        <w:rPr>
          <w:rFonts w:hint="eastAsia" w:ascii="宋体" w:hAnsi="宋体"/>
          <w:i/>
          <w:iCs/>
          <w:color w:val="auto"/>
          <w:szCs w:val="21"/>
          <w:highlight w:val="none"/>
        </w:rPr>
      </w:pPr>
      <w:r>
        <w:rPr>
          <w:rFonts w:hint="eastAsia" w:ascii="宋体" w:hAnsi="宋体"/>
          <w:color w:val="auto"/>
          <w:szCs w:val="21"/>
          <w:highlight w:val="none"/>
        </w:rPr>
        <w:t>允许分包的专业工程包括：</w:t>
      </w:r>
      <w:r>
        <w:rPr>
          <w:rFonts w:hint="eastAsia" w:ascii="宋体" w:hAnsi="宋体"/>
          <w:color w:val="auto"/>
          <w:szCs w:val="21"/>
          <w:highlight w:val="none"/>
          <w:u w:val="single"/>
        </w:rPr>
        <w:t xml:space="preserve">        。</w:t>
      </w:r>
      <w:r>
        <w:rPr>
          <w:rFonts w:hint="eastAsia" w:ascii="宋体" w:hAnsi="宋体"/>
          <w:i/>
          <w:iCs/>
          <w:color w:val="auto"/>
          <w:szCs w:val="21"/>
          <w:highlight w:val="none"/>
        </w:rPr>
        <w:t>[提示：符合《中华人民共和国建筑法》和《中华人民共和国招标投标法》的相关规定。]</w:t>
      </w:r>
    </w:p>
    <w:p w14:paraId="0480256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3.5.4 分包合同价款</w:t>
      </w:r>
    </w:p>
    <w:p w14:paraId="54B057A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关于分包合同价款支付的约定：</w:t>
      </w:r>
      <w:bookmarkEnd w:id="1408"/>
      <w:bookmarkEnd w:id="1409"/>
      <w:r>
        <w:rPr>
          <w:rFonts w:hint="eastAsia" w:ascii="宋体" w:hAnsi="宋体"/>
          <w:color w:val="auto"/>
          <w:szCs w:val="21"/>
          <w:highlight w:val="none"/>
          <w:u w:val="single"/>
        </w:rPr>
        <w:t>分包合同价款由承包人与分包人结算，未经承包人同意，发包人不得向分包人支付分包工程价款；生效法律文书要求发包人向分包人支付分包合同价款的，发包人有权从应付承包人工程款中扣除该部分款项</w:t>
      </w:r>
      <w:r>
        <w:rPr>
          <w:rFonts w:hint="eastAsia" w:ascii="宋体" w:hAnsi="宋体"/>
          <w:color w:val="auto"/>
          <w:szCs w:val="21"/>
          <w:highlight w:val="none"/>
        </w:rPr>
        <w:t>。</w:t>
      </w:r>
    </w:p>
    <w:p w14:paraId="7D493C5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本款补充3.5.6项：</w:t>
      </w:r>
    </w:p>
    <w:p w14:paraId="68998F1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3.5.6严禁违法分包</w:t>
      </w:r>
    </w:p>
    <w:p w14:paraId="19D0817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一经查实，承包人的履约担保不予退还，发包人有权终止合同；同时发包人有权向相关行政监管部门举报，根据《住房和城乡建设部关于印发建筑工程施工发包与承包违法行为认定查处管理办法的通知》（建市规〔2019〕1号）相关规定条执行。</w:t>
      </w:r>
    </w:p>
    <w:p w14:paraId="7B9E3465">
      <w:pPr>
        <w:pStyle w:val="7"/>
        <w:spacing w:before="0" w:beforeAutospacing="0" w:after="0" w:afterAutospacing="0" w:line="360" w:lineRule="auto"/>
        <w:ind w:firstLine="422" w:firstLineChars="200"/>
        <w:rPr>
          <w:color w:val="auto"/>
          <w:sz w:val="21"/>
          <w:szCs w:val="21"/>
          <w:highlight w:val="none"/>
        </w:rPr>
      </w:pPr>
      <w:bookmarkStart w:id="1410" w:name="_Toc532377339"/>
      <w:r>
        <w:rPr>
          <w:rFonts w:hint="eastAsia"/>
          <w:color w:val="auto"/>
          <w:sz w:val="21"/>
          <w:szCs w:val="21"/>
          <w:highlight w:val="none"/>
        </w:rPr>
        <w:t>3.7 履约担保</w:t>
      </w:r>
      <w:bookmarkEnd w:id="1410"/>
    </w:p>
    <w:p w14:paraId="2FEE636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3.7.1承包人是否提供履约担保：</w:t>
      </w:r>
      <w:r>
        <w:rPr>
          <w:rFonts w:hint="eastAsia" w:ascii="宋体" w:hAnsi="宋体"/>
          <w:color w:val="auto"/>
          <w:szCs w:val="21"/>
          <w:highlight w:val="none"/>
          <w:u w:val="single"/>
        </w:rPr>
        <w:t>提供</w:t>
      </w:r>
      <w:r>
        <w:rPr>
          <w:rFonts w:hint="eastAsia" w:ascii="宋体" w:hAnsi="宋体"/>
          <w:color w:val="auto"/>
          <w:szCs w:val="21"/>
          <w:highlight w:val="none"/>
        </w:rPr>
        <w:t>。</w:t>
      </w:r>
    </w:p>
    <w:p w14:paraId="4637F5C8">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3.7.2承包人提供履约担保的形式、金额及期限：</w:t>
      </w:r>
    </w:p>
    <w:p w14:paraId="544BE67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（1）履约担保的形式：</w:t>
      </w:r>
      <w:r>
        <w:rPr>
          <w:rFonts w:hint="eastAsia" w:ascii="宋体" w:hAnsi="宋体"/>
          <w:color w:val="auto"/>
          <w:szCs w:val="21"/>
          <w:highlight w:val="none"/>
          <w:u w:val="none"/>
        </w:rPr>
        <w:t>现金或银行保函或现金+银行保函的组合；采用保函形式的，保函必须为不可撤销且见索即付</w:t>
      </w:r>
      <w:r>
        <w:rPr>
          <w:rFonts w:hint="eastAsia" w:ascii="宋体" w:hAnsi="宋体"/>
          <w:color w:val="auto"/>
          <w:szCs w:val="21"/>
          <w:highlight w:val="none"/>
        </w:rPr>
        <w:t>；</w:t>
      </w:r>
    </w:p>
    <w:p w14:paraId="2051C807">
      <w:pPr>
        <w:tabs>
          <w:tab w:val="left" w:pos="1134"/>
        </w:tabs>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（2）履约担保的金额：</w:t>
      </w:r>
      <w:r>
        <w:rPr>
          <w:rFonts w:hint="eastAsia" w:ascii="仿宋_GB2312" w:hAnsi="宋体" w:eastAsia="仿宋_GB2312" w:cs="宋体"/>
          <w:color w:val="auto"/>
          <w:kern w:val="0"/>
          <w:szCs w:val="21"/>
          <w:highlight w:val="none"/>
        </w:rPr>
        <w:t xml:space="preserve">            </w:t>
      </w:r>
      <w:r>
        <w:rPr>
          <w:rFonts w:hint="eastAsia" w:ascii="宋体" w:hAnsi="宋体"/>
          <w:color w:val="auto"/>
          <w:szCs w:val="21"/>
          <w:highlight w:val="none"/>
        </w:rPr>
        <w:t>；</w:t>
      </w:r>
    </w:p>
    <w:p w14:paraId="3B0E1397">
      <w:pPr>
        <w:tabs>
          <w:tab w:val="left" w:pos="1134"/>
        </w:tabs>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（3）履约担保的提交时间：</w:t>
      </w:r>
      <w:r>
        <w:rPr>
          <w:rFonts w:hint="eastAsia" w:ascii="宋体" w:hAnsi="宋体"/>
          <w:color w:val="auto"/>
          <w:szCs w:val="21"/>
          <w:highlight w:val="none"/>
          <w:u w:val="single"/>
        </w:rPr>
        <w:t>在合同签订前，承包人按担保金额向发包人提交履约担保</w:t>
      </w:r>
      <w:r>
        <w:rPr>
          <w:rFonts w:hint="eastAsia" w:ascii="宋体" w:hAnsi="宋体"/>
          <w:color w:val="auto"/>
          <w:szCs w:val="21"/>
          <w:highlight w:val="none"/>
        </w:rPr>
        <w:t>。</w:t>
      </w:r>
    </w:p>
    <w:p w14:paraId="5F5DB851">
      <w:pPr>
        <w:tabs>
          <w:tab w:val="left" w:pos="1134"/>
        </w:tabs>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（4）履约担保的期限：</w:t>
      </w:r>
      <w:r>
        <w:rPr>
          <w:rFonts w:hint="eastAsia" w:ascii="宋体" w:hAnsi="宋体"/>
          <w:color w:val="auto"/>
          <w:szCs w:val="21"/>
          <w:highlight w:val="none"/>
          <w:u w:val="single"/>
        </w:rPr>
        <w:t>自我方法定代表人（或其委托代理人）签字并加盖公章之日起至你方签发或应签发工程接收证书之日止</w:t>
      </w:r>
      <w:r>
        <w:rPr>
          <w:rFonts w:hint="eastAsia" w:ascii="宋体" w:hAnsi="宋体"/>
          <w:color w:val="auto"/>
          <w:szCs w:val="21"/>
          <w:highlight w:val="none"/>
        </w:rPr>
        <w:t>。</w:t>
      </w:r>
    </w:p>
    <w:p w14:paraId="15E7AACF">
      <w:pPr>
        <w:tabs>
          <w:tab w:val="left" w:pos="1134"/>
        </w:tabs>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（5）履约担保的退还时间：</w:t>
      </w:r>
      <w:r>
        <w:rPr>
          <w:rFonts w:hint="eastAsia" w:ascii="宋体" w:hAnsi="宋体"/>
          <w:color w:val="auto"/>
          <w:szCs w:val="21"/>
          <w:highlight w:val="none"/>
          <w:u w:val="single"/>
        </w:rPr>
        <w:t>采用现金担保的，工程竣工验收合格后14天内无息退还；采用银行保函的，工程竣工验收合格后14天内退还，或按工程实际情况约定分阶段退还，阶段划分按以下标准执行：</w:t>
      </w:r>
    </w:p>
    <w:p w14:paraId="193EFDFD">
      <w:pPr>
        <w:tabs>
          <w:tab w:val="left" w:pos="1134"/>
        </w:tabs>
        <w:spacing w:line="360" w:lineRule="auto"/>
        <w:jc w:val="left"/>
        <w:rPr>
          <w:rFonts w:ascii="宋体" w:hAnsi="宋体"/>
          <w:color w:val="auto"/>
          <w:szCs w:val="21"/>
          <w:highlight w:val="none"/>
        </w:rPr>
      </w:pP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34BA77F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本款补充3.7.3项：</w:t>
      </w:r>
    </w:p>
    <w:p w14:paraId="54C0FB2A">
      <w:pPr>
        <w:pStyle w:val="2"/>
        <w:spacing w:after="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3.7.3 低价风险担保</w:t>
      </w:r>
    </w:p>
    <w:p w14:paraId="5B44F7BF">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承包人提供低价风险担保的情形：采用经评审的最低投标价法的项目投标报价低于最高限价85%时。</w:t>
      </w:r>
    </w:p>
    <w:p w14:paraId="76E6AD3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承包人提供低价风险担保的形式、金额及期限：</w:t>
      </w:r>
    </w:p>
    <w:p w14:paraId="6031F27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（1）低价风险担保的形式：现金或银行保函或现金+银行保函的组合；采用保函形式的，保函必须为不可撤销且见索即付；</w:t>
      </w:r>
    </w:p>
    <w:p w14:paraId="6A5A09A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（2）低价风险担保的金额：</w:t>
      </w:r>
      <w:r>
        <w:rPr>
          <w:rFonts w:hint="eastAsia" w:ascii="仿宋_GB2312" w:hAnsi="宋体" w:eastAsia="仿宋_GB2312" w:cs="宋体"/>
          <w:color w:val="auto"/>
          <w:kern w:val="0"/>
          <w:szCs w:val="21"/>
          <w:highlight w:val="none"/>
          <w:u w:val="single"/>
        </w:rPr>
        <w:t xml:space="preserve">            </w:t>
      </w:r>
      <w:r>
        <w:rPr>
          <w:rFonts w:hint="eastAsia" w:ascii="宋体" w:hAnsi="宋体"/>
          <w:color w:val="auto"/>
          <w:szCs w:val="21"/>
          <w:highlight w:val="none"/>
        </w:rPr>
        <w:t>；</w:t>
      </w:r>
    </w:p>
    <w:p w14:paraId="32BF523B">
      <w:pPr>
        <w:tabs>
          <w:tab w:val="left" w:pos="1134"/>
        </w:tabs>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（3）低价风险担保的提交时间：</w:t>
      </w:r>
      <w:r>
        <w:rPr>
          <w:rFonts w:hint="eastAsia"/>
          <w:color w:val="auto"/>
          <w:szCs w:val="21"/>
          <w:highlight w:val="none"/>
          <w:u w:val="single"/>
        </w:rPr>
        <w:t>从招标人低价风险担保书面通知送达拟中标人之日起    工作日内</w:t>
      </w:r>
      <w:r>
        <w:rPr>
          <w:rFonts w:hint="eastAsia" w:ascii="宋体" w:hAnsi="宋体"/>
          <w:color w:val="auto"/>
          <w:szCs w:val="21"/>
          <w:highlight w:val="none"/>
          <w:u w:val="single"/>
        </w:rPr>
        <w:t>；</w:t>
      </w:r>
    </w:p>
    <w:p w14:paraId="0D6D5FBC">
      <w:pPr>
        <w:tabs>
          <w:tab w:val="left" w:pos="1134"/>
        </w:tabs>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（4）低价风险担保的期限：</w:t>
      </w:r>
      <w:r>
        <w:rPr>
          <w:rFonts w:hint="eastAsia"/>
          <w:color w:val="auto"/>
          <w:szCs w:val="21"/>
          <w:highlight w:val="none"/>
          <w:u w:val="single"/>
        </w:rPr>
        <w:t>自低价风险担保生效之日起至竣工验收合格之日止</w:t>
      </w:r>
      <w:r>
        <w:rPr>
          <w:rFonts w:hint="eastAsia" w:ascii="宋体" w:hAnsi="宋体"/>
          <w:color w:val="auto"/>
          <w:szCs w:val="21"/>
          <w:highlight w:val="none"/>
        </w:rPr>
        <w:t>。</w:t>
      </w:r>
    </w:p>
    <w:p w14:paraId="1D709B92">
      <w:pPr>
        <w:pStyle w:val="2"/>
        <w:spacing w:after="0"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低价风险担保的退还时间：</w:t>
      </w:r>
      <w:r>
        <w:rPr>
          <w:rFonts w:hint="eastAsia" w:ascii="宋体" w:hAnsi="宋体"/>
          <w:color w:val="auto"/>
          <w:szCs w:val="21"/>
          <w:highlight w:val="none"/>
          <w:u w:val="single"/>
        </w:rPr>
        <w:t>采用现金担保的，工程竣工验收合格后14天内无息退还；采用银行保函的，工程竣工验收合格后14天内退还</w:t>
      </w:r>
      <w:r>
        <w:rPr>
          <w:rFonts w:hint="eastAsia" w:ascii="宋体" w:hAnsi="宋体"/>
          <w:color w:val="auto"/>
          <w:szCs w:val="21"/>
          <w:highlight w:val="none"/>
        </w:rPr>
        <w:t>。</w:t>
      </w:r>
    </w:p>
    <w:p w14:paraId="742C3BE5">
      <w:pPr>
        <w:pStyle w:val="2"/>
        <w:spacing w:after="0" w:line="360" w:lineRule="auto"/>
        <w:ind w:firstLine="420" w:firstLineChars="200"/>
        <w:jc w:val="left"/>
        <w:rPr>
          <w:rFonts w:hint="eastAsia" w:ascii="宋体" w:hAnsi="宋体"/>
          <w:color w:val="auto"/>
          <w:szCs w:val="21"/>
          <w:highlight w:val="none"/>
        </w:rPr>
      </w:pPr>
      <w:bookmarkStart w:id="1411" w:name="_Toc532377340"/>
      <w:bookmarkStart w:id="1412" w:name="_Toc351203636"/>
      <w:bookmarkStart w:id="1413" w:name="_Toc532375611"/>
      <w:r>
        <w:rPr>
          <w:rFonts w:hint="eastAsia" w:ascii="宋体" w:hAnsi="宋体"/>
          <w:color w:val="auto"/>
          <w:szCs w:val="21"/>
          <w:highlight w:val="none"/>
        </w:rPr>
        <w:t>（5）低价风险担保的扣减：</w:t>
      </w:r>
    </w:p>
    <w:p w14:paraId="01549EA9">
      <w:pPr>
        <w:pStyle w:val="2"/>
        <w:spacing w:after="0"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①承包人在工程施工期间，以其投标时填报的工程主要材料价格低于同期工程造价管理机构发布的信息价格为由拒绝材料采购；或因其自身其他原因导致工程窝工或停工等，给发包人造成直接经济损失且拒绝承担的，按低价风险担保金额的</w:t>
      </w:r>
      <w:r>
        <w:rPr>
          <w:rFonts w:hint="eastAsia" w:ascii="宋体" w:hAnsi="宋体"/>
          <w:color w:val="auto"/>
          <w:szCs w:val="21"/>
          <w:highlight w:val="none"/>
          <w:u w:val="single"/>
        </w:rPr>
        <w:t>50～100%</w:t>
      </w:r>
      <w:r>
        <w:rPr>
          <w:rFonts w:hint="eastAsia" w:ascii="宋体" w:hAnsi="宋体"/>
          <w:color w:val="auto"/>
          <w:szCs w:val="21"/>
          <w:highlight w:val="none"/>
        </w:rPr>
        <w:t>扣减，直至解除合同；</w:t>
      </w:r>
    </w:p>
    <w:p w14:paraId="6ACA2A8E">
      <w:pPr>
        <w:pStyle w:val="2"/>
        <w:spacing w:after="0"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②承包人在工程施工期间或竣工验收时，工程质量不符合国家现行有关施工质量验收规范要求的，按低价风险担保金额的</w:t>
      </w:r>
      <w:r>
        <w:rPr>
          <w:rFonts w:hint="eastAsia" w:ascii="宋体" w:hAnsi="宋体"/>
          <w:color w:val="auto"/>
          <w:szCs w:val="21"/>
          <w:highlight w:val="none"/>
          <w:u w:val="single"/>
        </w:rPr>
        <w:t>50～100%</w:t>
      </w:r>
      <w:r>
        <w:rPr>
          <w:rFonts w:hint="eastAsia" w:ascii="宋体" w:hAnsi="宋体"/>
          <w:color w:val="auto"/>
          <w:szCs w:val="21"/>
          <w:highlight w:val="none"/>
        </w:rPr>
        <w:t>扣减，直至解除合同；</w:t>
      </w:r>
    </w:p>
    <w:p w14:paraId="1A16CC8A">
      <w:pPr>
        <w:pStyle w:val="2"/>
        <w:spacing w:after="0"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③承包人因16.2.3项原因被解除合同的，低价风险担保将全额扣除；</w:t>
      </w:r>
    </w:p>
    <w:p w14:paraId="48690D0C">
      <w:pPr>
        <w:pStyle w:val="2"/>
        <w:spacing w:after="0"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④因承包人过错导致的其他情形：</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4C65B7DB">
      <w:pPr>
        <w:pStyle w:val="6"/>
        <w:keepNext/>
        <w:keepLines/>
        <w:spacing w:before="156" w:beforeLines="50" w:beforeAutospacing="0" w:after="156" w:afterLines="50" w:afterAutospacing="0" w:line="360" w:lineRule="auto"/>
        <w:jc w:val="both"/>
        <w:rPr>
          <w:bCs w:val="0"/>
          <w:color w:val="auto"/>
          <w:kern w:val="2"/>
          <w:sz w:val="21"/>
          <w:szCs w:val="21"/>
          <w:highlight w:val="none"/>
        </w:rPr>
      </w:pPr>
      <w:r>
        <w:rPr>
          <w:rFonts w:hint="eastAsia"/>
          <w:color w:val="auto"/>
          <w:kern w:val="2"/>
          <w:sz w:val="21"/>
          <w:szCs w:val="21"/>
          <w:highlight w:val="none"/>
        </w:rPr>
        <w:t>4</w:t>
      </w:r>
      <w:bookmarkStart w:id="1414" w:name="_Toc292559366"/>
      <w:bookmarkStart w:id="1415" w:name="_Toc296890990"/>
      <w:bookmarkStart w:id="1416" w:name="_Toc297048348"/>
      <w:bookmarkStart w:id="1417" w:name="_Toc297120462"/>
      <w:bookmarkStart w:id="1418" w:name="_Toc292559871"/>
      <w:bookmarkStart w:id="1419" w:name="_Toc296346663"/>
      <w:bookmarkStart w:id="1420" w:name="_Toc296503162"/>
      <w:bookmarkStart w:id="1421" w:name="_Toc296347161"/>
      <w:bookmarkStart w:id="1422" w:name="_Toc296891202"/>
      <w:bookmarkStart w:id="1423" w:name="_Toc296944501"/>
      <w:bookmarkStart w:id="1424" w:name="_Toc267251413"/>
      <w:r>
        <w:rPr>
          <w:rFonts w:hint="eastAsia"/>
          <w:color w:val="auto"/>
          <w:kern w:val="2"/>
          <w:sz w:val="21"/>
          <w:szCs w:val="21"/>
          <w:highlight w:val="none"/>
        </w:rPr>
        <w:t>. 监</w:t>
      </w:r>
      <w:bookmarkEnd w:id="1414"/>
      <w:bookmarkEnd w:id="1415"/>
      <w:bookmarkEnd w:id="1416"/>
      <w:bookmarkEnd w:id="1417"/>
      <w:bookmarkEnd w:id="1418"/>
      <w:bookmarkEnd w:id="1419"/>
      <w:bookmarkEnd w:id="1420"/>
      <w:bookmarkEnd w:id="1421"/>
      <w:bookmarkEnd w:id="1422"/>
      <w:bookmarkEnd w:id="1423"/>
      <w:bookmarkEnd w:id="1424"/>
      <w:r>
        <w:rPr>
          <w:rFonts w:hint="eastAsia"/>
          <w:color w:val="auto"/>
          <w:kern w:val="2"/>
          <w:sz w:val="21"/>
          <w:szCs w:val="21"/>
          <w:highlight w:val="none"/>
        </w:rPr>
        <w:t>理人</w:t>
      </w:r>
      <w:bookmarkEnd w:id="1411"/>
      <w:bookmarkEnd w:id="1412"/>
      <w:bookmarkEnd w:id="1413"/>
    </w:p>
    <w:p w14:paraId="4BF54045">
      <w:pPr>
        <w:pStyle w:val="7"/>
        <w:spacing w:before="0" w:beforeAutospacing="0" w:after="0" w:afterAutospacing="0" w:line="360" w:lineRule="auto"/>
        <w:ind w:firstLine="422" w:firstLineChars="200"/>
        <w:rPr>
          <w:color w:val="auto"/>
          <w:sz w:val="21"/>
          <w:szCs w:val="21"/>
          <w:highlight w:val="none"/>
        </w:rPr>
      </w:pPr>
      <w:bookmarkStart w:id="1425" w:name="_Toc532377341"/>
      <w:r>
        <w:rPr>
          <w:rFonts w:hint="eastAsia"/>
          <w:color w:val="auto"/>
          <w:sz w:val="21"/>
          <w:szCs w:val="21"/>
          <w:highlight w:val="none"/>
        </w:rPr>
        <w:t>4.1 监理人的一般规定</w:t>
      </w:r>
      <w:bookmarkEnd w:id="1425"/>
    </w:p>
    <w:p w14:paraId="019B35E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关于监理人的监理内容：</w:t>
      </w:r>
      <w:r>
        <w:rPr>
          <w:rFonts w:hint="eastAsia" w:ascii="宋体" w:hAnsi="宋体"/>
          <w:color w:val="auto"/>
          <w:szCs w:val="21"/>
          <w:highlight w:val="none"/>
          <w:u w:val="single"/>
        </w:rPr>
        <w:t>见发包人与监理人就本工程签订的监理合同</w:t>
      </w:r>
      <w:r>
        <w:rPr>
          <w:rFonts w:hint="eastAsia" w:ascii="宋体" w:hAnsi="宋体"/>
          <w:color w:val="auto"/>
          <w:szCs w:val="21"/>
          <w:highlight w:val="none"/>
        </w:rPr>
        <w:t>。</w:t>
      </w:r>
    </w:p>
    <w:p w14:paraId="7EF06BD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关于监理人的监理权限：</w:t>
      </w:r>
      <w:r>
        <w:rPr>
          <w:rFonts w:hint="eastAsia" w:ascii="宋体" w:hAnsi="宋体"/>
          <w:color w:val="auto"/>
          <w:szCs w:val="21"/>
          <w:highlight w:val="none"/>
          <w:u w:val="single"/>
        </w:rPr>
        <w:t>见发包人与监理人就本工程签订的监理合同；任何涉及费用确定和（或）工期调整，或者设计变更，或者变更估价，或者涉及经济责任的事项，监理工程师在发出指令或通知前，须征得发包人书面同意</w:t>
      </w:r>
      <w:r>
        <w:rPr>
          <w:rFonts w:hint="eastAsia" w:ascii="宋体" w:hAnsi="宋体"/>
          <w:color w:val="auto"/>
          <w:szCs w:val="21"/>
          <w:highlight w:val="none"/>
        </w:rPr>
        <w:t>。</w:t>
      </w:r>
    </w:p>
    <w:p w14:paraId="179E2D6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关于监理人在施工现场的办公场所、生活场所的提供和费用承担的约定：</w:t>
      </w:r>
      <w:r>
        <w:rPr>
          <w:rFonts w:hint="eastAsia" w:ascii="宋体" w:hAnsi="宋体"/>
          <w:color w:val="auto"/>
          <w:szCs w:val="21"/>
          <w:highlight w:val="none"/>
          <w:u w:val="single"/>
        </w:rPr>
        <w:t xml:space="preserve">                          </w:t>
      </w:r>
      <w:r>
        <w:rPr>
          <w:rFonts w:hint="eastAsia" w:ascii="宋体" w:hAnsi="宋体"/>
          <w:color w:val="auto"/>
          <w:szCs w:val="21"/>
          <w:highlight w:val="none"/>
        </w:rPr>
        <w:t>。</w:t>
      </w:r>
    </w:p>
    <w:p w14:paraId="6FACC6F5">
      <w:pPr>
        <w:pStyle w:val="7"/>
        <w:spacing w:before="0" w:beforeAutospacing="0" w:after="0" w:afterAutospacing="0" w:line="360" w:lineRule="auto"/>
        <w:ind w:firstLine="422" w:firstLineChars="200"/>
        <w:rPr>
          <w:color w:val="auto"/>
          <w:sz w:val="21"/>
          <w:szCs w:val="21"/>
          <w:highlight w:val="none"/>
        </w:rPr>
      </w:pPr>
      <w:bookmarkStart w:id="1426" w:name="_Toc532377342"/>
      <w:r>
        <w:rPr>
          <w:rFonts w:hint="eastAsia"/>
          <w:color w:val="auto"/>
          <w:sz w:val="21"/>
          <w:szCs w:val="21"/>
          <w:highlight w:val="none"/>
        </w:rPr>
        <w:t>4.2 监理人员</w:t>
      </w:r>
      <w:bookmarkEnd w:id="1426"/>
    </w:p>
    <w:p w14:paraId="20B353A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总监理工程师：</w:t>
      </w:r>
    </w:p>
    <w:p w14:paraId="55D74A6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姓    名：</w:t>
      </w:r>
      <w:r>
        <w:rPr>
          <w:rFonts w:ascii="宋体" w:hAnsi="宋体"/>
          <w:color w:val="auto"/>
          <w:szCs w:val="21"/>
          <w:highlight w:val="none"/>
          <w:u w:val="single"/>
        </w:rPr>
        <w:t xml:space="preserve">                          </w:t>
      </w:r>
      <w:r>
        <w:rPr>
          <w:rFonts w:hint="eastAsia" w:ascii="宋体" w:hAnsi="宋体"/>
          <w:color w:val="auto"/>
          <w:szCs w:val="21"/>
          <w:highlight w:val="none"/>
        </w:rPr>
        <w:t>；</w:t>
      </w:r>
    </w:p>
    <w:p w14:paraId="72273F7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职    务：</w:t>
      </w:r>
      <w:r>
        <w:rPr>
          <w:rFonts w:ascii="宋体" w:hAnsi="宋体"/>
          <w:color w:val="auto"/>
          <w:szCs w:val="21"/>
          <w:highlight w:val="none"/>
          <w:u w:val="single"/>
        </w:rPr>
        <w:t xml:space="preserve">                          </w:t>
      </w:r>
      <w:r>
        <w:rPr>
          <w:rFonts w:hint="eastAsia" w:ascii="宋体" w:hAnsi="宋体"/>
          <w:color w:val="auto"/>
          <w:szCs w:val="21"/>
          <w:highlight w:val="none"/>
        </w:rPr>
        <w:t>；</w:t>
      </w:r>
    </w:p>
    <w:p w14:paraId="541085A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监理工程师执业资格证书号：</w:t>
      </w:r>
      <w:r>
        <w:rPr>
          <w:rFonts w:ascii="宋体" w:hAnsi="宋体"/>
          <w:color w:val="auto"/>
          <w:szCs w:val="21"/>
          <w:highlight w:val="none"/>
          <w:u w:val="single"/>
        </w:rPr>
        <w:t xml:space="preserve">              </w:t>
      </w:r>
      <w:r>
        <w:rPr>
          <w:rFonts w:hint="eastAsia" w:ascii="宋体" w:hAnsi="宋体"/>
          <w:color w:val="auto"/>
          <w:szCs w:val="21"/>
          <w:highlight w:val="none"/>
        </w:rPr>
        <w:t>；</w:t>
      </w:r>
    </w:p>
    <w:p w14:paraId="3ACF946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联系方式：</w:t>
      </w:r>
      <w:r>
        <w:rPr>
          <w:rFonts w:ascii="宋体" w:hAnsi="宋体"/>
          <w:color w:val="auto"/>
          <w:szCs w:val="21"/>
          <w:highlight w:val="none"/>
          <w:u w:val="single"/>
        </w:rPr>
        <w:t xml:space="preserve">                          </w:t>
      </w:r>
      <w:r>
        <w:rPr>
          <w:rFonts w:hint="eastAsia" w:ascii="宋体" w:hAnsi="宋体"/>
          <w:color w:val="auto"/>
          <w:szCs w:val="21"/>
          <w:highlight w:val="none"/>
        </w:rPr>
        <w:t>；</w:t>
      </w:r>
    </w:p>
    <w:p w14:paraId="71749E5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关于监理人的其他约定：</w:t>
      </w:r>
      <w:r>
        <w:rPr>
          <w:rFonts w:hint="eastAsia" w:ascii="宋体" w:hAnsi="宋体"/>
          <w:color w:val="auto"/>
          <w:szCs w:val="21"/>
          <w:highlight w:val="none"/>
          <w:u w:val="single"/>
        </w:rPr>
        <w:t>见发包人与监理人就本工程签订的监理合同</w:t>
      </w:r>
      <w:r>
        <w:rPr>
          <w:rFonts w:hint="eastAsia" w:ascii="宋体" w:hAnsi="宋体"/>
          <w:color w:val="auto"/>
          <w:szCs w:val="21"/>
          <w:highlight w:val="none"/>
        </w:rPr>
        <w:t>。</w:t>
      </w:r>
    </w:p>
    <w:p w14:paraId="6A171981">
      <w:pPr>
        <w:pStyle w:val="7"/>
        <w:spacing w:before="0" w:beforeAutospacing="0" w:after="0" w:afterAutospacing="0" w:line="360" w:lineRule="auto"/>
        <w:ind w:firstLine="420" w:firstLineChars="200"/>
        <w:rPr>
          <w:b w:val="0"/>
          <w:color w:val="auto"/>
          <w:sz w:val="21"/>
          <w:szCs w:val="21"/>
          <w:highlight w:val="none"/>
        </w:rPr>
      </w:pPr>
      <w:bookmarkStart w:id="1427" w:name="_Toc532377343"/>
      <w:r>
        <w:rPr>
          <w:rFonts w:hint="eastAsia"/>
          <w:b w:val="0"/>
          <w:color w:val="auto"/>
          <w:sz w:val="21"/>
          <w:szCs w:val="21"/>
          <w:highlight w:val="none"/>
        </w:rPr>
        <w:t>4.4 商定或确定</w:t>
      </w:r>
      <w:bookmarkEnd w:id="1427"/>
    </w:p>
    <w:p w14:paraId="52C54393">
      <w:pPr>
        <w:spacing w:line="360" w:lineRule="auto"/>
        <w:ind w:firstLine="420" w:firstLineChars="200"/>
        <w:jc w:val="left"/>
        <w:rPr>
          <w:rFonts w:ascii="宋体" w:hAnsi="宋体"/>
          <w:color w:val="auto"/>
          <w:szCs w:val="21"/>
          <w:highlight w:val="none"/>
        </w:rPr>
      </w:pPr>
      <w:bookmarkStart w:id="1428" w:name="_Toc267251418"/>
      <w:r>
        <w:rPr>
          <w:rFonts w:hint="eastAsia" w:ascii="宋体" w:hAnsi="宋体"/>
          <w:color w:val="auto"/>
          <w:szCs w:val="21"/>
          <w:highlight w:val="none"/>
        </w:rPr>
        <w:t>在发包人和承包人不能通过协商达成一致意见时，发包人授权监理人对以下事项进行确定：</w:t>
      </w:r>
    </w:p>
    <w:p w14:paraId="22A10D7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 xml:space="preserve">                          </w:t>
      </w:r>
      <w:r>
        <w:rPr>
          <w:rFonts w:hint="eastAsia" w:ascii="宋体" w:hAnsi="宋体"/>
          <w:color w:val="auto"/>
          <w:szCs w:val="21"/>
          <w:highlight w:val="none"/>
        </w:rPr>
        <w:t>。</w:t>
      </w:r>
    </w:p>
    <w:p w14:paraId="04EF049E">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429" w:name="_Toc532375612"/>
      <w:bookmarkStart w:id="1430" w:name="_Toc532377344"/>
      <w:bookmarkStart w:id="1431" w:name="_Toc351203637"/>
      <w:r>
        <w:rPr>
          <w:rFonts w:hint="eastAsia"/>
          <w:color w:val="auto"/>
          <w:kern w:val="2"/>
          <w:sz w:val="21"/>
          <w:szCs w:val="21"/>
          <w:highlight w:val="none"/>
        </w:rPr>
        <w:t>5</w:t>
      </w:r>
      <w:bookmarkEnd w:id="1428"/>
      <w:bookmarkStart w:id="1432" w:name="_Toc292559367"/>
      <w:bookmarkStart w:id="1433" w:name="_Toc292559872"/>
      <w:bookmarkStart w:id="1434" w:name="_Toc296503163"/>
      <w:bookmarkStart w:id="1435" w:name="_Toc296347162"/>
      <w:bookmarkStart w:id="1436" w:name="_Toc296346664"/>
      <w:bookmarkStart w:id="1437" w:name="_Toc296890991"/>
      <w:bookmarkStart w:id="1438" w:name="_Toc296891203"/>
      <w:bookmarkStart w:id="1439" w:name="_Toc297120463"/>
      <w:bookmarkStart w:id="1440" w:name="_Toc296944502"/>
      <w:bookmarkStart w:id="1441" w:name="_Toc297048349"/>
      <w:r>
        <w:rPr>
          <w:rFonts w:hint="eastAsia"/>
          <w:color w:val="auto"/>
          <w:kern w:val="2"/>
          <w:sz w:val="21"/>
          <w:szCs w:val="21"/>
          <w:highlight w:val="none"/>
        </w:rPr>
        <w:t>. 工程质量</w:t>
      </w:r>
      <w:bookmarkEnd w:id="1429"/>
      <w:bookmarkEnd w:id="1430"/>
      <w:bookmarkEnd w:id="1431"/>
    </w:p>
    <w:p w14:paraId="5D03F2B8">
      <w:pPr>
        <w:pStyle w:val="7"/>
        <w:spacing w:before="0" w:beforeAutospacing="0" w:after="0" w:afterAutospacing="0" w:line="360" w:lineRule="auto"/>
        <w:ind w:firstLine="422" w:firstLineChars="200"/>
        <w:rPr>
          <w:color w:val="auto"/>
          <w:sz w:val="21"/>
          <w:szCs w:val="21"/>
          <w:highlight w:val="none"/>
        </w:rPr>
      </w:pPr>
      <w:bookmarkStart w:id="1442" w:name="_Toc532377345"/>
      <w:r>
        <w:rPr>
          <w:rFonts w:hint="eastAsia"/>
          <w:color w:val="auto"/>
          <w:sz w:val="21"/>
          <w:szCs w:val="21"/>
          <w:highlight w:val="none"/>
        </w:rPr>
        <w:t>5.1 质量要求</w:t>
      </w:r>
      <w:bookmarkEnd w:id="1442"/>
      <w:bookmarkStart w:id="1443" w:name="_Hlk528909888"/>
      <w:bookmarkStart w:id="1444" w:name="_Toc297216155"/>
      <w:bookmarkStart w:id="1445" w:name="_Toc303539106"/>
      <w:bookmarkStart w:id="1446" w:name="_Toc297123496"/>
      <w:bookmarkStart w:id="1447" w:name="_Toc318581164"/>
      <w:bookmarkStart w:id="1448" w:name="_Toc304295527"/>
      <w:bookmarkStart w:id="1449" w:name="_Toc300934949"/>
      <w:bookmarkStart w:id="1450" w:name="_Toc312677997"/>
    </w:p>
    <w:p w14:paraId="2FBAB2E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工程质量符合国家有关施工质量验收规范和标准要求，达到合格标准</w:t>
      </w:r>
      <w:r>
        <w:rPr>
          <w:rFonts w:hint="eastAsia" w:ascii="宋体" w:hAnsi="宋体"/>
          <w:color w:val="auto"/>
          <w:szCs w:val="21"/>
          <w:highlight w:val="none"/>
        </w:rPr>
        <w:t>。</w:t>
      </w:r>
    </w:p>
    <w:bookmarkEnd w:id="1443"/>
    <w:p w14:paraId="6C977193">
      <w:pPr>
        <w:pStyle w:val="7"/>
        <w:spacing w:before="0" w:beforeAutospacing="0" w:after="0" w:afterAutospacing="0" w:line="360" w:lineRule="auto"/>
        <w:ind w:firstLine="422" w:firstLineChars="200"/>
        <w:rPr>
          <w:color w:val="auto"/>
          <w:sz w:val="21"/>
          <w:szCs w:val="21"/>
          <w:highlight w:val="none"/>
        </w:rPr>
      </w:pPr>
      <w:bookmarkStart w:id="1451" w:name="_Toc532377346"/>
      <w:r>
        <w:rPr>
          <w:rFonts w:hint="eastAsia"/>
          <w:color w:val="auto"/>
          <w:sz w:val="21"/>
          <w:szCs w:val="21"/>
          <w:highlight w:val="none"/>
        </w:rPr>
        <w:t>5.2 质量保证措施</w:t>
      </w:r>
      <w:bookmarkEnd w:id="1451"/>
    </w:p>
    <w:p w14:paraId="5540F83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本款补充5.2.4项：</w:t>
      </w:r>
    </w:p>
    <w:p w14:paraId="4CDAC63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5.2.4 在工程建设中，参建各方应严格执行以下规定（包括但不限于）：</w:t>
      </w:r>
    </w:p>
    <w:p w14:paraId="52C0BCDF">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u w:val="single"/>
        </w:rPr>
        <w:t>《建筑工程施工质量验收统一标准》（GB50300-2013）</w:t>
      </w:r>
      <w:r>
        <w:rPr>
          <w:rFonts w:hint="eastAsia" w:ascii="宋体" w:hAnsi="宋体"/>
          <w:color w:val="auto"/>
          <w:szCs w:val="21"/>
          <w:highlight w:val="none"/>
        </w:rPr>
        <w:t>；</w:t>
      </w:r>
    </w:p>
    <w:p w14:paraId="090BBCB8">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u w:val="single"/>
        </w:rPr>
        <w:t>《住房城乡建设部关于印发工程质量安全提升行动方案的通知》（建质〔2017〕57号）</w:t>
      </w:r>
      <w:r>
        <w:rPr>
          <w:rFonts w:hint="eastAsia" w:ascii="宋体" w:hAnsi="宋体"/>
          <w:color w:val="auto"/>
          <w:szCs w:val="21"/>
          <w:highlight w:val="none"/>
        </w:rPr>
        <w:t>；</w:t>
      </w:r>
    </w:p>
    <w:p w14:paraId="24387128">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（3）</w:t>
      </w:r>
      <w:r>
        <w:rPr>
          <w:rFonts w:hint="eastAsia" w:ascii="宋体" w:hAnsi="宋体"/>
          <w:color w:val="auto"/>
          <w:szCs w:val="21"/>
          <w:highlight w:val="none"/>
          <w:u w:val="single"/>
        </w:rPr>
        <w:t>《房屋建筑和市政基础设施工程竣工验收规定》（建质〔2013〕171号）</w:t>
      </w:r>
      <w:r>
        <w:rPr>
          <w:rFonts w:hint="eastAsia" w:ascii="宋体" w:hAnsi="宋体"/>
          <w:color w:val="auto"/>
          <w:szCs w:val="21"/>
          <w:highlight w:val="none"/>
        </w:rPr>
        <w:t>；</w:t>
      </w:r>
    </w:p>
    <w:p w14:paraId="29FD83A6">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（4）</w:t>
      </w:r>
      <w:r>
        <w:rPr>
          <w:rFonts w:hint="eastAsia" w:ascii="宋体" w:hAnsi="宋体"/>
          <w:color w:val="auto"/>
          <w:szCs w:val="21"/>
          <w:highlight w:val="none"/>
          <w:u w:val="single"/>
        </w:rPr>
        <w:t>《建设部关于贯彻执行建筑工程勘察设计及施工质量验收规范若干问题的通知》（建标〔2002〕212号）</w:t>
      </w:r>
      <w:r>
        <w:rPr>
          <w:rFonts w:hint="eastAsia" w:ascii="宋体" w:hAnsi="宋体"/>
          <w:color w:val="auto"/>
          <w:szCs w:val="21"/>
          <w:highlight w:val="none"/>
        </w:rPr>
        <w:t>；</w:t>
      </w:r>
    </w:p>
    <w:p w14:paraId="7A6E1062">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（5）</w:t>
      </w:r>
      <w:r>
        <w:rPr>
          <w:rFonts w:hint="eastAsia" w:ascii="宋体" w:hAnsi="宋体"/>
          <w:color w:val="auto"/>
          <w:szCs w:val="21"/>
          <w:highlight w:val="none"/>
          <w:u w:val="single"/>
        </w:rPr>
        <w:t>《重庆市住房和城乡建设委员会关于印发&lt;重庆市房屋建筑和市政基础设施工程质量常见问题防治要点（2019年版）&gt;的通知》（渝建〔2019〕198号）</w:t>
      </w:r>
      <w:r>
        <w:rPr>
          <w:rFonts w:hint="eastAsia" w:ascii="宋体" w:hAnsi="宋体"/>
          <w:color w:val="auto"/>
          <w:szCs w:val="21"/>
          <w:highlight w:val="none"/>
        </w:rPr>
        <w:t>；</w:t>
      </w:r>
    </w:p>
    <w:p w14:paraId="2723016B">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（6）</w:t>
      </w:r>
      <w:r>
        <w:rPr>
          <w:rFonts w:hint="eastAsia" w:ascii="宋体" w:hAnsi="宋体"/>
          <w:color w:val="auto"/>
          <w:szCs w:val="21"/>
          <w:highlight w:val="none"/>
          <w:u w:val="single"/>
        </w:rPr>
        <w:t>《关于印发&lt;重庆市房屋建筑和市政基础设施工程预拌商品砂浆应用推进工作方案&gt;的通知》（渝建〔2018〕375号）</w:t>
      </w:r>
      <w:r>
        <w:rPr>
          <w:rFonts w:hint="eastAsia" w:ascii="宋体" w:hAnsi="宋体"/>
          <w:color w:val="auto"/>
          <w:szCs w:val="21"/>
          <w:highlight w:val="none"/>
        </w:rPr>
        <w:t>；</w:t>
      </w:r>
    </w:p>
    <w:p w14:paraId="59AC9C3B">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（7）</w:t>
      </w:r>
      <w:r>
        <w:rPr>
          <w:rFonts w:hint="eastAsia" w:ascii="宋体" w:hAnsi="宋体"/>
          <w:color w:val="auto"/>
          <w:szCs w:val="21"/>
          <w:highlight w:val="none"/>
          <w:u w:val="single"/>
        </w:rPr>
        <w:t>《重庆市城乡建设委员会关于印发2018年房屋建筑和市政基础设施工程质量要点的通知》（渝建〔2018〕94号）</w:t>
      </w:r>
      <w:r>
        <w:rPr>
          <w:rFonts w:hint="eastAsia" w:ascii="宋体" w:hAnsi="宋体"/>
          <w:color w:val="auto"/>
          <w:szCs w:val="21"/>
          <w:highlight w:val="none"/>
        </w:rPr>
        <w:t>；</w:t>
      </w:r>
    </w:p>
    <w:p w14:paraId="58DAD8F6">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（8）</w:t>
      </w:r>
      <w:r>
        <w:rPr>
          <w:rFonts w:hint="eastAsia" w:ascii="宋体" w:hAnsi="宋体"/>
          <w:color w:val="auto"/>
          <w:szCs w:val="21"/>
          <w:highlight w:val="none"/>
          <w:u w:val="single"/>
        </w:rPr>
        <w:t>《重庆市城乡建设委员会关于进一步推广应用预拌商品砂浆的通知》（渝建〔2016〕318号）</w:t>
      </w:r>
      <w:r>
        <w:rPr>
          <w:rFonts w:hint="eastAsia" w:ascii="宋体" w:hAnsi="宋体"/>
          <w:color w:val="auto"/>
          <w:szCs w:val="21"/>
          <w:highlight w:val="none"/>
        </w:rPr>
        <w:t>；</w:t>
      </w:r>
    </w:p>
    <w:p w14:paraId="4C265613">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（9）</w:t>
      </w:r>
      <w:r>
        <w:rPr>
          <w:rFonts w:hint="eastAsia" w:ascii="宋体" w:hAnsi="宋体"/>
          <w:color w:val="auto"/>
          <w:szCs w:val="21"/>
          <w:highlight w:val="none"/>
          <w:u w:val="single"/>
        </w:rPr>
        <w:t>《重庆市建设委员会关于发布&lt;建筑工程施工质量验收规范用表（建筑节能分部工程）&gt;和&lt;建设工程技术用表（建筑节能工程）&gt;的通知》（渝建发〔2008〕76号）</w:t>
      </w:r>
      <w:r>
        <w:rPr>
          <w:rFonts w:hint="eastAsia" w:ascii="宋体" w:hAnsi="宋体"/>
          <w:color w:val="auto"/>
          <w:szCs w:val="21"/>
          <w:highlight w:val="none"/>
        </w:rPr>
        <w:t>；</w:t>
      </w:r>
    </w:p>
    <w:p w14:paraId="241199B7">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（10）</w:t>
      </w:r>
      <w:r>
        <w:rPr>
          <w:rFonts w:hint="eastAsia" w:ascii="宋体" w:hAnsi="宋体"/>
          <w:color w:val="auto"/>
          <w:szCs w:val="21"/>
          <w:highlight w:val="none"/>
          <w:u w:val="single"/>
        </w:rPr>
        <w:t>国家和本市现行有关建设工程质量验收标准、规范和要求</w:t>
      </w:r>
      <w:r>
        <w:rPr>
          <w:rFonts w:hint="eastAsia" w:ascii="宋体" w:hAnsi="宋体"/>
          <w:color w:val="auto"/>
          <w:szCs w:val="21"/>
          <w:highlight w:val="none"/>
        </w:rPr>
        <w:t>；</w:t>
      </w:r>
    </w:p>
    <w:p w14:paraId="11236C21">
      <w:pPr>
        <w:pStyle w:val="2"/>
        <w:spacing w:after="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0AE0C01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承包人、监理人和发包人在工程建设中，应严格执行国家及重庆市现行标准，如上述标准及规范要求有出入则以较严格者为准。</w:t>
      </w:r>
    </w:p>
    <w:p w14:paraId="7BE497F3">
      <w:pPr>
        <w:pStyle w:val="7"/>
        <w:spacing w:before="0" w:beforeAutospacing="0" w:after="0" w:afterAutospacing="0" w:line="360" w:lineRule="auto"/>
        <w:ind w:firstLine="422" w:firstLineChars="200"/>
        <w:rPr>
          <w:color w:val="auto"/>
          <w:sz w:val="21"/>
          <w:szCs w:val="21"/>
          <w:highlight w:val="none"/>
        </w:rPr>
      </w:pPr>
      <w:bookmarkStart w:id="1452" w:name="_Toc351203536"/>
      <w:bookmarkStart w:id="1453" w:name="_Toc532377347"/>
      <w:bookmarkStart w:id="1454" w:name="_Hlk528927873"/>
      <w:r>
        <w:rPr>
          <w:rFonts w:hint="eastAsia"/>
          <w:color w:val="auto"/>
          <w:sz w:val="21"/>
          <w:szCs w:val="21"/>
          <w:highlight w:val="none"/>
        </w:rPr>
        <w:t>5.3隐蔽工程检查</w:t>
      </w:r>
    </w:p>
    <w:p w14:paraId="117E15E1">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5.3.2检查程序</w:t>
      </w:r>
    </w:p>
    <w:p w14:paraId="1318AB6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工程隐蔽部位经承包人自检确认具备覆盖条件的，承包人应在共同检查前</w:t>
      </w:r>
      <w:r>
        <w:rPr>
          <w:rFonts w:hint="eastAsia" w:ascii="宋体" w:hAnsi="宋体"/>
          <w:color w:val="auto"/>
          <w:szCs w:val="21"/>
          <w:highlight w:val="none"/>
          <w:u w:val="single"/>
        </w:rPr>
        <w:t xml:space="preserve">    </w:t>
      </w:r>
      <w:r>
        <w:rPr>
          <w:rFonts w:hint="eastAsia" w:ascii="宋体" w:hAnsi="宋体"/>
          <w:color w:val="auto"/>
          <w:szCs w:val="21"/>
          <w:highlight w:val="none"/>
        </w:rPr>
        <w:t>小时书面通知监理人检查，通知中应载明隐蔽检查的内容、时间和地点，并应附有自检记录和必要的检查资料。</w:t>
      </w:r>
    </w:p>
    <w:p w14:paraId="25F6639D">
      <w:pPr>
        <w:pStyle w:val="7"/>
        <w:spacing w:before="0" w:beforeAutospacing="0" w:after="0" w:afterAutospacing="0" w:line="360" w:lineRule="auto"/>
        <w:ind w:firstLine="422" w:firstLineChars="200"/>
        <w:rPr>
          <w:color w:val="auto"/>
          <w:sz w:val="21"/>
          <w:szCs w:val="21"/>
          <w:highlight w:val="none"/>
        </w:rPr>
      </w:pPr>
      <w:r>
        <w:rPr>
          <w:rFonts w:hint="eastAsia"/>
          <w:color w:val="auto"/>
          <w:sz w:val="21"/>
          <w:szCs w:val="21"/>
          <w:highlight w:val="none"/>
        </w:rPr>
        <w:t>5</w:t>
      </w:r>
      <w:bookmarkStart w:id="1455" w:name="_Toc337558762"/>
      <w:r>
        <w:rPr>
          <w:rFonts w:hint="eastAsia"/>
          <w:color w:val="auto"/>
          <w:sz w:val="21"/>
          <w:szCs w:val="21"/>
          <w:highlight w:val="none"/>
        </w:rPr>
        <w:t>.4 不合格工程的处理</w:t>
      </w:r>
      <w:bookmarkEnd w:id="1452"/>
      <w:bookmarkEnd w:id="1453"/>
    </w:p>
    <w:bookmarkEnd w:id="1455"/>
    <w:p w14:paraId="20BDDE3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本款补充5.4.3项：</w:t>
      </w:r>
    </w:p>
    <w:p w14:paraId="30C9093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5.4.3 承包人在收到监理人发出的《不合格分项报告》或监理通知单后，必须在监理人规定时间内按要求完成整改，未能在限定时间内完成整改的，须承担相应违约责任。</w:t>
      </w:r>
    </w:p>
    <w:p w14:paraId="2F71B79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本条补充5.6款：</w:t>
      </w:r>
    </w:p>
    <w:bookmarkEnd w:id="1454"/>
    <w:p w14:paraId="304B76F7">
      <w:pPr>
        <w:pStyle w:val="7"/>
        <w:spacing w:before="0" w:beforeAutospacing="0" w:after="0" w:afterAutospacing="0" w:line="360" w:lineRule="auto"/>
        <w:ind w:firstLine="422" w:firstLineChars="200"/>
        <w:rPr>
          <w:color w:val="auto"/>
          <w:sz w:val="21"/>
          <w:szCs w:val="21"/>
          <w:highlight w:val="none"/>
        </w:rPr>
      </w:pPr>
      <w:bookmarkStart w:id="1456" w:name="_Toc532377348"/>
      <w:r>
        <w:rPr>
          <w:rFonts w:hint="eastAsia"/>
          <w:color w:val="auto"/>
          <w:sz w:val="21"/>
          <w:szCs w:val="21"/>
          <w:highlight w:val="none"/>
        </w:rPr>
        <w:t>5.6 质量事故的处理</w:t>
      </w:r>
      <w:bookmarkEnd w:id="1456"/>
    </w:p>
    <w:p w14:paraId="2691BEC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5.6.1 合同履行过程中，发生工程质量事故的调查处理按照国家及重庆市现行规定处理。</w:t>
      </w:r>
    </w:p>
    <w:p w14:paraId="0DD1C72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5.6.2 发包人在对工程质量、安全和环境保护、水土保持等建设全过程管理中发现有技术、质量和其他问题的，可通过监理人责令承包人返工或整改；对存在的隐患，有权责令承包人予以解决，承包人按照合同中其他条款约定承担违约责任。</w:t>
      </w:r>
    </w:p>
    <w:bookmarkEnd w:id="1432"/>
    <w:bookmarkEnd w:id="1433"/>
    <w:bookmarkEnd w:id="1434"/>
    <w:bookmarkEnd w:id="1435"/>
    <w:bookmarkEnd w:id="1436"/>
    <w:bookmarkEnd w:id="1437"/>
    <w:bookmarkEnd w:id="1438"/>
    <w:bookmarkEnd w:id="1439"/>
    <w:bookmarkEnd w:id="1440"/>
    <w:bookmarkEnd w:id="1441"/>
    <w:bookmarkEnd w:id="1444"/>
    <w:bookmarkEnd w:id="1445"/>
    <w:bookmarkEnd w:id="1446"/>
    <w:bookmarkEnd w:id="1447"/>
    <w:bookmarkEnd w:id="1448"/>
    <w:bookmarkEnd w:id="1449"/>
    <w:bookmarkEnd w:id="1450"/>
    <w:p w14:paraId="6B2953B1">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457" w:name="_Toc532375613"/>
      <w:bookmarkStart w:id="1458" w:name="_Toc532377349"/>
      <w:bookmarkStart w:id="1459" w:name="_Toc351203638"/>
      <w:bookmarkStart w:id="1460" w:name="_Toc296503173"/>
      <w:bookmarkStart w:id="1461" w:name="_Toc267251427"/>
      <w:bookmarkStart w:id="1462" w:name="_Toc296891001"/>
      <w:bookmarkStart w:id="1463" w:name="_Toc267251428"/>
      <w:bookmarkStart w:id="1464" w:name="_Toc296891213"/>
      <w:bookmarkStart w:id="1465" w:name="_Toc296347172"/>
      <w:bookmarkStart w:id="1466" w:name="_Toc292559378"/>
      <w:bookmarkStart w:id="1467" w:name="_Toc351203642"/>
      <w:bookmarkStart w:id="1468" w:name="_Toc296346674"/>
      <w:bookmarkStart w:id="1469" w:name="_Toc297120473"/>
      <w:bookmarkStart w:id="1470" w:name="_Toc297048359"/>
      <w:bookmarkStart w:id="1471" w:name="_Toc296944512"/>
      <w:bookmarkStart w:id="1472" w:name="_Toc292559883"/>
      <w:r>
        <w:rPr>
          <w:rFonts w:hint="eastAsia"/>
          <w:color w:val="auto"/>
          <w:kern w:val="2"/>
          <w:sz w:val="21"/>
          <w:szCs w:val="21"/>
          <w:highlight w:val="none"/>
        </w:rPr>
        <w:t>6. 安全文明施工与环境保护</w:t>
      </w:r>
      <w:bookmarkEnd w:id="1457"/>
      <w:bookmarkEnd w:id="1458"/>
      <w:bookmarkEnd w:id="1459"/>
    </w:p>
    <w:p w14:paraId="7B3D0697">
      <w:pPr>
        <w:pStyle w:val="7"/>
        <w:spacing w:before="0" w:beforeAutospacing="0" w:after="0" w:afterAutospacing="0" w:line="360" w:lineRule="auto"/>
        <w:ind w:firstLine="422" w:firstLineChars="200"/>
        <w:rPr>
          <w:color w:val="auto"/>
          <w:sz w:val="21"/>
          <w:szCs w:val="21"/>
          <w:highlight w:val="none"/>
        </w:rPr>
      </w:pPr>
      <w:bookmarkStart w:id="1473" w:name="_Toc532377350"/>
      <w:bookmarkStart w:id="1474" w:name="_Toc532375614"/>
      <w:r>
        <w:rPr>
          <w:rFonts w:hint="eastAsia"/>
          <w:color w:val="auto"/>
          <w:sz w:val="21"/>
          <w:szCs w:val="21"/>
          <w:highlight w:val="none"/>
        </w:rPr>
        <w:t>6.1 安全文明施工</w:t>
      </w:r>
      <w:bookmarkEnd w:id="1473"/>
      <w:bookmarkEnd w:id="1474"/>
    </w:p>
    <w:p w14:paraId="525995E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承包人必须认真贯彻执行国家安全生产法律、法规、规章和标准，按照重庆市现行的质量、安全文明施工有关规定和发包人安全管理的有关规定，建立完善的质量、安全、文明施工管理制度。</w:t>
      </w:r>
    </w:p>
    <w:p w14:paraId="060FED7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的施工要做到节能、环保，如果通过采用新材料、新设备、新工艺、新技术的手段来提高工程质量或节省工期，则必须保证新材料、新设备、新工艺、新技术是成熟的并获得相关部门正式批准的，同时使用前承包人必须组织专家论证，并得到发包人、监理人的批准。</w:t>
      </w:r>
    </w:p>
    <w:p w14:paraId="50890B2F">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6.1.1 项目安全生产的达标目标及相应事项的约定：</w:t>
      </w:r>
      <w:r>
        <w:rPr>
          <w:rFonts w:hint="eastAsia" w:ascii="宋体" w:hAnsi="宋体"/>
          <w:color w:val="auto"/>
          <w:szCs w:val="21"/>
          <w:highlight w:val="none"/>
          <w:u w:val="single"/>
        </w:rPr>
        <w:t>达到《建筑施工安全检查标准》（JGJ59-2011）的要求</w:t>
      </w:r>
      <w:r>
        <w:rPr>
          <w:rFonts w:hint="eastAsia" w:ascii="宋体" w:hAnsi="宋体"/>
          <w:color w:val="auto"/>
          <w:szCs w:val="21"/>
          <w:highlight w:val="none"/>
        </w:rPr>
        <w:t>。</w:t>
      </w:r>
    </w:p>
    <w:p w14:paraId="1DC86C8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（1）按现行安全文明施工费计取及使用管理的政策文件规定及发包人制订的安全管理制度执行</w:t>
      </w:r>
      <w:r>
        <w:rPr>
          <w:rFonts w:hint="eastAsia" w:ascii="宋体" w:hAnsi="宋体"/>
          <w:color w:val="auto"/>
          <w:szCs w:val="21"/>
          <w:highlight w:val="none"/>
        </w:rPr>
        <w:t>。</w:t>
      </w:r>
    </w:p>
    <w:p w14:paraId="070982B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（2）承包人的原因造成事故，由此产生的法律责任和事故责任及费用由承包人全部承担</w:t>
      </w:r>
      <w:r>
        <w:rPr>
          <w:rFonts w:hint="eastAsia" w:ascii="宋体" w:hAnsi="宋体"/>
          <w:color w:val="auto"/>
          <w:szCs w:val="21"/>
          <w:highlight w:val="none"/>
        </w:rPr>
        <w:t>。</w:t>
      </w:r>
    </w:p>
    <w:p w14:paraId="758BB37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（3）承包人向发包人做出安全承诺，并签订《安全生产目标责任书》和《安全承诺书》</w:t>
      </w:r>
      <w:r>
        <w:rPr>
          <w:rFonts w:hint="eastAsia" w:ascii="宋体" w:hAnsi="宋体"/>
          <w:color w:val="auto"/>
          <w:szCs w:val="21"/>
          <w:highlight w:val="none"/>
        </w:rPr>
        <w:t>。</w:t>
      </w:r>
    </w:p>
    <w:p w14:paraId="47D6751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（4）承包人在施工过程中，必须严格执行安全生产法的相关规定，制定切实可靠的安全技术措施</w:t>
      </w:r>
      <w:r>
        <w:rPr>
          <w:rFonts w:hint="eastAsia" w:ascii="宋体" w:hAnsi="宋体"/>
          <w:color w:val="auto"/>
          <w:szCs w:val="21"/>
          <w:highlight w:val="none"/>
        </w:rPr>
        <w:t>。</w:t>
      </w:r>
    </w:p>
    <w:p w14:paraId="43C05960">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（5）接受发包人安全监督和管理，在施工中违反安全管理规定和操作规程、违章作业的，承担违约责任</w:t>
      </w:r>
      <w:r>
        <w:rPr>
          <w:rFonts w:hint="eastAsia" w:ascii="宋体" w:hAnsi="宋体"/>
          <w:color w:val="auto"/>
          <w:szCs w:val="21"/>
          <w:highlight w:val="none"/>
        </w:rPr>
        <w:t>。</w:t>
      </w:r>
    </w:p>
    <w:p w14:paraId="7D3CB49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6.1.4 关于治安保卫的特别约定：</w:t>
      </w:r>
      <w:r>
        <w:rPr>
          <w:rFonts w:hint="eastAsia" w:ascii="宋体" w:hAnsi="宋体"/>
          <w:color w:val="auto"/>
          <w:szCs w:val="21"/>
          <w:highlight w:val="none"/>
          <w:u w:val="single"/>
        </w:rPr>
        <w:t>承包人负责组建施工现场治安管理机构或联防组织；承包人负责编制施工场地治安管理计划和突发治安事件紧急预案</w:t>
      </w:r>
      <w:r>
        <w:rPr>
          <w:rFonts w:hint="eastAsia" w:ascii="宋体" w:hAnsi="宋体"/>
          <w:color w:val="auto"/>
          <w:szCs w:val="21"/>
          <w:highlight w:val="none"/>
        </w:rPr>
        <w:t>。</w:t>
      </w:r>
    </w:p>
    <w:p w14:paraId="131B464A">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关于编制施工场地治安管理计划的约定：</w:t>
      </w:r>
      <w:r>
        <w:rPr>
          <w:rFonts w:hint="eastAsia" w:ascii="宋体" w:hAnsi="宋体"/>
          <w:color w:val="auto"/>
          <w:szCs w:val="21"/>
          <w:highlight w:val="none"/>
          <w:u w:val="single"/>
        </w:rPr>
        <w:t>由承包人负责</w:t>
      </w:r>
      <w:r>
        <w:rPr>
          <w:rFonts w:hint="eastAsia" w:ascii="宋体" w:hAnsi="宋体"/>
          <w:color w:val="auto"/>
          <w:szCs w:val="21"/>
          <w:highlight w:val="none"/>
        </w:rPr>
        <w:t>。</w:t>
      </w:r>
    </w:p>
    <w:p w14:paraId="18453BF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6.1.5 文明施工</w:t>
      </w:r>
    </w:p>
    <w:p w14:paraId="2EDBC1C8">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合同当事人对文明施工的要求：</w:t>
      </w:r>
      <w:r>
        <w:rPr>
          <w:rFonts w:hint="eastAsia" w:ascii="宋体" w:hAnsi="宋体"/>
          <w:color w:val="auto"/>
          <w:szCs w:val="21"/>
          <w:highlight w:val="none"/>
          <w:u w:val="single"/>
        </w:rPr>
        <w:t>承包人应按照《房屋建筑和市政基础设施工程施工扬尘控制工作方案》（渝建发〔2009〕13号）、《重庆市建设委员会关于印发&lt;重庆市房屋建筑和市政基础设施工程现场文明施工标准&gt;的通知》（渝建发〔2008〕169号）等相关规定履行好施工扬尘控制、文明施工等责任</w:t>
      </w:r>
      <w:r>
        <w:rPr>
          <w:rFonts w:hint="eastAsia" w:ascii="宋体" w:hAnsi="宋体"/>
          <w:color w:val="auto"/>
          <w:szCs w:val="21"/>
          <w:highlight w:val="none"/>
        </w:rPr>
        <w:t>。</w:t>
      </w:r>
    </w:p>
    <w:p w14:paraId="0436FE25">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承包人应按规定设置施工现场围挡，承包人采用的围挡主体形式应从重庆市城乡建委发布的标准图集（DJBT-062、DJBT-063）中选用，做好施工围挡，围挡应整齐美观，承包人按相关要求做好日常维护和保洁，围挡高度满足规范要求，相关费用已包含在签约合同价中</w:t>
      </w:r>
      <w:r>
        <w:rPr>
          <w:rFonts w:hint="eastAsia" w:ascii="宋体" w:hAnsi="宋体"/>
          <w:color w:val="auto"/>
          <w:szCs w:val="21"/>
          <w:highlight w:val="none"/>
        </w:rPr>
        <w:t>。</w:t>
      </w:r>
    </w:p>
    <w:p w14:paraId="3D20391E">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6.1.6 关于安全文明施工费支付比例和支付期限的约定：按照行业主管部门相关规定</w:t>
      </w:r>
      <w:r>
        <w:rPr>
          <w:rFonts w:hint="eastAsia" w:ascii="宋体" w:hAnsi="宋体"/>
          <w:color w:val="auto"/>
          <w:szCs w:val="21"/>
          <w:highlight w:val="none"/>
          <w:u w:val="single"/>
        </w:rPr>
        <w:t xml:space="preserve">                 </w:t>
      </w:r>
      <w:r>
        <w:rPr>
          <w:rFonts w:hint="eastAsia" w:ascii="宋体" w:hAnsi="宋体"/>
          <w:color w:val="auto"/>
          <w:szCs w:val="21"/>
          <w:highlight w:val="none"/>
        </w:rPr>
        <w:t>执行。</w:t>
      </w:r>
    </w:p>
    <w:p w14:paraId="246CCB6A">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安全文明施工费的要求与内容、提取支付方法以及违反约定造成损失的赔偿等条款，按照现行规范要求执行，做到专款专用</w:t>
      </w:r>
      <w:r>
        <w:rPr>
          <w:rFonts w:hint="eastAsia" w:ascii="宋体" w:hAnsi="宋体"/>
          <w:color w:val="auto"/>
          <w:szCs w:val="21"/>
          <w:highlight w:val="none"/>
        </w:rPr>
        <w:t>。</w:t>
      </w:r>
    </w:p>
    <w:p w14:paraId="3A15E769">
      <w:pPr>
        <w:pStyle w:val="7"/>
        <w:spacing w:before="0" w:beforeAutospacing="0" w:after="0" w:afterAutospacing="0" w:line="360" w:lineRule="auto"/>
        <w:ind w:firstLine="422" w:firstLineChars="200"/>
        <w:rPr>
          <w:color w:val="auto"/>
          <w:sz w:val="21"/>
          <w:szCs w:val="21"/>
          <w:highlight w:val="none"/>
        </w:rPr>
      </w:pPr>
      <w:bookmarkStart w:id="1475" w:name="_Toc532375615"/>
      <w:bookmarkStart w:id="1476" w:name="_Toc532377351"/>
      <w:r>
        <w:rPr>
          <w:rFonts w:hint="eastAsia"/>
          <w:color w:val="auto"/>
          <w:sz w:val="21"/>
          <w:szCs w:val="21"/>
          <w:highlight w:val="none"/>
        </w:rPr>
        <w:t>6.3 环境保护</w:t>
      </w:r>
      <w:bookmarkEnd w:id="1475"/>
      <w:bookmarkEnd w:id="1476"/>
    </w:p>
    <w:p w14:paraId="12F2FA61">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本款补充6.3.1～6.3.8项：</w:t>
      </w:r>
    </w:p>
    <w:p w14:paraId="3EC1D0AC">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6.3.1 承包人应严格按照项目环境影响评价文件批准书结合发包人报送的环境影响报告书的要求进行环境保护的相关工作。如行政主管部门有新标准，则按最新标准执行，执行新标准增加的费用由发包人承担。</w:t>
      </w:r>
    </w:p>
    <w:p w14:paraId="67E92011">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6.3.2 承包人应做好对周边环境的调查工作，认真编制施工组织设计，严格按照施工方案组织施工，涉及交通、绿化、市政、环保、生态、公共安全等的施工方案应达到相关标准要求并在施工前得到相关行政主管部门和单位的同意，否则不得施工，因施工原因引起的一切投诉及处罚由承包人自行负责。</w:t>
      </w:r>
    </w:p>
    <w:p w14:paraId="637581C2">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6.3.3 承包人应加强生态环境保护工作。施工期间，采取边坡防护，挡渣坝、排水沟、沉淀池、表土剥离和绿化恢复等水土保持措施减少水土流失量，绿化恢复宜采用适于当地生长的植物。</w:t>
      </w:r>
    </w:p>
    <w:p w14:paraId="0B242766">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6.3.4 承包人应认真落实水污染防治措施。施工期间，加强机械设备维护，减少跑冒滴漏等现象；做好含油废水处理措施；施工场地生活污水经生化处理后达到《污水综合排放标准》（GB8978-1996）一级标准后排放。</w:t>
      </w:r>
    </w:p>
    <w:p w14:paraId="26B9ECF6">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6.3.5 承包人应重视大气污染物污染防治措施。施工期间，严格执行市政府“蓝天行动”方案等有关规定，通过洒水防尘，严格控制施工场地扬尘和运输扬尘污染。</w:t>
      </w:r>
    </w:p>
    <w:p w14:paraId="6E5BAC7D">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6.3.6 承包人应落实固体废物污染防治措施。施工期间，项目产生的弃方不可合理</w:t>
      </w:r>
      <w:r>
        <w:rPr>
          <w:rFonts w:ascii="宋体" w:hAnsi="宋体"/>
          <w:color w:val="auto"/>
          <w:szCs w:val="21"/>
          <w:highlight w:val="none"/>
        </w:rPr>
        <w:t>利用的</w:t>
      </w:r>
      <w:r>
        <w:rPr>
          <w:rFonts w:hint="eastAsia" w:ascii="宋体" w:hAnsi="宋体"/>
          <w:color w:val="auto"/>
          <w:szCs w:val="21"/>
          <w:highlight w:val="none"/>
        </w:rPr>
        <w:t>，应运往指定的弃渣场内堆存；建筑垃圾运至指定的建筑垃圾消纳场处置；生活垃圾由当地环卫部门统一处置。</w:t>
      </w:r>
    </w:p>
    <w:p w14:paraId="1E1B3F91">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6.3.7 承包人应认真落实噪声污染防治措施。施工期间，优选低噪声设备，合理安排施工时间，严格控制夜间施工，昼、夜施工场界需满足《建筑施工场界环境噪声排放标准》（GB12523-2011）。</w:t>
      </w:r>
    </w:p>
    <w:p w14:paraId="459BA5BA">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6.3.8 承包人自行负责办理有关施工场地交通、环卫和施工噪音管理等手续，并应按要求结合自身实际和重庆市相关规定，考虑不低于以上标准的此类工作。</w:t>
      </w:r>
    </w:p>
    <w:p w14:paraId="158FE6B7">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 xml:space="preserve">6.3.9 </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187493A2">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477" w:name="_Toc351203639"/>
      <w:bookmarkStart w:id="1478" w:name="_Toc532375616"/>
      <w:bookmarkStart w:id="1479" w:name="_Toc532377352"/>
      <w:r>
        <w:rPr>
          <w:rFonts w:hint="eastAsia"/>
          <w:color w:val="auto"/>
          <w:kern w:val="2"/>
          <w:sz w:val="21"/>
          <w:szCs w:val="21"/>
          <w:highlight w:val="none"/>
        </w:rPr>
        <w:t>7. 工期和进度</w:t>
      </w:r>
      <w:bookmarkEnd w:id="1477"/>
      <w:bookmarkEnd w:id="1478"/>
      <w:bookmarkEnd w:id="1479"/>
    </w:p>
    <w:p w14:paraId="143FF675">
      <w:pPr>
        <w:pStyle w:val="7"/>
        <w:spacing w:before="0" w:beforeAutospacing="0" w:after="0" w:afterAutospacing="0" w:line="360" w:lineRule="auto"/>
        <w:ind w:firstLine="422" w:firstLineChars="200"/>
        <w:rPr>
          <w:color w:val="auto"/>
          <w:sz w:val="21"/>
          <w:szCs w:val="21"/>
          <w:highlight w:val="none"/>
        </w:rPr>
      </w:pPr>
      <w:bookmarkStart w:id="1480" w:name="_Toc532375617"/>
      <w:bookmarkStart w:id="1481" w:name="_Toc532377353"/>
      <w:r>
        <w:rPr>
          <w:rFonts w:hint="eastAsia"/>
          <w:color w:val="auto"/>
          <w:sz w:val="21"/>
          <w:szCs w:val="21"/>
          <w:highlight w:val="none"/>
        </w:rPr>
        <w:t>7.1 施工组织设计</w:t>
      </w:r>
      <w:bookmarkEnd w:id="1480"/>
      <w:bookmarkEnd w:id="1481"/>
    </w:p>
    <w:p w14:paraId="04E9B99C">
      <w:pPr>
        <w:autoSpaceDE w:val="0"/>
        <w:autoSpaceDN w:val="0"/>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7.1.1 合同当事人约定的施工组织设计应包括的其他内容：</w:t>
      </w:r>
      <w:r>
        <w:rPr>
          <w:rFonts w:hint="eastAsia" w:ascii="宋体" w:hAnsi="宋体"/>
          <w:color w:val="auto"/>
          <w:szCs w:val="21"/>
          <w:highlight w:val="none"/>
          <w:u w:val="single"/>
        </w:rPr>
        <w:t>应采用文字并结合图表形式说明施工方法；拟投入工程的主要施工设备情况、拟配备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按发包人要求提供</w:t>
      </w:r>
      <w:r>
        <w:rPr>
          <w:rFonts w:hint="eastAsia" w:ascii="宋体" w:hAnsi="宋体"/>
          <w:color w:val="auto"/>
          <w:szCs w:val="21"/>
          <w:highlight w:val="none"/>
        </w:rPr>
        <w:t>。</w:t>
      </w:r>
    </w:p>
    <w:p w14:paraId="4D2447EC">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7.1.2 施工组织设计的提交和修改</w:t>
      </w:r>
    </w:p>
    <w:p w14:paraId="7B20ECB4">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承包人提交详细施工组织设计的期限的约定：</w:t>
      </w:r>
      <w:r>
        <w:rPr>
          <w:rFonts w:hint="eastAsia" w:ascii="宋体" w:hAnsi="宋体"/>
          <w:color w:val="auto"/>
          <w:szCs w:val="21"/>
          <w:highlight w:val="none"/>
          <w:u w:val="single"/>
        </w:rPr>
        <w:t>合同签订后  天内，但最迟不得晚于开工通知载明的开工日期前7天</w:t>
      </w:r>
      <w:r>
        <w:rPr>
          <w:rFonts w:hint="eastAsia" w:ascii="宋体" w:hAnsi="宋体"/>
          <w:color w:val="auto"/>
          <w:szCs w:val="21"/>
          <w:highlight w:val="none"/>
        </w:rPr>
        <w:t>。</w:t>
      </w:r>
    </w:p>
    <w:p w14:paraId="4157AA1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发包人和监理人在收到详细的施工组织设计后确认或提出修改意见的期限：</w:t>
      </w:r>
      <w:r>
        <w:rPr>
          <w:rFonts w:hint="eastAsia" w:ascii="宋体" w:hAnsi="宋体"/>
          <w:color w:val="auto"/>
          <w:szCs w:val="21"/>
          <w:highlight w:val="none"/>
          <w:u w:val="single"/>
        </w:rPr>
        <w:t>收到施工组织设计后  天内</w:t>
      </w:r>
      <w:r>
        <w:rPr>
          <w:rFonts w:hint="eastAsia" w:ascii="宋体" w:hAnsi="宋体"/>
          <w:color w:val="auto"/>
          <w:szCs w:val="21"/>
          <w:highlight w:val="none"/>
        </w:rPr>
        <w:t>。</w:t>
      </w:r>
    </w:p>
    <w:p w14:paraId="6D8FF739">
      <w:pPr>
        <w:pStyle w:val="7"/>
        <w:spacing w:before="0" w:beforeAutospacing="0" w:after="0" w:afterAutospacing="0" w:line="360" w:lineRule="auto"/>
        <w:ind w:firstLine="422" w:firstLineChars="200"/>
        <w:rPr>
          <w:color w:val="auto"/>
          <w:sz w:val="21"/>
          <w:szCs w:val="21"/>
          <w:highlight w:val="none"/>
        </w:rPr>
      </w:pPr>
      <w:bookmarkStart w:id="1482" w:name="_Toc532377354"/>
      <w:bookmarkStart w:id="1483" w:name="_Toc532375618"/>
      <w:r>
        <w:rPr>
          <w:rFonts w:hint="eastAsia"/>
          <w:color w:val="auto"/>
          <w:sz w:val="21"/>
          <w:szCs w:val="21"/>
          <w:highlight w:val="none"/>
        </w:rPr>
        <w:t>7.2 施工进度计划</w:t>
      </w:r>
      <w:bookmarkEnd w:id="1482"/>
      <w:bookmarkEnd w:id="1483"/>
    </w:p>
    <w:p w14:paraId="55382F7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7.2.2 施工进度计划的修订</w:t>
      </w:r>
    </w:p>
    <w:p w14:paraId="2711228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发包人和监理人在收到修订的施工进度计划后确认或提出修改意见的期限：</w:t>
      </w:r>
      <w:r>
        <w:rPr>
          <w:rFonts w:hint="eastAsia" w:ascii="宋体" w:hAnsi="宋体"/>
          <w:color w:val="auto"/>
          <w:szCs w:val="21"/>
          <w:highlight w:val="none"/>
          <w:u w:val="single"/>
        </w:rPr>
        <w:t>收到修订的施工进度计划后  天内</w:t>
      </w:r>
      <w:r>
        <w:rPr>
          <w:rFonts w:hint="eastAsia" w:ascii="宋体" w:hAnsi="宋体"/>
          <w:color w:val="auto"/>
          <w:szCs w:val="21"/>
          <w:highlight w:val="none"/>
        </w:rPr>
        <w:t>。</w:t>
      </w:r>
    </w:p>
    <w:p w14:paraId="35C91EA9">
      <w:pPr>
        <w:pStyle w:val="7"/>
        <w:spacing w:before="0" w:beforeAutospacing="0" w:after="0" w:afterAutospacing="0" w:line="360" w:lineRule="auto"/>
        <w:ind w:firstLine="422" w:firstLineChars="200"/>
        <w:rPr>
          <w:color w:val="auto"/>
          <w:sz w:val="21"/>
          <w:szCs w:val="21"/>
          <w:highlight w:val="none"/>
        </w:rPr>
      </w:pPr>
      <w:bookmarkStart w:id="1484" w:name="_Toc532377355"/>
      <w:bookmarkStart w:id="1485" w:name="_Toc532375619"/>
      <w:bookmarkStart w:id="1486" w:name="_Toc312677479"/>
      <w:bookmarkStart w:id="1487" w:name="_Toc297123514"/>
      <w:bookmarkStart w:id="1488" w:name="_Toc304295541"/>
      <w:bookmarkStart w:id="1489" w:name="_Toc300934966"/>
      <w:bookmarkStart w:id="1490" w:name="_Toc297216173"/>
      <w:bookmarkStart w:id="1491" w:name="_Toc312678005"/>
      <w:bookmarkStart w:id="1492" w:name="_Toc303539123"/>
      <w:r>
        <w:rPr>
          <w:rFonts w:hint="eastAsia"/>
          <w:color w:val="auto"/>
          <w:sz w:val="21"/>
          <w:szCs w:val="21"/>
          <w:highlight w:val="none"/>
        </w:rPr>
        <w:t>7.3 开工</w:t>
      </w:r>
      <w:bookmarkEnd w:id="1484"/>
      <w:bookmarkEnd w:id="1485"/>
    </w:p>
    <w:p w14:paraId="5BAD486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7.3.1 开工准备</w:t>
      </w:r>
    </w:p>
    <w:p w14:paraId="3FFE204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关于承包人提交工程开工报审表的期限：</w:t>
      </w:r>
      <w:r>
        <w:rPr>
          <w:rFonts w:hint="eastAsia" w:ascii="宋体" w:hAnsi="宋体"/>
          <w:color w:val="auto"/>
          <w:szCs w:val="21"/>
          <w:highlight w:val="none"/>
          <w:u w:val="single"/>
        </w:rPr>
        <w:t>不晚于开工前  天</w:t>
      </w:r>
      <w:r>
        <w:rPr>
          <w:rFonts w:hint="eastAsia" w:ascii="宋体" w:hAnsi="宋体"/>
          <w:color w:val="auto"/>
          <w:szCs w:val="21"/>
          <w:highlight w:val="none"/>
        </w:rPr>
        <w:t>。</w:t>
      </w:r>
    </w:p>
    <w:p w14:paraId="47E0BDF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关于发包人应完成的其他开工准备工作及期限：</w:t>
      </w:r>
      <w:r>
        <w:rPr>
          <w:rFonts w:hint="eastAsia" w:ascii="宋体" w:hAnsi="宋体"/>
          <w:color w:val="auto"/>
          <w:szCs w:val="21"/>
          <w:highlight w:val="none"/>
          <w:u w:val="single"/>
        </w:rPr>
        <w:t>不晚于开工前  天</w:t>
      </w:r>
      <w:r>
        <w:rPr>
          <w:rFonts w:hint="eastAsia" w:ascii="宋体" w:hAnsi="宋体"/>
          <w:color w:val="auto"/>
          <w:szCs w:val="21"/>
          <w:highlight w:val="none"/>
        </w:rPr>
        <w:t>。</w:t>
      </w:r>
    </w:p>
    <w:p w14:paraId="55A60D3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关于承包人应完成的其他开工准备工作及期限：</w:t>
      </w:r>
      <w:r>
        <w:rPr>
          <w:rFonts w:hint="eastAsia" w:ascii="宋体" w:hAnsi="宋体"/>
          <w:color w:val="auto"/>
          <w:szCs w:val="21"/>
          <w:highlight w:val="none"/>
          <w:u w:val="single"/>
        </w:rPr>
        <w:t>不晚于开工前  天</w:t>
      </w:r>
      <w:r>
        <w:rPr>
          <w:rFonts w:hint="eastAsia" w:ascii="宋体" w:hAnsi="宋体"/>
          <w:color w:val="auto"/>
          <w:szCs w:val="21"/>
          <w:highlight w:val="none"/>
        </w:rPr>
        <w:t>。</w:t>
      </w:r>
    </w:p>
    <w:bookmarkEnd w:id="1486"/>
    <w:bookmarkEnd w:id="1487"/>
    <w:bookmarkEnd w:id="1488"/>
    <w:bookmarkEnd w:id="1489"/>
    <w:bookmarkEnd w:id="1490"/>
    <w:bookmarkEnd w:id="1491"/>
    <w:bookmarkEnd w:id="1492"/>
    <w:p w14:paraId="732F475B">
      <w:pPr>
        <w:pStyle w:val="7"/>
        <w:spacing w:before="0" w:beforeAutospacing="0" w:after="0" w:afterAutospacing="0" w:line="360" w:lineRule="auto"/>
        <w:ind w:firstLine="422" w:firstLineChars="200"/>
        <w:rPr>
          <w:color w:val="auto"/>
          <w:sz w:val="21"/>
          <w:szCs w:val="21"/>
          <w:highlight w:val="none"/>
        </w:rPr>
      </w:pPr>
      <w:bookmarkStart w:id="1493" w:name="_Toc532377356"/>
      <w:bookmarkStart w:id="1494" w:name="_Toc532375620"/>
      <w:r>
        <w:rPr>
          <w:rFonts w:hint="eastAsia"/>
          <w:color w:val="auto"/>
          <w:sz w:val="21"/>
          <w:szCs w:val="21"/>
          <w:highlight w:val="none"/>
        </w:rPr>
        <w:t>7.4 测量放线</w:t>
      </w:r>
      <w:bookmarkEnd w:id="1493"/>
      <w:bookmarkEnd w:id="1494"/>
    </w:p>
    <w:p w14:paraId="255F55A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7.4.1 发包人通过监理人向承包人提供测量基准点、基准线和水准点及其书面资料的期限：</w:t>
      </w:r>
      <w:r>
        <w:rPr>
          <w:rFonts w:hint="eastAsia" w:ascii="宋体" w:hAnsi="宋体"/>
          <w:color w:val="auto"/>
          <w:szCs w:val="21"/>
          <w:highlight w:val="none"/>
          <w:u w:val="single"/>
        </w:rPr>
        <w:t>不晚于开工前  天</w:t>
      </w:r>
      <w:r>
        <w:rPr>
          <w:rFonts w:hint="eastAsia" w:ascii="宋体" w:hAnsi="宋体"/>
          <w:color w:val="auto"/>
          <w:szCs w:val="21"/>
          <w:highlight w:val="none"/>
        </w:rPr>
        <w:t>。</w:t>
      </w:r>
    </w:p>
    <w:p w14:paraId="289416C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承包人报监理人审批施工控制网资料的期限：</w:t>
      </w:r>
      <w:r>
        <w:rPr>
          <w:rFonts w:hint="eastAsia" w:ascii="宋体" w:hAnsi="宋体"/>
          <w:color w:val="auto"/>
          <w:szCs w:val="21"/>
          <w:highlight w:val="none"/>
          <w:u w:val="single"/>
        </w:rPr>
        <w:t>发出开工通知后  天。承包人发现发包人提供的测量基准点、基准线和水准点及其书面资料存在错误或疏漏的，应及时通知监理人并报告发包人，承包人应会同监理人、发包人核实，发包人就如何处理和是否继续施工作出决定，并通过监理人通知承包人</w:t>
      </w:r>
      <w:r>
        <w:rPr>
          <w:rFonts w:hint="eastAsia" w:ascii="宋体" w:hAnsi="宋体"/>
          <w:color w:val="auto"/>
          <w:szCs w:val="21"/>
          <w:highlight w:val="none"/>
        </w:rPr>
        <w:t>。</w:t>
      </w:r>
    </w:p>
    <w:p w14:paraId="355F3580">
      <w:pPr>
        <w:pStyle w:val="7"/>
        <w:spacing w:before="0" w:beforeAutospacing="0" w:after="0" w:afterAutospacing="0" w:line="360" w:lineRule="auto"/>
        <w:ind w:firstLine="422" w:firstLineChars="200"/>
        <w:rPr>
          <w:color w:val="auto"/>
          <w:sz w:val="21"/>
          <w:szCs w:val="21"/>
          <w:highlight w:val="none"/>
        </w:rPr>
      </w:pPr>
      <w:bookmarkStart w:id="1495" w:name="_Toc532377357"/>
      <w:bookmarkStart w:id="1496" w:name="_Toc532375621"/>
      <w:r>
        <w:rPr>
          <w:rFonts w:hint="eastAsia"/>
          <w:color w:val="auto"/>
          <w:sz w:val="21"/>
          <w:szCs w:val="21"/>
          <w:highlight w:val="none"/>
        </w:rPr>
        <w:t>7</w:t>
      </w:r>
      <w:bookmarkStart w:id="1497" w:name="_Toc297216175"/>
      <w:bookmarkStart w:id="1498" w:name="_Toc300934968"/>
      <w:bookmarkStart w:id="1499" w:name="_Toc297123516"/>
      <w:bookmarkStart w:id="1500" w:name="_Toc312678010"/>
      <w:bookmarkStart w:id="1501" w:name="_Toc304295546"/>
      <w:bookmarkStart w:id="1502" w:name="_Toc312677484"/>
      <w:bookmarkStart w:id="1503" w:name="_Toc303539125"/>
      <w:r>
        <w:rPr>
          <w:rFonts w:hint="eastAsia"/>
          <w:color w:val="auto"/>
          <w:sz w:val="21"/>
          <w:szCs w:val="21"/>
          <w:highlight w:val="none"/>
        </w:rPr>
        <w:t>.5 工期延误</w:t>
      </w:r>
      <w:bookmarkEnd w:id="1495"/>
      <w:bookmarkEnd w:id="1496"/>
    </w:p>
    <w:bookmarkEnd w:id="1497"/>
    <w:bookmarkEnd w:id="1498"/>
    <w:bookmarkEnd w:id="1499"/>
    <w:bookmarkEnd w:id="1500"/>
    <w:bookmarkEnd w:id="1501"/>
    <w:bookmarkEnd w:id="1502"/>
    <w:bookmarkEnd w:id="1503"/>
    <w:p w14:paraId="4DB8C61B">
      <w:pPr>
        <w:spacing w:line="360" w:lineRule="auto"/>
        <w:ind w:firstLine="420" w:firstLineChars="200"/>
        <w:jc w:val="left"/>
        <w:rPr>
          <w:rFonts w:ascii="宋体" w:hAnsi="宋体"/>
          <w:color w:val="auto"/>
          <w:szCs w:val="21"/>
          <w:highlight w:val="none"/>
        </w:rPr>
      </w:pPr>
      <w:bookmarkStart w:id="1504" w:name="_Hlk528927940"/>
      <w:r>
        <w:rPr>
          <w:rFonts w:hint="eastAsia" w:ascii="宋体" w:hAnsi="宋体"/>
          <w:color w:val="auto"/>
          <w:szCs w:val="21"/>
          <w:highlight w:val="none"/>
        </w:rPr>
        <w:t>7.5.1 因发包人原因导致工期延误：</w:t>
      </w:r>
    </w:p>
    <w:p w14:paraId="116D05E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在合同履行过程中，除通用条款约定外，因下列情况导致工期延误和（或）费用增加的，由发包人承担由此延误的工期和（或）增加的费用：</w:t>
      </w:r>
    </w:p>
    <w:p w14:paraId="51F242E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（1）发包人未能按合同约定提供施工场地，且该未提供开工条件直接影响项目关键线路的；</w:t>
      </w:r>
    </w:p>
    <w:p w14:paraId="075312C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（2）发包人提供的测量基准点、基准线和水准点及其书面资料存在错误或疏漏，且该错误或疏漏直接影响项目关键线路的；</w:t>
      </w:r>
    </w:p>
    <w:p w14:paraId="7E299B4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（3）监理人未按合同约定发出指示、批准等文件，且该未按合同约定发出指示、批准直接影响项目关键线路的；</w:t>
      </w:r>
    </w:p>
    <w:p w14:paraId="5CC47A8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（4）变更未及时审批，直接影响项目关键线路的；</w:t>
      </w:r>
    </w:p>
    <w:p w14:paraId="5E49C2D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（5）实施变更直接影响项目关键线路的；</w:t>
      </w:r>
    </w:p>
    <w:p w14:paraId="6DF0963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（6）因发包人原因导致工程暂停施工、停建、缓建的；</w:t>
      </w:r>
    </w:p>
    <w:p w14:paraId="32C91AF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（7）因征地拆迁、当地群众阻工等情形的；</w:t>
      </w:r>
    </w:p>
    <w:p w14:paraId="56D06CDF">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（8）</w:t>
      </w:r>
      <w:r>
        <w:rPr>
          <w:rFonts w:hint="eastAsia" w:ascii="宋体" w:hAnsi="宋体"/>
          <w:color w:val="auto"/>
          <w:szCs w:val="21"/>
          <w:highlight w:val="none"/>
          <w:u w:val="single"/>
        </w:rPr>
        <w:t>合同约定的其他情形</w:t>
      </w:r>
      <w:r>
        <w:rPr>
          <w:rFonts w:hint="eastAsia" w:ascii="宋体" w:hAnsi="宋体"/>
          <w:color w:val="auto"/>
          <w:szCs w:val="21"/>
          <w:highlight w:val="none"/>
        </w:rPr>
        <w:t>。</w:t>
      </w:r>
    </w:p>
    <w:p w14:paraId="369882F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因发包人原因未按计划开工日期开工的，发包人应按实际开工日期顺延竣工日期。因发包人原因导致工期延误需要修订施工进度计划的，按照第7.2.2项〔施工进度计划的修订〕执行</w:t>
      </w:r>
      <w:r>
        <w:rPr>
          <w:rFonts w:hint="eastAsia" w:ascii="宋体" w:hAnsi="宋体"/>
          <w:color w:val="auto"/>
          <w:szCs w:val="21"/>
          <w:highlight w:val="none"/>
        </w:rPr>
        <w:t>。</w:t>
      </w:r>
    </w:p>
    <w:p w14:paraId="72F33D6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7.5.2 因承包人原因导致工期延误</w:t>
      </w:r>
    </w:p>
    <w:p w14:paraId="4FC4AC4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因承包人原因造成工期延误，逾期竣工按16.2.2（6）目执行。</w:t>
      </w:r>
    </w:p>
    <w:bookmarkEnd w:id="1504"/>
    <w:p w14:paraId="26D148EB">
      <w:pPr>
        <w:pStyle w:val="7"/>
        <w:spacing w:before="0" w:beforeAutospacing="0" w:after="0" w:afterAutospacing="0" w:line="360" w:lineRule="auto"/>
        <w:ind w:firstLine="422" w:firstLineChars="200"/>
        <w:rPr>
          <w:color w:val="auto"/>
          <w:sz w:val="21"/>
          <w:szCs w:val="21"/>
          <w:highlight w:val="none"/>
        </w:rPr>
      </w:pPr>
      <w:bookmarkStart w:id="1505" w:name="_Toc532377358"/>
      <w:bookmarkStart w:id="1506" w:name="_Toc532375622"/>
      <w:bookmarkStart w:id="1507" w:name="_Hlk528927997"/>
      <w:r>
        <w:rPr>
          <w:rFonts w:hint="eastAsia"/>
          <w:color w:val="auto"/>
          <w:sz w:val="21"/>
          <w:szCs w:val="21"/>
          <w:highlight w:val="none"/>
        </w:rPr>
        <w:t>7</w:t>
      </w:r>
      <w:bookmarkStart w:id="1508" w:name="_Toc303539128"/>
      <w:bookmarkStart w:id="1509" w:name="_Toc297216178"/>
      <w:bookmarkStart w:id="1510" w:name="_Toc300934971"/>
      <w:bookmarkStart w:id="1511" w:name="_Toc304295549"/>
      <w:bookmarkStart w:id="1512" w:name="_Toc312678015"/>
      <w:bookmarkStart w:id="1513" w:name="_Toc297123519"/>
      <w:r>
        <w:rPr>
          <w:rFonts w:hint="eastAsia"/>
          <w:color w:val="auto"/>
          <w:sz w:val="21"/>
          <w:szCs w:val="21"/>
          <w:highlight w:val="none"/>
        </w:rPr>
        <w:t>.6 不</w:t>
      </w:r>
      <w:bookmarkEnd w:id="1508"/>
      <w:bookmarkEnd w:id="1509"/>
      <w:bookmarkEnd w:id="1510"/>
      <w:bookmarkEnd w:id="1511"/>
      <w:bookmarkEnd w:id="1512"/>
      <w:bookmarkEnd w:id="1513"/>
      <w:r>
        <w:rPr>
          <w:rFonts w:hint="eastAsia"/>
          <w:color w:val="auto"/>
          <w:sz w:val="21"/>
          <w:szCs w:val="21"/>
          <w:highlight w:val="none"/>
        </w:rPr>
        <w:t>利物质条件</w:t>
      </w:r>
      <w:bookmarkEnd w:id="1505"/>
      <w:bookmarkEnd w:id="1506"/>
    </w:p>
    <w:bookmarkEnd w:id="1507"/>
    <w:p w14:paraId="776F2D0C">
      <w:pPr>
        <w:spacing w:line="360" w:lineRule="auto"/>
        <w:ind w:firstLine="420" w:firstLineChars="200"/>
        <w:jc w:val="left"/>
        <w:rPr>
          <w:rFonts w:ascii="宋体" w:hAnsi="宋体"/>
          <w:bCs/>
          <w:color w:val="auto"/>
          <w:szCs w:val="21"/>
          <w:highlight w:val="none"/>
        </w:rPr>
      </w:pPr>
      <w:bookmarkStart w:id="1514" w:name="_Toc297123520"/>
      <w:bookmarkStart w:id="1515" w:name="_Toc304295550"/>
      <w:bookmarkStart w:id="1516" w:name="_Toc303539129"/>
      <w:bookmarkStart w:id="1517" w:name="_Toc312678016"/>
      <w:bookmarkStart w:id="1518" w:name="_Toc297216179"/>
      <w:bookmarkStart w:id="1519" w:name="_Toc318581172"/>
      <w:bookmarkStart w:id="1520" w:name="_Toc300934972"/>
      <w:r>
        <w:rPr>
          <w:rFonts w:hint="eastAsia" w:ascii="宋体" w:hAnsi="宋体"/>
          <w:color w:val="auto"/>
          <w:szCs w:val="21"/>
          <w:highlight w:val="none"/>
        </w:rPr>
        <w:t>不利物质条件的其他情形和有关约定：</w:t>
      </w:r>
      <w:bookmarkStart w:id="1521" w:name="_Hlk528910274"/>
      <w:r>
        <w:rPr>
          <w:rFonts w:hint="eastAsia" w:ascii="宋体" w:hAnsi="宋体"/>
          <w:color w:val="auto"/>
          <w:szCs w:val="21"/>
          <w:highlight w:val="none"/>
          <w:u w:val="single"/>
        </w:rPr>
        <w:t xml:space="preserve">    </w:t>
      </w:r>
      <w:r>
        <w:rPr>
          <w:rFonts w:hint="eastAsia" w:ascii="宋体" w:hAnsi="宋体"/>
          <w:color w:val="auto"/>
          <w:szCs w:val="21"/>
          <w:highlight w:val="none"/>
        </w:rPr>
        <w:t>。</w:t>
      </w:r>
    </w:p>
    <w:bookmarkEnd w:id="1514"/>
    <w:bookmarkEnd w:id="1515"/>
    <w:bookmarkEnd w:id="1516"/>
    <w:bookmarkEnd w:id="1517"/>
    <w:bookmarkEnd w:id="1518"/>
    <w:bookmarkEnd w:id="1519"/>
    <w:bookmarkEnd w:id="1520"/>
    <w:bookmarkEnd w:id="1521"/>
    <w:p w14:paraId="293639FA">
      <w:pPr>
        <w:pStyle w:val="7"/>
        <w:spacing w:before="0" w:beforeAutospacing="0" w:after="0" w:afterAutospacing="0" w:line="360" w:lineRule="auto"/>
        <w:ind w:firstLine="422" w:firstLineChars="200"/>
        <w:rPr>
          <w:color w:val="auto"/>
          <w:sz w:val="21"/>
          <w:szCs w:val="21"/>
          <w:highlight w:val="none"/>
        </w:rPr>
      </w:pPr>
      <w:bookmarkStart w:id="1522" w:name="_Toc532375623"/>
      <w:bookmarkStart w:id="1523" w:name="_Toc532377359"/>
      <w:r>
        <w:rPr>
          <w:rFonts w:hint="eastAsia"/>
          <w:color w:val="auto"/>
          <w:sz w:val="21"/>
          <w:szCs w:val="21"/>
          <w:highlight w:val="none"/>
        </w:rPr>
        <w:t>7</w:t>
      </w:r>
      <w:bookmarkStart w:id="1524" w:name="_Toc300934973"/>
      <w:bookmarkStart w:id="1525" w:name="_Toc304295551"/>
      <w:bookmarkStart w:id="1526" w:name="_Toc297216180"/>
      <w:bookmarkStart w:id="1527" w:name="_Toc297123521"/>
      <w:bookmarkStart w:id="1528" w:name="_Toc312678017"/>
      <w:bookmarkStart w:id="1529" w:name="_Toc303539130"/>
      <w:r>
        <w:rPr>
          <w:rFonts w:hint="eastAsia"/>
          <w:color w:val="auto"/>
          <w:sz w:val="21"/>
          <w:szCs w:val="21"/>
          <w:highlight w:val="none"/>
        </w:rPr>
        <w:t>.7异常恶劣的气候条件</w:t>
      </w:r>
      <w:bookmarkEnd w:id="1522"/>
      <w:bookmarkEnd w:id="1523"/>
    </w:p>
    <w:bookmarkEnd w:id="1524"/>
    <w:bookmarkEnd w:id="1525"/>
    <w:bookmarkEnd w:id="1526"/>
    <w:bookmarkEnd w:id="1527"/>
    <w:bookmarkEnd w:id="1528"/>
    <w:bookmarkEnd w:id="1529"/>
    <w:p w14:paraId="078A8090">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发包人和承包人同意以下情形视为异常恶劣的气候条件：</w:t>
      </w:r>
      <w:r>
        <w:rPr>
          <w:rFonts w:hint="eastAsia" w:ascii="宋体" w:hAnsi="宋体"/>
          <w:color w:val="auto"/>
          <w:szCs w:val="21"/>
          <w:highlight w:val="none"/>
          <w:u w:val="single"/>
        </w:rPr>
        <w:t xml:space="preserve">    （异常气候是指项目所在地50年以上一遇的罕见气候现象）</w:t>
      </w:r>
      <w:r>
        <w:rPr>
          <w:rFonts w:hint="eastAsia" w:ascii="宋体" w:hAnsi="宋体"/>
          <w:color w:val="auto"/>
          <w:szCs w:val="21"/>
          <w:highlight w:val="none"/>
        </w:rPr>
        <w:t>。</w:t>
      </w:r>
    </w:p>
    <w:p w14:paraId="183175D4">
      <w:pPr>
        <w:pStyle w:val="7"/>
        <w:spacing w:before="0" w:beforeAutospacing="0" w:after="0" w:afterAutospacing="0" w:line="360" w:lineRule="auto"/>
        <w:ind w:firstLine="422" w:firstLineChars="200"/>
        <w:rPr>
          <w:color w:val="auto"/>
          <w:sz w:val="21"/>
          <w:szCs w:val="21"/>
          <w:highlight w:val="none"/>
        </w:rPr>
      </w:pPr>
      <w:bookmarkStart w:id="1530" w:name="_Toc532375624"/>
      <w:bookmarkStart w:id="1531" w:name="_Toc532377360"/>
      <w:r>
        <w:rPr>
          <w:rFonts w:hint="eastAsia"/>
          <w:color w:val="auto"/>
          <w:sz w:val="21"/>
          <w:szCs w:val="21"/>
          <w:highlight w:val="none"/>
        </w:rPr>
        <w:t>7.9 提前竣工</w:t>
      </w:r>
      <w:bookmarkEnd w:id="1530"/>
      <w:bookmarkEnd w:id="1531"/>
    </w:p>
    <w:p w14:paraId="24C0BBD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7.9.1项细化为：</w:t>
      </w:r>
    </w:p>
    <w:p w14:paraId="7DC0317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当项目需要提前竣工或项目工期按照第7.5款〔工期延误〕约定顺延后需要提前竣工的，发包人应通过监理人向承包人下达提前竣工指示。承包人同意提前竣工的，应向发包人和监理人提交提前竣工方案，提前竣工方案经监理人和发包人审批后生效。由此增加的费用按照第10.4.1项〔变更估价原则〕约定执行。</w:t>
      </w:r>
    </w:p>
    <w:p w14:paraId="4246889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（2）发包人不得随意要求承包人提前竣工，承包人也不得随意提出提前竣工的建议。如遇特殊情况，确需将工期提前的，发包人和承包人必须采取有效措施，确保工程质量。</w:t>
      </w:r>
    </w:p>
    <w:p w14:paraId="1E6391B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（3）如果承包人提前竣工，发包人支付奖金的计算方法在合同条款中约定，时间自竣工验收证书中写明的实际竣工日期起至预定的竣工日期止，按天计算。但奖金最高限额不超过项目7.9.2项的限额。</w:t>
      </w:r>
    </w:p>
    <w:p w14:paraId="0C9EE6D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7.9.2 提前竣工的奖励：</w:t>
      </w:r>
      <w:r>
        <w:rPr>
          <w:rFonts w:hint="eastAsia" w:ascii="宋体" w:hAnsi="宋体"/>
          <w:color w:val="auto"/>
          <w:szCs w:val="21"/>
          <w:highlight w:val="none"/>
          <w:u w:val="single"/>
        </w:rPr>
        <w:t xml:space="preserve">    元/天，不超过签约合同价的  %</w:t>
      </w:r>
      <w:r>
        <w:rPr>
          <w:rFonts w:hint="eastAsia" w:ascii="宋体" w:hAnsi="宋体"/>
          <w:color w:val="auto"/>
          <w:szCs w:val="21"/>
          <w:highlight w:val="none"/>
        </w:rPr>
        <w:t>。</w:t>
      </w:r>
    </w:p>
    <w:p w14:paraId="73A3ADC6">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532" w:name="_Toc532377361"/>
      <w:bookmarkStart w:id="1533" w:name="_Toc532375625"/>
      <w:bookmarkStart w:id="1534" w:name="_Toc351203640"/>
      <w:r>
        <w:rPr>
          <w:rFonts w:hint="eastAsia"/>
          <w:color w:val="auto"/>
          <w:kern w:val="2"/>
          <w:sz w:val="21"/>
          <w:szCs w:val="21"/>
          <w:highlight w:val="none"/>
        </w:rPr>
        <w:t>8. 材料与设备</w:t>
      </w:r>
      <w:bookmarkEnd w:id="1532"/>
      <w:bookmarkEnd w:id="1533"/>
      <w:bookmarkEnd w:id="1534"/>
    </w:p>
    <w:p w14:paraId="34CE3027">
      <w:pPr>
        <w:pStyle w:val="7"/>
        <w:spacing w:before="0" w:beforeAutospacing="0" w:after="0" w:afterAutospacing="0" w:line="360" w:lineRule="auto"/>
        <w:ind w:firstLine="422" w:firstLineChars="200"/>
        <w:rPr>
          <w:color w:val="auto"/>
          <w:sz w:val="21"/>
          <w:szCs w:val="21"/>
          <w:highlight w:val="none"/>
        </w:rPr>
      </w:pPr>
      <w:bookmarkStart w:id="1535" w:name="_Toc532375626"/>
      <w:bookmarkStart w:id="1536" w:name="_Toc532377362"/>
      <w:r>
        <w:rPr>
          <w:rFonts w:hint="eastAsia"/>
          <w:color w:val="auto"/>
          <w:sz w:val="21"/>
          <w:szCs w:val="21"/>
          <w:highlight w:val="none"/>
        </w:rPr>
        <w:t>8.1发包人供应材料与工程设备</w:t>
      </w:r>
      <w:bookmarkEnd w:id="1535"/>
      <w:bookmarkEnd w:id="1536"/>
    </w:p>
    <w:p w14:paraId="5F0B7E4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材料的名称、规格、数量和价格：</w:t>
      </w:r>
      <w:r>
        <w:rPr>
          <w:rFonts w:hint="eastAsia" w:ascii="宋体" w:hAnsi="宋体"/>
          <w:color w:val="auto"/>
          <w:szCs w:val="21"/>
          <w:highlight w:val="none"/>
          <w:u w:val="single"/>
        </w:rPr>
        <w:t>发包人应提供甲供材料的明细表，结算时按经监理人、承包人共同确认的供应数量乘以招标时甲供材料暂定价格，在支付工程款时扣除</w:t>
      </w:r>
      <w:r>
        <w:rPr>
          <w:rFonts w:hint="eastAsia" w:ascii="宋体" w:hAnsi="宋体"/>
          <w:color w:val="auto"/>
          <w:szCs w:val="21"/>
          <w:highlight w:val="none"/>
        </w:rPr>
        <w:t>。</w:t>
      </w:r>
    </w:p>
    <w:p w14:paraId="3D8878E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发包人按约定的内容提供材料设备并对提供的材料设备质量负责，承包人按施工规范和检测规范对一切进场材料进行质量检验，承包人有权退回检验不合格的材料；承包人对投入使用的材料质量负责</w:t>
      </w:r>
      <w:r>
        <w:rPr>
          <w:rFonts w:hint="eastAsia" w:ascii="宋体" w:hAnsi="宋体"/>
          <w:color w:val="auto"/>
          <w:szCs w:val="21"/>
          <w:highlight w:val="none"/>
        </w:rPr>
        <w:t>。</w:t>
      </w:r>
    </w:p>
    <w:p w14:paraId="5A6875CF">
      <w:pPr>
        <w:pStyle w:val="7"/>
        <w:spacing w:before="0" w:beforeAutospacing="0" w:after="0" w:afterAutospacing="0" w:line="360" w:lineRule="auto"/>
        <w:ind w:firstLine="422" w:firstLineChars="200"/>
        <w:rPr>
          <w:color w:val="auto"/>
          <w:sz w:val="21"/>
          <w:szCs w:val="21"/>
          <w:highlight w:val="none"/>
        </w:rPr>
      </w:pPr>
      <w:bookmarkStart w:id="1537" w:name="_Toc532375627"/>
      <w:bookmarkStart w:id="1538" w:name="_Toc351203554"/>
      <w:bookmarkStart w:id="1539" w:name="_Toc532377363"/>
      <w:r>
        <w:rPr>
          <w:rFonts w:hint="eastAsia"/>
          <w:color w:val="auto"/>
          <w:sz w:val="21"/>
          <w:szCs w:val="21"/>
          <w:highlight w:val="none"/>
        </w:rPr>
        <w:t>8</w:t>
      </w:r>
      <w:bookmarkStart w:id="1540" w:name="_Toc296346561"/>
      <w:bookmarkStart w:id="1541" w:name="_Toc296503060"/>
      <w:bookmarkStart w:id="1542" w:name="_Toc337558778"/>
      <w:r>
        <w:rPr>
          <w:rFonts w:hint="eastAsia"/>
          <w:color w:val="auto"/>
          <w:sz w:val="21"/>
          <w:szCs w:val="21"/>
          <w:highlight w:val="none"/>
        </w:rPr>
        <w:t>.2 承包人采购材料与工程设备</w:t>
      </w:r>
      <w:bookmarkEnd w:id="1537"/>
      <w:bookmarkEnd w:id="1538"/>
      <w:bookmarkEnd w:id="1539"/>
    </w:p>
    <w:bookmarkEnd w:id="1540"/>
    <w:bookmarkEnd w:id="1541"/>
    <w:bookmarkEnd w:id="1542"/>
    <w:p w14:paraId="3108738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8.2.1承包人负责采购、运输和保管的材料、工程设备：</w:t>
      </w:r>
      <w:r>
        <w:rPr>
          <w:rFonts w:hint="eastAsia" w:ascii="宋体" w:hAnsi="宋体"/>
          <w:color w:val="auto"/>
          <w:szCs w:val="21"/>
          <w:highlight w:val="none"/>
          <w:u w:val="single"/>
        </w:rPr>
        <w:t>由承包人自行采购。承包人采购材料设备必须经监理人和发包人批准，结算时由监理人和发包人按招标文件规定审核的数量和合同约定</w:t>
      </w:r>
      <w:r>
        <w:rPr>
          <w:rFonts w:ascii="宋体" w:hAnsi="宋体"/>
          <w:color w:val="auto"/>
          <w:szCs w:val="21"/>
          <w:highlight w:val="none"/>
          <w:u w:val="single"/>
        </w:rPr>
        <w:t>价格</w:t>
      </w:r>
      <w:r>
        <w:rPr>
          <w:rFonts w:hint="eastAsia" w:ascii="宋体" w:hAnsi="宋体"/>
          <w:color w:val="auto"/>
          <w:szCs w:val="21"/>
          <w:highlight w:val="none"/>
          <w:u w:val="single"/>
        </w:rPr>
        <w:t>计算</w:t>
      </w:r>
      <w:r>
        <w:rPr>
          <w:rFonts w:hint="eastAsia" w:ascii="宋体" w:hAnsi="宋体"/>
          <w:color w:val="auto"/>
          <w:szCs w:val="21"/>
          <w:highlight w:val="none"/>
        </w:rPr>
        <w:t>。</w:t>
      </w:r>
    </w:p>
    <w:p w14:paraId="65085CD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8.2.2承包人报送监理人审批的时间：</w:t>
      </w:r>
      <w:r>
        <w:rPr>
          <w:rFonts w:hint="eastAsia" w:ascii="宋体" w:hAnsi="宋体"/>
          <w:color w:val="auto"/>
          <w:szCs w:val="21"/>
          <w:highlight w:val="none"/>
          <w:u w:val="single"/>
        </w:rPr>
        <w:t>按发包人及监理单位的相关规定执行</w:t>
      </w:r>
      <w:r>
        <w:rPr>
          <w:rFonts w:hint="eastAsia" w:ascii="宋体" w:hAnsi="宋体"/>
          <w:color w:val="auto"/>
          <w:szCs w:val="21"/>
          <w:highlight w:val="none"/>
        </w:rPr>
        <w:t>。</w:t>
      </w:r>
    </w:p>
    <w:p w14:paraId="1140493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8.2.3承包人选择的生产厂家或供应商满足下列条件：</w:t>
      </w:r>
    </w:p>
    <w:p w14:paraId="26073AC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A.承包人选择的混凝土供应商应满足下列条件：</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33F97EE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B.承包人选择的钢材供应商应满足下列条件：</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7A6BE40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C.承包人选择的水泥供应商应满足下列条件：</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2F76B3A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D.承包人采购的材料与设计或标准要求不符时，承包人应按发包人和监理人要求的时间运出施工场地，并重新采购符合要求的产品，并承担由此发生的费用，因此延误的工期不予顺延。</w:t>
      </w:r>
    </w:p>
    <w:p w14:paraId="1C720E0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E.承包人采购的材料在使用前，应按发包人和监理人的要求进行检验或试验，不合格的不得使用。</w:t>
      </w:r>
    </w:p>
    <w:p w14:paraId="7125871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F.</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5ABBA6DC">
      <w:pPr>
        <w:pStyle w:val="7"/>
        <w:spacing w:before="0" w:beforeAutospacing="0" w:after="0" w:afterAutospacing="0" w:line="360" w:lineRule="auto"/>
        <w:ind w:firstLine="422" w:firstLineChars="200"/>
        <w:rPr>
          <w:color w:val="auto"/>
          <w:sz w:val="21"/>
          <w:szCs w:val="21"/>
          <w:highlight w:val="none"/>
        </w:rPr>
      </w:pPr>
      <w:bookmarkStart w:id="1543" w:name="_Toc532375628"/>
      <w:bookmarkStart w:id="1544" w:name="_Toc532377364"/>
      <w:r>
        <w:rPr>
          <w:rFonts w:hint="eastAsia"/>
          <w:color w:val="auto"/>
          <w:sz w:val="21"/>
          <w:szCs w:val="21"/>
          <w:highlight w:val="none"/>
        </w:rPr>
        <w:t>8</w:t>
      </w:r>
      <w:bookmarkStart w:id="1545" w:name="_Toc312678019"/>
      <w:bookmarkStart w:id="1546" w:name="_Toc297123527"/>
      <w:bookmarkStart w:id="1547" w:name="_Toc297048353"/>
      <w:bookmarkStart w:id="1548" w:name="_Toc296346668"/>
      <w:bookmarkStart w:id="1549" w:name="_Toc292559372"/>
      <w:bookmarkStart w:id="1550" w:name="_Toc304295556"/>
      <w:bookmarkStart w:id="1551" w:name="_Toc296890995"/>
      <w:bookmarkStart w:id="1552" w:name="_Toc296891207"/>
      <w:bookmarkStart w:id="1553" w:name="_Toc296503167"/>
      <w:bookmarkStart w:id="1554" w:name="_Toc280868654"/>
      <w:bookmarkStart w:id="1555" w:name="_Toc312677493"/>
      <w:bookmarkStart w:id="1556" w:name="_Toc297120467"/>
      <w:bookmarkStart w:id="1557" w:name="_Toc300934979"/>
      <w:bookmarkStart w:id="1558" w:name="_Toc303539136"/>
      <w:bookmarkStart w:id="1559" w:name="_Toc296944506"/>
      <w:bookmarkStart w:id="1560" w:name="_Toc297216186"/>
      <w:bookmarkStart w:id="1561" w:name="_Toc296347166"/>
      <w:bookmarkStart w:id="1562" w:name="_Toc292559877"/>
      <w:bookmarkStart w:id="1563" w:name="_Toc267251424"/>
      <w:bookmarkStart w:id="1564" w:name="_Toc280868656"/>
      <w:bookmarkStart w:id="1565" w:name="_Toc280868655"/>
      <w:r>
        <w:rPr>
          <w:rFonts w:hint="eastAsia"/>
          <w:color w:val="auto"/>
          <w:sz w:val="21"/>
          <w:szCs w:val="21"/>
          <w:highlight w:val="none"/>
        </w:rPr>
        <w:t>.4 材料与工程设备的保管与使用</w:t>
      </w:r>
      <w:bookmarkEnd w:id="1543"/>
      <w:bookmarkEnd w:id="1544"/>
    </w:p>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14:paraId="4C89D7C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w:t>
      </w:r>
      <w:bookmarkStart w:id="1566" w:name="_Toc292559373"/>
      <w:bookmarkStart w:id="1567" w:name="_Toc292559878"/>
      <w:bookmarkStart w:id="1568" w:name="_Toc296944507"/>
      <w:bookmarkStart w:id="1569" w:name="_Toc297120468"/>
      <w:bookmarkStart w:id="1570" w:name="_Toc312677494"/>
      <w:bookmarkStart w:id="1571" w:name="_Toc318581173"/>
      <w:bookmarkStart w:id="1572" w:name="_Toc297216187"/>
      <w:bookmarkStart w:id="1573" w:name="_Toc304295557"/>
      <w:bookmarkStart w:id="1574" w:name="_Toc303539137"/>
      <w:bookmarkStart w:id="1575" w:name="_Toc300934980"/>
      <w:bookmarkStart w:id="1576" w:name="_Toc296890996"/>
      <w:bookmarkStart w:id="1577" w:name="_Toc312678020"/>
      <w:bookmarkStart w:id="1578" w:name="_Toc296503168"/>
      <w:bookmarkStart w:id="1579" w:name="_Toc296891208"/>
      <w:bookmarkStart w:id="1580" w:name="_Toc297123528"/>
      <w:bookmarkStart w:id="1581" w:name="_Toc296346669"/>
      <w:bookmarkStart w:id="1582" w:name="_Toc297048354"/>
      <w:bookmarkStart w:id="1583" w:name="_Toc296347167"/>
      <w:r>
        <w:rPr>
          <w:rFonts w:hint="eastAsia" w:ascii="宋体" w:hAnsi="宋体"/>
          <w:color w:val="auto"/>
          <w:szCs w:val="21"/>
          <w:highlight w:val="none"/>
        </w:rPr>
        <w:t>.4.1 发包人供应的材料设备的保管费用的承担：</w:t>
      </w:r>
      <w:r>
        <w:rPr>
          <w:rFonts w:hint="eastAsia" w:ascii="宋体" w:hAnsi="宋体"/>
          <w:color w:val="auto"/>
          <w:szCs w:val="21"/>
          <w:highlight w:val="none"/>
          <w:u w:val="single"/>
        </w:rPr>
        <w:t xml:space="preserve">           </w:t>
      </w:r>
      <w:r>
        <w:rPr>
          <w:rFonts w:hint="eastAsia" w:ascii="宋体" w:hAnsi="宋体"/>
          <w:color w:val="auto"/>
          <w:szCs w:val="21"/>
          <w:highlight w:val="none"/>
        </w:rPr>
        <w:t>。</w:t>
      </w:r>
      <w:bookmarkEnd w:id="1566"/>
      <w:bookmarkEnd w:id="1567"/>
    </w:p>
    <w:p w14:paraId="2D7F08BE">
      <w:pPr>
        <w:pStyle w:val="7"/>
        <w:spacing w:before="0" w:beforeAutospacing="0" w:after="0" w:afterAutospacing="0" w:line="360" w:lineRule="auto"/>
        <w:ind w:firstLine="422" w:firstLineChars="200"/>
        <w:rPr>
          <w:color w:val="auto"/>
          <w:sz w:val="21"/>
          <w:szCs w:val="21"/>
          <w:highlight w:val="none"/>
        </w:rPr>
      </w:pPr>
      <w:bookmarkStart w:id="1584" w:name="_Toc532375629"/>
      <w:bookmarkStart w:id="1585" w:name="_Toc532377365"/>
      <w:r>
        <w:rPr>
          <w:rFonts w:hint="eastAsia"/>
          <w:color w:val="auto"/>
          <w:sz w:val="21"/>
          <w:szCs w:val="21"/>
          <w:highlight w:val="none"/>
        </w:rPr>
        <w:t>8.6 样品</w:t>
      </w:r>
      <w:bookmarkEnd w:id="1584"/>
      <w:bookmarkEnd w:id="1585"/>
    </w:p>
    <w:p w14:paraId="6B010198">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8.6.1 样品的报送与封存</w:t>
      </w:r>
    </w:p>
    <w:p w14:paraId="356D63EF">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需要承包人报送样品的材料或工程设备，样品的种类、名称、规格、数量要求：</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4531CB1F">
      <w:pPr>
        <w:pStyle w:val="7"/>
        <w:spacing w:before="0" w:beforeAutospacing="0" w:after="0" w:afterAutospacing="0" w:line="360" w:lineRule="auto"/>
        <w:ind w:firstLine="422" w:firstLineChars="200"/>
        <w:rPr>
          <w:color w:val="auto"/>
          <w:sz w:val="21"/>
          <w:szCs w:val="21"/>
          <w:highlight w:val="none"/>
        </w:rPr>
      </w:pPr>
      <w:bookmarkStart w:id="1586" w:name="_Toc532375630"/>
      <w:bookmarkStart w:id="1587" w:name="_Toc532377366"/>
      <w:r>
        <w:rPr>
          <w:rFonts w:hint="eastAsia"/>
          <w:color w:val="auto"/>
          <w:sz w:val="21"/>
          <w:szCs w:val="21"/>
          <w:highlight w:val="none"/>
        </w:rPr>
        <w:t>8.8 施工设备和临时设施</w:t>
      </w:r>
      <w:bookmarkEnd w:id="1586"/>
      <w:bookmarkEnd w:id="1587"/>
    </w:p>
    <w:p w14:paraId="29D2843E">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8.8.1 承包人提供的施工设备和临时设施</w:t>
      </w:r>
    </w:p>
    <w:p w14:paraId="606B2BFA">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关于修建临时设施费用承担的约定：</w:t>
      </w:r>
      <w:r>
        <w:rPr>
          <w:rFonts w:hint="eastAsia" w:ascii="宋体" w:hAnsi="宋体"/>
          <w:color w:val="auto"/>
          <w:szCs w:val="21"/>
          <w:highlight w:val="none"/>
          <w:u w:val="single"/>
        </w:rPr>
        <w:t>由承包人承担</w:t>
      </w:r>
      <w:r>
        <w:rPr>
          <w:rFonts w:hint="eastAsia" w:ascii="宋体" w:hAnsi="宋体"/>
          <w:color w:val="auto"/>
          <w:szCs w:val="21"/>
          <w:highlight w:val="none"/>
        </w:rPr>
        <w:t>。</w:t>
      </w:r>
    </w:p>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14:paraId="581EF6B6">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588" w:name="_Toc532375631"/>
      <w:bookmarkStart w:id="1589" w:name="_Toc351203641"/>
      <w:bookmarkStart w:id="1590" w:name="_Toc532377367"/>
      <w:r>
        <w:rPr>
          <w:rFonts w:hint="eastAsia"/>
          <w:color w:val="auto"/>
          <w:kern w:val="2"/>
          <w:sz w:val="21"/>
          <w:szCs w:val="21"/>
          <w:highlight w:val="none"/>
        </w:rPr>
        <w:t>9</w:t>
      </w:r>
      <w:bookmarkEnd w:id="1563"/>
      <w:bookmarkEnd w:id="1564"/>
      <w:bookmarkEnd w:id="1565"/>
      <w:bookmarkStart w:id="1591" w:name="_Toc304295559"/>
      <w:bookmarkStart w:id="1592" w:name="_Toc312678021"/>
      <w:bookmarkStart w:id="1593" w:name="_Toc297123533"/>
      <w:bookmarkStart w:id="1594" w:name="_Toc297216192"/>
      <w:bookmarkStart w:id="1595" w:name="_Toc303539139"/>
      <w:bookmarkStart w:id="1596" w:name="_Toc312677495"/>
      <w:bookmarkStart w:id="1597" w:name="_Toc300934982"/>
      <w:r>
        <w:rPr>
          <w:rFonts w:hint="eastAsia"/>
          <w:color w:val="auto"/>
          <w:kern w:val="2"/>
          <w:sz w:val="21"/>
          <w:szCs w:val="21"/>
          <w:highlight w:val="none"/>
        </w:rPr>
        <w:t>. 试验与检验</w:t>
      </w:r>
      <w:bookmarkEnd w:id="1588"/>
      <w:bookmarkEnd w:id="1589"/>
      <w:bookmarkEnd w:id="1590"/>
    </w:p>
    <w:bookmarkEnd w:id="1591"/>
    <w:bookmarkEnd w:id="1592"/>
    <w:bookmarkEnd w:id="1593"/>
    <w:bookmarkEnd w:id="1594"/>
    <w:bookmarkEnd w:id="1595"/>
    <w:bookmarkEnd w:id="1596"/>
    <w:bookmarkEnd w:id="1597"/>
    <w:p w14:paraId="594F6633">
      <w:pPr>
        <w:pStyle w:val="7"/>
        <w:spacing w:before="0" w:beforeAutospacing="0" w:after="0" w:afterAutospacing="0" w:line="360" w:lineRule="auto"/>
        <w:ind w:firstLine="422" w:firstLineChars="200"/>
        <w:rPr>
          <w:color w:val="auto"/>
          <w:sz w:val="21"/>
          <w:szCs w:val="21"/>
          <w:highlight w:val="none"/>
        </w:rPr>
      </w:pPr>
      <w:bookmarkStart w:id="1598" w:name="_Toc532375632"/>
      <w:bookmarkStart w:id="1599" w:name="_Toc532377368"/>
      <w:r>
        <w:rPr>
          <w:rFonts w:hint="eastAsia"/>
          <w:color w:val="auto"/>
          <w:sz w:val="21"/>
          <w:szCs w:val="21"/>
          <w:highlight w:val="none"/>
        </w:rPr>
        <w:t>9</w:t>
      </w:r>
      <w:bookmarkStart w:id="1600" w:name="_Toc300934983"/>
      <w:bookmarkStart w:id="1601" w:name="_Toc312677496"/>
      <w:bookmarkStart w:id="1602" w:name="_Toc312678022"/>
      <w:bookmarkStart w:id="1603" w:name="_Toc297123534"/>
      <w:bookmarkStart w:id="1604" w:name="_Toc304295560"/>
      <w:bookmarkStart w:id="1605" w:name="_Toc297216193"/>
      <w:bookmarkStart w:id="1606" w:name="_Toc303539140"/>
      <w:r>
        <w:rPr>
          <w:rFonts w:hint="eastAsia"/>
          <w:color w:val="auto"/>
          <w:sz w:val="21"/>
          <w:szCs w:val="21"/>
          <w:highlight w:val="none"/>
        </w:rPr>
        <w:t>.1 试验设备与试验人员</w:t>
      </w:r>
      <w:bookmarkEnd w:id="1598"/>
      <w:bookmarkEnd w:id="1599"/>
    </w:p>
    <w:bookmarkEnd w:id="1600"/>
    <w:bookmarkEnd w:id="1601"/>
    <w:bookmarkEnd w:id="1602"/>
    <w:bookmarkEnd w:id="1603"/>
    <w:bookmarkEnd w:id="1604"/>
    <w:bookmarkEnd w:id="1605"/>
    <w:bookmarkEnd w:id="1606"/>
    <w:p w14:paraId="1D07200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9</w:t>
      </w:r>
      <w:bookmarkStart w:id="1607" w:name="_Toc312677497"/>
      <w:bookmarkStart w:id="1608" w:name="_Toc312678023"/>
      <w:bookmarkStart w:id="1609" w:name="_Toc303539141"/>
      <w:bookmarkStart w:id="1610" w:name="_Toc297216194"/>
      <w:bookmarkStart w:id="1611" w:name="_Toc300934984"/>
      <w:bookmarkStart w:id="1612" w:name="_Toc304295561"/>
      <w:bookmarkStart w:id="1613" w:name="_Toc297123535"/>
      <w:bookmarkStart w:id="1614" w:name="_Toc318581174"/>
      <w:r>
        <w:rPr>
          <w:rFonts w:hint="eastAsia" w:ascii="宋体" w:hAnsi="宋体"/>
          <w:color w:val="auto"/>
          <w:szCs w:val="21"/>
          <w:highlight w:val="none"/>
        </w:rPr>
        <w:t>.1.2 试验设备</w:t>
      </w:r>
    </w:p>
    <w:p w14:paraId="6F6EECC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施工现场需要配置的试验场所：</w:t>
      </w:r>
      <w:bookmarkEnd w:id="1607"/>
      <w:bookmarkEnd w:id="1608"/>
      <w:bookmarkEnd w:id="1609"/>
      <w:bookmarkEnd w:id="1610"/>
      <w:bookmarkEnd w:id="1611"/>
      <w:bookmarkEnd w:id="1612"/>
      <w:bookmarkEnd w:id="1613"/>
      <w:bookmarkStart w:id="1615" w:name="_Toc312677498"/>
      <w:bookmarkStart w:id="1616" w:name="_Toc300934985"/>
      <w:bookmarkStart w:id="1617" w:name="_Toc304295562"/>
      <w:bookmarkStart w:id="1618" w:name="_Toc303539142"/>
      <w:bookmarkStart w:id="1619" w:name="_Toc312678024"/>
      <w:bookmarkStart w:id="1620" w:name="_Toc297216195"/>
      <w:bookmarkStart w:id="1621" w:name="_Toc297123536"/>
      <w:r>
        <w:rPr>
          <w:rFonts w:hint="eastAsia" w:ascii="宋体" w:hAnsi="宋体"/>
          <w:color w:val="auto"/>
          <w:szCs w:val="21"/>
          <w:highlight w:val="none"/>
          <w:u w:val="single"/>
        </w:rPr>
        <w:t>满足工程施工的需要</w:t>
      </w:r>
      <w:r>
        <w:rPr>
          <w:rFonts w:hint="eastAsia" w:ascii="宋体" w:hAnsi="宋体"/>
          <w:color w:val="auto"/>
          <w:szCs w:val="21"/>
          <w:highlight w:val="none"/>
        </w:rPr>
        <w:t>。</w:t>
      </w:r>
    </w:p>
    <w:p w14:paraId="2147553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施工现场需要配备的试验设备：</w:t>
      </w:r>
      <w:r>
        <w:rPr>
          <w:rFonts w:hint="eastAsia" w:ascii="宋体" w:hAnsi="宋体"/>
          <w:color w:val="auto"/>
          <w:szCs w:val="21"/>
          <w:highlight w:val="none"/>
          <w:u w:val="single"/>
        </w:rPr>
        <w:t>满足工程施工的需要</w:t>
      </w:r>
      <w:r>
        <w:rPr>
          <w:rFonts w:hint="eastAsia" w:ascii="宋体" w:hAnsi="宋体"/>
          <w:color w:val="auto"/>
          <w:szCs w:val="21"/>
          <w:highlight w:val="none"/>
        </w:rPr>
        <w:t>。</w:t>
      </w:r>
    </w:p>
    <w:p w14:paraId="0C48642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施工现场需要具备的其他试验条件：</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2EE52076">
      <w:pPr>
        <w:pStyle w:val="7"/>
        <w:spacing w:before="0" w:beforeAutospacing="0" w:after="0" w:afterAutospacing="0" w:line="360" w:lineRule="auto"/>
        <w:ind w:firstLine="422" w:firstLineChars="200"/>
        <w:rPr>
          <w:color w:val="auto"/>
          <w:sz w:val="21"/>
          <w:szCs w:val="21"/>
          <w:highlight w:val="none"/>
        </w:rPr>
      </w:pPr>
      <w:bookmarkStart w:id="1622" w:name="_Toc532375633"/>
      <w:bookmarkStart w:id="1623" w:name="_Toc532377369"/>
      <w:r>
        <w:rPr>
          <w:rFonts w:hint="eastAsia"/>
          <w:color w:val="auto"/>
          <w:sz w:val="21"/>
          <w:szCs w:val="21"/>
          <w:highlight w:val="none"/>
        </w:rPr>
        <w:t>9.4 现场工艺试验</w:t>
      </w:r>
      <w:bookmarkEnd w:id="1622"/>
      <w:bookmarkEnd w:id="1623"/>
    </w:p>
    <w:p w14:paraId="4A175AF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本款补充9.4.1～9.4.5项：</w:t>
      </w:r>
    </w:p>
    <w:bookmarkEnd w:id="1614"/>
    <w:bookmarkEnd w:id="1615"/>
    <w:bookmarkEnd w:id="1616"/>
    <w:bookmarkEnd w:id="1617"/>
    <w:bookmarkEnd w:id="1618"/>
    <w:bookmarkEnd w:id="1619"/>
    <w:bookmarkEnd w:id="1620"/>
    <w:bookmarkEnd w:id="1621"/>
    <w:p w14:paraId="731B914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9.4.1一般检验试验：</w:t>
      </w:r>
    </w:p>
    <w:p w14:paraId="1F7E4607">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根据《建设工程质量检测管理办法》（建设部令第141号）、关于实施《建设工程质量检测管理办法》有关问题的通知（建质〔2009〕25号）、《重庆市建设工程质量检测管理规定》（渝建发〔2009〕123号）、《关于加强我市建设工程质量检测委托管理的通知》（渝建〔2015〕420号）和有关施工规范、验收标准及施工图的规定或要求，对工程材料、构件、建筑安装物、半成品、成品进行的一般质量鉴定、检测和试验，由发包人委托的第三方检测试验机构实施，所发生的鉴定、检测和试验费用由发包人承担，不包含在合同价格中。</w:t>
      </w:r>
    </w:p>
    <w:p w14:paraId="4F731E76">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实施前，由发包人、承包人和第三方检测试验机构签订三方合同，第三方检测试验机构分别向承包人和发包人出具相应的检测试验报告。根据渝建〔2015〕420号文和有关施工规范、验收标准及施工图的规定或要求，所做的上述检测试验所需的试件取样、制作、送检，试件制作需要提供的材料以及检测、试验的配合工作由承包人负责完成并承担由此产生的所有相关费用。</w:t>
      </w:r>
    </w:p>
    <w:p w14:paraId="52DEF72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9.4.2特殊检验试验：</w:t>
      </w:r>
    </w:p>
    <w:p w14:paraId="43D4ADE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（1）除“施工措施的检测、试验”外，包括但不限于路基弯沉值试验、路面承载力试验、桥梁荷载试验、锚固试验、桩基检测、锚杆抗拔检验、锚索预应力检测、外墙面砖抗粘接试验、室内有害物质检测、门窗 （幕墙）三性检测、石材放射性检测、石膏板阻燃检测、挡土墙抗渗试验、保温层隔热检测等（根据项目实际情况增减）设计施工规范及其他法律法规规范规定的特殊检验试验项目，根据渝建〔2015〕420号文的规定，均由发包人委托相应的第三方检测试验机构进行检测，所发生的特殊检验试验费由发包人承担，不包含在合同价格中。</w:t>
      </w:r>
    </w:p>
    <w:p w14:paraId="6812762B">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发包人委托的第三方检测试验机构检测试验的试件所需的材料、取样、送检及相关配合工作由承包人负责完成并承担由此产生的所有相关费用。</w:t>
      </w:r>
    </w:p>
    <w:p w14:paraId="1AA37DB1">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（2）施工措施的检测、试验：因施工措施需要而做的相关检测、试验由承包人负责实施，其费用由承包人承担。</w:t>
      </w:r>
    </w:p>
    <w:p w14:paraId="5225345C">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9.4.3专项检测：</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05E96B9A">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9.4.4若因承包人取样、制样、送检及相关配合不及时而导致工程的工期和费用增加，影响的工期不予延长，增加费用由承包人承担。</w:t>
      </w:r>
    </w:p>
    <w:p w14:paraId="526932D0">
      <w:pPr>
        <w:tabs>
          <w:tab w:val="left" w:pos="711"/>
          <w:tab w:val="left" w:pos="2580"/>
        </w:tabs>
        <w:spacing w:line="360" w:lineRule="auto"/>
        <w:ind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rPr>
        <w:t>9.4.5检测试验不合格的项目，其缺陷处理和复测费用由承包人承担，工期不予延长。</w:t>
      </w:r>
    </w:p>
    <w:bookmarkEnd w:id="1460"/>
    <w:bookmarkEnd w:id="1461"/>
    <w:bookmarkEnd w:id="1462"/>
    <w:bookmarkEnd w:id="1463"/>
    <w:bookmarkEnd w:id="1464"/>
    <w:bookmarkEnd w:id="1465"/>
    <w:bookmarkEnd w:id="1466"/>
    <w:bookmarkEnd w:id="1467"/>
    <w:bookmarkEnd w:id="1468"/>
    <w:bookmarkEnd w:id="1469"/>
    <w:bookmarkEnd w:id="1470"/>
    <w:bookmarkEnd w:id="1471"/>
    <w:bookmarkEnd w:id="1472"/>
    <w:p w14:paraId="023E6CAF">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624" w:name="_Toc532377370"/>
      <w:bookmarkStart w:id="1625" w:name="_Toc532375634"/>
      <w:bookmarkStart w:id="1626" w:name="_Toc267251489"/>
      <w:bookmarkStart w:id="1627" w:name="_Toc267251488"/>
      <w:bookmarkStart w:id="1628" w:name="_Toc267251490"/>
      <w:bookmarkStart w:id="1629" w:name="_Toc267251485"/>
      <w:bookmarkStart w:id="1630" w:name="_Toc267251484"/>
      <w:bookmarkStart w:id="1631" w:name="_Toc267251482"/>
      <w:bookmarkStart w:id="1632" w:name="_Toc267251486"/>
      <w:bookmarkStart w:id="1633" w:name="_Hlk524298112"/>
      <w:bookmarkStart w:id="1634" w:name="_Toc267251491"/>
      <w:bookmarkStart w:id="1635" w:name="_Toc267251514"/>
      <w:bookmarkStart w:id="1636" w:name="_Toc267251492"/>
      <w:bookmarkStart w:id="1637" w:name="_Toc267251494"/>
      <w:bookmarkStart w:id="1638" w:name="_Toc267251495"/>
      <w:bookmarkStart w:id="1639" w:name="_Toc267251504"/>
      <w:bookmarkStart w:id="1640" w:name="_Toc267251507"/>
      <w:bookmarkStart w:id="1641" w:name="_Toc267251493"/>
      <w:bookmarkStart w:id="1642" w:name="_Toc267251513"/>
      <w:bookmarkStart w:id="1643" w:name="_Toc267251506"/>
      <w:bookmarkStart w:id="1644" w:name="_Toc267251509"/>
      <w:bookmarkStart w:id="1645" w:name="_Toc267251497"/>
      <w:bookmarkStart w:id="1646" w:name="_Toc267251502"/>
      <w:bookmarkStart w:id="1647" w:name="_Toc267251496"/>
      <w:bookmarkStart w:id="1648" w:name="_Toc267251501"/>
      <w:bookmarkStart w:id="1649" w:name="_Toc267251511"/>
      <w:bookmarkStart w:id="1650" w:name="_Toc267251498"/>
      <w:bookmarkStart w:id="1651" w:name="_Toc267251510"/>
      <w:bookmarkStart w:id="1652" w:name="_Toc267251503"/>
      <w:bookmarkStart w:id="1653" w:name="_Toc267251508"/>
      <w:bookmarkStart w:id="1654" w:name="_Toc267251499"/>
      <w:bookmarkStart w:id="1655" w:name="_Toc267251515"/>
      <w:r>
        <w:rPr>
          <w:rFonts w:hint="eastAsia"/>
          <w:color w:val="auto"/>
          <w:kern w:val="2"/>
          <w:sz w:val="21"/>
          <w:szCs w:val="21"/>
          <w:highlight w:val="none"/>
        </w:rPr>
        <w:t>1</w:t>
      </w:r>
      <w:bookmarkStart w:id="1656" w:name="_Toc296503193"/>
      <w:bookmarkStart w:id="1657" w:name="_Toc292559903"/>
      <w:bookmarkStart w:id="1658" w:name="_Toc297216199"/>
      <w:bookmarkStart w:id="1659" w:name="_Toc296891233"/>
      <w:bookmarkStart w:id="1660" w:name="_Toc292559398"/>
      <w:bookmarkStart w:id="1661" w:name="_Toc297120493"/>
      <w:bookmarkStart w:id="1662" w:name="_Toc297048379"/>
      <w:bookmarkStart w:id="1663" w:name="_Toc296944532"/>
      <w:bookmarkStart w:id="1664" w:name="_Toc296347192"/>
      <w:bookmarkStart w:id="1665" w:name="_Toc297123540"/>
      <w:bookmarkStart w:id="1666" w:name="_Toc296346694"/>
      <w:bookmarkStart w:id="1667" w:name="_Toc304295566"/>
      <w:bookmarkStart w:id="1668" w:name="_Toc296891021"/>
      <w:bookmarkStart w:id="1669" w:name="_Toc303539146"/>
      <w:bookmarkStart w:id="1670" w:name="_Toc300934989"/>
      <w:bookmarkStart w:id="1671" w:name="_Toc312678025"/>
      <w:bookmarkStart w:id="1672" w:name="_Toc312677499"/>
      <w:bookmarkStart w:id="1673" w:name="_Toc267251441"/>
      <w:bookmarkStart w:id="1674" w:name="_Toc267251437"/>
      <w:bookmarkStart w:id="1675" w:name="_Toc267251435"/>
      <w:bookmarkStart w:id="1676" w:name="_Toc267251433"/>
      <w:bookmarkStart w:id="1677" w:name="_Toc267251440"/>
      <w:bookmarkStart w:id="1678" w:name="_Toc267251439"/>
      <w:r>
        <w:rPr>
          <w:rFonts w:hint="eastAsia"/>
          <w:color w:val="auto"/>
          <w:kern w:val="2"/>
          <w:sz w:val="21"/>
          <w:szCs w:val="21"/>
          <w:highlight w:val="none"/>
        </w:rPr>
        <w:t>0. 变更</w:t>
      </w:r>
      <w:bookmarkEnd w:id="1624"/>
      <w:bookmarkEnd w:id="162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bookmarkEnd w:id="1671"/>
    <w:bookmarkEnd w:id="1672"/>
    <w:p w14:paraId="70F28B55">
      <w:pPr>
        <w:pStyle w:val="7"/>
        <w:spacing w:before="0" w:beforeAutospacing="0" w:after="0" w:afterAutospacing="0" w:line="360" w:lineRule="auto"/>
        <w:ind w:firstLine="422" w:firstLineChars="200"/>
        <w:rPr>
          <w:color w:val="auto"/>
          <w:sz w:val="21"/>
          <w:szCs w:val="21"/>
          <w:highlight w:val="none"/>
        </w:rPr>
      </w:pPr>
      <w:bookmarkStart w:id="1679" w:name="_Toc532375635"/>
      <w:bookmarkStart w:id="1680" w:name="_Toc532377371"/>
      <w:r>
        <w:rPr>
          <w:rFonts w:hint="eastAsia"/>
          <w:color w:val="auto"/>
          <w:sz w:val="21"/>
          <w:szCs w:val="21"/>
          <w:highlight w:val="none"/>
        </w:rPr>
        <w:t>1</w:t>
      </w:r>
      <w:bookmarkStart w:id="1681" w:name="_Toc296891234"/>
      <w:bookmarkStart w:id="1682" w:name="_Toc296944533"/>
      <w:bookmarkStart w:id="1683" w:name="_Toc296891022"/>
      <w:bookmarkStart w:id="1684" w:name="_Toc304295567"/>
      <w:bookmarkStart w:id="1685" w:name="_Toc312678026"/>
      <w:bookmarkStart w:id="1686" w:name="_Toc297123541"/>
      <w:bookmarkStart w:id="1687" w:name="_Toc296503194"/>
      <w:bookmarkStart w:id="1688" w:name="_Toc292559399"/>
      <w:bookmarkStart w:id="1689" w:name="_Toc297048380"/>
      <w:bookmarkStart w:id="1690" w:name="_Toc312677500"/>
      <w:bookmarkStart w:id="1691" w:name="_Toc296347193"/>
      <w:bookmarkStart w:id="1692" w:name="_Toc292559904"/>
      <w:bookmarkStart w:id="1693" w:name="_Toc297216200"/>
      <w:bookmarkStart w:id="1694" w:name="_Toc297120494"/>
      <w:bookmarkStart w:id="1695" w:name="_Toc303539147"/>
      <w:bookmarkStart w:id="1696" w:name="_Toc296346695"/>
      <w:bookmarkStart w:id="1697" w:name="_Toc300934990"/>
      <w:r>
        <w:rPr>
          <w:rFonts w:hint="eastAsia"/>
          <w:color w:val="auto"/>
          <w:sz w:val="21"/>
          <w:szCs w:val="21"/>
          <w:highlight w:val="none"/>
        </w:rPr>
        <w:t>0.1变更的范围</w:t>
      </w:r>
      <w:bookmarkEnd w:id="1679"/>
      <w:bookmarkEnd w:id="1680"/>
    </w:p>
    <w:p w14:paraId="72100C2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关于变更范围的约定：</w:t>
      </w:r>
    </w:p>
    <w:p w14:paraId="608C1E8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（1）增加或减少合同中任何工作，或追加额外的工作；</w:t>
      </w:r>
    </w:p>
    <w:p w14:paraId="51D3300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（2）取消合同中任何工作；</w:t>
      </w:r>
    </w:p>
    <w:p w14:paraId="7615F5D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（3）改变合同中任何工作的质量标准或其他特性；</w:t>
      </w:r>
    </w:p>
    <w:p w14:paraId="2C55F68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（4）改变工程的基线、标高、位置和尺寸；</w:t>
      </w:r>
    </w:p>
    <w:p w14:paraId="5F2D2038">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（5）适用于工程的标准和（或）规范变化导致需要对工程进行改变，且该改变导致工期和（或）费用变化的；</w:t>
      </w:r>
    </w:p>
    <w:p w14:paraId="20033DA3">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（6）勘察设计变更；</w:t>
      </w:r>
    </w:p>
    <w:p w14:paraId="3830DDF1">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（7）实施内容变更，包括因设计变更和非设计变更引起的实施地点、投资规模、结构型式、采购数量、服务内容等进行的调整，以及因此导致的合同价格、工期变更；</w:t>
      </w:r>
    </w:p>
    <w:p w14:paraId="6067555A">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（8）项目管理人员变更；</w:t>
      </w:r>
    </w:p>
    <w:p w14:paraId="2FB9444B">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（9）因人工、原材料等价格变化导致的合同总价变更；</w:t>
      </w:r>
    </w:p>
    <w:p w14:paraId="5C639DB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（10）非实施内容变化导致的工期变更；</w:t>
      </w:r>
    </w:p>
    <w:p w14:paraId="4657455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3E197F26">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合同变更应当符合国家法律法规、强制标准和技术规范的要求，且合同变更后更加有利于工程的建设、运营、安全、节约资金、保护生态环境或者实现功能要求。发包人对项目合同变更承担主体责任。项目合同变更后，发包人应当与承包人签订补充协议。项目合同变更应当按照《重庆市政府投资项目合同变更管理暂行办法》要求进行信息公开。项目合同变更未获得通过的，发包人和承包人均不得擅自变更原合同约定事项，且不得就同一理由同一事项再提出变更。</w:t>
      </w:r>
    </w:p>
    <w:p w14:paraId="61AE61F5">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承包人对其提供的材料、工程设备、施工、无负荷试车、热负荷试车及图纸参数存在的缺陷，自费修正、调整和完善，不属于变更。</w:t>
      </w:r>
    </w:p>
    <w:p w14:paraId="1FECAC52">
      <w:pPr>
        <w:pStyle w:val="7"/>
        <w:spacing w:before="0" w:beforeAutospacing="0" w:after="0" w:afterAutospacing="0" w:line="360" w:lineRule="auto"/>
        <w:ind w:firstLine="422" w:firstLineChars="200"/>
        <w:rPr>
          <w:color w:val="auto"/>
          <w:sz w:val="21"/>
          <w:szCs w:val="21"/>
          <w:highlight w:val="none"/>
        </w:rPr>
      </w:pPr>
      <w:bookmarkStart w:id="1698" w:name="_Toc351203569"/>
      <w:bookmarkStart w:id="1699" w:name="_Toc532375636"/>
      <w:bookmarkStart w:id="1700" w:name="_Toc532377372"/>
      <w:r>
        <w:rPr>
          <w:rFonts w:hint="eastAsia"/>
          <w:color w:val="auto"/>
          <w:sz w:val="21"/>
          <w:szCs w:val="21"/>
          <w:highlight w:val="none"/>
        </w:rPr>
        <w:t>1</w:t>
      </w:r>
      <w:bookmarkStart w:id="1701" w:name="_Toc296346586"/>
      <w:bookmarkStart w:id="1702" w:name="_Toc337558789"/>
      <w:bookmarkStart w:id="1703" w:name="_Toc296503085"/>
      <w:r>
        <w:rPr>
          <w:rFonts w:hint="eastAsia"/>
          <w:color w:val="auto"/>
          <w:sz w:val="21"/>
          <w:szCs w:val="21"/>
          <w:highlight w:val="none"/>
        </w:rPr>
        <w:t>0.2变更权</w:t>
      </w:r>
      <w:bookmarkEnd w:id="1698"/>
      <w:bookmarkEnd w:id="1699"/>
      <w:bookmarkEnd w:id="1700"/>
    </w:p>
    <w:bookmarkEnd w:id="1701"/>
    <w:bookmarkEnd w:id="1702"/>
    <w:bookmarkEnd w:id="1703"/>
    <w:p w14:paraId="0318795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10.2.1发包人和监理人提出变更</w:t>
      </w:r>
    </w:p>
    <w:p w14:paraId="035B4F1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和监理人均可以提出变更。变更指示均通过监理人以书面形式发出，监理人发出变更指示前应征得发包人同意。承包人收到经发包人签认的变更指示后，方可实施变更。未取得经发包人签认的变更指示，承包人不得实施任何变更。</w:t>
      </w:r>
    </w:p>
    <w:p w14:paraId="62F27CF6">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涉及设计变更的，应由设计人提供变更后的图纸和说明，交由发包人同意后由监理人以书面形式发出。如变更超过原设计标准或批准的建设规模时，由发包人及时办理规划、设计变更等审批手续。</w:t>
      </w:r>
    </w:p>
    <w:p w14:paraId="13D9A449">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若出现重大设计变更，变更后的内容超出承包人资质或能力范围的，发包人将另行依法招标选择承包单位，无需征得承包人同意。</w:t>
      </w:r>
    </w:p>
    <w:p w14:paraId="705C264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10.2.2 承包人提出变更建议</w:t>
      </w:r>
    </w:p>
    <w:p w14:paraId="54B8DCD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可以向发包人提交书面变更建议，应当以承包人单位名义书面向发包人提出申请，详细说明变更的内容、理由，以及该变更对项目的工期、投资、质量、安全、运营管理、生态环境等的影响，客观反映项目合同变更的必要性和可行性，包括：</w:t>
      </w:r>
      <w:r>
        <w:rPr>
          <w:rFonts w:hint="eastAsia" w:ascii="宋体" w:hAnsi="宋体"/>
          <w:color w:val="auto"/>
          <w:szCs w:val="21"/>
          <w:highlight w:val="none"/>
          <w:u w:val="single"/>
        </w:rPr>
        <w:t>缩短工期，降低发包人的工程、施工、维护、营运的费用，提高竣工工程的效率或价值，给发包人带来的长远利益和其他利益。发包人接到此类建议后，可以选择：不采纳/采纳/补充进一步资料的书面通知</w:t>
      </w:r>
      <w:r>
        <w:rPr>
          <w:rFonts w:hint="eastAsia" w:ascii="宋体" w:hAnsi="宋体"/>
          <w:color w:val="auto"/>
          <w:szCs w:val="21"/>
          <w:highlight w:val="none"/>
        </w:rPr>
        <w:t>。</w:t>
      </w:r>
    </w:p>
    <w:p w14:paraId="538E52B3">
      <w:pPr>
        <w:autoSpaceDE w:val="0"/>
        <w:autoSpaceDN w:val="0"/>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如果发包人对承包人已实施的施工项目在发出重大设计变更之前要求承包人提出一份建议，那么，承包人应尽快提出：</w:t>
      </w:r>
    </w:p>
    <w:p w14:paraId="39BD9F64">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（1）对所提方案和（或）待做工作及其实施计划的说明</w:t>
      </w:r>
      <w:r>
        <w:rPr>
          <w:rFonts w:hint="eastAsia" w:ascii="宋体" w:hAnsi="宋体"/>
          <w:color w:val="auto"/>
          <w:szCs w:val="21"/>
          <w:highlight w:val="none"/>
        </w:rPr>
        <w:t>；</w:t>
      </w:r>
    </w:p>
    <w:p w14:paraId="2BAB3AD7">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（2）承包人按照对工程进度计划进行必要修改的建议</w:t>
      </w:r>
      <w:r>
        <w:rPr>
          <w:rFonts w:hint="eastAsia" w:ascii="宋体" w:hAnsi="宋体"/>
          <w:color w:val="auto"/>
          <w:szCs w:val="21"/>
          <w:highlight w:val="none"/>
        </w:rPr>
        <w:t>；</w:t>
      </w:r>
    </w:p>
    <w:p w14:paraId="1AE4B346">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（3）承包人发生较大返工损失增加费用的建议</w:t>
      </w:r>
      <w:r>
        <w:rPr>
          <w:rFonts w:hint="eastAsia" w:ascii="宋体" w:hAnsi="宋体"/>
          <w:color w:val="auto"/>
          <w:szCs w:val="21"/>
          <w:highlight w:val="none"/>
        </w:rPr>
        <w:t>。</w:t>
      </w:r>
    </w:p>
    <w:p w14:paraId="1266C5E1">
      <w:pPr>
        <w:autoSpaceDE w:val="0"/>
        <w:autoSpaceDN w:val="0"/>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发包人在收到上述建议书后，应尽快给予批准、否决或提出意见</w:t>
      </w:r>
      <w:r>
        <w:rPr>
          <w:rFonts w:hint="eastAsia" w:ascii="宋体" w:hAnsi="宋体"/>
          <w:color w:val="auto"/>
          <w:szCs w:val="21"/>
          <w:highlight w:val="none"/>
        </w:rPr>
        <w:t>。</w:t>
      </w:r>
    </w:p>
    <w:p w14:paraId="4161A894">
      <w:pPr>
        <w:pStyle w:val="7"/>
        <w:spacing w:before="0" w:beforeAutospacing="0" w:after="0" w:afterAutospacing="0" w:line="360" w:lineRule="auto"/>
        <w:ind w:firstLine="422" w:firstLineChars="200"/>
        <w:rPr>
          <w:color w:val="auto"/>
          <w:sz w:val="21"/>
          <w:szCs w:val="21"/>
          <w:highlight w:val="none"/>
        </w:rPr>
      </w:pPr>
      <w:bookmarkStart w:id="1704" w:name="_Toc532375637"/>
      <w:bookmarkStart w:id="1705" w:name="_Toc532377373"/>
      <w:bookmarkStart w:id="1706" w:name="_Toc351203570"/>
      <w:bookmarkStart w:id="1707" w:name="_Hlk528928195"/>
      <w:r>
        <w:rPr>
          <w:rFonts w:hint="eastAsia"/>
          <w:color w:val="auto"/>
          <w:sz w:val="21"/>
          <w:szCs w:val="21"/>
          <w:highlight w:val="none"/>
        </w:rPr>
        <w:t>1</w:t>
      </w:r>
      <w:bookmarkStart w:id="1708" w:name="_Toc296503086"/>
      <w:bookmarkStart w:id="1709" w:name="_Toc296346587"/>
      <w:bookmarkStart w:id="1710" w:name="_Toc337558790"/>
      <w:r>
        <w:rPr>
          <w:rFonts w:hint="eastAsia"/>
          <w:color w:val="auto"/>
          <w:sz w:val="21"/>
          <w:szCs w:val="21"/>
          <w:highlight w:val="none"/>
        </w:rPr>
        <w:t>0.3变更程序</w:t>
      </w:r>
      <w:bookmarkEnd w:id="1704"/>
      <w:bookmarkEnd w:id="1705"/>
    </w:p>
    <w:bookmarkEnd w:id="1708"/>
    <w:bookmarkEnd w:id="1709"/>
    <w:bookmarkEnd w:id="1710"/>
    <w:p w14:paraId="152844FA">
      <w:pPr>
        <w:autoSpaceDE w:val="0"/>
        <w:autoSpaceDN w:val="0"/>
        <w:spacing w:line="360" w:lineRule="auto"/>
        <w:ind w:firstLine="420" w:firstLineChars="200"/>
        <w:jc w:val="left"/>
        <w:rPr>
          <w:rFonts w:ascii="宋体" w:hAnsi="宋体"/>
          <w:color w:val="auto"/>
          <w:szCs w:val="21"/>
          <w:highlight w:val="none"/>
        </w:rPr>
      </w:pPr>
      <w:bookmarkStart w:id="1711" w:name="_Hlk524353972"/>
      <w:r>
        <w:rPr>
          <w:rFonts w:hint="eastAsia" w:ascii="宋体" w:hAnsi="宋体"/>
          <w:color w:val="auto"/>
          <w:szCs w:val="21"/>
          <w:highlight w:val="none"/>
        </w:rPr>
        <w:t>10.3.3 变更执行</w:t>
      </w:r>
    </w:p>
    <w:p w14:paraId="747E230F">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一般设计变更：承包人收到监理人下达的变更指示后，应按照监理人下达的变更指示执行，并书面说明实施该变更指示对合同价格和工期的影响，按照第10.4.1项〔变更估价原则〕约定执行。</w:t>
      </w:r>
    </w:p>
    <w:p w14:paraId="2244C5CD">
      <w:pPr>
        <w:autoSpaceDE w:val="0"/>
        <w:autoSpaceDN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重大设计变更：需经设计人、监理人和发包人三方签字认可并报相关行业部门审查同意后实施。</w:t>
      </w:r>
    </w:p>
    <w:p w14:paraId="2E3807C8">
      <w:pPr>
        <w:autoSpaceDE w:val="0"/>
        <w:autoSpaceDN w:val="0"/>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10.3.3 项增加以下内容：</w:t>
      </w:r>
    </w:p>
    <w:p w14:paraId="0E7373DB">
      <w:pPr>
        <w:autoSpaceDE w:val="0"/>
        <w:autoSpaceDN w:val="0"/>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合同变更提出后，应当首先由发包人组织相关单位、专家进行论证。经论证确需变更的，发包人按照《重庆市政府投资项目合同变更管理暂行办法》规定的程序自行决策或者报批；经论证不需要变更的，继续按合同执行。</w:t>
      </w:r>
    </w:p>
    <w:p w14:paraId="32A7DC54">
      <w:pPr>
        <w:autoSpaceDE w:val="0"/>
        <w:autoSpaceDN w:val="0"/>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项目的勘察设计、实施内容等作较大变更的，应当按照规定的程序报原审批部门审批；变更导致总投资超概的，应当报原投资概算核定部门核定。</w:t>
      </w:r>
    </w:p>
    <w:p w14:paraId="463721F8">
      <w:pPr>
        <w:autoSpaceDE w:val="0"/>
        <w:autoSpaceDN w:val="0"/>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项目管理人员变更的，应当经发包人领导班子集体决策同意，并将变更信息推送给行业主管部门。变更后的项目管理人员应当符合招标文件和行业主管部门的相关规定。</w:t>
      </w:r>
    </w:p>
    <w:p w14:paraId="4E03548F">
      <w:pPr>
        <w:autoSpaceDE w:val="0"/>
        <w:autoSpaceDN w:val="0"/>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因人工、原材料市场价格发生大幅度变化导致的合同总价变更，由发包人与承包人按照合同进行变更，并将变更信息推送给行业主管部门。</w:t>
      </w:r>
    </w:p>
    <w:p w14:paraId="333E1842">
      <w:pPr>
        <w:autoSpaceDE w:val="0"/>
        <w:autoSpaceDN w:val="0"/>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项目实施内容无变更，因不可抗力导致的工期变更，由发包人领导班子集体决策同意，并将变更信息推送给行业主管部门；因项目实施内容变更导致的工期变更，与项目实施内容变更一并办理。</w:t>
      </w:r>
    </w:p>
    <w:p w14:paraId="2AFCF2A1">
      <w:pPr>
        <w:autoSpaceDE w:val="0"/>
        <w:autoSpaceDN w:val="0"/>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项目合同变更后，增加的实施内容达到依法必须招标的规模标准的，增加的部分应当依法通过招标选择承包单位。</w:t>
      </w:r>
    </w:p>
    <w:bookmarkEnd w:id="1706"/>
    <w:bookmarkEnd w:id="1707"/>
    <w:bookmarkEnd w:id="1711"/>
    <w:p w14:paraId="2308F4AA">
      <w:pPr>
        <w:pStyle w:val="7"/>
        <w:spacing w:before="0" w:beforeAutospacing="0" w:after="0" w:afterAutospacing="0" w:line="360" w:lineRule="auto"/>
        <w:ind w:firstLine="422" w:firstLineChars="200"/>
        <w:rPr>
          <w:color w:val="auto"/>
          <w:sz w:val="21"/>
          <w:szCs w:val="21"/>
          <w:highlight w:val="none"/>
        </w:rPr>
      </w:pPr>
      <w:bookmarkStart w:id="1712" w:name="_Toc532377374"/>
      <w:bookmarkStart w:id="1713" w:name="_Toc532375638"/>
      <w:r>
        <w:rPr>
          <w:rFonts w:hint="eastAsia"/>
          <w:color w:val="auto"/>
          <w:sz w:val="21"/>
          <w:szCs w:val="21"/>
          <w:highlight w:val="none"/>
        </w:rPr>
        <w:t>10.4 变更估价</w:t>
      </w:r>
      <w:bookmarkEnd w:id="1712"/>
      <w:bookmarkEnd w:id="1713"/>
    </w:p>
    <w:p w14:paraId="69782753">
      <w:pPr>
        <w:spacing w:line="360" w:lineRule="auto"/>
        <w:ind w:firstLine="420" w:firstLineChars="200"/>
        <w:jc w:val="left"/>
        <w:rPr>
          <w:rFonts w:ascii="宋体" w:hAnsi="宋体"/>
          <w:color w:val="auto"/>
          <w:szCs w:val="21"/>
          <w:highlight w:val="none"/>
        </w:rPr>
      </w:pPr>
      <w:bookmarkStart w:id="1714" w:name="_Hlk524296629"/>
      <w:r>
        <w:rPr>
          <w:rFonts w:hint="eastAsia" w:ascii="宋体" w:hAnsi="宋体"/>
          <w:color w:val="auto"/>
          <w:szCs w:val="21"/>
          <w:highlight w:val="none"/>
        </w:rPr>
        <w:t>10.4.1 变更估价原则</w:t>
      </w:r>
    </w:p>
    <w:p w14:paraId="563B50D5">
      <w:pPr>
        <w:pStyle w:val="2"/>
        <w:spacing w:after="0"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当发生工程变更时，工程量按</w:t>
      </w:r>
      <w:r>
        <w:rPr>
          <w:rFonts w:hint="eastAsia" w:ascii="宋体" w:hAnsi="宋体"/>
          <w:color w:val="auto"/>
          <w:szCs w:val="21"/>
          <w:highlight w:val="none"/>
          <w:u w:val="single"/>
        </w:rPr>
        <w:t xml:space="preserve">        </w:t>
      </w:r>
      <w:r>
        <w:rPr>
          <w:rFonts w:hint="eastAsia" w:ascii="宋体" w:hAnsi="宋体"/>
          <w:color w:val="auto"/>
          <w:szCs w:val="21"/>
          <w:highlight w:val="none"/>
        </w:rPr>
        <w:t>规定的计算规则及已标价工程量清单规定的工程量计算规则计量，按以下办法计价：</w:t>
      </w:r>
      <w:bookmarkStart w:id="1715" w:name="_Hlk524770102"/>
    </w:p>
    <w:bookmarkEnd w:id="1715"/>
    <w:p w14:paraId="295737B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10.4.1.1已标价工程量清单中有相同项目的，按照相同项目单价计算；</w:t>
      </w:r>
    </w:p>
    <w:p w14:paraId="7C159E8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10.4.1.2已标价工程量清单中有类似项目的，参考类似项目单价计算；</w:t>
      </w:r>
    </w:p>
    <w:p w14:paraId="6F5BA3E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10.4.1.3已标价工程量清单中无相同项目亦无类似项目的，按照以下原则执行：</w:t>
      </w:r>
    </w:p>
    <w:p w14:paraId="1416AA8C">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u w:val="single"/>
        </w:rPr>
        <w:t>按《重庆市房屋建筑与装饰工程计价定额》（CQJZZSDE-2018）、《重庆市仿古建筑工程计价定额》（CQFGDE-2018）、《重庆市通用安装工程计价定额》（CQAZDE-2018） 、《重庆市市政工程计价定额》（CQSZDE-2018）、《重庆市园林绿化工程计价定额》（CQYLLHDE-2018）、《重庆市构筑物工程计价定额》（CQGZWDE-2018）、《重庆市城市轨道交通工程计价定额》（CQGDDE-2018）、《重庆市爆破工程计价定额》（CQBPDE-2018）、《重庆市房屋修缮工程计价定额》（CQXSDE-2018）、《重庆市绿色建筑工程计价定额》（CQLSJZDE-2018）、《重庆市建设工程施工机械台班定额》（CQJXDE-2018）、《重庆市建设工程施工仪器仪表台班定额》（CQYQYBDE-2018）、《重庆市建设工程混凝土及砂浆配合比表》（CQPHBB-2018）、《重庆市建设工程费用定额》（CQFYDE-2018）及相关配套文件进行组价并按承包人报价浮动率下浮（认质核价的设备和材料不参与浮动），经监理人、跟审单位、发包人审定后执行</w:t>
      </w:r>
      <w:r>
        <w:rPr>
          <w:rFonts w:hint="eastAsia" w:ascii="宋体" w:hAnsi="宋体"/>
          <w:color w:val="auto"/>
          <w:szCs w:val="21"/>
          <w:highlight w:val="none"/>
        </w:rPr>
        <w:t>。</w:t>
      </w:r>
    </w:p>
    <w:p w14:paraId="6743A3A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承包人报价浮动率按下列公式计算：承包人报价浮动率=（1-中标价/最高限价）×100%。</w:t>
      </w:r>
    </w:p>
    <w:p w14:paraId="1FF37A8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（1）人工单价：按开标当期《重庆工程造价信息》发布的项目所在地的人工单价执行。</w:t>
      </w:r>
    </w:p>
    <w:p w14:paraId="27552EC9">
      <w:pPr>
        <w:spacing w:line="360" w:lineRule="auto"/>
        <w:ind w:firstLine="420" w:firstLineChars="200"/>
        <w:jc w:val="left"/>
        <w:rPr>
          <w:rFonts w:ascii="宋体" w:hAnsi="宋体"/>
          <w:color w:val="auto"/>
          <w:szCs w:val="21"/>
          <w:highlight w:val="none"/>
        </w:rPr>
      </w:pPr>
      <w:bookmarkStart w:id="1716" w:name="_Hlk529023896"/>
      <w:r>
        <w:rPr>
          <w:rFonts w:hint="eastAsia" w:ascii="宋体" w:hAnsi="宋体"/>
          <w:color w:val="auto"/>
          <w:szCs w:val="21"/>
          <w:highlight w:val="none"/>
        </w:rPr>
        <w:t>（2）材料单价：</w:t>
      </w:r>
    </w:p>
    <w:p w14:paraId="637D502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①按</w:t>
      </w:r>
      <w:bookmarkStart w:id="1717" w:name="_Hlk529023354"/>
      <w:r>
        <w:rPr>
          <w:rFonts w:hint="eastAsia" w:ascii="宋体" w:hAnsi="宋体"/>
          <w:color w:val="auto"/>
          <w:szCs w:val="21"/>
          <w:highlight w:val="none"/>
        </w:rPr>
        <w:t>开标当期《重庆工程造价信息》发布的项目所在地的信息价</w:t>
      </w:r>
      <w:bookmarkEnd w:id="1717"/>
      <w:r>
        <w:rPr>
          <w:rFonts w:hint="eastAsia" w:ascii="宋体" w:hAnsi="宋体"/>
          <w:color w:val="auto"/>
          <w:szCs w:val="21"/>
          <w:highlight w:val="none"/>
        </w:rPr>
        <w:t>执行；</w:t>
      </w:r>
    </w:p>
    <w:p w14:paraId="0C5F684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②开标当期《重庆工程造价信息》中没有的，承包人投标报价中有的，按承包人投标报价中相同材料单价的最低值执行；</w:t>
      </w:r>
    </w:p>
    <w:p w14:paraId="3202231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③开标当期《重庆工程造价信息》和承包人投标报价没有的，由承包人申报、监理人会同跟审单位、发包人根据市场行情认质核价确定。</w:t>
      </w:r>
    </w:p>
    <w:bookmarkEnd w:id="1716"/>
    <w:p w14:paraId="447E2B4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企业管理费和利润：按承包人投标报价中相同工程分类的费用标准执行（投标报价中费用标准高于《重庆市建设工程费用定额》（CQFYDE-2018）费用标准的，按《重庆市建设工程费用定额》（CQFYDE-2018）费用标准执行）。</w:t>
      </w:r>
    </w:p>
    <w:p w14:paraId="780DB29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（4）规费：按《重庆市建设工程费用定额》（CQFYDE-2018）费用标准进行计算。</w:t>
      </w:r>
    </w:p>
    <w:p w14:paraId="2DFEBFA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（5）税金：包含增值税、城市维护建设税、教育费附加、地方教育附加以及环境保护税。其中增值税按《重庆市建设工程费用定额》（CQFYDE-2018）规定及配套文件执行。</w:t>
      </w:r>
    </w:p>
    <w:p w14:paraId="1EAD20A6">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10.4.1.4已标价工程量清单中无相同项目亦无类似项目，也无定额可套用的，由承包人会同监理人、跟审单位、发包人按相关原则、编制方法编制补充定额（人工、材料、机械基价执行2018年计价定额的基价，2018年计价定额没有的基价，按市场价计），按照第10.4.1.3目约定执行；或参照重庆市场相同工作的市场价格上报监理人，最终价格按承包人、监理人、跟审单位、发包人共同询价确认的价格执行。</w:t>
      </w:r>
    </w:p>
    <w:p w14:paraId="2D47960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本款补充10.4.3项：</w:t>
      </w:r>
    </w:p>
    <w:p w14:paraId="4DB4594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10.4.3工程变更引起施工方案改变并使措施项目发生变化时，承包人提出调整措施项目费的，应事前将拟实施的方案提交监理人审核报发包人确认，并应详细说明与原方案措施项目相比的变化情况。拟实施的方案经发承包双方确认后执行，并应按照下列规定调整措施项目费：</w:t>
      </w:r>
    </w:p>
    <w:p w14:paraId="3CA7EB4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u w:val="single"/>
        </w:rPr>
        <w:t>安全文明施工费应按照实际发生变化的措施项目依据现行安全文明施工费计取及管理政策规定及《重庆市建设工程费用定额》（CQFYDE-2018）规定执行</w:t>
      </w:r>
      <w:r>
        <w:rPr>
          <w:rFonts w:hint="eastAsia" w:ascii="宋体" w:hAnsi="宋体"/>
          <w:color w:val="auto"/>
          <w:szCs w:val="21"/>
          <w:highlight w:val="none"/>
        </w:rPr>
        <w:t>；</w:t>
      </w:r>
    </w:p>
    <w:p w14:paraId="2088B17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u w:val="single"/>
        </w:rPr>
        <w:t>按照单价计算的措施项目费，应按照实际发生变化的措施项目，按照第10.4.1项〔变更估价原则〕约定执行</w:t>
      </w:r>
      <w:r>
        <w:rPr>
          <w:rFonts w:hint="eastAsia" w:ascii="宋体" w:hAnsi="宋体"/>
          <w:color w:val="auto"/>
          <w:szCs w:val="21"/>
          <w:highlight w:val="none"/>
        </w:rPr>
        <w:t>；</w:t>
      </w:r>
    </w:p>
    <w:p w14:paraId="2F7F1BD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w:t>
      </w:r>
      <w:r>
        <w:rPr>
          <w:rFonts w:hint="eastAsia" w:ascii="宋体" w:hAnsi="宋体"/>
          <w:color w:val="auto"/>
          <w:szCs w:val="21"/>
          <w:highlight w:val="none"/>
          <w:u w:val="single"/>
        </w:rPr>
        <w:t>按总价（或系数）计算的措施项目费，应按照实际发生变化的措施项目费按承包人报价浮动率下浮后的金额计算</w:t>
      </w:r>
      <w:r>
        <w:rPr>
          <w:rFonts w:hint="eastAsia" w:ascii="宋体" w:hAnsi="宋体"/>
          <w:color w:val="auto"/>
          <w:szCs w:val="21"/>
          <w:highlight w:val="none"/>
        </w:rPr>
        <w:t>；</w:t>
      </w:r>
    </w:p>
    <w:p w14:paraId="6057678D">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（4）</w:t>
      </w:r>
      <w:r>
        <w:rPr>
          <w:rFonts w:hint="eastAsia" w:ascii="宋体" w:hAnsi="宋体"/>
          <w:color w:val="auto"/>
          <w:szCs w:val="21"/>
          <w:highlight w:val="none"/>
          <w:u w:val="single"/>
        </w:rPr>
        <w:t>如果承包人未事前将拟实施的方案提交给发包人确认，则应视为工程变更不引起措施项目费的调整或承包人放弃调整措施项目费的权利</w:t>
      </w:r>
      <w:r>
        <w:rPr>
          <w:rFonts w:hint="eastAsia" w:ascii="宋体" w:hAnsi="宋体"/>
          <w:color w:val="auto"/>
          <w:szCs w:val="21"/>
          <w:highlight w:val="none"/>
        </w:rPr>
        <w:t>。</w:t>
      </w:r>
    </w:p>
    <w:bookmarkEnd w:id="1714"/>
    <w:p w14:paraId="4F21856A">
      <w:pPr>
        <w:pStyle w:val="7"/>
        <w:spacing w:before="0" w:beforeAutospacing="0" w:after="0" w:afterAutospacing="0" w:line="360" w:lineRule="auto"/>
        <w:ind w:firstLine="422" w:firstLineChars="200"/>
        <w:rPr>
          <w:color w:val="auto"/>
          <w:sz w:val="21"/>
          <w:szCs w:val="21"/>
          <w:highlight w:val="none"/>
        </w:rPr>
      </w:pPr>
      <w:bookmarkStart w:id="1718" w:name="_Toc532377375"/>
      <w:bookmarkStart w:id="1719" w:name="_Toc532375639"/>
      <w:r>
        <w:rPr>
          <w:rFonts w:hint="eastAsia"/>
          <w:color w:val="auto"/>
          <w:sz w:val="21"/>
          <w:szCs w:val="21"/>
          <w:highlight w:val="none"/>
        </w:rPr>
        <w:t>1</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Start w:id="1720" w:name="_Toc296346698"/>
      <w:bookmarkStart w:id="1721" w:name="_Toc296891025"/>
      <w:bookmarkStart w:id="1722" w:name="_Toc292559402"/>
      <w:bookmarkStart w:id="1723" w:name="_Toc297216203"/>
      <w:bookmarkStart w:id="1724" w:name="_Toc300934993"/>
      <w:bookmarkStart w:id="1725" w:name="_Toc297048383"/>
      <w:bookmarkStart w:id="1726" w:name="_Toc297123544"/>
      <w:bookmarkStart w:id="1727" w:name="_Toc303539150"/>
      <w:bookmarkStart w:id="1728" w:name="_Toc296944536"/>
      <w:bookmarkStart w:id="1729" w:name="_Toc296891237"/>
      <w:bookmarkStart w:id="1730" w:name="_Toc297120497"/>
      <w:bookmarkStart w:id="1731" w:name="_Toc296347196"/>
      <w:bookmarkStart w:id="1732" w:name="_Toc296503197"/>
      <w:bookmarkStart w:id="1733" w:name="_Toc292559907"/>
      <w:bookmarkStart w:id="1734" w:name="_Toc304295570"/>
      <w:bookmarkStart w:id="1735" w:name="_Toc312678029"/>
      <w:bookmarkStart w:id="1736" w:name="_Toc312677503"/>
      <w:r>
        <w:rPr>
          <w:rFonts w:hint="eastAsia"/>
          <w:color w:val="auto"/>
          <w:sz w:val="21"/>
          <w:szCs w:val="21"/>
          <w:highlight w:val="none"/>
        </w:rPr>
        <w:t>0.5承</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Start w:id="1737" w:name="_Toc296891243"/>
      <w:bookmarkStart w:id="1738" w:name="_Toc292559913"/>
      <w:bookmarkStart w:id="1739" w:name="_Toc296891031"/>
      <w:bookmarkStart w:id="1740" w:name="_Toc296346704"/>
      <w:bookmarkStart w:id="1741" w:name="_Toc297048389"/>
      <w:bookmarkStart w:id="1742" w:name="_Toc297123545"/>
      <w:bookmarkStart w:id="1743" w:name="_Toc297120503"/>
      <w:bookmarkStart w:id="1744" w:name="_Toc296503203"/>
      <w:bookmarkStart w:id="1745" w:name="_Toc297216204"/>
      <w:bookmarkStart w:id="1746" w:name="_Toc296944542"/>
      <w:bookmarkStart w:id="1747" w:name="_Toc296347202"/>
      <w:bookmarkStart w:id="1748" w:name="_Toc292559408"/>
      <w:bookmarkStart w:id="1749" w:name="_Toc303539151"/>
      <w:bookmarkStart w:id="1750" w:name="_Toc300934994"/>
      <w:r>
        <w:rPr>
          <w:rFonts w:hint="eastAsia"/>
          <w:color w:val="auto"/>
          <w:sz w:val="21"/>
          <w:szCs w:val="21"/>
          <w:highlight w:val="none"/>
        </w:rPr>
        <w:t>包人的合理化建议</w:t>
      </w:r>
      <w:bookmarkEnd w:id="1718"/>
      <w:bookmarkEnd w:id="1719"/>
    </w:p>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14:paraId="4938FF9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承包人提出合理化建议的，应向监理人提交合理化建议说明，说明建议的内容和理由，以及实施该建议对合同价格和（或）工期和（或）工程经济效益的影响。</w:t>
      </w:r>
    </w:p>
    <w:p w14:paraId="74ECFCF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监理人审查承包人合理化建议的期限：</w:t>
      </w:r>
      <w:r>
        <w:rPr>
          <w:rFonts w:hint="eastAsia" w:ascii="宋体" w:hAnsi="宋体"/>
          <w:color w:val="auto"/>
          <w:szCs w:val="21"/>
          <w:highlight w:val="none"/>
          <w:u w:val="single"/>
        </w:rPr>
        <w:t>不超过14天</w:t>
      </w:r>
      <w:r>
        <w:rPr>
          <w:rFonts w:hint="eastAsia" w:ascii="宋体" w:hAnsi="宋体"/>
          <w:color w:val="auto"/>
          <w:szCs w:val="21"/>
          <w:highlight w:val="none"/>
        </w:rPr>
        <w:t>。</w:t>
      </w:r>
    </w:p>
    <w:p w14:paraId="4A7F2AE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发包人审批承包人合理化建议的期限：</w:t>
      </w:r>
      <w:r>
        <w:rPr>
          <w:rFonts w:hint="eastAsia" w:ascii="宋体" w:hAnsi="宋体"/>
          <w:color w:val="auto"/>
          <w:szCs w:val="21"/>
          <w:highlight w:val="none"/>
          <w:u w:val="single"/>
        </w:rPr>
        <w:t>不超过14天</w:t>
      </w:r>
      <w:r>
        <w:rPr>
          <w:rFonts w:hint="eastAsia" w:ascii="宋体" w:hAnsi="宋体"/>
          <w:color w:val="auto"/>
          <w:szCs w:val="21"/>
          <w:highlight w:val="none"/>
        </w:rPr>
        <w:t>。</w:t>
      </w:r>
    </w:p>
    <w:p w14:paraId="6334F39A">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承</w:t>
      </w:r>
      <w:bookmarkStart w:id="1751" w:name="_Toc297120504"/>
      <w:bookmarkStart w:id="1752" w:name="_Toc296944543"/>
      <w:bookmarkStart w:id="1753" w:name="_Toc312678030"/>
      <w:bookmarkStart w:id="1754" w:name="_Toc292559914"/>
      <w:bookmarkStart w:id="1755" w:name="_Toc296503204"/>
      <w:bookmarkStart w:id="1756" w:name="_Toc318581175"/>
      <w:bookmarkStart w:id="1757" w:name="_Toc312677504"/>
      <w:bookmarkStart w:id="1758" w:name="_Toc297048390"/>
      <w:bookmarkStart w:id="1759" w:name="_Toc292559409"/>
      <w:bookmarkStart w:id="1760" w:name="_Toc303539152"/>
      <w:bookmarkStart w:id="1761" w:name="_Toc297216205"/>
      <w:bookmarkStart w:id="1762" w:name="_Toc296347203"/>
      <w:bookmarkStart w:id="1763" w:name="_Toc304295571"/>
      <w:bookmarkStart w:id="1764" w:name="_Toc297123546"/>
      <w:bookmarkStart w:id="1765" w:name="_Toc296346705"/>
      <w:bookmarkStart w:id="1766" w:name="_Toc300934995"/>
      <w:bookmarkStart w:id="1767" w:name="_Toc296891032"/>
      <w:bookmarkStart w:id="1768" w:name="_Toc296891244"/>
      <w:r>
        <w:rPr>
          <w:rFonts w:hint="eastAsia" w:ascii="宋体" w:hAnsi="宋体"/>
          <w:color w:val="auto"/>
          <w:szCs w:val="21"/>
          <w:highlight w:val="none"/>
        </w:rPr>
        <w:t>包人提出的合理化建议降低了合同价格或缩短了工期或者提高了工程经济效益的奖励的方法和金额为：</w:t>
      </w:r>
      <w:r>
        <w:rPr>
          <w:rFonts w:hint="eastAsia" w:ascii="宋体" w:hAnsi="宋体"/>
          <w:color w:val="auto"/>
          <w:szCs w:val="21"/>
          <w:highlight w:val="none"/>
          <w:u w:val="single"/>
        </w:rPr>
        <w:t>合理化建议带来经济效益的5～10 %</w:t>
      </w:r>
      <w:r>
        <w:rPr>
          <w:rFonts w:hint="eastAsia" w:ascii="宋体" w:hAnsi="宋体"/>
          <w:color w:val="auto"/>
          <w:szCs w:val="21"/>
          <w:highlight w:val="none"/>
        </w:rPr>
        <w:t>。</w:t>
      </w:r>
    </w:p>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14:paraId="6736ADCD">
      <w:pPr>
        <w:pStyle w:val="7"/>
        <w:spacing w:before="0" w:beforeAutospacing="0" w:after="0" w:afterAutospacing="0" w:line="360" w:lineRule="auto"/>
        <w:ind w:firstLine="422" w:firstLineChars="200"/>
        <w:rPr>
          <w:color w:val="auto"/>
          <w:sz w:val="21"/>
          <w:szCs w:val="21"/>
          <w:highlight w:val="none"/>
        </w:rPr>
      </w:pPr>
      <w:bookmarkStart w:id="1769" w:name="_Toc532375640"/>
      <w:bookmarkStart w:id="1770" w:name="_Toc532377376"/>
      <w:r>
        <w:rPr>
          <w:rFonts w:hint="eastAsia"/>
          <w:color w:val="auto"/>
          <w:sz w:val="21"/>
          <w:szCs w:val="21"/>
          <w:highlight w:val="none"/>
        </w:rPr>
        <w:t>1</w:t>
      </w:r>
      <w:bookmarkStart w:id="1771" w:name="_Toc296891239"/>
      <w:bookmarkStart w:id="1772" w:name="_Toc312678033"/>
      <w:bookmarkStart w:id="1773" w:name="_Toc292559404"/>
      <w:bookmarkStart w:id="1774" w:name="_Toc296891027"/>
      <w:bookmarkStart w:id="1775" w:name="_Toc297048385"/>
      <w:bookmarkStart w:id="1776" w:name="_Toc296503199"/>
      <w:bookmarkStart w:id="1777" w:name="_Toc303539154"/>
      <w:bookmarkStart w:id="1778" w:name="_Toc297123548"/>
      <w:bookmarkStart w:id="1779" w:name="_Toc296944538"/>
      <w:bookmarkStart w:id="1780" w:name="_Toc297120499"/>
      <w:bookmarkStart w:id="1781" w:name="_Toc296346700"/>
      <w:bookmarkStart w:id="1782" w:name="_Toc312677507"/>
      <w:bookmarkStart w:id="1783" w:name="_Toc292559909"/>
      <w:bookmarkStart w:id="1784" w:name="_Toc300934997"/>
      <w:bookmarkStart w:id="1785" w:name="_Toc297216207"/>
      <w:bookmarkStart w:id="1786" w:name="_Toc304295574"/>
      <w:bookmarkStart w:id="1787" w:name="_Toc296347198"/>
      <w:r>
        <w:rPr>
          <w:rFonts w:hint="eastAsia"/>
          <w:color w:val="auto"/>
          <w:sz w:val="21"/>
          <w:szCs w:val="21"/>
          <w:highlight w:val="none"/>
        </w:rPr>
        <w:t>0.7 暂估价</w:t>
      </w:r>
      <w:bookmarkEnd w:id="1769"/>
      <w:bookmarkEnd w:id="1770"/>
    </w:p>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14:paraId="402E351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专业工程暂估价：</w:t>
      </w:r>
      <w:r>
        <w:rPr>
          <w:rFonts w:hint="eastAsia" w:ascii="宋体" w:hAnsi="宋体"/>
          <w:color w:val="auto"/>
          <w:szCs w:val="21"/>
          <w:highlight w:val="none"/>
          <w:u w:val="single"/>
        </w:rPr>
        <w:t xml:space="preserve">        </w:t>
      </w:r>
      <w:r>
        <w:rPr>
          <w:rFonts w:hint="eastAsia" w:ascii="宋体" w:hAnsi="宋体"/>
          <w:color w:val="auto"/>
          <w:szCs w:val="21"/>
          <w:highlight w:val="none"/>
        </w:rPr>
        <w:t>万元。</w:t>
      </w:r>
    </w:p>
    <w:p w14:paraId="5665662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单项合同估算价在国家相关法律法规规定必须招标规模以下的，符合可以不招标相关规定的，由承包人采取交钥匙工程模式实施，发包人配合。承包人（需在允许资质范围内）或承包人委托的有资质的专业分包单位实施。费用估价按照第10.4.1项〔变更估价原则〕执行，承包人申报，经监理人、跟审单位、发包人共同审定。审定后根据承包人签订的相关合同（需经监理人、跟审单位、发包人共同确认）约定，由承包人申报，随进度款按与相关单位签订的合同约定一并支付。</w:t>
      </w:r>
    </w:p>
    <w:p w14:paraId="698DDD9D">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单项合同暂估价在国家相关法律法规规定必须招标规模以上的，需依法必须招标的，由承包人、发包人共同招标确定。</w:t>
      </w:r>
    </w:p>
    <w:p w14:paraId="11F9F083">
      <w:pPr>
        <w:pStyle w:val="7"/>
        <w:spacing w:before="0" w:beforeAutospacing="0" w:after="0" w:afterAutospacing="0" w:line="360" w:lineRule="auto"/>
        <w:ind w:firstLine="422" w:firstLineChars="200"/>
        <w:rPr>
          <w:color w:val="auto"/>
          <w:sz w:val="21"/>
          <w:szCs w:val="21"/>
          <w:highlight w:val="none"/>
        </w:rPr>
      </w:pPr>
      <w:bookmarkStart w:id="1788" w:name="_Toc532375641"/>
      <w:bookmarkStart w:id="1789" w:name="_Toc532377377"/>
      <w:r>
        <w:rPr>
          <w:rFonts w:hint="eastAsia"/>
          <w:color w:val="auto"/>
          <w:sz w:val="21"/>
          <w:szCs w:val="21"/>
          <w:highlight w:val="none"/>
        </w:rPr>
        <w:t>10.8 暂列金额</w:t>
      </w:r>
      <w:bookmarkEnd w:id="1788"/>
      <w:bookmarkEnd w:id="1789"/>
    </w:p>
    <w:p w14:paraId="38F9D39E">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合同当事人关于暂列金额使用的约定：</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6E4ABB47">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790" w:name="_Toc532375642"/>
      <w:bookmarkStart w:id="1791" w:name="_Toc532377378"/>
      <w:bookmarkStart w:id="1792" w:name="_Toc351203643"/>
      <w:r>
        <w:rPr>
          <w:rFonts w:hint="eastAsia"/>
          <w:color w:val="auto"/>
          <w:kern w:val="2"/>
          <w:sz w:val="21"/>
          <w:szCs w:val="21"/>
          <w:highlight w:val="none"/>
        </w:rPr>
        <w:t>11. 价格调整</w:t>
      </w:r>
      <w:bookmarkEnd w:id="1790"/>
      <w:bookmarkEnd w:id="1791"/>
      <w:bookmarkEnd w:id="1792"/>
    </w:p>
    <w:p w14:paraId="66F4DD74">
      <w:pPr>
        <w:pStyle w:val="7"/>
        <w:spacing w:before="0" w:beforeAutospacing="0" w:after="0" w:afterAutospacing="0" w:line="360" w:lineRule="auto"/>
        <w:ind w:firstLine="422" w:firstLineChars="200"/>
        <w:rPr>
          <w:color w:val="auto"/>
          <w:sz w:val="21"/>
          <w:szCs w:val="21"/>
          <w:highlight w:val="none"/>
        </w:rPr>
      </w:pPr>
      <w:bookmarkStart w:id="1793" w:name="_Toc532377379"/>
      <w:bookmarkStart w:id="1794" w:name="_Toc532375643"/>
      <w:bookmarkStart w:id="1795" w:name="_Toc300935000"/>
      <w:bookmarkStart w:id="1796" w:name="_Toc304295577"/>
      <w:bookmarkStart w:id="1797" w:name="_Toc296503201"/>
      <w:bookmarkStart w:id="1798" w:name="_Toc303539157"/>
      <w:bookmarkStart w:id="1799" w:name="_Toc312678039"/>
      <w:bookmarkStart w:id="1800" w:name="_Toc297216209"/>
      <w:bookmarkStart w:id="1801" w:name="_Toc296891241"/>
      <w:bookmarkStart w:id="1802" w:name="_Toc297048387"/>
      <w:bookmarkStart w:id="1803" w:name="_Toc296891029"/>
      <w:bookmarkStart w:id="1804" w:name="_Toc297120501"/>
      <w:bookmarkStart w:id="1805" w:name="_Toc296347200"/>
      <w:bookmarkStart w:id="1806" w:name="_Toc292559911"/>
      <w:bookmarkStart w:id="1807" w:name="_Toc297123550"/>
      <w:bookmarkStart w:id="1808" w:name="_Toc296944540"/>
      <w:bookmarkStart w:id="1809" w:name="_Toc292559406"/>
      <w:bookmarkStart w:id="1810" w:name="_Toc296346702"/>
      <w:r>
        <w:rPr>
          <w:rFonts w:hint="eastAsia"/>
          <w:color w:val="auto"/>
          <w:sz w:val="21"/>
          <w:szCs w:val="21"/>
          <w:highlight w:val="none"/>
        </w:rPr>
        <w:t>11.1 市场价格波动引起的调整</w:t>
      </w:r>
      <w:bookmarkEnd w:id="1793"/>
      <w:bookmarkEnd w:id="1794"/>
    </w:p>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14:paraId="70782283">
      <w:pPr>
        <w:spacing w:line="360" w:lineRule="auto"/>
        <w:ind w:firstLine="420" w:firstLineChars="200"/>
        <w:jc w:val="left"/>
        <w:rPr>
          <w:rFonts w:ascii="宋体" w:hAnsi="宋体"/>
          <w:color w:val="auto"/>
          <w:szCs w:val="21"/>
          <w:highlight w:val="none"/>
        </w:rPr>
      </w:pPr>
      <w:bookmarkStart w:id="1811" w:name="_Toc467689641"/>
      <w:bookmarkStart w:id="1812" w:name="_Toc466913963"/>
      <w:bookmarkStart w:id="1813" w:name="_Toc466911545"/>
      <w:bookmarkStart w:id="1814" w:name="_Toc466913513"/>
      <w:r>
        <w:rPr>
          <w:rFonts w:hint="eastAsia" w:ascii="宋体" w:hAnsi="宋体"/>
          <w:color w:val="auto"/>
          <w:szCs w:val="21"/>
          <w:highlight w:val="none"/>
        </w:rPr>
        <w:t>市场价格波动是否调整合同价格的约定：</w:t>
      </w:r>
      <w:r>
        <w:rPr>
          <w:rFonts w:hint="eastAsia" w:ascii="宋体" w:hAnsi="宋体"/>
          <w:color w:val="auto"/>
          <w:szCs w:val="21"/>
          <w:highlight w:val="none"/>
          <w:u w:val="single"/>
        </w:rPr>
        <w:t>合同工期一年以上（含一年），且市场价格波动幅度符合第11.1.1项〔人工费价差调整办法〕和（或）第11.1.2项〔材料费价差调整办法〕约定的，按第11.1.1项〔人工费价差调整办法〕和（或）第11.1.2项〔材料费价差调整办法〕约定调整合同价格；第11.1.1项〔人工费价差调整办法〕和（或）第11.1.2项〔材料费价差调整办法〕约定的调差条件之外的市场价格波动风险不调整合同价格，风险费用由承包人自行考虑后纳入签约合同价格中，包干使用</w:t>
      </w:r>
      <w:r>
        <w:rPr>
          <w:rFonts w:hint="eastAsia" w:ascii="宋体" w:hAnsi="宋体"/>
          <w:color w:val="auto"/>
          <w:szCs w:val="21"/>
          <w:highlight w:val="none"/>
        </w:rPr>
        <w:t>。</w:t>
      </w:r>
    </w:p>
    <w:p w14:paraId="45BAF2B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因市场价格波动调整合同价格，采用以下第2种方式对合同价格进行调整：</w:t>
      </w:r>
    </w:p>
    <w:p w14:paraId="6D425F7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第1种方式：</w:t>
      </w:r>
      <w:r>
        <w:rPr>
          <w:rFonts w:hint="eastAsia" w:ascii="宋体" w:hAnsi="宋体"/>
          <w:color w:val="auto"/>
          <w:szCs w:val="21"/>
          <w:highlight w:val="none"/>
          <w:u w:val="single"/>
        </w:rPr>
        <w:t>采用价格指数进行价格调整</w:t>
      </w:r>
      <w:r>
        <w:rPr>
          <w:rFonts w:hint="eastAsia" w:ascii="宋体" w:hAnsi="宋体"/>
          <w:color w:val="auto"/>
          <w:szCs w:val="21"/>
          <w:highlight w:val="none"/>
        </w:rPr>
        <w:t>。</w:t>
      </w:r>
    </w:p>
    <w:p w14:paraId="0D9D153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关于各可调因子、定值和变值权重，以及基本价格指数及其来源的约定：</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4CA6393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第2种方式：</w:t>
      </w:r>
      <w:r>
        <w:rPr>
          <w:rFonts w:hint="eastAsia" w:ascii="宋体" w:hAnsi="宋体"/>
          <w:color w:val="auto"/>
          <w:szCs w:val="21"/>
          <w:highlight w:val="none"/>
          <w:u w:val="single"/>
        </w:rPr>
        <w:t>采用造价信息进行价格调整，调整方法如下</w:t>
      </w:r>
      <w:r>
        <w:rPr>
          <w:rFonts w:hint="eastAsia" w:ascii="宋体" w:hAnsi="宋体"/>
          <w:color w:val="auto"/>
          <w:szCs w:val="21"/>
          <w:highlight w:val="none"/>
        </w:rPr>
        <w:t>：</w:t>
      </w:r>
    </w:p>
    <w:p w14:paraId="1F0A9EF2">
      <w:pPr>
        <w:spacing w:line="360" w:lineRule="auto"/>
        <w:ind w:firstLine="420" w:firstLineChars="200"/>
        <w:jc w:val="left"/>
        <w:rPr>
          <w:rFonts w:ascii="宋体" w:hAnsi="宋体"/>
          <w:color w:val="auto"/>
          <w:szCs w:val="21"/>
          <w:highlight w:val="none"/>
        </w:rPr>
      </w:pPr>
      <w:bookmarkStart w:id="1815" w:name="_Hlk524296901"/>
      <w:r>
        <w:rPr>
          <w:rFonts w:hint="eastAsia" w:ascii="宋体" w:hAnsi="宋体"/>
          <w:color w:val="auto"/>
          <w:szCs w:val="21"/>
          <w:highlight w:val="none"/>
        </w:rPr>
        <w:t>11.1.1人工费价差调整办法</w:t>
      </w:r>
      <w:bookmarkEnd w:id="1811"/>
      <w:bookmarkEnd w:id="1812"/>
      <w:bookmarkEnd w:id="1813"/>
      <w:bookmarkEnd w:id="1814"/>
    </w:p>
    <w:p w14:paraId="71E0F481">
      <w:pPr>
        <w:tabs>
          <w:tab w:val="left" w:pos="711"/>
          <w:tab w:val="left" w:pos="2580"/>
        </w:tabs>
        <w:spacing w:line="360" w:lineRule="auto"/>
        <w:ind w:firstLine="420" w:firstLineChars="200"/>
        <w:jc w:val="left"/>
        <w:textAlignment w:val="baseline"/>
        <w:rPr>
          <w:rFonts w:ascii="宋体" w:hAnsi="宋体"/>
          <w:color w:val="auto"/>
          <w:szCs w:val="21"/>
          <w:highlight w:val="none"/>
        </w:rPr>
      </w:pPr>
      <w:bookmarkStart w:id="1816" w:name="_Toc466913516"/>
      <w:bookmarkStart w:id="1817" w:name="_Toc466911548"/>
      <w:bookmarkStart w:id="1818" w:name="_Toc467689644"/>
      <w:bookmarkStart w:id="1819" w:name="_Toc466913966"/>
      <w:r>
        <w:rPr>
          <w:rFonts w:hint="eastAsia" w:ascii="宋体" w:hAnsi="宋体"/>
          <w:color w:val="auto"/>
          <w:szCs w:val="21"/>
          <w:highlight w:val="none"/>
        </w:rPr>
        <w:t>（1）自实际开工时间起至合同约定的工期结束时间止，期间《重庆工程造价信息》发布人工单价的算术平均值较开标当期《重庆工程造价信息》发布的人工单价变化超过</w:t>
      </w:r>
      <w:r>
        <w:rPr>
          <w:rFonts w:hint="eastAsia" w:ascii="宋体" w:hAnsi="宋体"/>
          <w:color w:val="auto"/>
          <w:szCs w:val="21"/>
          <w:highlight w:val="none"/>
          <w:u w:val="single"/>
        </w:rPr>
        <w:t>±5%</w:t>
      </w:r>
      <w:r>
        <w:rPr>
          <w:rFonts w:hint="eastAsia" w:ascii="宋体" w:hAnsi="宋体"/>
          <w:color w:val="auto"/>
          <w:szCs w:val="21"/>
          <w:highlight w:val="none"/>
        </w:rPr>
        <w:t>时，按以下约定调整：</w:t>
      </w:r>
    </w:p>
    <w:p w14:paraId="526CCAD4">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①已标价工程量清单中载明人工单价不高于开标当期《重庆工程造价信息》发布的人工单价的：按期间《重庆工程造价信息》发布人工单价的算术平均值减去开标当期《重庆工程造价信息》发布的人工单价乘以</w:t>
      </w:r>
      <w:r>
        <w:rPr>
          <w:rFonts w:hint="eastAsia" w:ascii="宋体" w:hAnsi="宋体"/>
          <w:color w:val="auto"/>
          <w:szCs w:val="21"/>
          <w:highlight w:val="none"/>
          <w:u w:val="single"/>
        </w:rPr>
        <w:t>（1±5%）</w:t>
      </w:r>
      <w:r>
        <w:rPr>
          <w:rFonts w:hint="eastAsia" w:ascii="宋体" w:hAnsi="宋体"/>
          <w:color w:val="auto"/>
          <w:szCs w:val="21"/>
          <w:highlight w:val="none"/>
        </w:rPr>
        <w:t>调差。</w:t>
      </w:r>
    </w:p>
    <w:p w14:paraId="5A61F6F4">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②已标价工程量清单中载明人工单价高于开标当期《重庆工程造价信息》发布的人工单价的，按期间《重庆工程造价信息》发布人工单价的算术平均值减去已标价工程量清单中载明人工单价乘以</w:t>
      </w:r>
      <w:r>
        <w:rPr>
          <w:rFonts w:hint="eastAsia" w:ascii="宋体" w:hAnsi="宋体"/>
          <w:color w:val="auto"/>
          <w:szCs w:val="21"/>
          <w:highlight w:val="none"/>
          <w:u w:val="single"/>
        </w:rPr>
        <w:t>（1±5%）</w:t>
      </w:r>
      <w:r>
        <w:rPr>
          <w:rFonts w:hint="eastAsia" w:ascii="宋体" w:hAnsi="宋体"/>
          <w:color w:val="auto"/>
          <w:szCs w:val="21"/>
          <w:highlight w:val="none"/>
        </w:rPr>
        <w:t>调差。</w:t>
      </w:r>
    </w:p>
    <w:p w14:paraId="6C6B843E">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2）工程量按照第12.3.1项〔计量原则〕约定计算，单位工程的人工消耗量按承包人投标报价的消耗量执行（承包人投标报价的单位工程人工消耗量高于定额单位工程人工消耗量的，按定额单位工程的人工消耗量执行）。</w:t>
      </w:r>
    </w:p>
    <w:p w14:paraId="4EBD20CC">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（3）</w:t>
      </w:r>
      <w:r>
        <w:rPr>
          <w:rFonts w:hint="eastAsia" w:ascii="宋体" w:hAnsi="宋体"/>
          <w:color w:val="auto"/>
          <w:szCs w:val="21"/>
          <w:highlight w:val="none"/>
          <w:u w:val="single"/>
        </w:rPr>
        <w:t xml:space="preserve">        </w:t>
      </w:r>
      <w:r>
        <w:rPr>
          <w:rFonts w:hint="eastAsia" w:ascii="宋体" w:hAnsi="宋体"/>
          <w:color w:val="auto"/>
          <w:szCs w:val="21"/>
          <w:highlight w:val="none"/>
        </w:rPr>
        <w:t>。</w:t>
      </w:r>
    </w:p>
    <w:bookmarkEnd w:id="1815"/>
    <w:p w14:paraId="4091B898">
      <w:pPr>
        <w:spacing w:line="360" w:lineRule="auto"/>
        <w:ind w:firstLine="420" w:firstLineChars="200"/>
        <w:jc w:val="left"/>
        <w:rPr>
          <w:rFonts w:ascii="宋体" w:hAnsi="宋体"/>
          <w:color w:val="auto"/>
          <w:szCs w:val="21"/>
          <w:highlight w:val="none"/>
        </w:rPr>
      </w:pPr>
      <w:bookmarkStart w:id="1820" w:name="_Hlk524297138"/>
      <w:r>
        <w:rPr>
          <w:rFonts w:hint="eastAsia" w:ascii="宋体" w:hAnsi="宋体"/>
          <w:color w:val="auto"/>
          <w:szCs w:val="21"/>
          <w:highlight w:val="none"/>
        </w:rPr>
        <w:t>11.1.2 材料费价差调整</w:t>
      </w:r>
      <w:bookmarkEnd w:id="1816"/>
      <w:bookmarkEnd w:id="1817"/>
      <w:bookmarkEnd w:id="1818"/>
      <w:bookmarkEnd w:id="1819"/>
      <w:r>
        <w:rPr>
          <w:rFonts w:hint="eastAsia" w:ascii="宋体" w:hAnsi="宋体"/>
          <w:color w:val="auto"/>
          <w:szCs w:val="21"/>
          <w:highlight w:val="none"/>
        </w:rPr>
        <w:t>办法</w:t>
      </w:r>
    </w:p>
    <w:p w14:paraId="1417BC09">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可调价差材料：</w:t>
      </w:r>
      <w:r>
        <w:rPr>
          <w:rFonts w:hint="eastAsia" w:ascii="宋体" w:hAnsi="宋体"/>
          <w:color w:val="auto"/>
          <w:szCs w:val="21"/>
          <w:highlight w:val="none"/>
          <w:u w:val="single"/>
        </w:rPr>
        <w:t>水泥、商品砼、碎石、砂、钢筋、型钢、条石、片石、预应力钢绞线、沥青混凝土、水泥稳定碎石拌和料、预拌商品砂浆、砌筑材料等主要材料（可按工程使用的具体材料确定）</w:t>
      </w:r>
      <w:r>
        <w:rPr>
          <w:rFonts w:hint="eastAsia" w:ascii="宋体" w:hAnsi="宋体"/>
          <w:color w:val="auto"/>
          <w:szCs w:val="21"/>
          <w:highlight w:val="none"/>
        </w:rPr>
        <w:t>。</w:t>
      </w:r>
    </w:p>
    <w:p w14:paraId="665034F9">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可调价差材料的价差调整办法如下：</w:t>
      </w:r>
    </w:p>
    <w:bookmarkEnd w:id="1673"/>
    <w:bookmarkEnd w:id="1674"/>
    <w:bookmarkEnd w:id="1675"/>
    <w:bookmarkEnd w:id="1676"/>
    <w:bookmarkEnd w:id="1677"/>
    <w:bookmarkEnd w:id="1678"/>
    <w:p w14:paraId="53BF8B26">
      <w:pPr>
        <w:tabs>
          <w:tab w:val="left" w:pos="711"/>
          <w:tab w:val="left" w:pos="2580"/>
        </w:tabs>
        <w:spacing w:line="360" w:lineRule="auto"/>
        <w:ind w:firstLine="420" w:firstLineChars="200"/>
        <w:jc w:val="left"/>
        <w:textAlignment w:val="baseline"/>
        <w:rPr>
          <w:rFonts w:ascii="宋体" w:hAnsi="宋体"/>
          <w:color w:val="auto"/>
          <w:szCs w:val="21"/>
          <w:highlight w:val="none"/>
        </w:rPr>
      </w:pPr>
      <w:bookmarkStart w:id="1821" w:name="_Toc297120505"/>
      <w:bookmarkStart w:id="1822" w:name="_Toc296347204"/>
      <w:bookmarkStart w:id="1823" w:name="_Toc296944544"/>
      <w:bookmarkStart w:id="1824" w:name="_Toc292559410"/>
      <w:bookmarkStart w:id="1825" w:name="_Toc292559915"/>
      <w:bookmarkStart w:id="1826" w:name="_Toc296346706"/>
      <w:bookmarkStart w:id="1827" w:name="_Toc296891033"/>
      <w:bookmarkStart w:id="1828" w:name="_Toc297048391"/>
      <w:bookmarkStart w:id="1829" w:name="_Toc296891245"/>
      <w:bookmarkStart w:id="1830" w:name="_Toc296503205"/>
      <w:bookmarkStart w:id="1831" w:name="_Toc351203644"/>
      <w:bookmarkStart w:id="1832" w:name="_Toc312678040"/>
      <w:bookmarkStart w:id="1833" w:name="_Toc304295579"/>
      <w:bookmarkStart w:id="1834" w:name="_Toc300935002"/>
      <w:bookmarkStart w:id="1835" w:name="_Toc303539159"/>
      <w:bookmarkStart w:id="1836" w:name="_Toc297216211"/>
      <w:bookmarkStart w:id="1837" w:name="_Toc297123552"/>
      <w:r>
        <w:rPr>
          <w:rFonts w:hint="eastAsia" w:ascii="宋体" w:hAnsi="宋体"/>
          <w:color w:val="auto"/>
          <w:szCs w:val="21"/>
          <w:highlight w:val="none"/>
        </w:rPr>
        <w:t>（1）自实际开工时间起至合同约定的工期结束时间止，期间《重庆工程造价信息》发布的信息价的算术平均值较开标当期《重庆工程造价信息》发布的信息价变化超过</w:t>
      </w:r>
      <w:r>
        <w:rPr>
          <w:rFonts w:hint="eastAsia" w:ascii="宋体" w:hAnsi="宋体"/>
          <w:color w:val="auto"/>
          <w:szCs w:val="21"/>
          <w:highlight w:val="none"/>
          <w:u w:val="single"/>
        </w:rPr>
        <w:t>±5%</w:t>
      </w:r>
      <w:r>
        <w:rPr>
          <w:rFonts w:hint="eastAsia" w:ascii="宋体" w:hAnsi="宋体"/>
          <w:color w:val="auto"/>
          <w:szCs w:val="21"/>
          <w:highlight w:val="none"/>
        </w:rPr>
        <w:t>时，按以下约定调整：</w:t>
      </w:r>
    </w:p>
    <w:p w14:paraId="09B16447">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①已标价工程量清单中载明材料单价不高于开标当期《重庆工程造价信息》发布的信息价的按期间《重庆工程造价信息》发布信息价的算术平均值减去开标当期《重庆工程造价信息》发布的信息价乘以</w:t>
      </w:r>
      <w:r>
        <w:rPr>
          <w:rFonts w:hint="eastAsia" w:ascii="宋体" w:hAnsi="宋体"/>
          <w:color w:val="auto"/>
          <w:szCs w:val="21"/>
          <w:highlight w:val="none"/>
          <w:u w:val="single"/>
        </w:rPr>
        <w:t>（1±5%）</w:t>
      </w:r>
      <w:r>
        <w:rPr>
          <w:rFonts w:hint="eastAsia" w:ascii="宋体" w:hAnsi="宋体"/>
          <w:color w:val="auto"/>
          <w:szCs w:val="21"/>
          <w:highlight w:val="none"/>
        </w:rPr>
        <w:t>调差。</w:t>
      </w:r>
    </w:p>
    <w:p w14:paraId="0961EE89">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②已标价工程量清单中载明材料单价高于开标当期《重庆工程造价信息》发布的信息价的，按期间《重庆工程造价信息》发布信息价的算术平均值减去已标价工程量清单中载明材料单价乘以</w:t>
      </w:r>
      <w:r>
        <w:rPr>
          <w:rFonts w:hint="eastAsia" w:ascii="宋体" w:hAnsi="宋体"/>
          <w:color w:val="auto"/>
          <w:szCs w:val="21"/>
          <w:highlight w:val="none"/>
          <w:u w:val="single"/>
        </w:rPr>
        <w:t>（1±5%）</w:t>
      </w:r>
      <w:r>
        <w:rPr>
          <w:rFonts w:hint="eastAsia" w:ascii="宋体" w:hAnsi="宋体"/>
          <w:color w:val="auto"/>
          <w:szCs w:val="21"/>
          <w:highlight w:val="none"/>
        </w:rPr>
        <w:t>调差。</w:t>
      </w:r>
    </w:p>
    <w:p w14:paraId="346F6A76">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2）工程量按照第12.3.1项〔计量原则〕约定计算，单位工程的材料消耗量按承包人投标报价的消耗量执行（承包人投标报价的单位工程材料消耗量高于定额单位工程材料消耗量的，按定额单位工程的材料消耗量执行）。</w:t>
      </w:r>
    </w:p>
    <w:p w14:paraId="75A6212D">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（3）</w:t>
      </w:r>
      <w:r>
        <w:rPr>
          <w:rFonts w:hint="eastAsia" w:ascii="宋体" w:hAnsi="宋体"/>
          <w:color w:val="auto"/>
          <w:szCs w:val="21"/>
          <w:highlight w:val="none"/>
          <w:u w:val="single"/>
        </w:rPr>
        <w:t xml:space="preserve">        </w:t>
      </w:r>
      <w:r>
        <w:rPr>
          <w:rFonts w:hint="eastAsia" w:ascii="宋体" w:hAnsi="宋体"/>
          <w:color w:val="auto"/>
          <w:szCs w:val="21"/>
          <w:highlight w:val="none"/>
        </w:rPr>
        <w:t>。</w:t>
      </w:r>
    </w:p>
    <w:bookmarkEnd w:id="1820"/>
    <w:p w14:paraId="00C6A15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第3种方式：其他价格调整方式：</w:t>
      </w:r>
      <w:r>
        <w:rPr>
          <w:rFonts w:hint="eastAsia" w:ascii="宋体" w:hAnsi="宋体"/>
          <w:color w:val="auto"/>
          <w:szCs w:val="21"/>
          <w:highlight w:val="none"/>
          <w:u w:val="single"/>
        </w:rPr>
        <w:t>不采用</w:t>
      </w:r>
      <w:r>
        <w:rPr>
          <w:rFonts w:hint="eastAsia" w:ascii="宋体" w:hAnsi="宋体"/>
          <w:color w:val="auto"/>
          <w:szCs w:val="21"/>
          <w:highlight w:val="none"/>
        </w:rPr>
        <w:t>。</w:t>
      </w:r>
    </w:p>
    <w:p w14:paraId="3FA960B4">
      <w:pPr>
        <w:pStyle w:val="7"/>
        <w:spacing w:before="0" w:beforeAutospacing="0" w:after="0" w:afterAutospacing="0" w:line="360" w:lineRule="auto"/>
        <w:ind w:firstLine="422" w:firstLineChars="200"/>
        <w:rPr>
          <w:color w:val="auto"/>
          <w:sz w:val="21"/>
          <w:szCs w:val="21"/>
          <w:highlight w:val="none"/>
        </w:rPr>
      </w:pPr>
      <w:bookmarkStart w:id="1838" w:name="_Toc532375644"/>
      <w:bookmarkStart w:id="1839" w:name="_Toc532377380"/>
      <w:bookmarkStart w:id="1840" w:name="_Hlk528928232"/>
      <w:r>
        <w:rPr>
          <w:rFonts w:hint="eastAsia"/>
          <w:color w:val="auto"/>
          <w:sz w:val="21"/>
          <w:szCs w:val="21"/>
          <w:highlight w:val="none"/>
        </w:rPr>
        <w:t>11.2 法律变化引起的调整</w:t>
      </w:r>
      <w:bookmarkEnd w:id="1838"/>
      <w:bookmarkEnd w:id="1839"/>
    </w:p>
    <w:p w14:paraId="2C40680D">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项目投标基准日至竣工验收合格之日，国家或相关行政主管部门发布直接影响项目的新法规、新政策、新文件、新标准，属强制执行的，自执行之日执行，由此增减的费用由发包人承担，估价照第10.4.1项〔变更估价原则〕执行；属选择性执行的，发包人与承包人协商解决。</w:t>
      </w:r>
    </w:p>
    <w:p w14:paraId="773FE8C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本条补充11.3款</w:t>
      </w:r>
    </w:p>
    <w:bookmarkEnd w:id="1840"/>
    <w:p w14:paraId="2FE38990">
      <w:pPr>
        <w:pStyle w:val="7"/>
        <w:spacing w:before="0" w:beforeAutospacing="0" w:after="0" w:afterAutospacing="0" w:line="360" w:lineRule="auto"/>
        <w:ind w:firstLine="422" w:firstLineChars="200"/>
        <w:rPr>
          <w:color w:val="auto"/>
          <w:sz w:val="21"/>
          <w:szCs w:val="21"/>
          <w:highlight w:val="none"/>
        </w:rPr>
      </w:pPr>
      <w:bookmarkStart w:id="1841" w:name="_Toc532377381"/>
      <w:bookmarkStart w:id="1842" w:name="_Toc532375645"/>
      <w:r>
        <w:rPr>
          <w:rFonts w:hint="eastAsia"/>
          <w:color w:val="auto"/>
          <w:sz w:val="21"/>
          <w:szCs w:val="21"/>
          <w:highlight w:val="none"/>
        </w:rPr>
        <w:t>11.3 严重不平衡报价引起的调整</w:t>
      </w:r>
      <w:bookmarkEnd w:id="1841"/>
      <w:bookmarkEnd w:id="1842"/>
    </w:p>
    <w:p w14:paraId="5D4FC9C7">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合同履行期间，当按第12.3.1项〔计量原则〕约定确认的完成工程量比已标价工程量清单载明工程量增加超过15%，且发包人发现承包人的已标价工程量清单相关清单子目中有严重不平衡报价的。超过已标价工程量清单载明工程量15%的部分，发包人将对严重不平衡报价的清单子目综合单价进行修正，并按修正综合单价办理竣工结算，修正综合单价按照第10.4.1项〔变更估价原则〕（3）目约定执行</w:t>
      </w:r>
      <w:r>
        <w:rPr>
          <w:rFonts w:hint="eastAsia" w:ascii="宋体" w:hAnsi="宋体"/>
          <w:color w:val="auto"/>
          <w:szCs w:val="21"/>
          <w:highlight w:val="none"/>
        </w:rPr>
        <w:t>。</w:t>
      </w:r>
    </w:p>
    <w:p w14:paraId="02ECF8A5">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严重不平衡报价是指：清单子目综合单价与发包人按照第10.4.1项〔变更估价原则〕（3）目约定确定的综合单价相比，高于50%（即严重不平衡报价清单子目综合单价 - 按照第10.4.1项〔变更估价原则〕（3）目约定确定的综合单价）/按照第10.4.1项〔变更估价原则〕（3）目约定确定的综合单价×100%</w:t>
      </w:r>
      <w:r>
        <w:rPr>
          <w:rFonts w:hint="eastAsia" w:ascii="宋体" w:hAnsi="宋体"/>
          <w:color w:val="auto"/>
          <w:szCs w:val="21"/>
          <w:highlight w:val="none"/>
        </w:rPr>
        <w:t>。</w:t>
      </w:r>
    </w:p>
    <w:p w14:paraId="477D16A2">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843" w:name="_Toc532375646"/>
      <w:bookmarkStart w:id="1844" w:name="_Toc532377382"/>
      <w:r>
        <w:rPr>
          <w:rFonts w:hint="eastAsia"/>
          <w:color w:val="auto"/>
          <w:kern w:val="2"/>
          <w:sz w:val="21"/>
          <w:szCs w:val="21"/>
          <w:highlight w:val="none"/>
        </w:rPr>
        <w:t xml:space="preserve">12. </w:t>
      </w:r>
      <w:bookmarkEnd w:id="1821"/>
      <w:bookmarkEnd w:id="1822"/>
      <w:bookmarkEnd w:id="1823"/>
      <w:bookmarkEnd w:id="1824"/>
      <w:bookmarkEnd w:id="1825"/>
      <w:bookmarkEnd w:id="1826"/>
      <w:bookmarkEnd w:id="1827"/>
      <w:bookmarkEnd w:id="1828"/>
      <w:bookmarkEnd w:id="1829"/>
      <w:bookmarkEnd w:id="1830"/>
      <w:r>
        <w:rPr>
          <w:rFonts w:hint="eastAsia"/>
          <w:color w:val="auto"/>
          <w:kern w:val="2"/>
          <w:sz w:val="21"/>
          <w:szCs w:val="21"/>
          <w:highlight w:val="none"/>
        </w:rPr>
        <w:t>合同价格、计量与支付</w:t>
      </w:r>
      <w:bookmarkEnd w:id="1831"/>
      <w:bookmarkEnd w:id="1843"/>
      <w:bookmarkEnd w:id="1844"/>
    </w:p>
    <w:bookmarkEnd w:id="1832"/>
    <w:bookmarkEnd w:id="1833"/>
    <w:bookmarkEnd w:id="1834"/>
    <w:bookmarkEnd w:id="1835"/>
    <w:bookmarkEnd w:id="1836"/>
    <w:bookmarkEnd w:id="1837"/>
    <w:p w14:paraId="623FD265">
      <w:pPr>
        <w:pStyle w:val="7"/>
        <w:spacing w:before="0" w:beforeAutospacing="0" w:after="0" w:afterAutospacing="0" w:line="360" w:lineRule="auto"/>
        <w:ind w:firstLine="422" w:firstLineChars="200"/>
        <w:rPr>
          <w:color w:val="auto"/>
          <w:sz w:val="21"/>
          <w:szCs w:val="21"/>
          <w:highlight w:val="none"/>
        </w:rPr>
      </w:pPr>
      <w:bookmarkStart w:id="1845" w:name="_Toc292559916"/>
      <w:bookmarkStart w:id="1846" w:name="_Toc267251461"/>
      <w:bookmarkStart w:id="1847" w:name="_Toc292559411"/>
      <w:bookmarkStart w:id="1848" w:name="_Toc296891246"/>
      <w:bookmarkStart w:id="1849" w:name="_Toc297120506"/>
      <w:bookmarkStart w:id="1850" w:name="_Toc296346707"/>
      <w:bookmarkStart w:id="1851" w:name="_Toc297048392"/>
      <w:bookmarkStart w:id="1852" w:name="_Toc296503206"/>
      <w:bookmarkStart w:id="1853" w:name="_Toc296347205"/>
      <w:bookmarkStart w:id="1854" w:name="_Toc296891034"/>
      <w:bookmarkStart w:id="1855" w:name="_Toc296944545"/>
      <w:bookmarkStart w:id="1856" w:name="_Toc532377383"/>
      <w:bookmarkStart w:id="1857" w:name="_Toc532375647"/>
      <w:bookmarkStart w:id="1858" w:name="_Toc300935003"/>
      <w:bookmarkStart w:id="1859" w:name="_Toc304295580"/>
      <w:bookmarkStart w:id="1860" w:name="_Toc312678041"/>
      <w:bookmarkStart w:id="1861" w:name="_Toc303539160"/>
      <w:bookmarkStart w:id="1862" w:name="_Toc297123553"/>
      <w:bookmarkStart w:id="1863" w:name="_Toc297216212"/>
      <w:r>
        <w:rPr>
          <w:rFonts w:hint="eastAsia"/>
          <w:color w:val="auto"/>
          <w:sz w:val="21"/>
          <w:szCs w:val="21"/>
          <w:highlight w:val="none"/>
        </w:rPr>
        <w:t>12.1 合</w:t>
      </w:r>
      <w:bookmarkEnd w:id="1845"/>
      <w:bookmarkEnd w:id="1846"/>
      <w:bookmarkEnd w:id="1847"/>
      <w:r>
        <w:rPr>
          <w:rFonts w:hint="eastAsia"/>
          <w:color w:val="auto"/>
          <w:sz w:val="21"/>
          <w:szCs w:val="21"/>
          <w:highlight w:val="none"/>
        </w:rPr>
        <w:t>同价</w:t>
      </w:r>
      <w:bookmarkEnd w:id="1848"/>
      <w:bookmarkEnd w:id="1849"/>
      <w:bookmarkEnd w:id="1850"/>
      <w:bookmarkEnd w:id="1851"/>
      <w:bookmarkEnd w:id="1852"/>
      <w:bookmarkEnd w:id="1853"/>
      <w:bookmarkEnd w:id="1854"/>
      <w:bookmarkEnd w:id="1855"/>
      <w:r>
        <w:rPr>
          <w:rFonts w:hint="eastAsia"/>
          <w:color w:val="auto"/>
          <w:sz w:val="21"/>
          <w:szCs w:val="21"/>
          <w:highlight w:val="none"/>
        </w:rPr>
        <w:t>格形式</w:t>
      </w:r>
      <w:bookmarkEnd w:id="1856"/>
      <w:bookmarkEnd w:id="1857"/>
    </w:p>
    <w:bookmarkEnd w:id="1858"/>
    <w:bookmarkEnd w:id="1859"/>
    <w:bookmarkEnd w:id="1860"/>
    <w:bookmarkEnd w:id="1861"/>
    <w:bookmarkEnd w:id="1862"/>
    <w:bookmarkEnd w:id="1863"/>
    <w:p w14:paraId="2A2AFB3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1、单价合同。</w:t>
      </w:r>
    </w:p>
    <w:p w14:paraId="44DCC8E3">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综合单价包含的风险范围：</w:t>
      </w:r>
      <w:r>
        <w:rPr>
          <w:rFonts w:hint="eastAsia" w:ascii="宋体" w:hAnsi="宋体"/>
          <w:color w:val="auto"/>
          <w:szCs w:val="21"/>
          <w:highlight w:val="none"/>
          <w:u w:val="single"/>
        </w:rPr>
        <w:t>包括但不限于为实施和完成合同工程所需的人工费、材料费、施工机具使用费、企业管理费、利润、风险费、施工技术措施项目费、施工组织措施项目费及缺陷修复等费用，以及</w:t>
      </w:r>
      <w:bookmarkStart w:id="1864" w:name="_Hlk528508096"/>
      <w:r>
        <w:rPr>
          <w:rFonts w:hint="eastAsia" w:ascii="宋体" w:hAnsi="宋体"/>
          <w:color w:val="auto"/>
          <w:szCs w:val="21"/>
          <w:highlight w:val="none"/>
          <w:u w:val="single"/>
        </w:rPr>
        <w:t>第11.1款〔市场价格波动引起的调整〕约定范围内的市场价格波动风险、政策性文件规定的各项应有费用、</w:t>
      </w:r>
      <w:bookmarkEnd w:id="1864"/>
      <w:r>
        <w:rPr>
          <w:rFonts w:hint="eastAsia" w:ascii="宋体" w:hAnsi="宋体"/>
          <w:color w:val="auto"/>
          <w:szCs w:val="21"/>
          <w:highlight w:val="none"/>
          <w:u w:val="single"/>
        </w:rPr>
        <w:t>招标文件和合同明示或暗示的应由承包人承担的所有责任、义务和风险等所需的费用</w:t>
      </w:r>
      <w:r>
        <w:rPr>
          <w:rFonts w:hint="eastAsia" w:ascii="宋体" w:hAnsi="宋体"/>
          <w:color w:val="auto"/>
          <w:szCs w:val="21"/>
          <w:highlight w:val="none"/>
        </w:rPr>
        <w:t>。</w:t>
      </w:r>
    </w:p>
    <w:p w14:paraId="60820096">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风险费用的计算方法：</w:t>
      </w:r>
      <w:r>
        <w:rPr>
          <w:rFonts w:hint="eastAsia" w:ascii="宋体" w:hAnsi="宋体"/>
          <w:color w:val="auto"/>
          <w:szCs w:val="21"/>
          <w:highlight w:val="none"/>
          <w:u w:val="single"/>
        </w:rPr>
        <w:t>由承包人自行考虑并计入签约合同价格中，包干使用</w:t>
      </w:r>
      <w:r>
        <w:rPr>
          <w:rFonts w:hint="eastAsia" w:ascii="宋体" w:hAnsi="宋体"/>
          <w:color w:val="auto"/>
          <w:szCs w:val="21"/>
          <w:highlight w:val="none"/>
        </w:rPr>
        <w:t>。</w:t>
      </w:r>
    </w:p>
    <w:p w14:paraId="0B456B78">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风险范围以外合同价格的调整方法：</w:t>
      </w:r>
      <w:r>
        <w:rPr>
          <w:rFonts w:hint="eastAsia" w:ascii="宋体" w:hAnsi="宋体"/>
          <w:color w:val="auto"/>
          <w:szCs w:val="21"/>
          <w:highlight w:val="none"/>
          <w:u w:val="single"/>
        </w:rPr>
        <w:t>按照合同相关条款约定执行</w:t>
      </w:r>
      <w:r>
        <w:rPr>
          <w:rFonts w:hint="eastAsia" w:ascii="宋体" w:hAnsi="宋体"/>
          <w:color w:val="auto"/>
          <w:szCs w:val="21"/>
          <w:highlight w:val="none"/>
        </w:rPr>
        <w:t>。</w:t>
      </w:r>
    </w:p>
    <w:p w14:paraId="3A8A1CD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2、总价合同。</w:t>
      </w:r>
    </w:p>
    <w:p w14:paraId="698A36D7">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总价包含的风险范围：</w:t>
      </w:r>
      <w:r>
        <w:rPr>
          <w:rFonts w:hint="eastAsia" w:ascii="宋体" w:hAnsi="宋体"/>
          <w:color w:val="auto"/>
          <w:szCs w:val="21"/>
          <w:highlight w:val="none"/>
          <w:u w:val="single"/>
        </w:rPr>
        <w:t>包括但不限于为实施和完成合同工程所需的人工费、材料费、施工机具使用费、企业管理费、利润、风险费、施工技术措施项目费、施工组织措施项目费、总承包服务费、规费和税金及缺陷修复等费用，以及第11.1款〔市场价格波动引起的调整〕约定范围内的市场价格波动风险、政策性文件规定的各项应有费用、招标文件和合同明示或暗示的应由承包人承担的所有责任、义务和风险等所需的费用</w:t>
      </w:r>
      <w:r>
        <w:rPr>
          <w:rFonts w:hint="eastAsia" w:ascii="宋体" w:hAnsi="宋体"/>
          <w:color w:val="auto"/>
          <w:szCs w:val="21"/>
          <w:highlight w:val="none"/>
        </w:rPr>
        <w:t>。</w:t>
      </w:r>
    </w:p>
    <w:p w14:paraId="77506AB1">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风险费用的计算方法：</w:t>
      </w:r>
      <w:r>
        <w:rPr>
          <w:rFonts w:hint="eastAsia" w:ascii="宋体" w:hAnsi="宋体"/>
          <w:color w:val="auto"/>
          <w:szCs w:val="21"/>
          <w:highlight w:val="none"/>
          <w:u w:val="single"/>
        </w:rPr>
        <w:t>由承包人自行考虑并计入签约合同价格中，包干使用</w:t>
      </w:r>
      <w:r>
        <w:rPr>
          <w:rFonts w:hint="eastAsia" w:ascii="宋体" w:hAnsi="宋体"/>
          <w:color w:val="auto"/>
          <w:szCs w:val="21"/>
          <w:highlight w:val="none"/>
        </w:rPr>
        <w:t>。</w:t>
      </w:r>
    </w:p>
    <w:p w14:paraId="5142893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风险范围以外合同价格的调整方法：</w:t>
      </w:r>
      <w:r>
        <w:rPr>
          <w:rFonts w:hint="eastAsia" w:ascii="宋体" w:hAnsi="宋体"/>
          <w:color w:val="auto"/>
          <w:szCs w:val="21"/>
          <w:highlight w:val="none"/>
          <w:u w:val="single"/>
        </w:rPr>
        <w:t>按照合同相关条款约定执行</w:t>
      </w:r>
      <w:r>
        <w:rPr>
          <w:rFonts w:hint="eastAsia" w:ascii="宋体" w:hAnsi="宋体"/>
          <w:color w:val="auto"/>
          <w:szCs w:val="21"/>
          <w:highlight w:val="none"/>
        </w:rPr>
        <w:t>。</w:t>
      </w:r>
    </w:p>
    <w:p w14:paraId="4E82DDE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3、其他价格方式：</w:t>
      </w:r>
      <w:r>
        <w:rPr>
          <w:rFonts w:hint="eastAsia" w:ascii="宋体" w:hAnsi="宋体"/>
          <w:color w:val="auto"/>
          <w:szCs w:val="21"/>
          <w:highlight w:val="none"/>
          <w:u w:val="single"/>
        </w:rPr>
        <w:t>不采用</w:t>
      </w:r>
      <w:r>
        <w:rPr>
          <w:rFonts w:hint="eastAsia" w:ascii="宋体" w:hAnsi="宋体"/>
          <w:color w:val="auto"/>
          <w:szCs w:val="21"/>
          <w:highlight w:val="none"/>
        </w:rPr>
        <w:t>。</w:t>
      </w:r>
    </w:p>
    <w:p w14:paraId="63EF8F11">
      <w:pPr>
        <w:pStyle w:val="7"/>
        <w:spacing w:before="0" w:beforeAutospacing="0" w:after="0" w:afterAutospacing="0" w:line="360" w:lineRule="auto"/>
        <w:ind w:firstLine="422" w:firstLineChars="200"/>
        <w:rPr>
          <w:color w:val="auto"/>
          <w:sz w:val="21"/>
          <w:szCs w:val="21"/>
          <w:highlight w:val="none"/>
        </w:rPr>
      </w:pPr>
      <w:bookmarkStart w:id="1865" w:name="_Toc532377384"/>
      <w:bookmarkStart w:id="1866" w:name="_Toc532375648"/>
      <w:bookmarkStart w:id="1867" w:name="_Toc300935004"/>
      <w:bookmarkStart w:id="1868" w:name="_Toc304295581"/>
      <w:bookmarkStart w:id="1869" w:name="_Toc297123554"/>
      <w:bookmarkStart w:id="1870" w:name="_Toc312678042"/>
      <w:bookmarkStart w:id="1871" w:name="_Toc297216213"/>
      <w:bookmarkStart w:id="1872" w:name="_Toc303539161"/>
      <w:bookmarkStart w:id="1873" w:name="_Toc296503207"/>
      <w:bookmarkStart w:id="1874" w:name="_Toc297120507"/>
      <w:bookmarkStart w:id="1875" w:name="_Toc296891035"/>
      <w:bookmarkStart w:id="1876" w:name="_Toc296347206"/>
      <w:bookmarkStart w:id="1877" w:name="_Toc296944546"/>
      <w:bookmarkStart w:id="1878" w:name="_Toc296891247"/>
      <w:bookmarkStart w:id="1879" w:name="_Toc297048393"/>
      <w:bookmarkStart w:id="1880" w:name="_Toc292559917"/>
      <w:bookmarkStart w:id="1881" w:name="_Toc296346708"/>
      <w:bookmarkStart w:id="1882" w:name="_Toc292559412"/>
      <w:r>
        <w:rPr>
          <w:rFonts w:hint="eastAsia"/>
          <w:color w:val="auto"/>
          <w:sz w:val="21"/>
          <w:szCs w:val="21"/>
          <w:highlight w:val="none"/>
        </w:rPr>
        <w:t>12.2 预付款</w:t>
      </w:r>
      <w:bookmarkEnd w:id="1865"/>
      <w:bookmarkEnd w:id="1866"/>
    </w:p>
    <w:bookmarkEnd w:id="1867"/>
    <w:bookmarkEnd w:id="1868"/>
    <w:bookmarkEnd w:id="1869"/>
    <w:bookmarkEnd w:id="1870"/>
    <w:bookmarkEnd w:id="1871"/>
    <w:bookmarkEnd w:id="1872"/>
    <w:p w14:paraId="15CA2B4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12.2.1 预付款的支付</w:t>
      </w:r>
    </w:p>
    <w:p w14:paraId="6B72A11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预付款支付比例或金额：</w:t>
      </w:r>
      <w:r>
        <w:rPr>
          <w:rFonts w:hint="eastAsia" w:ascii="宋体" w:hAnsi="宋体"/>
          <w:color w:val="auto"/>
          <w:szCs w:val="21"/>
          <w:highlight w:val="none"/>
          <w:u w:val="single"/>
        </w:rPr>
        <w:t>10%</w:t>
      </w:r>
      <w:r>
        <w:rPr>
          <w:rFonts w:hint="eastAsia" w:ascii="宋体" w:hAnsi="宋体"/>
          <w:color w:val="auto"/>
          <w:szCs w:val="21"/>
          <w:highlight w:val="none"/>
        </w:rPr>
        <w:t>。</w:t>
      </w:r>
    </w:p>
    <w:p w14:paraId="693532F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预付款支付期限：</w:t>
      </w:r>
      <w:r>
        <w:rPr>
          <w:rFonts w:hint="eastAsia" w:ascii="宋体" w:hAnsi="宋体"/>
          <w:color w:val="auto"/>
          <w:szCs w:val="21"/>
          <w:highlight w:val="none"/>
          <w:u w:val="single"/>
        </w:rPr>
        <w:t>预付款担保提交后7天内</w:t>
      </w:r>
      <w:r>
        <w:rPr>
          <w:rFonts w:hint="eastAsia" w:ascii="宋体" w:hAnsi="宋体"/>
          <w:color w:val="auto"/>
          <w:szCs w:val="21"/>
          <w:highlight w:val="none"/>
        </w:rPr>
        <w:t>。</w:t>
      </w:r>
    </w:p>
    <w:p w14:paraId="7C3063C4">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预付款扣回的方式：</w:t>
      </w:r>
      <w:r>
        <w:rPr>
          <w:rFonts w:hint="eastAsia" w:ascii="宋体" w:hAnsi="宋体"/>
          <w:color w:val="auto"/>
          <w:szCs w:val="21"/>
          <w:highlight w:val="none"/>
          <w:u w:val="single"/>
        </w:rPr>
        <w:t>承包人完成累计金额达到签约合同金额的30%后，在合同约定的每个计量周期按审核确认的进度款金额的20%进行扣回，直至预付款全额扣回</w:t>
      </w:r>
      <w:r>
        <w:rPr>
          <w:rFonts w:hint="eastAsia" w:ascii="宋体" w:hAnsi="宋体"/>
          <w:color w:val="auto"/>
          <w:szCs w:val="21"/>
          <w:highlight w:val="none"/>
        </w:rPr>
        <w:t>。</w:t>
      </w:r>
    </w:p>
    <w:p w14:paraId="2ECA6F0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12.2.2 预付款担保</w:t>
      </w:r>
    </w:p>
    <w:p w14:paraId="365B614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承包人提交预付款担保的期限：</w:t>
      </w:r>
      <w:r>
        <w:rPr>
          <w:rFonts w:hint="eastAsia" w:ascii="宋体" w:hAnsi="宋体"/>
          <w:color w:val="auto"/>
          <w:szCs w:val="21"/>
          <w:highlight w:val="none"/>
          <w:u w:val="single"/>
        </w:rPr>
        <w:t>合同签订后7天内</w:t>
      </w:r>
      <w:r>
        <w:rPr>
          <w:rFonts w:hint="eastAsia" w:ascii="宋体" w:hAnsi="宋体"/>
          <w:color w:val="auto"/>
          <w:szCs w:val="21"/>
          <w:highlight w:val="none"/>
        </w:rPr>
        <w:t>。</w:t>
      </w:r>
    </w:p>
    <w:p w14:paraId="1587842E">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预付款担保的形式为：</w:t>
      </w:r>
      <w:r>
        <w:rPr>
          <w:rFonts w:hint="eastAsia" w:ascii="宋体" w:hAnsi="宋体"/>
          <w:color w:val="auto"/>
          <w:szCs w:val="21"/>
          <w:highlight w:val="none"/>
          <w:u w:val="single"/>
        </w:rPr>
        <w:t>银行保函</w:t>
      </w:r>
      <w:r>
        <w:rPr>
          <w:rFonts w:hint="eastAsia" w:ascii="宋体" w:hAnsi="宋体"/>
          <w:color w:val="auto"/>
          <w:szCs w:val="21"/>
          <w:highlight w:val="none"/>
        </w:rPr>
        <w:t>。</w:t>
      </w:r>
    </w:p>
    <w:p w14:paraId="00BD7998">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预付款担保的金额：</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55A04670">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预付款担保的时间：</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473DADED">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预付款担保的期限：</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3D6EF1B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预付款担保的退还时间：</w:t>
      </w:r>
      <w:r>
        <w:rPr>
          <w:rFonts w:hint="eastAsia" w:ascii="宋体" w:hAnsi="宋体"/>
          <w:color w:val="auto"/>
          <w:szCs w:val="21"/>
          <w:highlight w:val="none"/>
          <w:u w:val="single"/>
        </w:rPr>
        <w:t xml:space="preserve">        </w:t>
      </w:r>
      <w:r>
        <w:rPr>
          <w:rFonts w:hint="eastAsia" w:ascii="宋体" w:hAnsi="宋体"/>
          <w:color w:val="auto"/>
          <w:szCs w:val="21"/>
          <w:highlight w:val="none"/>
        </w:rPr>
        <w:t>。</w:t>
      </w:r>
    </w:p>
    <w:bookmarkEnd w:id="1873"/>
    <w:bookmarkEnd w:id="1874"/>
    <w:bookmarkEnd w:id="1875"/>
    <w:bookmarkEnd w:id="1876"/>
    <w:bookmarkEnd w:id="1877"/>
    <w:bookmarkEnd w:id="1878"/>
    <w:bookmarkEnd w:id="1879"/>
    <w:bookmarkEnd w:id="1880"/>
    <w:bookmarkEnd w:id="1881"/>
    <w:bookmarkEnd w:id="1882"/>
    <w:p w14:paraId="573EBE4E">
      <w:pPr>
        <w:pStyle w:val="7"/>
        <w:spacing w:before="0" w:beforeAutospacing="0" w:after="0" w:afterAutospacing="0" w:line="360" w:lineRule="auto"/>
        <w:ind w:firstLine="422" w:firstLineChars="200"/>
        <w:rPr>
          <w:color w:val="auto"/>
          <w:sz w:val="21"/>
          <w:szCs w:val="21"/>
          <w:highlight w:val="none"/>
        </w:rPr>
      </w:pPr>
      <w:bookmarkStart w:id="1883" w:name="_Toc532375649"/>
      <w:bookmarkStart w:id="1884" w:name="_Toc532377385"/>
      <w:r>
        <w:rPr>
          <w:rFonts w:hint="eastAsia"/>
          <w:color w:val="auto"/>
          <w:sz w:val="21"/>
          <w:szCs w:val="21"/>
          <w:highlight w:val="none"/>
        </w:rPr>
        <w:t>12.3 计量</w:t>
      </w:r>
      <w:bookmarkEnd w:id="1883"/>
      <w:bookmarkEnd w:id="1884"/>
    </w:p>
    <w:p w14:paraId="15640DBC">
      <w:pPr>
        <w:spacing w:line="360" w:lineRule="auto"/>
        <w:ind w:firstLine="420" w:firstLineChars="200"/>
        <w:jc w:val="left"/>
        <w:rPr>
          <w:rFonts w:ascii="宋体" w:hAnsi="宋体"/>
          <w:color w:val="auto"/>
          <w:szCs w:val="21"/>
          <w:highlight w:val="none"/>
        </w:rPr>
      </w:pPr>
      <w:bookmarkStart w:id="1885" w:name="_Hlk528928260"/>
      <w:r>
        <w:rPr>
          <w:rFonts w:hint="eastAsia" w:ascii="宋体" w:hAnsi="宋体"/>
          <w:color w:val="auto"/>
          <w:szCs w:val="21"/>
          <w:highlight w:val="none"/>
        </w:rPr>
        <w:t>12.3.1 计量原则</w:t>
      </w:r>
    </w:p>
    <w:p w14:paraId="783699ED">
      <w:pPr>
        <w:tabs>
          <w:tab w:val="left" w:pos="1134"/>
        </w:tabs>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工程量按《房屋建筑与装饰工程工程量计算规范》（GB50854-2013）、《仿古建筑工程工程量计算规范》（GB50855-2013）、《通用安装工程工程量计算规范》（GB50856-2013）、《市政工程工程量计算规范》（GB50857-2013）、《园林绿化工程工程量计算规范》（GB50858-2013）、《矿山工程工程量计算规范》（GB50859-2013）、《构筑物工程工程量计算规范》（GB50860-2013）、《城市轨道交通工程工程量计算规范》（GB50861-2013）和《爆破工程工程量计算规范》（GB50862-2013）《重庆市建设工程工程量清单计价规则》（CQJJGZ-2013）、《重庆市建设工程工程量计算规则》（CQJLGZ-2013）等规定的计算规则及已标价工程量清单规定的工程量计算规则计量。</w:t>
      </w:r>
    </w:p>
    <w:bookmarkEnd w:id="1885"/>
    <w:p w14:paraId="56E47F7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12.3.2 计量周期</w:t>
      </w:r>
    </w:p>
    <w:p w14:paraId="1023B7B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关于计量周期的约定：</w:t>
      </w:r>
      <w:r>
        <w:rPr>
          <w:rFonts w:hint="eastAsia" w:ascii="宋体" w:hAnsi="宋体"/>
          <w:color w:val="auto"/>
          <w:szCs w:val="21"/>
          <w:highlight w:val="none"/>
          <w:u w:val="single"/>
        </w:rPr>
        <w:t>按月计量根据具体项目实际情况可以按月、按进度、按节点等形式计量，按进度、按节点计量的参考按月计量原则执行）</w:t>
      </w:r>
      <w:r>
        <w:rPr>
          <w:rFonts w:hint="eastAsia" w:ascii="宋体" w:hAnsi="宋体"/>
          <w:color w:val="auto"/>
          <w:szCs w:val="21"/>
          <w:highlight w:val="none"/>
        </w:rPr>
        <w:t>。</w:t>
      </w:r>
    </w:p>
    <w:p w14:paraId="2F53A95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12.3.3 单价合同的计量</w:t>
      </w:r>
    </w:p>
    <w:p w14:paraId="52CCD06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关于单价合同计量的约定：</w:t>
      </w:r>
    </w:p>
    <w:p w14:paraId="7558DC2D">
      <w:pPr>
        <w:spacing w:line="360" w:lineRule="auto"/>
        <w:ind w:firstLine="420" w:firstLineChars="200"/>
        <w:jc w:val="left"/>
        <w:rPr>
          <w:rFonts w:ascii="宋体" w:hAnsi="宋体"/>
          <w:color w:val="auto"/>
          <w:szCs w:val="21"/>
          <w:highlight w:val="none"/>
          <w:u w:val="single"/>
        </w:rPr>
      </w:pPr>
      <w:bookmarkStart w:id="1886" w:name="_Hlk528926162"/>
      <w:r>
        <w:rPr>
          <w:rFonts w:hint="eastAsia" w:ascii="宋体" w:hAnsi="宋体"/>
          <w:color w:val="auto"/>
          <w:szCs w:val="21"/>
          <w:highlight w:val="none"/>
          <w:u w:val="single"/>
        </w:rPr>
        <w:t>（1）承包人应于当月  日前向监理人报送上月已完成的工程量，并附进度付款申请单、已完成工程量报表和其他有关资料</w:t>
      </w:r>
      <w:r>
        <w:rPr>
          <w:rFonts w:hint="eastAsia" w:ascii="宋体" w:hAnsi="宋体"/>
          <w:color w:val="auto"/>
          <w:szCs w:val="21"/>
          <w:highlight w:val="none"/>
        </w:rPr>
        <w:t>。</w:t>
      </w:r>
    </w:p>
    <w:bookmarkEnd w:id="1886"/>
    <w:p w14:paraId="7AB15026">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（2）承包人未在已标价的工程量清单中填入单价和（或）总价的子目，视为该子目的费用已包含合同工程的其他子目的单价或总价中，不再另行计量支付</w:t>
      </w:r>
      <w:r>
        <w:rPr>
          <w:rFonts w:hint="eastAsia" w:ascii="宋体" w:hAnsi="宋体"/>
          <w:color w:val="auto"/>
          <w:szCs w:val="21"/>
          <w:highlight w:val="none"/>
        </w:rPr>
        <w:t>。</w:t>
      </w:r>
    </w:p>
    <w:p w14:paraId="321DD387">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3）监理人应在收到承包人提交的工程量报表后7天内完成对承包人提交的工程量报表的审核并报送发包人；发包人收到监理人报送资料后7天内完成审批，以确定当月实际完成的工程量。监理人、跟审单位、发包人任一方对工程量有异议的，均有权要求承包人进行共同复核或抽样复测。承包人应协助监理人、跟审单位进行复核或抽样复测，并按监理人要求提供补充计量资料。承包人未按监理人要求参加复核或抽样复测的，监理人复核或修正的工程量视为承包人实际完成的工程量</w:t>
      </w:r>
      <w:r>
        <w:rPr>
          <w:rFonts w:hint="eastAsia" w:ascii="宋体" w:hAnsi="宋体"/>
          <w:color w:val="auto"/>
          <w:szCs w:val="21"/>
          <w:highlight w:val="none"/>
        </w:rPr>
        <w:t>。</w:t>
      </w:r>
    </w:p>
    <w:p w14:paraId="3F87B311">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（4）工程量的计量仅作为进度付款和工程施工进度控制的依据，不应认为是承包人履行合同义务完成工程的实际和准确的工程量，实际和准确工程量按竣工图和第12.3.1项〔计量原则〕约定确认的工程量为准</w:t>
      </w:r>
      <w:r>
        <w:rPr>
          <w:rFonts w:hint="eastAsia" w:ascii="宋体" w:hAnsi="宋体"/>
          <w:color w:val="auto"/>
          <w:szCs w:val="21"/>
          <w:highlight w:val="none"/>
        </w:rPr>
        <w:t>。</w:t>
      </w:r>
    </w:p>
    <w:p w14:paraId="3D5EA1A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12.3.4 总价合同的计量</w:t>
      </w:r>
    </w:p>
    <w:p w14:paraId="5ACDDE4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关于总价合同计量的约定：</w:t>
      </w:r>
      <w:r>
        <w:rPr>
          <w:rFonts w:hint="eastAsia" w:ascii="宋体" w:hAnsi="宋体"/>
          <w:color w:val="auto"/>
          <w:szCs w:val="21"/>
          <w:highlight w:val="none"/>
          <w:u w:val="single"/>
        </w:rPr>
        <w:t>按形象进度比例支付</w:t>
      </w:r>
      <w:r>
        <w:rPr>
          <w:rFonts w:hint="eastAsia" w:ascii="宋体" w:hAnsi="宋体"/>
          <w:color w:val="auto"/>
          <w:szCs w:val="21"/>
          <w:highlight w:val="none"/>
        </w:rPr>
        <w:t>。</w:t>
      </w:r>
    </w:p>
    <w:p w14:paraId="40F008C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12.3.5总价合同采用支付分解表计量支付的，是否适用第12.3.4项〔总价合同的计量〕约定进行计量：</w:t>
      </w:r>
      <w:r>
        <w:rPr>
          <w:rFonts w:hint="eastAsia" w:ascii="宋体" w:hAnsi="宋体"/>
          <w:color w:val="auto"/>
          <w:szCs w:val="21"/>
          <w:highlight w:val="none"/>
          <w:u w:val="single"/>
        </w:rPr>
        <w:t>适用</w:t>
      </w:r>
      <w:r>
        <w:rPr>
          <w:rFonts w:hint="eastAsia" w:ascii="宋体" w:hAnsi="宋体"/>
          <w:color w:val="auto"/>
          <w:szCs w:val="21"/>
          <w:highlight w:val="none"/>
        </w:rPr>
        <w:t>。</w:t>
      </w:r>
    </w:p>
    <w:p w14:paraId="43349B7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12.3.6 其他价格形式合同的计量</w:t>
      </w:r>
    </w:p>
    <w:p w14:paraId="109223B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其他价格形式的计量方式和程序：</w:t>
      </w:r>
      <w:r>
        <w:rPr>
          <w:rFonts w:hint="eastAsia" w:ascii="宋体" w:hAnsi="宋体"/>
          <w:color w:val="auto"/>
          <w:szCs w:val="21"/>
          <w:highlight w:val="none"/>
          <w:u w:val="single"/>
        </w:rPr>
        <w:t>不采用</w:t>
      </w:r>
      <w:r>
        <w:rPr>
          <w:rFonts w:hint="eastAsia" w:ascii="宋体" w:hAnsi="宋体"/>
          <w:color w:val="auto"/>
          <w:szCs w:val="21"/>
          <w:highlight w:val="none"/>
        </w:rPr>
        <w:t>。</w:t>
      </w:r>
    </w:p>
    <w:p w14:paraId="320D6C7F">
      <w:pPr>
        <w:pStyle w:val="7"/>
        <w:spacing w:before="0" w:beforeAutospacing="0" w:after="0" w:afterAutospacing="0" w:line="360" w:lineRule="auto"/>
        <w:ind w:firstLine="422" w:firstLineChars="200"/>
        <w:rPr>
          <w:color w:val="auto"/>
          <w:sz w:val="21"/>
          <w:szCs w:val="21"/>
          <w:highlight w:val="none"/>
        </w:rPr>
      </w:pPr>
      <w:bookmarkStart w:id="1887" w:name="_Toc532377386"/>
      <w:bookmarkStart w:id="1888" w:name="_Toc532375650"/>
      <w:bookmarkStart w:id="1889" w:name="_Hlk528928289"/>
      <w:r>
        <w:rPr>
          <w:rFonts w:hint="eastAsia"/>
          <w:color w:val="auto"/>
          <w:sz w:val="21"/>
          <w:szCs w:val="21"/>
          <w:highlight w:val="none"/>
        </w:rPr>
        <w:t>12.4 工程进度款支付</w:t>
      </w:r>
      <w:bookmarkEnd w:id="1887"/>
      <w:bookmarkEnd w:id="1888"/>
    </w:p>
    <w:bookmarkEnd w:id="1889"/>
    <w:p w14:paraId="01DCA1C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12.4.1 付款周期</w:t>
      </w:r>
    </w:p>
    <w:p w14:paraId="4C362C7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关于付款周期的约定：</w:t>
      </w:r>
      <w:r>
        <w:rPr>
          <w:rFonts w:hint="eastAsia" w:ascii="宋体" w:hAnsi="宋体"/>
          <w:color w:val="auto"/>
          <w:szCs w:val="21"/>
          <w:highlight w:val="none"/>
          <w:u w:val="single"/>
        </w:rPr>
        <w:t>按月计量支付进度款（按进度、按节点计量支付进度款的参考按月计量支付进度款原则执行）</w:t>
      </w:r>
      <w:r>
        <w:rPr>
          <w:rFonts w:hint="eastAsia" w:ascii="宋体" w:hAnsi="宋体"/>
          <w:color w:val="auto"/>
          <w:szCs w:val="21"/>
          <w:highlight w:val="none"/>
        </w:rPr>
        <w:t>。</w:t>
      </w:r>
    </w:p>
    <w:p w14:paraId="08D9066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12.4.2 进度付款申请单的编制</w:t>
      </w:r>
    </w:p>
    <w:p w14:paraId="6BE978E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进度付款申请单应包括下列内容：</w:t>
      </w:r>
    </w:p>
    <w:p w14:paraId="4EE548C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（1）截至本次付款周期已完成工作对应的金额</w:t>
      </w:r>
      <w:r>
        <w:rPr>
          <w:rFonts w:hint="eastAsia" w:ascii="宋体" w:hAnsi="宋体"/>
          <w:color w:val="auto"/>
          <w:szCs w:val="21"/>
          <w:highlight w:val="none"/>
        </w:rPr>
        <w:t>；</w:t>
      </w:r>
    </w:p>
    <w:p w14:paraId="4843C94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（2）根据第10条〔变更〕应增加和扣减的已审定变更金额</w:t>
      </w:r>
      <w:r>
        <w:rPr>
          <w:rFonts w:hint="eastAsia" w:ascii="宋体" w:hAnsi="宋体"/>
          <w:color w:val="auto"/>
          <w:szCs w:val="21"/>
          <w:highlight w:val="none"/>
        </w:rPr>
        <w:t>；</w:t>
      </w:r>
    </w:p>
    <w:p w14:paraId="65C293F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（3）根据第12.2款〔预付款〕约定应支付的预付款和扣减的返还预付款</w:t>
      </w:r>
      <w:r>
        <w:rPr>
          <w:rFonts w:hint="eastAsia" w:ascii="宋体" w:hAnsi="宋体"/>
          <w:color w:val="auto"/>
          <w:szCs w:val="21"/>
          <w:highlight w:val="none"/>
        </w:rPr>
        <w:t>；</w:t>
      </w:r>
    </w:p>
    <w:p w14:paraId="12B4B16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（4）根据第15.3款〔质量保证金〕约定应扣减的质量保证金</w:t>
      </w:r>
      <w:r>
        <w:rPr>
          <w:rFonts w:hint="eastAsia" w:ascii="宋体" w:hAnsi="宋体"/>
          <w:color w:val="auto"/>
          <w:szCs w:val="21"/>
          <w:highlight w:val="none"/>
        </w:rPr>
        <w:t>；</w:t>
      </w:r>
    </w:p>
    <w:p w14:paraId="3F6DEF0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（5）根据第19条〔索赔〕应增加和扣减的已审定索赔金额</w:t>
      </w:r>
      <w:r>
        <w:rPr>
          <w:rFonts w:hint="eastAsia" w:ascii="宋体" w:hAnsi="宋体"/>
          <w:color w:val="auto"/>
          <w:szCs w:val="21"/>
          <w:highlight w:val="none"/>
        </w:rPr>
        <w:t>；</w:t>
      </w:r>
    </w:p>
    <w:p w14:paraId="5DA9034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（6）根据第11条〔价格调整〕应增加和扣减的价格调整金额</w:t>
      </w:r>
      <w:r>
        <w:rPr>
          <w:rFonts w:hint="eastAsia" w:ascii="宋体" w:hAnsi="宋体"/>
          <w:color w:val="auto"/>
          <w:szCs w:val="21"/>
          <w:highlight w:val="none"/>
        </w:rPr>
        <w:t>；</w:t>
      </w:r>
    </w:p>
    <w:p w14:paraId="4E418A4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（7）对已签发的进度款支付证书中出现错误的修正，应在本次进度付款中支付或扣除的金额</w:t>
      </w:r>
      <w:r>
        <w:rPr>
          <w:rFonts w:hint="eastAsia" w:ascii="宋体" w:hAnsi="宋体"/>
          <w:color w:val="auto"/>
          <w:szCs w:val="21"/>
          <w:highlight w:val="none"/>
        </w:rPr>
        <w:t>；</w:t>
      </w:r>
    </w:p>
    <w:p w14:paraId="7436A2C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（8）根据合同约定承包人应向发包人支付的违约金</w:t>
      </w:r>
      <w:r>
        <w:rPr>
          <w:rFonts w:hint="eastAsia" w:ascii="宋体" w:hAnsi="宋体"/>
          <w:color w:val="auto"/>
          <w:szCs w:val="21"/>
          <w:highlight w:val="none"/>
        </w:rPr>
        <w:t>；</w:t>
      </w:r>
    </w:p>
    <w:p w14:paraId="58FFBAD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（9）根据合同约定发包人应向承包人支付的违约金和（或）奖励</w:t>
      </w:r>
      <w:r>
        <w:rPr>
          <w:rFonts w:hint="eastAsia" w:ascii="宋体" w:hAnsi="宋体"/>
          <w:color w:val="auto"/>
          <w:szCs w:val="21"/>
          <w:highlight w:val="none"/>
        </w:rPr>
        <w:t>；</w:t>
      </w:r>
    </w:p>
    <w:p w14:paraId="47EDFE0B">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u w:val="single"/>
        </w:rPr>
        <w:t>（10）根据合同约定应增加和扣减的其他金额</w:t>
      </w:r>
      <w:r>
        <w:rPr>
          <w:rFonts w:hint="eastAsia" w:ascii="宋体" w:hAnsi="宋体"/>
          <w:color w:val="auto"/>
          <w:szCs w:val="21"/>
          <w:highlight w:val="none"/>
        </w:rPr>
        <w:t>；</w:t>
      </w:r>
    </w:p>
    <w:p w14:paraId="59C4C8BC">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（11）当月应支付的人工费（工资款）金额</w:t>
      </w:r>
      <w:r>
        <w:rPr>
          <w:rFonts w:hint="eastAsia" w:ascii="宋体" w:hAnsi="宋体"/>
          <w:color w:val="auto"/>
          <w:szCs w:val="21"/>
          <w:highlight w:val="none"/>
        </w:rPr>
        <w:t>。</w:t>
      </w:r>
    </w:p>
    <w:p w14:paraId="6CD79CA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12.4.3 进度付款申请单的提交</w:t>
      </w:r>
    </w:p>
    <w:p w14:paraId="5A3C750D">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（1）单价合同进度付款申请单提交的约定：</w:t>
      </w:r>
      <w:r>
        <w:rPr>
          <w:rFonts w:hint="eastAsia" w:ascii="宋体" w:hAnsi="宋体"/>
          <w:color w:val="auto"/>
          <w:szCs w:val="21"/>
          <w:highlight w:val="none"/>
          <w:u w:val="single"/>
        </w:rPr>
        <w:t>按照第12.3.3项〔单价合同的计量〕约定的时间按月向监理人提交，并附上已完成工程量报表、经审核的农民工工资发放的情况说明及有关资料。单价合同中的总价子目按工程形象进度分月计量后汇总列入当期进度付款申请单</w:t>
      </w:r>
      <w:r>
        <w:rPr>
          <w:rFonts w:hint="eastAsia" w:ascii="宋体" w:hAnsi="宋体"/>
          <w:color w:val="auto"/>
          <w:szCs w:val="21"/>
          <w:highlight w:val="none"/>
        </w:rPr>
        <w:t>。</w:t>
      </w:r>
    </w:p>
    <w:p w14:paraId="7ECDD46F">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（2）总价合同进度付款申请单提交的约定：</w:t>
      </w:r>
      <w:r>
        <w:rPr>
          <w:rFonts w:hint="eastAsia" w:ascii="宋体" w:hAnsi="宋体"/>
          <w:color w:val="auto"/>
          <w:szCs w:val="21"/>
          <w:highlight w:val="none"/>
          <w:u w:val="single"/>
        </w:rPr>
        <w:t>按照合同约定的形象进度的计量约定的时间向监理人提交，并附上已完成工程量报表、经审核的农民工工资发放的情况说明及有关资料</w:t>
      </w:r>
      <w:r>
        <w:rPr>
          <w:rFonts w:hint="eastAsia" w:ascii="宋体" w:hAnsi="宋体"/>
          <w:color w:val="auto"/>
          <w:szCs w:val="21"/>
          <w:highlight w:val="none"/>
        </w:rPr>
        <w:t>。</w:t>
      </w:r>
    </w:p>
    <w:p w14:paraId="0C76B459">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（3）其他价格形式合同进度付款申请单提交的约定：</w:t>
      </w:r>
      <w:r>
        <w:rPr>
          <w:rFonts w:hint="eastAsia" w:ascii="宋体" w:hAnsi="宋体"/>
          <w:color w:val="auto"/>
          <w:szCs w:val="21"/>
          <w:highlight w:val="none"/>
          <w:u w:val="single"/>
        </w:rPr>
        <w:t>不采用</w:t>
      </w:r>
      <w:r>
        <w:rPr>
          <w:rFonts w:hint="eastAsia" w:ascii="宋体" w:hAnsi="宋体"/>
          <w:color w:val="auto"/>
          <w:szCs w:val="21"/>
          <w:highlight w:val="none"/>
        </w:rPr>
        <w:t>。</w:t>
      </w:r>
    </w:p>
    <w:p w14:paraId="113DFFA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12.4.4 进度款审核和支付</w:t>
      </w:r>
    </w:p>
    <w:p w14:paraId="76EEFCB1">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（1）监理人审查并报送发包人的期限：</w:t>
      </w:r>
      <w:r>
        <w:rPr>
          <w:rFonts w:hint="eastAsia" w:ascii="宋体" w:hAnsi="宋体"/>
          <w:color w:val="auto"/>
          <w:szCs w:val="21"/>
          <w:highlight w:val="none"/>
          <w:u w:val="single"/>
        </w:rPr>
        <w:t>收到完整资料后7天内</w:t>
      </w:r>
      <w:r>
        <w:rPr>
          <w:rFonts w:hint="eastAsia" w:ascii="宋体" w:hAnsi="宋体"/>
          <w:color w:val="auto"/>
          <w:szCs w:val="21"/>
          <w:highlight w:val="none"/>
        </w:rPr>
        <w:t>。</w:t>
      </w:r>
    </w:p>
    <w:p w14:paraId="579FC9B6">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发包人完成审批并签发进度款支付证书的期限：</w:t>
      </w:r>
      <w:r>
        <w:rPr>
          <w:rFonts w:hint="eastAsia" w:ascii="宋体" w:hAnsi="宋体"/>
          <w:color w:val="auto"/>
          <w:szCs w:val="21"/>
          <w:highlight w:val="none"/>
          <w:u w:val="single"/>
        </w:rPr>
        <w:t>发包人收到监理人报送资料后7天内完成审批并签发进度款支付证书</w:t>
      </w:r>
      <w:r>
        <w:rPr>
          <w:rFonts w:hint="eastAsia" w:ascii="宋体" w:hAnsi="宋体"/>
          <w:color w:val="auto"/>
          <w:szCs w:val="21"/>
          <w:highlight w:val="none"/>
        </w:rPr>
        <w:t>。</w:t>
      </w:r>
    </w:p>
    <w:p w14:paraId="4D0F95A0">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监理人、跟审单位和发包人中任一方对承包人的进度付款申请单有异议的，均有权要求承包人修正和提供补充资料，承包人应提交修正后的进度付款申请单。监理人应在收到承包人修正后的进度付款申请单及相关资料后7天内完成审查并报送发包人，发包人收到监理人报送资料后7天内完成审批并向承包人签发无异议部分的临时进度款支付证书。存在争议的部分，按照合同约定的争议解决的约定处理。</w:t>
      </w:r>
    </w:p>
    <w:p w14:paraId="6D7D53BE">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发包人签发进度款支付证书或临时进度款支付证书，不表明发包人已同意、批准或接受了承包人完成的相应部分的工作。</w:t>
      </w:r>
    </w:p>
    <w:p w14:paraId="5B1A0F0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（2）进度款支付：</w:t>
      </w:r>
    </w:p>
    <w:p w14:paraId="1384C5F0">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①发包人将上月农民工工资支付凭证作为当月进度款支付的前置条件。</w:t>
      </w:r>
    </w:p>
    <w:p w14:paraId="2F7B6BD1">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②安全文明施工费：</w:t>
      </w:r>
      <w:r>
        <w:rPr>
          <w:rFonts w:hint="eastAsia" w:ascii="宋体" w:hAnsi="宋体"/>
          <w:color w:val="auto"/>
          <w:szCs w:val="21"/>
          <w:highlight w:val="none"/>
          <w:u w:val="single"/>
        </w:rPr>
        <w:t>合同签订后，发包人在开工前按签约合同价中安全文明施工费的50％支付承包人，用于现场安全文明施工建设，余下安全文明施工费按施工进度支付</w:t>
      </w:r>
      <w:r>
        <w:rPr>
          <w:rFonts w:hint="eastAsia" w:ascii="宋体" w:hAnsi="宋体"/>
          <w:color w:val="auto"/>
          <w:szCs w:val="21"/>
          <w:highlight w:val="none"/>
        </w:rPr>
        <w:t>。</w:t>
      </w:r>
    </w:p>
    <w:p w14:paraId="1BA36150">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③分部分项工程费：</w:t>
      </w:r>
      <w:r>
        <w:rPr>
          <w:rFonts w:hint="eastAsia" w:ascii="宋体" w:hAnsi="宋体"/>
          <w:color w:val="auto"/>
          <w:szCs w:val="21"/>
          <w:highlight w:val="none"/>
          <w:u w:val="single"/>
        </w:rPr>
        <w:t>按承包人当期完成并经监理人、跟审单位和发包人审定的工程量乘以相应综合单价计算当期完成的分部分项工程费及相应的规费和税金。发包人在签发进度款支付证书或临时进度款支付证书的次月10日前按经监理人、跟审单位和发包人审定的当期完成的分部分项工程费及相应的规费和税金（不含人工费价差和材料费价差）的  %</w:t>
      </w:r>
      <w:r>
        <w:rPr>
          <w:rFonts w:hint="eastAsia" w:ascii="宋体" w:hAnsi="宋体"/>
          <w:color w:val="auto"/>
          <w:szCs w:val="21"/>
          <w:highlight w:val="none"/>
        </w:rPr>
        <w:t>（60%~90%）</w:t>
      </w:r>
      <w:r>
        <w:rPr>
          <w:rFonts w:hint="eastAsia" w:ascii="宋体" w:hAnsi="宋体"/>
          <w:color w:val="auto"/>
          <w:szCs w:val="21"/>
          <w:highlight w:val="none"/>
          <w:u w:val="single"/>
        </w:rPr>
        <w:t>支付承包人</w:t>
      </w:r>
      <w:r>
        <w:rPr>
          <w:rFonts w:hint="eastAsia" w:ascii="宋体" w:hAnsi="宋体"/>
          <w:color w:val="auto"/>
          <w:szCs w:val="21"/>
          <w:highlight w:val="none"/>
        </w:rPr>
        <w:t>。</w:t>
      </w:r>
    </w:p>
    <w:p w14:paraId="38F4F393">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④措施项目费：</w:t>
      </w:r>
      <w:r>
        <w:rPr>
          <w:rFonts w:hint="eastAsia" w:ascii="宋体" w:hAnsi="宋体"/>
          <w:color w:val="auto"/>
          <w:szCs w:val="21"/>
          <w:highlight w:val="none"/>
          <w:u w:val="single"/>
        </w:rPr>
        <w:t>按承包人当期完成并经监理人、跟审单位和发包人审定的分部分项工程量，乘以相应综合单价计算所得合计金额占签约合同价格中分部分项工程费合计金额的比例，并以签约合同价格中措施项目费为基数计算当期完成的措施项目费及相应的规费和税金。发包人在签发进度款支付证书或临时进度款支付证书的次月10日前按经监理人、跟审单位和发包人审定的当期完成的措施项目费及相应的规费和税金（不含人工费价差和材料费价差）的  %</w:t>
      </w:r>
      <w:r>
        <w:rPr>
          <w:rFonts w:hint="eastAsia" w:ascii="宋体" w:hAnsi="宋体"/>
          <w:color w:val="auto"/>
          <w:szCs w:val="21"/>
          <w:highlight w:val="none"/>
        </w:rPr>
        <w:t>（60%~90%）</w:t>
      </w:r>
      <w:r>
        <w:rPr>
          <w:rFonts w:hint="eastAsia" w:ascii="宋体" w:hAnsi="宋体"/>
          <w:color w:val="auto"/>
          <w:szCs w:val="21"/>
          <w:highlight w:val="none"/>
          <w:u w:val="single"/>
        </w:rPr>
        <w:t>支付承包人</w:t>
      </w:r>
      <w:r>
        <w:rPr>
          <w:rFonts w:hint="eastAsia" w:ascii="宋体" w:hAnsi="宋体"/>
          <w:color w:val="auto"/>
          <w:szCs w:val="21"/>
          <w:highlight w:val="none"/>
        </w:rPr>
        <w:t>。</w:t>
      </w:r>
    </w:p>
    <w:p w14:paraId="7D6A3A71">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fldChar w:fldCharType="begin"/>
      </w:r>
      <w:r>
        <w:rPr>
          <w:rFonts w:hint="eastAsia" w:ascii="宋体" w:hAnsi="宋体"/>
          <w:color w:val="auto"/>
          <w:szCs w:val="21"/>
          <w:highlight w:val="none"/>
        </w:rPr>
        <w:instrText xml:space="preserve"> = 5 \* GB3 </w:instrText>
      </w:r>
      <w:r>
        <w:rPr>
          <w:rFonts w:hint="eastAsia" w:ascii="宋体" w:hAnsi="宋体"/>
          <w:color w:val="auto"/>
          <w:szCs w:val="21"/>
          <w:highlight w:val="none"/>
        </w:rPr>
        <w:fldChar w:fldCharType="separate"/>
      </w:r>
      <w:r>
        <w:rPr>
          <w:rFonts w:hint="eastAsia" w:ascii="宋体" w:hAnsi="宋体"/>
          <w:color w:val="auto"/>
          <w:szCs w:val="21"/>
          <w:highlight w:val="none"/>
        </w:rPr>
        <w:t>⑤</w:t>
      </w:r>
      <w:r>
        <w:rPr>
          <w:rFonts w:hint="eastAsia" w:ascii="宋体" w:hAnsi="宋体"/>
          <w:color w:val="auto"/>
          <w:szCs w:val="21"/>
          <w:highlight w:val="none"/>
        </w:rPr>
        <w:fldChar w:fldCharType="end"/>
      </w:r>
      <w:r>
        <w:rPr>
          <w:rFonts w:hint="eastAsia" w:ascii="宋体" w:hAnsi="宋体"/>
          <w:color w:val="auto"/>
          <w:szCs w:val="21"/>
          <w:highlight w:val="none"/>
        </w:rPr>
        <w:t>其他项目费：</w:t>
      </w:r>
      <w:r>
        <w:rPr>
          <w:rFonts w:hint="eastAsia" w:ascii="宋体" w:hAnsi="宋体"/>
          <w:color w:val="auto"/>
          <w:szCs w:val="21"/>
          <w:highlight w:val="none"/>
          <w:u w:val="single"/>
        </w:rPr>
        <w:t>按承包人当期完成并经监理人、跟审单位和发包人审定的工程量乘以相应综合单价计算当期完成的其他项目费及相应的规费和税金。发包人在签发进度款支付证书或临时进度款支付证书的次月10日前按经监理人、跟审单位和发包人审定的当期完成的其他项目费及相应的规费和税金的  %</w:t>
      </w:r>
      <w:r>
        <w:rPr>
          <w:rFonts w:hint="eastAsia" w:ascii="宋体" w:hAnsi="宋体"/>
          <w:color w:val="auto"/>
          <w:szCs w:val="21"/>
          <w:highlight w:val="none"/>
        </w:rPr>
        <w:t>（60%~90%）</w:t>
      </w:r>
      <w:r>
        <w:rPr>
          <w:rFonts w:hint="eastAsia" w:ascii="宋体" w:hAnsi="宋体"/>
          <w:color w:val="auto"/>
          <w:szCs w:val="21"/>
          <w:highlight w:val="none"/>
          <w:u w:val="single"/>
        </w:rPr>
        <w:t>支付承包人</w:t>
      </w:r>
      <w:r>
        <w:rPr>
          <w:rFonts w:hint="eastAsia" w:ascii="宋体" w:hAnsi="宋体"/>
          <w:color w:val="auto"/>
          <w:szCs w:val="21"/>
          <w:highlight w:val="none"/>
        </w:rPr>
        <w:t>。</w:t>
      </w:r>
    </w:p>
    <w:p w14:paraId="134C6496">
      <w:pPr>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⑥人工费（工资款）：发包人在签发人工费（工资款）支付证书的次月10日前，按经监理人和发包人审定的当月完成的合同价款的   %（人工费数额大于当月完成的合同价款的25%时，按实际人工费数额拨付；若人工费数额小于当月完成的合同价款的25%时，按不小于当月完成的合同价款的25%拨付），支付至承包人。</w:t>
      </w:r>
    </w:p>
    <w:p w14:paraId="6D4CFE4A">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⑦人工、材料价差按  %</w:t>
      </w:r>
      <w:r>
        <w:rPr>
          <w:rFonts w:hint="eastAsia" w:ascii="宋体" w:hAnsi="宋体"/>
          <w:color w:val="auto"/>
          <w:szCs w:val="21"/>
          <w:highlight w:val="none"/>
        </w:rPr>
        <w:t>（不低于80%）</w:t>
      </w:r>
      <w:r>
        <w:rPr>
          <w:rFonts w:hint="eastAsia" w:ascii="宋体" w:hAnsi="宋体"/>
          <w:color w:val="auto"/>
          <w:szCs w:val="21"/>
          <w:highlight w:val="none"/>
          <w:u w:val="single"/>
        </w:rPr>
        <w:t>纳入当期进度支付，价差调整方式按11条约定执行</w:t>
      </w:r>
      <w:r>
        <w:rPr>
          <w:rFonts w:hint="eastAsia" w:ascii="宋体" w:hAnsi="宋体"/>
          <w:color w:val="auto"/>
          <w:szCs w:val="21"/>
          <w:highlight w:val="none"/>
        </w:rPr>
        <w:t>。</w:t>
      </w:r>
    </w:p>
    <w:p w14:paraId="6056C565">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⑧工程竣工验收合格后28天内，发包人向承包人支付至累计进度审定金额的  %</w:t>
      </w:r>
      <w:r>
        <w:rPr>
          <w:rFonts w:hint="eastAsia" w:ascii="宋体" w:hAnsi="宋体"/>
          <w:color w:val="auto"/>
          <w:szCs w:val="21"/>
          <w:highlight w:val="none"/>
        </w:rPr>
        <w:t>（不低于80%）</w:t>
      </w:r>
      <w:r>
        <w:rPr>
          <w:rFonts w:hint="eastAsia" w:ascii="宋体" w:hAnsi="宋体"/>
          <w:color w:val="auto"/>
          <w:szCs w:val="21"/>
          <w:highlight w:val="none"/>
          <w:u w:val="single"/>
        </w:rPr>
        <w:t>；移交完整的工程竣工资料后14天内，发包人向承包人支付至累计进度审定金额的  %</w:t>
      </w:r>
      <w:r>
        <w:rPr>
          <w:rFonts w:hint="eastAsia" w:ascii="宋体" w:hAnsi="宋体"/>
          <w:color w:val="auto"/>
          <w:szCs w:val="21"/>
          <w:highlight w:val="none"/>
        </w:rPr>
        <w:t>（不低于85%）</w:t>
      </w:r>
      <w:r>
        <w:rPr>
          <w:rFonts w:hint="eastAsia" w:ascii="宋体" w:hAnsi="宋体"/>
          <w:color w:val="auto"/>
          <w:szCs w:val="21"/>
          <w:highlight w:val="none"/>
          <w:u w:val="single"/>
        </w:rPr>
        <w:t>；完成结算审核后28天内，发包人向承包人支付至结算审定金额的</w:t>
      </w:r>
      <w:r>
        <w:rPr>
          <w:rFonts w:hint="eastAsia" w:ascii="宋体" w:hAnsi="宋体"/>
          <w:color w:val="auto"/>
          <w:szCs w:val="21"/>
          <w:highlight w:val="none"/>
        </w:rPr>
        <w:t>97%；</w:t>
      </w:r>
      <w:r>
        <w:rPr>
          <w:rFonts w:hint="eastAsia" w:ascii="宋体" w:hAnsi="宋体"/>
          <w:color w:val="auto"/>
          <w:szCs w:val="21"/>
          <w:highlight w:val="none"/>
          <w:u w:val="single"/>
        </w:rPr>
        <w:t>缺陷责任期满后28天内发包人向承包人支付剩余工程款</w:t>
      </w:r>
      <w:r>
        <w:rPr>
          <w:rFonts w:hint="eastAsia" w:ascii="宋体" w:hAnsi="宋体"/>
          <w:color w:val="auto"/>
          <w:szCs w:val="21"/>
          <w:highlight w:val="none"/>
        </w:rPr>
        <w:t>。</w:t>
      </w:r>
    </w:p>
    <w:p w14:paraId="3EAA2EF4">
      <w:pPr>
        <w:pStyle w:val="7"/>
        <w:spacing w:before="0" w:beforeAutospacing="0" w:after="0" w:afterAutospacing="0" w:line="360" w:lineRule="auto"/>
        <w:ind w:firstLine="422" w:firstLineChars="200"/>
        <w:rPr>
          <w:color w:val="auto"/>
          <w:sz w:val="21"/>
          <w:szCs w:val="21"/>
          <w:highlight w:val="none"/>
        </w:rPr>
      </w:pPr>
      <w:bookmarkStart w:id="1890" w:name="_Toc532377387"/>
      <w:bookmarkStart w:id="1891" w:name="_Toc351203585"/>
      <w:r>
        <w:rPr>
          <w:rFonts w:hint="eastAsia"/>
          <w:color w:val="auto"/>
          <w:sz w:val="21"/>
          <w:szCs w:val="21"/>
          <w:highlight w:val="none"/>
        </w:rPr>
        <w:t>12.5支付账户</w:t>
      </w:r>
      <w:bookmarkEnd w:id="1890"/>
      <w:bookmarkEnd w:id="1891"/>
    </w:p>
    <w:p w14:paraId="6E5AF89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发包人应将合同价款支付至如下承包人指定的开户银行及银行账户：</w:t>
      </w:r>
    </w:p>
    <w:p w14:paraId="2BC4A4CF">
      <w:pPr>
        <w:spacing w:line="360" w:lineRule="auto"/>
        <w:ind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rPr>
        <w:t>收款单位名称：</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4339FE0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收款账号：</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6F297070">
      <w:pPr>
        <w:spacing w:line="360" w:lineRule="auto"/>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收款开户银行：</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45DEE876">
      <w:pPr>
        <w:spacing w:line="360" w:lineRule="auto"/>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发包人应将人工费（工资款）支付至如下承包人指定的农民工工资专用账户：</w:t>
      </w:r>
    </w:p>
    <w:p w14:paraId="50059CD6">
      <w:pPr>
        <w:spacing w:line="360" w:lineRule="auto"/>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开户银行：</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14:paraId="32282360">
      <w:pPr>
        <w:spacing w:line="360" w:lineRule="auto"/>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农民工工资专用账户名称：</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14:paraId="7DCB172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农民工工资专用账户账号：</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14:paraId="7D3749C6">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892" w:name="_Toc532377388"/>
      <w:bookmarkStart w:id="1893" w:name="_Toc351203645"/>
      <w:bookmarkStart w:id="1894" w:name="_Toc532375651"/>
      <w:bookmarkStart w:id="1895" w:name="_Toc296503219"/>
      <w:bookmarkStart w:id="1896" w:name="_Toc300935015"/>
      <w:bookmarkStart w:id="1897" w:name="_Toc297123564"/>
      <w:bookmarkStart w:id="1898" w:name="_Toc297048405"/>
      <w:bookmarkStart w:id="1899" w:name="_Toc296944558"/>
      <w:bookmarkStart w:id="1900" w:name="_Toc304295593"/>
      <w:bookmarkStart w:id="1901" w:name="_Toc297216223"/>
      <w:bookmarkStart w:id="1902" w:name="_Toc297120519"/>
      <w:bookmarkStart w:id="1903" w:name="_Toc292559424"/>
      <w:bookmarkStart w:id="1904" w:name="_Toc303539172"/>
      <w:bookmarkStart w:id="1905" w:name="_Toc296347218"/>
      <w:bookmarkStart w:id="1906" w:name="_Toc296346720"/>
      <w:bookmarkStart w:id="1907" w:name="_Toc296891047"/>
      <w:bookmarkStart w:id="1908" w:name="_Toc312678053"/>
      <w:bookmarkStart w:id="1909" w:name="_Toc296891259"/>
      <w:bookmarkStart w:id="1910" w:name="_Toc292559929"/>
      <w:r>
        <w:rPr>
          <w:rFonts w:hint="eastAsia"/>
          <w:color w:val="auto"/>
          <w:kern w:val="2"/>
          <w:sz w:val="21"/>
          <w:szCs w:val="21"/>
          <w:highlight w:val="none"/>
        </w:rPr>
        <w:t>13. 验收和工程试车</w:t>
      </w:r>
      <w:bookmarkEnd w:id="1892"/>
      <w:bookmarkEnd w:id="1893"/>
      <w:bookmarkEnd w:id="1894"/>
    </w:p>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p w14:paraId="066C49CD">
      <w:pPr>
        <w:pStyle w:val="7"/>
        <w:spacing w:before="0" w:beforeAutospacing="0" w:after="0" w:afterAutospacing="0" w:line="360" w:lineRule="auto"/>
        <w:ind w:firstLine="422" w:firstLineChars="200"/>
        <w:rPr>
          <w:color w:val="auto"/>
          <w:sz w:val="21"/>
          <w:szCs w:val="21"/>
          <w:highlight w:val="none"/>
        </w:rPr>
      </w:pPr>
      <w:bookmarkStart w:id="1911" w:name="_Toc532377389"/>
      <w:bookmarkStart w:id="1912" w:name="_Toc532375652"/>
      <w:bookmarkStart w:id="1913" w:name="_Toc280868704"/>
      <w:bookmarkStart w:id="1914" w:name="_Toc280868705"/>
      <w:bookmarkStart w:id="1915" w:name="_Toc280868706"/>
      <w:bookmarkStart w:id="1916" w:name="_Toc280868707"/>
      <w:bookmarkStart w:id="1917" w:name="_Toc280868708"/>
      <w:bookmarkStart w:id="1918" w:name="_Toc267251471"/>
      <w:bookmarkStart w:id="1919" w:name="_Toc267251476"/>
      <w:bookmarkStart w:id="1920" w:name="_Toc267251474"/>
      <w:bookmarkStart w:id="1921" w:name="_Toc267251472"/>
      <w:bookmarkStart w:id="1922" w:name="_Toc267251473"/>
      <w:bookmarkStart w:id="1923" w:name="_Toc267251475"/>
      <w:bookmarkStart w:id="1924" w:name="_Toc280868709"/>
      <w:bookmarkStart w:id="1925" w:name="_Toc267251470"/>
      <w:r>
        <w:rPr>
          <w:rFonts w:hint="eastAsia"/>
          <w:color w:val="auto"/>
          <w:sz w:val="21"/>
          <w:szCs w:val="21"/>
          <w:highlight w:val="none"/>
        </w:rPr>
        <w:t>13.1 分部分项工程验收</w:t>
      </w:r>
      <w:bookmarkEnd w:id="1911"/>
      <w:bookmarkEnd w:id="1912"/>
    </w:p>
    <w:p w14:paraId="35848B9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13.1.2 监理人不能按时进行验收时，应提前</w:t>
      </w:r>
      <w:r>
        <w:rPr>
          <w:rFonts w:hint="eastAsia" w:ascii="宋体" w:hAnsi="宋体"/>
          <w:color w:val="auto"/>
          <w:szCs w:val="21"/>
          <w:highlight w:val="none"/>
          <w:u w:val="single"/>
        </w:rPr>
        <w:t>24</w:t>
      </w:r>
      <w:r>
        <w:rPr>
          <w:rFonts w:hint="eastAsia" w:ascii="宋体" w:hAnsi="宋体"/>
          <w:color w:val="auto"/>
          <w:szCs w:val="21"/>
          <w:highlight w:val="none"/>
        </w:rPr>
        <w:t>小时提交书面延期要求。</w:t>
      </w:r>
    </w:p>
    <w:p w14:paraId="2FBBA07C">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关于延期最长不得超过：</w:t>
      </w:r>
      <w:r>
        <w:rPr>
          <w:rFonts w:hint="eastAsia" w:ascii="宋体" w:hAnsi="宋体"/>
          <w:color w:val="auto"/>
          <w:szCs w:val="21"/>
          <w:highlight w:val="none"/>
          <w:u w:val="single"/>
        </w:rPr>
        <w:t>48</w:t>
      </w:r>
      <w:r>
        <w:rPr>
          <w:rFonts w:hint="eastAsia" w:ascii="宋体" w:hAnsi="宋体"/>
          <w:color w:val="auto"/>
          <w:szCs w:val="21"/>
          <w:highlight w:val="none"/>
        </w:rPr>
        <w:t>小时。</w:t>
      </w:r>
    </w:p>
    <w:p w14:paraId="2B789E58">
      <w:pPr>
        <w:pStyle w:val="7"/>
        <w:spacing w:before="0" w:beforeAutospacing="0" w:after="0" w:afterAutospacing="0" w:line="360" w:lineRule="auto"/>
        <w:ind w:firstLine="422" w:firstLineChars="200"/>
        <w:rPr>
          <w:color w:val="auto"/>
          <w:sz w:val="21"/>
          <w:szCs w:val="21"/>
          <w:highlight w:val="none"/>
        </w:rPr>
      </w:pPr>
      <w:bookmarkStart w:id="1926" w:name="_Toc532377390"/>
      <w:bookmarkStart w:id="1927" w:name="_Toc532375653"/>
      <w:bookmarkStart w:id="1928" w:name="_Toc297048409"/>
      <w:bookmarkStart w:id="1929" w:name="_Toc300935016"/>
      <w:bookmarkStart w:id="1930" w:name="_Toc292559933"/>
      <w:bookmarkStart w:id="1931" w:name="_Toc296891263"/>
      <w:bookmarkStart w:id="1932" w:name="_Toc297120523"/>
      <w:bookmarkStart w:id="1933" w:name="_Toc296891051"/>
      <w:bookmarkStart w:id="1934" w:name="_Toc297123565"/>
      <w:bookmarkStart w:id="1935" w:name="_Toc296503223"/>
      <w:bookmarkStart w:id="1936" w:name="_Toc296346724"/>
      <w:bookmarkStart w:id="1937" w:name="_Toc303539173"/>
      <w:bookmarkStart w:id="1938" w:name="_Toc312678056"/>
      <w:bookmarkStart w:id="1939" w:name="_Toc297216224"/>
      <w:bookmarkStart w:id="1940" w:name="_Toc304295596"/>
      <w:bookmarkStart w:id="1941" w:name="_Toc292559428"/>
      <w:bookmarkStart w:id="1942" w:name="_Toc296944562"/>
      <w:bookmarkStart w:id="1943" w:name="_Toc296347222"/>
      <w:r>
        <w:rPr>
          <w:rFonts w:hint="eastAsia"/>
          <w:color w:val="auto"/>
          <w:sz w:val="21"/>
          <w:szCs w:val="21"/>
          <w:highlight w:val="none"/>
        </w:rPr>
        <w:t>13.2 竣工验收</w:t>
      </w:r>
      <w:bookmarkEnd w:id="1926"/>
      <w:bookmarkEnd w:id="1927"/>
    </w:p>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14:paraId="1384FA39">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13.2.2竣工验收程序</w:t>
      </w:r>
    </w:p>
    <w:bookmarkEnd w:id="1913"/>
    <w:p w14:paraId="550E4DCA">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关于竣工验收程序的约定：工程完工且符合下列条件时，承包人可向发包人提供竣工报告，并要求验收：</w:t>
      </w:r>
    </w:p>
    <w:p w14:paraId="3F7FDDBB">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（1）除发包人同意的甩项工作和缺陷修补工作外，合同范围内的全部工程以及有关工作，包括合同要求的试验、试运行以及检验均已完成，并符合合同要求；</w:t>
      </w:r>
    </w:p>
    <w:p w14:paraId="54EADA5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（2）已按合同约定编制了甩项工作和缺陷修补工作清单以及相应的施工计划；</w:t>
      </w:r>
    </w:p>
    <w:p w14:paraId="1C2141CA">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（3）已按合同约定的内容和份数备齐竣工资料。</w:t>
      </w:r>
    </w:p>
    <w:p w14:paraId="0862C273">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（4）</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083AD7A1">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工程竣工及竣工资料：</w:t>
      </w:r>
    </w:p>
    <w:p w14:paraId="3E90E10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u w:val="single"/>
        </w:rPr>
        <w:t>（1）发包人应在收到承包人竣工报告后14天内组织设计单位、监理单位、质监等其他部门进行验收，竣工日期以最后一次整改后通过竣工验收的时间为准</w:t>
      </w:r>
      <w:r>
        <w:rPr>
          <w:rFonts w:hint="eastAsia" w:ascii="宋体" w:hAnsi="宋体"/>
          <w:color w:val="auto"/>
          <w:szCs w:val="21"/>
          <w:highlight w:val="none"/>
        </w:rPr>
        <w:t>。</w:t>
      </w:r>
    </w:p>
    <w:p w14:paraId="6D52258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u w:val="single"/>
        </w:rPr>
        <w:t>（2）当工程具备竣工验收条件时，承包人应及时向发包人提交竣工报告及竣工资料、办理移交手续。否则发包人有权依据监理人出具的鉴定结论书，自行组织有关部门验收，并提出整改意见。承包人必须按要求整改，并承担整改费用；如承包人拒绝按发包人提出的要求整改，发包人有权请第三方整改，由此发生的整改费用从未付工程款中扣除，不足部分发包人有权向承包人追偿。当验收通过后具备交付使用条件时，承包人不得以任何借口拒绝移交工程，否则，发包人有权强行使用，由此发生的一切后果，由承包人负责</w:t>
      </w:r>
      <w:r>
        <w:rPr>
          <w:rFonts w:hint="eastAsia" w:ascii="宋体" w:hAnsi="宋体"/>
          <w:color w:val="auto"/>
          <w:szCs w:val="21"/>
          <w:highlight w:val="none"/>
        </w:rPr>
        <w:t>。</w:t>
      </w:r>
    </w:p>
    <w:p w14:paraId="788140D2">
      <w:pPr>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rPr>
        <w:t>（3）承包人提供竣工资料的约定：</w:t>
      </w:r>
      <w:r>
        <w:rPr>
          <w:rFonts w:hint="eastAsia" w:ascii="宋体" w:hAnsi="宋体"/>
          <w:color w:val="auto"/>
          <w:szCs w:val="21"/>
          <w:highlight w:val="none"/>
          <w:u w:val="single"/>
        </w:rPr>
        <w:t>承包人提供纸质版竣工图三套，电子版竣工图二套（刻光盘）</w:t>
      </w:r>
      <w:r>
        <w:rPr>
          <w:rFonts w:hint="eastAsia" w:ascii="宋体" w:hAnsi="宋体"/>
          <w:color w:val="auto"/>
          <w:szCs w:val="21"/>
          <w:highlight w:val="none"/>
        </w:rPr>
        <w:t>。</w:t>
      </w:r>
    </w:p>
    <w:bookmarkEnd w:id="1914"/>
    <w:p w14:paraId="06065B7D">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13.2.5 移交、接收全部与部分工程</w:t>
      </w:r>
    </w:p>
    <w:bookmarkEnd w:id="1915"/>
    <w:p w14:paraId="130C67F2">
      <w:pPr>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rPr>
        <w:t>承包人向发包人移交工程的期限：</w:t>
      </w:r>
      <w:r>
        <w:rPr>
          <w:rFonts w:hint="eastAsia" w:ascii="宋体" w:hAnsi="宋体"/>
          <w:color w:val="auto"/>
          <w:szCs w:val="21"/>
          <w:highlight w:val="none"/>
          <w:u w:val="single"/>
        </w:rPr>
        <w:t>颁发工程接收证书后7天内完成工程的移交</w:t>
      </w:r>
      <w:r>
        <w:rPr>
          <w:rFonts w:hint="eastAsia" w:ascii="宋体" w:hAnsi="宋体"/>
          <w:color w:val="auto"/>
          <w:szCs w:val="21"/>
          <w:highlight w:val="none"/>
        </w:rPr>
        <w:t>。</w:t>
      </w:r>
    </w:p>
    <w:p w14:paraId="3CED9E1A">
      <w:pPr>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发包人未按合同约定接收全部或部分工程的，违约金的计算方法为：发包人自应当接收工程之日起承担工程照管、成品保护、保管等与工程有关的各项费用。</w:t>
      </w:r>
    </w:p>
    <w:bookmarkEnd w:id="1916"/>
    <w:p w14:paraId="3730DB11">
      <w:pPr>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rPr>
        <w:t>因承包人自身原因未按时移交工程的，违约金的计算方法为：</w:t>
      </w:r>
      <w:r>
        <w:rPr>
          <w:rFonts w:hint="eastAsia" w:ascii="宋体" w:hAnsi="宋体"/>
          <w:color w:val="auto"/>
          <w:szCs w:val="21"/>
          <w:highlight w:val="none"/>
          <w:u w:val="single"/>
        </w:rPr>
        <w:t>承包人应承担工程照管、成品保护、保管等与工程有关的各项费用，并按经审定结算金额的0.5‰/天支付违约金</w:t>
      </w:r>
      <w:r>
        <w:rPr>
          <w:rFonts w:hint="eastAsia" w:ascii="宋体" w:hAnsi="宋体"/>
          <w:color w:val="auto"/>
          <w:szCs w:val="21"/>
          <w:highlight w:val="none"/>
        </w:rPr>
        <w:t>。</w:t>
      </w:r>
    </w:p>
    <w:p w14:paraId="6095AF46">
      <w:pPr>
        <w:pStyle w:val="7"/>
        <w:spacing w:before="0" w:beforeAutospacing="0" w:after="0" w:afterAutospacing="0" w:line="360" w:lineRule="auto"/>
        <w:ind w:firstLine="422" w:firstLineChars="200"/>
        <w:rPr>
          <w:color w:val="auto"/>
          <w:sz w:val="21"/>
          <w:szCs w:val="21"/>
          <w:highlight w:val="none"/>
        </w:rPr>
      </w:pPr>
      <w:bookmarkStart w:id="1944" w:name="_Toc532375654"/>
      <w:bookmarkStart w:id="1945" w:name="_Toc532377391"/>
      <w:r>
        <w:rPr>
          <w:rFonts w:hint="eastAsia"/>
          <w:color w:val="auto"/>
          <w:sz w:val="21"/>
          <w:szCs w:val="21"/>
          <w:highlight w:val="none"/>
        </w:rPr>
        <w:t>13.3 工程试车</w:t>
      </w:r>
      <w:bookmarkEnd w:id="1944"/>
      <w:bookmarkEnd w:id="1945"/>
    </w:p>
    <w:p w14:paraId="403311A1">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13.3.1 试车程序</w:t>
      </w:r>
    </w:p>
    <w:p w14:paraId="02F679F2">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工程试车内容：</w:t>
      </w:r>
      <w:r>
        <w:rPr>
          <w:rFonts w:hint="eastAsia" w:ascii="宋体" w:hAnsi="宋体"/>
          <w:color w:val="auto"/>
          <w:szCs w:val="21"/>
          <w:highlight w:val="none"/>
          <w:u w:val="single"/>
        </w:rPr>
        <w:t>按通用合同条款执行</w:t>
      </w:r>
      <w:r>
        <w:rPr>
          <w:rFonts w:hint="eastAsia" w:ascii="宋体" w:hAnsi="宋体"/>
          <w:color w:val="auto"/>
          <w:szCs w:val="21"/>
          <w:highlight w:val="none"/>
        </w:rPr>
        <w:t>。</w:t>
      </w:r>
    </w:p>
    <w:p w14:paraId="2C032667">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（1）单机无负荷试车费用由</w:t>
      </w:r>
      <w:r>
        <w:rPr>
          <w:rFonts w:hint="eastAsia" w:ascii="宋体" w:hAnsi="宋体"/>
          <w:color w:val="auto"/>
          <w:szCs w:val="21"/>
          <w:highlight w:val="none"/>
          <w:u w:val="single"/>
        </w:rPr>
        <w:t>承包人</w:t>
      </w:r>
      <w:r>
        <w:rPr>
          <w:rFonts w:hint="eastAsia" w:ascii="宋体" w:hAnsi="宋体"/>
          <w:color w:val="auto"/>
          <w:szCs w:val="21"/>
          <w:highlight w:val="none"/>
        </w:rPr>
        <w:t>承担；</w:t>
      </w:r>
    </w:p>
    <w:p w14:paraId="11518CC7">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（2）无负荷联动试车费用由</w:t>
      </w:r>
      <w:r>
        <w:rPr>
          <w:rFonts w:hint="eastAsia" w:ascii="宋体" w:hAnsi="宋体"/>
          <w:color w:val="auto"/>
          <w:szCs w:val="21"/>
          <w:highlight w:val="none"/>
          <w:u w:val="single"/>
        </w:rPr>
        <w:t>承包人</w:t>
      </w:r>
      <w:r>
        <w:rPr>
          <w:rFonts w:hint="eastAsia" w:ascii="宋体" w:hAnsi="宋体"/>
          <w:color w:val="auto"/>
          <w:szCs w:val="21"/>
          <w:highlight w:val="none"/>
        </w:rPr>
        <w:t>承担。</w:t>
      </w:r>
    </w:p>
    <w:p w14:paraId="08ADB4F7">
      <w:pPr>
        <w:pStyle w:val="7"/>
        <w:spacing w:before="0" w:beforeAutospacing="0" w:after="0" w:afterAutospacing="0" w:line="360" w:lineRule="auto"/>
        <w:ind w:firstLine="422" w:firstLineChars="200"/>
        <w:rPr>
          <w:color w:val="auto"/>
          <w:sz w:val="21"/>
          <w:szCs w:val="21"/>
          <w:highlight w:val="none"/>
        </w:rPr>
      </w:pPr>
      <w:bookmarkStart w:id="1946" w:name="_Toc532377392"/>
      <w:bookmarkStart w:id="1947" w:name="_Toc532375655"/>
      <w:r>
        <w:rPr>
          <w:rFonts w:hint="eastAsia"/>
          <w:color w:val="auto"/>
          <w:sz w:val="21"/>
          <w:szCs w:val="21"/>
          <w:highlight w:val="none"/>
        </w:rPr>
        <w:t>13.6 竣工退场</w:t>
      </w:r>
      <w:bookmarkEnd w:id="1946"/>
      <w:bookmarkEnd w:id="1947"/>
    </w:p>
    <w:p w14:paraId="56B8EE57">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13.6.1 竣工退场</w:t>
      </w:r>
    </w:p>
    <w:p w14:paraId="65E83709">
      <w:pPr>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rPr>
        <w:t>承包人完成竣工退场的期限：</w:t>
      </w:r>
      <w:r>
        <w:rPr>
          <w:rFonts w:hint="eastAsia" w:ascii="宋体" w:hAnsi="宋体"/>
          <w:color w:val="auto"/>
          <w:szCs w:val="21"/>
          <w:highlight w:val="none"/>
          <w:u w:val="single"/>
        </w:rPr>
        <w:t>工程接收证书颁发后28天内，承包人的施工人员、剩余材料、施工设备和临时工程应完全撤离施工场地并对施工场地进行清理、平整、复原，直至监理人检验合格为止，由此发生的费用已包含在签约合同价内。承包人未在限期内拆除的，发包人可委托其他单位代为拆除，由此发生的费用（发包人可从应付承包人的款项中扣除）由承包人承担，承包人还应按审定结算金额的0.5‰/天的标准向发包人支付违约金。因工程维修需要部分人员必须留在施工现场的，需征得发包人同意</w:t>
      </w:r>
      <w:r>
        <w:rPr>
          <w:rFonts w:hint="eastAsia" w:ascii="宋体" w:hAnsi="宋体"/>
          <w:color w:val="auto"/>
          <w:szCs w:val="21"/>
          <w:highlight w:val="none"/>
        </w:rPr>
        <w:t>。</w:t>
      </w:r>
    </w:p>
    <w:bookmarkEnd w:id="1917"/>
    <w:p w14:paraId="52E8775F">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948" w:name="_Toc532375656"/>
      <w:bookmarkStart w:id="1949" w:name="_Toc532377393"/>
      <w:bookmarkStart w:id="1950" w:name="_Toc351203646"/>
      <w:r>
        <w:rPr>
          <w:rFonts w:hint="eastAsia"/>
          <w:color w:val="auto"/>
          <w:kern w:val="2"/>
          <w:sz w:val="21"/>
          <w:szCs w:val="21"/>
          <w:highlight w:val="none"/>
        </w:rPr>
        <w:t>14. 竣工结算</w:t>
      </w:r>
      <w:bookmarkEnd w:id="1948"/>
      <w:bookmarkEnd w:id="1949"/>
      <w:bookmarkEnd w:id="1950"/>
    </w:p>
    <w:p w14:paraId="1F99160D">
      <w:pPr>
        <w:pStyle w:val="7"/>
        <w:spacing w:before="0" w:beforeAutospacing="0" w:after="0" w:afterAutospacing="0" w:line="360" w:lineRule="auto"/>
        <w:ind w:firstLine="422" w:firstLineChars="200"/>
        <w:rPr>
          <w:color w:val="auto"/>
          <w:sz w:val="21"/>
          <w:szCs w:val="21"/>
          <w:highlight w:val="none"/>
        </w:rPr>
      </w:pPr>
      <w:bookmarkStart w:id="1951" w:name="_Toc532375657"/>
      <w:bookmarkStart w:id="1952" w:name="_Toc532377394"/>
      <w:r>
        <w:rPr>
          <w:rFonts w:hint="eastAsia"/>
          <w:color w:val="auto"/>
          <w:sz w:val="21"/>
          <w:szCs w:val="21"/>
          <w:highlight w:val="none"/>
        </w:rPr>
        <w:t>14.1 竣工结算申请</w:t>
      </w:r>
      <w:bookmarkEnd w:id="1951"/>
      <w:bookmarkEnd w:id="1952"/>
    </w:p>
    <w:p w14:paraId="63B13AC4">
      <w:pPr>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rPr>
        <w:t>承包人提交竣工结算申请单的期限：</w:t>
      </w:r>
      <w:r>
        <w:rPr>
          <w:rFonts w:hint="eastAsia" w:ascii="宋体" w:hAnsi="宋体"/>
          <w:color w:val="auto"/>
          <w:szCs w:val="21"/>
          <w:highlight w:val="none"/>
          <w:u w:val="single"/>
        </w:rPr>
        <w:t>承包人应在工程竣工验收合格且报送</w:t>
      </w:r>
      <w:r>
        <w:rPr>
          <w:rFonts w:ascii="宋体" w:hAnsi="宋体"/>
          <w:color w:val="auto"/>
          <w:szCs w:val="21"/>
          <w:highlight w:val="none"/>
          <w:u w:val="single"/>
        </w:rPr>
        <w:t>完整工程竣工资料</w:t>
      </w:r>
      <w:r>
        <w:rPr>
          <w:rFonts w:hint="eastAsia" w:ascii="宋体" w:hAnsi="宋体"/>
          <w:color w:val="auto"/>
          <w:szCs w:val="21"/>
          <w:highlight w:val="none"/>
          <w:u w:val="single"/>
        </w:rPr>
        <w:t>之日起28天内向监理人、发包人提交竣工结算申请单，并向发包人报送完整的工程竣工资料及经监理人初审确认的完整的竣工结算资料</w:t>
      </w:r>
      <w:bookmarkStart w:id="1953" w:name="_Hlk524297994"/>
      <w:r>
        <w:rPr>
          <w:rFonts w:hint="eastAsia" w:ascii="宋体" w:hAnsi="宋体"/>
          <w:color w:val="auto"/>
          <w:szCs w:val="21"/>
          <w:highlight w:val="none"/>
          <w:u w:val="single"/>
        </w:rPr>
        <w:t>。监理人或发包人对竣工结算申请单有异议的，应在接到竣工结算申请单后14天内要求承包人进行修正和提供补充资料，承包人在接到监理人或发包人提出的审核意见后，应在28天内按监理人或发包人提出的合理要求补充资料、修改竣工结算资料，并再次提交监理人或发包人审核。承包人未在规定时间内报送竣工结算资料给发包人造成经济损失的，承包人应承担赔偿责任。</w:t>
      </w:r>
    </w:p>
    <w:p w14:paraId="596248D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竣工结算申请单包括但不限于以下内容：</w:t>
      </w:r>
    </w:p>
    <w:p w14:paraId="699DB7A4">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（1）竣工结算合同价格；</w:t>
      </w:r>
    </w:p>
    <w:p w14:paraId="3529AF81">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（2）变更增减金额；</w:t>
      </w:r>
    </w:p>
    <w:p w14:paraId="5B1DC311">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（3）现场签证增减金额；</w:t>
      </w:r>
    </w:p>
    <w:p w14:paraId="1EBB2EF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（4）索赔增减金额；</w:t>
      </w:r>
    </w:p>
    <w:p w14:paraId="22049CFB">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（5）奖励、罚金及违约金；</w:t>
      </w:r>
    </w:p>
    <w:p w14:paraId="790BA0A3">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（6）发包人已支付承包人的款项；</w:t>
      </w:r>
    </w:p>
    <w:p w14:paraId="39DBD179">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（7）应扣留的质量保证金；</w:t>
      </w:r>
    </w:p>
    <w:p w14:paraId="053AC1EA">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（8）发包人应支付承包人的合同价款。</w:t>
      </w:r>
      <w:bookmarkEnd w:id="1953"/>
    </w:p>
    <w:p w14:paraId="3C1DDFD6">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（9）</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46BBFE2E">
      <w:pPr>
        <w:pStyle w:val="7"/>
        <w:spacing w:before="0" w:beforeAutospacing="0" w:after="0" w:afterAutospacing="0" w:line="360" w:lineRule="auto"/>
        <w:ind w:firstLine="422" w:firstLineChars="200"/>
        <w:rPr>
          <w:color w:val="auto"/>
          <w:sz w:val="21"/>
          <w:szCs w:val="21"/>
          <w:highlight w:val="none"/>
        </w:rPr>
      </w:pPr>
      <w:bookmarkStart w:id="1954" w:name="_Toc532377395"/>
      <w:bookmarkStart w:id="1955" w:name="_Toc532375658"/>
      <w:r>
        <w:rPr>
          <w:rFonts w:hint="eastAsia"/>
          <w:color w:val="auto"/>
          <w:sz w:val="21"/>
          <w:szCs w:val="21"/>
          <w:highlight w:val="none"/>
        </w:rPr>
        <w:t>14.2 竣工结算审核</w:t>
      </w:r>
      <w:bookmarkEnd w:id="1954"/>
      <w:bookmarkEnd w:id="1955"/>
    </w:p>
    <w:p w14:paraId="7FACA91C">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14.2.1 竣工结算办法</w:t>
      </w:r>
    </w:p>
    <w:p w14:paraId="1352E719">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14.2.1.1计量原则</w:t>
      </w:r>
    </w:p>
    <w:p w14:paraId="35C1BFFD">
      <w:pPr>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rPr>
        <w:t>按照第12.3.1项〔计量原则〕约定执行。</w:t>
      </w:r>
    </w:p>
    <w:p w14:paraId="50EB39B0">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14.2.1.2计价原则</w:t>
      </w:r>
    </w:p>
    <w:p w14:paraId="08243DDC">
      <w:pPr>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合同竣工结算价=Σ分部分项工程结算价+Σ措施项目结算价+Σ其他项目结算价±Σ价格调整（如有）±Σ变更、索赔与现场签证结算价±Σ奖励、罚金、违约金及其他费用+Σ规费+Σ税金</w:t>
      </w:r>
      <w:r>
        <w:rPr>
          <w:rFonts w:hint="eastAsia" w:ascii="宋体" w:hAnsi="宋体"/>
          <w:color w:val="auto"/>
          <w:szCs w:val="21"/>
          <w:highlight w:val="none"/>
        </w:rPr>
        <w:t>。</w:t>
      </w:r>
    </w:p>
    <w:p w14:paraId="6C0725C3">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具体结算办法如下：</w:t>
      </w:r>
    </w:p>
    <w:p w14:paraId="19997100">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（1）分部分项工程：</w:t>
      </w:r>
    </w:p>
    <w:p w14:paraId="2B789C1C">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①已标价工程量清单子目综合单价按合同约定无需调整的，以按照竣工图和第12.3.1项〔计量原则〕约定确定的工程量乘以相应的已标价工程量清单子目综合单价确定该部分分部分项工程结算价</w:t>
      </w:r>
      <w:r>
        <w:rPr>
          <w:rFonts w:hint="eastAsia" w:ascii="宋体" w:hAnsi="宋体"/>
          <w:color w:val="auto"/>
          <w:szCs w:val="21"/>
          <w:highlight w:val="none"/>
        </w:rPr>
        <w:t>；</w:t>
      </w:r>
    </w:p>
    <w:p w14:paraId="6EF1CD6D">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②已标价工程量清单子目综合单价按第11.3款〔严重不平衡报价引起的调整〕约定需要修正综合单价的，结算工程量超过已标价工程量15%的，超出部分工程量乘以按第11.3款〔严重不平衡报价引起的调整〕约定修正综合单价确定该部分分部分项工程结算价</w:t>
      </w:r>
      <w:r>
        <w:rPr>
          <w:rFonts w:hint="eastAsia" w:ascii="宋体" w:hAnsi="宋体"/>
          <w:color w:val="auto"/>
          <w:szCs w:val="21"/>
          <w:highlight w:val="none"/>
        </w:rPr>
        <w:t>；</w:t>
      </w:r>
    </w:p>
    <w:p w14:paraId="325FCFF2">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③需要对没有填入综合单价或总额价的子目项目进行扣减的，第12.3.1项〔计量原则〕约定确定的工程量乘以按照10.4.1〔变更估价原则〕（3）目约定的综合单价进行扣减</w:t>
      </w:r>
      <w:r>
        <w:rPr>
          <w:rFonts w:hint="eastAsia" w:ascii="宋体" w:hAnsi="宋体"/>
          <w:color w:val="auto"/>
          <w:szCs w:val="21"/>
          <w:highlight w:val="none"/>
        </w:rPr>
        <w:t>；</w:t>
      </w:r>
    </w:p>
    <w:p w14:paraId="3E2EDEFF">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④合同、已标价工程量清单和招标文件另有约定的，按照其约定执行</w:t>
      </w:r>
      <w:r>
        <w:rPr>
          <w:rFonts w:hint="eastAsia" w:ascii="宋体" w:hAnsi="宋体"/>
          <w:color w:val="auto"/>
          <w:szCs w:val="21"/>
          <w:highlight w:val="none"/>
        </w:rPr>
        <w:t>。</w:t>
      </w:r>
    </w:p>
    <w:p w14:paraId="230B6181">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（2）措施项目：</w:t>
      </w:r>
    </w:p>
    <w:p w14:paraId="1392B3D8">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①已标价工程量清单范围内以项为计量单位的措施项目费（安全文明施工费除外）包干使用；不以项为计量单位的措施项目费按第14.2.1项〔竣工结算办理办法〕分部分项约定执行</w:t>
      </w:r>
      <w:r>
        <w:rPr>
          <w:rFonts w:hint="eastAsia" w:ascii="宋体" w:hAnsi="宋体"/>
          <w:color w:val="auto"/>
          <w:szCs w:val="21"/>
          <w:highlight w:val="none"/>
        </w:rPr>
        <w:t>。</w:t>
      </w:r>
    </w:p>
    <w:p w14:paraId="0D9A3B5B">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②工程变更引起施工方案改变使措施项目发生变化的，经监理人、发包人确定后可对按第10.4.3项约定执行</w:t>
      </w:r>
      <w:r>
        <w:rPr>
          <w:rFonts w:hint="eastAsia" w:ascii="宋体" w:hAnsi="宋体"/>
          <w:color w:val="auto"/>
          <w:szCs w:val="21"/>
          <w:highlight w:val="none"/>
        </w:rPr>
        <w:t>。</w:t>
      </w:r>
    </w:p>
    <w:p w14:paraId="4451CAD5">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③安全文明施工费按照《重庆市建设工程安全文明施工费计取及使用管理规定》（渝建发〔2014〕25号）、《重庆市住房和城乡建设委员会关于调整建设施工现场形象品质提升安全文明施工费计取的通知》（渝建管〔2020〕97号）、《重庆市建设工程费用定额》（CQFYDE-2018）、《重庆市城乡建设委员会关于适用增值税新税率调整建设工程计价依据的通知》（渝建〔2019〕143号）的规定进行结算</w:t>
      </w:r>
      <w:r>
        <w:rPr>
          <w:rFonts w:hint="eastAsia" w:ascii="宋体" w:hAnsi="宋体"/>
          <w:color w:val="auto"/>
          <w:szCs w:val="21"/>
          <w:highlight w:val="none"/>
        </w:rPr>
        <w:t>。</w:t>
      </w:r>
    </w:p>
    <w:p w14:paraId="046DFAB1">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（3）其他项目：</w:t>
      </w:r>
    </w:p>
    <w:p w14:paraId="0A1D23F5">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①材料（工程设备）暂估价：</w:t>
      </w:r>
      <w:r>
        <w:rPr>
          <w:rFonts w:hint="eastAsia" w:ascii="宋体" w:hAnsi="宋体"/>
          <w:color w:val="auto"/>
          <w:szCs w:val="21"/>
          <w:highlight w:val="none"/>
          <w:u w:val="single"/>
        </w:rPr>
        <w:t>按照第12.3.1项〔计量原则〕约定及对应定额消耗量确定的数量乘以监理人、跟审单位、发包人根据市场行情认质核价确定的价格进行结算</w:t>
      </w:r>
      <w:r>
        <w:rPr>
          <w:rFonts w:hint="eastAsia" w:ascii="宋体" w:hAnsi="宋体"/>
          <w:color w:val="auto"/>
          <w:szCs w:val="21"/>
          <w:highlight w:val="none"/>
        </w:rPr>
        <w:t>。</w:t>
      </w:r>
    </w:p>
    <w:p w14:paraId="6B375E01">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②专业工程暂估价：</w:t>
      </w:r>
    </w:p>
    <w:p w14:paraId="17B93AA1">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u w:val="single"/>
        </w:rPr>
        <w:t>1）对于不属于依法必须招标的暂估价项目：按发包人审定的价格进行结算</w:t>
      </w:r>
      <w:r>
        <w:rPr>
          <w:rFonts w:hint="eastAsia" w:ascii="宋体" w:hAnsi="宋体"/>
          <w:color w:val="auto"/>
          <w:szCs w:val="21"/>
          <w:highlight w:val="none"/>
        </w:rPr>
        <w:t>。</w:t>
      </w:r>
    </w:p>
    <w:p w14:paraId="075D4F5C">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u w:val="single"/>
        </w:rPr>
        <w:t>2）对于依法必须招标的暂估价项目：达到招标规模标准的暂估价内容，包括专业工程暂估价和材料设备暂估价均应招标确定，并按暂估价招标文件约定结算</w:t>
      </w:r>
      <w:r>
        <w:rPr>
          <w:rFonts w:hint="eastAsia" w:ascii="宋体" w:hAnsi="宋体"/>
          <w:color w:val="auto"/>
          <w:szCs w:val="21"/>
          <w:highlight w:val="none"/>
        </w:rPr>
        <w:t>。</w:t>
      </w:r>
    </w:p>
    <w:p w14:paraId="0A11D7B6">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u w:val="single"/>
        </w:rPr>
        <w:t>3）总承包服务费：总承包服务费包干使用，结算时不作调整</w:t>
      </w:r>
      <w:r>
        <w:rPr>
          <w:rFonts w:hint="eastAsia" w:ascii="宋体" w:hAnsi="宋体"/>
          <w:color w:val="auto"/>
          <w:szCs w:val="21"/>
          <w:highlight w:val="none"/>
        </w:rPr>
        <w:t>。</w:t>
      </w:r>
    </w:p>
    <w:p w14:paraId="7973B16C">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（4）价格调整：</w:t>
      </w:r>
      <w:r>
        <w:rPr>
          <w:rFonts w:hint="eastAsia" w:ascii="宋体" w:hAnsi="宋体"/>
          <w:color w:val="auto"/>
          <w:szCs w:val="21"/>
          <w:highlight w:val="none"/>
          <w:u w:val="single"/>
        </w:rPr>
        <w:t>按照第11条〔价格调整〕约定约定执行</w:t>
      </w:r>
      <w:r>
        <w:rPr>
          <w:rFonts w:hint="eastAsia" w:ascii="宋体" w:hAnsi="宋体"/>
          <w:color w:val="auto"/>
          <w:szCs w:val="21"/>
          <w:highlight w:val="none"/>
        </w:rPr>
        <w:t>。</w:t>
      </w:r>
    </w:p>
    <w:p w14:paraId="70E6FC14">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rPr>
        <w:t>（5）工程变更、索赔与现场签证：</w:t>
      </w:r>
    </w:p>
    <w:p w14:paraId="16E0816B">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rPr>
        <w:t>1）工程变更：按照第10.4.1项〔变更估价原则〕约定确定为总价包干的，按审定包干总价计入结算；其余项目按照有效的竣工结算资料和第12.3.1项〔计量原则〕约定确定的工程量乘以相应的按照第10.4.1项〔变更估价原则〕约定确定综合单价来确定该部分结算价。</w:t>
      </w:r>
    </w:p>
    <w:p w14:paraId="5BBBEBFB">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rPr>
        <w:t>2）索赔：按照第10.4.1项〔变更估价原则〕和第14.2.1项〔竣工结算办法〕约定执行。</w:t>
      </w:r>
    </w:p>
    <w:p w14:paraId="1CCD6670">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rPr>
        <w:t>3）现场签证：按照第10.4.1项〔变更估价原则〕和第14.2.1项〔竣工结算办法〕约定执行。</w:t>
      </w:r>
    </w:p>
    <w:p w14:paraId="78B52E8F">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rPr>
        <w:t>（6）奖励、罚金、违约金及其他费用：</w:t>
      </w:r>
      <w:r>
        <w:rPr>
          <w:rFonts w:hint="eastAsia" w:ascii="宋体" w:hAnsi="宋体"/>
          <w:color w:val="auto"/>
          <w:szCs w:val="21"/>
          <w:highlight w:val="none"/>
          <w:u w:val="single"/>
        </w:rPr>
        <w:t>按实进行结算</w:t>
      </w:r>
      <w:r>
        <w:rPr>
          <w:rFonts w:hint="eastAsia" w:ascii="宋体" w:hAnsi="宋体"/>
          <w:color w:val="auto"/>
          <w:szCs w:val="21"/>
          <w:highlight w:val="none"/>
        </w:rPr>
        <w:t>。</w:t>
      </w:r>
    </w:p>
    <w:p w14:paraId="5011A0A9">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rPr>
        <w:t>（7）规费：已标价工程量清单中规费费用按《重庆市建设工程费用定额》（CQFYDE-2018）执行。</w:t>
      </w:r>
    </w:p>
    <w:p w14:paraId="314B9C87">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rPr>
        <w:t>（8）税金：包含增值税、城市维护建设税、教育费附加、地方教育附加以及环境保护税。其中增值税按《重庆市建设工程费用定额》（CQFYDE-2018）、《重庆市城乡建设委员会关于适用增值税新税率调整建设工程计价依据的通知》（渝建〔2019〕143号）规定执行，环境保护税按实结算。</w:t>
      </w:r>
    </w:p>
    <w:p w14:paraId="7A84ADDE">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14.2.1.3竣工结算价</w:t>
      </w:r>
    </w:p>
    <w:p w14:paraId="117244F3">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bookmarkStart w:id="1956" w:name="_Hlk528660512"/>
      <w:r>
        <w:rPr>
          <w:rFonts w:hint="eastAsia" w:ascii="宋体" w:hAnsi="宋体"/>
          <w:color w:val="auto"/>
          <w:szCs w:val="21"/>
          <w:highlight w:val="none"/>
          <w:u w:val="single"/>
        </w:rPr>
        <w:t>以发包人会同跟审单位、监理人、承包人根据有效资料共同确定竣工结算金额作为合同竣工结算价</w:t>
      </w:r>
      <w:r>
        <w:rPr>
          <w:rFonts w:hint="eastAsia" w:ascii="宋体" w:hAnsi="宋体"/>
          <w:color w:val="auto"/>
          <w:szCs w:val="21"/>
          <w:highlight w:val="none"/>
        </w:rPr>
        <w:t>。</w:t>
      </w:r>
    </w:p>
    <w:bookmarkEnd w:id="1956"/>
    <w:p w14:paraId="5EA07763">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14.2.2 竣工结算审核期限</w:t>
      </w:r>
    </w:p>
    <w:p w14:paraId="73C2E50C">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监理人审核竣工付款申请单的期限：</w:t>
      </w:r>
      <w:r>
        <w:rPr>
          <w:rFonts w:hint="eastAsia" w:ascii="宋体" w:hAnsi="宋体"/>
          <w:color w:val="auto"/>
          <w:szCs w:val="21"/>
          <w:highlight w:val="none"/>
          <w:u w:val="single"/>
        </w:rPr>
        <w:t>不超过  日</w:t>
      </w:r>
      <w:r>
        <w:rPr>
          <w:rFonts w:hint="eastAsia" w:ascii="宋体" w:hAnsi="宋体"/>
          <w:color w:val="auto"/>
          <w:szCs w:val="21"/>
          <w:highlight w:val="none"/>
        </w:rPr>
        <w:t>。</w:t>
      </w:r>
    </w:p>
    <w:p w14:paraId="5A312AA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发包人审核竣工付款申请单的期限：</w:t>
      </w:r>
      <w:r>
        <w:rPr>
          <w:rFonts w:hint="eastAsia" w:ascii="宋体" w:hAnsi="宋体"/>
          <w:color w:val="auto"/>
          <w:szCs w:val="21"/>
          <w:highlight w:val="none"/>
          <w:u w:val="single"/>
        </w:rPr>
        <w:t>不超过  日</w:t>
      </w:r>
      <w:r>
        <w:rPr>
          <w:rFonts w:hint="eastAsia" w:ascii="宋体" w:hAnsi="宋体"/>
          <w:color w:val="auto"/>
          <w:szCs w:val="21"/>
          <w:highlight w:val="none"/>
        </w:rPr>
        <w:t>。</w:t>
      </w:r>
    </w:p>
    <w:p w14:paraId="14DB62FE">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发包人完成竣工付款的期限：</w:t>
      </w:r>
      <w:r>
        <w:rPr>
          <w:rFonts w:hint="eastAsia" w:ascii="宋体" w:hAnsi="宋体"/>
          <w:color w:val="auto"/>
          <w:szCs w:val="21"/>
          <w:highlight w:val="none"/>
          <w:u w:val="single"/>
        </w:rPr>
        <w:t>完成竣工付款申请单审核后  天内</w:t>
      </w:r>
      <w:r>
        <w:rPr>
          <w:rFonts w:hint="eastAsia" w:ascii="宋体" w:hAnsi="宋体"/>
          <w:color w:val="auto"/>
          <w:szCs w:val="21"/>
          <w:highlight w:val="none"/>
        </w:rPr>
        <w:t>。</w:t>
      </w:r>
    </w:p>
    <w:p w14:paraId="4F8CB8DA">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关于竣工付款证书异议部分复核的方式和程序： 按照第20条〔争议解决〕约定处理。</w:t>
      </w:r>
    </w:p>
    <w:p w14:paraId="07B74ECA">
      <w:pPr>
        <w:pStyle w:val="7"/>
        <w:spacing w:before="0" w:beforeAutospacing="0" w:after="0" w:afterAutospacing="0" w:line="360" w:lineRule="auto"/>
        <w:ind w:firstLine="422" w:firstLineChars="200"/>
        <w:rPr>
          <w:color w:val="auto"/>
          <w:sz w:val="21"/>
          <w:szCs w:val="21"/>
          <w:highlight w:val="none"/>
        </w:rPr>
      </w:pPr>
      <w:bookmarkStart w:id="1957" w:name="_Toc532377396"/>
      <w:bookmarkStart w:id="1958" w:name="_Toc532375659"/>
      <w:r>
        <w:rPr>
          <w:rFonts w:hint="eastAsia"/>
          <w:color w:val="auto"/>
          <w:sz w:val="21"/>
          <w:szCs w:val="21"/>
          <w:highlight w:val="none"/>
        </w:rPr>
        <w:t>14.4 最终结清</w:t>
      </w:r>
      <w:bookmarkEnd w:id="1957"/>
      <w:bookmarkEnd w:id="1958"/>
    </w:p>
    <w:p w14:paraId="6BD3F4A0">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14.4.1 最终结清申请单</w:t>
      </w:r>
    </w:p>
    <w:p w14:paraId="2E9EA820">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承包人提交最终结清申请单的份数：</w:t>
      </w:r>
      <w:r>
        <w:rPr>
          <w:rFonts w:hint="eastAsia" w:ascii="宋体" w:hAnsi="宋体"/>
          <w:color w:val="auto"/>
          <w:szCs w:val="21"/>
          <w:highlight w:val="none"/>
          <w:u w:val="single"/>
        </w:rPr>
        <w:t>3份</w:t>
      </w:r>
      <w:r>
        <w:rPr>
          <w:rFonts w:hint="eastAsia" w:ascii="宋体" w:hAnsi="宋体"/>
          <w:color w:val="auto"/>
          <w:szCs w:val="21"/>
          <w:highlight w:val="none"/>
        </w:rPr>
        <w:t>。</w:t>
      </w:r>
    </w:p>
    <w:p w14:paraId="2628FE40">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承包人提交最终结算申请单的期限：</w:t>
      </w:r>
      <w:r>
        <w:rPr>
          <w:rFonts w:hint="eastAsia" w:ascii="宋体" w:hAnsi="宋体"/>
          <w:color w:val="auto"/>
          <w:szCs w:val="21"/>
          <w:highlight w:val="none"/>
          <w:u w:val="single"/>
        </w:rPr>
        <w:t>缺陷责任期终止证书颁发后14天内</w:t>
      </w:r>
      <w:r>
        <w:rPr>
          <w:rFonts w:hint="eastAsia" w:ascii="宋体" w:hAnsi="宋体"/>
          <w:color w:val="auto"/>
          <w:szCs w:val="21"/>
          <w:highlight w:val="none"/>
        </w:rPr>
        <w:t>。</w:t>
      </w:r>
    </w:p>
    <w:p w14:paraId="7D851617">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14.4.2 最终结清证书和支付</w:t>
      </w:r>
    </w:p>
    <w:p w14:paraId="4CC61FB4">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（1）发包人完成最终结清申请单的审批并颁发最终结清证书的期限：</w:t>
      </w:r>
      <w:r>
        <w:rPr>
          <w:rFonts w:hint="eastAsia" w:ascii="宋体" w:hAnsi="宋体"/>
          <w:color w:val="auto"/>
          <w:szCs w:val="21"/>
          <w:highlight w:val="none"/>
          <w:u w:val="single"/>
        </w:rPr>
        <w:t>发包人收到完整资料后14天内完成审批并颁发最终结清证书</w:t>
      </w:r>
      <w:r>
        <w:rPr>
          <w:rFonts w:hint="eastAsia" w:ascii="宋体" w:hAnsi="宋体"/>
          <w:color w:val="auto"/>
          <w:szCs w:val="21"/>
          <w:highlight w:val="none"/>
        </w:rPr>
        <w:t>。</w:t>
      </w:r>
    </w:p>
    <w:p w14:paraId="720D9797">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（2）发包人完成支付的期限：</w:t>
      </w:r>
      <w:r>
        <w:rPr>
          <w:rFonts w:hint="eastAsia" w:ascii="宋体" w:hAnsi="宋体"/>
          <w:color w:val="auto"/>
          <w:szCs w:val="21"/>
          <w:highlight w:val="none"/>
          <w:u w:val="single"/>
        </w:rPr>
        <w:t>颁发最终结清证书的14天内</w:t>
      </w:r>
      <w:r>
        <w:rPr>
          <w:rFonts w:hint="eastAsia" w:ascii="宋体" w:hAnsi="宋体"/>
          <w:color w:val="auto"/>
          <w:szCs w:val="21"/>
          <w:highlight w:val="none"/>
        </w:rPr>
        <w:t>。</w:t>
      </w:r>
    </w:p>
    <w:p w14:paraId="7B3C6AFE">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本条补充14.5款：</w:t>
      </w:r>
    </w:p>
    <w:bookmarkEnd w:id="1918"/>
    <w:bookmarkEnd w:id="1919"/>
    <w:bookmarkEnd w:id="1920"/>
    <w:bookmarkEnd w:id="1921"/>
    <w:bookmarkEnd w:id="1922"/>
    <w:bookmarkEnd w:id="1923"/>
    <w:bookmarkEnd w:id="1924"/>
    <w:bookmarkEnd w:id="1925"/>
    <w:p w14:paraId="2D9AA7AE">
      <w:pPr>
        <w:pStyle w:val="7"/>
        <w:spacing w:before="0" w:beforeAutospacing="0" w:after="0" w:afterAutospacing="0" w:line="360" w:lineRule="auto"/>
        <w:ind w:firstLine="422" w:firstLineChars="200"/>
        <w:rPr>
          <w:color w:val="auto"/>
          <w:sz w:val="21"/>
          <w:szCs w:val="21"/>
          <w:highlight w:val="none"/>
        </w:rPr>
      </w:pPr>
      <w:bookmarkStart w:id="1959" w:name="_Toc532375660"/>
      <w:bookmarkStart w:id="1960" w:name="_Toc532377397"/>
      <w:r>
        <w:rPr>
          <w:rFonts w:hint="eastAsia"/>
          <w:color w:val="auto"/>
          <w:sz w:val="21"/>
          <w:szCs w:val="21"/>
          <w:highlight w:val="none"/>
        </w:rPr>
        <w:t>14.5 逾期办理或不配合办理竣工结算的处理</w:t>
      </w:r>
      <w:bookmarkEnd w:id="1959"/>
      <w:bookmarkEnd w:id="1960"/>
    </w:p>
    <w:p w14:paraId="45D2F751">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有下列情形之一的，视为承包人放弃与发包人共同办理竣工结算的权利，发包人有权会同跟审单位、监理人根据有效资料共同确定竣工结算金额。</w:t>
      </w:r>
    </w:p>
    <w:p w14:paraId="08DDB342">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（1）承包人逾期未报送竣工结算资料，亦未获得发包人批准延期报送，经发包人两</w:t>
      </w:r>
      <w:bookmarkStart w:id="1961" w:name="_Hlk529133622"/>
      <w:r>
        <w:rPr>
          <w:rFonts w:hint="eastAsia" w:ascii="宋体" w:hAnsi="宋体"/>
          <w:color w:val="auto"/>
          <w:szCs w:val="21"/>
          <w:highlight w:val="none"/>
        </w:rPr>
        <w:t>次书面催告仍未在限期内报送的</w:t>
      </w:r>
      <w:bookmarkEnd w:id="1961"/>
      <w:r>
        <w:rPr>
          <w:rFonts w:hint="eastAsia" w:ascii="宋体" w:hAnsi="宋体"/>
          <w:color w:val="auto"/>
          <w:szCs w:val="21"/>
          <w:highlight w:val="none"/>
        </w:rPr>
        <w:t>；</w:t>
      </w:r>
    </w:p>
    <w:p w14:paraId="383954E4">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承包人在接到监理人或发包人对竣工结算申请单提出的审核意见后，未在限期内按监理人或发包人提出的合理要求补充资料和（或）修改竣工结算资料，亦未获得发包人批准延期报送，经发包人两次书面催告仍未在限期内报送的；</w:t>
      </w:r>
    </w:p>
    <w:p w14:paraId="65937964">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（3）承包人不配合发包人、跟审单位、监理人、发包人委托的工程造价咨询服务单位办理竣工结算的，经发包人两次书面函告仍未改正的。</w:t>
      </w:r>
    </w:p>
    <w:p w14:paraId="36ABC691">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（4）</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567D90B2">
      <w:pPr>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发包人应在竣工结算定案表确定后28天内，以书面函件形式将竣工结算定案表函告承包人，该定案表自送达之日起生效。该书面函件应采用直接送达方式送达，双方应办理书面签收手续，承包人实际签收日期为送达之日；若承包人拒绝签收的，视为已经送达，以该书面函件载明的签发日期为送达之日</w:t>
      </w:r>
      <w:r>
        <w:rPr>
          <w:rFonts w:hint="eastAsia" w:ascii="宋体" w:hAnsi="宋体"/>
          <w:color w:val="auto"/>
          <w:szCs w:val="21"/>
          <w:highlight w:val="none"/>
        </w:rPr>
        <w:t>。</w:t>
      </w:r>
    </w:p>
    <w:bookmarkEnd w:id="1626"/>
    <w:bookmarkEnd w:id="1627"/>
    <w:bookmarkEnd w:id="1628"/>
    <w:bookmarkEnd w:id="1629"/>
    <w:bookmarkEnd w:id="1630"/>
    <w:bookmarkEnd w:id="1631"/>
    <w:bookmarkEnd w:id="1632"/>
    <w:bookmarkEnd w:id="1633"/>
    <w:p w14:paraId="573A63C5">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962" w:name="_Toc532377398"/>
      <w:bookmarkStart w:id="1963" w:name="_Toc532375661"/>
      <w:bookmarkStart w:id="1964" w:name="_Toc351203647"/>
      <w:bookmarkStart w:id="1965" w:name="_Toc267251483"/>
      <w:bookmarkStart w:id="1966" w:name="_Toc280868718"/>
      <w:bookmarkStart w:id="1967" w:name="_Toc280868717"/>
      <w:r>
        <w:rPr>
          <w:rFonts w:hint="eastAsia"/>
          <w:color w:val="auto"/>
          <w:kern w:val="2"/>
          <w:sz w:val="21"/>
          <w:szCs w:val="21"/>
          <w:highlight w:val="none"/>
        </w:rPr>
        <w:t>15. 缺陷责任期与保修</w:t>
      </w:r>
      <w:bookmarkEnd w:id="1962"/>
      <w:bookmarkEnd w:id="1963"/>
      <w:bookmarkEnd w:id="1964"/>
    </w:p>
    <w:bookmarkEnd w:id="1965"/>
    <w:p w14:paraId="0D9725AA">
      <w:pPr>
        <w:pStyle w:val="7"/>
        <w:spacing w:before="0" w:beforeAutospacing="0" w:after="0" w:afterAutospacing="0" w:line="360" w:lineRule="auto"/>
        <w:ind w:firstLine="422" w:firstLineChars="200"/>
        <w:rPr>
          <w:color w:val="auto"/>
          <w:sz w:val="21"/>
          <w:szCs w:val="21"/>
          <w:highlight w:val="none"/>
        </w:rPr>
      </w:pPr>
      <w:bookmarkStart w:id="1968" w:name="_Toc532375662"/>
      <w:bookmarkStart w:id="1969" w:name="_Toc532377399"/>
      <w:r>
        <w:rPr>
          <w:rFonts w:hint="eastAsia"/>
          <w:color w:val="auto"/>
          <w:sz w:val="21"/>
          <w:szCs w:val="21"/>
          <w:highlight w:val="none"/>
        </w:rPr>
        <w:t>15.3 质量保证金</w:t>
      </w:r>
      <w:bookmarkEnd w:id="1968"/>
      <w:bookmarkEnd w:id="1969"/>
    </w:p>
    <w:p w14:paraId="33C945A7">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15.3.1 承包人提供质量保证金的方式</w:t>
      </w:r>
    </w:p>
    <w:p w14:paraId="3CE3708A">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质量保证金采用以下第</w:t>
      </w:r>
      <w:r>
        <w:rPr>
          <w:rFonts w:hint="eastAsia" w:ascii="宋体" w:hAnsi="宋体"/>
          <w:color w:val="auto"/>
          <w:szCs w:val="21"/>
          <w:highlight w:val="none"/>
          <w:u w:val="single"/>
        </w:rPr>
        <w:t xml:space="preserve">    </w:t>
      </w:r>
      <w:r>
        <w:rPr>
          <w:rFonts w:hint="eastAsia" w:ascii="宋体" w:hAnsi="宋体"/>
          <w:color w:val="auto"/>
          <w:szCs w:val="21"/>
          <w:highlight w:val="none"/>
        </w:rPr>
        <w:t>种方式：</w:t>
      </w:r>
    </w:p>
    <w:p w14:paraId="038B69C4">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（1）质量保证金保函</w:t>
      </w:r>
    </w:p>
    <w:p w14:paraId="03520951">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u w:val="single"/>
        </w:rPr>
        <w:t>1）按招标文件载明的格式或发包人认可的格式向发包人提交不可撤销的见索即付银行保函</w:t>
      </w:r>
      <w:r>
        <w:rPr>
          <w:rFonts w:hint="eastAsia" w:ascii="宋体" w:hAnsi="宋体"/>
          <w:color w:val="auto"/>
          <w:szCs w:val="21"/>
          <w:highlight w:val="none"/>
        </w:rPr>
        <w:t>；</w:t>
      </w:r>
    </w:p>
    <w:p w14:paraId="3AAD12C4">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2）出具保函的银行级别：</w:t>
      </w:r>
      <w:r>
        <w:rPr>
          <w:rFonts w:hint="eastAsia" w:ascii="宋体" w:hAnsi="宋体"/>
          <w:color w:val="auto"/>
          <w:szCs w:val="21"/>
          <w:highlight w:val="none"/>
          <w:u w:val="single"/>
        </w:rPr>
        <w:t>地市级及以上国家政策性银行或股份制商业银行的支行或其上级银行</w:t>
      </w:r>
      <w:r>
        <w:rPr>
          <w:rFonts w:hint="eastAsia" w:ascii="宋体" w:hAnsi="宋体"/>
          <w:color w:val="auto"/>
          <w:szCs w:val="21"/>
          <w:highlight w:val="none"/>
        </w:rPr>
        <w:t>；</w:t>
      </w:r>
    </w:p>
    <w:p w14:paraId="604CACDA">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3）保函金额为：</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5F62777B">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4）提交时间：</w:t>
      </w:r>
      <w:r>
        <w:rPr>
          <w:rFonts w:hint="eastAsia" w:ascii="宋体" w:hAnsi="宋体"/>
          <w:color w:val="auto"/>
          <w:szCs w:val="21"/>
          <w:highlight w:val="none"/>
          <w:u w:val="single"/>
        </w:rPr>
        <w:t>工程竣工验收合格后14天内</w:t>
      </w:r>
      <w:r>
        <w:rPr>
          <w:rFonts w:hint="eastAsia" w:ascii="宋体" w:hAnsi="宋体"/>
          <w:color w:val="auto"/>
          <w:szCs w:val="21"/>
          <w:highlight w:val="none"/>
        </w:rPr>
        <w:t>。</w:t>
      </w:r>
    </w:p>
    <w:p w14:paraId="6550EDE4">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u w:val="single"/>
        </w:rPr>
        <w:t>承包人提交质量保证金保函的，发包人应同时退还（若有）扣留的作为质量保证金的工程价款、履约担保、低价风险担保；保函金额不得超过工程价款结算总额的3%</w:t>
      </w:r>
      <w:r>
        <w:rPr>
          <w:rFonts w:hint="eastAsia" w:ascii="宋体" w:hAnsi="宋体"/>
          <w:color w:val="auto"/>
          <w:szCs w:val="21"/>
          <w:highlight w:val="none"/>
        </w:rPr>
        <w:t>。</w:t>
      </w:r>
    </w:p>
    <w:p w14:paraId="4D9ECBEB">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（2）竣工结算价的</w:t>
      </w:r>
      <w:r>
        <w:rPr>
          <w:rFonts w:hint="eastAsia" w:ascii="宋体" w:hAnsi="宋体"/>
          <w:color w:val="auto"/>
          <w:szCs w:val="21"/>
          <w:highlight w:val="none"/>
          <w:u w:val="single"/>
        </w:rPr>
        <w:t xml:space="preserve"> 3% </w:t>
      </w:r>
      <w:r>
        <w:rPr>
          <w:rFonts w:hint="eastAsia" w:ascii="宋体" w:hAnsi="宋体"/>
          <w:color w:val="auto"/>
          <w:szCs w:val="21"/>
          <w:highlight w:val="none"/>
        </w:rPr>
        <w:t>；</w:t>
      </w:r>
    </w:p>
    <w:p w14:paraId="0B89B7D3">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（3）其他方式：</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22A4871B">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15.3.2 质量保证金的扣留</w:t>
      </w:r>
    </w:p>
    <w:p w14:paraId="5FDB10C4">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质量保证金的扣留采取以下第</w:t>
      </w:r>
      <w:r>
        <w:rPr>
          <w:rFonts w:hint="eastAsia" w:ascii="宋体" w:hAnsi="宋体"/>
          <w:color w:val="auto"/>
          <w:szCs w:val="21"/>
          <w:highlight w:val="none"/>
          <w:u w:val="single"/>
        </w:rPr>
        <w:t xml:space="preserve">    </w:t>
      </w:r>
      <w:r>
        <w:rPr>
          <w:rFonts w:hint="eastAsia" w:ascii="宋体" w:hAnsi="宋体"/>
          <w:color w:val="auto"/>
          <w:szCs w:val="21"/>
          <w:highlight w:val="none"/>
        </w:rPr>
        <w:t>种方式：</w:t>
      </w:r>
    </w:p>
    <w:p w14:paraId="2423A510">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（1）在支付工程进度款时逐次扣留，在此情形下，质量保证金的计算基数不包括预付款的支付、扣回以及价格调整的金额；</w:t>
      </w:r>
    </w:p>
    <w:p w14:paraId="156ACEFD">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（2）工程竣工结算时一次性扣留质量保证金；</w:t>
      </w:r>
    </w:p>
    <w:p w14:paraId="3C865208">
      <w:pPr>
        <w:autoSpaceDE w:val="0"/>
        <w:autoSpaceDN w:val="0"/>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rPr>
        <w:t>（3）</w:t>
      </w:r>
      <w:r>
        <w:rPr>
          <w:rFonts w:hint="eastAsia" w:ascii="宋体" w:hAnsi="宋体"/>
          <w:color w:val="auto"/>
          <w:szCs w:val="21"/>
          <w:highlight w:val="none"/>
          <w:u w:val="single"/>
        </w:rPr>
        <w:t xml:space="preserve">其他扣留方式：        </w:t>
      </w:r>
      <w:r>
        <w:rPr>
          <w:rFonts w:hint="eastAsia" w:ascii="宋体" w:hAnsi="宋体"/>
          <w:color w:val="auto"/>
          <w:szCs w:val="21"/>
          <w:highlight w:val="none"/>
        </w:rPr>
        <w:t>。</w:t>
      </w:r>
    </w:p>
    <w:p w14:paraId="15E85C4E">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15.3.3质量保证金的退还</w:t>
      </w:r>
    </w:p>
    <w:p w14:paraId="5E7763CD">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（1）在发包人颁发缺陷责任期终止证书之日起14天内退还。</w:t>
      </w:r>
    </w:p>
    <w:p w14:paraId="79F202BD">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（2）缺陷责任期内，承包人认真履行合同约定的责任，到期后，承包人可向发包人申请返还质量保证金。</w:t>
      </w:r>
    </w:p>
    <w:p w14:paraId="53534F1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（3）质量保证金是否支付利息采取以下</w:t>
      </w:r>
      <w:r>
        <w:rPr>
          <w:rFonts w:hint="eastAsia" w:ascii="宋体" w:hAnsi="宋体"/>
          <w:color w:val="auto"/>
          <w:szCs w:val="21"/>
          <w:highlight w:val="none"/>
          <w:u w:val="single"/>
        </w:rPr>
        <w:t>第②种</w:t>
      </w:r>
      <w:r>
        <w:rPr>
          <w:rFonts w:hint="eastAsia" w:ascii="宋体" w:hAnsi="宋体"/>
          <w:color w:val="auto"/>
          <w:szCs w:val="21"/>
          <w:highlight w:val="none"/>
        </w:rPr>
        <w:t>方式：</w:t>
      </w:r>
    </w:p>
    <w:p w14:paraId="5E379319">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u w:val="single"/>
        </w:rPr>
        <w:t>①按照中国人民银行  年  月公布的5年期贷款市场报价利率支付利息</w:t>
      </w:r>
      <w:r>
        <w:rPr>
          <w:rFonts w:hint="eastAsia" w:ascii="宋体" w:hAnsi="宋体"/>
          <w:color w:val="auto"/>
          <w:szCs w:val="21"/>
          <w:highlight w:val="none"/>
        </w:rPr>
        <w:t>。</w:t>
      </w:r>
    </w:p>
    <w:p w14:paraId="03C9668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u w:val="single"/>
        </w:rPr>
        <w:t>②不采用</w:t>
      </w:r>
      <w:r>
        <w:rPr>
          <w:rFonts w:hint="eastAsia" w:ascii="宋体" w:hAnsi="宋体"/>
          <w:color w:val="auto"/>
          <w:szCs w:val="21"/>
          <w:highlight w:val="none"/>
        </w:rPr>
        <w:t>。</w:t>
      </w:r>
    </w:p>
    <w:p w14:paraId="45081AFF">
      <w:pPr>
        <w:pStyle w:val="7"/>
        <w:spacing w:before="0" w:beforeAutospacing="0" w:after="0" w:afterAutospacing="0" w:line="360" w:lineRule="auto"/>
        <w:ind w:firstLine="422" w:firstLineChars="200"/>
        <w:rPr>
          <w:color w:val="auto"/>
          <w:sz w:val="21"/>
          <w:szCs w:val="21"/>
          <w:highlight w:val="none"/>
        </w:rPr>
      </w:pPr>
      <w:bookmarkStart w:id="1970" w:name="_Toc532377400"/>
      <w:bookmarkStart w:id="1971" w:name="_Toc532375663"/>
      <w:r>
        <w:rPr>
          <w:rFonts w:hint="eastAsia"/>
          <w:color w:val="auto"/>
          <w:sz w:val="21"/>
          <w:szCs w:val="21"/>
          <w:highlight w:val="none"/>
        </w:rPr>
        <w:t>15.4 保修</w:t>
      </w:r>
      <w:bookmarkEnd w:id="1970"/>
      <w:bookmarkEnd w:id="1971"/>
    </w:p>
    <w:p w14:paraId="67F06E3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15.4.1 保修责任</w:t>
      </w:r>
    </w:p>
    <w:p w14:paraId="12C0164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工程保修期为：</w:t>
      </w:r>
      <w:bookmarkStart w:id="1972" w:name="_Hlk524381274"/>
      <w:r>
        <w:rPr>
          <w:rFonts w:hint="eastAsia" w:ascii="宋体" w:hAnsi="宋体"/>
          <w:color w:val="auto"/>
          <w:szCs w:val="21"/>
          <w:highlight w:val="none"/>
        </w:rPr>
        <w:t>按照附件1《工程质量保修书》的规定执行。</w:t>
      </w:r>
      <w:bookmarkEnd w:id="1972"/>
    </w:p>
    <w:p w14:paraId="3C5CD4FC">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15.4.3 修复通知</w:t>
      </w:r>
    </w:p>
    <w:p w14:paraId="738D5D52">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承包人收到保修通知并到达工程现场的合理时间：</w:t>
      </w:r>
      <w:r>
        <w:rPr>
          <w:rFonts w:hint="eastAsia" w:ascii="宋体" w:hAnsi="宋体"/>
          <w:color w:val="auto"/>
          <w:szCs w:val="21"/>
          <w:highlight w:val="none"/>
          <w:u w:val="single"/>
        </w:rPr>
        <w:t xml:space="preserve">  小时内，最长不能超过  小时</w:t>
      </w:r>
      <w:r>
        <w:rPr>
          <w:rFonts w:hint="eastAsia" w:ascii="宋体" w:hAnsi="宋体"/>
          <w:color w:val="auto"/>
          <w:szCs w:val="21"/>
          <w:highlight w:val="none"/>
        </w:rPr>
        <w:t>。</w:t>
      </w:r>
    </w:p>
    <w:p w14:paraId="3B33FBE9">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973" w:name="_Toc532375664"/>
      <w:bookmarkStart w:id="1974" w:name="_Toc532377401"/>
      <w:bookmarkStart w:id="1975" w:name="_Toc351203648"/>
      <w:r>
        <w:rPr>
          <w:rFonts w:hint="eastAsia"/>
          <w:color w:val="auto"/>
          <w:kern w:val="2"/>
          <w:sz w:val="21"/>
          <w:szCs w:val="21"/>
          <w:highlight w:val="none"/>
        </w:rPr>
        <w:t>16. 违约</w:t>
      </w:r>
      <w:bookmarkEnd w:id="1973"/>
      <w:bookmarkEnd w:id="1974"/>
      <w:bookmarkEnd w:id="1975"/>
    </w:p>
    <w:p w14:paraId="44E3BBBD">
      <w:pPr>
        <w:pStyle w:val="7"/>
        <w:spacing w:before="0" w:beforeAutospacing="0" w:after="0" w:afterAutospacing="0" w:line="360" w:lineRule="auto"/>
        <w:ind w:firstLine="422" w:firstLineChars="200"/>
        <w:rPr>
          <w:color w:val="auto"/>
          <w:sz w:val="21"/>
          <w:szCs w:val="21"/>
          <w:highlight w:val="none"/>
        </w:rPr>
      </w:pPr>
      <w:bookmarkStart w:id="1976" w:name="_Toc532377402"/>
      <w:r>
        <w:rPr>
          <w:rFonts w:hint="eastAsia"/>
          <w:color w:val="auto"/>
          <w:sz w:val="21"/>
          <w:szCs w:val="21"/>
          <w:highlight w:val="none"/>
        </w:rPr>
        <w:t>16.1 发包人违约</w:t>
      </w:r>
      <w:bookmarkEnd w:id="1976"/>
    </w:p>
    <w:p w14:paraId="1CBC559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16.1.1 发包人违约的情形</w:t>
      </w:r>
    </w:p>
    <w:p w14:paraId="6A89564D">
      <w:pPr>
        <w:spacing w:line="360" w:lineRule="auto"/>
        <w:ind w:firstLine="420" w:firstLineChars="200"/>
        <w:rPr>
          <w:rFonts w:ascii="宋体" w:hAnsi="宋体"/>
          <w:color w:val="auto"/>
          <w:szCs w:val="21"/>
          <w:highlight w:val="none"/>
        </w:rPr>
      </w:pPr>
      <w:r>
        <w:rPr>
          <w:rFonts w:hint="eastAsia" w:ascii="宋体" w:hAnsi="宋体" w:cs="Microsoft Sans Serif"/>
          <w:color w:val="auto"/>
          <w:kern w:val="0"/>
          <w:szCs w:val="21"/>
          <w:highlight w:val="none"/>
        </w:rPr>
        <w:t>除通用合同条款约定外，发包人违约的其他情形：</w:t>
      </w:r>
    </w:p>
    <w:p w14:paraId="31204C96">
      <w:pPr>
        <w:spacing w:line="360" w:lineRule="auto"/>
        <w:ind w:firstLine="420" w:firstLineChars="200"/>
        <w:rPr>
          <w:rFonts w:ascii="宋体" w:hAnsi="宋体"/>
          <w:color w:val="auto"/>
          <w:szCs w:val="21"/>
          <w:highlight w:val="none"/>
        </w:rPr>
      </w:pPr>
      <w:r>
        <w:rPr>
          <w:rFonts w:hint="eastAsia" w:ascii="宋体" w:hAnsi="宋体" w:cs="Microsoft Sans Serif"/>
          <w:color w:val="auto"/>
          <w:kern w:val="0"/>
          <w:szCs w:val="21"/>
          <w:highlight w:val="none"/>
        </w:rPr>
        <w:t>（1）根据专用合同条款7.5.1项因发包人原因导致工期延误的；</w:t>
      </w:r>
    </w:p>
    <w:p w14:paraId="5B89C076">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（2）因发包人原因未能及时办理完毕合同约定的许可、批准或备案的；</w:t>
      </w:r>
    </w:p>
    <w:p w14:paraId="3B75F2FF">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（3）因监理人未能按合同约定发出指示、指示延误或发出了错误指示而导致承包人费用增加和（或）工期延误的；</w:t>
      </w:r>
    </w:p>
    <w:p w14:paraId="57140350">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（4）根据5.3.3发包人或监理人要求重新检查的，经检查证明工程质量符合合同要求的，并由此产生增加的费用和（或）延误的工期的；</w:t>
      </w:r>
    </w:p>
    <w:p w14:paraId="19F3502F">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（5）因发包人原因造成工程质量未达到合同约定标准的；</w:t>
      </w:r>
    </w:p>
    <w:p w14:paraId="333046B7">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（6）由于发包人原因对承包人造成的人员人身伤亡和财产损失的；</w:t>
      </w:r>
    </w:p>
    <w:p w14:paraId="785EFE43">
      <w:pPr>
        <w:pStyle w:val="107"/>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（7）因发包人原因导致工程无法按期办理竣工验收或竣工结算的；</w:t>
      </w:r>
    </w:p>
    <w:p w14:paraId="622603B6">
      <w:pPr>
        <w:pStyle w:val="107"/>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（8）发包人无正当理由未按约定退还履约担保、低价风险担保、预付款担保或质量保证金的；</w:t>
      </w:r>
    </w:p>
    <w:p w14:paraId="254313D4">
      <w:pPr>
        <w:pStyle w:val="107"/>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（9）发包人不当提取履约担保、低价风险担保或质量保证金的；</w:t>
      </w:r>
    </w:p>
    <w:p w14:paraId="2BC73223">
      <w:pPr>
        <w:pStyle w:val="107"/>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（10）发包人未按合同约定接收全部或部分工作的；</w:t>
      </w:r>
    </w:p>
    <w:p w14:paraId="20130019">
      <w:pPr>
        <w:pStyle w:val="107"/>
        <w:spacing w:line="360" w:lineRule="auto"/>
        <w:jc w:val="left"/>
        <w:rPr>
          <w:rFonts w:ascii="宋体" w:hAnsi="宋体" w:cs="Microsoft Sans Serif"/>
          <w:color w:val="auto"/>
          <w:kern w:val="0"/>
          <w:sz w:val="21"/>
          <w:szCs w:val="21"/>
          <w:highlight w:val="none"/>
          <w:u w:val="single"/>
        </w:rPr>
      </w:pPr>
      <w:r>
        <w:rPr>
          <w:rFonts w:hint="eastAsia" w:ascii="宋体" w:hAnsi="宋体" w:cs="Microsoft Sans Serif"/>
          <w:color w:val="auto"/>
          <w:kern w:val="0"/>
          <w:sz w:val="21"/>
          <w:szCs w:val="21"/>
          <w:highlight w:val="none"/>
        </w:rPr>
        <w:t>（11）发包人未按合同约定办理保险的；</w:t>
      </w:r>
    </w:p>
    <w:p w14:paraId="69AB795A">
      <w:pPr>
        <w:snapToGrid w:val="0"/>
        <w:spacing w:line="360" w:lineRule="auto"/>
        <w:ind w:firstLine="420" w:firstLineChars="200"/>
        <w:jc w:val="left"/>
        <w:rPr>
          <w:rFonts w:ascii="宋体" w:hAnsi="宋体" w:cs="Microsoft Sans Serif"/>
          <w:color w:val="auto"/>
          <w:kern w:val="0"/>
          <w:szCs w:val="21"/>
          <w:highlight w:val="none"/>
          <w:u w:val="single"/>
        </w:rPr>
      </w:pPr>
      <w:r>
        <w:rPr>
          <w:rFonts w:hint="eastAsia" w:ascii="宋体" w:hAnsi="宋体" w:cs="Microsoft Sans Serif"/>
          <w:color w:val="auto"/>
          <w:kern w:val="0"/>
          <w:szCs w:val="21"/>
          <w:highlight w:val="none"/>
          <w:u w:val="single"/>
        </w:rPr>
        <w:t xml:space="preserve">（12）其他：        </w:t>
      </w:r>
      <w:r>
        <w:rPr>
          <w:rFonts w:hint="eastAsia" w:ascii="宋体" w:hAnsi="宋体" w:cs="Microsoft Sans Serif"/>
          <w:color w:val="auto"/>
          <w:kern w:val="0"/>
          <w:szCs w:val="21"/>
          <w:highlight w:val="none"/>
        </w:rPr>
        <w:t>。</w:t>
      </w:r>
    </w:p>
    <w:p w14:paraId="58CBF40C">
      <w:pPr>
        <w:pStyle w:val="107"/>
        <w:spacing w:line="360" w:lineRule="auto"/>
        <w:rPr>
          <w:rFonts w:ascii="宋体" w:hAnsi="宋体"/>
          <w:color w:val="auto"/>
          <w:sz w:val="21"/>
          <w:szCs w:val="21"/>
          <w:highlight w:val="none"/>
        </w:rPr>
      </w:pPr>
      <w:r>
        <w:rPr>
          <w:rFonts w:hint="eastAsia" w:ascii="宋体" w:hAnsi="宋体"/>
          <w:color w:val="auto"/>
          <w:sz w:val="21"/>
          <w:szCs w:val="21"/>
          <w:highlight w:val="none"/>
        </w:rPr>
        <w:t>16.1.2发包人违约的责任</w:t>
      </w:r>
    </w:p>
    <w:p w14:paraId="1728E8EC">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（1）因发包人原因未能及时办理完毕前述许可、批准或备案的违约责任：由发包人承担由此增加的费用和（或）顺延工期，并支付合理利润，具体索赔程序按照第19条〔索赔〕约定执行。</w:t>
      </w:r>
    </w:p>
    <w:p w14:paraId="72997CF7">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因监理人未能按合同约定发出指示、指示延误或发出了错误指示而导致承包人费用增加和（或）工期延误的，由发包人承担由此增加的费用和（或）顺延工期，并支付合理利润，具体索赔程序按照第19条〔索赔〕约定执行。</w:t>
      </w:r>
    </w:p>
    <w:p w14:paraId="6D3B601C">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（3）因发包人原因导致工期延误的违约责任：由发包人承担由此增加的费用和（或）顺延工期，并支付合理利润，具体索赔程序按照第19条〔索赔〕约定执行。</w:t>
      </w:r>
    </w:p>
    <w:p w14:paraId="0080DA0D">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（4）因发包人原因未能在计划开工日期前7天内下达开工通知的违约责任：由发包人承担由此增加的费用和（或）顺延工期，并支付合理利润，具体索赔程序按照第19条〔索赔〕约定执行。</w:t>
      </w:r>
    </w:p>
    <w:p w14:paraId="19A79746">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（5）根据5.3.3项发包人或监理人要求重新检查的，经检查证明工程质量符合合同要求的，由发包人承担由此增加的费用和（或）顺延工期，并支付合理利润，具体索赔程序按照第19条〔索赔〕约定执行。</w:t>
      </w:r>
    </w:p>
    <w:p w14:paraId="4FE25352">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（6）因发包人原因未按合同约定支付合同价款的违约责任：发包人应向承包人支付违约金，自应当支付之日起28天后开始计算违约金，计算公式：</w:t>
      </w:r>
      <w:r>
        <w:rPr>
          <w:rFonts w:hint="eastAsia" w:ascii="宋体" w:hAnsi="宋体" w:cs="Microsoft Sans Serif"/>
          <w:color w:val="auto"/>
          <w:kern w:val="0"/>
          <w:szCs w:val="21"/>
          <w:highlight w:val="none"/>
          <w:u w:val="single"/>
        </w:rPr>
        <w:t>违约金=应付未付金额×中国人民银行  年  月公布的5年期贷款市场报价利率/360天×逾期天数</w:t>
      </w:r>
      <w:r>
        <w:rPr>
          <w:rFonts w:hint="eastAsia" w:ascii="宋体" w:hAnsi="宋体"/>
          <w:color w:val="auto"/>
          <w:szCs w:val="21"/>
          <w:highlight w:val="none"/>
          <w:u w:val="single"/>
        </w:rPr>
        <w:t>（自第29天起计算）</w:t>
      </w:r>
      <w:r>
        <w:rPr>
          <w:rFonts w:hint="eastAsia" w:ascii="宋体" w:hAnsi="宋体" w:cs="Microsoft Sans Serif"/>
          <w:color w:val="auto"/>
          <w:kern w:val="0"/>
          <w:szCs w:val="21"/>
          <w:highlight w:val="none"/>
          <w:u w:val="single"/>
        </w:rPr>
        <w:t>；逾期天数超过56天的，超过部分天数按上述利率的两倍计算并支付违约金</w:t>
      </w:r>
      <w:r>
        <w:rPr>
          <w:rFonts w:hint="eastAsia" w:ascii="宋体" w:hAnsi="宋体" w:cs="Microsoft Sans Serif"/>
          <w:color w:val="auto"/>
          <w:kern w:val="0"/>
          <w:szCs w:val="21"/>
          <w:highlight w:val="none"/>
        </w:rPr>
        <w:t>。</w:t>
      </w:r>
    </w:p>
    <w:p w14:paraId="433BCC34">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（7）发包人违反合同约定，自行实施或转由他人实施被取消的合同工作内容的违约责任：由发包人承担由此给承包人造成的实际损失并支付合理利润。</w:t>
      </w:r>
    </w:p>
    <w:p w14:paraId="62C2E274">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8）发包人提供的基准资料错误并导致承包人测量放线工作返工或造成工程损失的，以及发包人提供的材料、工程设备的规格、数量或质量不符合合同约定，或因发包人原因导致交货日期延误或交货地点变更等情况的违约责任：由发包人承担由此增加的费用和（或）顺延工期，并支付合理利润，具体索赔程序按照第19条〔索赔〕约定执行。</w:t>
      </w:r>
    </w:p>
    <w:p w14:paraId="43D5F4B2">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（9）因发包人原因造成工程质量未达到合同约定标准的，由发包人承担由此增加的费用和（或）延误的工期，并支付合理利润。</w:t>
      </w:r>
    </w:p>
    <w:p w14:paraId="693630FB">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（10）因发包人违反合同约定造成暂停施工的违约责任：由发包人承担由此增加的费用和（或）顺延工期，并支付合理利润，具体索赔程序按照第19条〔索赔〕约定执行。</w:t>
      </w:r>
    </w:p>
    <w:p w14:paraId="44DC2E66">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（11）发包人无正当理由没有在约定期限内发出复工指示，导致承包人无法复工的违约责任：由发包人承担由此增加的费用和（或）顺延工期，并支付合理利润，具体索赔程序按照第19条〔索赔〕约定执行。</w:t>
      </w:r>
    </w:p>
    <w:p w14:paraId="3D30510C">
      <w:pPr>
        <w:spacing w:line="360" w:lineRule="auto"/>
        <w:ind w:firstLine="420" w:firstLineChars="200"/>
        <w:jc w:val="left"/>
        <w:rPr>
          <w:rFonts w:ascii="宋体" w:hAnsi="宋体" w:cs="Microsoft Sans Serif"/>
          <w:color w:val="auto"/>
          <w:kern w:val="0"/>
          <w:szCs w:val="21"/>
          <w:highlight w:val="none"/>
          <w:u w:val="single"/>
        </w:rPr>
      </w:pPr>
      <w:r>
        <w:rPr>
          <w:rFonts w:hint="eastAsia" w:ascii="宋体" w:hAnsi="宋体" w:cs="Microsoft Sans Serif"/>
          <w:color w:val="auto"/>
          <w:kern w:val="0"/>
          <w:szCs w:val="21"/>
          <w:highlight w:val="none"/>
        </w:rPr>
        <w:t>（12）因发包人原因导致工程无法按期办理竣工验收或竣工结算的违约责任：由发包人承担由此增加的费用和（或）顺延工期，并支付合理利润，具体索赔程序按照第19条〔索赔〕约定执行。</w:t>
      </w:r>
    </w:p>
    <w:p w14:paraId="0F1EDAF7">
      <w:pPr>
        <w:spacing w:line="360" w:lineRule="auto"/>
        <w:ind w:firstLine="420" w:firstLineChars="200"/>
        <w:jc w:val="left"/>
        <w:rPr>
          <w:rFonts w:ascii="宋体" w:hAnsi="宋体" w:cs="Microsoft Sans Serif"/>
          <w:color w:val="auto"/>
          <w:kern w:val="0"/>
          <w:szCs w:val="21"/>
          <w:highlight w:val="none"/>
          <w:u w:val="single"/>
        </w:rPr>
      </w:pPr>
      <w:r>
        <w:rPr>
          <w:rFonts w:hint="eastAsia" w:ascii="宋体" w:hAnsi="宋体"/>
          <w:color w:val="auto"/>
          <w:szCs w:val="21"/>
          <w:highlight w:val="none"/>
        </w:rPr>
        <w:t>（13）</w:t>
      </w:r>
      <w:r>
        <w:rPr>
          <w:rFonts w:hint="eastAsia" w:ascii="宋体" w:hAnsi="宋体" w:cs="Microsoft Sans Serif"/>
          <w:color w:val="auto"/>
          <w:kern w:val="0"/>
          <w:szCs w:val="21"/>
          <w:highlight w:val="none"/>
        </w:rPr>
        <w:t>发包人无正当理由未按约定退还履约担保、低价风险担保、预付款担保或质量保证金的违约责任：发包人应向承包人支付违约金，自应当退还之日起28天后开始计算违约金，</w:t>
      </w:r>
      <w:r>
        <w:rPr>
          <w:rFonts w:hint="eastAsia" w:ascii="宋体" w:hAnsi="宋体" w:cs="Microsoft Sans Serif"/>
          <w:color w:val="auto"/>
          <w:kern w:val="0"/>
          <w:szCs w:val="21"/>
          <w:highlight w:val="none"/>
          <w:u w:val="single"/>
        </w:rPr>
        <w:t>计算公式：违约金=应退未退担保金额×中国人民银行  年  月公布的5年期贷款市场报价利率/360天×逾期天数</w:t>
      </w:r>
      <w:r>
        <w:rPr>
          <w:rFonts w:hint="eastAsia" w:ascii="宋体" w:hAnsi="宋体"/>
          <w:color w:val="auto"/>
          <w:szCs w:val="21"/>
          <w:highlight w:val="none"/>
          <w:u w:val="single"/>
        </w:rPr>
        <w:t>（自第29天起计算）</w:t>
      </w:r>
      <w:r>
        <w:rPr>
          <w:rFonts w:hint="eastAsia" w:ascii="宋体" w:hAnsi="宋体" w:cs="Microsoft Sans Serif"/>
          <w:color w:val="auto"/>
          <w:kern w:val="0"/>
          <w:szCs w:val="21"/>
          <w:highlight w:val="none"/>
        </w:rPr>
        <w:t>。</w:t>
      </w:r>
    </w:p>
    <w:p w14:paraId="7AC13B8C">
      <w:pPr>
        <w:pStyle w:val="2"/>
        <w:spacing w:after="0" w:line="360" w:lineRule="auto"/>
        <w:ind w:firstLine="420" w:firstLineChars="200"/>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（14）</w:t>
      </w:r>
      <w:r>
        <w:rPr>
          <w:rFonts w:hint="eastAsia" w:ascii="宋体" w:hAnsi="宋体"/>
          <w:color w:val="auto"/>
          <w:szCs w:val="21"/>
          <w:highlight w:val="none"/>
        </w:rPr>
        <w:t>发包人不当提取履约担保、低价风险担保、预付款担保或质量保证金的，应及时予以退还，若不当提取超过28天的，应承担违约责任：发包人应向承包人支付违约金，</w:t>
      </w:r>
      <w:r>
        <w:rPr>
          <w:rFonts w:hint="eastAsia" w:ascii="宋体" w:hAnsi="宋体"/>
          <w:color w:val="auto"/>
          <w:szCs w:val="21"/>
          <w:highlight w:val="none"/>
          <w:u w:val="single"/>
        </w:rPr>
        <w:t>计算公式：违约金=不当提取的担保金额×中国人民银行  年  月公布的5年期贷款市场报价利率/360天×逾期天数（自第29天起计算）</w:t>
      </w:r>
      <w:r>
        <w:rPr>
          <w:rFonts w:hint="eastAsia" w:ascii="宋体" w:hAnsi="宋体"/>
          <w:color w:val="auto"/>
          <w:szCs w:val="21"/>
          <w:highlight w:val="none"/>
        </w:rPr>
        <w:t>。</w:t>
      </w:r>
    </w:p>
    <w:p w14:paraId="54A16E51">
      <w:pPr>
        <w:pStyle w:val="2"/>
        <w:spacing w:after="0" w:line="360" w:lineRule="auto"/>
        <w:ind w:firstLine="420" w:firstLineChars="200"/>
        <w:rPr>
          <w:rFonts w:ascii="宋体" w:hAnsi="宋体"/>
          <w:color w:val="auto"/>
          <w:szCs w:val="21"/>
          <w:highlight w:val="none"/>
        </w:rPr>
      </w:pPr>
      <w:r>
        <w:rPr>
          <w:rFonts w:hint="eastAsia" w:ascii="宋体" w:hAnsi="宋体" w:cs="Microsoft Sans Serif"/>
          <w:color w:val="auto"/>
          <w:kern w:val="0"/>
          <w:szCs w:val="21"/>
          <w:highlight w:val="none"/>
        </w:rPr>
        <w:t>（15）发包人未按合同约定接收全部或部分工作的违约责任：由发包人承担自应当接收工程之日起的工程照管、成品保护、保管等与工程有关的各项费用。</w:t>
      </w:r>
    </w:p>
    <w:p w14:paraId="005E8A40">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（16）由于发包人原因对承包人造成的人员人身伤亡和财产损失的，由发包人负责赔偿，并承担由此增加的费用和（或）延误的工期，并支付合理利润。</w:t>
      </w:r>
    </w:p>
    <w:p w14:paraId="6AF915AB">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（17）发包人未按合同约定办理保险的违约责任：除按18.6.1项约定执行外，每延迟1天，按</w:t>
      </w:r>
      <w:r>
        <w:rPr>
          <w:rFonts w:hint="eastAsia" w:ascii="宋体" w:hAnsi="宋体" w:cs="Microsoft Sans Serif"/>
          <w:color w:val="auto"/>
          <w:kern w:val="0"/>
          <w:szCs w:val="21"/>
          <w:highlight w:val="none"/>
          <w:u w:val="single"/>
        </w:rPr>
        <w:t>500元/天</w:t>
      </w:r>
      <w:r>
        <w:rPr>
          <w:rFonts w:hint="eastAsia" w:ascii="宋体" w:hAnsi="宋体" w:cs="Microsoft Sans Serif"/>
          <w:color w:val="auto"/>
          <w:kern w:val="0"/>
          <w:szCs w:val="21"/>
          <w:highlight w:val="none"/>
        </w:rPr>
        <w:t>支付违约金。</w:t>
      </w:r>
    </w:p>
    <w:p w14:paraId="653D84C4">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（18）其他：</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rPr>
        <w:t>。</w:t>
      </w:r>
    </w:p>
    <w:p w14:paraId="3F01E9A4">
      <w:pPr>
        <w:autoSpaceDE w:val="0"/>
        <w:autoSpaceDN w:val="0"/>
        <w:adjustRightIn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发包人发生除通用条款第16.1.1项第（7）目以外的违约情况时，承包人可向发包人发出通知，要求发包人采取有效措施纠正违约行为。发包人收到承包人通知后的28天内仍不履行合同义务，承包人有权暂停施工，并通知监理人。</w:t>
      </w:r>
    </w:p>
    <w:p w14:paraId="6E8F823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16.1.3 因发包人违约解除合同</w:t>
      </w:r>
    </w:p>
    <w:p w14:paraId="462AC650">
      <w:pPr>
        <w:autoSpaceDE w:val="0"/>
        <w:autoSpaceDN w:val="0"/>
        <w:adjustRightIn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因发包人违约并致使合同目的不能实现的，承包人有权解除合同：</w:t>
      </w:r>
    </w:p>
    <w:p w14:paraId="58B6E727">
      <w:pPr>
        <w:autoSpaceDE w:val="0"/>
        <w:autoSpaceDN w:val="0"/>
        <w:adjustRightIn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（1）因发包人原因延迟支付合同价款超过180天的；</w:t>
      </w:r>
    </w:p>
    <w:p w14:paraId="0DC7276B">
      <w:pPr>
        <w:autoSpaceDE w:val="0"/>
        <w:autoSpaceDN w:val="0"/>
        <w:adjustRightIn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（2）因发包人原因导致工期延误超过90天的；</w:t>
      </w:r>
    </w:p>
    <w:p w14:paraId="0667DA71">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（3）因发包人第16.1.2（5）违约情形导致暂停施工满56天，且发包人仍未纠正其违约行为的；</w:t>
      </w:r>
    </w:p>
    <w:p w14:paraId="593DF98B">
      <w:pPr>
        <w:snapToGrid w:val="0"/>
        <w:spacing w:line="360" w:lineRule="auto"/>
        <w:ind w:firstLine="420" w:firstLineChars="200"/>
        <w:jc w:val="left"/>
        <w:rPr>
          <w:rFonts w:hint="eastAsia" w:ascii="宋体" w:hAnsi="宋体" w:cs="Microsoft Sans Serif"/>
          <w:color w:val="auto"/>
          <w:kern w:val="0"/>
          <w:szCs w:val="21"/>
          <w:highlight w:val="none"/>
        </w:rPr>
      </w:pPr>
      <w:r>
        <w:rPr>
          <w:rFonts w:hint="eastAsia" w:ascii="宋体" w:hAnsi="宋体" w:cs="Microsoft Sans Serif"/>
          <w:color w:val="auto"/>
          <w:kern w:val="0"/>
          <w:szCs w:val="21"/>
          <w:highlight w:val="none"/>
        </w:rPr>
        <w:t>（4）其他未履行合同项下的义务构成对合同的实质性违约，并且在收到承包人要求说明其违约并予以补救的通知后56天内仍未补救该实质性违约的；</w:t>
      </w:r>
    </w:p>
    <w:p w14:paraId="261FF17E">
      <w:pPr>
        <w:snapToGrid w:val="0"/>
        <w:spacing w:line="360" w:lineRule="auto"/>
        <w:ind w:firstLine="420" w:firstLineChars="200"/>
        <w:jc w:val="left"/>
        <w:rPr>
          <w:rFonts w:hint="eastAsia" w:ascii="宋体" w:hAnsi="宋体" w:cs="Microsoft Sans Serif"/>
          <w:color w:val="auto"/>
          <w:kern w:val="0"/>
          <w:szCs w:val="21"/>
          <w:highlight w:val="none"/>
        </w:rPr>
      </w:pPr>
      <w:r>
        <w:rPr>
          <w:rFonts w:hint="eastAsia" w:ascii="宋体" w:hAnsi="宋体" w:cs="Microsoft Sans Serif"/>
          <w:color w:val="auto"/>
          <w:kern w:val="0"/>
          <w:szCs w:val="21"/>
          <w:highlight w:val="none"/>
        </w:rPr>
        <w:t>（5）</w:t>
      </w:r>
      <w:r>
        <w:rPr>
          <w:rFonts w:hint="eastAsia" w:ascii="宋体" w:hAnsi="宋体" w:cs="Microsoft Sans Serif"/>
          <w:color w:val="auto"/>
          <w:kern w:val="0"/>
          <w:szCs w:val="21"/>
          <w:highlight w:val="none"/>
          <w:u w:val="single"/>
        </w:rPr>
        <w:t>合同约定的承包人有权解除合同的其他情形</w:t>
      </w:r>
      <w:r>
        <w:rPr>
          <w:rFonts w:hint="eastAsia" w:ascii="宋体" w:hAnsi="宋体" w:cs="Microsoft Sans Serif"/>
          <w:color w:val="auto"/>
          <w:kern w:val="0"/>
          <w:szCs w:val="21"/>
          <w:highlight w:val="none"/>
        </w:rPr>
        <w:t>。</w:t>
      </w:r>
    </w:p>
    <w:p w14:paraId="04539D9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16.1.4 因发包人违约解除合同后的付款</w:t>
      </w:r>
    </w:p>
    <w:p w14:paraId="04089844">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承包人按照本款约定解除合同的，发包人应在解除合同后28天内支付下列款项，并解除履约担保、低价风险担保、预付款担保：</w:t>
      </w:r>
    </w:p>
    <w:p w14:paraId="4454B98F">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（1）合同解除前所完成工作的价款；</w:t>
      </w:r>
    </w:p>
    <w:p w14:paraId="59A6D95A">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（2）承包人为工程施工订购并已付款的材料、工程设备和其他物品的价款；</w:t>
      </w:r>
    </w:p>
    <w:p w14:paraId="1112400A">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（3）承包人撤离施工现场以及遣散承包人人员的款项；</w:t>
      </w:r>
    </w:p>
    <w:p w14:paraId="43515F94">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（4）按照合同约定在合同解除前应支付的违约金；</w:t>
      </w:r>
    </w:p>
    <w:p w14:paraId="3B6ECED9">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（5）按照合同约定应当支付给承包人的其他款项；</w:t>
      </w:r>
    </w:p>
    <w:p w14:paraId="4C700820">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（6）按照合同约定应退还的质量保证金；</w:t>
      </w:r>
    </w:p>
    <w:p w14:paraId="52B2283E">
      <w:pPr>
        <w:snapToGrid w:val="0"/>
        <w:spacing w:line="360" w:lineRule="auto"/>
        <w:ind w:firstLine="420" w:firstLineChars="200"/>
        <w:jc w:val="left"/>
        <w:rPr>
          <w:rFonts w:hint="eastAsia" w:ascii="宋体" w:hAnsi="宋体" w:cs="Microsoft Sans Serif"/>
          <w:color w:val="auto"/>
          <w:kern w:val="0"/>
          <w:szCs w:val="21"/>
          <w:highlight w:val="none"/>
        </w:rPr>
      </w:pPr>
      <w:r>
        <w:rPr>
          <w:rFonts w:hint="eastAsia" w:ascii="宋体" w:hAnsi="宋体" w:cs="Microsoft Sans Serif"/>
          <w:color w:val="auto"/>
          <w:kern w:val="0"/>
          <w:szCs w:val="21"/>
          <w:highlight w:val="none"/>
        </w:rPr>
        <w:t>（7）因解除合同给承包人造成的损失；</w:t>
      </w:r>
    </w:p>
    <w:p w14:paraId="7577BEB4">
      <w:pPr>
        <w:snapToGrid w:val="0"/>
        <w:spacing w:line="360" w:lineRule="auto"/>
        <w:ind w:firstLine="420" w:firstLineChars="200"/>
        <w:jc w:val="left"/>
        <w:rPr>
          <w:rFonts w:hint="eastAsia" w:ascii="宋体" w:hAnsi="宋体" w:cs="Microsoft Sans Serif"/>
          <w:color w:val="auto"/>
          <w:kern w:val="0"/>
          <w:szCs w:val="21"/>
          <w:highlight w:val="none"/>
        </w:rPr>
      </w:pPr>
      <w:r>
        <w:rPr>
          <w:rFonts w:hint="eastAsia" w:ascii="宋体" w:hAnsi="宋体" w:cs="Microsoft Sans Serif"/>
          <w:color w:val="auto"/>
          <w:kern w:val="0"/>
          <w:szCs w:val="21"/>
          <w:highlight w:val="none"/>
        </w:rPr>
        <w:t>（8）</w:t>
      </w:r>
      <w:r>
        <w:rPr>
          <w:rFonts w:hint="eastAsia" w:ascii="宋体" w:hAnsi="宋体" w:cs="Microsoft Sans Serif"/>
          <w:color w:val="auto"/>
          <w:kern w:val="0"/>
          <w:szCs w:val="21"/>
          <w:highlight w:val="none"/>
          <w:u w:val="single"/>
        </w:rPr>
        <w:t xml:space="preserve">        。</w:t>
      </w:r>
    </w:p>
    <w:p w14:paraId="0B82FA88">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合同当事人未能就解除合同后的结清达成一致的，按照第20条〔争议解决〕的约定处理。</w:t>
      </w:r>
    </w:p>
    <w:p w14:paraId="77CE257F">
      <w:pPr>
        <w:snapToGrid w:val="0"/>
        <w:spacing w:line="360" w:lineRule="auto"/>
        <w:ind w:firstLine="420" w:firstLineChars="200"/>
        <w:jc w:val="left"/>
        <w:rPr>
          <w:rFonts w:ascii="宋体" w:hAnsi="宋体" w:cs="Microsoft Sans Serif"/>
          <w:color w:val="auto"/>
          <w:kern w:val="0"/>
          <w:szCs w:val="21"/>
          <w:highlight w:val="none"/>
          <w:u w:val="single"/>
        </w:rPr>
      </w:pPr>
      <w:r>
        <w:rPr>
          <w:rFonts w:hint="eastAsia" w:ascii="宋体" w:hAnsi="宋体" w:cs="Microsoft Sans Serif"/>
          <w:color w:val="auto"/>
          <w:kern w:val="0"/>
          <w:szCs w:val="21"/>
          <w:highlight w:val="none"/>
        </w:rPr>
        <w:t>承包人应妥善做好已完工程和与工程有关的已购材料、工程设备的保护和移交工作，并将施工设备和人员撤出施工现场，发包人应为承包人撤出提供必要条件。</w:t>
      </w:r>
    </w:p>
    <w:p w14:paraId="27A52A5F">
      <w:pPr>
        <w:pStyle w:val="7"/>
        <w:spacing w:before="0" w:beforeAutospacing="0" w:after="0" w:afterAutospacing="0" w:line="360" w:lineRule="auto"/>
        <w:ind w:firstLine="422" w:firstLineChars="200"/>
        <w:rPr>
          <w:color w:val="auto"/>
          <w:sz w:val="21"/>
          <w:szCs w:val="21"/>
          <w:highlight w:val="none"/>
        </w:rPr>
      </w:pPr>
      <w:bookmarkStart w:id="1977" w:name="_Toc532377403"/>
      <w:r>
        <w:rPr>
          <w:rFonts w:hint="eastAsia"/>
          <w:color w:val="auto"/>
          <w:sz w:val="21"/>
          <w:szCs w:val="21"/>
          <w:highlight w:val="none"/>
        </w:rPr>
        <w:t>16.2 承包人违约</w:t>
      </w:r>
      <w:bookmarkEnd w:id="1977"/>
    </w:p>
    <w:p w14:paraId="243BA595">
      <w:pPr>
        <w:snapToGrid w:val="0"/>
        <w:spacing w:line="360" w:lineRule="auto"/>
        <w:ind w:firstLine="420" w:firstLineChars="200"/>
        <w:jc w:val="left"/>
        <w:rPr>
          <w:rFonts w:ascii="宋体" w:hAnsi="宋体" w:cs="Microsoft Sans Serif"/>
          <w:color w:val="auto"/>
          <w:kern w:val="0"/>
          <w:szCs w:val="21"/>
          <w:highlight w:val="none"/>
        </w:rPr>
      </w:pPr>
      <w:bookmarkStart w:id="1978" w:name="_Hlk524380579"/>
      <w:r>
        <w:rPr>
          <w:rFonts w:hint="eastAsia" w:ascii="宋体" w:hAnsi="宋体" w:cs="Microsoft Sans Serif"/>
          <w:color w:val="auto"/>
          <w:kern w:val="0"/>
          <w:szCs w:val="21"/>
          <w:highlight w:val="none"/>
        </w:rPr>
        <w:t>16.2.1 承包人违约的情形</w:t>
      </w:r>
    </w:p>
    <w:p w14:paraId="7EE7B609">
      <w:pPr>
        <w:snapToGrid w:val="0"/>
        <w:spacing w:line="360" w:lineRule="auto"/>
        <w:ind w:firstLine="420" w:firstLineChars="200"/>
        <w:jc w:val="left"/>
        <w:rPr>
          <w:rFonts w:ascii="宋体" w:hAnsi="宋体" w:cs="Microsoft Sans Serif"/>
          <w:color w:val="auto"/>
          <w:kern w:val="0"/>
          <w:szCs w:val="21"/>
          <w:highlight w:val="none"/>
          <w:u w:val="single"/>
        </w:rPr>
      </w:pPr>
      <w:r>
        <w:rPr>
          <w:rFonts w:hint="eastAsia" w:ascii="宋体" w:hAnsi="宋体" w:cs="Microsoft Sans Serif"/>
          <w:color w:val="auto"/>
          <w:kern w:val="0"/>
          <w:szCs w:val="21"/>
          <w:highlight w:val="none"/>
        </w:rPr>
        <w:t>除通用合同条款约定外，承包人违约的其他情形：</w:t>
      </w:r>
    </w:p>
    <w:p w14:paraId="2A5861CE">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（1）承包人未按合同约定提交履约担保或质量保证金的；</w:t>
      </w:r>
    </w:p>
    <w:p w14:paraId="1C36A565">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（2）承包人未能按期开工的；</w:t>
      </w:r>
    </w:p>
    <w:p w14:paraId="35F7B6FB">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（3）承包人未按投标文件或监理人的要求及时配备称职的主要管理人员，或承包人未按经审定的施工组织设计配备或更换关键施工设备的；</w:t>
      </w:r>
    </w:p>
    <w:p w14:paraId="668C05C0">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（4）承包人有安全问题或有违反安全管理规章制度情况的；</w:t>
      </w:r>
    </w:p>
    <w:p w14:paraId="4E95EF22">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（5）承包人在缺陷责任期及保修期内，未能在合理期限对工程缺陷进行修复，或拒绝按发包人要求进行修复的；</w:t>
      </w:r>
    </w:p>
    <w:p w14:paraId="09DB8635">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（6）承包人拖欠其工人或所雇人员工资或报酬，导致其工人或所雇人员向有关部门投诉、控告、检举或以聚集等方式讨要工资或报酬的；</w:t>
      </w:r>
    </w:p>
    <w:p w14:paraId="4292CC46">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（7）承包人不配合发包人、监理人及发包人委托的工程造价咨询服务单位结算审核或承包人其他原因导致未按期完成工程竣工结算的；</w:t>
      </w:r>
    </w:p>
    <w:p w14:paraId="054BD4E2">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（8）承包人违反合同约定进行转包或违法分包的；</w:t>
      </w:r>
    </w:p>
    <w:p w14:paraId="6AAA43FF">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（9）承包人未按合同约定移交全部或部分工作的；</w:t>
      </w:r>
    </w:p>
    <w:p w14:paraId="71557D95">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（10）承包人未按合同约定购买保险的；</w:t>
      </w:r>
    </w:p>
    <w:p w14:paraId="73675B12">
      <w:pPr>
        <w:snapToGrid w:val="0"/>
        <w:spacing w:line="360" w:lineRule="auto"/>
        <w:ind w:firstLine="420" w:firstLineChars="200"/>
        <w:jc w:val="left"/>
        <w:rPr>
          <w:rFonts w:ascii="宋体" w:hAnsi="宋体"/>
          <w:color w:val="auto"/>
          <w:szCs w:val="21"/>
          <w:highlight w:val="none"/>
        </w:rPr>
      </w:pPr>
      <w:r>
        <w:rPr>
          <w:rFonts w:hint="eastAsia" w:ascii="宋体" w:hAnsi="宋体" w:cs="Microsoft Sans Serif"/>
          <w:color w:val="auto"/>
          <w:kern w:val="0"/>
          <w:szCs w:val="21"/>
          <w:highlight w:val="none"/>
        </w:rPr>
        <w:t>（11）项目经理若有以下情形，属于承包人违约：</w:t>
      </w:r>
    </w:p>
    <w:p w14:paraId="1DCB72F1">
      <w:pPr>
        <w:snapToGrid w:val="0"/>
        <w:spacing w:line="360" w:lineRule="auto"/>
        <w:ind w:firstLine="420" w:firstLineChars="200"/>
        <w:jc w:val="left"/>
        <w:rPr>
          <w:rFonts w:hint="eastAsia" w:ascii="宋体" w:hAnsi="宋体" w:cs="Microsoft Sans Serif"/>
          <w:color w:val="auto"/>
          <w:kern w:val="0"/>
          <w:szCs w:val="21"/>
          <w:highlight w:val="none"/>
        </w:rPr>
      </w:pPr>
      <w:r>
        <w:rPr>
          <w:rFonts w:hint="eastAsia" w:ascii="宋体" w:hAnsi="宋体" w:cs="Microsoft Sans Serif"/>
          <w:color w:val="auto"/>
          <w:kern w:val="0"/>
          <w:szCs w:val="21"/>
          <w:highlight w:val="none"/>
        </w:rPr>
        <w:t>1）项目经理不按承诺到岗的；</w:t>
      </w:r>
    </w:p>
    <w:p w14:paraId="4F846BED">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2）每月在施工现场的天数少于约定天数的；</w:t>
      </w:r>
    </w:p>
    <w:p w14:paraId="79055125">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3）承包人未提交项目经理劳动合同和社会保险证明的；</w:t>
      </w:r>
    </w:p>
    <w:p w14:paraId="729210B1">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4）未经批准，擅自离开施工现场（超过约定时间）的；</w:t>
      </w:r>
    </w:p>
    <w:p w14:paraId="32F4B485">
      <w:pPr>
        <w:snapToGrid w:val="0"/>
        <w:spacing w:line="360" w:lineRule="auto"/>
        <w:ind w:firstLine="420" w:firstLineChars="200"/>
        <w:jc w:val="left"/>
        <w:rPr>
          <w:rFonts w:hint="eastAsia" w:ascii="宋体" w:hAnsi="宋体" w:cs="Microsoft Sans Serif"/>
          <w:color w:val="auto"/>
          <w:kern w:val="0"/>
          <w:szCs w:val="21"/>
          <w:highlight w:val="none"/>
        </w:rPr>
      </w:pPr>
      <w:r>
        <w:rPr>
          <w:rFonts w:hint="eastAsia" w:ascii="宋体" w:hAnsi="宋体" w:cs="Microsoft Sans Serif"/>
          <w:color w:val="auto"/>
          <w:kern w:val="0"/>
          <w:szCs w:val="21"/>
          <w:highlight w:val="none"/>
        </w:rPr>
        <w:t>5）未经批准，擅自变更项目经理的；</w:t>
      </w:r>
    </w:p>
    <w:p w14:paraId="497ABAF6">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6）按照渝建发〔2015〕35号文的要求，施工期间，项目经理因在一个记分周期内累计记分达到12分，被建设行政主管部门依法责令停止执业的；</w:t>
      </w:r>
    </w:p>
    <w:p w14:paraId="795B8B15">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7）发包人有正当理由认为项目经理不称职/不履职，且承包人在约定时间内不予更换的；</w:t>
      </w:r>
    </w:p>
    <w:p w14:paraId="6F12C79B">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8）其他双方约定的情形：</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rPr>
        <w:t>。</w:t>
      </w:r>
    </w:p>
    <w:p w14:paraId="3643AFE1">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（12）技术负责人若有以下情形，属于承包人违约：</w:t>
      </w:r>
    </w:p>
    <w:p w14:paraId="79E326E9">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1）每月在施工现场的天数少于约定天数的；</w:t>
      </w:r>
    </w:p>
    <w:p w14:paraId="34576C7D">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2）承包人未提交技术负责人劳动合同和社会保险证明的；</w:t>
      </w:r>
    </w:p>
    <w:p w14:paraId="56B286A7">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3）未经批准，擅自离开施工现场（超过约定时间）的；</w:t>
      </w:r>
    </w:p>
    <w:p w14:paraId="6C8D0368">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4）未经批准，擅自变更技术负责人的；</w:t>
      </w:r>
    </w:p>
    <w:p w14:paraId="6918F247">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5）发包人有正当理由认为技术负责人不称职/不履职，且承包人在约定时间内不予更换的；</w:t>
      </w:r>
    </w:p>
    <w:p w14:paraId="4201A11D">
      <w:pPr>
        <w:snapToGrid w:val="0"/>
        <w:spacing w:line="360" w:lineRule="auto"/>
        <w:ind w:firstLine="420" w:firstLineChars="200"/>
        <w:jc w:val="left"/>
        <w:rPr>
          <w:rFonts w:hint="eastAsia" w:ascii="宋体" w:hAnsi="宋体" w:cs="Microsoft Sans Serif"/>
          <w:color w:val="auto"/>
          <w:kern w:val="0"/>
          <w:szCs w:val="21"/>
          <w:highlight w:val="none"/>
        </w:rPr>
      </w:pPr>
      <w:r>
        <w:rPr>
          <w:rFonts w:hint="eastAsia" w:ascii="宋体" w:hAnsi="宋体" w:cs="Microsoft Sans Serif"/>
          <w:color w:val="auto"/>
          <w:kern w:val="0"/>
          <w:szCs w:val="21"/>
          <w:highlight w:val="none"/>
        </w:rPr>
        <w:t>6）其他双方约定的情形：</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rPr>
        <w:t>。</w:t>
      </w:r>
    </w:p>
    <w:p w14:paraId="477EEFF0">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（13）主要施工管理人员若有以下情形，属于承包人违约：</w:t>
      </w:r>
    </w:p>
    <w:p w14:paraId="1DD1D3F8">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1）承包人未提交主要管理人员劳动合同和社会保险证明的；</w:t>
      </w:r>
    </w:p>
    <w:p w14:paraId="1D018515">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2）未经批准，擅自离开施工现场（超过约定时间）的；</w:t>
      </w:r>
    </w:p>
    <w:p w14:paraId="7DA96F44">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3）未经批准，擅自变更主要施工管理人员的；</w:t>
      </w:r>
    </w:p>
    <w:p w14:paraId="34D43A8E">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4）发包人有正当理由认为主要施工管理人员不称职/不履职，且承包人在约定时间内不予更换的；</w:t>
      </w:r>
    </w:p>
    <w:p w14:paraId="7848B6B1">
      <w:pPr>
        <w:snapToGrid w:val="0"/>
        <w:spacing w:line="360" w:lineRule="auto"/>
        <w:ind w:firstLine="420" w:firstLineChars="200"/>
        <w:jc w:val="left"/>
        <w:rPr>
          <w:rFonts w:hint="eastAsia" w:ascii="宋体" w:hAnsi="宋体" w:cs="Microsoft Sans Serif"/>
          <w:color w:val="auto"/>
          <w:kern w:val="0"/>
          <w:szCs w:val="21"/>
          <w:highlight w:val="none"/>
        </w:rPr>
      </w:pPr>
      <w:r>
        <w:rPr>
          <w:rFonts w:hint="eastAsia" w:ascii="宋体" w:hAnsi="宋体" w:cs="Microsoft Sans Serif"/>
          <w:color w:val="auto"/>
          <w:kern w:val="0"/>
          <w:szCs w:val="21"/>
          <w:highlight w:val="none"/>
        </w:rPr>
        <w:t>5）其他双方约定的情形：</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rPr>
        <w:t>。</w:t>
      </w:r>
    </w:p>
    <w:p w14:paraId="2EA34D25">
      <w:pPr>
        <w:snapToGrid w:val="0"/>
        <w:spacing w:line="360" w:lineRule="auto"/>
        <w:ind w:firstLine="420" w:firstLineChars="200"/>
        <w:jc w:val="left"/>
        <w:rPr>
          <w:rFonts w:hint="eastAsia" w:ascii="宋体" w:hAnsi="宋体" w:cs="Microsoft Sans Serif"/>
          <w:color w:val="auto"/>
          <w:kern w:val="0"/>
          <w:szCs w:val="21"/>
          <w:highlight w:val="none"/>
        </w:rPr>
      </w:pPr>
      <w:r>
        <w:rPr>
          <w:rFonts w:hint="eastAsia" w:ascii="宋体" w:hAnsi="宋体" w:cs="Microsoft Sans Serif"/>
          <w:color w:val="auto"/>
          <w:kern w:val="0"/>
          <w:szCs w:val="21"/>
          <w:highlight w:val="none"/>
        </w:rPr>
        <w:t>（14）</w:t>
      </w:r>
      <w:r>
        <w:rPr>
          <w:rFonts w:hint="eastAsia" w:ascii="宋体" w:hAnsi="宋体" w:cs="Microsoft Sans Serif"/>
          <w:color w:val="auto"/>
          <w:kern w:val="0"/>
          <w:szCs w:val="21"/>
          <w:highlight w:val="none"/>
          <w:u w:val="single"/>
        </w:rPr>
        <w:t xml:space="preserve">        。</w:t>
      </w:r>
    </w:p>
    <w:bookmarkEnd w:id="1978"/>
    <w:p w14:paraId="488B82B1">
      <w:pPr>
        <w:adjustRightInd w:val="0"/>
        <w:snapToGrid w:val="0"/>
        <w:spacing w:line="360" w:lineRule="auto"/>
        <w:ind w:firstLine="420" w:firstLineChars="200"/>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16.2.2 承包人违约的责任</w:t>
      </w:r>
    </w:p>
    <w:p w14:paraId="0E16E8A7">
      <w:pPr>
        <w:adjustRightInd w:val="0"/>
        <w:snapToGrid w:val="0"/>
        <w:spacing w:line="360" w:lineRule="auto"/>
        <w:ind w:firstLine="420" w:firstLineChars="200"/>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承包人违约责任的承担方式和计算方法：</w:t>
      </w:r>
    </w:p>
    <w:p w14:paraId="6E1C14F5">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（1）承包人未按合同约定提交履约担保、质量保证金的违约责任：承包人应支付违约金，</w:t>
      </w:r>
      <w:r>
        <w:rPr>
          <w:rFonts w:hint="eastAsia" w:ascii="宋体" w:hAnsi="宋体" w:cs="Microsoft Sans Serif"/>
          <w:color w:val="auto"/>
          <w:szCs w:val="21"/>
          <w:highlight w:val="none"/>
        </w:rPr>
        <w:t>违约金的计算方法：</w:t>
      </w:r>
      <w:r>
        <w:rPr>
          <w:rFonts w:hint="eastAsia" w:ascii="宋体" w:hAnsi="宋体" w:cs="Microsoft Sans Serif"/>
          <w:color w:val="auto"/>
          <w:kern w:val="0"/>
          <w:szCs w:val="21"/>
          <w:highlight w:val="none"/>
        </w:rPr>
        <w:t>每延误1天，承包人按</w:t>
      </w:r>
      <w:r>
        <w:rPr>
          <w:rFonts w:hint="eastAsia" w:ascii="宋体" w:hAnsi="宋体" w:cs="Microsoft Sans Serif"/>
          <w:color w:val="auto"/>
          <w:kern w:val="0"/>
          <w:szCs w:val="21"/>
          <w:highlight w:val="none"/>
          <w:u w:val="single"/>
        </w:rPr>
        <w:t xml:space="preserve">  （5000～50000）元/天</w:t>
      </w:r>
      <w:r>
        <w:rPr>
          <w:rFonts w:hint="eastAsia" w:ascii="宋体" w:hAnsi="宋体" w:cs="Microsoft Sans Serif"/>
          <w:color w:val="auto"/>
          <w:kern w:val="0"/>
          <w:szCs w:val="21"/>
          <w:highlight w:val="none"/>
        </w:rPr>
        <w:t>计算违约金，累计违约金上限：</w:t>
      </w:r>
      <w:r>
        <w:rPr>
          <w:rFonts w:hint="eastAsia" w:ascii="宋体" w:hAnsi="宋体" w:cs="Microsoft Sans Serif"/>
          <w:color w:val="auto"/>
          <w:kern w:val="0"/>
          <w:szCs w:val="21"/>
          <w:highlight w:val="none"/>
          <w:u w:val="single"/>
        </w:rPr>
        <w:t xml:space="preserve">  万元（不超过签约合同价的3%）</w:t>
      </w:r>
      <w:r>
        <w:rPr>
          <w:rFonts w:hint="eastAsia" w:ascii="宋体" w:hAnsi="宋体" w:cs="Microsoft Sans Serif"/>
          <w:color w:val="auto"/>
          <w:kern w:val="0"/>
          <w:szCs w:val="21"/>
          <w:highlight w:val="none"/>
          <w:lang w:val="zh-CN"/>
        </w:rPr>
        <w:t>。</w:t>
      </w:r>
    </w:p>
    <w:p w14:paraId="33DFE866">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（2）承包人违反合同约定进行转包或违法分包的违约责任：按照违反合同约定进行转包和（或）违法分包相应转包和（或）分包合同的合同金额的</w:t>
      </w:r>
      <w:r>
        <w:rPr>
          <w:rFonts w:hint="eastAsia" w:ascii="宋体" w:hAnsi="宋体" w:cs="Microsoft Sans Serif"/>
          <w:color w:val="auto"/>
          <w:kern w:val="0"/>
          <w:szCs w:val="21"/>
          <w:highlight w:val="none"/>
          <w:u w:val="single"/>
        </w:rPr>
        <w:t xml:space="preserve">  （5～10）%</w:t>
      </w:r>
      <w:r>
        <w:rPr>
          <w:rFonts w:hint="eastAsia" w:ascii="宋体" w:hAnsi="宋体" w:cs="Microsoft Sans Serif"/>
          <w:color w:val="auto"/>
          <w:kern w:val="0"/>
          <w:szCs w:val="21"/>
          <w:highlight w:val="none"/>
        </w:rPr>
        <w:t>支付违约金，违法转/分包商应在7天内撤离出场。</w:t>
      </w:r>
    </w:p>
    <w:p w14:paraId="1CD6E2F8">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（3）承包人违反合同约定采购和使用不合格的材料和工程设备的违约责任：按照违反合同约定采购和使用不合格的材料和（或）工程设备相应合同金额的</w:t>
      </w:r>
      <w:r>
        <w:rPr>
          <w:rFonts w:hint="eastAsia" w:ascii="宋体" w:hAnsi="宋体" w:cs="Microsoft Sans Serif"/>
          <w:color w:val="auto"/>
          <w:kern w:val="0"/>
          <w:szCs w:val="21"/>
          <w:highlight w:val="none"/>
          <w:u w:val="single"/>
        </w:rPr>
        <w:t xml:space="preserve">  （5～10）%</w:t>
      </w:r>
      <w:r>
        <w:rPr>
          <w:rFonts w:hint="eastAsia" w:ascii="宋体" w:hAnsi="宋体" w:cs="Microsoft Sans Serif"/>
          <w:color w:val="auto"/>
          <w:kern w:val="0"/>
          <w:szCs w:val="21"/>
          <w:highlight w:val="none"/>
        </w:rPr>
        <w:t>支付违约金。</w:t>
      </w:r>
    </w:p>
    <w:p w14:paraId="6208412A">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（4）因承包人原因导致工程质量不符合规定或合同要求的违约责任：承包人退还已支付工程质量不符合合同要求工程的工程款，并按照工程质量不符合合同要求工程相应合同金额的</w:t>
      </w:r>
      <w:r>
        <w:rPr>
          <w:rFonts w:hint="eastAsia" w:ascii="宋体" w:hAnsi="宋体" w:cs="Microsoft Sans Serif"/>
          <w:color w:val="auto"/>
          <w:kern w:val="0"/>
          <w:szCs w:val="21"/>
          <w:highlight w:val="none"/>
          <w:u w:val="single"/>
        </w:rPr>
        <w:t xml:space="preserve">  （5～10）%</w:t>
      </w:r>
      <w:r>
        <w:rPr>
          <w:rFonts w:hint="eastAsia" w:ascii="宋体" w:hAnsi="宋体" w:cs="Microsoft Sans Serif"/>
          <w:color w:val="auto"/>
          <w:kern w:val="0"/>
          <w:szCs w:val="21"/>
          <w:highlight w:val="none"/>
        </w:rPr>
        <w:t>支付违约金。</w:t>
      </w:r>
    </w:p>
    <w:p w14:paraId="5B2E9642">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（5）承包人违反材料与设备的约定，未经批准，擅自将已按照合同约定进入施工现场的材料或设备撤离施工现场的违约责任：按照承包人擅自撤离施工现场材料和（或）设备相应合同金额的</w:t>
      </w:r>
      <w:r>
        <w:rPr>
          <w:rFonts w:hint="eastAsia" w:ascii="宋体" w:hAnsi="宋体" w:cs="Microsoft Sans Serif"/>
          <w:color w:val="auto"/>
          <w:kern w:val="0"/>
          <w:szCs w:val="21"/>
          <w:highlight w:val="none"/>
          <w:u w:val="single"/>
        </w:rPr>
        <w:t xml:space="preserve">  （1～5）%</w:t>
      </w:r>
      <w:r>
        <w:rPr>
          <w:rFonts w:hint="eastAsia" w:ascii="宋体" w:hAnsi="宋体" w:cs="Microsoft Sans Serif"/>
          <w:color w:val="auto"/>
          <w:kern w:val="0"/>
          <w:szCs w:val="21"/>
          <w:highlight w:val="none"/>
        </w:rPr>
        <w:t>支付违约金。</w:t>
      </w:r>
    </w:p>
    <w:p w14:paraId="0303B066">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（6）因承包人原因造成工期延误的违约承担方式和计算方法：由承包人承担由此增加的费用，</w:t>
      </w:r>
      <w:r>
        <w:rPr>
          <w:rFonts w:hint="eastAsia" w:ascii="宋体" w:hAnsi="宋体" w:cs="Microsoft Sans Serif"/>
          <w:color w:val="auto"/>
          <w:szCs w:val="21"/>
          <w:highlight w:val="none"/>
        </w:rPr>
        <w:t>由此导致工期延误的，工期不予顺延；逾期竣工违约金的计算方法：</w:t>
      </w:r>
      <w:r>
        <w:rPr>
          <w:rFonts w:hint="eastAsia" w:ascii="宋体" w:hAnsi="宋体" w:cs="Microsoft Sans Serif"/>
          <w:color w:val="auto"/>
          <w:kern w:val="0"/>
          <w:szCs w:val="21"/>
          <w:highlight w:val="none"/>
        </w:rPr>
        <w:t>每延误1天，承包人按</w:t>
      </w:r>
      <w:r>
        <w:rPr>
          <w:rFonts w:hint="eastAsia" w:ascii="宋体" w:hAnsi="宋体" w:cs="Microsoft Sans Serif"/>
          <w:color w:val="auto"/>
          <w:kern w:val="0"/>
          <w:szCs w:val="21"/>
          <w:highlight w:val="none"/>
          <w:u w:val="single"/>
        </w:rPr>
        <w:t xml:space="preserve">  （5000～50000）元/天</w:t>
      </w:r>
      <w:r>
        <w:rPr>
          <w:rFonts w:hint="eastAsia" w:ascii="宋体" w:hAnsi="宋体" w:cs="Microsoft Sans Serif"/>
          <w:color w:val="auto"/>
          <w:kern w:val="0"/>
          <w:szCs w:val="21"/>
          <w:highlight w:val="none"/>
        </w:rPr>
        <w:t>计算逾期竣工违约金，累计违约金上限：</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rPr>
        <w:t>万元（不超过签约合同价的3%）</w:t>
      </w:r>
      <w:r>
        <w:rPr>
          <w:rFonts w:hint="eastAsia" w:ascii="宋体" w:hAnsi="宋体" w:cs="Microsoft Sans Serif"/>
          <w:color w:val="auto"/>
          <w:kern w:val="0"/>
          <w:szCs w:val="21"/>
          <w:highlight w:val="none"/>
          <w:lang w:val="zh-CN"/>
        </w:rPr>
        <w:t>；</w:t>
      </w:r>
      <w:r>
        <w:rPr>
          <w:rFonts w:hint="eastAsia" w:ascii="宋体" w:hAnsi="宋体" w:cs="Microsoft Sans Serif"/>
          <w:color w:val="auto"/>
          <w:kern w:val="0"/>
          <w:szCs w:val="21"/>
          <w:highlight w:val="none"/>
        </w:rPr>
        <w:t>承包人支付逾期竣工违约金后，不免除承包人继续完成工程及修补缺陷的义务。</w:t>
      </w:r>
    </w:p>
    <w:p w14:paraId="5612A47B">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（7）承包人在缺陷责任期及保修期内，未能在合理期限对工程缺陷进行修复，或拒绝按发包人要求进行修复的违约责任：按照发包人修复缺陷费用的</w:t>
      </w:r>
      <w:r>
        <w:rPr>
          <w:rFonts w:hint="eastAsia" w:ascii="宋体" w:hAnsi="宋体" w:cs="Microsoft Sans Serif"/>
          <w:color w:val="auto"/>
          <w:kern w:val="0"/>
          <w:szCs w:val="21"/>
          <w:highlight w:val="none"/>
          <w:u w:val="single"/>
        </w:rPr>
        <w:t xml:space="preserve">  （0.5～2）%</w:t>
      </w:r>
      <w:r>
        <w:rPr>
          <w:rFonts w:hint="eastAsia" w:ascii="宋体" w:hAnsi="宋体" w:cs="Microsoft Sans Serif"/>
          <w:color w:val="auto"/>
          <w:kern w:val="0"/>
          <w:szCs w:val="21"/>
          <w:highlight w:val="none"/>
        </w:rPr>
        <w:t>支付违约金。</w:t>
      </w:r>
    </w:p>
    <w:p w14:paraId="2B62992F">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（8）承包人明确表示或者以其行为表明不履行合同主要义务的违约责任：按签约合同价的</w:t>
      </w:r>
      <w:r>
        <w:rPr>
          <w:rFonts w:hint="eastAsia" w:ascii="宋体" w:hAnsi="宋体" w:cs="Microsoft Sans Serif"/>
          <w:color w:val="auto"/>
          <w:kern w:val="0"/>
          <w:szCs w:val="21"/>
          <w:highlight w:val="none"/>
          <w:u w:val="single"/>
        </w:rPr>
        <w:t xml:space="preserve">  （5～10）%</w:t>
      </w:r>
      <w:r>
        <w:rPr>
          <w:rFonts w:hint="eastAsia" w:ascii="宋体" w:hAnsi="宋体" w:cs="Microsoft Sans Serif"/>
          <w:color w:val="auto"/>
          <w:kern w:val="0"/>
          <w:szCs w:val="21"/>
          <w:highlight w:val="none"/>
        </w:rPr>
        <w:t>支付违约金。</w:t>
      </w:r>
    </w:p>
    <w:p w14:paraId="303B2F4D">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（9）承包人未能按照合同约定履行其他义务的违约责任：按</w:t>
      </w:r>
      <w:r>
        <w:rPr>
          <w:rFonts w:hint="eastAsia" w:ascii="宋体" w:hAnsi="宋体" w:cs="Microsoft Sans Serif"/>
          <w:color w:val="auto"/>
          <w:kern w:val="0"/>
          <w:szCs w:val="21"/>
          <w:highlight w:val="none"/>
          <w:u w:val="single"/>
        </w:rPr>
        <w:t>（500～5000）元/次</w:t>
      </w:r>
      <w:r>
        <w:rPr>
          <w:rFonts w:hint="eastAsia" w:ascii="宋体" w:hAnsi="宋体" w:cs="Microsoft Sans Serif"/>
          <w:color w:val="auto"/>
          <w:kern w:val="0"/>
          <w:szCs w:val="21"/>
          <w:highlight w:val="none"/>
        </w:rPr>
        <w:t>支付违约金。</w:t>
      </w:r>
    </w:p>
    <w:p w14:paraId="655069CA">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（10）承包人未能按期开工的违约责任：按合同价</w:t>
      </w:r>
      <w:r>
        <w:rPr>
          <w:rFonts w:hint="eastAsia" w:ascii="宋体" w:hAnsi="宋体" w:cs="Microsoft Sans Serif"/>
          <w:color w:val="auto"/>
          <w:kern w:val="0"/>
          <w:szCs w:val="21"/>
          <w:highlight w:val="none"/>
          <w:u w:val="single"/>
        </w:rPr>
        <w:t>0.2‰/天</w:t>
      </w:r>
      <w:r>
        <w:rPr>
          <w:rFonts w:hint="eastAsia" w:ascii="宋体" w:hAnsi="宋体" w:cs="Microsoft Sans Serif"/>
          <w:color w:val="auto"/>
          <w:kern w:val="0"/>
          <w:szCs w:val="21"/>
          <w:highlight w:val="none"/>
        </w:rPr>
        <w:t>支付违约金，本项违约金累计限额为签约合同价的</w:t>
      </w:r>
      <w:r>
        <w:rPr>
          <w:rFonts w:hint="eastAsia" w:ascii="宋体" w:hAnsi="宋体" w:cs="Microsoft Sans Serif"/>
          <w:color w:val="auto"/>
          <w:kern w:val="0"/>
          <w:szCs w:val="21"/>
          <w:highlight w:val="none"/>
          <w:u w:val="single"/>
        </w:rPr>
        <w:t xml:space="preserve"> 1 %</w:t>
      </w:r>
      <w:r>
        <w:rPr>
          <w:rFonts w:hint="eastAsia" w:ascii="宋体" w:hAnsi="宋体" w:cs="Microsoft Sans Serif"/>
          <w:color w:val="auto"/>
          <w:kern w:val="0"/>
          <w:szCs w:val="21"/>
          <w:highlight w:val="none"/>
        </w:rPr>
        <w:t>。</w:t>
      </w:r>
    </w:p>
    <w:p w14:paraId="493EC5A4">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（11）承包人未按经审定的施工组织设计配备或更换关键施工设备的违约责任：按</w:t>
      </w:r>
      <w:r>
        <w:rPr>
          <w:rFonts w:hint="eastAsia" w:ascii="宋体" w:hAnsi="宋体" w:cs="Microsoft Sans Serif"/>
          <w:color w:val="auto"/>
          <w:kern w:val="0"/>
          <w:szCs w:val="21"/>
          <w:highlight w:val="none"/>
          <w:u w:val="single"/>
        </w:rPr>
        <w:t xml:space="preserve">  （5000～50000）元/台·次</w:t>
      </w:r>
      <w:r>
        <w:rPr>
          <w:rFonts w:hint="eastAsia" w:ascii="宋体" w:hAnsi="宋体" w:cs="Microsoft Sans Serif"/>
          <w:color w:val="auto"/>
          <w:kern w:val="0"/>
          <w:szCs w:val="21"/>
          <w:highlight w:val="none"/>
        </w:rPr>
        <w:t>支付违约金。</w:t>
      </w:r>
    </w:p>
    <w:p w14:paraId="5735CB27">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（12）承包人有安全问题或有违反安全管理规章制度情况的违约责任：根据具体情节，按签约合同价的</w:t>
      </w:r>
      <w:r>
        <w:rPr>
          <w:rFonts w:hint="eastAsia" w:ascii="宋体" w:hAnsi="宋体" w:cs="Microsoft Sans Serif"/>
          <w:color w:val="auto"/>
          <w:kern w:val="0"/>
          <w:szCs w:val="21"/>
          <w:highlight w:val="none"/>
          <w:u w:val="single"/>
        </w:rPr>
        <w:t>0.5‰～4‰/次</w:t>
      </w:r>
      <w:r>
        <w:rPr>
          <w:rFonts w:hint="eastAsia" w:ascii="宋体" w:hAnsi="宋体" w:cs="Microsoft Sans Serif"/>
          <w:color w:val="auto"/>
          <w:kern w:val="0"/>
          <w:szCs w:val="21"/>
          <w:highlight w:val="none"/>
        </w:rPr>
        <w:t>支付违约金（累计不超过签约合同价的1%，详见附件9安全管理协议）。</w:t>
      </w:r>
    </w:p>
    <w:p w14:paraId="66738525">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（13）承包人拖欠其工人或所雇人员工资或报酬，导致其工人或所雇人员向有关部门投诉、控告、检举或以聚集等方式讨要工资或报酬的违约责任：根据具体情节，按违约金额</w:t>
      </w:r>
      <w:r>
        <w:rPr>
          <w:rFonts w:hint="eastAsia" w:ascii="宋体" w:hAnsi="宋体" w:cs="Microsoft Sans Serif"/>
          <w:color w:val="auto"/>
          <w:kern w:val="0"/>
          <w:szCs w:val="21"/>
          <w:highlight w:val="none"/>
          <w:u w:val="single"/>
        </w:rPr>
        <w:t xml:space="preserve">  （50000～200000）元/次</w:t>
      </w:r>
      <w:r>
        <w:rPr>
          <w:rFonts w:hint="eastAsia" w:ascii="宋体" w:hAnsi="宋体" w:cs="Microsoft Sans Serif"/>
          <w:color w:val="auto"/>
          <w:kern w:val="0"/>
          <w:szCs w:val="21"/>
          <w:highlight w:val="none"/>
        </w:rPr>
        <w:t>支付违约金。</w:t>
      </w:r>
    </w:p>
    <w:p w14:paraId="620D473B">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（14）承包人不配合发包人、监理人及发包人委托的工程造价咨询服务单位结算审核的违约责任：根据具体情节，按</w:t>
      </w:r>
      <w:r>
        <w:rPr>
          <w:rFonts w:hint="eastAsia" w:ascii="宋体" w:hAnsi="宋体" w:cs="Microsoft Sans Serif"/>
          <w:color w:val="auto"/>
          <w:kern w:val="0"/>
          <w:szCs w:val="21"/>
          <w:highlight w:val="none"/>
          <w:u w:val="single"/>
        </w:rPr>
        <w:t xml:space="preserve">  （10000～100000）元/次</w:t>
      </w:r>
      <w:r>
        <w:rPr>
          <w:rFonts w:hint="eastAsia" w:ascii="宋体" w:hAnsi="宋体" w:cs="Microsoft Sans Serif"/>
          <w:color w:val="auto"/>
          <w:kern w:val="0"/>
          <w:szCs w:val="21"/>
          <w:highlight w:val="none"/>
        </w:rPr>
        <w:t>支付违约金。</w:t>
      </w:r>
    </w:p>
    <w:p w14:paraId="477C18F3">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（15）承包人未按合同约定移交全部和部分工程的违约责任：由承包人承担工程照管、成品保护、保管等与工程有关的各种费用，并按结算金额或违约部分结算金额的</w:t>
      </w:r>
      <w:r>
        <w:rPr>
          <w:rFonts w:hint="eastAsia" w:ascii="宋体" w:hAnsi="宋体" w:cs="Microsoft Sans Serif"/>
          <w:color w:val="auto"/>
          <w:kern w:val="0"/>
          <w:szCs w:val="21"/>
          <w:highlight w:val="none"/>
          <w:u w:val="single"/>
        </w:rPr>
        <w:t>0.5～1‰</w:t>
      </w:r>
      <w:r>
        <w:rPr>
          <w:rFonts w:hint="eastAsia" w:ascii="宋体" w:hAnsi="宋体" w:cs="Microsoft Sans Serif"/>
          <w:color w:val="auto"/>
          <w:kern w:val="0"/>
          <w:szCs w:val="21"/>
          <w:highlight w:val="none"/>
        </w:rPr>
        <w:t>支付违约金。</w:t>
      </w:r>
    </w:p>
    <w:p w14:paraId="51B76C93">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szCs w:val="21"/>
          <w:highlight w:val="none"/>
        </w:rPr>
        <w:t>（16）承包人未按合同约定购买保险的违约责任：除按18.6.2项约定执行外，每延迟1天，按</w:t>
      </w:r>
      <w:r>
        <w:rPr>
          <w:rFonts w:hint="eastAsia" w:ascii="宋体" w:hAnsi="宋体" w:cs="Microsoft Sans Serif"/>
          <w:color w:val="auto"/>
          <w:szCs w:val="21"/>
          <w:highlight w:val="none"/>
          <w:u w:val="single"/>
        </w:rPr>
        <w:t>500元/天</w:t>
      </w:r>
      <w:r>
        <w:rPr>
          <w:rFonts w:hint="eastAsia" w:ascii="宋体" w:hAnsi="宋体" w:cs="Microsoft Sans Serif"/>
          <w:color w:val="auto"/>
          <w:szCs w:val="21"/>
          <w:highlight w:val="none"/>
        </w:rPr>
        <w:t>支付违约金。</w:t>
      </w:r>
    </w:p>
    <w:p w14:paraId="1D0FFDEE">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（17）发生第16.2.1项（11）目、16.2.1项（12）目、16.2.1项（13）目违约情形的违约责任：除承担由此增加的费用和工期延误的责任，承包人应向发包人支付违约金：</w:t>
      </w:r>
    </w:p>
    <w:p w14:paraId="6D3D959D">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1）项目经理违约承担方式和计算方法：对于第16.2.1项（11）目的情形，每发现一次，根据具体情节，按</w:t>
      </w:r>
      <w:r>
        <w:rPr>
          <w:rFonts w:hint="eastAsia" w:ascii="宋体" w:hAnsi="宋体" w:cs="Microsoft Sans Serif"/>
          <w:color w:val="auto"/>
          <w:kern w:val="0"/>
          <w:szCs w:val="21"/>
          <w:highlight w:val="none"/>
          <w:u w:val="single"/>
        </w:rPr>
        <w:t>1000～30000元/天·次</w:t>
      </w:r>
      <w:r>
        <w:rPr>
          <w:rFonts w:hint="eastAsia" w:ascii="宋体" w:hAnsi="宋体" w:cs="Microsoft Sans Serif"/>
          <w:color w:val="auto"/>
          <w:kern w:val="0"/>
          <w:szCs w:val="21"/>
          <w:highlight w:val="none"/>
        </w:rPr>
        <w:t>计算违约金；项目经理不按承诺到岗的（</w:t>
      </w:r>
      <w:r>
        <w:rPr>
          <w:rFonts w:ascii="宋体" w:hAnsi="宋体" w:cs="Microsoft Sans Serif"/>
          <w:color w:val="auto"/>
          <w:kern w:val="0"/>
          <w:szCs w:val="21"/>
          <w:highlight w:val="none"/>
        </w:rPr>
        <w:t>3.2.3项约定的情形除外</w:t>
      </w:r>
      <w:r>
        <w:rPr>
          <w:rFonts w:hint="eastAsia" w:ascii="宋体" w:hAnsi="宋体" w:cs="Microsoft Sans Serif"/>
          <w:color w:val="auto"/>
          <w:kern w:val="0"/>
          <w:szCs w:val="21"/>
          <w:highlight w:val="none"/>
        </w:rPr>
        <w:t>），按履约保证金的</w:t>
      </w:r>
      <w:r>
        <w:rPr>
          <w:rFonts w:hint="eastAsia" w:ascii="宋体" w:hAnsi="宋体" w:cs="Microsoft Sans Serif"/>
          <w:color w:val="auto"/>
          <w:kern w:val="0"/>
          <w:szCs w:val="21"/>
          <w:highlight w:val="none"/>
          <w:u w:val="single"/>
        </w:rPr>
        <w:t>（50～100）%</w:t>
      </w:r>
      <w:r>
        <w:rPr>
          <w:rFonts w:hint="eastAsia" w:ascii="宋体" w:hAnsi="宋体" w:cs="Microsoft Sans Serif"/>
          <w:color w:val="auto"/>
          <w:kern w:val="0"/>
          <w:szCs w:val="21"/>
          <w:highlight w:val="none"/>
        </w:rPr>
        <w:t>支付违约金，并解除合同；擅自更换项目经理的，按签约合同价的</w:t>
      </w:r>
      <w:r>
        <w:rPr>
          <w:rFonts w:hint="eastAsia" w:ascii="宋体" w:hAnsi="宋体" w:cs="Microsoft Sans Serif"/>
          <w:color w:val="auto"/>
          <w:kern w:val="0"/>
          <w:szCs w:val="21"/>
          <w:highlight w:val="none"/>
          <w:u w:val="single"/>
        </w:rPr>
        <w:t>（0.5～3）%/人·次</w:t>
      </w:r>
      <w:r>
        <w:rPr>
          <w:rFonts w:hint="eastAsia" w:ascii="宋体" w:hAnsi="宋体" w:cs="Microsoft Sans Serif"/>
          <w:color w:val="auto"/>
          <w:kern w:val="0"/>
          <w:szCs w:val="21"/>
          <w:highlight w:val="none"/>
        </w:rPr>
        <w:t>支付违约金，每次不低于</w:t>
      </w:r>
      <w:r>
        <w:rPr>
          <w:rFonts w:hint="eastAsia" w:ascii="宋体" w:hAnsi="宋体" w:cs="Microsoft Sans Serif"/>
          <w:color w:val="auto"/>
          <w:kern w:val="0"/>
          <w:szCs w:val="21"/>
          <w:highlight w:val="none"/>
          <w:u w:val="single"/>
        </w:rPr>
        <w:t>20万</w:t>
      </w:r>
      <w:r>
        <w:rPr>
          <w:rFonts w:hint="eastAsia" w:ascii="宋体" w:hAnsi="宋体" w:cs="Microsoft Sans Serif"/>
          <w:color w:val="auto"/>
          <w:kern w:val="0"/>
          <w:szCs w:val="21"/>
          <w:highlight w:val="none"/>
        </w:rPr>
        <w:t>，累计不超过</w:t>
      </w:r>
      <w:r>
        <w:rPr>
          <w:rFonts w:hint="eastAsia" w:ascii="宋体" w:hAnsi="宋体" w:cs="Microsoft Sans Serif"/>
          <w:color w:val="auto"/>
          <w:kern w:val="0"/>
          <w:szCs w:val="21"/>
          <w:highlight w:val="none"/>
          <w:u w:val="single"/>
        </w:rPr>
        <w:t>200万</w:t>
      </w:r>
      <w:r>
        <w:rPr>
          <w:rFonts w:hint="eastAsia" w:ascii="宋体" w:hAnsi="宋体" w:cs="Microsoft Sans Serif"/>
          <w:color w:val="auto"/>
          <w:kern w:val="0"/>
          <w:szCs w:val="21"/>
          <w:highlight w:val="none"/>
        </w:rPr>
        <w:t>；项目经理被责令停止执业的，按签约合同价的</w:t>
      </w:r>
      <w:r>
        <w:rPr>
          <w:rFonts w:hint="eastAsia" w:ascii="宋体" w:hAnsi="宋体" w:cs="Microsoft Sans Serif"/>
          <w:color w:val="auto"/>
          <w:kern w:val="0"/>
          <w:szCs w:val="21"/>
          <w:highlight w:val="none"/>
          <w:u w:val="single"/>
        </w:rPr>
        <w:t>（0.5～3）%/人·次</w:t>
      </w:r>
      <w:r>
        <w:rPr>
          <w:rFonts w:hint="eastAsia" w:ascii="宋体" w:hAnsi="宋体" w:cs="Microsoft Sans Serif"/>
          <w:color w:val="auto"/>
          <w:kern w:val="0"/>
          <w:szCs w:val="21"/>
          <w:highlight w:val="none"/>
        </w:rPr>
        <w:t>支付违约金，每次不低于</w:t>
      </w:r>
      <w:r>
        <w:rPr>
          <w:rFonts w:hint="eastAsia" w:ascii="宋体" w:hAnsi="宋体" w:cs="Microsoft Sans Serif"/>
          <w:color w:val="auto"/>
          <w:kern w:val="0"/>
          <w:szCs w:val="21"/>
          <w:highlight w:val="none"/>
          <w:u w:val="single"/>
        </w:rPr>
        <w:t>20万</w:t>
      </w:r>
      <w:r>
        <w:rPr>
          <w:rFonts w:hint="eastAsia" w:ascii="宋体" w:hAnsi="宋体" w:cs="Microsoft Sans Serif"/>
          <w:color w:val="auto"/>
          <w:kern w:val="0"/>
          <w:szCs w:val="21"/>
          <w:highlight w:val="none"/>
        </w:rPr>
        <w:t>，累计不超过</w:t>
      </w:r>
      <w:r>
        <w:rPr>
          <w:rFonts w:hint="eastAsia" w:ascii="宋体" w:hAnsi="宋体" w:cs="Microsoft Sans Serif"/>
          <w:color w:val="auto"/>
          <w:kern w:val="0"/>
          <w:szCs w:val="21"/>
          <w:highlight w:val="none"/>
          <w:u w:val="single"/>
        </w:rPr>
        <w:t>200万</w:t>
      </w:r>
      <w:r>
        <w:rPr>
          <w:rFonts w:hint="eastAsia" w:ascii="宋体" w:hAnsi="宋体" w:cs="Microsoft Sans Serif"/>
          <w:color w:val="auto"/>
          <w:kern w:val="0"/>
          <w:szCs w:val="21"/>
          <w:highlight w:val="none"/>
        </w:rPr>
        <w:t>；项目经理被责令停止执业的，按签约合同价的</w:t>
      </w:r>
      <w:r>
        <w:rPr>
          <w:rFonts w:hint="eastAsia" w:ascii="宋体" w:hAnsi="宋体" w:cs="Microsoft Sans Serif"/>
          <w:color w:val="auto"/>
          <w:kern w:val="0"/>
          <w:szCs w:val="21"/>
          <w:highlight w:val="none"/>
          <w:u w:val="single"/>
        </w:rPr>
        <w:t>（0.5～3）%/人•次</w:t>
      </w:r>
      <w:r>
        <w:rPr>
          <w:rFonts w:hint="eastAsia" w:ascii="宋体" w:hAnsi="宋体" w:cs="Microsoft Sans Serif"/>
          <w:color w:val="auto"/>
          <w:kern w:val="0"/>
          <w:szCs w:val="21"/>
          <w:highlight w:val="none"/>
        </w:rPr>
        <w:t>支付违约金，每次不低于</w:t>
      </w:r>
      <w:r>
        <w:rPr>
          <w:rFonts w:hint="eastAsia" w:ascii="宋体" w:hAnsi="宋体" w:cs="Microsoft Sans Serif"/>
          <w:color w:val="auto"/>
          <w:kern w:val="0"/>
          <w:szCs w:val="21"/>
          <w:highlight w:val="none"/>
          <w:u w:val="single"/>
        </w:rPr>
        <w:t>20</w:t>
      </w:r>
      <w:r>
        <w:rPr>
          <w:rFonts w:hint="eastAsia" w:ascii="宋体" w:hAnsi="宋体" w:cs="Microsoft Sans Serif"/>
          <w:color w:val="auto"/>
          <w:kern w:val="0"/>
          <w:szCs w:val="21"/>
          <w:highlight w:val="none"/>
        </w:rPr>
        <w:t>万，累计不超过</w:t>
      </w:r>
      <w:r>
        <w:rPr>
          <w:rFonts w:hint="eastAsia" w:ascii="宋体" w:hAnsi="宋体" w:cs="Microsoft Sans Serif"/>
          <w:color w:val="auto"/>
          <w:kern w:val="0"/>
          <w:szCs w:val="21"/>
          <w:highlight w:val="none"/>
          <w:u w:val="single"/>
        </w:rPr>
        <w:t>200</w:t>
      </w:r>
      <w:r>
        <w:rPr>
          <w:rFonts w:hint="eastAsia" w:ascii="宋体" w:hAnsi="宋体" w:cs="Microsoft Sans Serif"/>
          <w:color w:val="auto"/>
          <w:kern w:val="0"/>
          <w:szCs w:val="21"/>
          <w:highlight w:val="none"/>
        </w:rPr>
        <w:t>万。</w:t>
      </w:r>
    </w:p>
    <w:p w14:paraId="4B7AC4EE">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2）主要技术负责人违约承担方式和计算方法：对于第16.2.1项（12）目的六种情形，每发现一次，根据具体情节，按</w:t>
      </w:r>
      <w:r>
        <w:rPr>
          <w:rFonts w:hint="eastAsia" w:ascii="宋体" w:hAnsi="宋体" w:cs="Microsoft Sans Serif"/>
          <w:color w:val="auto"/>
          <w:kern w:val="0"/>
          <w:szCs w:val="21"/>
          <w:highlight w:val="none"/>
          <w:u w:val="single"/>
        </w:rPr>
        <w:t>1000～30000元/天·次</w:t>
      </w:r>
      <w:r>
        <w:rPr>
          <w:rFonts w:hint="eastAsia" w:ascii="宋体" w:hAnsi="宋体" w:cs="Microsoft Sans Serif"/>
          <w:color w:val="auto"/>
          <w:kern w:val="0"/>
          <w:szCs w:val="21"/>
          <w:highlight w:val="none"/>
        </w:rPr>
        <w:t>计算违约金；擅自更换主要技术负责人的，按签约合同价的</w:t>
      </w:r>
      <w:r>
        <w:rPr>
          <w:rFonts w:hint="eastAsia" w:ascii="宋体" w:hAnsi="宋体" w:cs="Microsoft Sans Serif"/>
          <w:color w:val="auto"/>
          <w:kern w:val="0"/>
          <w:szCs w:val="21"/>
          <w:highlight w:val="none"/>
          <w:u w:val="single"/>
        </w:rPr>
        <w:t>（0.5～2）%/人·次</w:t>
      </w:r>
      <w:r>
        <w:rPr>
          <w:rFonts w:hint="eastAsia" w:ascii="宋体" w:hAnsi="宋体" w:cs="Microsoft Sans Serif"/>
          <w:color w:val="auto"/>
          <w:kern w:val="0"/>
          <w:szCs w:val="21"/>
          <w:highlight w:val="none"/>
        </w:rPr>
        <w:t>支付违约金，每次不低于</w:t>
      </w:r>
      <w:r>
        <w:rPr>
          <w:rFonts w:hint="eastAsia" w:ascii="宋体" w:hAnsi="宋体" w:cs="Microsoft Sans Serif"/>
          <w:color w:val="auto"/>
          <w:kern w:val="0"/>
          <w:szCs w:val="21"/>
          <w:highlight w:val="none"/>
          <w:u w:val="single"/>
        </w:rPr>
        <w:t>10万</w:t>
      </w:r>
      <w:r>
        <w:rPr>
          <w:rFonts w:hint="eastAsia" w:ascii="宋体" w:hAnsi="宋体" w:cs="Microsoft Sans Serif"/>
          <w:color w:val="auto"/>
          <w:kern w:val="0"/>
          <w:szCs w:val="21"/>
          <w:highlight w:val="none"/>
        </w:rPr>
        <w:t>，累计不超过</w:t>
      </w:r>
      <w:r>
        <w:rPr>
          <w:rFonts w:hint="eastAsia" w:ascii="宋体" w:hAnsi="宋体" w:cs="Microsoft Sans Serif"/>
          <w:color w:val="auto"/>
          <w:kern w:val="0"/>
          <w:szCs w:val="21"/>
          <w:highlight w:val="none"/>
          <w:u w:val="single"/>
        </w:rPr>
        <w:t>100万</w:t>
      </w:r>
      <w:r>
        <w:rPr>
          <w:rFonts w:hint="eastAsia" w:ascii="宋体" w:hAnsi="宋体" w:cs="Microsoft Sans Serif"/>
          <w:color w:val="auto"/>
          <w:kern w:val="0"/>
          <w:szCs w:val="21"/>
          <w:highlight w:val="none"/>
        </w:rPr>
        <w:t>。</w:t>
      </w:r>
    </w:p>
    <w:p w14:paraId="16C9D687">
      <w:pPr>
        <w:snapToGrid w:val="0"/>
        <w:spacing w:line="360" w:lineRule="auto"/>
        <w:ind w:firstLine="420" w:firstLineChars="200"/>
        <w:jc w:val="left"/>
        <w:rPr>
          <w:rFonts w:ascii="宋体" w:hAnsi="宋体"/>
          <w:color w:val="auto"/>
          <w:szCs w:val="21"/>
          <w:highlight w:val="none"/>
        </w:rPr>
      </w:pPr>
      <w:r>
        <w:rPr>
          <w:rFonts w:hint="eastAsia" w:ascii="宋体" w:hAnsi="宋体" w:cs="Microsoft Sans Serif"/>
          <w:color w:val="auto"/>
          <w:kern w:val="0"/>
          <w:szCs w:val="21"/>
          <w:highlight w:val="none"/>
        </w:rPr>
        <w:t>3）主要施工管理人员违约承担方式和计算方法：对于第16.2.1项（13）目的五种情形，每发现一次，根据具体情节，按</w:t>
      </w:r>
      <w:r>
        <w:rPr>
          <w:rFonts w:hint="eastAsia" w:ascii="宋体" w:hAnsi="宋体" w:cs="Microsoft Sans Serif"/>
          <w:color w:val="auto"/>
          <w:kern w:val="0"/>
          <w:szCs w:val="21"/>
          <w:highlight w:val="none"/>
          <w:u w:val="single"/>
        </w:rPr>
        <w:t>500～10000元/天·次</w:t>
      </w:r>
      <w:r>
        <w:rPr>
          <w:rFonts w:hint="eastAsia" w:ascii="宋体" w:hAnsi="宋体" w:cs="Microsoft Sans Serif"/>
          <w:color w:val="auto"/>
          <w:kern w:val="0"/>
          <w:szCs w:val="21"/>
          <w:highlight w:val="none"/>
        </w:rPr>
        <w:t>计算违约金。</w:t>
      </w:r>
    </w:p>
    <w:p w14:paraId="6D099893">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（18）</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rPr>
        <w:t>。</w:t>
      </w:r>
      <w:bookmarkStart w:id="1979" w:name="_Hlk524380347"/>
    </w:p>
    <w:p w14:paraId="45A6BAFD">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szCs w:val="21"/>
          <w:highlight w:val="none"/>
        </w:rPr>
        <w:t>应当由承包人向发包人支付的违约金，发包人可直接提取届时有效的履约担保相应金额，不足部分由承包人支付；若发包人提取履约担保相应金额，则承包人应在提取后7日内补足或提交合同约定的履约担保的金额，否则按专用合同第</w:t>
      </w:r>
      <w:r>
        <w:rPr>
          <w:rFonts w:hint="eastAsia" w:ascii="宋体" w:hAnsi="宋体" w:cs="Microsoft Sans Serif"/>
          <w:color w:val="auto"/>
          <w:kern w:val="0"/>
          <w:szCs w:val="21"/>
          <w:highlight w:val="none"/>
        </w:rPr>
        <w:t>16.2.2项第（1）目承担违约责任</w:t>
      </w:r>
      <w:r>
        <w:rPr>
          <w:rFonts w:hint="eastAsia" w:ascii="宋体" w:hAnsi="宋体" w:cs="Microsoft Sans Serif"/>
          <w:color w:val="auto"/>
          <w:szCs w:val="21"/>
          <w:highlight w:val="none"/>
        </w:rPr>
        <w:t>，并从应付或到期应付给承包人的任何款项中或采用其他方法，扣除该违约金。</w:t>
      </w:r>
    </w:p>
    <w:p w14:paraId="73FE8633">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szCs w:val="21"/>
          <w:highlight w:val="none"/>
        </w:rPr>
        <w:t>承包人必须及时纠正违约行为并采取积极措施，满足合同要求，自行承担与纠正违约行为有关的人身伤亡、罚款、索赔、损失补偿、诉讼费用及其他一切责任，工期不予顺延</w:t>
      </w:r>
      <w:r>
        <w:rPr>
          <w:rFonts w:hint="eastAsia" w:ascii="宋体" w:hAnsi="宋体" w:cs="Microsoft Sans Serif"/>
          <w:color w:val="auto"/>
          <w:kern w:val="0"/>
          <w:szCs w:val="21"/>
          <w:highlight w:val="none"/>
        </w:rPr>
        <w:t>，承担由此给</w:t>
      </w:r>
      <w:r>
        <w:rPr>
          <w:rFonts w:hint="eastAsia" w:ascii="宋体" w:hAnsi="宋体" w:cs="Microsoft Sans Serif"/>
          <w:color w:val="auto"/>
          <w:szCs w:val="21"/>
          <w:highlight w:val="none"/>
        </w:rPr>
        <w:t>发包人造成的经济损失。</w:t>
      </w:r>
    </w:p>
    <w:p w14:paraId="1091CA97">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szCs w:val="21"/>
          <w:highlight w:val="none"/>
        </w:rPr>
        <w:t>承包人承担承包范围的工程质量、安全、环保责任，因承包人原因引起的质量、安全、环保等事故由承包人承担相应的法律后果。</w:t>
      </w:r>
    </w:p>
    <w:bookmarkEnd w:id="1979"/>
    <w:p w14:paraId="01157896">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16.2.3 因承包人违约解除合同</w:t>
      </w:r>
    </w:p>
    <w:p w14:paraId="2E88D466">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因承包人违约并致使合同目的不能实现的，发包人有权解除合同：</w:t>
      </w:r>
    </w:p>
    <w:p w14:paraId="05F3ADE2">
      <w:pPr>
        <w:pStyle w:val="107"/>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（1）未按合同约定延迟提供履约担保、质量保证金超过14天的；</w:t>
      </w:r>
    </w:p>
    <w:p w14:paraId="722842B1">
      <w:pPr>
        <w:pStyle w:val="107"/>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（2）未按合同约定购买保险且经催告后超过56天的；</w:t>
      </w:r>
    </w:p>
    <w:p w14:paraId="5C640E4B">
      <w:pPr>
        <w:pStyle w:val="107"/>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（3）因承包人原因导致开工时间累计延误超过56天的；</w:t>
      </w:r>
    </w:p>
    <w:p w14:paraId="67034D84">
      <w:pPr>
        <w:pStyle w:val="107"/>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（4）因承包人原因导致工期延误超过90天的；</w:t>
      </w:r>
    </w:p>
    <w:p w14:paraId="72A45721">
      <w:pPr>
        <w:pStyle w:val="107"/>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（5）发生第21.2款〔退出机制〕约定的情形的；</w:t>
      </w:r>
    </w:p>
    <w:p w14:paraId="45A23D49">
      <w:pPr>
        <w:pStyle w:val="107"/>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（6）监理人发出整改通知后，承包人在监理人限定的期限内仍不纠正违约行为的；</w:t>
      </w:r>
    </w:p>
    <w:p w14:paraId="7D3D61A0">
      <w:pPr>
        <w:pStyle w:val="107"/>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（7）承包人进入清算或者严重资不抵债且无法履行合同的；</w:t>
      </w:r>
    </w:p>
    <w:p w14:paraId="7338E23C">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（8）违反适用法律而被相关政府部门依法吊销营业执照、责令停业、清算或宣布破产、责令关闭的；</w:t>
      </w:r>
    </w:p>
    <w:p w14:paraId="2A97FE6B">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（9）承包人未履行合同项下的义务构成对合同的实质性违约，并且在收到发包人要求说明其违约并予以补救的通知后56天内仍未能补救该实质性违约的；</w:t>
      </w:r>
    </w:p>
    <w:p w14:paraId="6163C668">
      <w:pPr>
        <w:pStyle w:val="107"/>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（10）合</w:t>
      </w:r>
      <w:r>
        <w:rPr>
          <w:rFonts w:hint="eastAsia" w:ascii="宋体" w:hAnsi="宋体" w:cs="Microsoft Sans Serif"/>
          <w:color w:val="auto"/>
          <w:kern w:val="0"/>
          <w:sz w:val="21"/>
          <w:szCs w:val="21"/>
          <w:highlight w:val="none"/>
          <w:u w:val="single"/>
        </w:rPr>
        <w:t>同约定的发包人有权解除合同的其他情形</w:t>
      </w:r>
      <w:r>
        <w:rPr>
          <w:rFonts w:hint="eastAsia" w:ascii="宋体" w:hAnsi="宋体" w:cs="Microsoft Sans Serif"/>
          <w:color w:val="auto"/>
          <w:kern w:val="0"/>
          <w:sz w:val="21"/>
          <w:szCs w:val="21"/>
          <w:highlight w:val="none"/>
        </w:rPr>
        <w:t>。</w:t>
      </w:r>
    </w:p>
    <w:p w14:paraId="6A7C6602">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16.2.4因承包人违约解除合同后的处理</w:t>
      </w:r>
    </w:p>
    <w:p w14:paraId="76B4C158">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因承包人违约导致合同解除的，合同当事人应在合同解除后56天内完成估价、付款和清算，并按以下约定执行：</w:t>
      </w:r>
    </w:p>
    <w:p w14:paraId="505C7EC9">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（1）合同解除后，按第14.2款结算审定方式确定承包人实际完成工作对应的合同价款，以及承包人已提供的材料、工程设备、施工设备和临时工程等的价值；</w:t>
      </w:r>
    </w:p>
    <w:p w14:paraId="52A3616A">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（2）合同解除后，承包人应支付违约金；</w:t>
      </w:r>
    </w:p>
    <w:p w14:paraId="05A69B3B">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（3）合同解除后，赔偿因解除合同给发包人造成的损失；</w:t>
      </w:r>
    </w:p>
    <w:p w14:paraId="1B8CF194">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（4）合同解除后，承包人应按照发包人要求和监理人的指示完成现场的清理和撤离。</w:t>
      </w:r>
    </w:p>
    <w:p w14:paraId="15C5DDEC">
      <w:pPr>
        <w:spacing w:line="360" w:lineRule="auto"/>
        <w:ind w:firstLine="420" w:firstLineChars="200"/>
        <w:jc w:val="left"/>
        <w:rPr>
          <w:rFonts w:ascii="宋体" w:hAnsi="宋体"/>
          <w:color w:val="auto"/>
          <w:szCs w:val="21"/>
          <w:highlight w:val="none"/>
        </w:rPr>
      </w:pPr>
      <w:r>
        <w:rPr>
          <w:rFonts w:hint="eastAsia" w:ascii="宋体" w:hAnsi="宋体" w:cs="Microsoft Sans Serif"/>
          <w:color w:val="auto"/>
          <w:kern w:val="0"/>
          <w:szCs w:val="21"/>
          <w:highlight w:val="none"/>
        </w:rPr>
        <w:t>（5）</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rPr>
        <w:t>。</w:t>
      </w:r>
    </w:p>
    <w:p w14:paraId="5DADD92B">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因承包人违约导致解除合同的，发包人有权暂停对承包人的付款，查清各项付款和已扣款项。发包人和承包人未能就合同解除后的清算和款项支付达成一致的，按照第20条〔争议解决〕的约定处理。</w:t>
      </w:r>
    </w:p>
    <w:p w14:paraId="60F8C070">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合同解除后，发包人可派员进驻施工现场，另行组织人员或委托其他承包人继续完成合同工程；因继续完成工程的需要，发包人有权使用承包人在施工现场的材料、设备、临时工程、承包人文件和由承包人或以其名义编制的其他文件；发包人继续使用承包人在施工现场的材料、设备、临时工程、承包人文件和由承包人或以其名义编制的其他文件的费用承担方式由双方协商确定；发包人继续使用的行为不免除或减轻承包人应承担的违约责任，也不影响发包人根据合同享有的索赔等权利。</w:t>
      </w:r>
    </w:p>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966"/>
    <w:bookmarkEnd w:id="1967"/>
    <w:p w14:paraId="6B844CB8">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980" w:name="_Toc532377404"/>
      <w:bookmarkStart w:id="1981" w:name="_Toc351203649"/>
      <w:bookmarkStart w:id="1982" w:name="_Toc532375665"/>
      <w:bookmarkStart w:id="1983" w:name="_Hlk528928440"/>
      <w:r>
        <w:rPr>
          <w:rFonts w:hint="eastAsia"/>
          <w:color w:val="auto"/>
          <w:kern w:val="2"/>
          <w:sz w:val="21"/>
          <w:szCs w:val="21"/>
          <w:highlight w:val="none"/>
        </w:rPr>
        <w:t>17. 不可抗力</w:t>
      </w:r>
      <w:bookmarkEnd w:id="1980"/>
      <w:bookmarkEnd w:id="1981"/>
      <w:bookmarkEnd w:id="1982"/>
    </w:p>
    <w:p w14:paraId="69617582">
      <w:pPr>
        <w:pStyle w:val="7"/>
        <w:spacing w:before="0" w:beforeAutospacing="0" w:after="0" w:afterAutospacing="0" w:line="360" w:lineRule="auto"/>
        <w:ind w:firstLine="422" w:firstLineChars="200"/>
        <w:rPr>
          <w:color w:val="auto"/>
          <w:sz w:val="21"/>
          <w:szCs w:val="21"/>
          <w:highlight w:val="none"/>
        </w:rPr>
      </w:pPr>
      <w:bookmarkStart w:id="1984" w:name="_Toc532377405"/>
      <w:bookmarkStart w:id="1985" w:name="_Toc532375666"/>
      <w:r>
        <w:rPr>
          <w:rFonts w:hint="eastAsia"/>
          <w:color w:val="auto"/>
          <w:sz w:val="21"/>
          <w:szCs w:val="21"/>
          <w:highlight w:val="none"/>
        </w:rPr>
        <w:t>17.1 不可抗力的确认</w:t>
      </w:r>
      <w:bookmarkEnd w:id="1984"/>
      <w:bookmarkEnd w:id="1985"/>
    </w:p>
    <w:p w14:paraId="21F412F3">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除通用合同条款约定的不可抗力事件之外，视为不可抗力的其他情形：</w:t>
      </w:r>
      <w:bookmarkStart w:id="1986" w:name="_Hlk524379638"/>
    </w:p>
    <w:p w14:paraId="4EB1C5AD">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（1）洪水、火山爆发、山崩、山体滑坡、泥石流、龙卷风、隧道内不可预测的突发性地质灾害等自然灾害；</w:t>
      </w:r>
    </w:p>
    <w:p w14:paraId="69F2703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（2）骚乱、戒严、封锁、禁运、恐怖行为、等社会行为，但承包人或其分包人派遣与雇佣的人员由于合同工程施工原因引起的除外；</w:t>
      </w:r>
    </w:p>
    <w:p w14:paraId="1C45CB9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（3）不能合理预见的重大交通阻滞、停运、交通事故，非双方责任引起的火灾、爆炸、船舶撞击等情形；</w:t>
      </w:r>
    </w:p>
    <w:p w14:paraId="779425C7">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（4）化学或放射性污染或核辐射；</w:t>
      </w:r>
    </w:p>
    <w:p w14:paraId="476FADE4">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（5）环保治理等政府行为导致项目停工的。</w:t>
      </w:r>
      <w:bookmarkEnd w:id="1986"/>
    </w:p>
    <w:p w14:paraId="56FF4C1D">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（6）</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7090D7AD">
      <w:pPr>
        <w:pStyle w:val="7"/>
        <w:spacing w:before="0" w:beforeAutospacing="0" w:after="0" w:afterAutospacing="0" w:line="360" w:lineRule="auto"/>
        <w:ind w:firstLine="422" w:firstLineChars="200"/>
        <w:rPr>
          <w:color w:val="auto"/>
          <w:sz w:val="21"/>
          <w:szCs w:val="21"/>
          <w:highlight w:val="none"/>
        </w:rPr>
      </w:pPr>
      <w:bookmarkStart w:id="1987" w:name="_Toc532377406"/>
      <w:bookmarkStart w:id="1988" w:name="_Toc351203610"/>
      <w:bookmarkStart w:id="1989" w:name="_Toc532375667"/>
      <w:bookmarkStart w:id="1990" w:name="_Toc337558826"/>
      <w:bookmarkStart w:id="1991" w:name="_Toc296346620"/>
      <w:bookmarkStart w:id="1992" w:name="_Toc296503119"/>
      <w:r>
        <w:rPr>
          <w:rFonts w:hint="eastAsia"/>
          <w:color w:val="auto"/>
          <w:sz w:val="21"/>
          <w:szCs w:val="21"/>
          <w:highlight w:val="none"/>
        </w:rPr>
        <w:t>17.3 不可抗力后果的承担</w:t>
      </w:r>
      <w:bookmarkEnd w:id="1987"/>
      <w:bookmarkEnd w:id="1988"/>
      <w:bookmarkEnd w:id="1989"/>
    </w:p>
    <w:bookmarkEnd w:id="1990"/>
    <w:bookmarkEnd w:id="1991"/>
    <w:bookmarkEnd w:id="1992"/>
    <w:p w14:paraId="54E4D50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17.3.1 不可抗力引起的后果及造成的损失由合同当事人按照法律规定及合同约定各自承担。不可抗力发生前已完成的工程应当按照合同约定进行计量支付。</w:t>
      </w:r>
    </w:p>
    <w:p w14:paraId="3D2C80BB">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17.3.2 不可抗力导致的人员伤亡、财产损失、费用增加和（或）工期延误等后果，由合同当事人按以下原则承担：</w:t>
      </w:r>
    </w:p>
    <w:p w14:paraId="5952768E">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（1）永久工程、已运至施工现场的施工材料和工程设备的损坏，以及因工程损坏造成的第三方人员伤亡和财产损失由发包人承担；</w:t>
      </w:r>
    </w:p>
    <w:p w14:paraId="1903E862">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（2）承包人施工设备的损坏由承包人承担；</w:t>
      </w:r>
    </w:p>
    <w:p w14:paraId="40383F37">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（3）发包人和承包人承担各自人员伤亡和财产的损失；</w:t>
      </w:r>
    </w:p>
    <w:p w14:paraId="2F1CEDA7">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（4）因不可抗力影响承包人履行合同约定的义务，已经引起或将引起工期延误的，应当顺延工期，由此导致承包人停工的费用损失由发包人和承包人合理共担；</w:t>
      </w:r>
    </w:p>
    <w:p w14:paraId="266E59E7">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（5）因不可抗力引起或将引起工期延误，发包人要求赶工的，由此增加的赶工费用由发包人承担；</w:t>
      </w:r>
    </w:p>
    <w:p w14:paraId="3E2CCB6C">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（6）承包人在停工期间按照发包人要求照管、清理和修复工程的费用由发包人承担；</w:t>
      </w:r>
    </w:p>
    <w:p w14:paraId="5AC10CC0">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（7）不可抗力事件发生后，合同当事人均应采取措施尽量避免和减少损失的扩大，任何一方当事人没有采取有效措施导致损失扩大的，应对扩大的损失承担责任。</w:t>
      </w:r>
    </w:p>
    <w:p w14:paraId="7E7C75CA">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（8）</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24C91C8E">
      <w:pPr>
        <w:pStyle w:val="7"/>
        <w:spacing w:before="0" w:beforeAutospacing="0" w:after="0" w:afterAutospacing="0" w:line="360" w:lineRule="auto"/>
        <w:ind w:firstLine="422" w:firstLineChars="200"/>
        <w:rPr>
          <w:color w:val="auto"/>
          <w:sz w:val="21"/>
          <w:szCs w:val="21"/>
          <w:highlight w:val="none"/>
        </w:rPr>
      </w:pPr>
      <w:bookmarkStart w:id="1993" w:name="_Toc532375668"/>
      <w:bookmarkStart w:id="1994" w:name="_Toc532377407"/>
      <w:r>
        <w:rPr>
          <w:rFonts w:hint="eastAsia"/>
          <w:color w:val="auto"/>
          <w:sz w:val="21"/>
          <w:szCs w:val="21"/>
          <w:highlight w:val="none"/>
        </w:rPr>
        <w:t>17.4 因不可抗力解除合同</w:t>
      </w:r>
      <w:bookmarkEnd w:id="1993"/>
      <w:bookmarkEnd w:id="1994"/>
    </w:p>
    <w:p w14:paraId="01022441">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合同解除后，发包人应在商定或确定发包人应支付款项后</w:t>
      </w:r>
      <w:r>
        <w:rPr>
          <w:rFonts w:hint="eastAsia" w:ascii="宋体" w:hAnsi="宋体"/>
          <w:color w:val="auto"/>
          <w:szCs w:val="21"/>
          <w:highlight w:val="none"/>
          <w:u w:val="single"/>
        </w:rPr>
        <w:t>28</w:t>
      </w:r>
      <w:r>
        <w:rPr>
          <w:rFonts w:hint="eastAsia" w:ascii="宋体" w:hAnsi="宋体"/>
          <w:color w:val="auto"/>
          <w:szCs w:val="21"/>
          <w:highlight w:val="none"/>
        </w:rPr>
        <w:t>天内完成款项的支付。</w:t>
      </w:r>
    </w:p>
    <w:p w14:paraId="745BFEE0">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995" w:name="_Toc532377408"/>
      <w:bookmarkStart w:id="1996" w:name="_Toc351203650"/>
      <w:bookmarkStart w:id="1997" w:name="_Toc532375669"/>
      <w:r>
        <w:rPr>
          <w:rFonts w:hint="eastAsia"/>
          <w:color w:val="auto"/>
          <w:kern w:val="2"/>
          <w:sz w:val="21"/>
          <w:szCs w:val="21"/>
          <w:highlight w:val="none"/>
        </w:rPr>
        <w:t>18. 保险</w:t>
      </w:r>
      <w:bookmarkEnd w:id="1995"/>
      <w:bookmarkEnd w:id="1996"/>
      <w:bookmarkEnd w:id="1997"/>
    </w:p>
    <w:p w14:paraId="67BA3AC2">
      <w:pPr>
        <w:pStyle w:val="7"/>
        <w:spacing w:before="0" w:beforeAutospacing="0" w:after="0" w:afterAutospacing="0" w:line="360" w:lineRule="auto"/>
        <w:ind w:firstLine="422" w:firstLineChars="200"/>
        <w:rPr>
          <w:color w:val="auto"/>
          <w:sz w:val="21"/>
          <w:szCs w:val="21"/>
          <w:highlight w:val="none"/>
        </w:rPr>
      </w:pPr>
      <w:bookmarkStart w:id="1998" w:name="_Toc532375670"/>
      <w:bookmarkStart w:id="1999" w:name="_Toc532377409"/>
      <w:r>
        <w:rPr>
          <w:rFonts w:hint="eastAsia"/>
          <w:color w:val="auto"/>
          <w:sz w:val="21"/>
          <w:szCs w:val="21"/>
          <w:highlight w:val="none"/>
        </w:rPr>
        <w:t>18.1 工程保险</w:t>
      </w:r>
      <w:bookmarkEnd w:id="1998"/>
      <w:bookmarkEnd w:id="1999"/>
    </w:p>
    <w:p w14:paraId="2E5862AE">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关于工程保险的特别约定：发包人应投保</w:t>
      </w:r>
      <w:r>
        <w:rPr>
          <w:rFonts w:hint="eastAsia" w:ascii="宋体" w:hAnsi="宋体"/>
          <w:color w:val="auto"/>
          <w:szCs w:val="21"/>
          <w:highlight w:val="none"/>
          <w:u w:val="single"/>
        </w:rPr>
        <w:t>建筑工程一切险或安装工程一切险</w:t>
      </w:r>
      <w:r>
        <w:rPr>
          <w:rFonts w:hint="eastAsia" w:ascii="宋体" w:hAnsi="宋体"/>
          <w:color w:val="auto"/>
          <w:szCs w:val="21"/>
          <w:highlight w:val="none"/>
        </w:rPr>
        <w:t>；发包人委托承包人投保的，因投保产生的保险费和其他相关费用由发包人承担。</w:t>
      </w:r>
    </w:p>
    <w:p w14:paraId="3470B665">
      <w:pPr>
        <w:pStyle w:val="7"/>
        <w:spacing w:before="0" w:beforeAutospacing="0" w:after="0" w:afterAutospacing="0" w:line="360" w:lineRule="auto"/>
        <w:ind w:firstLine="422" w:firstLineChars="200"/>
        <w:rPr>
          <w:color w:val="auto"/>
          <w:sz w:val="21"/>
          <w:szCs w:val="21"/>
          <w:highlight w:val="none"/>
        </w:rPr>
      </w:pPr>
      <w:bookmarkStart w:id="2000" w:name="_Toc532375671"/>
      <w:bookmarkStart w:id="2001" w:name="_Toc532377410"/>
      <w:r>
        <w:rPr>
          <w:rFonts w:hint="eastAsia"/>
          <w:color w:val="auto"/>
          <w:sz w:val="21"/>
          <w:szCs w:val="21"/>
          <w:highlight w:val="none"/>
        </w:rPr>
        <w:t>18.3 其他保险</w:t>
      </w:r>
      <w:bookmarkEnd w:id="2000"/>
      <w:bookmarkEnd w:id="2001"/>
    </w:p>
    <w:p w14:paraId="6498DB84">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关于其他保险的约定：</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06F1B437">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承包人是否应为其施工设备等办理财产保险：</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15395F04">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安全生产责任险：</w:t>
      </w:r>
      <w:r>
        <w:rPr>
          <w:rFonts w:hint="eastAsia" w:ascii="宋体" w:hAnsi="宋体"/>
          <w:color w:val="auto"/>
          <w:szCs w:val="21"/>
          <w:highlight w:val="none"/>
          <w:u w:val="single"/>
        </w:rPr>
        <w:t>承包人应按《重庆市人民政府办公厅关于在高危行业领域强制推行安全生产责任保险的实施意见》（渝府办法〔2017〕182号）的要求办理安全生产责任保险</w:t>
      </w:r>
      <w:r>
        <w:rPr>
          <w:rFonts w:hint="eastAsia" w:ascii="宋体" w:hAnsi="宋体"/>
          <w:color w:val="auto"/>
          <w:szCs w:val="21"/>
          <w:highlight w:val="none"/>
        </w:rPr>
        <w:t>。</w:t>
      </w:r>
    </w:p>
    <w:p w14:paraId="0CDB4BFA">
      <w:pPr>
        <w:pStyle w:val="7"/>
        <w:spacing w:before="0" w:beforeAutospacing="0" w:after="0" w:afterAutospacing="0" w:line="360" w:lineRule="auto"/>
        <w:ind w:firstLine="422" w:firstLineChars="200"/>
        <w:rPr>
          <w:color w:val="auto"/>
          <w:sz w:val="21"/>
          <w:szCs w:val="21"/>
          <w:highlight w:val="none"/>
        </w:rPr>
      </w:pPr>
      <w:bookmarkStart w:id="2002" w:name="_Toc532377411"/>
      <w:bookmarkStart w:id="2003" w:name="_Toc532375672"/>
      <w:r>
        <w:rPr>
          <w:rFonts w:hint="eastAsia"/>
          <w:color w:val="auto"/>
          <w:sz w:val="21"/>
          <w:szCs w:val="21"/>
          <w:highlight w:val="none"/>
        </w:rPr>
        <w:t>18.7 通知义务</w:t>
      </w:r>
      <w:bookmarkEnd w:id="2002"/>
      <w:bookmarkEnd w:id="2003"/>
    </w:p>
    <w:p w14:paraId="313A91C1">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关于变更保险合同时的通知义务的约定：</w:t>
      </w:r>
      <w:r>
        <w:rPr>
          <w:rFonts w:hint="eastAsia" w:ascii="宋体" w:hAnsi="宋体"/>
          <w:color w:val="auto"/>
          <w:szCs w:val="21"/>
          <w:highlight w:val="none"/>
          <w:u w:val="single"/>
        </w:rPr>
        <w:t>按通用合同条款执行</w:t>
      </w:r>
      <w:r>
        <w:rPr>
          <w:rFonts w:hint="eastAsia" w:ascii="宋体" w:hAnsi="宋体"/>
          <w:color w:val="auto"/>
          <w:szCs w:val="21"/>
          <w:highlight w:val="none"/>
        </w:rPr>
        <w:t>。</w:t>
      </w:r>
    </w:p>
    <w:p w14:paraId="024A89C0">
      <w:pPr>
        <w:pStyle w:val="7"/>
        <w:spacing w:before="0" w:beforeAutospacing="0" w:after="0" w:afterAutospacing="0" w:line="360" w:lineRule="auto"/>
        <w:ind w:firstLine="422" w:firstLineChars="200"/>
        <w:rPr>
          <w:color w:val="auto"/>
          <w:sz w:val="21"/>
          <w:szCs w:val="21"/>
          <w:highlight w:val="none"/>
        </w:rPr>
      </w:pPr>
      <w:bookmarkStart w:id="2004" w:name="_Toc532377412"/>
      <w:bookmarkStart w:id="2005" w:name="_Toc532375673"/>
      <w:r>
        <w:rPr>
          <w:rFonts w:hint="eastAsia"/>
          <w:color w:val="auto"/>
          <w:sz w:val="21"/>
          <w:szCs w:val="21"/>
          <w:highlight w:val="none"/>
        </w:rPr>
        <w:t>18.8 其他</w:t>
      </w:r>
      <w:bookmarkEnd w:id="2004"/>
      <w:bookmarkEnd w:id="2005"/>
    </w:p>
    <w:p w14:paraId="7D1038D5">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18.8.1 工程开工日前，承包人向发包人提交各项生效的保险证据和保险单副本。未按本项约定提交的，每延后1天，承包人按500元/天支付违约金。</w:t>
      </w:r>
    </w:p>
    <w:p w14:paraId="62BE3374">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18.8.2 承包人保险赔偿金不足以补偿发包人损失时，</w:t>
      </w:r>
      <w:bookmarkStart w:id="2006" w:name="_Hlk524378346"/>
      <w:r>
        <w:rPr>
          <w:rFonts w:hint="eastAsia" w:ascii="宋体" w:hAnsi="宋体"/>
          <w:color w:val="auto"/>
          <w:szCs w:val="21"/>
          <w:highlight w:val="none"/>
        </w:rPr>
        <w:t>差额由承包人负责补足</w:t>
      </w:r>
      <w:bookmarkEnd w:id="2006"/>
      <w:r>
        <w:rPr>
          <w:rFonts w:hint="eastAsia" w:ascii="宋体" w:hAnsi="宋体"/>
          <w:color w:val="auto"/>
          <w:szCs w:val="21"/>
          <w:highlight w:val="none"/>
        </w:rPr>
        <w:t>。</w:t>
      </w:r>
    </w:p>
    <w:p w14:paraId="0A649AC7">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2007" w:name="_Toc351203620"/>
      <w:bookmarkStart w:id="2008" w:name="_Toc532375674"/>
      <w:bookmarkStart w:id="2009" w:name="_Toc532377413"/>
      <w:bookmarkStart w:id="2010" w:name="_Toc337558835"/>
      <w:bookmarkStart w:id="2011" w:name="_Toc296503140"/>
      <w:bookmarkStart w:id="2012" w:name="_Toc296346641"/>
      <w:r>
        <w:rPr>
          <w:rFonts w:hint="eastAsia"/>
          <w:color w:val="auto"/>
          <w:kern w:val="2"/>
          <w:sz w:val="21"/>
          <w:szCs w:val="21"/>
          <w:highlight w:val="none"/>
        </w:rPr>
        <w:t>19. 索赔</w:t>
      </w:r>
      <w:bookmarkEnd w:id="2007"/>
      <w:bookmarkEnd w:id="2008"/>
      <w:bookmarkEnd w:id="2009"/>
    </w:p>
    <w:bookmarkEnd w:id="2010"/>
    <w:bookmarkEnd w:id="2011"/>
    <w:bookmarkEnd w:id="2012"/>
    <w:p w14:paraId="5DABBADC">
      <w:pPr>
        <w:pStyle w:val="7"/>
        <w:spacing w:before="0" w:beforeAutospacing="0" w:after="0" w:afterAutospacing="0" w:line="360" w:lineRule="auto"/>
        <w:ind w:firstLine="422" w:firstLineChars="200"/>
        <w:rPr>
          <w:color w:val="auto"/>
          <w:sz w:val="21"/>
          <w:szCs w:val="21"/>
          <w:highlight w:val="none"/>
        </w:rPr>
      </w:pPr>
      <w:bookmarkStart w:id="2013" w:name="_Toc532377414"/>
      <w:bookmarkStart w:id="2014" w:name="_Toc532375675"/>
      <w:bookmarkStart w:id="2015" w:name="_Toc296346642"/>
      <w:bookmarkStart w:id="2016" w:name="_Toc337558836"/>
      <w:bookmarkStart w:id="2017" w:name="_Toc296503141"/>
      <w:bookmarkStart w:id="2018" w:name="_Toc351203621"/>
      <w:r>
        <w:rPr>
          <w:rFonts w:hint="eastAsia"/>
          <w:color w:val="auto"/>
          <w:sz w:val="21"/>
          <w:szCs w:val="21"/>
          <w:highlight w:val="none"/>
        </w:rPr>
        <w:t>19.1 承包人的索赔</w:t>
      </w:r>
      <w:bookmarkEnd w:id="2013"/>
      <w:bookmarkEnd w:id="2014"/>
    </w:p>
    <w:p w14:paraId="1F8EDB50">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根据合同约定，承包人认为有权得到追加付款和（或）延长工期的，应按以下程序向发包人提出索赔：</w:t>
      </w:r>
    </w:p>
    <w:p w14:paraId="5EEBEEC8">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（1）承包人应在索赔事件发生后28天内，向监理人递交索赔意向通知书，并说明发生索赔事件的事由；承包人未在前述28天内发出索赔意向通知书的，丧失要求追加付款和（或）延长工期的权利；</w:t>
      </w:r>
    </w:p>
    <w:p w14:paraId="0CF5A68B">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（2）承包人应在发出索赔意向通知书后28天内，向监理人正式递交索赔报告；索赔报告应详细说明索赔理由以及要求追加的付款金额和（或）延长的工期，并附必要的记录和证明材料；</w:t>
      </w:r>
    </w:p>
    <w:p w14:paraId="21753280">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（3）索赔事件具有持续影响的，承包人应按监理人要求的合理时间间隔继续递交延续索赔通知，说明持续影响的实际情况和记录，列出累计的追加付款金额和（或）工期延长天数；</w:t>
      </w:r>
    </w:p>
    <w:p w14:paraId="6A7D245A">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（4）在索赔事件影响结束后28天内，承包人应向监理人递交最终索赔报告，说明最终要求索赔的追加付款金额和（或）延长的工期，并附必要的记录和证明材料。</w:t>
      </w:r>
    </w:p>
    <w:p w14:paraId="2A9D172A">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（5）</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0ADEC343">
      <w:pPr>
        <w:pStyle w:val="7"/>
        <w:spacing w:before="0" w:beforeAutospacing="0" w:after="0" w:afterAutospacing="0" w:line="360" w:lineRule="auto"/>
        <w:ind w:firstLine="422" w:firstLineChars="200"/>
        <w:rPr>
          <w:color w:val="auto"/>
          <w:sz w:val="21"/>
          <w:szCs w:val="21"/>
          <w:highlight w:val="none"/>
        </w:rPr>
      </w:pPr>
      <w:bookmarkStart w:id="2019" w:name="_Toc532375676"/>
      <w:bookmarkStart w:id="2020" w:name="_Toc532377415"/>
      <w:r>
        <w:rPr>
          <w:rFonts w:hint="eastAsia"/>
          <w:color w:val="auto"/>
          <w:sz w:val="21"/>
          <w:szCs w:val="21"/>
          <w:highlight w:val="none"/>
        </w:rPr>
        <w:t>19.2 对承包人索赔的处理</w:t>
      </w:r>
      <w:bookmarkEnd w:id="2019"/>
      <w:bookmarkEnd w:id="2020"/>
    </w:p>
    <w:p w14:paraId="7DD422C5">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对承包人索赔的处理如下：</w:t>
      </w:r>
    </w:p>
    <w:p w14:paraId="737582A4">
      <w:pPr>
        <w:autoSpaceDE w:val="0"/>
        <w:autoSpaceDN w:val="0"/>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（1）监理人应在收到索赔报告后14天内完成审查并报送发包人。监理人对索赔报告存在异议的，有权要求承包人提交全部原始记录副本</w:t>
      </w:r>
      <w:r>
        <w:rPr>
          <w:rFonts w:hint="eastAsia" w:ascii="宋体" w:hAnsi="宋体"/>
          <w:color w:val="auto"/>
          <w:szCs w:val="21"/>
          <w:highlight w:val="none"/>
        </w:rPr>
        <w:t>；</w:t>
      </w:r>
    </w:p>
    <w:p w14:paraId="62B23C3F">
      <w:pPr>
        <w:autoSpaceDE w:val="0"/>
        <w:autoSpaceDN w:val="0"/>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2）发包人应在监理人收到索赔报告或有关索赔的进一步证明材料后的28天内，由监理人向承包人出具经发包人签认的索赔处理结果。发包人逾期未答复的，承包人应以书面形式催告发包人，经承包人三次（每次间隔不少于3天）书面催告后，发包人仍未按期限答复的，则视为认可承包人的索赔要求</w:t>
      </w:r>
      <w:r>
        <w:rPr>
          <w:rFonts w:hint="eastAsia" w:ascii="宋体" w:hAnsi="宋体"/>
          <w:color w:val="auto"/>
          <w:szCs w:val="21"/>
          <w:highlight w:val="none"/>
        </w:rPr>
        <w:t>；</w:t>
      </w:r>
    </w:p>
    <w:p w14:paraId="698FD8FE">
      <w:pPr>
        <w:autoSpaceDE w:val="0"/>
        <w:autoSpaceDN w:val="0"/>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（3）承包人接受索赔处理结果的，索赔款项在当期进度款中进行支付；承包人不接受索赔处理结果的，按照第20条〔争议解决〕约定处理</w:t>
      </w:r>
      <w:r>
        <w:rPr>
          <w:rFonts w:hint="eastAsia" w:ascii="宋体" w:hAnsi="宋体"/>
          <w:color w:val="auto"/>
          <w:szCs w:val="21"/>
          <w:highlight w:val="none"/>
        </w:rPr>
        <w:t>；</w:t>
      </w:r>
    </w:p>
    <w:p w14:paraId="4F4EACC7">
      <w:pPr>
        <w:autoSpaceDE w:val="0"/>
        <w:autoSpaceDN w:val="0"/>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（4）工期延误的关键线路按照经监理人、发包人审批同意的施工组织设计计算</w:t>
      </w:r>
      <w:r>
        <w:rPr>
          <w:rFonts w:hint="eastAsia" w:ascii="宋体" w:hAnsi="宋体"/>
          <w:color w:val="auto"/>
          <w:szCs w:val="21"/>
          <w:highlight w:val="none"/>
        </w:rPr>
        <w:t>。</w:t>
      </w:r>
    </w:p>
    <w:p w14:paraId="699231FF">
      <w:pPr>
        <w:pStyle w:val="7"/>
        <w:spacing w:before="0" w:beforeAutospacing="0" w:after="0" w:afterAutospacing="0" w:line="360" w:lineRule="auto"/>
        <w:ind w:firstLine="422" w:firstLineChars="200"/>
        <w:rPr>
          <w:color w:val="auto"/>
          <w:sz w:val="21"/>
          <w:szCs w:val="21"/>
          <w:highlight w:val="none"/>
        </w:rPr>
      </w:pPr>
      <w:bookmarkStart w:id="2021" w:name="_Toc532377416"/>
      <w:bookmarkStart w:id="2022" w:name="_Toc532375677"/>
      <w:r>
        <w:rPr>
          <w:rFonts w:hint="eastAsia"/>
          <w:color w:val="auto"/>
          <w:sz w:val="21"/>
          <w:szCs w:val="21"/>
          <w:highlight w:val="none"/>
        </w:rPr>
        <w:t>19.3发包人的索赔</w:t>
      </w:r>
      <w:bookmarkEnd w:id="2021"/>
      <w:bookmarkEnd w:id="2022"/>
    </w:p>
    <w:p w14:paraId="6D824C90">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根据合同约定，发包人认为有权得到赔付金额和（或）延长缺陷责任期的，监理人应向承包人发出通知并附有详细的证明。</w:t>
      </w:r>
    </w:p>
    <w:p w14:paraId="60D337D9">
      <w:pPr>
        <w:autoSpaceDE w:val="0"/>
        <w:autoSpaceDN w:val="0"/>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rPr>
        <w:t>发包人应在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索赔事件具有持续影响的，发包人应在索赔事件影响结束后28天内，</w:t>
      </w:r>
      <w:bookmarkStart w:id="2023" w:name="_Hlk528652769"/>
      <w:r>
        <w:rPr>
          <w:rFonts w:hint="eastAsia" w:ascii="宋体" w:hAnsi="宋体"/>
          <w:color w:val="auto"/>
          <w:szCs w:val="21"/>
          <w:highlight w:val="none"/>
        </w:rPr>
        <w:t>通过监理人向承包人正式递交最终索赔报告</w:t>
      </w:r>
      <w:bookmarkEnd w:id="2023"/>
      <w:r>
        <w:rPr>
          <w:rFonts w:hint="eastAsia" w:ascii="宋体" w:hAnsi="宋体"/>
          <w:color w:val="auto"/>
          <w:szCs w:val="21"/>
          <w:highlight w:val="none"/>
        </w:rPr>
        <w:t>。</w:t>
      </w:r>
    </w:p>
    <w:p w14:paraId="4FA9C9F0">
      <w:pPr>
        <w:pStyle w:val="7"/>
        <w:spacing w:before="0" w:beforeAutospacing="0" w:after="0" w:afterAutospacing="0" w:line="360" w:lineRule="auto"/>
        <w:ind w:firstLine="422" w:firstLineChars="200"/>
        <w:rPr>
          <w:color w:val="auto"/>
          <w:sz w:val="21"/>
          <w:szCs w:val="21"/>
          <w:highlight w:val="none"/>
        </w:rPr>
      </w:pPr>
      <w:bookmarkStart w:id="2024" w:name="_Toc532375678"/>
      <w:bookmarkStart w:id="2025" w:name="_Toc532377417"/>
      <w:r>
        <w:rPr>
          <w:rFonts w:hint="eastAsia"/>
          <w:color w:val="auto"/>
          <w:sz w:val="21"/>
          <w:szCs w:val="21"/>
          <w:highlight w:val="none"/>
        </w:rPr>
        <w:t>19.4 对发包人索赔的处理</w:t>
      </w:r>
      <w:bookmarkEnd w:id="2024"/>
      <w:bookmarkEnd w:id="2025"/>
    </w:p>
    <w:p w14:paraId="11B5685B">
      <w:pPr>
        <w:autoSpaceDE w:val="0"/>
        <w:autoSpaceDN w:val="0"/>
        <w:spacing w:line="360" w:lineRule="auto"/>
        <w:ind w:right="105" w:rightChars="50"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对发包人索赔的处理如下：</w:t>
      </w:r>
    </w:p>
    <w:p w14:paraId="50848FFE">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（1）承包人收到发包人提交的索赔报告后，应及时审查索赔报告的内容、查验发包人证明材料；</w:t>
      </w:r>
    </w:p>
    <w:p w14:paraId="6CC3E8ED">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承包人应在收到索赔报告或有关索赔的进一步证明材料后28天内，将索赔处理结果答复发包人。如果承包人未在上述期限内作出答复的，监理人应以书面形式催告承包人，经监理人三次书面催告后，承包人仍未按期限答复的，则视为对发包人索赔要求的认可；</w:t>
      </w:r>
    </w:p>
    <w:p w14:paraId="2A765DF4">
      <w:pPr>
        <w:autoSpaceDE w:val="0"/>
        <w:autoSpaceDN w:val="0"/>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rPr>
        <w:t>（3）承包人接受索赔处理结果的，发包人可从应支付给承包人的合同价款中扣除赔付的金额或延长缺陷责任期；发包人不接受索赔处理结果的，按第20条〔争议解决〕约定处理。</w:t>
      </w:r>
    </w:p>
    <w:p w14:paraId="18EAE264">
      <w:pPr>
        <w:pStyle w:val="7"/>
        <w:spacing w:before="0" w:beforeAutospacing="0" w:after="0" w:afterAutospacing="0" w:line="360" w:lineRule="auto"/>
        <w:ind w:firstLine="422" w:firstLineChars="200"/>
        <w:rPr>
          <w:color w:val="auto"/>
          <w:sz w:val="21"/>
          <w:szCs w:val="21"/>
          <w:highlight w:val="none"/>
        </w:rPr>
      </w:pPr>
      <w:bookmarkStart w:id="2026" w:name="_Toc532375679"/>
      <w:bookmarkStart w:id="2027" w:name="_Toc532377418"/>
      <w:bookmarkStart w:id="2028" w:name="_Hlk528928420"/>
      <w:r>
        <w:rPr>
          <w:rFonts w:hint="eastAsia"/>
          <w:color w:val="auto"/>
          <w:sz w:val="21"/>
          <w:szCs w:val="21"/>
          <w:highlight w:val="none"/>
        </w:rPr>
        <w:t>19.5 提出索赔的期限</w:t>
      </w:r>
      <w:bookmarkEnd w:id="2026"/>
      <w:bookmarkEnd w:id="2027"/>
    </w:p>
    <w:p w14:paraId="2B405A02">
      <w:pPr>
        <w:autoSpaceDE w:val="0"/>
        <w:autoSpaceDN w:val="0"/>
        <w:spacing w:line="360" w:lineRule="auto"/>
        <w:ind w:right="105" w:rightChars="50" w:firstLine="420" w:firstLineChars="200"/>
        <w:jc w:val="left"/>
        <w:rPr>
          <w:rFonts w:ascii="宋体" w:hAnsi="宋体"/>
          <w:color w:val="auto"/>
          <w:szCs w:val="21"/>
          <w:highlight w:val="none"/>
        </w:rPr>
      </w:pPr>
      <w:bookmarkStart w:id="2029" w:name="_Hlk524298376"/>
      <w:r>
        <w:rPr>
          <w:rFonts w:hint="eastAsia" w:ascii="宋体" w:hAnsi="宋体"/>
          <w:color w:val="auto"/>
          <w:szCs w:val="21"/>
          <w:highlight w:val="none"/>
        </w:rPr>
        <w:t>任一索赔事件发生后28天内，承包人/发包人未向对方发出索赔意向通知书的，视为其已放弃索赔权，无权再就该索赔事项提出任何索赔。</w:t>
      </w:r>
    </w:p>
    <w:bookmarkEnd w:id="2015"/>
    <w:bookmarkEnd w:id="2016"/>
    <w:bookmarkEnd w:id="2017"/>
    <w:bookmarkEnd w:id="2018"/>
    <w:bookmarkEnd w:id="2028"/>
    <w:bookmarkEnd w:id="2029"/>
    <w:p w14:paraId="04225EF8">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2030" w:name="_Toc351203651"/>
      <w:bookmarkStart w:id="2031" w:name="_Toc532375680"/>
      <w:bookmarkStart w:id="2032" w:name="_Toc532377419"/>
      <w:r>
        <w:rPr>
          <w:rFonts w:hint="eastAsia"/>
          <w:color w:val="auto"/>
          <w:kern w:val="2"/>
          <w:sz w:val="21"/>
          <w:szCs w:val="21"/>
          <w:highlight w:val="none"/>
        </w:rPr>
        <w:t>20. 争议解决</w:t>
      </w:r>
      <w:bookmarkEnd w:id="2030"/>
      <w:bookmarkEnd w:id="2031"/>
      <w:bookmarkEnd w:id="2032"/>
    </w:p>
    <w:p w14:paraId="50B1458D">
      <w:pPr>
        <w:pStyle w:val="7"/>
        <w:spacing w:before="0" w:beforeAutospacing="0" w:after="0" w:afterAutospacing="0" w:line="360" w:lineRule="auto"/>
        <w:ind w:firstLine="422" w:firstLineChars="200"/>
        <w:rPr>
          <w:color w:val="auto"/>
          <w:sz w:val="21"/>
          <w:szCs w:val="21"/>
          <w:highlight w:val="none"/>
        </w:rPr>
      </w:pPr>
      <w:bookmarkStart w:id="2033" w:name="_Toc532375681"/>
      <w:bookmarkStart w:id="2034" w:name="_Toc532377420"/>
      <w:r>
        <w:rPr>
          <w:rFonts w:hint="eastAsia"/>
          <w:color w:val="auto"/>
          <w:sz w:val="21"/>
          <w:szCs w:val="21"/>
          <w:highlight w:val="none"/>
        </w:rPr>
        <w:t>20.3 争议评审</w:t>
      </w:r>
      <w:bookmarkEnd w:id="2033"/>
      <w:bookmarkEnd w:id="2034"/>
    </w:p>
    <w:p w14:paraId="2E2E479A">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合同当事人是否同意将工程争议提交争议评审小组决定：</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42A3E204">
      <w:pPr>
        <w:pStyle w:val="7"/>
        <w:spacing w:before="0" w:beforeAutospacing="0" w:after="0" w:afterAutospacing="0" w:line="360" w:lineRule="auto"/>
        <w:ind w:firstLine="422" w:firstLineChars="200"/>
        <w:rPr>
          <w:color w:val="auto"/>
          <w:sz w:val="21"/>
          <w:szCs w:val="21"/>
          <w:highlight w:val="none"/>
        </w:rPr>
      </w:pPr>
      <w:bookmarkStart w:id="2035" w:name="_Toc532375682"/>
      <w:bookmarkStart w:id="2036" w:name="_Toc532377421"/>
      <w:r>
        <w:rPr>
          <w:rFonts w:hint="eastAsia"/>
          <w:color w:val="auto"/>
          <w:sz w:val="21"/>
          <w:szCs w:val="21"/>
          <w:highlight w:val="none"/>
        </w:rPr>
        <w:t>20.4 仲裁或诉讼</w:t>
      </w:r>
      <w:bookmarkEnd w:id="2035"/>
      <w:bookmarkEnd w:id="2036"/>
    </w:p>
    <w:p w14:paraId="4F359832">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因合同及合同有关事项发生的争议，按下列第</w:t>
      </w:r>
      <w:r>
        <w:rPr>
          <w:rFonts w:hint="eastAsia" w:ascii="宋体" w:hAnsi="宋体"/>
          <w:color w:val="auto"/>
          <w:szCs w:val="21"/>
          <w:highlight w:val="none"/>
          <w:u w:val="single"/>
        </w:rPr>
        <w:t xml:space="preserve">    </w:t>
      </w:r>
      <w:r>
        <w:rPr>
          <w:rFonts w:hint="eastAsia" w:ascii="宋体" w:hAnsi="宋体"/>
          <w:color w:val="auto"/>
          <w:szCs w:val="21"/>
          <w:highlight w:val="none"/>
        </w:rPr>
        <w:t>种方式解决：</w:t>
      </w:r>
    </w:p>
    <w:p w14:paraId="1970784D">
      <w:pPr>
        <w:spacing w:line="360" w:lineRule="auto"/>
        <w:ind w:right="105" w:rightChars="50" w:firstLine="420" w:firstLineChars="200"/>
        <w:jc w:val="left"/>
        <w:rPr>
          <w:rFonts w:ascii="宋体" w:hAnsi="宋体"/>
          <w:color w:val="auto"/>
          <w:szCs w:val="21"/>
          <w:highlight w:val="none"/>
        </w:rPr>
      </w:pPr>
      <w:r>
        <w:rPr>
          <w:rFonts w:ascii="宋体" w:hAnsi="宋体"/>
          <w:color w:val="auto"/>
          <w:szCs w:val="21"/>
          <w:highlight w:val="none"/>
        </w:rPr>
        <w:t>（1）向</w:t>
      </w:r>
      <w:r>
        <w:rPr>
          <w:rFonts w:ascii="宋体" w:hAnsi="宋体"/>
          <w:color w:val="auto"/>
          <w:szCs w:val="21"/>
          <w:highlight w:val="none"/>
          <w:u w:val="single"/>
        </w:rPr>
        <w:t xml:space="preserve">                     </w:t>
      </w:r>
      <w:r>
        <w:rPr>
          <w:rFonts w:ascii="宋体" w:hAnsi="宋体"/>
          <w:color w:val="auto"/>
          <w:szCs w:val="21"/>
          <w:highlight w:val="none"/>
        </w:rPr>
        <w:t>仲裁委员会申请仲裁；</w:t>
      </w:r>
    </w:p>
    <w:p w14:paraId="4B74AA6F">
      <w:pPr>
        <w:spacing w:line="360" w:lineRule="auto"/>
        <w:ind w:right="105" w:rightChars="50" w:firstLine="420" w:firstLineChars="200"/>
        <w:jc w:val="left"/>
        <w:rPr>
          <w:rFonts w:ascii="宋体" w:hAnsi="宋体"/>
          <w:color w:val="auto"/>
          <w:szCs w:val="21"/>
          <w:highlight w:val="none"/>
        </w:rPr>
      </w:pPr>
      <w:r>
        <w:rPr>
          <w:rFonts w:ascii="宋体" w:hAnsi="宋体"/>
          <w:color w:val="auto"/>
          <w:szCs w:val="21"/>
          <w:highlight w:val="none"/>
        </w:rPr>
        <w:t>（2）向</w:t>
      </w:r>
      <w:r>
        <w:rPr>
          <w:rFonts w:ascii="宋体" w:hAnsi="宋体"/>
          <w:color w:val="auto"/>
          <w:szCs w:val="21"/>
          <w:highlight w:val="none"/>
          <w:u w:val="single"/>
        </w:rPr>
        <w:t xml:space="preserve">                     </w:t>
      </w:r>
      <w:r>
        <w:rPr>
          <w:rFonts w:ascii="宋体" w:hAnsi="宋体"/>
          <w:color w:val="auto"/>
          <w:szCs w:val="21"/>
          <w:highlight w:val="none"/>
        </w:rPr>
        <w:t>人民法院起诉。</w:t>
      </w:r>
    </w:p>
    <w:p w14:paraId="6351AB47">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2037" w:name="_Toc532377422"/>
      <w:bookmarkStart w:id="2038" w:name="_Toc532375683"/>
      <w:r>
        <w:rPr>
          <w:rFonts w:hint="eastAsia"/>
          <w:color w:val="auto"/>
          <w:kern w:val="2"/>
          <w:sz w:val="21"/>
          <w:szCs w:val="21"/>
          <w:highlight w:val="none"/>
        </w:rPr>
        <w:t>21. 补充条款</w:t>
      </w:r>
      <w:bookmarkEnd w:id="2037"/>
      <w:bookmarkEnd w:id="2038"/>
    </w:p>
    <w:p w14:paraId="6F738BAA">
      <w:pPr>
        <w:pStyle w:val="7"/>
        <w:spacing w:before="0" w:beforeAutospacing="0" w:after="0" w:afterAutospacing="0" w:line="360" w:lineRule="auto"/>
        <w:ind w:firstLine="422" w:firstLineChars="200"/>
        <w:rPr>
          <w:color w:val="auto"/>
          <w:sz w:val="21"/>
          <w:szCs w:val="21"/>
          <w:highlight w:val="none"/>
        </w:rPr>
      </w:pPr>
      <w:bookmarkStart w:id="2039" w:name="_Toc532377423"/>
      <w:bookmarkStart w:id="2040" w:name="_Toc532375684"/>
      <w:r>
        <w:rPr>
          <w:rFonts w:hint="eastAsia"/>
          <w:color w:val="auto"/>
          <w:sz w:val="21"/>
          <w:szCs w:val="21"/>
          <w:highlight w:val="none"/>
        </w:rPr>
        <w:t>21.1 退出机制</w:t>
      </w:r>
      <w:bookmarkEnd w:id="2039"/>
      <w:bookmarkEnd w:id="2040"/>
    </w:p>
    <w:p w14:paraId="10FC874B">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21.1.1有下列情形之一的，发包人有权解除合同，亦有权兑付履约担保，并对承包人做清退出场处理</w:t>
      </w:r>
      <w:r>
        <w:rPr>
          <w:rFonts w:hint="eastAsia" w:ascii="宋体" w:hAnsi="宋体"/>
          <w:color w:val="auto"/>
          <w:kern w:val="0"/>
          <w:szCs w:val="21"/>
          <w:highlight w:val="none"/>
        </w:rPr>
        <w:t>：</w:t>
      </w:r>
    </w:p>
    <w:p w14:paraId="53695EA3">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（1）因承包人原因造成较大及以上等级生产安全事故或工程质量事故的；</w:t>
      </w:r>
    </w:p>
    <w:p w14:paraId="0ECC86BF">
      <w:pPr>
        <w:spacing w:line="360" w:lineRule="auto"/>
        <w:ind w:right="105" w:rightChars="50"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（2）因承包人债权债务纠纷或其他纠纷导致工程无法正常施工的。</w:t>
      </w:r>
    </w:p>
    <w:p w14:paraId="424A03B3">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kern w:val="0"/>
          <w:szCs w:val="21"/>
          <w:highlight w:val="none"/>
        </w:rPr>
        <w:t>（3）</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14:paraId="13FC47D6">
      <w:pPr>
        <w:pStyle w:val="2"/>
        <w:spacing w:after="0" w:line="360" w:lineRule="auto"/>
        <w:ind w:firstLine="420" w:firstLineChars="200"/>
        <w:rPr>
          <w:rFonts w:ascii="宋体" w:hAnsi="宋体"/>
          <w:color w:val="auto"/>
          <w:szCs w:val="21"/>
          <w:highlight w:val="none"/>
        </w:rPr>
      </w:pPr>
      <w:r>
        <w:rPr>
          <w:rFonts w:hint="eastAsia" w:ascii="宋体" w:hAnsi="宋体"/>
          <w:color w:val="auto"/>
          <w:szCs w:val="21"/>
          <w:highlight w:val="none"/>
        </w:rPr>
        <w:t>21.1.2有下列情形之一的，承包人有权解除合同，并按16.1.4约定执行：</w:t>
      </w:r>
    </w:p>
    <w:p w14:paraId="5286547F">
      <w:pPr>
        <w:pStyle w:val="2"/>
        <w:spacing w:after="0"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（1）因发包人征地、拆迁、补偿、审批手续等原因致使本工程延期开工超过90天的。</w:t>
      </w:r>
    </w:p>
    <w:p w14:paraId="0DE6FC84">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kern w:val="0"/>
          <w:szCs w:val="21"/>
          <w:highlight w:val="none"/>
        </w:rPr>
        <w:t>（2）</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14:paraId="5B7CA990">
      <w:pPr>
        <w:pStyle w:val="7"/>
        <w:spacing w:before="0" w:beforeAutospacing="0" w:after="0" w:afterAutospacing="0" w:line="360" w:lineRule="auto"/>
        <w:ind w:firstLine="422" w:firstLineChars="200"/>
        <w:rPr>
          <w:color w:val="auto"/>
          <w:sz w:val="21"/>
          <w:szCs w:val="21"/>
          <w:highlight w:val="none"/>
        </w:rPr>
      </w:pPr>
      <w:bookmarkStart w:id="2041" w:name="_Toc532377424"/>
      <w:bookmarkStart w:id="2042" w:name="_Toc532375685"/>
      <w:r>
        <w:rPr>
          <w:rFonts w:hint="eastAsia"/>
          <w:color w:val="auto"/>
          <w:sz w:val="21"/>
          <w:szCs w:val="21"/>
          <w:highlight w:val="none"/>
        </w:rPr>
        <w:t>21.2智慧工地</w:t>
      </w:r>
      <w:bookmarkEnd w:id="2041"/>
      <w:bookmarkEnd w:id="2042"/>
    </w:p>
    <w:p w14:paraId="226E375B">
      <w:pPr>
        <w:spacing w:line="360" w:lineRule="auto"/>
        <w:ind w:right="105" w:rightChars="50" w:firstLine="420" w:firstLineChars="200"/>
        <w:jc w:val="left"/>
        <w:rPr>
          <w:rFonts w:hint="eastAsia" w:ascii="宋体" w:hAnsi="宋体"/>
          <w:color w:val="auto"/>
          <w:szCs w:val="21"/>
          <w:highlight w:val="none"/>
        </w:rPr>
      </w:pPr>
      <w:r>
        <w:rPr>
          <w:rFonts w:hint="eastAsia" w:ascii="宋体" w:hAnsi="宋体"/>
          <w:color w:val="auto"/>
          <w:szCs w:val="21"/>
          <w:highlight w:val="none"/>
        </w:rPr>
        <w:t>工地建设可参照重庆市城乡建设委员会《关于印发“智慧工地”建设工作方案的通知》（渝建〔2017〕414号）的相关要求建设。</w:t>
      </w:r>
      <w:bookmarkEnd w:id="1983"/>
    </w:p>
    <w:p w14:paraId="5D4A62C6">
      <w:pPr>
        <w:pStyle w:val="7"/>
        <w:spacing w:before="0" w:beforeAutospacing="0" w:after="0" w:afterAutospacing="0" w:line="360" w:lineRule="auto"/>
        <w:ind w:firstLine="422" w:firstLineChars="200"/>
        <w:rPr>
          <w:color w:val="auto"/>
          <w:sz w:val="21"/>
          <w:szCs w:val="21"/>
          <w:highlight w:val="none"/>
        </w:rPr>
      </w:pPr>
      <w:r>
        <w:rPr>
          <w:rFonts w:hint="eastAsia"/>
          <w:color w:val="auto"/>
          <w:sz w:val="21"/>
          <w:szCs w:val="21"/>
          <w:highlight w:val="none"/>
        </w:rPr>
        <w:t xml:space="preserve">21.3 </w:t>
      </w:r>
      <w:r>
        <w:rPr>
          <w:rFonts w:hint="eastAsia"/>
          <w:color w:val="auto"/>
          <w:sz w:val="21"/>
          <w:szCs w:val="21"/>
          <w:highlight w:val="none"/>
          <w:u w:val="single"/>
        </w:rPr>
        <w:t xml:space="preserve">       </w:t>
      </w:r>
    </w:p>
    <w:p w14:paraId="2C73DF1D">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2043" w:name="baidusnap7"/>
      <w:bookmarkEnd w:id="2043"/>
      <w:bookmarkStart w:id="2044" w:name="baidusnap3"/>
      <w:bookmarkEnd w:id="2044"/>
      <w:bookmarkStart w:id="2045" w:name="_Toc532375686"/>
      <w:bookmarkStart w:id="2046" w:name="_Toc532377425"/>
      <w:bookmarkStart w:id="2047" w:name="_Toc351203652"/>
      <w:r>
        <w:rPr>
          <w:rFonts w:hint="eastAsia"/>
          <w:color w:val="auto"/>
          <w:kern w:val="2"/>
          <w:sz w:val="21"/>
          <w:szCs w:val="21"/>
          <w:highlight w:val="none"/>
        </w:rPr>
        <w:t>22. 合同附件</w:t>
      </w:r>
      <w:bookmarkEnd w:id="2045"/>
      <w:bookmarkEnd w:id="2046"/>
    </w:p>
    <w:p w14:paraId="324C28F4">
      <w:pPr>
        <w:spacing w:line="360" w:lineRule="auto"/>
        <w:ind w:right="105" w:rightChars="50" w:firstLine="420" w:firstLineChars="200"/>
        <w:jc w:val="left"/>
        <w:rPr>
          <w:rFonts w:hint="eastAsia" w:ascii="宋体" w:hAnsi="宋体"/>
          <w:color w:val="auto"/>
          <w:highlight w:val="none"/>
        </w:rPr>
      </w:pPr>
      <w:r>
        <w:rPr>
          <w:rFonts w:hint="eastAsia" w:ascii="宋体" w:hAnsi="宋体"/>
          <w:color w:val="auto"/>
          <w:highlight w:val="none"/>
        </w:rPr>
        <w:t>以下十个附件是本合同的有效组成部分：</w:t>
      </w:r>
    </w:p>
    <w:p w14:paraId="5080072D">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附件1：工程质量保修书</w:t>
      </w:r>
    </w:p>
    <w:p w14:paraId="69B40567">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附件2：主要建设工程文件目录</w:t>
      </w:r>
    </w:p>
    <w:p w14:paraId="1A1F5763">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附件3：承包人项目管理机构组成表</w:t>
      </w:r>
    </w:p>
    <w:p w14:paraId="5A5A6606">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附件4：履约担保（如有）</w:t>
      </w:r>
    </w:p>
    <w:p w14:paraId="09A870B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附件5：预付款担保（如有）</w:t>
      </w:r>
    </w:p>
    <w:p w14:paraId="355A9973">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附件6：支付担保（如有）</w:t>
      </w:r>
    </w:p>
    <w:p w14:paraId="70DD5D73">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附件7：专业工程暂估价表</w:t>
      </w:r>
    </w:p>
    <w:p w14:paraId="6C1247D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附件8：廉洁从业协议</w:t>
      </w:r>
    </w:p>
    <w:p w14:paraId="0B438D6E">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附件9：安全管理协议</w:t>
      </w:r>
    </w:p>
    <w:p w14:paraId="1D8FE732">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附件10：保障农民工工资支付协议</w:t>
      </w:r>
    </w:p>
    <w:bookmarkEnd w:id="2047"/>
    <w:p w14:paraId="6EC87B2E">
      <w:pPr>
        <w:spacing w:line="360" w:lineRule="auto"/>
        <w:rPr>
          <w:rFonts w:ascii="宋体" w:hAnsi="宋体"/>
          <w:color w:val="auto"/>
          <w:szCs w:val="21"/>
          <w:highlight w:val="none"/>
        </w:rPr>
      </w:pPr>
      <w:r>
        <w:rPr>
          <w:rFonts w:hint="eastAsia" w:ascii="宋体" w:hAnsi="宋体"/>
          <w:color w:val="auto"/>
          <w:szCs w:val="21"/>
          <w:highlight w:val="none"/>
        </w:rPr>
        <w:br w:type="page"/>
      </w:r>
      <w:r>
        <w:rPr>
          <w:rFonts w:hint="eastAsia" w:ascii="宋体" w:hAnsi="宋体"/>
          <w:color w:val="auto"/>
          <w:szCs w:val="21"/>
          <w:highlight w:val="none"/>
        </w:rPr>
        <w:t>附</w:t>
      </w:r>
      <w:bookmarkStart w:id="2048" w:name="_Toc296347225"/>
      <w:bookmarkStart w:id="2049" w:name="_Toc267261693"/>
      <w:bookmarkStart w:id="2050" w:name="_Toc296503226"/>
      <w:bookmarkStart w:id="2051" w:name="_Toc296891054"/>
      <w:bookmarkStart w:id="2052" w:name="_Toc296346727"/>
      <w:bookmarkStart w:id="2053" w:name="_Toc296944565"/>
      <w:bookmarkStart w:id="2054" w:name="_Toc296891266"/>
      <w:r>
        <w:rPr>
          <w:rFonts w:hint="eastAsia" w:ascii="宋体" w:hAnsi="宋体"/>
          <w:color w:val="auto"/>
          <w:szCs w:val="21"/>
          <w:highlight w:val="none"/>
        </w:rPr>
        <w:t>件1：</w:t>
      </w:r>
      <w:bookmarkEnd w:id="2048"/>
      <w:bookmarkEnd w:id="2049"/>
      <w:bookmarkEnd w:id="2050"/>
      <w:bookmarkEnd w:id="2051"/>
      <w:bookmarkEnd w:id="2052"/>
      <w:bookmarkEnd w:id="2053"/>
      <w:bookmarkEnd w:id="2054"/>
    </w:p>
    <w:p w14:paraId="7C1AB06C">
      <w:pPr>
        <w:spacing w:before="156" w:beforeLines="50" w:after="156" w:afterLines="50" w:line="360" w:lineRule="auto"/>
        <w:jc w:val="center"/>
        <w:rPr>
          <w:rFonts w:ascii="宋体" w:hAnsi="宋体"/>
          <w:color w:val="auto"/>
          <w:szCs w:val="21"/>
          <w:highlight w:val="none"/>
        </w:rPr>
      </w:pPr>
      <w:r>
        <w:rPr>
          <w:rFonts w:hint="eastAsia" w:ascii="宋体" w:hAnsi="宋体"/>
          <w:color w:val="auto"/>
          <w:szCs w:val="21"/>
          <w:highlight w:val="none"/>
        </w:rPr>
        <w:t>工程质量保修书</w:t>
      </w:r>
    </w:p>
    <w:p w14:paraId="764C100B">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发包人（全称）：</w:t>
      </w:r>
      <w:r>
        <w:rPr>
          <w:rFonts w:hint="eastAsia" w:ascii="宋体" w:hAnsi="宋体"/>
          <w:color w:val="auto"/>
          <w:szCs w:val="21"/>
          <w:highlight w:val="none"/>
          <w:u w:val="single"/>
        </w:rPr>
        <w:t xml:space="preserve">                             </w:t>
      </w:r>
    </w:p>
    <w:p w14:paraId="71906E7E">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承包人（全称）：</w:t>
      </w:r>
      <w:r>
        <w:rPr>
          <w:rFonts w:hint="eastAsia" w:ascii="宋体" w:hAnsi="宋体"/>
          <w:color w:val="auto"/>
          <w:szCs w:val="21"/>
          <w:highlight w:val="none"/>
          <w:u w:val="single"/>
        </w:rPr>
        <w:t xml:space="preserve">                             </w:t>
      </w:r>
    </w:p>
    <w:p w14:paraId="75ACBE2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发包人和承包人根据《中华人民共和国建筑法》和《建设工程质量管理条例》，经协商一致就</w:t>
      </w:r>
    </w:p>
    <w:p w14:paraId="374A7A90">
      <w:pPr>
        <w:spacing w:line="360" w:lineRule="auto"/>
        <w:rPr>
          <w:rFonts w:ascii="宋体" w:hAnsi="宋体"/>
          <w:color w:val="auto"/>
          <w:szCs w:val="21"/>
          <w:highlight w:val="none"/>
        </w:rPr>
      </w:pPr>
      <w:r>
        <w:rPr>
          <w:rFonts w:hint="eastAsia" w:ascii="宋体" w:hAnsi="宋体"/>
          <w:color w:val="auto"/>
          <w:szCs w:val="21"/>
          <w:highlight w:val="none"/>
          <w:u w:val="single"/>
        </w:rPr>
        <w:t xml:space="preserve">        </w:t>
      </w:r>
      <w:r>
        <w:rPr>
          <w:rFonts w:hint="eastAsia" w:ascii="宋体" w:hAnsi="宋体"/>
          <w:color w:val="auto"/>
          <w:szCs w:val="21"/>
          <w:highlight w:val="none"/>
        </w:rPr>
        <w:t>（工程全称）签订工程质量保修书。</w:t>
      </w:r>
    </w:p>
    <w:p w14:paraId="7C2DCA1E">
      <w:pPr>
        <w:spacing w:line="360" w:lineRule="auto"/>
        <w:ind w:firstLine="420" w:firstLineChars="200"/>
        <w:rPr>
          <w:rFonts w:ascii="宋体" w:hAnsi="宋体"/>
          <w:color w:val="auto"/>
          <w:szCs w:val="21"/>
          <w:highlight w:val="none"/>
        </w:rPr>
      </w:pPr>
      <w:bookmarkStart w:id="2055" w:name="_Toc532375687"/>
      <w:r>
        <w:rPr>
          <w:rFonts w:hint="eastAsia" w:ascii="宋体" w:hAnsi="宋体"/>
          <w:color w:val="auto"/>
          <w:szCs w:val="21"/>
          <w:highlight w:val="none"/>
        </w:rPr>
        <w:t>一、工程质量保修范围和内容</w:t>
      </w:r>
      <w:bookmarkEnd w:id="2055"/>
    </w:p>
    <w:p w14:paraId="295F923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承包人在质量保修期内，按照有关法律规定和合同约定，承担工程质量保修责任。</w:t>
      </w:r>
    </w:p>
    <w:p w14:paraId="3262B75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7BF6E03">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承包人承包范围内容均属质量保修范围内容；其中：</w:t>
      </w:r>
    </w:p>
    <w:p w14:paraId="4FB616A1">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1.属于设计原因造成的质量问题，承包人负责维修，不留隐患，费用由发包人承担；</w:t>
      </w:r>
    </w:p>
    <w:p w14:paraId="655F757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2.属于施工造成的质量问题，承包人负责维修，不留隐患；</w:t>
      </w:r>
    </w:p>
    <w:p w14:paraId="5D51D22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3.属于业主使用不当造成的质量问题，配合抢修，费用由发包人承担。</w:t>
      </w:r>
    </w:p>
    <w:p w14:paraId="491EEDEA">
      <w:pPr>
        <w:spacing w:line="360" w:lineRule="auto"/>
        <w:ind w:firstLine="420" w:firstLineChars="200"/>
        <w:rPr>
          <w:rFonts w:ascii="宋体" w:hAnsi="宋体"/>
          <w:color w:val="auto"/>
          <w:szCs w:val="21"/>
          <w:highlight w:val="none"/>
        </w:rPr>
      </w:pPr>
      <w:bookmarkStart w:id="2056" w:name="_Toc532375688"/>
      <w:r>
        <w:rPr>
          <w:rFonts w:hint="eastAsia" w:ascii="宋体" w:hAnsi="宋体"/>
          <w:color w:val="auto"/>
          <w:szCs w:val="21"/>
          <w:highlight w:val="none"/>
        </w:rPr>
        <w:t>二、质量保修期</w:t>
      </w:r>
      <w:bookmarkEnd w:id="2056"/>
    </w:p>
    <w:p w14:paraId="7A00B25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根据《建设工程质量管理条例》及有关规定，本工程质量保修期约定如下：</w:t>
      </w:r>
    </w:p>
    <w:p w14:paraId="2D993A87">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1.基础设施工程、房屋建筑的地基基础工程和主体结构工程，为设计文件规定的该工程的合理使用年限；</w:t>
      </w:r>
    </w:p>
    <w:p w14:paraId="636A916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2.屋面防水工程、有防水要求的卫生间、房间和外墙面的防渗漏，为5年；</w:t>
      </w:r>
    </w:p>
    <w:p w14:paraId="3FEA732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3.供热与供冷系统，为2个采暖期、供冷期；</w:t>
      </w:r>
    </w:p>
    <w:p w14:paraId="6E56AA33">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4.电气管线、给排水管道、设备安装和装修工程，为2年；</w:t>
      </w:r>
    </w:p>
    <w:p w14:paraId="01F12AB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5.其他项目保修期限：2年；</w:t>
      </w:r>
      <w:r>
        <w:rPr>
          <w:rFonts w:hint="eastAsia" w:ascii="宋体" w:hAnsi="宋体"/>
          <w:i/>
          <w:color w:val="auto"/>
          <w:szCs w:val="21"/>
          <w:highlight w:val="none"/>
        </w:rPr>
        <w:t>[提示：如有不同，根据具体情况修改]</w:t>
      </w:r>
    </w:p>
    <w:p w14:paraId="457C974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建设工程的保修期，自工程竣工验收合格之日起计算。</w:t>
      </w:r>
    </w:p>
    <w:p w14:paraId="14A7E8DF">
      <w:pPr>
        <w:spacing w:line="360" w:lineRule="auto"/>
        <w:ind w:firstLine="420" w:firstLineChars="200"/>
        <w:rPr>
          <w:rFonts w:ascii="宋体" w:hAnsi="宋体"/>
          <w:color w:val="auto"/>
          <w:szCs w:val="21"/>
          <w:highlight w:val="none"/>
        </w:rPr>
      </w:pPr>
      <w:bookmarkStart w:id="2057" w:name="_Toc532375689"/>
      <w:r>
        <w:rPr>
          <w:rFonts w:hint="eastAsia" w:ascii="宋体" w:hAnsi="宋体"/>
          <w:color w:val="auto"/>
          <w:szCs w:val="21"/>
          <w:highlight w:val="none"/>
        </w:rPr>
        <w:t>三、质量保修责任</w:t>
      </w:r>
      <w:bookmarkEnd w:id="2057"/>
    </w:p>
    <w:p w14:paraId="6423B84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1.属于保修范围、内容的项目，承包人应当在接到保修通知之日起7天内派人保修。承包人不在约定期限内派人保修的，发包人可以委托他人修理。</w:t>
      </w:r>
    </w:p>
    <w:p w14:paraId="6F9E084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2.发生紧急事故需抢修的，承包人在接到事故通知后，应当立即到达事故现场抢修。</w:t>
      </w:r>
    </w:p>
    <w:p w14:paraId="2AB3114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6ED56D5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4.质量保修完成后，由发包人组织验收。</w:t>
      </w:r>
    </w:p>
    <w:p w14:paraId="54DDD88D">
      <w:pPr>
        <w:spacing w:line="360" w:lineRule="auto"/>
        <w:ind w:firstLine="420" w:firstLineChars="200"/>
        <w:rPr>
          <w:rFonts w:ascii="宋体" w:hAnsi="宋体"/>
          <w:color w:val="auto"/>
          <w:szCs w:val="21"/>
          <w:highlight w:val="none"/>
        </w:rPr>
      </w:pPr>
      <w:bookmarkStart w:id="2058" w:name="_Toc532375690"/>
      <w:r>
        <w:rPr>
          <w:rFonts w:hint="eastAsia" w:ascii="宋体" w:hAnsi="宋体"/>
          <w:color w:val="auto"/>
          <w:szCs w:val="21"/>
          <w:highlight w:val="none"/>
        </w:rPr>
        <w:t>四、保修费用</w:t>
      </w:r>
      <w:bookmarkEnd w:id="2058"/>
    </w:p>
    <w:p w14:paraId="09DA2CF7">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保修费用由质量缺陷的责任方承担。</w:t>
      </w:r>
    </w:p>
    <w:p w14:paraId="5589FE48">
      <w:pPr>
        <w:spacing w:line="360" w:lineRule="auto"/>
        <w:ind w:firstLine="420" w:firstLineChars="200"/>
        <w:rPr>
          <w:rFonts w:ascii="宋体" w:hAnsi="宋体"/>
          <w:color w:val="auto"/>
          <w:szCs w:val="21"/>
          <w:highlight w:val="none"/>
        </w:rPr>
      </w:pPr>
      <w:bookmarkStart w:id="2059" w:name="_Toc532375691"/>
      <w:r>
        <w:rPr>
          <w:rFonts w:hint="eastAsia" w:ascii="宋体" w:hAnsi="宋体"/>
          <w:color w:val="auto"/>
          <w:szCs w:val="21"/>
          <w:highlight w:val="none"/>
        </w:rPr>
        <w:t>五、双方约定的其他工程质量保修事项</w:t>
      </w:r>
    </w:p>
    <w:p w14:paraId="66E79A87">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u w:val="single"/>
        </w:rPr>
        <w:t>按国家相关法律和规定执行</w:t>
      </w:r>
      <w:r>
        <w:rPr>
          <w:rFonts w:hint="eastAsia" w:ascii="宋体" w:hAnsi="宋体"/>
          <w:color w:val="auto"/>
          <w:szCs w:val="21"/>
          <w:highlight w:val="none"/>
        </w:rPr>
        <w:t>。</w:t>
      </w:r>
      <w:bookmarkEnd w:id="2059"/>
    </w:p>
    <w:p w14:paraId="0DF64A6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本工程质量保修书由发包人、承包人在工程竣工验收前共同签署，作为施工合同附件，其有效期限至保修期满。</w:t>
      </w:r>
    </w:p>
    <w:p w14:paraId="47BBD7DC">
      <w:pPr>
        <w:spacing w:line="360" w:lineRule="auto"/>
        <w:ind w:firstLine="420" w:firstLineChars="200"/>
        <w:rPr>
          <w:rFonts w:ascii="宋体" w:hAnsi="宋体"/>
          <w:color w:val="auto"/>
          <w:szCs w:val="21"/>
          <w:highlight w:val="none"/>
        </w:rPr>
      </w:pPr>
      <w:r>
        <w:rPr>
          <w:rFonts w:ascii="宋体" w:hAnsi="宋体"/>
          <w:color w:val="auto"/>
          <w:szCs w:val="21"/>
          <w:highlight w:val="none"/>
        </w:rPr>
        <w:t>六</w:t>
      </w:r>
      <w:r>
        <w:rPr>
          <w:rFonts w:hint="eastAsia" w:ascii="宋体" w:hAnsi="宋体"/>
          <w:color w:val="auto"/>
          <w:szCs w:val="21"/>
          <w:highlight w:val="none"/>
        </w:rPr>
        <w:t>、</w:t>
      </w:r>
      <w:r>
        <w:rPr>
          <w:rFonts w:ascii="宋体" w:hAnsi="宋体"/>
          <w:color w:val="auto"/>
          <w:szCs w:val="21"/>
          <w:highlight w:val="none"/>
        </w:rPr>
        <w:t>本文件生效</w:t>
      </w:r>
    </w:p>
    <w:p w14:paraId="2A19CD6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本工程质量保修书经发包人与承包人盖章后生效。</w:t>
      </w:r>
    </w:p>
    <w:p w14:paraId="06903914">
      <w:pPr>
        <w:pStyle w:val="2"/>
        <w:spacing w:line="360" w:lineRule="auto"/>
        <w:ind w:firstLine="420" w:firstLineChars="200"/>
        <w:rPr>
          <w:rFonts w:ascii="宋体" w:hAnsi="宋体"/>
          <w:color w:val="auto"/>
          <w:szCs w:val="21"/>
          <w:highlight w:val="none"/>
        </w:rPr>
      </w:pPr>
    </w:p>
    <w:p w14:paraId="2AA06F2A">
      <w:pPr>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发包人：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（盖单位公章）</w:t>
      </w:r>
    </w:p>
    <w:p w14:paraId="5915B6C0">
      <w:pPr>
        <w:spacing w:line="360" w:lineRule="auto"/>
        <w:ind w:firstLine="420" w:firstLineChars="200"/>
        <w:rPr>
          <w:rFonts w:ascii="宋体" w:hAnsi="宋体"/>
          <w:snapToGrid w:val="0"/>
          <w:color w:val="auto"/>
          <w:kern w:val="0"/>
          <w:szCs w:val="21"/>
          <w:highlight w:val="none"/>
        </w:rPr>
      </w:pPr>
    </w:p>
    <w:p w14:paraId="4F15A4A1">
      <w:pPr>
        <w:spacing w:line="360" w:lineRule="auto"/>
        <w:ind w:firstLine="420" w:firstLineChars="200"/>
        <w:rPr>
          <w:rFonts w:ascii="宋体" w:hAnsi="宋体"/>
          <w:snapToGrid w:val="0"/>
          <w:color w:val="auto"/>
          <w:kern w:val="0"/>
          <w:szCs w:val="21"/>
          <w:highlight w:val="none"/>
        </w:rPr>
      </w:pPr>
    </w:p>
    <w:p w14:paraId="200B8E94">
      <w:pPr>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法定代表人或其委托代理人：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（签字）</w:t>
      </w:r>
    </w:p>
    <w:p w14:paraId="01084702">
      <w:pPr>
        <w:spacing w:line="360" w:lineRule="auto"/>
        <w:ind w:firstLine="420" w:firstLineChars="200"/>
        <w:rPr>
          <w:rFonts w:ascii="宋体" w:hAnsi="宋体"/>
          <w:snapToGrid w:val="0"/>
          <w:color w:val="auto"/>
          <w:kern w:val="0"/>
          <w:szCs w:val="21"/>
          <w:highlight w:val="none"/>
        </w:rPr>
      </w:pPr>
    </w:p>
    <w:p w14:paraId="28CBCE9B">
      <w:pPr>
        <w:spacing w:line="360" w:lineRule="auto"/>
        <w:ind w:firstLine="420" w:firstLineChars="200"/>
        <w:rPr>
          <w:rFonts w:ascii="宋体" w:hAnsi="宋体"/>
          <w:snapToGrid w:val="0"/>
          <w:color w:val="auto"/>
          <w:kern w:val="0"/>
          <w:szCs w:val="21"/>
          <w:highlight w:val="none"/>
        </w:rPr>
      </w:pPr>
    </w:p>
    <w:p w14:paraId="3A97C8E7">
      <w:pPr>
        <w:spacing w:line="360" w:lineRule="auto"/>
        <w:ind w:firstLine="420" w:firstLineChars="200"/>
        <w:rPr>
          <w:rFonts w:ascii="宋体" w:hAnsi="宋体"/>
          <w:color w:val="auto"/>
          <w:szCs w:val="21"/>
          <w:highlight w:val="none"/>
        </w:rPr>
      </w:pPr>
      <w:r>
        <w:rPr>
          <w:rFonts w:hint="eastAsia" w:ascii="宋体" w:hAnsi="宋体"/>
          <w:snapToGrid w:val="0"/>
          <w:color w:val="auto"/>
          <w:kern w:val="0"/>
          <w:szCs w:val="21"/>
          <w:highlight w:val="none"/>
        </w:rPr>
        <w:t>承包人：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（盖单位公章）</w:t>
      </w:r>
    </w:p>
    <w:p w14:paraId="1FDE0A07">
      <w:pPr>
        <w:spacing w:line="360" w:lineRule="auto"/>
        <w:ind w:firstLine="420" w:firstLineChars="200"/>
        <w:rPr>
          <w:rFonts w:ascii="宋体" w:hAnsi="宋体"/>
          <w:snapToGrid w:val="0"/>
          <w:color w:val="auto"/>
          <w:kern w:val="0"/>
          <w:szCs w:val="21"/>
          <w:highlight w:val="none"/>
        </w:rPr>
      </w:pPr>
    </w:p>
    <w:p w14:paraId="76E72515">
      <w:pPr>
        <w:spacing w:line="360" w:lineRule="auto"/>
        <w:ind w:firstLine="420" w:firstLineChars="200"/>
        <w:rPr>
          <w:rFonts w:ascii="宋体" w:hAnsi="宋体"/>
          <w:snapToGrid w:val="0"/>
          <w:color w:val="auto"/>
          <w:kern w:val="0"/>
          <w:szCs w:val="21"/>
          <w:highlight w:val="none"/>
        </w:rPr>
      </w:pPr>
    </w:p>
    <w:p w14:paraId="0FCC04E2">
      <w:pPr>
        <w:spacing w:line="360" w:lineRule="auto"/>
        <w:ind w:firstLine="420" w:firstLineChars="200"/>
        <w:rPr>
          <w:rFonts w:ascii="宋体" w:hAnsi="宋体"/>
          <w:bCs/>
          <w:color w:val="auto"/>
          <w:kern w:val="0"/>
          <w:szCs w:val="21"/>
          <w:highlight w:val="none"/>
        </w:rPr>
      </w:pPr>
      <w:r>
        <w:rPr>
          <w:rFonts w:hint="eastAsia" w:ascii="宋体" w:hAnsi="宋体"/>
          <w:snapToGrid w:val="0"/>
          <w:color w:val="auto"/>
          <w:kern w:val="0"/>
          <w:szCs w:val="21"/>
          <w:highlight w:val="none"/>
        </w:rPr>
        <w:t>法定代表人或其委托代理人：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（签字）</w:t>
      </w:r>
    </w:p>
    <w:p w14:paraId="0B59FE3B">
      <w:pPr>
        <w:spacing w:line="360" w:lineRule="auto"/>
        <w:ind w:firstLine="418" w:firstLineChars="200"/>
        <w:rPr>
          <w:rFonts w:ascii="宋体" w:hAnsi="宋体"/>
          <w:snapToGrid w:val="0"/>
          <w:color w:val="auto"/>
          <w:spacing w:val="1"/>
          <w:w w:val="99"/>
          <w:kern w:val="0"/>
          <w:position w:val="-2"/>
          <w:szCs w:val="21"/>
          <w:highlight w:val="none"/>
        </w:rPr>
      </w:pPr>
    </w:p>
    <w:p w14:paraId="2C301FD7">
      <w:pPr>
        <w:spacing w:line="360" w:lineRule="auto"/>
        <w:ind w:firstLine="418" w:firstLineChars="200"/>
        <w:rPr>
          <w:rFonts w:ascii="宋体" w:hAnsi="宋体"/>
          <w:snapToGrid w:val="0"/>
          <w:color w:val="auto"/>
          <w:spacing w:val="1"/>
          <w:w w:val="99"/>
          <w:kern w:val="0"/>
          <w:position w:val="-2"/>
          <w:szCs w:val="21"/>
          <w:highlight w:val="none"/>
        </w:rPr>
      </w:pPr>
    </w:p>
    <w:p w14:paraId="6F58EB17">
      <w:pPr>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签约时间：</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日</w:t>
      </w:r>
    </w:p>
    <w:p w14:paraId="33CE8526">
      <w:pPr>
        <w:spacing w:line="480" w:lineRule="auto"/>
        <w:rPr>
          <w:rFonts w:ascii="宋体" w:hAnsi="宋体"/>
          <w:color w:val="auto"/>
          <w:szCs w:val="21"/>
          <w:highlight w:val="none"/>
        </w:rPr>
      </w:pPr>
      <w:r>
        <w:rPr>
          <w:rFonts w:hint="eastAsia" w:ascii="宋体" w:hAnsi="宋体"/>
          <w:color w:val="auto"/>
          <w:szCs w:val="21"/>
          <w:highlight w:val="none"/>
        </w:rPr>
        <w:br w:type="page"/>
      </w:r>
      <w:r>
        <w:rPr>
          <w:rFonts w:hint="eastAsia" w:ascii="宋体" w:hAnsi="宋体"/>
          <w:color w:val="auto"/>
          <w:szCs w:val="21"/>
          <w:highlight w:val="none"/>
        </w:rPr>
        <w:t>附件2：</w:t>
      </w:r>
    </w:p>
    <w:p w14:paraId="47176C3F">
      <w:pPr>
        <w:spacing w:before="156" w:beforeLines="50" w:after="156" w:afterLines="50" w:line="480" w:lineRule="auto"/>
        <w:jc w:val="center"/>
        <w:rPr>
          <w:rFonts w:ascii="宋体" w:hAnsi="宋体"/>
          <w:color w:val="auto"/>
          <w:szCs w:val="21"/>
          <w:highlight w:val="none"/>
        </w:rPr>
      </w:pPr>
      <w:r>
        <w:rPr>
          <w:rFonts w:hint="eastAsia" w:ascii="宋体" w:hAnsi="宋体"/>
          <w:color w:val="auto"/>
          <w:szCs w:val="21"/>
          <w:highlight w:val="none"/>
        </w:rPr>
        <w:t>主要建设工程文件目录</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36"/>
        <w:gridCol w:w="1418"/>
        <w:gridCol w:w="1418"/>
        <w:gridCol w:w="2917"/>
      </w:tblGrid>
      <w:tr w14:paraId="16493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36" w:type="dxa"/>
            <w:noWrap w:val="0"/>
            <w:vAlign w:val="center"/>
          </w:tcPr>
          <w:p w14:paraId="774BEC0B">
            <w:pPr>
              <w:spacing w:line="400" w:lineRule="exact"/>
              <w:jc w:val="center"/>
              <w:rPr>
                <w:rFonts w:ascii="宋体" w:hAnsi="宋体"/>
                <w:color w:val="auto"/>
                <w:szCs w:val="21"/>
                <w:highlight w:val="none"/>
              </w:rPr>
            </w:pPr>
            <w:r>
              <w:rPr>
                <w:rFonts w:hint="eastAsia" w:ascii="宋体" w:hAnsi="宋体"/>
                <w:color w:val="auto"/>
                <w:szCs w:val="21"/>
                <w:highlight w:val="none"/>
              </w:rPr>
              <w:t>文件名称</w:t>
            </w:r>
          </w:p>
        </w:tc>
        <w:tc>
          <w:tcPr>
            <w:tcW w:w="1418" w:type="dxa"/>
            <w:noWrap w:val="0"/>
            <w:vAlign w:val="center"/>
          </w:tcPr>
          <w:p w14:paraId="3066361A">
            <w:pPr>
              <w:spacing w:line="400" w:lineRule="exact"/>
              <w:jc w:val="center"/>
              <w:rPr>
                <w:rFonts w:ascii="宋体" w:hAnsi="宋体"/>
                <w:color w:val="auto"/>
                <w:szCs w:val="21"/>
                <w:highlight w:val="none"/>
              </w:rPr>
            </w:pPr>
            <w:r>
              <w:rPr>
                <w:rFonts w:hint="eastAsia" w:ascii="宋体" w:hAnsi="宋体"/>
                <w:color w:val="auto"/>
                <w:szCs w:val="21"/>
                <w:highlight w:val="none"/>
              </w:rPr>
              <w:t>套数</w:t>
            </w:r>
          </w:p>
        </w:tc>
        <w:tc>
          <w:tcPr>
            <w:tcW w:w="1418" w:type="dxa"/>
            <w:noWrap w:val="0"/>
            <w:vAlign w:val="top"/>
          </w:tcPr>
          <w:p w14:paraId="27274B6C">
            <w:pPr>
              <w:spacing w:line="400" w:lineRule="exact"/>
              <w:jc w:val="center"/>
              <w:rPr>
                <w:rFonts w:ascii="宋体" w:hAnsi="宋体"/>
                <w:color w:val="auto"/>
                <w:szCs w:val="21"/>
                <w:highlight w:val="none"/>
              </w:rPr>
            </w:pPr>
            <w:r>
              <w:rPr>
                <w:rFonts w:hint="eastAsia" w:ascii="宋体" w:hAnsi="宋体"/>
                <w:color w:val="auto"/>
                <w:szCs w:val="21"/>
                <w:highlight w:val="none"/>
              </w:rPr>
              <w:t>移交时间</w:t>
            </w:r>
          </w:p>
        </w:tc>
        <w:tc>
          <w:tcPr>
            <w:tcW w:w="2917" w:type="dxa"/>
            <w:noWrap w:val="0"/>
            <w:vAlign w:val="top"/>
          </w:tcPr>
          <w:p w14:paraId="4C9D0CC9">
            <w:pPr>
              <w:spacing w:line="400" w:lineRule="exact"/>
              <w:jc w:val="center"/>
              <w:rPr>
                <w:rFonts w:ascii="宋体" w:hAnsi="宋体"/>
                <w:color w:val="auto"/>
                <w:szCs w:val="21"/>
                <w:highlight w:val="none"/>
              </w:rPr>
            </w:pPr>
            <w:r>
              <w:rPr>
                <w:rFonts w:hint="eastAsia" w:ascii="宋体" w:hAnsi="宋体"/>
                <w:color w:val="auto"/>
                <w:szCs w:val="21"/>
                <w:highlight w:val="none"/>
              </w:rPr>
              <w:t>责任人</w:t>
            </w:r>
          </w:p>
        </w:tc>
      </w:tr>
      <w:tr w14:paraId="5D551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1A6929A5">
            <w:pPr>
              <w:spacing w:line="400" w:lineRule="exact"/>
              <w:ind w:firstLine="420" w:firstLineChars="200"/>
              <w:rPr>
                <w:rFonts w:ascii="宋体" w:hAnsi="宋体"/>
                <w:color w:val="auto"/>
                <w:szCs w:val="21"/>
                <w:highlight w:val="none"/>
              </w:rPr>
            </w:pPr>
          </w:p>
        </w:tc>
        <w:tc>
          <w:tcPr>
            <w:tcW w:w="1418" w:type="dxa"/>
            <w:noWrap w:val="0"/>
            <w:vAlign w:val="center"/>
          </w:tcPr>
          <w:p w14:paraId="4952C501">
            <w:pPr>
              <w:spacing w:line="400" w:lineRule="exact"/>
              <w:ind w:firstLine="420" w:firstLineChars="200"/>
              <w:rPr>
                <w:rFonts w:ascii="宋体" w:hAnsi="宋体"/>
                <w:color w:val="auto"/>
                <w:szCs w:val="21"/>
                <w:highlight w:val="none"/>
              </w:rPr>
            </w:pPr>
          </w:p>
        </w:tc>
        <w:tc>
          <w:tcPr>
            <w:tcW w:w="1418" w:type="dxa"/>
            <w:noWrap w:val="0"/>
            <w:vAlign w:val="center"/>
          </w:tcPr>
          <w:p w14:paraId="439052C7">
            <w:pPr>
              <w:spacing w:line="400" w:lineRule="exact"/>
              <w:ind w:firstLine="420" w:firstLineChars="200"/>
              <w:rPr>
                <w:rFonts w:ascii="宋体" w:hAnsi="宋体"/>
                <w:color w:val="auto"/>
                <w:szCs w:val="21"/>
                <w:highlight w:val="none"/>
              </w:rPr>
            </w:pPr>
          </w:p>
        </w:tc>
        <w:tc>
          <w:tcPr>
            <w:tcW w:w="2917" w:type="dxa"/>
            <w:noWrap w:val="0"/>
            <w:vAlign w:val="center"/>
          </w:tcPr>
          <w:p w14:paraId="0F369162">
            <w:pPr>
              <w:spacing w:line="400" w:lineRule="exact"/>
              <w:ind w:firstLine="420" w:firstLineChars="200"/>
              <w:rPr>
                <w:rFonts w:ascii="宋体" w:hAnsi="宋体"/>
                <w:color w:val="auto"/>
                <w:szCs w:val="21"/>
                <w:highlight w:val="none"/>
              </w:rPr>
            </w:pPr>
          </w:p>
        </w:tc>
      </w:tr>
      <w:tr w14:paraId="5B757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6D42CD3A">
            <w:pPr>
              <w:spacing w:line="400" w:lineRule="exact"/>
              <w:ind w:firstLine="420" w:firstLineChars="200"/>
              <w:rPr>
                <w:rFonts w:ascii="宋体" w:hAnsi="宋体"/>
                <w:color w:val="auto"/>
                <w:szCs w:val="21"/>
                <w:highlight w:val="none"/>
              </w:rPr>
            </w:pPr>
          </w:p>
        </w:tc>
        <w:tc>
          <w:tcPr>
            <w:tcW w:w="1418" w:type="dxa"/>
            <w:noWrap w:val="0"/>
            <w:vAlign w:val="center"/>
          </w:tcPr>
          <w:p w14:paraId="5108BAA7">
            <w:pPr>
              <w:spacing w:line="400" w:lineRule="exact"/>
              <w:ind w:firstLine="420" w:firstLineChars="200"/>
              <w:rPr>
                <w:rFonts w:ascii="宋体" w:hAnsi="宋体"/>
                <w:color w:val="auto"/>
                <w:szCs w:val="21"/>
                <w:highlight w:val="none"/>
              </w:rPr>
            </w:pPr>
          </w:p>
        </w:tc>
        <w:tc>
          <w:tcPr>
            <w:tcW w:w="1418" w:type="dxa"/>
            <w:noWrap w:val="0"/>
            <w:vAlign w:val="center"/>
          </w:tcPr>
          <w:p w14:paraId="605FF10D">
            <w:pPr>
              <w:spacing w:line="400" w:lineRule="exact"/>
              <w:ind w:firstLine="420" w:firstLineChars="200"/>
              <w:rPr>
                <w:rFonts w:ascii="宋体" w:hAnsi="宋体"/>
                <w:color w:val="auto"/>
                <w:szCs w:val="21"/>
                <w:highlight w:val="none"/>
              </w:rPr>
            </w:pPr>
          </w:p>
        </w:tc>
        <w:tc>
          <w:tcPr>
            <w:tcW w:w="2917" w:type="dxa"/>
            <w:noWrap w:val="0"/>
            <w:vAlign w:val="center"/>
          </w:tcPr>
          <w:p w14:paraId="25AB42D4">
            <w:pPr>
              <w:spacing w:line="400" w:lineRule="exact"/>
              <w:ind w:firstLine="420" w:firstLineChars="200"/>
              <w:rPr>
                <w:rFonts w:ascii="宋体" w:hAnsi="宋体"/>
                <w:color w:val="auto"/>
                <w:szCs w:val="21"/>
                <w:highlight w:val="none"/>
              </w:rPr>
            </w:pPr>
          </w:p>
        </w:tc>
      </w:tr>
      <w:tr w14:paraId="3D6A1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58617E4D">
            <w:pPr>
              <w:spacing w:line="400" w:lineRule="exact"/>
              <w:ind w:firstLine="420" w:firstLineChars="200"/>
              <w:rPr>
                <w:rFonts w:ascii="宋体" w:hAnsi="宋体"/>
                <w:color w:val="auto"/>
                <w:szCs w:val="21"/>
                <w:highlight w:val="none"/>
              </w:rPr>
            </w:pPr>
          </w:p>
        </w:tc>
        <w:tc>
          <w:tcPr>
            <w:tcW w:w="1418" w:type="dxa"/>
            <w:noWrap w:val="0"/>
            <w:vAlign w:val="center"/>
          </w:tcPr>
          <w:p w14:paraId="678C531A">
            <w:pPr>
              <w:spacing w:line="400" w:lineRule="exact"/>
              <w:ind w:firstLine="420" w:firstLineChars="200"/>
              <w:rPr>
                <w:rFonts w:ascii="宋体" w:hAnsi="宋体"/>
                <w:color w:val="auto"/>
                <w:szCs w:val="21"/>
                <w:highlight w:val="none"/>
              </w:rPr>
            </w:pPr>
          </w:p>
        </w:tc>
        <w:tc>
          <w:tcPr>
            <w:tcW w:w="1418" w:type="dxa"/>
            <w:noWrap w:val="0"/>
            <w:vAlign w:val="center"/>
          </w:tcPr>
          <w:p w14:paraId="5E44B082">
            <w:pPr>
              <w:spacing w:line="400" w:lineRule="exact"/>
              <w:ind w:firstLine="420" w:firstLineChars="200"/>
              <w:rPr>
                <w:rFonts w:ascii="宋体" w:hAnsi="宋体"/>
                <w:color w:val="auto"/>
                <w:szCs w:val="21"/>
                <w:highlight w:val="none"/>
              </w:rPr>
            </w:pPr>
          </w:p>
        </w:tc>
        <w:tc>
          <w:tcPr>
            <w:tcW w:w="2917" w:type="dxa"/>
            <w:noWrap w:val="0"/>
            <w:vAlign w:val="center"/>
          </w:tcPr>
          <w:p w14:paraId="45C94850">
            <w:pPr>
              <w:spacing w:line="400" w:lineRule="exact"/>
              <w:ind w:firstLine="420" w:firstLineChars="200"/>
              <w:rPr>
                <w:rFonts w:ascii="宋体" w:hAnsi="宋体"/>
                <w:color w:val="auto"/>
                <w:szCs w:val="21"/>
                <w:highlight w:val="none"/>
              </w:rPr>
            </w:pPr>
          </w:p>
        </w:tc>
      </w:tr>
      <w:tr w14:paraId="22B02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28C607C6">
            <w:pPr>
              <w:spacing w:line="400" w:lineRule="exact"/>
              <w:ind w:firstLine="420" w:firstLineChars="200"/>
              <w:rPr>
                <w:rFonts w:ascii="宋体" w:hAnsi="宋体"/>
                <w:color w:val="auto"/>
                <w:szCs w:val="21"/>
                <w:highlight w:val="none"/>
              </w:rPr>
            </w:pPr>
          </w:p>
        </w:tc>
        <w:tc>
          <w:tcPr>
            <w:tcW w:w="1418" w:type="dxa"/>
            <w:noWrap w:val="0"/>
            <w:vAlign w:val="center"/>
          </w:tcPr>
          <w:p w14:paraId="72DE04BC">
            <w:pPr>
              <w:spacing w:line="400" w:lineRule="exact"/>
              <w:ind w:firstLine="420" w:firstLineChars="200"/>
              <w:rPr>
                <w:rFonts w:ascii="宋体" w:hAnsi="宋体"/>
                <w:color w:val="auto"/>
                <w:szCs w:val="21"/>
                <w:highlight w:val="none"/>
              </w:rPr>
            </w:pPr>
          </w:p>
        </w:tc>
        <w:tc>
          <w:tcPr>
            <w:tcW w:w="1418" w:type="dxa"/>
            <w:noWrap w:val="0"/>
            <w:vAlign w:val="center"/>
          </w:tcPr>
          <w:p w14:paraId="376EC55B">
            <w:pPr>
              <w:spacing w:line="400" w:lineRule="exact"/>
              <w:ind w:firstLine="420" w:firstLineChars="200"/>
              <w:rPr>
                <w:rFonts w:ascii="宋体" w:hAnsi="宋体"/>
                <w:color w:val="auto"/>
                <w:szCs w:val="21"/>
                <w:highlight w:val="none"/>
              </w:rPr>
            </w:pPr>
          </w:p>
        </w:tc>
        <w:tc>
          <w:tcPr>
            <w:tcW w:w="2917" w:type="dxa"/>
            <w:noWrap w:val="0"/>
            <w:vAlign w:val="center"/>
          </w:tcPr>
          <w:p w14:paraId="4C0AC8ED">
            <w:pPr>
              <w:spacing w:line="400" w:lineRule="exact"/>
              <w:ind w:firstLine="420" w:firstLineChars="200"/>
              <w:rPr>
                <w:rFonts w:ascii="宋体" w:hAnsi="宋体"/>
                <w:color w:val="auto"/>
                <w:szCs w:val="21"/>
                <w:highlight w:val="none"/>
              </w:rPr>
            </w:pPr>
          </w:p>
        </w:tc>
      </w:tr>
      <w:tr w14:paraId="52776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25C482BC">
            <w:pPr>
              <w:spacing w:line="400" w:lineRule="exact"/>
              <w:ind w:firstLine="420" w:firstLineChars="200"/>
              <w:rPr>
                <w:rFonts w:ascii="宋体" w:hAnsi="宋体"/>
                <w:color w:val="auto"/>
                <w:szCs w:val="21"/>
                <w:highlight w:val="none"/>
              </w:rPr>
            </w:pPr>
          </w:p>
        </w:tc>
        <w:tc>
          <w:tcPr>
            <w:tcW w:w="1418" w:type="dxa"/>
            <w:noWrap w:val="0"/>
            <w:vAlign w:val="center"/>
          </w:tcPr>
          <w:p w14:paraId="53C3E9B9">
            <w:pPr>
              <w:spacing w:line="400" w:lineRule="exact"/>
              <w:ind w:firstLine="420" w:firstLineChars="200"/>
              <w:rPr>
                <w:rFonts w:ascii="宋体" w:hAnsi="宋体"/>
                <w:color w:val="auto"/>
                <w:szCs w:val="21"/>
                <w:highlight w:val="none"/>
              </w:rPr>
            </w:pPr>
          </w:p>
        </w:tc>
        <w:tc>
          <w:tcPr>
            <w:tcW w:w="1418" w:type="dxa"/>
            <w:noWrap w:val="0"/>
            <w:vAlign w:val="center"/>
          </w:tcPr>
          <w:p w14:paraId="05913E02">
            <w:pPr>
              <w:spacing w:line="400" w:lineRule="exact"/>
              <w:ind w:firstLine="420" w:firstLineChars="200"/>
              <w:rPr>
                <w:rFonts w:ascii="宋体" w:hAnsi="宋体"/>
                <w:color w:val="auto"/>
                <w:szCs w:val="21"/>
                <w:highlight w:val="none"/>
              </w:rPr>
            </w:pPr>
          </w:p>
        </w:tc>
        <w:tc>
          <w:tcPr>
            <w:tcW w:w="2917" w:type="dxa"/>
            <w:noWrap w:val="0"/>
            <w:vAlign w:val="center"/>
          </w:tcPr>
          <w:p w14:paraId="7AC94F6D">
            <w:pPr>
              <w:spacing w:line="400" w:lineRule="exact"/>
              <w:ind w:firstLine="420" w:firstLineChars="200"/>
              <w:rPr>
                <w:rFonts w:ascii="宋体" w:hAnsi="宋体"/>
                <w:color w:val="auto"/>
                <w:szCs w:val="21"/>
                <w:highlight w:val="none"/>
              </w:rPr>
            </w:pPr>
          </w:p>
        </w:tc>
      </w:tr>
      <w:tr w14:paraId="1FAEF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1D868D23">
            <w:pPr>
              <w:spacing w:line="400" w:lineRule="exact"/>
              <w:ind w:firstLine="420" w:firstLineChars="200"/>
              <w:rPr>
                <w:rFonts w:ascii="宋体" w:hAnsi="宋体"/>
                <w:color w:val="auto"/>
                <w:szCs w:val="21"/>
                <w:highlight w:val="none"/>
              </w:rPr>
            </w:pPr>
          </w:p>
        </w:tc>
        <w:tc>
          <w:tcPr>
            <w:tcW w:w="1418" w:type="dxa"/>
            <w:noWrap w:val="0"/>
            <w:vAlign w:val="center"/>
          </w:tcPr>
          <w:p w14:paraId="240562E2">
            <w:pPr>
              <w:spacing w:line="400" w:lineRule="exact"/>
              <w:ind w:firstLine="420" w:firstLineChars="200"/>
              <w:rPr>
                <w:rFonts w:ascii="宋体" w:hAnsi="宋体"/>
                <w:color w:val="auto"/>
                <w:szCs w:val="21"/>
                <w:highlight w:val="none"/>
              </w:rPr>
            </w:pPr>
          </w:p>
        </w:tc>
        <w:tc>
          <w:tcPr>
            <w:tcW w:w="1418" w:type="dxa"/>
            <w:noWrap w:val="0"/>
            <w:vAlign w:val="center"/>
          </w:tcPr>
          <w:p w14:paraId="078459A5">
            <w:pPr>
              <w:spacing w:line="400" w:lineRule="exact"/>
              <w:ind w:firstLine="420" w:firstLineChars="200"/>
              <w:rPr>
                <w:rFonts w:ascii="宋体" w:hAnsi="宋体"/>
                <w:color w:val="auto"/>
                <w:szCs w:val="21"/>
                <w:highlight w:val="none"/>
              </w:rPr>
            </w:pPr>
          </w:p>
        </w:tc>
        <w:tc>
          <w:tcPr>
            <w:tcW w:w="2917" w:type="dxa"/>
            <w:noWrap w:val="0"/>
            <w:vAlign w:val="center"/>
          </w:tcPr>
          <w:p w14:paraId="5F6ED256">
            <w:pPr>
              <w:spacing w:line="400" w:lineRule="exact"/>
              <w:ind w:firstLine="420" w:firstLineChars="200"/>
              <w:rPr>
                <w:rFonts w:ascii="宋体" w:hAnsi="宋体"/>
                <w:color w:val="auto"/>
                <w:szCs w:val="21"/>
                <w:highlight w:val="none"/>
              </w:rPr>
            </w:pPr>
          </w:p>
        </w:tc>
      </w:tr>
      <w:tr w14:paraId="072A6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70F73F63">
            <w:pPr>
              <w:spacing w:line="400" w:lineRule="exact"/>
              <w:ind w:firstLine="420" w:firstLineChars="200"/>
              <w:rPr>
                <w:rFonts w:ascii="宋体" w:hAnsi="宋体"/>
                <w:color w:val="auto"/>
                <w:szCs w:val="21"/>
                <w:highlight w:val="none"/>
              </w:rPr>
            </w:pPr>
          </w:p>
        </w:tc>
        <w:tc>
          <w:tcPr>
            <w:tcW w:w="1418" w:type="dxa"/>
            <w:noWrap w:val="0"/>
            <w:vAlign w:val="center"/>
          </w:tcPr>
          <w:p w14:paraId="0D139B78">
            <w:pPr>
              <w:spacing w:line="400" w:lineRule="exact"/>
              <w:ind w:firstLine="420" w:firstLineChars="200"/>
              <w:rPr>
                <w:rFonts w:ascii="宋体" w:hAnsi="宋体"/>
                <w:color w:val="auto"/>
                <w:szCs w:val="21"/>
                <w:highlight w:val="none"/>
              </w:rPr>
            </w:pPr>
          </w:p>
        </w:tc>
        <w:tc>
          <w:tcPr>
            <w:tcW w:w="1418" w:type="dxa"/>
            <w:noWrap w:val="0"/>
            <w:vAlign w:val="center"/>
          </w:tcPr>
          <w:p w14:paraId="1511F1E0">
            <w:pPr>
              <w:spacing w:line="400" w:lineRule="exact"/>
              <w:ind w:firstLine="420" w:firstLineChars="200"/>
              <w:rPr>
                <w:rFonts w:ascii="宋体" w:hAnsi="宋体"/>
                <w:color w:val="auto"/>
                <w:szCs w:val="21"/>
                <w:highlight w:val="none"/>
              </w:rPr>
            </w:pPr>
          </w:p>
        </w:tc>
        <w:tc>
          <w:tcPr>
            <w:tcW w:w="2917" w:type="dxa"/>
            <w:noWrap w:val="0"/>
            <w:vAlign w:val="center"/>
          </w:tcPr>
          <w:p w14:paraId="3604082D">
            <w:pPr>
              <w:spacing w:line="400" w:lineRule="exact"/>
              <w:ind w:firstLine="420" w:firstLineChars="200"/>
              <w:rPr>
                <w:rFonts w:ascii="宋体" w:hAnsi="宋体"/>
                <w:color w:val="auto"/>
                <w:szCs w:val="21"/>
                <w:highlight w:val="none"/>
              </w:rPr>
            </w:pPr>
          </w:p>
        </w:tc>
      </w:tr>
      <w:tr w14:paraId="3966A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6513B933">
            <w:pPr>
              <w:spacing w:line="400" w:lineRule="exact"/>
              <w:ind w:firstLine="420" w:firstLineChars="200"/>
              <w:rPr>
                <w:rFonts w:ascii="宋体" w:hAnsi="宋体"/>
                <w:color w:val="auto"/>
                <w:szCs w:val="21"/>
                <w:highlight w:val="none"/>
              </w:rPr>
            </w:pPr>
          </w:p>
        </w:tc>
        <w:tc>
          <w:tcPr>
            <w:tcW w:w="1418" w:type="dxa"/>
            <w:noWrap w:val="0"/>
            <w:vAlign w:val="center"/>
          </w:tcPr>
          <w:p w14:paraId="739A353B">
            <w:pPr>
              <w:spacing w:line="400" w:lineRule="exact"/>
              <w:ind w:firstLine="420" w:firstLineChars="200"/>
              <w:rPr>
                <w:rFonts w:ascii="宋体" w:hAnsi="宋体"/>
                <w:color w:val="auto"/>
                <w:szCs w:val="21"/>
                <w:highlight w:val="none"/>
              </w:rPr>
            </w:pPr>
          </w:p>
        </w:tc>
        <w:tc>
          <w:tcPr>
            <w:tcW w:w="1418" w:type="dxa"/>
            <w:noWrap w:val="0"/>
            <w:vAlign w:val="center"/>
          </w:tcPr>
          <w:p w14:paraId="249130FF">
            <w:pPr>
              <w:spacing w:line="400" w:lineRule="exact"/>
              <w:ind w:firstLine="420" w:firstLineChars="200"/>
              <w:rPr>
                <w:rFonts w:ascii="宋体" w:hAnsi="宋体"/>
                <w:color w:val="auto"/>
                <w:szCs w:val="21"/>
                <w:highlight w:val="none"/>
              </w:rPr>
            </w:pPr>
          </w:p>
        </w:tc>
        <w:tc>
          <w:tcPr>
            <w:tcW w:w="2917" w:type="dxa"/>
            <w:noWrap w:val="0"/>
            <w:vAlign w:val="center"/>
          </w:tcPr>
          <w:p w14:paraId="50A66004">
            <w:pPr>
              <w:spacing w:line="400" w:lineRule="exact"/>
              <w:ind w:firstLine="420" w:firstLineChars="200"/>
              <w:rPr>
                <w:rFonts w:ascii="宋体" w:hAnsi="宋体"/>
                <w:color w:val="auto"/>
                <w:szCs w:val="21"/>
                <w:highlight w:val="none"/>
              </w:rPr>
            </w:pPr>
          </w:p>
        </w:tc>
      </w:tr>
      <w:tr w14:paraId="55BF1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63390940">
            <w:pPr>
              <w:spacing w:line="400" w:lineRule="exact"/>
              <w:ind w:firstLine="420" w:firstLineChars="200"/>
              <w:rPr>
                <w:rFonts w:ascii="宋体" w:hAnsi="宋体"/>
                <w:color w:val="auto"/>
                <w:szCs w:val="21"/>
                <w:highlight w:val="none"/>
              </w:rPr>
            </w:pPr>
          </w:p>
        </w:tc>
        <w:tc>
          <w:tcPr>
            <w:tcW w:w="1418" w:type="dxa"/>
            <w:noWrap w:val="0"/>
            <w:vAlign w:val="top"/>
          </w:tcPr>
          <w:p w14:paraId="062E752C">
            <w:pPr>
              <w:spacing w:line="400" w:lineRule="exact"/>
              <w:ind w:firstLine="420" w:firstLineChars="200"/>
              <w:rPr>
                <w:rFonts w:ascii="宋体" w:hAnsi="宋体"/>
                <w:color w:val="auto"/>
                <w:szCs w:val="21"/>
                <w:highlight w:val="none"/>
              </w:rPr>
            </w:pPr>
          </w:p>
        </w:tc>
        <w:tc>
          <w:tcPr>
            <w:tcW w:w="1418" w:type="dxa"/>
            <w:noWrap w:val="0"/>
            <w:vAlign w:val="top"/>
          </w:tcPr>
          <w:p w14:paraId="304A051D">
            <w:pPr>
              <w:spacing w:line="400" w:lineRule="exact"/>
              <w:ind w:firstLine="420" w:firstLineChars="200"/>
              <w:rPr>
                <w:rFonts w:ascii="宋体" w:hAnsi="宋体"/>
                <w:color w:val="auto"/>
                <w:szCs w:val="21"/>
                <w:highlight w:val="none"/>
              </w:rPr>
            </w:pPr>
          </w:p>
        </w:tc>
        <w:tc>
          <w:tcPr>
            <w:tcW w:w="2917" w:type="dxa"/>
            <w:noWrap w:val="0"/>
            <w:vAlign w:val="top"/>
          </w:tcPr>
          <w:p w14:paraId="6C3D067B">
            <w:pPr>
              <w:spacing w:line="400" w:lineRule="exact"/>
              <w:ind w:firstLine="420" w:firstLineChars="200"/>
              <w:rPr>
                <w:rFonts w:ascii="宋体" w:hAnsi="宋体"/>
                <w:color w:val="auto"/>
                <w:szCs w:val="21"/>
                <w:highlight w:val="none"/>
              </w:rPr>
            </w:pPr>
          </w:p>
        </w:tc>
      </w:tr>
      <w:tr w14:paraId="084F4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70A28994">
            <w:pPr>
              <w:spacing w:line="400" w:lineRule="exact"/>
              <w:ind w:firstLine="420" w:firstLineChars="200"/>
              <w:rPr>
                <w:rFonts w:ascii="宋体" w:hAnsi="宋体"/>
                <w:color w:val="auto"/>
                <w:szCs w:val="21"/>
                <w:highlight w:val="none"/>
              </w:rPr>
            </w:pPr>
          </w:p>
        </w:tc>
        <w:tc>
          <w:tcPr>
            <w:tcW w:w="1418" w:type="dxa"/>
            <w:noWrap w:val="0"/>
            <w:vAlign w:val="center"/>
          </w:tcPr>
          <w:p w14:paraId="199EA99A">
            <w:pPr>
              <w:spacing w:line="400" w:lineRule="exact"/>
              <w:ind w:firstLine="420" w:firstLineChars="200"/>
              <w:rPr>
                <w:rFonts w:ascii="宋体" w:hAnsi="宋体"/>
                <w:color w:val="auto"/>
                <w:szCs w:val="21"/>
                <w:highlight w:val="none"/>
              </w:rPr>
            </w:pPr>
          </w:p>
        </w:tc>
        <w:tc>
          <w:tcPr>
            <w:tcW w:w="1418" w:type="dxa"/>
            <w:noWrap w:val="0"/>
            <w:vAlign w:val="center"/>
          </w:tcPr>
          <w:p w14:paraId="24535FB2">
            <w:pPr>
              <w:spacing w:line="400" w:lineRule="exact"/>
              <w:ind w:firstLine="420" w:firstLineChars="200"/>
              <w:rPr>
                <w:rFonts w:ascii="宋体" w:hAnsi="宋体"/>
                <w:color w:val="auto"/>
                <w:szCs w:val="21"/>
                <w:highlight w:val="none"/>
              </w:rPr>
            </w:pPr>
          </w:p>
        </w:tc>
        <w:tc>
          <w:tcPr>
            <w:tcW w:w="2917" w:type="dxa"/>
            <w:noWrap w:val="0"/>
            <w:vAlign w:val="center"/>
          </w:tcPr>
          <w:p w14:paraId="3EAEEF65">
            <w:pPr>
              <w:spacing w:line="400" w:lineRule="exact"/>
              <w:ind w:firstLine="420" w:firstLineChars="200"/>
              <w:rPr>
                <w:rFonts w:ascii="宋体" w:hAnsi="宋体"/>
                <w:color w:val="auto"/>
                <w:szCs w:val="21"/>
                <w:highlight w:val="none"/>
              </w:rPr>
            </w:pPr>
          </w:p>
        </w:tc>
      </w:tr>
      <w:tr w14:paraId="7C5C6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3D47BC7F">
            <w:pPr>
              <w:spacing w:line="400" w:lineRule="exact"/>
              <w:ind w:firstLine="420" w:firstLineChars="200"/>
              <w:rPr>
                <w:rFonts w:ascii="宋体" w:hAnsi="宋体"/>
                <w:color w:val="auto"/>
                <w:szCs w:val="21"/>
                <w:highlight w:val="none"/>
              </w:rPr>
            </w:pPr>
          </w:p>
        </w:tc>
        <w:tc>
          <w:tcPr>
            <w:tcW w:w="1418" w:type="dxa"/>
            <w:noWrap w:val="0"/>
            <w:vAlign w:val="top"/>
          </w:tcPr>
          <w:p w14:paraId="6D4BB83F">
            <w:pPr>
              <w:spacing w:line="400" w:lineRule="exact"/>
              <w:ind w:firstLine="420" w:firstLineChars="200"/>
              <w:rPr>
                <w:rFonts w:ascii="宋体" w:hAnsi="宋体"/>
                <w:color w:val="auto"/>
                <w:szCs w:val="21"/>
                <w:highlight w:val="none"/>
              </w:rPr>
            </w:pPr>
          </w:p>
        </w:tc>
        <w:tc>
          <w:tcPr>
            <w:tcW w:w="1418" w:type="dxa"/>
            <w:noWrap w:val="0"/>
            <w:vAlign w:val="top"/>
          </w:tcPr>
          <w:p w14:paraId="5DDD828C">
            <w:pPr>
              <w:spacing w:line="400" w:lineRule="exact"/>
              <w:ind w:firstLine="420" w:firstLineChars="200"/>
              <w:rPr>
                <w:rFonts w:ascii="宋体" w:hAnsi="宋体"/>
                <w:color w:val="auto"/>
                <w:szCs w:val="21"/>
                <w:highlight w:val="none"/>
              </w:rPr>
            </w:pPr>
          </w:p>
        </w:tc>
        <w:tc>
          <w:tcPr>
            <w:tcW w:w="2917" w:type="dxa"/>
            <w:noWrap w:val="0"/>
            <w:vAlign w:val="top"/>
          </w:tcPr>
          <w:p w14:paraId="302DD633">
            <w:pPr>
              <w:spacing w:line="400" w:lineRule="exact"/>
              <w:ind w:firstLine="420" w:firstLineChars="200"/>
              <w:rPr>
                <w:rFonts w:ascii="宋体" w:hAnsi="宋体"/>
                <w:color w:val="auto"/>
                <w:szCs w:val="21"/>
                <w:highlight w:val="none"/>
              </w:rPr>
            </w:pPr>
          </w:p>
        </w:tc>
      </w:tr>
      <w:tr w14:paraId="699AC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601E1C5D">
            <w:pPr>
              <w:spacing w:line="400" w:lineRule="exact"/>
              <w:ind w:firstLine="420" w:firstLineChars="200"/>
              <w:rPr>
                <w:rFonts w:ascii="宋体" w:hAnsi="宋体"/>
                <w:color w:val="auto"/>
                <w:szCs w:val="21"/>
                <w:highlight w:val="none"/>
              </w:rPr>
            </w:pPr>
          </w:p>
        </w:tc>
        <w:tc>
          <w:tcPr>
            <w:tcW w:w="1418" w:type="dxa"/>
            <w:noWrap w:val="0"/>
            <w:vAlign w:val="top"/>
          </w:tcPr>
          <w:p w14:paraId="7362A433">
            <w:pPr>
              <w:spacing w:line="400" w:lineRule="exact"/>
              <w:ind w:firstLine="420" w:firstLineChars="200"/>
              <w:rPr>
                <w:rFonts w:ascii="宋体" w:hAnsi="宋体"/>
                <w:color w:val="auto"/>
                <w:szCs w:val="21"/>
                <w:highlight w:val="none"/>
              </w:rPr>
            </w:pPr>
          </w:p>
        </w:tc>
        <w:tc>
          <w:tcPr>
            <w:tcW w:w="1418" w:type="dxa"/>
            <w:noWrap w:val="0"/>
            <w:vAlign w:val="top"/>
          </w:tcPr>
          <w:p w14:paraId="67E371E0">
            <w:pPr>
              <w:spacing w:line="400" w:lineRule="exact"/>
              <w:ind w:firstLine="420" w:firstLineChars="200"/>
              <w:rPr>
                <w:rFonts w:ascii="宋体" w:hAnsi="宋体"/>
                <w:color w:val="auto"/>
                <w:szCs w:val="21"/>
                <w:highlight w:val="none"/>
              </w:rPr>
            </w:pPr>
          </w:p>
        </w:tc>
        <w:tc>
          <w:tcPr>
            <w:tcW w:w="2917" w:type="dxa"/>
            <w:noWrap w:val="0"/>
            <w:vAlign w:val="top"/>
          </w:tcPr>
          <w:p w14:paraId="2913B33E">
            <w:pPr>
              <w:spacing w:line="400" w:lineRule="exact"/>
              <w:ind w:firstLine="420" w:firstLineChars="200"/>
              <w:rPr>
                <w:rFonts w:ascii="宋体" w:hAnsi="宋体"/>
                <w:color w:val="auto"/>
                <w:szCs w:val="21"/>
                <w:highlight w:val="none"/>
              </w:rPr>
            </w:pPr>
          </w:p>
        </w:tc>
      </w:tr>
      <w:tr w14:paraId="79336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529F8C44">
            <w:pPr>
              <w:spacing w:line="400" w:lineRule="exact"/>
              <w:ind w:firstLine="420" w:firstLineChars="200"/>
              <w:rPr>
                <w:rFonts w:ascii="宋体" w:hAnsi="宋体"/>
                <w:color w:val="auto"/>
                <w:szCs w:val="21"/>
                <w:highlight w:val="none"/>
              </w:rPr>
            </w:pPr>
          </w:p>
        </w:tc>
        <w:tc>
          <w:tcPr>
            <w:tcW w:w="1418" w:type="dxa"/>
            <w:noWrap w:val="0"/>
            <w:vAlign w:val="top"/>
          </w:tcPr>
          <w:p w14:paraId="06AC0B0F">
            <w:pPr>
              <w:spacing w:line="400" w:lineRule="exact"/>
              <w:ind w:firstLine="420" w:firstLineChars="200"/>
              <w:rPr>
                <w:rFonts w:ascii="宋体" w:hAnsi="宋体"/>
                <w:color w:val="auto"/>
                <w:szCs w:val="21"/>
                <w:highlight w:val="none"/>
              </w:rPr>
            </w:pPr>
          </w:p>
        </w:tc>
        <w:tc>
          <w:tcPr>
            <w:tcW w:w="1418" w:type="dxa"/>
            <w:noWrap w:val="0"/>
            <w:vAlign w:val="top"/>
          </w:tcPr>
          <w:p w14:paraId="1848D19F">
            <w:pPr>
              <w:spacing w:line="400" w:lineRule="exact"/>
              <w:ind w:firstLine="420" w:firstLineChars="200"/>
              <w:rPr>
                <w:rFonts w:ascii="宋体" w:hAnsi="宋体"/>
                <w:color w:val="auto"/>
                <w:szCs w:val="21"/>
                <w:highlight w:val="none"/>
              </w:rPr>
            </w:pPr>
          </w:p>
        </w:tc>
        <w:tc>
          <w:tcPr>
            <w:tcW w:w="2917" w:type="dxa"/>
            <w:noWrap w:val="0"/>
            <w:vAlign w:val="top"/>
          </w:tcPr>
          <w:p w14:paraId="642F48DD">
            <w:pPr>
              <w:spacing w:line="400" w:lineRule="exact"/>
              <w:ind w:firstLine="420" w:firstLineChars="200"/>
              <w:rPr>
                <w:rFonts w:ascii="宋体" w:hAnsi="宋体"/>
                <w:color w:val="auto"/>
                <w:szCs w:val="21"/>
                <w:highlight w:val="none"/>
              </w:rPr>
            </w:pPr>
          </w:p>
        </w:tc>
      </w:tr>
      <w:tr w14:paraId="57ED4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2E534FC9">
            <w:pPr>
              <w:spacing w:line="400" w:lineRule="exact"/>
              <w:ind w:firstLine="420" w:firstLineChars="200"/>
              <w:rPr>
                <w:rFonts w:ascii="宋体" w:hAnsi="宋体"/>
                <w:color w:val="auto"/>
                <w:szCs w:val="21"/>
                <w:highlight w:val="none"/>
              </w:rPr>
            </w:pPr>
          </w:p>
        </w:tc>
        <w:tc>
          <w:tcPr>
            <w:tcW w:w="1418" w:type="dxa"/>
            <w:noWrap w:val="0"/>
            <w:vAlign w:val="top"/>
          </w:tcPr>
          <w:p w14:paraId="5F5A7387">
            <w:pPr>
              <w:spacing w:line="400" w:lineRule="exact"/>
              <w:ind w:firstLine="420" w:firstLineChars="200"/>
              <w:rPr>
                <w:rFonts w:ascii="宋体" w:hAnsi="宋体"/>
                <w:color w:val="auto"/>
                <w:szCs w:val="21"/>
                <w:highlight w:val="none"/>
              </w:rPr>
            </w:pPr>
          </w:p>
        </w:tc>
        <w:tc>
          <w:tcPr>
            <w:tcW w:w="1418" w:type="dxa"/>
            <w:noWrap w:val="0"/>
            <w:vAlign w:val="top"/>
          </w:tcPr>
          <w:p w14:paraId="5A925A77">
            <w:pPr>
              <w:spacing w:line="400" w:lineRule="exact"/>
              <w:ind w:firstLine="420" w:firstLineChars="200"/>
              <w:rPr>
                <w:rFonts w:ascii="宋体" w:hAnsi="宋体"/>
                <w:color w:val="auto"/>
                <w:szCs w:val="21"/>
                <w:highlight w:val="none"/>
              </w:rPr>
            </w:pPr>
          </w:p>
        </w:tc>
        <w:tc>
          <w:tcPr>
            <w:tcW w:w="2917" w:type="dxa"/>
            <w:noWrap w:val="0"/>
            <w:vAlign w:val="top"/>
          </w:tcPr>
          <w:p w14:paraId="42AFD988">
            <w:pPr>
              <w:spacing w:line="400" w:lineRule="exact"/>
              <w:ind w:firstLine="420" w:firstLineChars="200"/>
              <w:rPr>
                <w:rFonts w:ascii="宋体" w:hAnsi="宋体"/>
                <w:color w:val="auto"/>
                <w:szCs w:val="21"/>
                <w:highlight w:val="none"/>
              </w:rPr>
            </w:pPr>
          </w:p>
        </w:tc>
      </w:tr>
      <w:tr w14:paraId="2E73B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70F936D8">
            <w:pPr>
              <w:spacing w:line="400" w:lineRule="exact"/>
              <w:ind w:firstLine="420" w:firstLineChars="200"/>
              <w:rPr>
                <w:rFonts w:ascii="宋体" w:hAnsi="宋体"/>
                <w:color w:val="auto"/>
                <w:szCs w:val="21"/>
                <w:highlight w:val="none"/>
              </w:rPr>
            </w:pPr>
          </w:p>
        </w:tc>
        <w:tc>
          <w:tcPr>
            <w:tcW w:w="1418" w:type="dxa"/>
            <w:noWrap w:val="0"/>
            <w:vAlign w:val="top"/>
          </w:tcPr>
          <w:p w14:paraId="700DD85E">
            <w:pPr>
              <w:spacing w:line="400" w:lineRule="exact"/>
              <w:ind w:firstLine="420" w:firstLineChars="200"/>
              <w:rPr>
                <w:rFonts w:ascii="宋体" w:hAnsi="宋体"/>
                <w:color w:val="auto"/>
                <w:szCs w:val="21"/>
                <w:highlight w:val="none"/>
              </w:rPr>
            </w:pPr>
          </w:p>
        </w:tc>
        <w:tc>
          <w:tcPr>
            <w:tcW w:w="1418" w:type="dxa"/>
            <w:noWrap w:val="0"/>
            <w:vAlign w:val="top"/>
          </w:tcPr>
          <w:p w14:paraId="5C54A526">
            <w:pPr>
              <w:spacing w:line="400" w:lineRule="exact"/>
              <w:ind w:firstLine="420" w:firstLineChars="200"/>
              <w:rPr>
                <w:rFonts w:ascii="宋体" w:hAnsi="宋体"/>
                <w:color w:val="auto"/>
                <w:szCs w:val="21"/>
                <w:highlight w:val="none"/>
              </w:rPr>
            </w:pPr>
          </w:p>
        </w:tc>
        <w:tc>
          <w:tcPr>
            <w:tcW w:w="2917" w:type="dxa"/>
            <w:noWrap w:val="0"/>
            <w:vAlign w:val="top"/>
          </w:tcPr>
          <w:p w14:paraId="644DA74A">
            <w:pPr>
              <w:spacing w:line="400" w:lineRule="exact"/>
              <w:ind w:firstLine="420" w:firstLineChars="200"/>
              <w:rPr>
                <w:rFonts w:ascii="宋体" w:hAnsi="宋体"/>
                <w:color w:val="auto"/>
                <w:szCs w:val="21"/>
                <w:highlight w:val="none"/>
              </w:rPr>
            </w:pPr>
          </w:p>
        </w:tc>
      </w:tr>
      <w:tr w14:paraId="2B2B0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7419F266">
            <w:pPr>
              <w:spacing w:line="400" w:lineRule="exact"/>
              <w:ind w:firstLine="420" w:firstLineChars="200"/>
              <w:rPr>
                <w:rFonts w:ascii="宋体" w:hAnsi="宋体"/>
                <w:color w:val="auto"/>
                <w:szCs w:val="21"/>
                <w:highlight w:val="none"/>
              </w:rPr>
            </w:pPr>
          </w:p>
        </w:tc>
        <w:tc>
          <w:tcPr>
            <w:tcW w:w="1418" w:type="dxa"/>
            <w:noWrap w:val="0"/>
            <w:vAlign w:val="top"/>
          </w:tcPr>
          <w:p w14:paraId="38EC8CB4">
            <w:pPr>
              <w:spacing w:line="400" w:lineRule="exact"/>
              <w:ind w:firstLine="420" w:firstLineChars="200"/>
              <w:rPr>
                <w:rFonts w:ascii="宋体" w:hAnsi="宋体"/>
                <w:color w:val="auto"/>
                <w:szCs w:val="21"/>
                <w:highlight w:val="none"/>
              </w:rPr>
            </w:pPr>
          </w:p>
        </w:tc>
        <w:tc>
          <w:tcPr>
            <w:tcW w:w="1418" w:type="dxa"/>
            <w:noWrap w:val="0"/>
            <w:vAlign w:val="top"/>
          </w:tcPr>
          <w:p w14:paraId="0F233418">
            <w:pPr>
              <w:spacing w:line="400" w:lineRule="exact"/>
              <w:ind w:firstLine="420" w:firstLineChars="200"/>
              <w:rPr>
                <w:rFonts w:ascii="宋体" w:hAnsi="宋体"/>
                <w:color w:val="auto"/>
                <w:szCs w:val="21"/>
                <w:highlight w:val="none"/>
              </w:rPr>
            </w:pPr>
          </w:p>
        </w:tc>
        <w:tc>
          <w:tcPr>
            <w:tcW w:w="2917" w:type="dxa"/>
            <w:noWrap w:val="0"/>
            <w:vAlign w:val="top"/>
          </w:tcPr>
          <w:p w14:paraId="44B1F967">
            <w:pPr>
              <w:spacing w:line="400" w:lineRule="exact"/>
              <w:ind w:firstLine="420" w:firstLineChars="200"/>
              <w:rPr>
                <w:rFonts w:ascii="宋体" w:hAnsi="宋体"/>
                <w:color w:val="auto"/>
                <w:szCs w:val="21"/>
                <w:highlight w:val="none"/>
              </w:rPr>
            </w:pPr>
          </w:p>
        </w:tc>
      </w:tr>
      <w:tr w14:paraId="2DC4D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29B46A5B">
            <w:pPr>
              <w:spacing w:line="400" w:lineRule="exact"/>
              <w:ind w:firstLine="420" w:firstLineChars="200"/>
              <w:rPr>
                <w:rFonts w:ascii="宋体" w:hAnsi="宋体"/>
                <w:color w:val="auto"/>
                <w:szCs w:val="21"/>
                <w:highlight w:val="none"/>
              </w:rPr>
            </w:pPr>
          </w:p>
        </w:tc>
        <w:tc>
          <w:tcPr>
            <w:tcW w:w="1418" w:type="dxa"/>
            <w:noWrap w:val="0"/>
            <w:vAlign w:val="top"/>
          </w:tcPr>
          <w:p w14:paraId="2EB79940">
            <w:pPr>
              <w:spacing w:line="400" w:lineRule="exact"/>
              <w:ind w:firstLine="420" w:firstLineChars="200"/>
              <w:rPr>
                <w:rFonts w:ascii="宋体" w:hAnsi="宋体"/>
                <w:color w:val="auto"/>
                <w:szCs w:val="21"/>
                <w:highlight w:val="none"/>
              </w:rPr>
            </w:pPr>
          </w:p>
        </w:tc>
        <w:tc>
          <w:tcPr>
            <w:tcW w:w="1418" w:type="dxa"/>
            <w:noWrap w:val="0"/>
            <w:vAlign w:val="top"/>
          </w:tcPr>
          <w:p w14:paraId="7CA86133">
            <w:pPr>
              <w:spacing w:line="400" w:lineRule="exact"/>
              <w:ind w:firstLine="420" w:firstLineChars="200"/>
              <w:rPr>
                <w:rFonts w:ascii="宋体" w:hAnsi="宋体"/>
                <w:color w:val="auto"/>
                <w:szCs w:val="21"/>
                <w:highlight w:val="none"/>
              </w:rPr>
            </w:pPr>
          </w:p>
        </w:tc>
        <w:tc>
          <w:tcPr>
            <w:tcW w:w="2917" w:type="dxa"/>
            <w:noWrap w:val="0"/>
            <w:vAlign w:val="top"/>
          </w:tcPr>
          <w:p w14:paraId="00D107A1">
            <w:pPr>
              <w:spacing w:line="400" w:lineRule="exact"/>
              <w:ind w:firstLine="420" w:firstLineChars="200"/>
              <w:rPr>
                <w:rFonts w:ascii="宋体" w:hAnsi="宋体"/>
                <w:color w:val="auto"/>
                <w:szCs w:val="21"/>
                <w:highlight w:val="none"/>
              </w:rPr>
            </w:pPr>
          </w:p>
        </w:tc>
      </w:tr>
      <w:tr w14:paraId="7FE68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539C245B">
            <w:pPr>
              <w:spacing w:line="400" w:lineRule="exact"/>
              <w:ind w:firstLine="420" w:firstLineChars="200"/>
              <w:rPr>
                <w:rFonts w:ascii="宋体" w:hAnsi="宋体"/>
                <w:color w:val="auto"/>
                <w:szCs w:val="21"/>
                <w:highlight w:val="none"/>
              </w:rPr>
            </w:pPr>
          </w:p>
        </w:tc>
        <w:tc>
          <w:tcPr>
            <w:tcW w:w="1418" w:type="dxa"/>
            <w:noWrap w:val="0"/>
            <w:vAlign w:val="top"/>
          </w:tcPr>
          <w:p w14:paraId="07E5124C">
            <w:pPr>
              <w:spacing w:line="400" w:lineRule="exact"/>
              <w:ind w:firstLine="420" w:firstLineChars="200"/>
              <w:rPr>
                <w:rFonts w:ascii="宋体" w:hAnsi="宋体"/>
                <w:color w:val="auto"/>
                <w:szCs w:val="21"/>
                <w:highlight w:val="none"/>
              </w:rPr>
            </w:pPr>
          </w:p>
        </w:tc>
        <w:tc>
          <w:tcPr>
            <w:tcW w:w="1418" w:type="dxa"/>
            <w:noWrap w:val="0"/>
            <w:vAlign w:val="top"/>
          </w:tcPr>
          <w:p w14:paraId="6E8F57E5">
            <w:pPr>
              <w:spacing w:line="400" w:lineRule="exact"/>
              <w:ind w:firstLine="420" w:firstLineChars="200"/>
              <w:rPr>
                <w:rFonts w:ascii="宋体" w:hAnsi="宋体"/>
                <w:color w:val="auto"/>
                <w:szCs w:val="21"/>
                <w:highlight w:val="none"/>
              </w:rPr>
            </w:pPr>
          </w:p>
        </w:tc>
        <w:tc>
          <w:tcPr>
            <w:tcW w:w="2917" w:type="dxa"/>
            <w:noWrap w:val="0"/>
            <w:vAlign w:val="top"/>
          </w:tcPr>
          <w:p w14:paraId="5D593E44">
            <w:pPr>
              <w:spacing w:line="400" w:lineRule="exact"/>
              <w:ind w:firstLine="420" w:firstLineChars="200"/>
              <w:rPr>
                <w:rFonts w:ascii="宋体" w:hAnsi="宋体"/>
                <w:color w:val="auto"/>
                <w:szCs w:val="21"/>
                <w:highlight w:val="none"/>
              </w:rPr>
            </w:pPr>
          </w:p>
        </w:tc>
      </w:tr>
    </w:tbl>
    <w:p w14:paraId="21B75C66">
      <w:pPr>
        <w:spacing w:line="360" w:lineRule="auto"/>
        <w:ind w:firstLine="420" w:firstLineChars="200"/>
        <w:rPr>
          <w:rFonts w:ascii="宋体" w:hAnsi="宋体"/>
          <w:color w:val="auto"/>
          <w:szCs w:val="21"/>
          <w:highlight w:val="none"/>
        </w:rPr>
      </w:pPr>
    </w:p>
    <w:p w14:paraId="2901926F">
      <w:pPr>
        <w:spacing w:line="480" w:lineRule="auto"/>
        <w:rPr>
          <w:rFonts w:ascii="宋体" w:hAnsi="宋体"/>
          <w:color w:val="auto"/>
          <w:szCs w:val="21"/>
          <w:highlight w:val="none"/>
        </w:rPr>
      </w:pPr>
      <w:r>
        <w:rPr>
          <w:rFonts w:hint="eastAsia" w:ascii="宋体" w:hAnsi="宋体"/>
          <w:color w:val="auto"/>
          <w:szCs w:val="21"/>
          <w:highlight w:val="none"/>
        </w:rPr>
        <w:br w:type="page"/>
      </w:r>
      <w:r>
        <w:rPr>
          <w:rFonts w:hint="eastAsia" w:ascii="宋体" w:hAnsi="宋体"/>
          <w:color w:val="auto"/>
          <w:szCs w:val="21"/>
          <w:highlight w:val="none"/>
        </w:rPr>
        <w:t>附</w:t>
      </w:r>
      <w:bookmarkStart w:id="2060" w:name="_Toc267261699"/>
      <w:bookmarkStart w:id="2061" w:name="_Toc296347227"/>
      <w:bookmarkStart w:id="2062" w:name="_Toc296503228"/>
      <w:bookmarkStart w:id="2063" w:name="_Toc296346729"/>
      <w:bookmarkStart w:id="2064" w:name="_Toc296944567"/>
      <w:bookmarkStart w:id="2065" w:name="_Toc296891268"/>
      <w:bookmarkStart w:id="2066" w:name="_Toc296891056"/>
      <w:r>
        <w:rPr>
          <w:rFonts w:hint="eastAsia" w:ascii="宋体" w:hAnsi="宋体"/>
          <w:color w:val="auto"/>
          <w:szCs w:val="21"/>
          <w:highlight w:val="none"/>
        </w:rPr>
        <w:t>件3：</w:t>
      </w:r>
    </w:p>
    <w:bookmarkEnd w:id="2060"/>
    <w:bookmarkEnd w:id="2061"/>
    <w:bookmarkEnd w:id="2062"/>
    <w:bookmarkEnd w:id="2063"/>
    <w:bookmarkEnd w:id="2064"/>
    <w:bookmarkEnd w:id="2065"/>
    <w:bookmarkEnd w:id="2066"/>
    <w:p w14:paraId="7EE53B3E">
      <w:pPr>
        <w:spacing w:before="156" w:beforeLines="50" w:after="156" w:afterLines="50" w:line="480" w:lineRule="auto"/>
        <w:jc w:val="center"/>
        <w:rPr>
          <w:rFonts w:ascii="宋体" w:hAnsi="宋体"/>
          <w:color w:val="auto"/>
          <w:szCs w:val="21"/>
          <w:highlight w:val="none"/>
        </w:rPr>
      </w:pPr>
      <w:r>
        <w:rPr>
          <w:rFonts w:hint="eastAsia" w:ascii="宋体" w:hAnsi="宋体"/>
          <w:color w:val="auto"/>
          <w:szCs w:val="21"/>
          <w:highlight w:val="none"/>
        </w:rPr>
        <w:t>承包人项目管理机构组成表</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14:paraId="58A2D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76B7CF00">
            <w:pPr>
              <w:spacing w:line="400" w:lineRule="exact"/>
              <w:jc w:val="center"/>
              <w:rPr>
                <w:rFonts w:ascii="宋体" w:hAnsi="宋体"/>
                <w:color w:val="auto"/>
                <w:szCs w:val="21"/>
                <w:highlight w:val="none"/>
              </w:rPr>
            </w:pPr>
            <w:r>
              <w:rPr>
                <w:rFonts w:hint="eastAsia" w:ascii="宋体" w:hAnsi="宋体"/>
                <w:color w:val="auto"/>
                <w:szCs w:val="21"/>
                <w:highlight w:val="none"/>
              </w:rPr>
              <w:t>名    称</w:t>
            </w:r>
          </w:p>
        </w:tc>
        <w:tc>
          <w:tcPr>
            <w:tcW w:w="1418" w:type="dxa"/>
            <w:noWrap w:val="0"/>
            <w:vAlign w:val="center"/>
          </w:tcPr>
          <w:p w14:paraId="34B6BB4A">
            <w:pPr>
              <w:spacing w:line="400" w:lineRule="exact"/>
              <w:jc w:val="center"/>
              <w:rPr>
                <w:rFonts w:ascii="宋体" w:hAnsi="宋体"/>
                <w:color w:val="auto"/>
                <w:szCs w:val="21"/>
                <w:highlight w:val="none"/>
              </w:rPr>
            </w:pPr>
            <w:r>
              <w:rPr>
                <w:rFonts w:hint="eastAsia" w:ascii="宋体" w:hAnsi="宋体"/>
                <w:color w:val="auto"/>
                <w:szCs w:val="21"/>
                <w:highlight w:val="none"/>
              </w:rPr>
              <w:t>姓名</w:t>
            </w:r>
          </w:p>
        </w:tc>
        <w:tc>
          <w:tcPr>
            <w:tcW w:w="1134" w:type="dxa"/>
            <w:noWrap w:val="0"/>
            <w:vAlign w:val="center"/>
          </w:tcPr>
          <w:p w14:paraId="691CA9BB">
            <w:pPr>
              <w:spacing w:line="400" w:lineRule="exact"/>
              <w:jc w:val="center"/>
              <w:rPr>
                <w:rFonts w:ascii="宋体" w:hAnsi="宋体"/>
                <w:color w:val="auto"/>
                <w:szCs w:val="21"/>
                <w:highlight w:val="none"/>
              </w:rPr>
            </w:pPr>
            <w:r>
              <w:rPr>
                <w:rFonts w:hint="eastAsia" w:ascii="宋体" w:hAnsi="宋体"/>
                <w:color w:val="auto"/>
                <w:szCs w:val="21"/>
                <w:highlight w:val="none"/>
              </w:rPr>
              <w:t>职务</w:t>
            </w:r>
          </w:p>
        </w:tc>
        <w:tc>
          <w:tcPr>
            <w:tcW w:w="1134" w:type="dxa"/>
            <w:noWrap w:val="0"/>
            <w:vAlign w:val="center"/>
          </w:tcPr>
          <w:p w14:paraId="70A1B98C">
            <w:pPr>
              <w:spacing w:line="400" w:lineRule="exact"/>
              <w:jc w:val="center"/>
              <w:rPr>
                <w:rFonts w:ascii="宋体" w:hAnsi="宋体"/>
                <w:color w:val="auto"/>
                <w:szCs w:val="21"/>
                <w:highlight w:val="none"/>
              </w:rPr>
            </w:pPr>
            <w:r>
              <w:rPr>
                <w:rFonts w:hint="eastAsia" w:ascii="宋体" w:hAnsi="宋体"/>
                <w:color w:val="auto"/>
                <w:szCs w:val="21"/>
                <w:highlight w:val="none"/>
              </w:rPr>
              <w:t>职称</w:t>
            </w:r>
          </w:p>
        </w:tc>
        <w:tc>
          <w:tcPr>
            <w:tcW w:w="4252" w:type="dxa"/>
            <w:noWrap w:val="0"/>
            <w:vAlign w:val="center"/>
          </w:tcPr>
          <w:p w14:paraId="19C4BEE2">
            <w:pPr>
              <w:spacing w:line="400" w:lineRule="exact"/>
              <w:jc w:val="center"/>
              <w:rPr>
                <w:rFonts w:ascii="宋体" w:hAnsi="宋体"/>
                <w:color w:val="auto"/>
                <w:szCs w:val="21"/>
                <w:highlight w:val="none"/>
              </w:rPr>
            </w:pPr>
            <w:r>
              <w:rPr>
                <w:rFonts w:hint="eastAsia" w:ascii="宋体" w:hAnsi="宋体"/>
                <w:color w:val="auto"/>
                <w:szCs w:val="21"/>
                <w:highlight w:val="none"/>
              </w:rPr>
              <w:t>主要资历、经验及承担过的项目</w:t>
            </w:r>
          </w:p>
        </w:tc>
      </w:tr>
      <w:tr w14:paraId="09C0E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7" w:hRule="atLeast"/>
          <w:jc w:val="center"/>
        </w:trPr>
        <w:tc>
          <w:tcPr>
            <w:tcW w:w="9809" w:type="dxa"/>
            <w:gridSpan w:val="5"/>
            <w:noWrap w:val="0"/>
            <w:vAlign w:val="center"/>
          </w:tcPr>
          <w:p w14:paraId="76091AF3">
            <w:pPr>
              <w:spacing w:line="400" w:lineRule="exact"/>
              <w:rPr>
                <w:rFonts w:ascii="宋体" w:hAnsi="宋体"/>
                <w:color w:val="auto"/>
                <w:szCs w:val="21"/>
                <w:highlight w:val="none"/>
              </w:rPr>
            </w:pPr>
            <w:r>
              <w:rPr>
                <w:rFonts w:hint="eastAsia" w:ascii="宋体" w:hAnsi="宋体"/>
                <w:color w:val="auto"/>
                <w:szCs w:val="21"/>
                <w:highlight w:val="none"/>
              </w:rPr>
              <w:t>一、总部人员</w:t>
            </w:r>
          </w:p>
        </w:tc>
      </w:tr>
      <w:tr w14:paraId="540D4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47789EE5">
            <w:pPr>
              <w:spacing w:line="400" w:lineRule="exact"/>
              <w:jc w:val="center"/>
              <w:rPr>
                <w:rFonts w:ascii="宋体" w:hAnsi="宋体"/>
                <w:color w:val="auto"/>
                <w:szCs w:val="21"/>
                <w:highlight w:val="none"/>
              </w:rPr>
            </w:pPr>
            <w:r>
              <w:rPr>
                <w:rFonts w:hint="eastAsia" w:ascii="宋体" w:hAnsi="宋体"/>
                <w:color w:val="auto"/>
                <w:szCs w:val="21"/>
                <w:highlight w:val="none"/>
              </w:rPr>
              <w:t>项目主管</w:t>
            </w:r>
          </w:p>
        </w:tc>
        <w:tc>
          <w:tcPr>
            <w:tcW w:w="1418" w:type="dxa"/>
            <w:noWrap w:val="0"/>
            <w:vAlign w:val="center"/>
          </w:tcPr>
          <w:p w14:paraId="00362C48">
            <w:pPr>
              <w:spacing w:line="400" w:lineRule="exact"/>
              <w:ind w:firstLine="420" w:firstLineChars="200"/>
              <w:rPr>
                <w:rFonts w:ascii="宋体" w:hAnsi="宋体"/>
                <w:color w:val="auto"/>
                <w:szCs w:val="21"/>
                <w:highlight w:val="none"/>
              </w:rPr>
            </w:pPr>
          </w:p>
        </w:tc>
        <w:tc>
          <w:tcPr>
            <w:tcW w:w="1134" w:type="dxa"/>
            <w:noWrap w:val="0"/>
            <w:vAlign w:val="center"/>
          </w:tcPr>
          <w:p w14:paraId="5C3674BA">
            <w:pPr>
              <w:spacing w:line="400" w:lineRule="exact"/>
              <w:ind w:firstLine="420" w:firstLineChars="200"/>
              <w:rPr>
                <w:rFonts w:ascii="宋体" w:hAnsi="宋体"/>
                <w:color w:val="auto"/>
                <w:szCs w:val="21"/>
                <w:highlight w:val="none"/>
              </w:rPr>
            </w:pPr>
          </w:p>
        </w:tc>
        <w:tc>
          <w:tcPr>
            <w:tcW w:w="1134" w:type="dxa"/>
            <w:noWrap w:val="0"/>
            <w:vAlign w:val="center"/>
          </w:tcPr>
          <w:p w14:paraId="661A74F4">
            <w:pPr>
              <w:spacing w:line="400" w:lineRule="exact"/>
              <w:ind w:firstLine="420" w:firstLineChars="200"/>
              <w:rPr>
                <w:rFonts w:ascii="宋体" w:hAnsi="宋体"/>
                <w:color w:val="auto"/>
                <w:szCs w:val="21"/>
                <w:highlight w:val="none"/>
              </w:rPr>
            </w:pPr>
          </w:p>
        </w:tc>
        <w:tc>
          <w:tcPr>
            <w:tcW w:w="4252" w:type="dxa"/>
            <w:noWrap w:val="0"/>
            <w:vAlign w:val="center"/>
          </w:tcPr>
          <w:p w14:paraId="52ACDEC4">
            <w:pPr>
              <w:spacing w:line="400" w:lineRule="exact"/>
              <w:ind w:firstLine="420" w:firstLineChars="200"/>
              <w:rPr>
                <w:rFonts w:ascii="宋体" w:hAnsi="宋体"/>
                <w:color w:val="auto"/>
                <w:szCs w:val="21"/>
                <w:highlight w:val="none"/>
              </w:rPr>
            </w:pPr>
          </w:p>
        </w:tc>
      </w:tr>
      <w:tr w14:paraId="2DC85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73BB6BC5">
            <w:pPr>
              <w:spacing w:line="400" w:lineRule="exact"/>
              <w:jc w:val="center"/>
              <w:rPr>
                <w:rFonts w:ascii="宋体" w:hAnsi="宋体"/>
                <w:color w:val="auto"/>
                <w:szCs w:val="21"/>
                <w:highlight w:val="none"/>
              </w:rPr>
            </w:pPr>
          </w:p>
        </w:tc>
        <w:tc>
          <w:tcPr>
            <w:tcW w:w="1418" w:type="dxa"/>
            <w:noWrap w:val="0"/>
            <w:vAlign w:val="center"/>
          </w:tcPr>
          <w:p w14:paraId="6C0AA405">
            <w:pPr>
              <w:spacing w:line="400" w:lineRule="exact"/>
              <w:ind w:firstLine="420" w:firstLineChars="200"/>
              <w:rPr>
                <w:rFonts w:ascii="宋体" w:hAnsi="宋体"/>
                <w:color w:val="auto"/>
                <w:szCs w:val="21"/>
                <w:highlight w:val="none"/>
              </w:rPr>
            </w:pPr>
          </w:p>
        </w:tc>
        <w:tc>
          <w:tcPr>
            <w:tcW w:w="1134" w:type="dxa"/>
            <w:noWrap w:val="0"/>
            <w:vAlign w:val="center"/>
          </w:tcPr>
          <w:p w14:paraId="3DB41C8B">
            <w:pPr>
              <w:spacing w:line="400" w:lineRule="exact"/>
              <w:ind w:firstLine="420" w:firstLineChars="200"/>
              <w:rPr>
                <w:rFonts w:ascii="宋体" w:hAnsi="宋体"/>
                <w:color w:val="auto"/>
                <w:szCs w:val="21"/>
                <w:highlight w:val="none"/>
              </w:rPr>
            </w:pPr>
          </w:p>
        </w:tc>
        <w:tc>
          <w:tcPr>
            <w:tcW w:w="1134" w:type="dxa"/>
            <w:noWrap w:val="0"/>
            <w:vAlign w:val="center"/>
          </w:tcPr>
          <w:p w14:paraId="1F1E4D3B">
            <w:pPr>
              <w:spacing w:line="400" w:lineRule="exact"/>
              <w:ind w:firstLine="420" w:firstLineChars="200"/>
              <w:rPr>
                <w:rFonts w:ascii="宋体" w:hAnsi="宋体"/>
                <w:color w:val="auto"/>
                <w:szCs w:val="21"/>
                <w:highlight w:val="none"/>
              </w:rPr>
            </w:pPr>
          </w:p>
        </w:tc>
        <w:tc>
          <w:tcPr>
            <w:tcW w:w="4252" w:type="dxa"/>
            <w:noWrap w:val="0"/>
            <w:vAlign w:val="center"/>
          </w:tcPr>
          <w:p w14:paraId="3757EA8C">
            <w:pPr>
              <w:spacing w:line="400" w:lineRule="exact"/>
              <w:ind w:firstLine="420" w:firstLineChars="200"/>
              <w:rPr>
                <w:rFonts w:ascii="宋体" w:hAnsi="宋体"/>
                <w:color w:val="auto"/>
                <w:szCs w:val="21"/>
                <w:highlight w:val="none"/>
              </w:rPr>
            </w:pPr>
          </w:p>
        </w:tc>
      </w:tr>
      <w:tr w14:paraId="48ACD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4CFD1BE9">
            <w:pPr>
              <w:spacing w:line="400" w:lineRule="exact"/>
              <w:jc w:val="center"/>
              <w:rPr>
                <w:rFonts w:ascii="宋体" w:hAnsi="宋体"/>
                <w:color w:val="auto"/>
                <w:szCs w:val="21"/>
                <w:highlight w:val="none"/>
              </w:rPr>
            </w:pPr>
            <w:r>
              <w:rPr>
                <w:rFonts w:hint="eastAsia" w:ascii="宋体" w:hAnsi="宋体"/>
                <w:color w:val="auto"/>
                <w:szCs w:val="21"/>
                <w:highlight w:val="none"/>
              </w:rPr>
              <w:t>其他人员</w:t>
            </w:r>
          </w:p>
        </w:tc>
        <w:tc>
          <w:tcPr>
            <w:tcW w:w="1418" w:type="dxa"/>
            <w:noWrap w:val="0"/>
            <w:vAlign w:val="center"/>
          </w:tcPr>
          <w:p w14:paraId="38200E2C">
            <w:pPr>
              <w:spacing w:line="400" w:lineRule="exact"/>
              <w:ind w:firstLine="420" w:firstLineChars="200"/>
              <w:rPr>
                <w:rFonts w:ascii="宋体" w:hAnsi="宋体"/>
                <w:color w:val="auto"/>
                <w:szCs w:val="21"/>
                <w:highlight w:val="none"/>
              </w:rPr>
            </w:pPr>
          </w:p>
        </w:tc>
        <w:tc>
          <w:tcPr>
            <w:tcW w:w="1134" w:type="dxa"/>
            <w:noWrap w:val="0"/>
            <w:vAlign w:val="center"/>
          </w:tcPr>
          <w:p w14:paraId="5630C893">
            <w:pPr>
              <w:spacing w:line="400" w:lineRule="exact"/>
              <w:ind w:firstLine="420" w:firstLineChars="200"/>
              <w:rPr>
                <w:rFonts w:ascii="宋体" w:hAnsi="宋体"/>
                <w:color w:val="auto"/>
                <w:szCs w:val="21"/>
                <w:highlight w:val="none"/>
              </w:rPr>
            </w:pPr>
          </w:p>
        </w:tc>
        <w:tc>
          <w:tcPr>
            <w:tcW w:w="1134" w:type="dxa"/>
            <w:noWrap w:val="0"/>
            <w:vAlign w:val="center"/>
          </w:tcPr>
          <w:p w14:paraId="04378AF9">
            <w:pPr>
              <w:spacing w:line="400" w:lineRule="exact"/>
              <w:ind w:firstLine="420" w:firstLineChars="200"/>
              <w:rPr>
                <w:rFonts w:ascii="宋体" w:hAnsi="宋体"/>
                <w:color w:val="auto"/>
                <w:szCs w:val="21"/>
                <w:highlight w:val="none"/>
              </w:rPr>
            </w:pPr>
          </w:p>
        </w:tc>
        <w:tc>
          <w:tcPr>
            <w:tcW w:w="4252" w:type="dxa"/>
            <w:noWrap w:val="0"/>
            <w:vAlign w:val="center"/>
          </w:tcPr>
          <w:p w14:paraId="41AF6B59">
            <w:pPr>
              <w:spacing w:line="400" w:lineRule="exact"/>
              <w:ind w:firstLine="420" w:firstLineChars="200"/>
              <w:rPr>
                <w:rFonts w:ascii="宋体" w:hAnsi="宋体"/>
                <w:color w:val="auto"/>
                <w:szCs w:val="21"/>
                <w:highlight w:val="none"/>
              </w:rPr>
            </w:pPr>
          </w:p>
        </w:tc>
      </w:tr>
      <w:tr w14:paraId="7185C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64221CF8">
            <w:pPr>
              <w:spacing w:line="400" w:lineRule="exact"/>
              <w:jc w:val="center"/>
              <w:rPr>
                <w:rFonts w:ascii="宋体" w:hAnsi="宋体"/>
                <w:color w:val="auto"/>
                <w:szCs w:val="21"/>
                <w:highlight w:val="none"/>
              </w:rPr>
            </w:pPr>
          </w:p>
        </w:tc>
        <w:tc>
          <w:tcPr>
            <w:tcW w:w="1418" w:type="dxa"/>
            <w:noWrap w:val="0"/>
            <w:vAlign w:val="center"/>
          </w:tcPr>
          <w:p w14:paraId="3A8CBA53">
            <w:pPr>
              <w:spacing w:line="400" w:lineRule="exact"/>
              <w:ind w:firstLine="420" w:firstLineChars="200"/>
              <w:rPr>
                <w:rFonts w:ascii="宋体" w:hAnsi="宋体"/>
                <w:color w:val="auto"/>
                <w:szCs w:val="21"/>
                <w:highlight w:val="none"/>
              </w:rPr>
            </w:pPr>
          </w:p>
        </w:tc>
        <w:tc>
          <w:tcPr>
            <w:tcW w:w="1134" w:type="dxa"/>
            <w:noWrap w:val="0"/>
            <w:vAlign w:val="center"/>
          </w:tcPr>
          <w:p w14:paraId="7D0143E2">
            <w:pPr>
              <w:spacing w:line="400" w:lineRule="exact"/>
              <w:ind w:firstLine="420" w:firstLineChars="200"/>
              <w:rPr>
                <w:rFonts w:ascii="宋体" w:hAnsi="宋体"/>
                <w:color w:val="auto"/>
                <w:szCs w:val="21"/>
                <w:highlight w:val="none"/>
              </w:rPr>
            </w:pPr>
          </w:p>
        </w:tc>
        <w:tc>
          <w:tcPr>
            <w:tcW w:w="1134" w:type="dxa"/>
            <w:noWrap w:val="0"/>
            <w:vAlign w:val="center"/>
          </w:tcPr>
          <w:p w14:paraId="3644B0F4">
            <w:pPr>
              <w:spacing w:line="400" w:lineRule="exact"/>
              <w:ind w:firstLine="420" w:firstLineChars="200"/>
              <w:rPr>
                <w:rFonts w:ascii="宋体" w:hAnsi="宋体"/>
                <w:color w:val="auto"/>
                <w:szCs w:val="21"/>
                <w:highlight w:val="none"/>
              </w:rPr>
            </w:pPr>
          </w:p>
        </w:tc>
        <w:tc>
          <w:tcPr>
            <w:tcW w:w="4252" w:type="dxa"/>
            <w:noWrap w:val="0"/>
            <w:vAlign w:val="center"/>
          </w:tcPr>
          <w:p w14:paraId="5713AD2F">
            <w:pPr>
              <w:spacing w:line="400" w:lineRule="exact"/>
              <w:ind w:firstLine="420" w:firstLineChars="200"/>
              <w:rPr>
                <w:rFonts w:ascii="宋体" w:hAnsi="宋体"/>
                <w:color w:val="auto"/>
                <w:szCs w:val="21"/>
                <w:highlight w:val="none"/>
              </w:rPr>
            </w:pPr>
          </w:p>
        </w:tc>
      </w:tr>
      <w:tr w14:paraId="5AE6C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14:paraId="5259B240">
            <w:pPr>
              <w:spacing w:line="400" w:lineRule="exact"/>
              <w:rPr>
                <w:rFonts w:ascii="宋体" w:hAnsi="宋体"/>
                <w:color w:val="auto"/>
                <w:szCs w:val="21"/>
                <w:highlight w:val="none"/>
              </w:rPr>
            </w:pPr>
            <w:r>
              <w:rPr>
                <w:rFonts w:hint="eastAsia" w:ascii="宋体" w:hAnsi="宋体"/>
                <w:color w:val="auto"/>
                <w:szCs w:val="21"/>
                <w:highlight w:val="none"/>
              </w:rPr>
              <w:t>二、现场人员</w:t>
            </w:r>
          </w:p>
        </w:tc>
      </w:tr>
      <w:tr w14:paraId="1E6B2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66BC297F">
            <w:pPr>
              <w:spacing w:line="400" w:lineRule="exact"/>
              <w:jc w:val="center"/>
              <w:rPr>
                <w:rFonts w:ascii="宋体" w:hAnsi="宋体"/>
                <w:color w:val="auto"/>
                <w:szCs w:val="21"/>
                <w:highlight w:val="none"/>
              </w:rPr>
            </w:pPr>
            <w:r>
              <w:rPr>
                <w:rFonts w:hint="eastAsia" w:ascii="宋体" w:hAnsi="宋体"/>
                <w:color w:val="auto"/>
                <w:szCs w:val="21"/>
                <w:highlight w:val="none"/>
              </w:rPr>
              <w:t>项目经理</w:t>
            </w:r>
          </w:p>
        </w:tc>
        <w:tc>
          <w:tcPr>
            <w:tcW w:w="1418" w:type="dxa"/>
            <w:noWrap w:val="0"/>
            <w:vAlign w:val="center"/>
          </w:tcPr>
          <w:p w14:paraId="189469F7">
            <w:pPr>
              <w:spacing w:line="400" w:lineRule="exact"/>
              <w:ind w:firstLine="420" w:firstLineChars="200"/>
              <w:rPr>
                <w:rFonts w:ascii="宋体" w:hAnsi="宋体"/>
                <w:color w:val="auto"/>
                <w:szCs w:val="21"/>
                <w:highlight w:val="none"/>
              </w:rPr>
            </w:pPr>
          </w:p>
        </w:tc>
        <w:tc>
          <w:tcPr>
            <w:tcW w:w="1134" w:type="dxa"/>
            <w:noWrap w:val="0"/>
            <w:vAlign w:val="center"/>
          </w:tcPr>
          <w:p w14:paraId="2B0DF6DF">
            <w:pPr>
              <w:spacing w:line="400" w:lineRule="exact"/>
              <w:ind w:firstLine="420" w:firstLineChars="200"/>
              <w:rPr>
                <w:rFonts w:ascii="宋体" w:hAnsi="宋体"/>
                <w:color w:val="auto"/>
                <w:szCs w:val="21"/>
                <w:highlight w:val="none"/>
              </w:rPr>
            </w:pPr>
          </w:p>
        </w:tc>
        <w:tc>
          <w:tcPr>
            <w:tcW w:w="1134" w:type="dxa"/>
            <w:noWrap w:val="0"/>
            <w:vAlign w:val="center"/>
          </w:tcPr>
          <w:p w14:paraId="058EB794">
            <w:pPr>
              <w:spacing w:line="400" w:lineRule="exact"/>
              <w:ind w:firstLine="420" w:firstLineChars="200"/>
              <w:rPr>
                <w:rFonts w:ascii="宋体" w:hAnsi="宋体"/>
                <w:color w:val="auto"/>
                <w:szCs w:val="21"/>
                <w:highlight w:val="none"/>
              </w:rPr>
            </w:pPr>
          </w:p>
        </w:tc>
        <w:tc>
          <w:tcPr>
            <w:tcW w:w="4252" w:type="dxa"/>
            <w:noWrap w:val="0"/>
            <w:vAlign w:val="center"/>
          </w:tcPr>
          <w:p w14:paraId="1FCE293D">
            <w:pPr>
              <w:spacing w:line="400" w:lineRule="exact"/>
              <w:ind w:firstLine="420" w:firstLineChars="200"/>
              <w:rPr>
                <w:rFonts w:ascii="宋体" w:hAnsi="宋体"/>
                <w:color w:val="auto"/>
                <w:szCs w:val="21"/>
                <w:highlight w:val="none"/>
              </w:rPr>
            </w:pPr>
          </w:p>
        </w:tc>
      </w:tr>
      <w:tr w14:paraId="0A371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44E3A39B">
            <w:pPr>
              <w:spacing w:line="400" w:lineRule="exact"/>
              <w:jc w:val="center"/>
              <w:rPr>
                <w:rFonts w:ascii="宋体" w:hAnsi="宋体"/>
                <w:color w:val="auto"/>
                <w:szCs w:val="21"/>
                <w:highlight w:val="none"/>
              </w:rPr>
            </w:pPr>
            <w:r>
              <w:rPr>
                <w:rFonts w:hint="eastAsia" w:ascii="宋体" w:hAnsi="宋体"/>
                <w:color w:val="auto"/>
                <w:szCs w:val="21"/>
                <w:highlight w:val="none"/>
              </w:rPr>
              <w:t>项目副经理</w:t>
            </w:r>
          </w:p>
        </w:tc>
        <w:tc>
          <w:tcPr>
            <w:tcW w:w="1418" w:type="dxa"/>
            <w:noWrap w:val="0"/>
            <w:vAlign w:val="center"/>
          </w:tcPr>
          <w:p w14:paraId="1875275C">
            <w:pPr>
              <w:spacing w:line="400" w:lineRule="exact"/>
              <w:ind w:firstLine="420" w:firstLineChars="200"/>
              <w:rPr>
                <w:rFonts w:ascii="宋体" w:hAnsi="宋体"/>
                <w:color w:val="auto"/>
                <w:szCs w:val="21"/>
                <w:highlight w:val="none"/>
              </w:rPr>
            </w:pPr>
          </w:p>
        </w:tc>
        <w:tc>
          <w:tcPr>
            <w:tcW w:w="1134" w:type="dxa"/>
            <w:noWrap w:val="0"/>
            <w:vAlign w:val="center"/>
          </w:tcPr>
          <w:p w14:paraId="49D68659">
            <w:pPr>
              <w:spacing w:line="400" w:lineRule="exact"/>
              <w:ind w:firstLine="420" w:firstLineChars="200"/>
              <w:rPr>
                <w:rFonts w:ascii="宋体" w:hAnsi="宋体"/>
                <w:color w:val="auto"/>
                <w:szCs w:val="21"/>
                <w:highlight w:val="none"/>
              </w:rPr>
            </w:pPr>
          </w:p>
        </w:tc>
        <w:tc>
          <w:tcPr>
            <w:tcW w:w="1134" w:type="dxa"/>
            <w:noWrap w:val="0"/>
            <w:vAlign w:val="center"/>
          </w:tcPr>
          <w:p w14:paraId="13578AE0">
            <w:pPr>
              <w:spacing w:line="400" w:lineRule="exact"/>
              <w:ind w:firstLine="420" w:firstLineChars="200"/>
              <w:rPr>
                <w:rFonts w:ascii="宋体" w:hAnsi="宋体"/>
                <w:color w:val="auto"/>
                <w:szCs w:val="21"/>
                <w:highlight w:val="none"/>
              </w:rPr>
            </w:pPr>
          </w:p>
        </w:tc>
        <w:tc>
          <w:tcPr>
            <w:tcW w:w="4252" w:type="dxa"/>
            <w:noWrap w:val="0"/>
            <w:vAlign w:val="center"/>
          </w:tcPr>
          <w:p w14:paraId="542E5D46">
            <w:pPr>
              <w:spacing w:line="400" w:lineRule="exact"/>
              <w:ind w:firstLine="420" w:firstLineChars="200"/>
              <w:rPr>
                <w:rFonts w:ascii="宋体" w:hAnsi="宋体"/>
                <w:color w:val="auto"/>
                <w:szCs w:val="21"/>
                <w:highlight w:val="none"/>
              </w:rPr>
            </w:pPr>
          </w:p>
        </w:tc>
      </w:tr>
      <w:tr w14:paraId="70555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436CC558">
            <w:pPr>
              <w:spacing w:line="400" w:lineRule="exact"/>
              <w:jc w:val="center"/>
              <w:rPr>
                <w:rFonts w:ascii="宋体" w:hAnsi="宋体"/>
                <w:color w:val="auto"/>
                <w:szCs w:val="21"/>
                <w:highlight w:val="none"/>
              </w:rPr>
            </w:pPr>
            <w:r>
              <w:rPr>
                <w:rFonts w:hint="eastAsia" w:ascii="宋体" w:hAnsi="宋体"/>
                <w:color w:val="auto"/>
                <w:szCs w:val="21"/>
                <w:highlight w:val="none"/>
              </w:rPr>
              <w:t>技术负责人</w:t>
            </w:r>
          </w:p>
        </w:tc>
        <w:tc>
          <w:tcPr>
            <w:tcW w:w="1418" w:type="dxa"/>
            <w:noWrap w:val="0"/>
            <w:vAlign w:val="center"/>
          </w:tcPr>
          <w:p w14:paraId="6DD4D003">
            <w:pPr>
              <w:spacing w:line="400" w:lineRule="exact"/>
              <w:ind w:firstLine="420" w:firstLineChars="200"/>
              <w:rPr>
                <w:rFonts w:ascii="宋体" w:hAnsi="宋体"/>
                <w:color w:val="auto"/>
                <w:szCs w:val="21"/>
                <w:highlight w:val="none"/>
              </w:rPr>
            </w:pPr>
          </w:p>
        </w:tc>
        <w:tc>
          <w:tcPr>
            <w:tcW w:w="1134" w:type="dxa"/>
            <w:noWrap w:val="0"/>
            <w:vAlign w:val="center"/>
          </w:tcPr>
          <w:p w14:paraId="36714B9D">
            <w:pPr>
              <w:spacing w:line="400" w:lineRule="exact"/>
              <w:ind w:firstLine="420" w:firstLineChars="200"/>
              <w:rPr>
                <w:rFonts w:ascii="宋体" w:hAnsi="宋体"/>
                <w:color w:val="auto"/>
                <w:szCs w:val="21"/>
                <w:highlight w:val="none"/>
              </w:rPr>
            </w:pPr>
          </w:p>
        </w:tc>
        <w:tc>
          <w:tcPr>
            <w:tcW w:w="1134" w:type="dxa"/>
            <w:noWrap w:val="0"/>
            <w:vAlign w:val="center"/>
          </w:tcPr>
          <w:p w14:paraId="2B31A7DE">
            <w:pPr>
              <w:spacing w:line="400" w:lineRule="exact"/>
              <w:ind w:firstLine="420" w:firstLineChars="200"/>
              <w:rPr>
                <w:rFonts w:ascii="宋体" w:hAnsi="宋体"/>
                <w:color w:val="auto"/>
                <w:szCs w:val="21"/>
                <w:highlight w:val="none"/>
              </w:rPr>
            </w:pPr>
          </w:p>
        </w:tc>
        <w:tc>
          <w:tcPr>
            <w:tcW w:w="4252" w:type="dxa"/>
            <w:noWrap w:val="0"/>
            <w:vAlign w:val="center"/>
          </w:tcPr>
          <w:p w14:paraId="4EE87124">
            <w:pPr>
              <w:spacing w:line="400" w:lineRule="exact"/>
              <w:ind w:firstLine="420" w:firstLineChars="200"/>
              <w:rPr>
                <w:rFonts w:ascii="宋体" w:hAnsi="宋体"/>
                <w:color w:val="auto"/>
                <w:szCs w:val="21"/>
                <w:highlight w:val="none"/>
              </w:rPr>
            </w:pPr>
          </w:p>
        </w:tc>
      </w:tr>
      <w:tr w14:paraId="4A046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67BD0CE9">
            <w:pPr>
              <w:spacing w:line="400" w:lineRule="exact"/>
              <w:jc w:val="center"/>
              <w:rPr>
                <w:rFonts w:ascii="宋体" w:hAnsi="宋体"/>
                <w:color w:val="auto"/>
                <w:szCs w:val="21"/>
                <w:highlight w:val="none"/>
              </w:rPr>
            </w:pPr>
            <w:r>
              <w:rPr>
                <w:rFonts w:hint="eastAsia" w:ascii="宋体" w:hAnsi="宋体"/>
                <w:color w:val="auto"/>
                <w:szCs w:val="21"/>
                <w:highlight w:val="none"/>
              </w:rPr>
              <w:t>造价管理</w:t>
            </w:r>
          </w:p>
        </w:tc>
        <w:tc>
          <w:tcPr>
            <w:tcW w:w="1418" w:type="dxa"/>
            <w:noWrap w:val="0"/>
            <w:vAlign w:val="center"/>
          </w:tcPr>
          <w:p w14:paraId="735EEF44">
            <w:pPr>
              <w:spacing w:line="400" w:lineRule="exact"/>
              <w:ind w:firstLine="420" w:firstLineChars="200"/>
              <w:rPr>
                <w:rFonts w:ascii="宋体" w:hAnsi="宋体"/>
                <w:color w:val="auto"/>
                <w:szCs w:val="21"/>
                <w:highlight w:val="none"/>
              </w:rPr>
            </w:pPr>
          </w:p>
        </w:tc>
        <w:tc>
          <w:tcPr>
            <w:tcW w:w="1134" w:type="dxa"/>
            <w:noWrap w:val="0"/>
            <w:vAlign w:val="center"/>
          </w:tcPr>
          <w:p w14:paraId="00186E42">
            <w:pPr>
              <w:spacing w:line="400" w:lineRule="exact"/>
              <w:ind w:firstLine="420" w:firstLineChars="200"/>
              <w:rPr>
                <w:rFonts w:ascii="宋体" w:hAnsi="宋体"/>
                <w:color w:val="auto"/>
                <w:szCs w:val="21"/>
                <w:highlight w:val="none"/>
              </w:rPr>
            </w:pPr>
          </w:p>
        </w:tc>
        <w:tc>
          <w:tcPr>
            <w:tcW w:w="1134" w:type="dxa"/>
            <w:noWrap w:val="0"/>
            <w:vAlign w:val="center"/>
          </w:tcPr>
          <w:p w14:paraId="5A81B642">
            <w:pPr>
              <w:spacing w:line="400" w:lineRule="exact"/>
              <w:ind w:firstLine="420" w:firstLineChars="200"/>
              <w:rPr>
                <w:rFonts w:ascii="宋体" w:hAnsi="宋体"/>
                <w:color w:val="auto"/>
                <w:szCs w:val="21"/>
                <w:highlight w:val="none"/>
              </w:rPr>
            </w:pPr>
          </w:p>
        </w:tc>
        <w:tc>
          <w:tcPr>
            <w:tcW w:w="4252" w:type="dxa"/>
            <w:noWrap w:val="0"/>
            <w:vAlign w:val="center"/>
          </w:tcPr>
          <w:p w14:paraId="21B311C9">
            <w:pPr>
              <w:spacing w:line="400" w:lineRule="exact"/>
              <w:ind w:firstLine="420" w:firstLineChars="200"/>
              <w:rPr>
                <w:rFonts w:ascii="宋体" w:hAnsi="宋体"/>
                <w:color w:val="auto"/>
                <w:szCs w:val="21"/>
                <w:highlight w:val="none"/>
              </w:rPr>
            </w:pPr>
          </w:p>
        </w:tc>
      </w:tr>
      <w:tr w14:paraId="68DEF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443AF5C5">
            <w:pPr>
              <w:spacing w:line="400" w:lineRule="exact"/>
              <w:jc w:val="center"/>
              <w:rPr>
                <w:rFonts w:ascii="宋体" w:hAnsi="宋体"/>
                <w:color w:val="auto"/>
                <w:szCs w:val="21"/>
                <w:highlight w:val="none"/>
              </w:rPr>
            </w:pPr>
            <w:r>
              <w:rPr>
                <w:rFonts w:hint="eastAsia" w:ascii="宋体" w:hAnsi="宋体"/>
                <w:color w:val="auto"/>
                <w:szCs w:val="21"/>
                <w:highlight w:val="none"/>
              </w:rPr>
              <w:t>质量管理</w:t>
            </w:r>
          </w:p>
        </w:tc>
        <w:tc>
          <w:tcPr>
            <w:tcW w:w="1418" w:type="dxa"/>
            <w:noWrap w:val="0"/>
            <w:vAlign w:val="center"/>
          </w:tcPr>
          <w:p w14:paraId="69C98C1A">
            <w:pPr>
              <w:spacing w:line="400" w:lineRule="exact"/>
              <w:ind w:firstLine="420" w:firstLineChars="200"/>
              <w:rPr>
                <w:rFonts w:ascii="宋体" w:hAnsi="宋体"/>
                <w:color w:val="auto"/>
                <w:szCs w:val="21"/>
                <w:highlight w:val="none"/>
              </w:rPr>
            </w:pPr>
          </w:p>
        </w:tc>
        <w:tc>
          <w:tcPr>
            <w:tcW w:w="1134" w:type="dxa"/>
            <w:noWrap w:val="0"/>
            <w:vAlign w:val="center"/>
          </w:tcPr>
          <w:p w14:paraId="3955BB4B">
            <w:pPr>
              <w:spacing w:line="400" w:lineRule="exact"/>
              <w:ind w:firstLine="420" w:firstLineChars="200"/>
              <w:rPr>
                <w:rFonts w:ascii="宋体" w:hAnsi="宋体"/>
                <w:color w:val="auto"/>
                <w:szCs w:val="21"/>
                <w:highlight w:val="none"/>
              </w:rPr>
            </w:pPr>
          </w:p>
        </w:tc>
        <w:tc>
          <w:tcPr>
            <w:tcW w:w="1134" w:type="dxa"/>
            <w:noWrap w:val="0"/>
            <w:vAlign w:val="center"/>
          </w:tcPr>
          <w:p w14:paraId="0ABE7FDC">
            <w:pPr>
              <w:spacing w:line="400" w:lineRule="exact"/>
              <w:ind w:firstLine="420" w:firstLineChars="200"/>
              <w:rPr>
                <w:rFonts w:ascii="宋体" w:hAnsi="宋体"/>
                <w:color w:val="auto"/>
                <w:szCs w:val="21"/>
                <w:highlight w:val="none"/>
              </w:rPr>
            </w:pPr>
          </w:p>
        </w:tc>
        <w:tc>
          <w:tcPr>
            <w:tcW w:w="4252" w:type="dxa"/>
            <w:noWrap w:val="0"/>
            <w:vAlign w:val="center"/>
          </w:tcPr>
          <w:p w14:paraId="2E7E14EF">
            <w:pPr>
              <w:spacing w:line="400" w:lineRule="exact"/>
              <w:ind w:firstLine="420" w:firstLineChars="200"/>
              <w:rPr>
                <w:rFonts w:ascii="宋体" w:hAnsi="宋体"/>
                <w:color w:val="auto"/>
                <w:szCs w:val="21"/>
                <w:highlight w:val="none"/>
              </w:rPr>
            </w:pPr>
          </w:p>
        </w:tc>
      </w:tr>
      <w:tr w14:paraId="03455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6B664097">
            <w:pPr>
              <w:spacing w:line="400" w:lineRule="exact"/>
              <w:jc w:val="center"/>
              <w:rPr>
                <w:rFonts w:ascii="宋体" w:hAnsi="宋体"/>
                <w:color w:val="auto"/>
                <w:szCs w:val="21"/>
                <w:highlight w:val="none"/>
              </w:rPr>
            </w:pPr>
            <w:r>
              <w:rPr>
                <w:rFonts w:hint="eastAsia" w:ascii="宋体" w:hAnsi="宋体"/>
                <w:color w:val="auto"/>
                <w:szCs w:val="21"/>
                <w:highlight w:val="none"/>
              </w:rPr>
              <w:t>材料管理</w:t>
            </w:r>
          </w:p>
        </w:tc>
        <w:tc>
          <w:tcPr>
            <w:tcW w:w="1418" w:type="dxa"/>
            <w:noWrap w:val="0"/>
            <w:vAlign w:val="center"/>
          </w:tcPr>
          <w:p w14:paraId="7BBCEE5C">
            <w:pPr>
              <w:spacing w:line="400" w:lineRule="exact"/>
              <w:ind w:firstLine="420" w:firstLineChars="200"/>
              <w:rPr>
                <w:rFonts w:ascii="宋体" w:hAnsi="宋体"/>
                <w:color w:val="auto"/>
                <w:szCs w:val="21"/>
                <w:highlight w:val="none"/>
              </w:rPr>
            </w:pPr>
          </w:p>
        </w:tc>
        <w:tc>
          <w:tcPr>
            <w:tcW w:w="1134" w:type="dxa"/>
            <w:noWrap w:val="0"/>
            <w:vAlign w:val="center"/>
          </w:tcPr>
          <w:p w14:paraId="34498B2F">
            <w:pPr>
              <w:spacing w:line="400" w:lineRule="exact"/>
              <w:ind w:firstLine="420" w:firstLineChars="200"/>
              <w:rPr>
                <w:rFonts w:ascii="宋体" w:hAnsi="宋体"/>
                <w:color w:val="auto"/>
                <w:szCs w:val="21"/>
                <w:highlight w:val="none"/>
              </w:rPr>
            </w:pPr>
          </w:p>
        </w:tc>
        <w:tc>
          <w:tcPr>
            <w:tcW w:w="1134" w:type="dxa"/>
            <w:noWrap w:val="0"/>
            <w:vAlign w:val="center"/>
          </w:tcPr>
          <w:p w14:paraId="75B9D861">
            <w:pPr>
              <w:spacing w:line="400" w:lineRule="exact"/>
              <w:ind w:firstLine="420" w:firstLineChars="200"/>
              <w:rPr>
                <w:rFonts w:ascii="宋体" w:hAnsi="宋体"/>
                <w:color w:val="auto"/>
                <w:szCs w:val="21"/>
                <w:highlight w:val="none"/>
              </w:rPr>
            </w:pPr>
          </w:p>
        </w:tc>
        <w:tc>
          <w:tcPr>
            <w:tcW w:w="4252" w:type="dxa"/>
            <w:noWrap w:val="0"/>
            <w:vAlign w:val="center"/>
          </w:tcPr>
          <w:p w14:paraId="632A4F0A">
            <w:pPr>
              <w:spacing w:line="400" w:lineRule="exact"/>
              <w:ind w:firstLine="420" w:firstLineChars="200"/>
              <w:rPr>
                <w:rFonts w:ascii="宋体" w:hAnsi="宋体"/>
                <w:color w:val="auto"/>
                <w:szCs w:val="21"/>
                <w:highlight w:val="none"/>
              </w:rPr>
            </w:pPr>
          </w:p>
        </w:tc>
      </w:tr>
      <w:tr w14:paraId="1E7B0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349607CF">
            <w:pPr>
              <w:spacing w:line="400" w:lineRule="exact"/>
              <w:jc w:val="center"/>
              <w:rPr>
                <w:rFonts w:ascii="宋体" w:hAnsi="宋体"/>
                <w:color w:val="auto"/>
                <w:szCs w:val="21"/>
                <w:highlight w:val="none"/>
              </w:rPr>
            </w:pPr>
            <w:r>
              <w:rPr>
                <w:rFonts w:hint="eastAsia" w:ascii="宋体" w:hAnsi="宋体"/>
                <w:color w:val="auto"/>
                <w:szCs w:val="21"/>
                <w:highlight w:val="none"/>
              </w:rPr>
              <w:t>计划管理</w:t>
            </w:r>
          </w:p>
        </w:tc>
        <w:tc>
          <w:tcPr>
            <w:tcW w:w="1418" w:type="dxa"/>
            <w:noWrap w:val="0"/>
            <w:vAlign w:val="center"/>
          </w:tcPr>
          <w:p w14:paraId="3594BC10">
            <w:pPr>
              <w:spacing w:line="400" w:lineRule="exact"/>
              <w:ind w:firstLine="420" w:firstLineChars="200"/>
              <w:rPr>
                <w:rFonts w:ascii="宋体" w:hAnsi="宋体"/>
                <w:color w:val="auto"/>
                <w:szCs w:val="21"/>
                <w:highlight w:val="none"/>
              </w:rPr>
            </w:pPr>
          </w:p>
        </w:tc>
        <w:tc>
          <w:tcPr>
            <w:tcW w:w="1134" w:type="dxa"/>
            <w:noWrap w:val="0"/>
            <w:vAlign w:val="center"/>
          </w:tcPr>
          <w:p w14:paraId="6561BC15">
            <w:pPr>
              <w:spacing w:line="400" w:lineRule="exact"/>
              <w:ind w:firstLine="420" w:firstLineChars="200"/>
              <w:rPr>
                <w:rFonts w:ascii="宋体" w:hAnsi="宋体"/>
                <w:color w:val="auto"/>
                <w:szCs w:val="21"/>
                <w:highlight w:val="none"/>
              </w:rPr>
            </w:pPr>
          </w:p>
        </w:tc>
        <w:tc>
          <w:tcPr>
            <w:tcW w:w="1134" w:type="dxa"/>
            <w:noWrap w:val="0"/>
            <w:vAlign w:val="center"/>
          </w:tcPr>
          <w:p w14:paraId="2A05F33E">
            <w:pPr>
              <w:spacing w:line="400" w:lineRule="exact"/>
              <w:ind w:firstLine="420" w:firstLineChars="200"/>
              <w:rPr>
                <w:rFonts w:ascii="宋体" w:hAnsi="宋体"/>
                <w:color w:val="auto"/>
                <w:szCs w:val="21"/>
                <w:highlight w:val="none"/>
              </w:rPr>
            </w:pPr>
          </w:p>
        </w:tc>
        <w:tc>
          <w:tcPr>
            <w:tcW w:w="4252" w:type="dxa"/>
            <w:noWrap w:val="0"/>
            <w:vAlign w:val="center"/>
          </w:tcPr>
          <w:p w14:paraId="67418155">
            <w:pPr>
              <w:spacing w:line="400" w:lineRule="exact"/>
              <w:ind w:firstLine="420" w:firstLineChars="200"/>
              <w:rPr>
                <w:rFonts w:ascii="宋体" w:hAnsi="宋体"/>
                <w:color w:val="auto"/>
                <w:szCs w:val="21"/>
                <w:highlight w:val="none"/>
              </w:rPr>
            </w:pPr>
          </w:p>
        </w:tc>
      </w:tr>
      <w:tr w14:paraId="61CB7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32384547">
            <w:pPr>
              <w:spacing w:line="400" w:lineRule="exact"/>
              <w:jc w:val="center"/>
              <w:rPr>
                <w:rFonts w:ascii="宋体" w:hAnsi="宋体"/>
                <w:color w:val="auto"/>
                <w:szCs w:val="21"/>
                <w:highlight w:val="none"/>
              </w:rPr>
            </w:pPr>
            <w:r>
              <w:rPr>
                <w:rFonts w:hint="eastAsia" w:ascii="宋体" w:hAnsi="宋体"/>
                <w:color w:val="auto"/>
                <w:szCs w:val="21"/>
                <w:highlight w:val="none"/>
              </w:rPr>
              <w:t>安全管理</w:t>
            </w:r>
          </w:p>
        </w:tc>
        <w:tc>
          <w:tcPr>
            <w:tcW w:w="1418" w:type="dxa"/>
            <w:noWrap w:val="0"/>
            <w:vAlign w:val="center"/>
          </w:tcPr>
          <w:p w14:paraId="7E3C327B">
            <w:pPr>
              <w:spacing w:line="400" w:lineRule="exact"/>
              <w:ind w:firstLine="420" w:firstLineChars="200"/>
              <w:rPr>
                <w:rFonts w:ascii="宋体" w:hAnsi="宋体"/>
                <w:color w:val="auto"/>
                <w:szCs w:val="21"/>
                <w:highlight w:val="none"/>
              </w:rPr>
            </w:pPr>
          </w:p>
        </w:tc>
        <w:tc>
          <w:tcPr>
            <w:tcW w:w="1134" w:type="dxa"/>
            <w:noWrap w:val="0"/>
            <w:vAlign w:val="center"/>
          </w:tcPr>
          <w:p w14:paraId="3B8757FD">
            <w:pPr>
              <w:spacing w:line="400" w:lineRule="exact"/>
              <w:ind w:firstLine="420" w:firstLineChars="200"/>
              <w:rPr>
                <w:rFonts w:ascii="宋体" w:hAnsi="宋体"/>
                <w:color w:val="auto"/>
                <w:szCs w:val="21"/>
                <w:highlight w:val="none"/>
              </w:rPr>
            </w:pPr>
          </w:p>
        </w:tc>
        <w:tc>
          <w:tcPr>
            <w:tcW w:w="1134" w:type="dxa"/>
            <w:noWrap w:val="0"/>
            <w:vAlign w:val="center"/>
          </w:tcPr>
          <w:p w14:paraId="7A89D22D">
            <w:pPr>
              <w:spacing w:line="400" w:lineRule="exact"/>
              <w:ind w:firstLine="420" w:firstLineChars="200"/>
              <w:rPr>
                <w:rFonts w:ascii="宋体" w:hAnsi="宋体"/>
                <w:color w:val="auto"/>
                <w:szCs w:val="21"/>
                <w:highlight w:val="none"/>
              </w:rPr>
            </w:pPr>
          </w:p>
        </w:tc>
        <w:tc>
          <w:tcPr>
            <w:tcW w:w="4252" w:type="dxa"/>
            <w:noWrap w:val="0"/>
            <w:vAlign w:val="center"/>
          </w:tcPr>
          <w:p w14:paraId="3E94EA69">
            <w:pPr>
              <w:spacing w:line="400" w:lineRule="exact"/>
              <w:ind w:firstLine="420" w:firstLineChars="200"/>
              <w:rPr>
                <w:rFonts w:ascii="宋体" w:hAnsi="宋体"/>
                <w:color w:val="auto"/>
                <w:szCs w:val="21"/>
                <w:highlight w:val="none"/>
              </w:rPr>
            </w:pPr>
          </w:p>
        </w:tc>
      </w:tr>
      <w:tr w14:paraId="7CF34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restart"/>
            <w:noWrap w:val="0"/>
            <w:vAlign w:val="center"/>
          </w:tcPr>
          <w:p w14:paraId="7827B9C1">
            <w:pPr>
              <w:spacing w:line="400" w:lineRule="exact"/>
              <w:jc w:val="center"/>
              <w:rPr>
                <w:rFonts w:ascii="宋体" w:hAnsi="宋体"/>
                <w:color w:val="auto"/>
                <w:szCs w:val="21"/>
                <w:highlight w:val="none"/>
              </w:rPr>
            </w:pPr>
            <w:r>
              <w:rPr>
                <w:rFonts w:hint="eastAsia" w:ascii="宋体" w:hAnsi="宋体"/>
                <w:color w:val="auto"/>
                <w:szCs w:val="21"/>
                <w:highlight w:val="none"/>
              </w:rPr>
              <w:t>其他人员</w:t>
            </w:r>
          </w:p>
        </w:tc>
        <w:tc>
          <w:tcPr>
            <w:tcW w:w="1418" w:type="dxa"/>
            <w:noWrap w:val="0"/>
            <w:vAlign w:val="center"/>
          </w:tcPr>
          <w:p w14:paraId="780D3C8D">
            <w:pPr>
              <w:spacing w:line="400" w:lineRule="exact"/>
              <w:ind w:firstLine="420" w:firstLineChars="200"/>
              <w:rPr>
                <w:rFonts w:ascii="宋体" w:hAnsi="宋体"/>
                <w:color w:val="auto"/>
                <w:szCs w:val="21"/>
                <w:highlight w:val="none"/>
              </w:rPr>
            </w:pPr>
          </w:p>
        </w:tc>
        <w:tc>
          <w:tcPr>
            <w:tcW w:w="1134" w:type="dxa"/>
            <w:noWrap w:val="0"/>
            <w:vAlign w:val="center"/>
          </w:tcPr>
          <w:p w14:paraId="3A9B0CAD">
            <w:pPr>
              <w:spacing w:line="400" w:lineRule="exact"/>
              <w:ind w:firstLine="420" w:firstLineChars="200"/>
              <w:rPr>
                <w:rFonts w:ascii="宋体" w:hAnsi="宋体"/>
                <w:color w:val="auto"/>
                <w:szCs w:val="21"/>
                <w:highlight w:val="none"/>
              </w:rPr>
            </w:pPr>
          </w:p>
        </w:tc>
        <w:tc>
          <w:tcPr>
            <w:tcW w:w="1134" w:type="dxa"/>
            <w:noWrap w:val="0"/>
            <w:vAlign w:val="center"/>
          </w:tcPr>
          <w:p w14:paraId="16925453">
            <w:pPr>
              <w:spacing w:line="400" w:lineRule="exact"/>
              <w:ind w:firstLine="420" w:firstLineChars="200"/>
              <w:rPr>
                <w:rFonts w:ascii="宋体" w:hAnsi="宋体"/>
                <w:color w:val="auto"/>
                <w:szCs w:val="21"/>
                <w:highlight w:val="none"/>
              </w:rPr>
            </w:pPr>
          </w:p>
        </w:tc>
        <w:tc>
          <w:tcPr>
            <w:tcW w:w="4252" w:type="dxa"/>
            <w:noWrap w:val="0"/>
            <w:vAlign w:val="center"/>
          </w:tcPr>
          <w:p w14:paraId="680EAF72">
            <w:pPr>
              <w:spacing w:line="400" w:lineRule="exact"/>
              <w:ind w:firstLine="420" w:firstLineChars="200"/>
              <w:rPr>
                <w:rFonts w:ascii="宋体" w:hAnsi="宋体"/>
                <w:color w:val="auto"/>
                <w:szCs w:val="21"/>
                <w:highlight w:val="none"/>
              </w:rPr>
            </w:pPr>
          </w:p>
        </w:tc>
      </w:tr>
      <w:tr w14:paraId="41C2F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6550DF20">
            <w:pPr>
              <w:spacing w:line="400" w:lineRule="exact"/>
              <w:ind w:firstLine="420" w:firstLineChars="200"/>
              <w:rPr>
                <w:rFonts w:ascii="宋体" w:hAnsi="宋体"/>
                <w:color w:val="auto"/>
                <w:szCs w:val="21"/>
                <w:highlight w:val="none"/>
              </w:rPr>
            </w:pPr>
          </w:p>
        </w:tc>
        <w:tc>
          <w:tcPr>
            <w:tcW w:w="1418" w:type="dxa"/>
            <w:noWrap w:val="0"/>
            <w:vAlign w:val="center"/>
          </w:tcPr>
          <w:p w14:paraId="145B8553">
            <w:pPr>
              <w:spacing w:line="400" w:lineRule="exact"/>
              <w:ind w:firstLine="420" w:firstLineChars="200"/>
              <w:rPr>
                <w:rFonts w:ascii="宋体" w:hAnsi="宋体"/>
                <w:color w:val="auto"/>
                <w:szCs w:val="21"/>
                <w:highlight w:val="none"/>
              </w:rPr>
            </w:pPr>
          </w:p>
        </w:tc>
        <w:tc>
          <w:tcPr>
            <w:tcW w:w="1134" w:type="dxa"/>
            <w:noWrap w:val="0"/>
            <w:vAlign w:val="center"/>
          </w:tcPr>
          <w:p w14:paraId="4F5E77A3">
            <w:pPr>
              <w:spacing w:line="400" w:lineRule="exact"/>
              <w:ind w:firstLine="420" w:firstLineChars="200"/>
              <w:rPr>
                <w:rFonts w:ascii="宋体" w:hAnsi="宋体"/>
                <w:color w:val="auto"/>
                <w:szCs w:val="21"/>
                <w:highlight w:val="none"/>
              </w:rPr>
            </w:pPr>
          </w:p>
        </w:tc>
        <w:tc>
          <w:tcPr>
            <w:tcW w:w="1134" w:type="dxa"/>
            <w:noWrap w:val="0"/>
            <w:vAlign w:val="center"/>
          </w:tcPr>
          <w:p w14:paraId="563E75B3">
            <w:pPr>
              <w:spacing w:line="400" w:lineRule="exact"/>
              <w:ind w:firstLine="420" w:firstLineChars="200"/>
              <w:rPr>
                <w:rFonts w:ascii="宋体" w:hAnsi="宋体"/>
                <w:color w:val="auto"/>
                <w:szCs w:val="21"/>
                <w:highlight w:val="none"/>
              </w:rPr>
            </w:pPr>
          </w:p>
        </w:tc>
        <w:tc>
          <w:tcPr>
            <w:tcW w:w="4252" w:type="dxa"/>
            <w:noWrap w:val="0"/>
            <w:vAlign w:val="center"/>
          </w:tcPr>
          <w:p w14:paraId="3D6F13A7">
            <w:pPr>
              <w:spacing w:line="400" w:lineRule="exact"/>
              <w:ind w:firstLine="420" w:firstLineChars="200"/>
              <w:rPr>
                <w:rFonts w:ascii="宋体" w:hAnsi="宋体"/>
                <w:color w:val="auto"/>
                <w:szCs w:val="21"/>
                <w:highlight w:val="none"/>
              </w:rPr>
            </w:pPr>
          </w:p>
        </w:tc>
      </w:tr>
      <w:tr w14:paraId="4C0C3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5C01D29A">
            <w:pPr>
              <w:spacing w:line="400" w:lineRule="exact"/>
              <w:ind w:firstLine="420" w:firstLineChars="200"/>
              <w:rPr>
                <w:rFonts w:ascii="宋体" w:hAnsi="宋体"/>
                <w:color w:val="auto"/>
                <w:szCs w:val="21"/>
                <w:highlight w:val="none"/>
              </w:rPr>
            </w:pPr>
          </w:p>
        </w:tc>
        <w:tc>
          <w:tcPr>
            <w:tcW w:w="1418" w:type="dxa"/>
            <w:noWrap w:val="0"/>
            <w:vAlign w:val="center"/>
          </w:tcPr>
          <w:p w14:paraId="541627B7">
            <w:pPr>
              <w:spacing w:line="400" w:lineRule="exact"/>
              <w:ind w:firstLine="420" w:firstLineChars="200"/>
              <w:rPr>
                <w:rFonts w:ascii="宋体" w:hAnsi="宋体"/>
                <w:color w:val="auto"/>
                <w:szCs w:val="21"/>
                <w:highlight w:val="none"/>
              </w:rPr>
            </w:pPr>
          </w:p>
        </w:tc>
        <w:tc>
          <w:tcPr>
            <w:tcW w:w="1134" w:type="dxa"/>
            <w:noWrap w:val="0"/>
            <w:vAlign w:val="center"/>
          </w:tcPr>
          <w:p w14:paraId="1C291722">
            <w:pPr>
              <w:spacing w:line="400" w:lineRule="exact"/>
              <w:ind w:firstLine="420" w:firstLineChars="200"/>
              <w:rPr>
                <w:rFonts w:ascii="宋体" w:hAnsi="宋体"/>
                <w:color w:val="auto"/>
                <w:szCs w:val="21"/>
                <w:highlight w:val="none"/>
              </w:rPr>
            </w:pPr>
          </w:p>
        </w:tc>
        <w:tc>
          <w:tcPr>
            <w:tcW w:w="1134" w:type="dxa"/>
            <w:noWrap w:val="0"/>
            <w:vAlign w:val="center"/>
          </w:tcPr>
          <w:p w14:paraId="72712FC6">
            <w:pPr>
              <w:spacing w:line="400" w:lineRule="exact"/>
              <w:ind w:firstLine="420" w:firstLineChars="200"/>
              <w:rPr>
                <w:rFonts w:ascii="宋体" w:hAnsi="宋体"/>
                <w:color w:val="auto"/>
                <w:szCs w:val="21"/>
                <w:highlight w:val="none"/>
              </w:rPr>
            </w:pPr>
          </w:p>
        </w:tc>
        <w:tc>
          <w:tcPr>
            <w:tcW w:w="4252" w:type="dxa"/>
            <w:noWrap w:val="0"/>
            <w:vAlign w:val="center"/>
          </w:tcPr>
          <w:p w14:paraId="2A86622D">
            <w:pPr>
              <w:spacing w:line="400" w:lineRule="exact"/>
              <w:ind w:firstLine="420" w:firstLineChars="200"/>
              <w:rPr>
                <w:rFonts w:ascii="宋体" w:hAnsi="宋体"/>
                <w:color w:val="auto"/>
                <w:szCs w:val="21"/>
                <w:highlight w:val="none"/>
              </w:rPr>
            </w:pPr>
          </w:p>
        </w:tc>
      </w:tr>
      <w:tr w14:paraId="127E8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7" w:hRule="atLeast"/>
          <w:jc w:val="center"/>
        </w:trPr>
        <w:tc>
          <w:tcPr>
            <w:tcW w:w="1871" w:type="dxa"/>
            <w:vMerge w:val="continue"/>
            <w:noWrap w:val="0"/>
            <w:vAlign w:val="center"/>
          </w:tcPr>
          <w:p w14:paraId="1E155552">
            <w:pPr>
              <w:spacing w:line="400" w:lineRule="exact"/>
              <w:ind w:firstLine="420" w:firstLineChars="200"/>
              <w:rPr>
                <w:rFonts w:ascii="宋体" w:hAnsi="宋体"/>
                <w:color w:val="auto"/>
                <w:szCs w:val="21"/>
                <w:highlight w:val="none"/>
              </w:rPr>
            </w:pPr>
          </w:p>
        </w:tc>
        <w:tc>
          <w:tcPr>
            <w:tcW w:w="1418" w:type="dxa"/>
            <w:noWrap w:val="0"/>
            <w:vAlign w:val="center"/>
          </w:tcPr>
          <w:p w14:paraId="3BE1E6B3">
            <w:pPr>
              <w:spacing w:line="400" w:lineRule="exact"/>
              <w:ind w:firstLine="420" w:firstLineChars="200"/>
              <w:rPr>
                <w:rFonts w:ascii="宋体" w:hAnsi="宋体"/>
                <w:color w:val="auto"/>
                <w:szCs w:val="21"/>
                <w:highlight w:val="none"/>
              </w:rPr>
            </w:pPr>
          </w:p>
        </w:tc>
        <w:tc>
          <w:tcPr>
            <w:tcW w:w="1134" w:type="dxa"/>
            <w:noWrap w:val="0"/>
            <w:vAlign w:val="center"/>
          </w:tcPr>
          <w:p w14:paraId="6F2523A4">
            <w:pPr>
              <w:spacing w:line="400" w:lineRule="exact"/>
              <w:ind w:firstLine="420" w:firstLineChars="200"/>
              <w:rPr>
                <w:rFonts w:ascii="宋体" w:hAnsi="宋体"/>
                <w:color w:val="auto"/>
                <w:szCs w:val="21"/>
                <w:highlight w:val="none"/>
              </w:rPr>
            </w:pPr>
          </w:p>
        </w:tc>
        <w:tc>
          <w:tcPr>
            <w:tcW w:w="1134" w:type="dxa"/>
            <w:noWrap w:val="0"/>
            <w:vAlign w:val="center"/>
          </w:tcPr>
          <w:p w14:paraId="3BEDD8D5">
            <w:pPr>
              <w:spacing w:line="400" w:lineRule="exact"/>
              <w:ind w:firstLine="420" w:firstLineChars="200"/>
              <w:rPr>
                <w:rFonts w:ascii="宋体" w:hAnsi="宋体"/>
                <w:color w:val="auto"/>
                <w:szCs w:val="21"/>
                <w:highlight w:val="none"/>
              </w:rPr>
            </w:pPr>
          </w:p>
        </w:tc>
        <w:tc>
          <w:tcPr>
            <w:tcW w:w="4252" w:type="dxa"/>
            <w:noWrap w:val="0"/>
            <w:vAlign w:val="center"/>
          </w:tcPr>
          <w:p w14:paraId="5026A9FF">
            <w:pPr>
              <w:spacing w:line="400" w:lineRule="exact"/>
              <w:ind w:firstLine="420" w:firstLineChars="200"/>
              <w:rPr>
                <w:rFonts w:ascii="宋体" w:hAnsi="宋体"/>
                <w:color w:val="auto"/>
                <w:szCs w:val="21"/>
                <w:highlight w:val="none"/>
              </w:rPr>
            </w:pPr>
          </w:p>
        </w:tc>
      </w:tr>
      <w:tr w14:paraId="004B2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0" w:hRule="atLeast"/>
          <w:jc w:val="center"/>
        </w:trPr>
        <w:tc>
          <w:tcPr>
            <w:tcW w:w="1871" w:type="dxa"/>
            <w:vMerge w:val="continue"/>
            <w:noWrap w:val="0"/>
            <w:vAlign w:val="center"/>
          </w:tcPr>
          <w:p w14:paraId="780918AE">
            <w:pPr>
              <w:spacing w:line="400" w:lineRule="exact"/>
              <w:ind w:firstLine="420" w:firstLineChars="200"/>
              <w:rPr>
                <w:rFonts w:ascii="宋体" w:hAnsi="宋体"/>
                <w:color w:val="auto"/>
                <w:szCs w:val="21"/>
                <w:highlight w:val="none"/>
              </w:rPr>
            </w:pPr>
          </w:p>
        </w:tc>
        <w:tc>
          <w:tcPr>
            <w:tcW w:w="1418" w:type="dxa"/>
            <w:noWrap w:val="0"/>
            <w:vAlign w:val="center"/>
          </w:tcPr>
          <w:p w14:paraId="5D763C22">
            <w:pPr>
              <w:spacing w:line="400" w:lineRule="exact"/>
              <w:ind w:firstLine="420" w:firstLineChars="200"/>
              <w:rPr>
                <w:rFonts w:ascii="宋体" w:hAnsi="宋体"/>
                <w:color w:val="auto"/>
                <w:szCs w:val="21"/>
                <w:highlight w:val="none"/>
              </w:rPr>
            </w:pPr>
          </w:p>
        </w:tc>
        <w:tc>
          <w:tcPr>
            <w:tcW w:w="1134" w:type="dxa"/>
            <w:noWrap w:val="0"/>
            <w:vAlign w:val="center"/>
          </w:tcPr>
          <w:p w14:paraId="07981FAE">
            <w:pPr>
              <w:spacing w:line="400" w:lineRule="exact"/>
              <w:ind w:firstLine="420" w:firstLineChars="200"/>
              <w:rPr>
                <w:rFonts w:ascii="宋体" w:hAnsi="宋体"/>
                <w:color w:val="auto"/>
                <w:szCs w:val="21"/>
                <w:highlight w:val="none"/>
              </w:rPr>
            </w:pPr>
          </w:p>
        </w:tc>
        <w:tc>
          <w:tcPr>
            <w:tcW w:w="1134" w:type="dxa"/>
            <w:noWrap w:val="0"/>
            <w:vAlign w:val="center"/>
          </w:tcPr>
          <w:p w14:paraId="3C19896F">
            <w:pPr>
              <w:spacing w:line="400" w:lineRule="exact"/>
              <w:ind w:firstLine="420" w:firstLineChars="200"/>
              <w:rPr>
                <w:rFonts w:ascii="宋体" w:hAnsi="宋体"/>
                <w:color w:val="auto"/>
                <w:szCs w:val="21"/>
                <w:highlight w:val="none"/>
              </w:rPr>
            </w:pPr>
          </w:p>
        </w:tc>
        <w:tc>
          <w:tcPr>
            <w:tcW w:w="4252" w:type="dxa"/>
            <w:noWrap w:val="0"/>
            <w:vAlign w:val="center"/>
          </w:tcPr>
          <w:p w14:paraId="7EF30470">
            <w:pPr>
              <w:spacing w:line="400" w:lineRule="exact"/>
              <w:ind w:firstLine="420" w:firstLineChars="200"/>
              <w:rPr>
                <w:rFonts w:ascii="宋体" w:hAnsi="宋体"/>
                <w:color w:val="auto"/>
                <w:szCs w:val="21"/>
                <w:highlight w:val="none"/>
              </w:rPr>
            </w:pPr>
          </w:p>
        </w:tc>
      </w:tr>
    </w:tbl>
    <w:p w14:paraId="22E512A1">
      <w:pPr>
        <w:spacing w:line="480" w:lineRule="auto"/>
        <w:rPr>
          <w:rFonts w:ascii="宋体" w:hAnsi="宋体"/>
          <w:color w:val="auto"/>
          <w:szCs w:val="21"/>
          <w:highlight w:val="none"/>
        </w:rPr>
      </w:pPr>
      <w:r>
        <w:rPr>
          <w:rFonts w:hint="eastAsia" w:ascii="宋体" w:hAnsi="宋体"/>
          <w:color w:val="auto"/>
          <w:szCs w:val="21"/>
          <w:highlight w:val="none"/>
        </w:rPr>
        <w:br w:type="page"/>
      </w:r>
      <w:bookmarkStart w:id="2067" w:name="_Toc267261701"/>
      <w:r>
        <w:rPr>
          <w:rFonts w:hint="eastAsia" w:ascii="宋体" w:hAnsi="宋体"/>
          <w:color w:val="auto"/>
          <w:szCs w:val="21"/>
          <w:highlight w:val="none"/>
        </w:rPr>
        <w:t>附</w:t>
      </w:r>
      <w:bookmarkStart w:id="2068" w:name="_Toc296346732"/>
      <w:bookmarkStart w:id="2069" w:name="_Toc296891059"/>
      <w:bookmarkStart w:id="2070" w:name="_Toc296503231"/>
      <w:bookmarkStart w:id="2071" w:name="_Toc296891271"/>
      <w:bookmarkStart w:id="2072" w:name="_Toc296347230"/>
      <w:bookmarkStart w:id="2073" w:name="_Toc296944570"/>
      <w:r>
        <w:rPr>
          <w:rFonts w:hint="eastAsia" w:ascii="宋体" w:hAnsi="宋体"/>
          <w:color w:val="auto"/>
          <w:szCs w:val="21"/>
          <w:highlight w:val="none"/>
        </w:rPr>
        <w:t>件4：</w:t>
      </w:r>
    </w:p>
    <w:bookmarkEnd w:id="2067"/>
    <w:bookmarkEnd w:id="2068"/>
    <w:bookmarkEnd w:id="2069"/>
    <w:bookmarkEnd w:id="2070"/>
    <w:bookmarkEnd w:id="2071"/>
    <w:bookmarkEnd w:id="2072"/>
    <w:bookmarkEnd w:id="2073"/>
    <w:p w14:paraId="2357C1AF">
      <w:pPr>
        <w:spacing w:before="156" w:beforeLines="50" w:after="156" w:afterLines="50" w:line="480" w:lineRule="auto"/>
        <w:jc w:val="center"/>
        <w:rPr>
          <w:rFonts w:ascii="宋体" w:hAnsi="宋体"/>
          <w:color w:val="auto"/>
          <w:szCs w:val="21"/>
          <w:highlight w:val="none"/>
        </w:rPr>
      </w:pPr>
      <w:r>
        <w:rPr>
          <w:rFonts w:hint="eastAsia" w:ascii="宋体" w:hAnsi="宋体"/>
          <w:color w:val="auto"/>
          <w:szCs w:val="21"/>
          <w:highlight w:val="none"/>
        </w:rPr>
        <w:t>履约担保（如有）</w:t>
      </w:r>
    </w:p>
    <w:p w14:paraId="20E67B1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u w:val="single"/>
        </w:rPr>
        <w:tab/>
      </w:r>
      <w:r>
        <w:rPr>
          <w:rFonts w:hint="eastAsia" w:ascii="宋体" w:hAnsi="宋体"/>
          <w:color w:val="auto"/>
          <w:szCs w:val="21"/>
          <w:highlight w:val="none"/>
          <w:u w:val="single"/>
        </w:rPr>
        <w:t xml:space="preserve">       </w:t>
      </w:r>
      <w:r>
        <w:rPr>
          <w:rFonts w:hint="eastAsia" w:ascii="宋体" w:hAnsi="宋体"/>
          <w:color w:val="auto"/>
          <w:szCs w:val="21"/>
          <w:highlight w:val="none"/>
        </w:rPr>
        <w:t>（发包人名称）：</w:t>
      </w:r>
    </w:p>
    <w:p w14:paraId="48A3BF45">
      <w:pPr>
        <w:spacing w:line="360" w:lineRule="auto"/>
        <w:ind w:firstLine="420" w:firstLineChars="200"/>
        <w:rPr>
          <w:rFonts w:ascii="宋体" w:hAnsi="宋体"/>
          <w:color w:val="auto"/>
          <w:szCs w:val="21"/>
          <w:highlight w:val="none"/>
        </w:rPr>
      </w:pPr>
    </w:p>
    <w:p w14:paraId="0F14F60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鉴于</w:t>
      </w:r>
      <w:r>
        <w:rPr>
          <w:rFonts w:hint="eastAsia" w:ascii="宋体" w:hAnsi="宋体"/>
          <w:color w:val="auto"/>
          <w:szCs w:val="21"/>
          <w:highlight w:val="none"/>
          <w:u w:val="single"/>
        </w:rPr>
        <w:t xml:space="preserve">                </w:t>
      </w:r>
      <w:r>
        <w:rPr>
          <w:rFonts w:hint="eastAsia" w:ascii="宋体" w:hAnsi="宋体"/>
          <w:color w:val="auto"/>
          <w:szCs w:val="21"/>
          <w:highlight w:val="none"/>
        </w:rPr>
        <w:t>（发包人名称，以下简称“发包人”）与</w:t>
      </w:r>
    </w:p>
    <w:p w14:paraId="07FB2E60">
      <w:pPr>
        <w:spacing w:line="360" w:lineRule="auto"/>
        <w:rPr>
          <w:rFonts w:ascii="宋体" w:hAnsi="宋体"/>
          <w:color w:val="auto"/>
          <w:szCs w:val="21"/>
          <w:highlight w:val="none"/>
        </w:rPr>
      </w:pPr>
      <w:r>
        <w:rPr>
          <w:rFonts w:hint="eastAsia" w:ascii="宋体" w:hAnsi="宋体"/>
          <w:color w:val="auto"/>
          <w:szCs w:val="21"/>
          <w:highlight w:val="none"/>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（承包人名称）（以下称“承包人”）于</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日就</w:t>
      </w:r>
      <w:r>
        <w:rPr>
          <w:rFonts w:hint="eastAsia" w:ascii="宋体" w:hAnsi="宋体"/>
          <w:color w:val="auto"/>
          <w:szCs w:val="21"/>
          <w:highlight w:val="none"/>
          <w:u w:val="single"/>
        </w:rPr>
        <w:t xml:space="preserve">                         </w:t>
      </w:r>
      <w:r>
        <w:rPr>
          <w:rFonts w:hint="eastAsia" w:ascii="宋体" w:hAnsi="宋体"/>
          <w:color w:val="auto"/>
          <w:szCs w:val="21"/>
          <w:highlight w:val="none"/>
        </w:rPr>
        <w:t>（工程名称）施工及有关事项协商一致共同签订《建设工程施工合同》。我方愿意无条件地、不可撤销地就承包人履行与你方签订的合同，向你方提供连带责任担保。</w:t>
      </w:r>
    </w:p>
    <w:p w14:paraId="2AB47D5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 担保金额人民币（大写）</w:t>
      </w:r>
      <w:r>
        <w:rPr>
          <w:rFonts w:hint="eastAsia" w:ascii="宋体" w:hAnsi="宋体"/>
          <w:color w:val="auto"/>
          <w:szCs w:val="21"/>
          <w:highlight w:val="none"/>
          <w:u w:val="single"/>
        </w:rPr>
        <w:t xml:space="preserve">        </w:t>
      </w:r>
      <w:r>
        <w:rPr>
          <w:rFonts w:hint="eastAsia" w:ascii="宋体" w:hAnsi="宋体"/>
          <w:color w:val="auto"/>
          <w:szCs w:val="21"/>
          <w:highlight w:val="none"/>
        </w:rPr>
        <w:t>元（¥</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269B909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担保有效期：</w:t>
      </w:r>
      <w:r>
        <w:rPr>
          <w:rFonts w:hint="eastAsia" w:ascii="宋体" w:hAnsi="宋体"/>
          <w:color w:val="auto"/>
          <w:szCs w:val="21"/>
          <w:highlight w:val="none"/>
          <w:u w:val="single"/>
        </w:rPr>
        <w:t>自</w:t>
      </w:r>
      <w:r>
        <w:rPr>
          <w:rStyle w:val="54"/>
          <w:rFonts w:hint="eastAsia"/>
          <w:color w:val="auto"/>
          <w:highlight w:val="none"/>
        </w:rPr>
        <w:t>我</w:t>
      </w:r>
      <w:r>
        <w:rPr>
          <w:rFonts w:hint="eastAsia" w:ascii="宋体" w:hAnsi="宋体"/>
          <w:color w:val="auto"/>
          <w:szCs w:val="21"/>
          <w:highlight w:val="none"/>
          <w:u w:val="single"/>
        </w:rPr>
        <w:t>方法定代表人（或其委托代理人）签字并加盖公章之日起至你方签发或应签发工程接收证书之日止</w:t>
      </w:r>
      <w:r>
        <w:rPr>
          <w:rFonts w:hint="eastAsia" w:ascii="宋体" w:hAnsi="宋体"/>
          <w:color w:val="auto"/>
          <w:szCs w:val="21"/>
          <w:highlight w:val="none"/>
        </w:rPr>
        <w:t>。</w:t>
      </w:r>
    </w:p>
    <w:p w14:paraId="04DEA98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在本担保有效期内，因承包人违反合同约定的义务给你方造成经济损失时，我方在收到你方以书面形式提出的在担保金额内的赔偿要求后，在7天内无条件支付。</w:t>
      </w:r>
    </w:p>
    <w:p w14:paraId="1B509EE1">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 你方和承包人按合同约定变更合同时，我方承担本担保规定的义务不变。</w:t>
      </w:r>
    </w:p>
    <w:p w14:paraId="3162C77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 因本保函发生的纠纷，可由双方协商解决，协商不成的，按下列第</w:t>
      </w:r>
      <w:r>
        <w:rPr>
          <w:rFonts w:hint="eastAsia" w:ascii="宋体" w:hAnsi="宋体"/>
          <w:color w:val="auto"/>
          <w:szCs w:val="21"/>
          <w:highlight w:val="none"/>
          <w:u w:val="single"/>
        </w:rPr>
        <w:t xml:space="preserve">    </w:t>
      </w:r>
      <w:r>
        <w:rPr>
          <w:rFonts w:hint="eastAsia" w:ascii="宋体" w:hAnsi="宋体"/>
          <w:color w:val="auto"/>
          <w:szCs w:val="21"/>
          <w:highlight w:val="none"/>
        </w:rPr>
        <w:t>种方式解决：</w:t>
      </w:r>
    </w:p>
    <w:p w14:paraId="35A7F6A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（1）向</w:t>
      </w:r>
      <w:r>
        <w:rPr>
          <w:rFonts w:hint="eastAsia" w:ascii="宋体" w:hAnsi="宋体"/>
          <w:color w:val="auto"/>
          <w:szCs w:val="21"/>
          <w:highlight w:val="none"/>
          <w:u w:val="single"/>
        </w:rPr>
        <w:t xml:space="preserve">                     </w:t>
      </w:r>
      <w:r>
        <w:rPr>
          <w:rFonts w:hint="eastAsia" w:ascii="宋体" w:hAnsi="宋体"/>
          <w:color w:val="auto"/>
          <w:szCs w:val="21"/>
          <w:highlight w:val="none"/>
        </w:rPr>
        <w:t>仲裁委员会申请仲裁；</w:t>
      </w:r>
    </w:p>
    <w:p w14:paraId="00D2387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（2）向</w:t>
      </w:r>
      <w:r>
        <w:rPr>
          <w:rFonts w:hint="eastAsia" w:ascii="宋体" w:hAnsi="宋体"/>
          <w:color w:val="auto"/>
          <w:szCs w:val="21"/>
          <w:highlight w:val="none"/>
          <w:u w:val="single"/>
        </w:rPr>
        <w:t xml:space="preserve">                     </w:t>
      </w:r>
      <w:r>
        <w:rPr>
          <w:rFonts w:hint="eastAsia" w:ascii="宋体" w:hAnsi="宋体"/>
          <w:color w:val="auto"/>
          <w:szCs w:val="21"/>
          <w:highlight w:val="none"/>
        </w:rPr>
        <w:t>人民法院起诉。</w:t>
      </w:r>
    </w:p>
    <w:p w14:paraId="7FF0AB2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 本保函自我方法定代表人（或其委托代理人）签字并加盖公章之日起生效。</w:t>
      </w:r>
    </w:p>
    <w:p w14:paraId="49690C06">
      <w:pPr>
        <w:spacing w:line="360" w:lineRule="auto"/>
        <w:rPr>
          <w:rFonts w:hint="eastAsia" w:ascii="宋体" w:hAnsi="宋体"/>
          <w:color w:val="auto"/>
          <w:szCs w:val="21"/>
          <w:highlight w:val="none"/>
        </w:rPr>
      </w:pPr>
    </w:p>
    <w:p w14:paraId="6568D792">
      <w:pPr>
        <w:spacing w:line="360" w:lineRule="auto"/>
        <w:rPr>
          <w:rFonts w:hint="eastAsia" w:ascii="宋体" w:hAnsi="宋体"/>
          <w:color w:val="auto"/>
          <w:szCs w:val="21"/>
          <w:highlight w:val="none"/>
        </w:rPr>
      </w:pPr>
    </w:p>
    <w:p w14:paraId="10296AD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担 保 人：</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3E7E69D7">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法定代表人或其委托代理人：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p>
    <w:p w14:paraId="549A7ED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地    址：</w:t>
      </w:r>
      <w:r>
        <w:rPr>
          <w:rFonts w:hint="eastAsia" w:ascii="宋体" w:hAnsi="宋体"/>
          <w:color w:val="auto"/>
          <w:szCs w:val="21"/>
          <w:highlight w:val="none"/>
          <w:u w:val="single"/>
        </w:rPr>
        <w:t xml:space="preserve">                                      </w:t>
      </w:r>
    </w:p>
    <w:p w14:paraId="6448F2F7">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邮政编码：</w:t>
      </w:r>
      <w:r>
        <w:rPr>
          <w:rFonts w:hint="eastAsia" w:ascii="宋体" w:hAnsi="宋体"/>
          <w:color w:val="auto"/>
          <w:szCs w:val="21"/>
          <w:highlight w:val="none"/>
          <w:u w:val="single"/>
        </w:rPr>
        <w:t xml:space="preserve">                                      </w:t>
      </w:r>
    </w:p>
    <w:p w14:paraId="541997A1">
      <w:pPr>
        <w:spacing w:line="360" w:lineRule="auto"/>
        <w:ind w:firstLine="420" w:firstLineChars="200"/>
        <w:rPr>
          <w:rFonts w:ascii="宋体" w:hAnsi="宋体"/>
          <w:color w:val="auto"/>
          <w:szCs w:val="21"/>
          <w:highlight w:val="none"/>
          <w:u w:val="single"/>
        </w:rPr>
      </w:pPr>
      <w:r>
        <w:rPr>
          <w:rFonts w:hint="eastAsia" w:ascii="宋体" w:hAnsi="宋体"/>
          <w:color w:val="auto"/>
          <w:szCs w:val="21"/>
          <w:highlight w:val="none"/>
        </w:rPr>
        <w:t>电    话：</w:t>
      </w:r>
      <w:r>
        <w:rPr>
          <w:rFonts w:hint="eastAsia" w:ascii="宋体" w:hAnsi="宋体"/>
          <w:color w:val="auto"/>
          <w:szCs w:val="21"/>
          <w:highlight w:val="none"/>
          <w:u w:val="single"/>
        </w:rPr>
        <w:t xml:space="preserve">                                      </w:t>
      </w:r>
    </w:p>
    <w:p w14:paraId="2F64875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传    真：</w:t>
      </w:r>
      <w:r>
        <w:rPr>
          <w:rFonts w:hint="eastAsia" w:ascii="宋体" w:hAnsi="宋体"/>
          <w:color w:val="auto"/>
          <w:szCs w:val="21"/>
          <w:highlight w:val="none"/>
          <w:u w:val="single"/>
        </w:rPr>
        <w:t xml:space="preserve">                                      </w:t>
      </w:r>
    </w:p>
    <w:p w14:paraId="77A7A19D">
      <w:pPr>
        <w:spacing w:line="360" w:lineRule="auto"/>
        <w:ind w:right="840"/>
        <w:rPr>
          <w:rFonts w:hint="eastAsia" w:ascii="宋体" w:hAnsi="宋体"/>
          <w:color w:val="auto"/>
          <w:szCs w:val="21"/>
          <w:highlight w:val="none"/>
          <w:u w:val="single"/>
        </w:rPr>
      </w:pPr>
    </w:p>
    <w:p w14:paraId="43C9574D">
      <w:pPr>
        <w:spacing w:line="360" w:lineRule="auto"/>
        <w:ind w:firstLine="420" w:firstLineChars="200"/>
        <w:jc w:val="right"/>
        <w:rPr>
          <w:rFonts w:ascii="宋体" w:hAnsi="宋体"/>
          <w:color w:val="auto"/>
          <w:szCs w:val="21"/>
          <w:highlight w:val="none"/>
        </w:rPr>
      </w:pP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609DE5EC">
      <w:pPr>
        <w:widowControl/>
        <w:spacing w:line="360" w:lineRule="auto"/>
        <w:jc w:val="left"/>
        <w:rPr>
          <w:rFonts w:ascii="宋体" w:hAnsi="宋体"/>
          <w:color w:val="auto"/>
          <w:szCs w:val="21"/>
          <w:highlight w:val="none"/>
        </w:rPr>
      </w:pPr>
      <w:r>
        <w:rPr>
          <w:rFonts w:ascii="宋体" w:hAnsi="宋体"/>
          <w:color w:val="auto"/>
          <w:szCs w:val="21"/>
          <w:highlight w:val="none"/>
        </w:rPr>
        <w:br w:type="page"/>
      </w:r>
    </w:p>
    <w:p w14:paraId="5572223F">
      <w:pPr>
        <w:spacing w:line="480" w:lineRule="auto"/>
        <w:rPr>
          <w:rFonts w:ascii="宋体" w:hAnsi="宋体"/>
          <w:color w:val="auto"/>
          <w:szCs w:val="21"/>
          <w:highlight w:val="none"/>
        </w:rPr>
      </w:pPr>
      <w:r>
        <w:rPr>
          <w:rFonts w:hint="eastAsia" w:ascii="宋体" w:hAnsi="宋体"/>
          <w:color w:val="auto"/>
          <w:szCs w:val="21"/>
          <w:highlight w:val="none"/>
        </w:rPr>
        <w:t>附</w:t>
      </w:r>
      <w:bookmarkStart w:id="2074" w:name="_Toc296891060"/>
      <w:bookmarkStart w:id="2075" w:name="_Toc296346733"/>
      <w:bookmarkStart w:id="2076" w:name="_Toc296503232"/>
      <w:bookmarkStart w:id="2077" w:name="_Toc296347231"/>
      <w:bookmarkStart w:id="2078" w:name="_Toc267261702"/>
      <w:bookmarkStart w:id="2079" w:name="_Toc296891272"/>
      <w:bookmarkStart w:id="2080" w:name="_Toc296944571"/>
      <w:r>
        <w:rPr>
          <w:rFonts w:hint="eastAsia" w:ascii="宋体" w:hAnsi="宋体"/>
          <w:color w:val="auto"/>
          <w:szCs w:val="21"/>
          <w:highlight w:val="none"/>
        </w:rPr>
        <w:t>件5：</w:t>
      </w:r>
    </w:p>
    <w:bookmarkEnd w:id="2074"/>
    <w:bookmarkEnd w:id="2075"/>
    <w:bookmarkEnd w:id="2076"/>
    <w:bookmarkEnd w:id="2077"/>
    <w:bookmarkEnd w:id="2078"/>
    <w:bookmarkEnd w:id="2079"/>
    <w:bookmarkEnd w:id="2080"/>
    <w:p w14:paraId="0ED8807F">
      <w:pPr>
        <w:spacing w:before="156" w:beforeLines="50" w:after="156" w:afterLines="50" w:line="480" w:lineRule="auto"/>
        <w:jc w:val="center"/>
        <w:rPr>
          <w:rFonts w:ascii="宋体" w:hAnsi="宋体"/>
          <w:color w:val="auto"/>
          <w:szCs w:val="21"/>
          <w:highlight w:val="none"/>
        </w:rPr>
      </w:pPr>
      <w:r>
        <w:rPr>
          <w:rFonts w:hint="eastAsia" w:ascii="宋体" w:hAnsi="宋体"/>
          <w:color w:val="auto"/>
          <w:szCs w:val="21"/>
          <w:highlight w:val="none"/>
        </w:rPr>
        <w:t>预付款担保（如有）</w:t>
      </w:r>
    </w:p>
    <w:p w14:paraId="763B79D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u w:val="single"/>
        </w:rPr>
        <w:t xml:space="preserve">            </w:t>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（发包人名称）：</w:t>
      </w:r>
    </w:p>
    <w:p w14:paraId="726B2B9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根据</w:t>
      </w:r>
      <w:r>
        <w:rPr>
          <w:rFonts w:hint="eastAsia" w:ascii="宋体" w:hAnsi="宋体"/>
          <w:color w:val="auto"/>
          <w:szCs w:val="21"/>
          <w:highlight w:val="none"/>
          <w:u w:val="single"/>
        </w:rPr>
        <w:t xml:space="preserve">       </w:t>
      </w:r>
      <w:r>
        <w:rPr>
          <w:rFonts w:hint="eastAsia" w:ascii="宋体" w:hAnsi="宋体"/>
          <w:color w:val="auto"/>
          <w:szCs w:val="21"/>
          <w:highlight w:val="none"/>
        </w:rPr>
        <w:t>（承包人名称）（以下称“承包人”）与</w:t>
      </w:r>
      <w:r>
        <w:rPr>
          <w:rFonts w:hint="eastAsia" w:ascii="宋体" w:hAnsi="宋体"/>
          <w:color w:val="auto"/>
          <w:szCs w:val="21"/>
          <w:highlight w:val="none"/>
          <w:u w:val="single"/>
        </w:rPr>
        <w:t xml:space="preserve">         </w:t>
      </w:r>
      <w:r>
        <w:rPr>
          <w:rFonts w:hint="eastAsia" w:ascii="宋体" w:hAnsi="宋体"/>
          <w:color w:val="auto"/>
          <w:szCs w:val="21"/>
          <w:highlight w:val="none"/>
        </w:rPr>
        <w:t>（发包人名称）（以下简称“发包人”）于</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日签订的</w:t>
      </w:r>
      <w:r>
        <w:rPr>
          <w:rFonts w:hint="eastAsia" w:ascii="宋体" w:hAnsi="宋体"/>
          <w:color w:val="auto"/>
          <w:szCs w:val="21"/>
          <w:highlight w:val="none"/>
          <w:u w:val="single"/>
        </w:rPr>
        <w:t xml:space="preserve">            </w:t>
      </w:r>
      <w:r>
        <w:rPr>
          <w:rFonts w:hint="eastAsia" w:ascii="宋体" w:hAnsi="宋体"/>
          <w:color w:val="auto"/>
          <w:szCs w:val="21"/>
          <w:highlight w:val="none"/>
        </w:rPr>
        <w:t>（工程名称）《建设工程施工合同》，承包人按约定的金额向你方提交一份预付款担保，即有权得到你方支付相等金额的预付款。我方愿意就你方提供给承包人的预付款为承包人提供连带责任担保。</w:t>
      </w:r>
    </w:p>
    <w:p w14:paraId="22EB704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 担保金额人民币（大写）</w:t>
      </w:r>
      <w:r>
        <w:rPr>
          <w:rFonts w:hint="eastAsia" w:ascii="宋体" w:hAnsi="宋体"/>
          <w:color w:val="auto"/>
          <w:szCs w:val="21"/>
          <w:highlight w:val="none"/>
          <w:u w:val="single"/>
        </w:rPr>
        <w:t xml:space="preserve">        </w:t>
      </w:r>
      <w:r>
        <w:rPr>
          <w:rFonts w:hint="eastAsia" w:ascii="宋体" w:hAnsi="宋体"/>
          <w:color w:val="auto"/>
          <w:szCs w:val="21"/>
          <w:highlight w:val="none"/>
        </w:rPr>
        <w:t>元（¥</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6D85337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担保有效期自预付款支付给承包人起生效，至你方签发的进度款支付证书说明已完全扣清止。</w:t>
      </w:r>
    </w:p>
    <w:p w14:paraId="6A0D51E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0914C287">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 你方和承包人按合同约定变更合同时，我方承担本保函规定的义务不变。</w:t>
      </w:r>
    </w:p>
    <w:p w14:paraId="55A533E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 因本保函发生的纠纷，可由双方协商解决，协商不成的，按下列第</w:t>
      </w:r>
      <w:r>
        <w:rPr>
          <w:rFonts w:hint="eastAsia" w:ascii="宋体" w:hAnsi="宋体"/>
          <w:color w:val="auto"/>
          <w:szCs w:val="21"/>
          <w:highlight w:val="none"/>
          <w:u w:val="single"/>
        </w:rPr>
        <w:t xml:space="preserve">    </w:t>
      </w:r>
      <w:r>
        <w:rPr>
          <w:rFonts w:hint="eastAsia" w:ascii="宋体" w:hAnsi="宋体"/>
          <w:color w:val="auto"/>
          <w:szCs w:val="21"/>
          <w:highlight w:val="none"/>
        </w:rPr>
        <w:t>种方式解决：</w:t>
      </w:r>
    </w:p>
    <w:p w14:paraId="458E7AD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（1）向</w:t>
      </w:r>
      <w:r>
        <w:rPr>
          <w:rFonts w:hint="eastAsia" w:ascii="宋体" w:hAnsi="宋体"/>
          <w:color w:val="auto"/>
          <w:szCs w:val="21"/>
          <w:highlight w:val="none"/>
          <w:u w:val="single"/>
        </w:rPr>
        <w:t xml:space="preserve">                     </w:t>
      </w:r>
      <w:r>
        <w:rPr>
          <w:rFonts w:hint="eastAsia" w:ascii="宋体" w:hAnsi="宋体"/>
          <w:color w:val="auto"/>
          <w:szCs w:val="21"/>
          <w:highlight w:val="none"/>
        </w:rPr>
        <w:t>仲裁委员会申请仲裁；</w:t>
      </w:r>
    </w:p>
    <w:p w14:paraId="52E35A1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（2）向</w:t>
      </w:r>
      <w:r>
        <w:rPr>
          <w:rFonts w:hint="eastAsia" w:ascii="宋体" w:hAnsi="宋体"/>
          <w:color w:val="auto"/>
          <w:szCs w:val="21"/>
          <w:highlight w:val="none"/>
          <w:u w:val="single"/>
        </w:rPr>
        <w:t xml:space="preserve">                     </w:t>
      </w:r>
      <w:r>
        <w:rPr>
          <w:rFonts w:hint="eastAsia" w:ascii="宋体" w:hAnsi="宋体"/>
          <w:color w:val="auto"/>
          <w:szCs w:val="21"/>
          <w:highlight w:val="none"/>
        </w:rPr>
        <w:t>人民法院起诉。</w:t>
      </w:r>
    </w:p>
    <w:p w14:paraId="124858D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 本保函自我方法定代表人（或其委托代理人）签字并加盖公章之日起生效。</w:t>
      </w:r>
    </w:p>
    <w:p w14:paraId="7B0A6C0E">
      <w:pPr>
        <w:pStyle w:val="2"/>
        <w:spacing w:line="360" w:lineRule="auto"/>
        <w:ind w:firstLine="420" w:firstLineChars="200"/>
        <w:rPr>
          <w:rFonts w:ascii="宋体" w:hAnsi="宋体"/>
          <w:color w:val="auto"/>
          <w:szCs w:val="21"/>
          <w:highlight w:val="none"/>
        </w:rPr>
      </w:pPr>
    </w:p>
    <w:p w14:paraId="7201EC4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担保人：</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52623F7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法定代表人或其委托代理人：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p>
    <w:p w14:paraId="0BD853F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地    址：</w:t>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p>
    <w:p w14:paraId="253196E4">
      <w:pPr>
        <w:spacing w:line="360" w:lineRule="auto"/>
        <w:ind w:firstLine="420" w:firstLineChars="200"/>
        <w:rPr>
          <w:rFonts w:ascii="宋体" w:hAnsi="宋体"/>
          <w:color w:val="auto"/>
          <w:szCs w:val="21"/>
          <w:highlight w:val="none"/>
          <w:u w:val="single"/>
        </w:rPr>
      </w:pPr>
      <w:r>
        <w:rPr>
          <w:rFonts w:hint="eastAsia" w:ascii="宋体" w:hAnsi="宋体"/>
          <w:color w:val="auto"/>
          <w:szCs w:val="21"/>
          <w:highlight w:val="none"/>
        </w:rPr>
        <w:t>邮政编码：</w:t>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p>
    <w:p w14:paraId="6CDC4435">
      <w:pPr>
        <w:spacing w:line="360" w:lineRule="auto"/>
        <w:ind w:firstLine="420" w:firstLineChars="200"/>
        <w:rPr>
          <w:rFonts w:ascii="宋体" w:hAnsi="宋体"/>
          <w:color w:val="auto"/>
          <w:szCs w:val="21"/>
          <w:highlight w:val="none"/>
          <w:u w:val="single"/>
        </w:rPr>
      </w:pPr>
      <w:r>
        <w:rPr>
          <w:rFonts w:hint="eastAsia" w:ascii="宋体" w:hAnsi="宋体"/>
          <w:color w:val="auto"/>
          <w:szCs w:val="21"/>
          <w:highlight w:val="none"/>
        </w:rPr>
        <w:t>电    话：</w:t>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p>
    <w:p w14:paraId="129D5B10">
      <w:pPr>
        <w:spacing w:line="360" w:lineRule="auto"/>
        <w:ind w:firstLine="420" w:firstLineChars="200"/>
        <w:rPr>
          <w:rFonts w:ascii="宋体" w:hAnsi="宋体"/>
          <w:color w:val="auto"/>
          <w:szCs w:val="21"/>
          <w:highlight w:val="none"/>
          <w:u w:val="single"/>
        </w:rPr>
      </w:pPr>
      <w:r>
        <w:rPr>
          <w:rFonts w:hint="eastAsia" w:ascii="宋体" w:hAnsi="宋体"/>
          <w:color w:val="auto"/>
          <w:szCs w:val="21"/>
          <w:highlight w:val="none"/>
        </w:rPr>
        <w:t>传    真：</w:t>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p>
    <w:p w14:paraId="2D4BE6DF">
      <w:pPr>
        <w:spacing w:line="360" w:lineRule="auto"/>
        <w:ind w:firstLine="420" w:firstLineChars="200"/>
        <w:rPr>
          <w:rFonts w:ascii="宋体" w:hAnsi="宋体"/>
          <w:color w:val="auto"/>
          <w:szCs w:val="21"/>
          <w:highlight w:val="none"/>
          <w:u w:val="single"/>
        </w:rPr>
      </w:pPr>
    </w:p>
    <w:p w14:paraId="1062912A">
      <w:pPr>
        <w:spacing w:line="360" w:lineRule="auto"/>
        <w:ind w:firstLine="420" w:firstLineChars="200"/>
        <w:jc w:val="right"/>
        <w:rPr>
          <w:rFonts w:ascii="宋体" w:hAnsi="宋体"/>
          <w:color w:val="auto"/>
          <w:szCs w:val="21"/>
          <w:highlight w:val="none"/>
        </w:rPr>
      </w:pP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41D9803E">
      <w:pPr>
        <w:spacing w:line="480" w:lineRule="auto"/>
        <w:rPr>
          <w:rFonts w:ascii="宋体" w:hAnsi="宋体"/>
          <w:color w:val="auto"/>
          <w:szCs w:val="21"/>
          <w:highlight w:val="none"/>
        </w:rPr>
      </w:pPr>
      <w:r>
        <w:rPr>
          <w:rFonts w:hint="eastAsia" w:ascii="宋体" w:hAnsi="宋体"/>
          <w:color w:val="auto"/>
          <w:szCs w:val="21"/>
          <w:highlight w:val="none"/>
        </w:rPr>
        <w:br w:type="page"/>
      </w:r>
      <w:r>
        <w:rPr>
          <w:rFonts w:hint="eastAsia" w:ascii="宋体" w:hAnsi="宋体"/>
          <w:color w:val="auto"/>
          <w:szCs w:val="21"/>
          <w:highlight w:val="none"/>
        </w:rPr>
        <w:t>附</w:t>
      </w:r>
      <w:bookmarkStart w:id="2081" w:name="_Toc296347232"/>
      <w:bookmarkStart w:id="2082" w:name="_Toc296891273"/>
      <w:bookmarkStart w:id="2083" w:name="_Toc296891061"/>
      <w:bookmarkStart w:id="2084" w:name="_Toc296503233"/>
      <w:bookmarkStart w:id="2085" w:name="_Toc296346734"/>
      <w:bookmarkStart w:id="2086" w:name="_Toc296944572"/>
      <w:r>
        <w:rPr>
          <w:rFonts w:hint="eastAsia" w:ascii="宋体" w:hAnsi="宋体"/>
          <w:color w:val="auto"/>
          <w:szCs w:val="21"/>
          <w:highlight w:val="none"/>
        </w:rPr>
        <w:t>件6：</w:t>
      </w:r>
    </w:p>
    <w:bookmarkEnd w:id="2081"/>
    <w:bookmarkEnd w:id="2082"/>
    <w:bookmarkEnd w:id="2083"/>
    <w:bookmarkEnd w:id="2084"/>
    <w:bookmarkEnd w:id="2085"/>
    <w:bookmarkEnd w:id="2086"/>
    <w:p w14:paraId="2B955BB9">
      <w:pPr>
        <w:spacing w:before="156" w:beforeLines="50" w:after="156" w:afterLines="50" w:line="480" w:lineRule="auto"/>
        <w:jc w:val="center"/>
        <w:rPr>
          <w:rFonts w:ascii="宋体" w:hAnsi="宋体"/>
          <w:color w:val="auto"/>
          <w:szCs w:val="21"/>
          <w:highlight w:val="none"/>
        </w:rPr>
      </w:pPr>
      <w:r>
        <w:rPr>
          <w:rFonts w:hint="eastAsia" w:ascii="宋体" w:hAnsi="宋体"/>
          <w:color w:val="auto"/>
          <w:szCs w:val="21"/>
          <w:highlight w:val="none"/>
        </w:rPr>
        <w:t>支付担保（如有）</w:t>
      </w:r>
    </w:p>
    <w:p w14:paraId="7572349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u w:val="single"/>
        </w:rPr>
        <w:t xml:space="preserve">             </w:t>
      </w:r>
      <w:r>
        <w:rPr>
          <w:rFonts w:hint="eastAsia" w:ascii="宋体" w:hAnsi="宋体"/>
          <w:color w:val="auto"/>
          <w:szCs w:val="21"/>
          <w:highlight w:val="none"/>
        </w:rPr>
        <w:t>（承包人）：</w:t>
      </w:r>
    </w:p>
    <w:p w14:paraId="371080D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 xml:space="preserve">鉴于你方作为承包人已经与 </w:t>
      </w:r>
      <w:r>
        <w:rPr>
          <w:rFonts w:hint="eastAsia" w:ascii="宋体" w:hAnsi="宋体"/>
          <w:color w:val="auto"/>
          <w:szCs w:val="21"/>
          <w:highlight w:val="none"/>
          <w:u w:val="single"/>
        </w:rPr>
        <w:t xml:space="preserve">            </w:t>
      </w:r>
      <w:r>
        <w:rPr>
          <w:rFonts w:hint="eastAsia" w:ascii="宋体" w:hAnsi="宋体"/>
          <w:color w:val="auto"/>
          <w:szCs w:val="21"/>
          <w:highlight w:val="none"/>
        </w:rPr>
        <w:t>（发包人名称）（以下称“发包人”）于</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日签订了</w:t>
      </w:r>
      <w:r>
        <w:rPr>
          <w:rFonts w:hint="eastAsia" w:ascii="宋体" w:hAnsi="宋体"/>
          <w:color w:val="auto"/>
          <w:szCs w:val="21"/>
          <w:highlight w:val="none"/>
          <w:u w:val="single"/>
        </w:rPr>
        <w:t xml:space="preserve">             </w:t>
      </w:r>
      <w:r>
        <w:rPr>
          <w:rFonts w:hint="eastAsia" w:ascii="宋体" w:hAnsi="宋体"/>
          <w:color w:val="auto"/>
          <w:szCs w:val="21"/>
          <w:highlight w:val="none"/>
        </w:rPr>
        <w:t>（工程名称）《建设工程施工合同》（以下称“主合同”），应发包人的申请，我方愿就发包人履行主合同约定的工程款支付义务以保证的方式向你方提供如下担保：</w:t>
      </w:r>
    </w:p>
    <w:p w14:paraId="63A11018">
      <w:pPr>
        <w:spacing w:line="360" w:lineRule="auto"/>
        <w:ind w:firstLine="420" w:firstLineChars="200"/>
        <w:rPr>
          <w:rFonts w:ascii="宋体" w:hAnsi="宋体"/>
          <w:color w:val="auto"/>
          <w:szCs w:val="21"/>
          <w:highlight w:val="none"/>
        </w:rPr>
      </w:pPr>
      <w:bookmarkStart w:id="2087" w:name="_Toc532375692"/>
      <w:r>
        <w:rPr>
          <w:rFonts w:hint="eastAsia" w:ascii="宋体" w:hAnsi="宋体"/>
          <w:color w:val="auto"/>
          <w:szCs w:val="21"/>
          <w:highlight w:val="none"/>
        </w:rPr>
        <w:t>一、保证的范围及保证金额</w:t>
      </w:r>
      <w:bookmarkEnd w:id="2087"/>
    </w:p>
    <w:p w14:paraId="622C2F8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 我方的保证范围是主合同约定的工程款。</w:t>
      </w:r>
    </w:p>
    <w:p w14:paraId="14168B9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本保函所称主合同约定的工程款是指主合同约定的除工程质量保证金以外的合同价款。</w:t>
      </w:r>
    </w:p>
    <w:p w14:paraId="26AFAF3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我方保证的金额是主合同约定的工程款的</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%，数额最高不超过人民币元（大写：</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2196ECC6">
      <w:pPr>
        <w:spacing w:line="360" w:lineRule="auto"/>
        <w:ind w:firstLine="420" w:firstLineChars="200"/>
        <w:rPr>
          <w:rFonts w:ascii="宋体" w:hAnsi="宋体"/>
          <w:color w:val="auto"/>
          <w:szCs w:val="21"/>
          <w:highlight w:val="none"/>
        </w:rPr>
      </w:pPr>
      <w:bookmarkStart w:id="2088" w:name="_Toc532375693"/>
      <w:r>
        <w:rPr>
          <w:rFonts w:hint="eastAsia" w:ascii="宋体" w:hAnsi="宋体"/>
          <w:color w:val="auto"/>
          <w:szCs w:val="21"/>
          <w:highlight w:val="none"/>
        </w:rPr>
        <w:t>二、保证的方式及保证期间</w:t>
      </w:r>
      <w:bookmarkEnd w:id="2088"/>
    </w:p>
    <w:p w14:paraId="0A4F28A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 我方保证的方式为：连带责任保证。</w:t>
      </w:r>
    </w:p>
    <w:p w14:paraId="251FF0C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我方保证的期间为：自合同生效之日起至主合同约定的工程款支付完毕之日后</w:t>
      </w:r>
      <w:r>
        <w:rPr>
          <w:rFonts w:hint="eastAsia" w:ascii="宋体" w:hAnsi="宋体"/>
          <w:color w:val="auto"/>
          <w:szCs w:val="21"/>
          <w:highlight w:val="none"/>
          <w:u w:val="single"/>
        </w:rPr>
        <w:t xml:space="preserve">    </w:t>
      </w:r>
      <w:r>
        <w:rPr>
          <w:rFonts w:hint="eastAsia" w:ascii="宋体" w:hAnsi="宋体"/>
          <w:color w:val="auto"/>
          <w:szCs w:val="21"/>
          <w:highlight w:val="none"/>
        </w:rPr>
        <w:t>日内。</w:t>
      </w:r>
    </w:p>
    <w:p w14:paraId="2BBAFAF1">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你方与发包人协议变更工程款支付日期的，经我方书面同意后，保证期间按照变更后的支付日期做相应调整。</w:t>
      </w:r>
    </w:p>
    <w:p w14:paraId="529AD190">
      <w:pPr>
        <w:spacing w:line="360" w:lineRule="auto"/>
        <w:ind w:firstLine="420" w:firstLineChars="200"/>
        <w:rPr>
          <w:rFonts w:ascii="宋体" w:hAnsi="宋体"/>
          <w:color w:val="auto"/>
          <w:szCs w:val="21"/>
          <w:highlight w:val="none"/>
        </w:rPr>
      </w:pPr>
      <w:bookmarkStart w:id="2089" w:name="_Toc532375694"/>
      <w:r>
        <w:rPr>
          <w:rFonts w:hint="eastAsia" w:ascii="宋体" w:hAnsi="宋体"/>
          <w:color w:val="auto"/>
          <w:szCs w:val="21"/>
          <w:highlight w:val="none"/>
        </w:rPr>
        <w:t>三、承担保证责任的形式</w:t>
      </w:r>
      <w:bookmarkEnd w:id="2089"/>
    </w:p>
    <w:p w14:paraId="4673AB17">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我方承担保证责任的形式是代为支付。发包人未按主合同约定向你方支付工程款的，由我方在保证金额内代为支付。</w:t>
      </w:r>
    </w:p>
    <w:p w14:paraId="3267091F">
      <w:pPr>
        <w:spacing w:line="360" w:lineRule="auto"/>
        <w:ind w:firstLine="420" w:firstLineChars="200"/>
        <w:rPr>
          <w:rFonts w:ascii="宋体" w:hAnsi="宋体"/>
          <w:color w:val="auto"/>
          <w:szCs w:val="21"/>
          <w:highlight w:val="none"/>
        </w:rPr>
      </w:pPr>
      <w:bookmarkStart w:id="2090" w:name="_Toc532375695"/>
      <w:r>
        <w:rPr>
          <w:rFonts w:hint="eastAsia" w:ascii="宋体" w:hAnsi="宋体"/>
          <w:color w:val="auto"/>
          <w:szCs w:val="21"/>
          <w:highlight w:val="none"/>
        </w:rPr>
        <w:t>四、代偿的安排</w:t>
      </w:r>
      <w:bookmarkEnd w:id="2090"/>
    </w:p>
    <w:p w14:paraId="63ABCFA1">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 你方要求我方承担保证责任的，应向我方发出书面索赔通知及发包人未支付主合同约定工程款的证明材料。索赔通知应写明要求索赔的金额，支付款项应到达的账号。</w:t>
      </w:r>
    </w:p>
    <w:p w14:paraId="1C70FA1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在出现你方与发包人因工程质量发生争议，发包人拒绝向你方支付工程款的情形时，你方要求我方履行保证责任代为支付的，需提供符合相应条件要求的工程质量检测机构出具的质量说明材料。</w:t>
      </w:r>
    </w:p>
    <w:p w14:paraId="089F004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我方收到你方的书面索赔通知及相应的证明材料后７天内无条件支付。</w:t>
      </w:r>
    </w:p>
    <w:p w14:paraId="48E47B16">
      <w:pPr>
        <w:spacing w:line="360" w:lineRule="auto"/>
        <w:ind w:firstLine="420" w:firstLineChars="200"/>
        <w:rPr>
          <w:rFonts w:ascii="宋体" w:hAnsi="宋体"/>
          <w:color w:val="auto"/>
          <w:szCs w:val="21"/>
          <w:highlight w:val="none"/>
        </w:rPr>
      </w:pPr>
      <w:bookmarkStart w:id="2091" w:name="_Toc532375696"/>
      <w:r>
        <w:rPr>
          <w:rFonts w:hint="eastAsia" w:ascii="宋体" w:hAnsi="宋体"/>
          <w:color w:val="auto"/>
          <w:szCs w:val="21"/>
          <w:highlight w:val="none"/>
        </w:rPr>
        <w:t>五、保证责任的解除</w:t>
      </w:r>
      <w:bookmarkEnd w:id="2091"/>
    </w:p>
    <w:p w14:paraId="3A4B366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 在本保函承诺的保证期间内，你方未书面向我方主张保证责任的，自保证期间届满次日起，我方保证责任解除。</w:t>
      </w:r>
    </w:p>
    <w:p w14:paraId="4508A9A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发包人按主合同约定履行了工程款的全部支付义务的，自本保函承诺的保证期间届满次日起，我方保证责任解除。</w:t>
      </w:r>
    </w:p>
    <w:p w14:paraId="1851D301">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我方按照本保函向你方履行保证责任所支付金额达到本保函保证金额时，自我方向你方支付（支付款项从我方账户划出）之日起，保证责任即解除。</w:t>
      </w:r>
    </w:p>
    <w:p w14:paraId="6B865C5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 按照法律法规的规定或出现应解除我方保证责任的其他情形的，我方在本保函项下的保证责任亦解除。</w:t>
      </w:r>
    </w:p>
    <w:p w14:paraId="7F4AA85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 我方解除保证责任后，你方应自我方保证责任解除之日起  个工作日内，将本保函原件返还我方。</w:t>
      </w:r>
    </w:p>
    <w:p w14:paraId="64754CE0">
      <w:pPr>
        <w:spacing w:line="360" w:lineRule="auto"/>
        <w:ind w:firstLine="420" w:firstLineChars="200"/>
        <w:rPr>
          <w:rFonts w:ascii="宋体" w:hAnsi="宋体"/>
          <w:color w:val="auto"/>
          <w:szCs w:val="21"/>
          <w:highlight w:val="none"/>
        </w:rPr>
      </w:pPr>
      <w:bookmarkStart w:id="2092" w:name="_Toc532375697"/>
      <w:r>
        <w:rPr>
          <w:rFonts w:hint="eastAsia" w:ascii="宋体" w:hAnsi="宋体"/>
          <w:color w:val="auto"/>
          <w:szCs w:val="21"/>
          <w:highlight w:val="none"/>
        </w:rPr>
        <w:t>六、免责条款</w:t>
      </w:r>
      <w:bookmarkEnd w:id="2092"/>
    </w:p>
    <w:p w14:paraId="36CE3EB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 因你方违约致使发包人不能履行义务的，我方不承担保证责任。</w:t>
      </w:r>
    </w:p>
    <w:p w14:paraId="1C8FF311">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依照法律法规的规定或你方与发包人的另行约定，免除发包人部分或全部义务的，我方亦免除其相应的保证责任。</w:t>
      </w:r>
    </w:p>
    <w:p w14:paraId="1EFABB7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你方与发包人协议变更主合同的，如加重发包人责任致使我方保证责任加重的，需征得我方书面同意，否则我方不再承担因此而加重部分的保证责任，但主合同第10条〔变更〕约定的变更不受本款限制。</w:t>
      </w:r>
    </w:p>
    <w:p w14:paraId="3EEE36F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 因不可抗力造成发包人不能履行义务的，我方不承担保证责任。</w:t>
      </w:r>
    </w:p>
    <w:p w14:paraId="185DFFEB">
      <w:pPr>
        <w:spacing w:line="360" w:lineRule="auto"/>
        <w:ind w:firstLine="420" w:firstLineChars="200"/>
        <w:rPr>
          <w:rFonts w:ascii="宋体" w:hAnsi="宋体"/>
          <w:color w:val="auto"/>
          <w:szCs w:val="21"/>
          <w:highlight w:val="none"/>
        </w:rPr>
      </w:pPr>
      <w:bookmarkStart w:id="2093" w:name="_Toc532375698"/>
      <w:r>
        <w:rPr>
          <w:rFonts w:hint="eastAsia" w:ascii="宋体" w:hAnsi="宋体"/>
          <w:color w:val="auto"/>
          <w:szCs w:val="21"/>
          <w:highlight w:val="none"/>
        </w:rPr>
        <w:t>七、争议解决</w:t>
      </w:r>
      <w:bookmarkEnd w:id="2093"/>
    </w:p>
    <w:p w14:paraId="260922A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因本保函或本保函相关事项发生的纠纷，可由双方协商解决，协商不成的，按下列第</w:t>
      </w:r>
      <w:r>
        <w:rPr>
          <w:rFonts w:hint="eastAsia" w:ascii="宋体" w:hAnsi="宋体"/>
          <w:color w:val="auto"/>
          <w:szCs w:val="21"/>
          <w:highlight w:val="none"/>
          <w:u w:val="single"/>
        </w:rPr>
        <w:t xml:space="preserve">    </w:t>
      </w:r>
      <w:r>
        <w:rPr>
          <w:rFonts w:hint="eastAsia" w:ascii="宋体" w:hAnsi="宋体"/>
          <w:color w:val="auto"/>
          <w:szCs w:val="21"/>
          <w:highlight w:val="none"/>
        </w:rPr>
        <w:t>种方式解决：</w:t>
      </w:r>
    </w:p>
    <w:p w14:paraId="37F164D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（1）向</w:t>
      </w:r>
      <w:r>
        <w:rPr>
          <w:rFonts w:hint="eastAsia" w:ascii="宋体" w:hAnsi="宋体"/>
          <w:color w:val="auto"/>
          <w:szCs w:val="21"/>
          <w:highlight w:val="none"/>
          <w:u w:val="single"/>
        </w:rPr>
        <w:t xml:space="preserve">                     </w:t>
      </w:r>
      <w:r>
        <w:rPr>
          <w:rFonts w:hint="eastAsia" w:ascii="宋体" w:hAnsi="宋体"/>
          <w:color w:val="auto"/>
          <w:szCs w:val="21"/>
          <w:highlight w:val="none"/>
        </w:rPr>
        <w:t>仲裁委员会申请仲裁；</w:t>
      </w:r>
    </w:p>
    <w:p w14:paraId="1A89852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（2）向</w:t>
      </w:r>
      <w:r>
        <w:rPr>
          <w:rFonts w:hint="eastAsia" w:ascii="宋体" w:hAnsi="宋体"/>
          <w:color w:val="auto"/>
          <w:szCs w:val="21"/>
          <w:highlight w:val="none"/>
          <w:u w:val="single"/>
        </w:rPr>
        <w:t xml:space="preserve">                     </w:t>
      </w:r>
      <w:r>
        <w:rPr>
          <w:rFonts w:hint="eastAsia" w:ascii="宋体" w:hAnsi="宋体"/>
          <w:color w:val="auto"/>
          <w:szCs w:val="21"/>
          <w:highlight w:val="none"/>
        </w:rPr>
        <w:t>人民法院起诉。</w:t>
      </w:r>
    </w:p>
    <w:p w14:paraId="3879C259">
      <w:pPr>
        <w:spacing w:line="360" w:lineRule="auto"/>
        <w:ind w:firstLine="420" w:firstLineChars="200"/>
        <w:rPr>
          <w:rFonts w:ascii="宋体" w:hAnsi="宋体"/>
          <w:color w:val="auto"/>
          <w:szCs w:val="21"/>
          <w:highlight w:val="none"/>
        </w:rPr>
      </w:pPr>
      <w:bookmarkStart w:id="2094" w:name="_Toc532375699"/>
      <w:r>
        <w:rPr>
          <w:rFonts w:hint="eastAsia" w:ascii="宋体" w:hAnsi="宋体"/>
          <w:color w:val="auto"/>
          <w:szCs w:val="21"/>
          <w:highlight w:val="none"/>
        </w:rPr>
        <w:t>八、保函的生效</w:t>
      </w:r>
      <w:bookmarkEnd w:id="2094"/>
    </w:p>
    <w:p w14:paraId="09AA6DD3">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本保函自我方法定代表人（或其委托代理人）签字并加盖公章之日起生效。</w:t>
      </w:r>
    </w:p>
    <w:p w14:paraId="0DBFE5F1">
      <w:pPr>
        <w:spacing w:line="360" w:lineRule="auto"/>
        <w:ind w:right="600" w:firstLine="420" w:firstLineChars="200"/>
        <w:jc w:val="left"/>
        <w:rPr>
          <w:rFonts w:hint="eastAsia" w:ascii="宋体" w:hAnsi="宋体"/>
          <w:color w:val="auto"/>
          <w:szCs w:val="21"/>
          <w:highlight w:val="none"/>
        </w:rPr>
      </w:pPr>
    </w:p>
    <w:p w14:paraId="6D2784D9">
      <w:pPr>
        <w:spacing w:line="360" w:lineRule="auto"/>
        <w:ind w:right="600" w:firstLine="420" w:firstLineChars="200"/>
        <w:jc w:val="left"/>
        <w:rPr>
          <w:rFonts w:hint="eastAsia" w:ascii="宋体" w:hAnsi="宋体"/>
          <w:color w:val="auto"/>
          <w:szCs w:val="21"/>
          <w:highlight w:val="none"/>
        </w:rPr>
      </w:pPr>
    </w:p>
    <w:p w14:paraId="304E7BA2">
      <w:pPr>
        <w:spacing w:line="360" w:lineRule="auto"/>
        <w:ind w:right="600" w:firstLine="420" w:firstLineChars="200"/>
        <w:jc w:val="left"/>
        <w:rPr>
          <w:rFonts w:ascii="宋体" w:hAnsi="宋体"/>
          <w:color w:val="auto"/>
          <w:szCs w:val="21"/>
          <w:highlight w:val="none"/>
        </w:rPr>
      </w:pPr>
      <w:r>
        <w:rPr>
          <w:rFonts w:hint="eastAsia" w:ascii="宋体" w:hAnsi="宋体"/>
          <w:color w:val="auto"/>
          <w:szCs w:val="21"/>
          <w:highlight w:val="none"/>
        </w:rPr>
        <w:t>担保人：</w:t>
      </w:r>
      <w:r>
        <w:rPr>
          <w:rFonts w:hint="eastAsia" w:ascii="宋体" w:hAnsi="宋体"/>
          <w:color w:val="auto"/>
          <w:szCs w:val="21"/>
          <w:highlight w:val="none"/>
          <w:u w:val="single"/>
        </w:rPr>
        <w:t xml:space="preserve">                                   </w:t>
      </w:r>
      <w:r>
        <w:rPr>
          <w:rFonts w:hint="eastAsia" w:ascii="宋体" w:hAnsi="宋体"/>
          <w:color w:val="auto"/>
          <w:szCs w:val="21"/>
          <w:highlight w:val="none"/>
        </w:rPr>
        <w:t>（盖章）</w:t>
      </w:r>
    </w:p>
    <w:p w14:paraId="70C0139D">
      <w:pPr>
        <w:spacing w:line="360" w:lineRule="auto"/>
        <w:ind w:right="1200" w:firstLine="420" w:firstLineChars="200"/>
        <w:rPr>
          <w:rFonts w:ascii="宋体" w:hAnsi="宋体"/>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p>
    <w:p w14:paraId="795E2E6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地    址：</w:t>
      </w:r>
      <w:r>
        <w:rPr>
          <w:rFonts w:hint="eastAsia" w:ascii="宋体" w:hAnsi="宋体"/>
          <w:color w:val="auto"/>
          <w:szCs w:val="21"/>
          <w:highlight w:val="none"/>
          <w:u w:val="single"/>
        </w:rPr>
        <w:t xml:space="preserve">                                        </w:t>
      </w:r>
    </w:p>
    <w:p w14:paraId="7F38D2C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邮政编码：</w:t>
      </w:r>
      <w:r>
        <w:rPr>
          <w:rFonts w:hint="eastAsia" w:ascii="宋体" w:hAnsi="宋体"/>
          <w:color w:val="auto"/>
          <w:szCs w:val="21"/>
          <w:highlight w:val="none"/>
          <w:u w:val="single"/>
        </w:rPr>
        <w:t xml:space="preserve">                                        </w:t>
      </w:r>
    </w:p>
    <w:p w14:paraId="0C942F8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传    真：</w:t>
      </w:r>
      <w:r>
        <w:rPr>
          <w:rFonts w:hint="eastAsia" w:ascii="宋体" w:hAnsi="宋体"/>
          <w:color w:val="auto"/>
          <w:szCs w:val="21"/>
          <w:highlight w:val="none"/>
          <w:u w:val="single"/>
        </w:rPr>
        <w:t xml:space="preserve">                                        </w:t>
      </w:r>
    </w:p>
    <w:p w14:paraId="4AAA832F">
      <w:pPr>
        <w:widowControl/>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           </w:t>
      </w:r>
    </w:p>
    <w:p w14:paraId="35FD908F">
      <w:pPr>
        <w:widowControl/>
        <w:spacing w:line="360" w:lineRule="auto"/>
        <w:ind w:firstLine="420" w:firstLineChars="200"/>
        <w:jc w:val="right"/>
        <w:rPr>
          <w:rFonts w:ascii="宋体" w:hAnsi="宋体"/>
          <w:color w:val="auto"/>
          <w:szCs w:val="21"/>
          <w:highlight w:val="none"/>
        </w:rPr>
      </w:pPr>
      <w:r>
        <w:rPr>
          <w:rFonts w:hint="eastAsia" w:ascii="宋体" w:hAnsi="宋体"/>
          <w:color w:val="auto"/>
          <w:szCs w:val="21"/>
          <w:highlight w:val="none"/>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r>
        <w:rPr>
          <w:rFonts w:hint="eastAsia" w:ascii="宋体" w:hAnsi="宋体"/>
          <w:color w:val="auto"/>
          <w:szCs w:val="21"/>
          <w:highlight w:val="none"/>
        </w:rPr>
        <w:br w:type="page"/>
      </w:r>
    </w:p>
    <w:p w14:paraId="70ED482E">
      <w:pPr>
        <w:spacing w:line="480" w:lineRule="auto"/>
        <w:rPr>
          <w:rFonts w:ascii="宋体" w:hAnsi="宋体"/>
          <w:color w:val="auto"/>
          <w:szCs w:val="21"/>
          <w:highlight w:val="none"/>
        </w:rPr>
      </w:pPr>
      <w:r>
        <w:rPr>
          <w:rFonts w:hint="eastAsia" w:ascii="宋体" w:hAnsi="宋体"/>
          <w:color w:val="auto"/>
          <w:szCs w:val="21"/>
          <w:highlight w:val="none"/>
        </w:rPr>
        <w:t>附件7：</w:t>
      </w:r>
    </w:p>
    <w:p w14:paraId="22C37A36">
      <w:pPr>
        <w:spacing w:before="156" w:beforeLines="50" w:after="156" w:afterLines="50" w:line="480" w:lineRule="auto"/>
        <w:jc w:val="center"/>
        <w:rPr>
          <w:rFonts w:ascii="宋体" w:hAnsi="宋体"/>
          <w:color w:val="auto"/>
          <w:szCs w:val="21"/>
          <w:highlight w:val="none"/>
        </w:rPr>
      </w:pPr>
      <w:r>
        <w:rPr>
          <w:rFonts w:hint="eastAsia" w:ascii="宋体" w:hAnsi="宋体"/>
          <w:color w:val="auto"/>
          <w:szCs w:val="21"/>
          <w:highlight w:val="none"/>
        </w:rPr>
        <w:t>专业工程暂估价表</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79"/>
        <w:gridCol w:w="1984"/>
        <w:gridCol w:w="5103"/>
        <w:gridCol w:w="1560"/>
      </w:tblGrid>
      <w:tr w14:paraId="4251F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3E27D89B">
            <w:pPr>
              <w:spacing w:line="400" w:lineRule="exact"/>
              <w:jc w:val="center"/>
              <w:rPr>
                <w:rFonts w:ascii="宋体" w:hAnsi="宋体"/>
                <w:color w:val="auto"/>
                <w:szCs w:val="21"/>
                <w:highlight w:val="none"/>
              </w:rPr>
            </w:pPr>
            <w:r>
              <w:rPr>
                <w:rFonts w:hint="eastAsia" w:ascii="宋体" w:hAnsi="宋体"/>
                <w:color w:val="auto"/>
                <w:szCs w:val="21"/>
                <w:highlight w:val="none"/>
              </w:rPr>
              <w:t>序号</w:t>
            </w:r>
          </w:p>
        </w:tc>
        <w:tc>
          <w:tcPr>
            <w:tcW w:w="1984" w:type="dxa"/>
            <w:noWrap w:val="0"/>
            <w:vAlign w:val="top"/>
          </w:tcPr>
          <w:p w14:paraId="4CA1B9E2">
            <w:pPr>
              <w:spacing w:line="400" w:lineRule="exact"/>
              <w:jc w:val="center"/>
              <w:rPr>
                <w:rFonts w:ascii="宋体" w:hAnsi="宋体"/>
                <w:color w:val="auto"/>
                <w:szCs w:val="21"/>
                <w:highlight w:val="none"/>
              </w:rPr>
            </w:pPr>
            <w:r>
              <w:rPr>
                <w:rFonts w:hint="eastAsia" w:ascii="宋体" w:hAnsi="宋体"/>
                <w:color w:val="auto"/>
                <w:szCs w:val="21"/>
                <w:highlight w:val="none"/>
              </w:rPr>
              <w:t>专业工程名称</w:t>
            </w:r>
          </w:p>
        </w:tc>
        <w:tc>
          <w:tcPr>
            <w:tcW w:w="5103" w:type="dxa"/>
            <w:noWrap w:val="0"/>
            <w:vAlign w:val="top"/>
          </w:tcPr>
          <w:p w14:paraId="21D20CA0">
            <w:pPr>
              <w:spacing w:line="400" w:lineRule="exact"/>
              <w:jc w:val="center"/>
              <w:rPr>
                <w:rFonts w:ascii="宋体" w:hAnsi="宋体"/>
                <w:color w:val="auto"/>
                <w:szCs w:val="21"/>
                <w:highlight w:val="none"/>
              </w:rPr>
            </w:pPr>
            <w:r>
              <w:rPr>
                <w:rFonts w:hint="eastAsia" w:ascii="宋体" w:hAnsi="宋体"/>
                <w:color w:val="auto"/>
                <w:szCs w:val="21"/>
                <w:highlight w:val="none"/>
              </w:rPr>
              <w:t>工程内容</w:t>
            </w:r>
          </w:p>
        </w:tc>
        <w:tc>
          <w:tcPr>
            <w:tcW w:w="1560" w:type="dxa"/>
            <w:noWrap w:val="0"/>
            <w:vAlign w:val="top"/>
          </w:tcPr>
          <w:p w14:paraId="62EF8562">
            <w:pPr>
              <w:spacing w:line="400" w:lineRule="exact"/>
              <w:jc w:val="center"/>
              <w:rPr>
                <w:rFonts w:ascii="宋体" w:hAnsi="宋体"/>
                <w:color w:val="auto"/>
                <w:szCs w:val="21"/>
                <w:highlight w:val="none"/>
              </w:rPr>
            </w:pPr>
            <w:r>
              <w:rPr>
                <w:rFonts w:hint="eastAsia" w:ascii="宋体" w:hAnsi="宋体"/>
                <w:color w:val="auto"/>
                <w:szCs w:val="21"/>
                <w:highlight w:val="none"/>
              </w:rPr>
              <w:t>金额</w:t>
            </w:r>
          </w:p>
        </w:tc>
      </w:tr>
      <w:tr w14:paraId="62B40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3C29CA32">
            <w:pPr>
              <w:spacing w:line="400" w:lineRule="exact"/>
              <w:ind w:firstLine="420" w:firstLineChars="200"/>
              <w:rPr>
                <w:rFonts w:ascii="宋体" w:hAnsi="宋体"/>
                <w:color w:val="auto"/>
                <w:szCs w:val="21"/>
                <w:highlight w:val="none"/>
              </w:rPr>
            </w:pPr>
          </w:p>
        </w:tc>
        <w:tc>
          <w:tcPr>
            <w:tcW w:w="1984" w:type="dxa"/>
            <w:noWrap w:val="0"/>
            <w:vAlign w:val="top"/>
          </w:tcPr>
          <w:p w14:paraId="1E8093DB">
            <w:pPr>
              <w:spacing w:line="400" w:lineRule="exact"/>
              <w:ind w:firstLine="420" w:firstLineChars="200"/>
              <w:rPr>
                <w:rFonts w:ascii="宋体" w:hAnsi="宋体"/>
                <w:color w:val="auto"/>
                <w:szCs w:val="21"/>
                <w:highlight w:val="none"/>
              </w:rPr>
            </w:pPr>
          </w:p>
        </w:tc>
        <w:tc>
          <w:tcPr>
            <w:tcW w:w="5103" w:type="dxa"/>
            <w:noWrap w:val="0"/>
            <w:vAlign w:val="top"/>
          </w:tcPr>
          <w:p w14:paraId="689F9841">
            <w:pPr>
              <w:spacing w:line="400" w:lineRule="exact"/>
              <w:ind w:firstLine="420" w:firstLineChars="200"/>
              <w:rPr>
                <w:rFonts w:ascii="宋体" w:hAnsi="宋体"/>
                <w:color w:val="auto"/>
                <w:szCs w:val="21"/>
                <w:highlight w:val="none"/>
              </w:rPr>
            </w:pPr>
          </w:p>
        </w:tc>
        <w:tc>
          <w:tcPr>
            <w:tcW w:w="1560" w:type="dxa"/>
            <w:noWrap w:val="0"/>
            <w:vAlign w:val="top"/>
          </w:tcPr>
          <w:p w14:paraId="795FFF9C">
            <w:pPr>
              <w:spacing w:line="400" w:lineRule="exact"/>
              <w:ind w:firstLine="420" w:firstLineChars="200"/>
              <w:rPr>
                <w:rFonts w:ascii="宋体" w:hAnsi="宋体"/>
                <w:color w:val="auto"/>
                <w:szCs w:val="21"/>
                <w:highlight w:val="none"/>
              </w:rPr>
            </w:pPr>
          </w:p>
        </w:tc>
      </w:tr>
      <w:tr w14:paraId="19369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69C6A028">
            <w:pPr>
              <w:spacing w:line="400" w:lineRule="exact"/>
              <w:ind w:firstLine="420" w:firstLineChars="200"/>
              <w:rPr>
                <w:rFonts w:ascii="宋体" w:hAnsi="宋体"/>
                <w:color w:val="auto"/>
                <w:szCs w:val="21"/>
                <w:highlight w:val="none"/>
              </w:rPr>
            </w:pPr>
          </w:p>
        </w:tc>
        <w:tc>
          <w:tcPr>
            <w:tcW w:w="1984" w:type="dxa"/>
            <w:noWrap w:val="0"/>
            <w:vAlign w:val="top"/>
          </w:tcPr>
          <w:p w14:paraId="3EB5048E">
            <w:pPr>
              <w:spacing w:line="400" w:lineRule="exact"/>
              <w:ind w:firstLine="420" w:firstLineChars="200"/>
              <w:rPr>
                <w:rFonts w:ascii="宋体" w:hAnsi="宋体"/>
                <w:color w:val="auto"/>
                <w:szCs w:val="21"/>
                <w:highlight w:val="none"/>
              </w:rPr>
            </w:pPr>
          </w:p>
        </w:tc>
        <w:tc>
          <w:tcPr>
            <w:tcW w:w="5103" w:type="dxa"/>
            <w:noWrap w:val="0"/>
            <w:vAlign w:val="top"/>
          </w:tcPr>
          <w:p w14:paraId="22939821">
            <w:pPr>
              <w:spacing w:line="400" w:lineRule="exact"/>
              <w:ind w:firstLine="420" w:firstLineChars="200"/>
              <w:rPr>
                <w:rFonts w:ascii="宋体" w:hAnsi="宋体"/>
                <w:color w:val="auto"/>
                <w:szCs w:val="21"/>
                <w:highlight w:val="none"/>
              </w:rPr>
            </w:pPr>
          </w:p>
        </w:tc>
        <w:tc>
          <w:tcPr>
            <w:tcW w:w="1560" w:type="dxa"/>
            <w:noWrap w:val="0"/>
            <w:vAlign w:val="top"/>
          </w:tcPr>
          <w:p w14:paraId="774CFAF1">
            <w:pPr>
              <w:spacing w:line="400" w:lineRule="exact"/>
              <w:ind w:firstLine="420" w:firstLineChars="200"/>
              <w:rPr>
                <w:rFonts w:ascii="宋体" w:hAnsi="宋体"/>
                <w:color w:val="auto"/>
                <w:szCs w:val="21"/>
                <w:highlight w:val="none"/>
              </w:rPr>
            </w:pPr>
          </w:p>
        </w:tc>
      </w:tr>
      <w:tr w14:paraId="67BC2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3E7D8457">
            <w:pPr>
              <w:spacing w:line="400" w:lineRule="exact"/>
              <w:ind w:firstLine="420" w:firstLineChars="200"/>
              <w:rPr>
                <w:rFonts w:ascii="宋体" w:hAnsi="宋体"/>
                <w:color w:val="auto"/>
                <w:szCs w:val="21"/>
                <w:highlight w:val="none"/>
              </w:rPr>
            </w:pPr>
          </w:p>
        </w:tc>
        <w:tc>
          <w:tcPr>
            <w:tcW w:w="1984" w:type="dxa"/>
            <w:noWrap w:val="0"/>
            <w:vAlign w:val="top"/>
          </w:tcPr>
          <w:p w14:paraId="03338081">
            <w:pPr>
              <w:spacing w:line="400" w:lineRule="exact"/>
              <w:ind w:firstLine="420" w:firstLineChars="200"/>
              <w:rPr>
                <w:rFonts w:ascii="宋体" w:hAnsi="宋体"/>
                <w:color w:val="auto"/>
                <w:szCs w:val="21"/>
                <w:highlight w:val="none"/>
              </w:rPr>
            </w:pPr>
          </w:p>
        </w:tc>
        <w:tc>
          <w:tcPr>
            <w:tcW w:w="5103" w:type="dxa"/>
            <w:noWrap w:val="0"/>
            <w:vAlign w:val="top"/>
          </w:tcPr>
          <w:p w14:paraId="68FA73F3">
            <w:pPr>
              <w:spacing w:line="400" w:lineRule="exact"/>
              <w:ind w:firstLine="420" w:firstLineChars="200"/>
              <w:rPr>
                <w:rFonts w:ascii="宋体" w:hAnsi="宋体"/>
                <w:color w:val="auto"/>
                <w:szCs w:val="21"/>
                <w:highlight w:val="none"/>
              </w:rPr>
            </w:pPr>
          </w:p>
        </w:tc>
        <w:tc>
          <w:tcPr>
            <w:tcW w:w="1560" w:type="dxa"/>
            <w:noWrap w:val="0"/>
            <w:vAlign w:val="top"/>
          </w:tcPr>
          <w:p w14:paraId="33B59247">
            <w:pPr>
              <w:spacing w:line="400" w:lineRule="exact"/>
              <w:ind w:firstLine="420" w:firstLineChars="200"/>
              <w:rPr>
                <w:rFonts w:ascii="宋体" w:hAnsi="宋体"/>
                <w:color w:val="auto"/>
                <w:szCs w:val="21"/>
                <w:highlight w:val="none"/>
              </w:rPr>
            </w:pPr>
          </w:p>
        </w:tc>
      </w:tr>
      <w:tr w14:paraId="409C9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3E2B0363">
            <w:pPr>
              <w:spacing w:line="400" w:lineRule="exact"/>
              <w:ind w:firstLine="420" w:firstLineChars="200"/>
              <w:rPr>
                <w:rFonts w:ascii="宋体" w:hAnsi="宋体"/>
                <w:color w:val="auto"/>
                <w:szCs w:val="21"/>
                <w:highlight w:val="none"/>
              </w:rPr>
            </w:pPr>
          </w:p>
        </w:tc>
        <w:tc>
          <w:tcPr>
            <w:tcW w:w="1984" w:type="dxa"/>
            <w:noWrap w:val="0"/>
            <w:vAlign w:val="top"/>
          </w:tcPr>
          <w:p w14:paraId="196742B3">
            <w:pPr>
              <w:spacing w:line="400" w:lineRule="exact"/>
              <w:ind w:firstLine="420" w:firstLineChars="200"/>
              <w:rPr>
                <w:rFonts w:ascii="宋体" w:hAnsi="宋体"/>
                <w:color w:val="auto"/>
                <w:szCs w:val="21"/>
                <w:highlight w:val="none"/>
              </w:rPr>
            </w:pPr>
          </w:p>
        </w:tc>
        <w:tc>
          <w:tcPr>
            <w:tcW w:w="5103" w:type="dxa"/>
            <w:noWrap w:val="0"/>
            <w:vAlign w:val="top"/>
          </w:tcPr>
          <w:p w14:paraId="4695EA73">
            <w:pPr>
              <w:spacing w:line="400" w:lineRule="exact"/>
              <w:ind w:firstLine="420" w:firstLineChars="200"/>
              <w:rPr>
                <w:rFonts w:ascii="宋体" w:hAnsi="宋体"/>
                <w:color w:val="auto"/>
                <w:szCs w:val="21"/>
                <w:highlight w:val="none"/>
              </w:rPr>
            </w:pPr>
          </w:p>
        </w:tc>
        <w:tc>
          <w:tcPr>
            <w:tcW w:w="1560" w:type="dxa"/>
            <w:noWrap w:val="0"/>
            <w:vAlign w:val="top"/>
          </w:tcPr>
          <w:p w14:paraId="3B648DC6">
            <w:pPr>
              <w:spacing w:line="400" w:lineRule="exact"/>
              <w:ind w:firstLine="420" w:firstLineChars="200"/>
              <w:rPr>
                <w:rFonts w:ascii="宋体" w:hAnsi="宋体"/>
                <w:color w:val="auto"/>
                <w:szCs w:val="21"/>
                <w:highlight w:val="none"/>
              </w:rPr>
            </w:pPr>
          </w:p>
        </w:tc>
      </w:tr>
      <w:tr w14:paraId="7C321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47463E31">
            <w:pPr>
              <w:spacing w:line="400" w:lineRule="exact"/>
              <w:ind w:firstLine="420" w:firstLineChars="200"/>
              <w:rPr>
                <w:rFonts w:ascii="宋体" w:hAnsi="宋体"/>
                <w:color w:val="auto"/>
                <w:szCs w:val="21"/>
                <w:highlight w:val="none"/>
              </w:rPr>
            </w:pPr>
          </w:p>
        </w:tc>
        <w:tc>
          <w:tcPr>
            <w:tcW w:w="1984" w:type="dxa"/>
            <w:noWrap w:val="0"/>
            <w:vAlign w:val="top"/>
          </w:tcPr>
          <w:p w14:paraId="193F95B6">
            <w:pPr>
              <w:spacing w:line="400" w:lineRule="exact"/>
              <w:ind w:firstLine="420" w:firstLineChars="200"/>
              <w:rPr>
                <w:rFonts w:ascii="宋体" w:hAnsi="宋体"/>
                <w:color w:val="auto"/>
                <w:szCs w:val="21"/>
                <w:highlight w:val="none"/>
              </w:rPr>
            </w:pPr>
          </w:p>
        </w:tc>
        <w:tc>
          <w:tcPr>
            <w:tcW w:w="5103" w:type="dxa"/>
            <w:noWrap w:val="0"/>
            <w:vAlign w:val="top"/>
          </w:tcPr>
          <w:p w14:paraId="36E64B88">
            <w:pPr>
              <w:spacing w:line="400" w:lineRule="exact"/>
              <w:ind w:firstLine="420" w:firstLineChars="200"/>
              <w:rPr>
                <w:rFonts w:ascii="宋体" w:hAnsi="宋体"/>
                <w:color w:val="auto"/>
                <w:szCs w:val="21"/>
                <w:highlight w:val="none"/>
              </w:rPr>
            </w:pPr>
          </w:p>
        </w:tc>
        <w:tc>
          <w:tcPr>
            <w:tcW w:w="1560" w:type="dxa"/>
            <w:noWrap w:val="0"/>
            <w:vAlign w:val="top"/>
          </w:tcPr>
          <w:p w14:paraId="480BFAA2">
            <w:pPr>
              <w:spacing w:line="400" w:lineRule="exact"/>
              <w:ind w:firstLine="420" w:firstLineChars="200"/>
              <w:rPr>
                <w:rFonts w:ascii="宋体" w:hAnsi="宋体"/>
                <w:color w:val="auto"/>
                <w:szCs w:val="21"/>
                <w:highlight w:val="none"/>
              </w:rPr>
            </w:pPr>
          </w:p>
        </w:tc>
      </w:tr>
      <w:tr w14:paraId="7F5F3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1968C6BB">
            <w:pPr>
              <w:spacing w:line="400" w:lineRule="exact"/>
              <w:ind w:firstLine="420" w:firstLineChars="200"/>
              <w:rPr>
                <w:rFonts w:ascii="宋体" w:hAnsi="宋体"/>
                <w:color w:val="auto"/>
                <w:szCs w:val="21"/>
                <w:highlight w:val="none"/>
              </w:rPr>
            </w:pPr>
          </w:p>
        </w:tc>
        <w:tc>
          <w:tcPr>
            <w:tcW w:w="1984" w:type="dxa"/>
            <w:noWrap w:val="0"/>
            <w:vAlign w:val="top"/>
          </w:tcPr>
          <w:p w14:paraId="21D50A49">
            <w:pPr>
              <w:spacing w:line="400" w:lineRule="exact"/>
              <w:ind w:firstLine="420" w:firstLineChars="200"/>
              <w:rPr>
                <w:rFonts w:ascii="宋体" w:hAnsi="宋体"/>
                <w:color w:val="auto"/>
                <w:szCs w:val="21"/>
                <w:highlight w:val="none"/>
              </w:rPr>
            </w:pPr>
          </w:p>
        </w:tc>
        <w:tc>
          <w:tcPr>
            <w:tcW w:w="5103" w:type="dxa"/>
            <w:noWrap w:val="0"/>
            <w:vAlign w:val="top"/>
          </w:tcPr>
          <w:p w14:paraId="762B77EE">
            <w:pPr>
              <w:spacing w:line="400" w:lineRule="exact"/>
              <w:ind w:firstLine="420" w:firstLineChars="200"/>
              <w:rPr>
                <w:rFonts w:ascii="宋体" w:hAnsi="宋体"/>
                <w:color w:val="auto"/>
                <w:szCs w:val="21"/>
                <w:highlight w:val="none"/>
              </w:rPr>
            </w:pPr>
          </w:p>
        </w:tc>
        <w:tc>
          <w:tcPr>
            <w:tcW w:w="1560" w:type="dxa"/>
            <w:noWrap w:val="0"/>
            <w:vAlign w:val="top"/>
          </w:tcPr>
          <w:p w14:paraId="685DE216">
            <w:pPr>
              <w:spacing w:line="400" w:lineRule="exact"/>
              <w:ind w:firstLine="420" w:firstLineChars="200"/>
              <w:rPr>
                <w:rFonts w:ascii="宋体" w:hAnsi="宋体"/>
                <w:color w:val="auto"/>
                <w:szCs w:val="21"/>
                <w:highlight w:val="none"/>
              </w:rPr>
            </w:pPr>
          </w:p>
        </w:tc>
      </w:tr>
      <w:tr w14:paraId="4A153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4CF2E656">
            <w:pPr>
              <w:spacing w:line="400" w:lineRule="exact"/>
              <w:ind w:firstLine="420" w:firstLineChars="200"/>
              <w:rPr>
                <w:rFonts w:ascii="宋体" w:hAnsi="宋体"/>
                <w:color w:val="auto"/>
                <w:szCs w:val="21"/>
                <w:highlight w:val="none"/>
              </w:rPr>
            </w:pPr>
          </w:p>
        </w:tc>
        <w:tc>
          <w:tcPr>
            <w:tcW w:w="1984" w:type="dxa"/>
            <w:noWrap w:val="0"/>
            <w:vAlign w:val="top"/>
          </w:tcPr>
          <w:p w14:paraId="6D8E1F2C">
            <w:pPr>
              <w:spacing w:line="400" w:lineRule="exact"/>
              <w:ind w:firstLine="420" w:firstLineChars="200"/>
              <w:rPr>
                <w:rFonts w:ascii="宋体" w:hAnsi="宋体"/>
                <w:color w:val="auto"/>
                <w:szCs w:val="21"/>
                <w:highlight w:val="none"/>
              </w:rPr>
            </w:pPr>
          </w:p>
        </w:tc>
        <w:tc>
          <w:tcPr>
            <w:tcW w:w="5103" w:type="dxa"/>
            <w:noWrap w:val="0"/>
            <w:vAlign w:val="top"/>
          </w:tcPr>
          <w:p w14:paraId="64AC9D9C">
            <w:pPr>
              <w:spacing w:line="400" w:lineRule="exact"/>
              <w:ind w:firstLine="420" w:firstLineChars="200"/>
              <w:rPr>
                <w:rFonts w:ascii="宋体" w:hAnsi="宋体"/>
                <w:color w:val="auto"/>
                <w:szCs w:val="21"/>
                <w:highlight w:val="none"/>
              </w:rPr>
            </w:pPr>
          </w:p>
        </w:tc>
        <w:tc>
          <w:tcPr>
            <w:tcW w:w="1560" w:type="dxa"/>
            <w:noWrap w:val="0"/>
            <w:vAlign w:val="top"/>
          </w:tcPr>
          <w:p w14:paraId="235D55DF">
            <w:pPr>
              <w:spacing w:line="400" w:lineRule="exact"/>
              <w:ind w:firstLine="420" w:firstLineChars="200"/>
              <w:rPr>
                <w:rFonts w:ascii="宋体" w:hAnsi="宋体"/>
                <w:color w:val="auto"/>
                <w:szCs w:val="21"/>
                <w:highlight w:val="none"/>
              </w:rPr>
            </w:pPr>
          </w:p>
        </w:tc>
      </w:tr>
      <w:tr w14:paraId="44DEF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1FE84712">
            <w:pPr>
              <w:spacing w:line="400" w:lineRule="exact"/>
              <w:ind w:firstLine="420" w:firstLineChars="200"/>
              <w:rPr>
                <w:rFonts w:ascii="宋体" w:hAnsi="宋体"/>
                <w:color w:val="auto"/>
                <w:szCs w:val="21"/>
                <w:highlight w:val="none"/>
              </w:rPr>
            </w:pPr>
          </w:p>
        </w:tc>
        <w:tc>
          <w:tcPr>
            <w:tcW w:w="1984" w:type="dxa"/>
            <w:noWrap w:val="0"/>
            <w:vAlign w:val="top"/>
          </w:tcPr>
          <w:p w14:paraId="7767ED41">
            <w:pPr>
              <w:spacing w:line="400" w:lineRule="exact"/>
              <w:ind w:firstLine="420" w:firstLineChars="200"/>
              <w:rPr>
                <w:rFonts w:ascii="宋体" w:hAnsi="宋体"/>
                <w:color w:val="auto"/>
                <w:szCs w:val="21"/>
                <w:highlight w:val="none"/>
              </w:rPr>
            </w:pPr>
          </w:p>
        </w:tc>
        <w:tc>
          <w:tcPr>
            <w:tcW w:w="5103" w:type="dxa"/>
            <w:noWrap w:val="0"/>
            <w:vAlign w:val="top"/>
          </w:tcPr>
          <w:p w14:paraId="4535ACB0">
            <w:pPr>
              <w:spacing w:line="400" w:lineRule="exact"/>
              <w:ind w:firstLine="420" w:firstLineChars="200"/>
              <w:rPr>
                <w:rFonts w:ascii="宋体" w:hAnsi="宋体"/>
                <w:color w:val="auto"/>
                <w:szCs w:val="21"/>
                <w:highlight w:val="none"/>
              </w:rPr>
            </w:pPr>
          </w:p>
        </w:tc>
        <w:tc>
          <w:tcPr>
            <w:tcW w:w="1560" w:type="dxa"/>
            <w:noWrap w:val="0"/>
            <w:vAlign w:val="top"/>
          </w:tcPr>
          <w:p w14:paraId="13544813">
            <w:pPr>
              <w:spacing w:line="400" w:lineRule="exact"/>
              <w:ind w:firstLine="420" w:firstLineChars="200"/>
              <w:rPr>
                <w:rFonts w:ascii="宋体" w:hAnsi="宋体"/>
                <w:color w:val="auto"/>
                <w:szCs w:val="21"/>
                <w:highlight w:val="none"/>
              </w:rPr>
            </w:pPr>
          </w:p>
        </w:tc>
      </w:tr>
      <w:tr w14:paraId="1DB2C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28D678D4">
            <w:pPr>
              <w:spacing w:line="400" w:lineRule="exact"/>
              <w:ind w:firstLine="420" w:firstLineChars="200"/>
              <w:rPr>
                <w:rFonts w:ascii="宋体" w:hAnsi="宋体"/>
                <w:color w:val="auto"/>
                <w:szCs w:val="21"/>
                <w:highlight w:val="none"/>
              </w:rPr>
            </w:pPr>
          </w:p>
        </w:tc>
        <w:tc>
          <w:tcPr>
            <w:tcW w:w="1984" w:type="dxa"/>
            <w:noWrap w:val="0"/>
            <w:vAlign w:val="top"/>
          </w:tcPr>
          <w:p w14:paraId="138B792D">
            <w:pPr>
              <w:spacing w:line="400" w:lineRule="exact"/>
              <w:ind w:firstLine="420" w:firstLineChars="200"/>
              <w:rPr>
                <w:rFonts w:ascii="宋体" w:hAnsi="宋体"/>
                <w:color w:val="auto"/>
                <w:szCs w:val="21"/>
                <w:highlight w:val="none"/>
              </w:rPr>
            </w:pPr>
          </w:p>
        </w:tc>
        <w:tc>
          <w:tcPr>
            <w:tcW w:w="5103" w:type="dxa"/>
            <w:noWrap w:val="0"/>
            <w:vAlign w:val="top"/>
          </w:tcPr>
          <w:p w14:paraId="3F49CCEF">
            <w:pPr>
              <w:spacing w:line="400" w:lineRule="exact"/>
              <w:ind w:firstLine="420" w:firstLineChars="200"/>
              <w:rPr>
                <w:rFonts w:ascii="宋体" w:hAnsi="宋体"/>
                <w:color w:val="auto"/>
                <w:szCs w:val="21"/>
                <w:highlight w:val="none"/>
              </w:rPr>
            </w:pPr>
          </w:p>
        </w:tc>
        <w:tc>
          <w:tcPr>
            <w:tcW w:w="1560" w:type="dxa"/>
            <w:noWrap w:val="0"/>
            <w:vAlign w:val="top"/>
          </w:tcPr>
          <w:p w14:paraId="45624C6A">
            <w:pPr>
              <w:spacing w:line="400" w:lineRule="exact"/>
              <w:ind w:firstLine="420" w:firstLineChars="200"/>
              <w:rPr>
                <w:rFonts w:ascii="宋体" w:hAnsi="宋体"/>
                <w:color w:val="auto"/>
                <w:szCs w:val="21"/>
                <w:highlight w:val="none"/>
              </w:rPr>
            </w:pPr>
          </w:p>
        </w:tc>
      </w:tr>
      <w:tr w14:paraId="6704B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134B56FB">
            <w:pPr>
              <w:spacing w:line="400" w:lineRule="exact"/>
              <w:ind w:firstLine="420" w:firstLineChars="200"/>
              <w:rPr>
                <w:rFonts w:ascii="宋体" w:hAnsi="宋体"/>
                <w:color w:val="auto"/>
                <w:szCs w:val="21"/>
                <w:highlight w:val="none"/>
              </w:rPr>
            </w:pPr>
          </w:p>
        </w:tc>
        <w:tc>
          <w:tcPr>
            <w:tcW w:w="1984" w:type="dxa"/>
            <w:noWrap w:val="0"/>
            <w:vAlign w:val="top"/>
          </w:tcPr>
          <w:p w14:paraId="20641A30">
            <w:pPr>
              <w:spacing w:line="400" w:lineRule="exact"/>
              <w:ind w:firstLine="420" w:firstLineChars="200"/>
              <w:rPr>
                <w:rFonts w:ascii="宋体" w:hAnsi="宋体"/>
                <w:color w:val="auto"/>
                <w:szCs w:val="21"/>
                <w:highlight w:val="none"/>
              </w:rPr>
            </w:pPr>
          </w:p>
        </w:tc>
        <w:tc>
          <w:tcPr>
            <w:tcW w:w="5103" w:type="dxa"/>
            <w:noWrap w:val="0"/>
            <w:vAlign w:val="top"/>
          </w:tcPr>
          <w:p w14:paraId="6EE2B1E0">
            <w:pPr>
              <w:spacing w:line="400" w:lineRule="exact"/>
              <w:ind w:firstLine="420" w:firstLineChars="200"/>
              <w:rPr>
                <w:rFonts w:ascii="宋体" w:hAnsi="宋体"/>
                <w:color w:val="auto"/>
                <w:szCs w:val="21"/>
                <w:highlight w:val="none"/>
              </w:rPr>
            </w:pPr>
          </w:p>
        </w:tc>
        <w:tc>
          <w:tcPr>
            <w:tcW w:w="1560" w:type="dxa"/>
            <w:noWrap w:val="0"/>
            <w:vAlign w:val="top"/>
          </w:tcPr>
          <w:p w14:paraId="2E968E9D">
            <w:pPr>
              <w:spacing w:line="400" w:lineRule="exact"/>
              <w:ind w:firstLine="420" w:firstLineChars="200"/>
              <w:rPr>
                <w:rFonts w:ascii="宋体" w:hAnsi="宋体"/>
                <w:color w:val="auto"/>
                <w:szCs w:val="21"/>
                <w:highlight w:val="none"/>
              </w:rPr>
            </w:pPr>
          </w:p>
        </w:tc>
      </w:tr>
      <w:tr w14:paraId="586FE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00FFBF6D">
            <w:pPr>
              <w:spacing w:line="400" w:lineRule="exact"/>
              <w:ind w:firstLine="420" w:firstLineChars="200"/>
              <w:rPr>
                <w:rFonts w:ascii="宋体" w:hAnsi="宋体"/>
                <w:color w:val="auto"/>
                <w:szCs w:val="21"/>
                <w:highlight w:val="none"/>
              </w:rPr>
            </w:pPr>
          </w:p>
        </w:tc>
        <w:tc>
          <w:tcPr>
            <w:tcW w:w="1984" w:type="dxa"/>
            <w:noWrap w:val="0"/>
            <w:vAlign w:val="top"/>
          </w:tcPr>
          <w:p w14:paraId="486790CA">
            <w:pPr>
              <w:spacing w:line="400" w:lineRule="exact"/>
              <w:ind w:firstLine="420" w:firstLineChars="200"/>
              <w:rPr>
                <w:rFonts w:ascii="宋体" w:hAnsi="宋体"/>
                <w:color w:val="auto"/>
                <w:szCs w:val="21"/>
                <w:highlight w:val="none"/>
              </w:rPr>
            </w:pPr>
          </w:p>
        </w:tc>
        <w:tc>
          <w:tcPr>
            <w:tcW w:w="5103" w:type="dxa"/>
            <w:noWrap w:val="0"/>
            <w:vAlign w:val="top"/>
          </w:tcPr>
          <w:p w14:paraId="78923899">
            <w:pPr>
              <w:spacing w:line="400" w:lineRule="exact"/>
              <w:ind w:firstLine="420" w:firstLineChars="200"/>
              <w:rPr>
                <w:rFonts w:ascii="宋体" w:hAnsi="宋体"/>
                <w:color w:val="auto"/>
                <w:szCs w:val="21"/>
                <w:highlight w:val="none"/>
              </w:rPr>
            </w:pPr>
          </w:p>
        </w:tc>
        <w:tc>
          <w:tcPr>
            <w:tcW w:w="1560" w:type="dxa"/>
            <w:noWrap w:val="0"/>
            <w:vAlign w:val="top"/>
          </w:tcPr>
          <w:p w14:paraId="15C13BA3">
            <w:pPr>
              <w:spacing w:line="400" w:lineRule="exact"/>
              <w:ind w:firstLine="420" w:firstLineChars="200"/>
              <w:rPr>
                <w:rFonts w:ascii="宋体" w:hAnsi="宋体"/>
                <w:color w:val="auto"/>
                <w:szCs w:val="21"/>
                <w:highlight w:val="none"/>
              </w:rPr>
            </w:pPr>
          </w:p>
        </w:tc>
      </w:tr>
      <w:tr w14:paraId="6C530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0125E449">
            <w:pPr>
              <w:spacing w:line="400" w:lineRule="exact"/>
              <w:ind w:firstLine="420" w:firstLineChars="200"/>
              <w:rPr>
                <w:rFonts w:ascii="宋体" w:hAnsi="宋体"/>
                <w:color w:val="auto"/>
                <w:szCs w:val="21"/>
                <w:highlight w:val="none"/>
              </w:rPr>
            </w:pPr>
          </w:p>
        </w:tc>
        <w:tc>
          <w:tcPr>
            <w:tcW w:w="1984" w:type="dxa"/>
            <w:noWrap w:val="0"/>
            <w:vAlign w:val="top"/>
          </w:tcPr>
          <w:p w14:paraId="192B9DF7">
            <w:pPr>
              <w:spacing w:line="400" w:lineRule="exact"/>
              <w:ind w:firstLine="420" w:firstLineChars="200"/>
              <w:rPr>
                <w:rFonts w:ascii="宋体" w:hAnsi="宋体"/>
                <w:color w:val="auto"/>
                <w:szCs w:val="21"/>
                <w:highlight w:val="none"/>
              </w:rPr>
            </w:pPr>
          </w:p>
        </w:tc>
        <w:tc>
          <w:tcPr>
            <w:tcW w:w="5103" w:type="dxa"/>
            <w:noWrap w:val="0"/>
            <w:vAlign w:val="top"/>
          </w:tcPr>
          <w:p w14:paraId="46672050">
            <w:pPr>
              <w:spacing w:line="400" w:lineRule="exact"/>
              <w:ind w:firstLine="420" w:firstLineChars="200"/>
              <w:rPr>
                <w:rFonts w:ascii="宋体" w:hAnsi="宋体"/>
                <w:color w:val="auto"/>
                <w:szCs w:val="21"/>
                <w:highlight w:val="none"/>
              </w:rPr>
            </w:pPr>
          </w:p>
        </w:tc>
        <w:tc>
          <w:tcPr>
            <w:tcW w:w="1560" w:type="dxa"/>
            <w:noWrap w:val="0"/>
            <w:vAlign w:val="top"/>
          </w:tcPr>
          <w:p w14:paraId="6ECDF582">
            <w:pPr>
              <w:spacing w:line="400" w:lineRule="exact"/>
              <w:ind w:firstLine="420" w:firstLineChars="200"/>
              <w:rPr>
                <w:rFonts w:ascii="宋体" w:hAnsi="宋体"/>
                <w:color w:val="auto"/>
                <w:szCs w:val="21"/>
                <w:highlight w:val="none"/>
              </w:rPr>
            </w:pPr>
          </w:p>
        </w:tc>
      </w:tr>
      <w:tr w14:paraId="7386C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6519BDC3">
            <w:pPr>
              <w:spacing w:line="400" w:lineRule="exact"/>
              <w:ind w:firstLine="420" w:firstLineChars="200"/>
              <w:rPr>
                <w:rFonts w:ascii="宋体" w:hAnsi="宋体"/>
                <w:color w:val="auto"/>
                <w:szCs w:val="21"/>
                <w:highlight w:val="none"/>
              </w:rPr>
            </w:pPr>
          </w:p>
        </w:tc>
        <w:tc>
          <w:tcPr>
            <w:tcW w:w="1984" w:type="dxa"/>
            <w:noWrap w:val="0"/>
            <w:vAlign w:val="top"/>
          </w:tcPr>
          <w:p w14:paraId="64F788D1">
            <w:pPr>
              <w:spacing w:line="400" w:lineRule="exact"/>
              <w:ind w:firstLine="420" w:firstLineChars="200"/>
              <w:rPr>
                <w:rFonts w:ascii="宋体" w:hAnsi="宋体"/>
                <w:color w:val="auto"/>
                <w:szCs w:val="21"/>
                <w:highlight w:val="none"/>
              </w:rPr>
            </w:pPr>
          </w:p>
        </w:tc>
        <w:tc>
          <w:tcPr>
            <w:tcW w:w="5103" w:type="dxa"/>
            <w:noWrap w:val="0"/>
            <w:vAlign w:val="top"/>
          </w:tcPr>
          <w:p w14:paraId="7CF7684F">
            <w:pPr>
              <w:spacing w:line="400" w:lineRule="exact"/>
              <w:ind w:firstLine="420" w:firstLineChars="200"/>
              <w:rPr>
                <w:rFonts w:ascii="宋体" w:hAnsi="宋体"/>
                <w:color w:val="auto"/>
                <w:szCs w:val="21"/>
                <w:highlight w:val="none"/>
              </w:rPr>
            </w:pPr>
          </w:p>
        </w:tc>
        <w:tc>
          <w:tcPr>
            <w:tcW w:w="1560" w:type="dxa"/>
            <w:noWrap w:val="0"/>
            <w:vAlign w:val="top"/>
          </w:tcPr>
          <w:p w14:paraId="10A401CF">
            <w:pPr>
              <w:spacing w:line="400" w:lineRule="exact"/>
              <w:ind w:firstLine="420" w:firstLineChars="200"/>
              <w:rPr>
                <w:rFonts w:ascii="宋体" w:hAnsi="宋体"/>
                <w:color w:val="auto"/>
                <w:szCs w:val="21"/>
                <w:highlight w:val="none"/>
              </w:rPr>
            </w:pPr>
          </w:p>
        </w:tc>
      </w:tr>
      <w:tr w14:paraId="17933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65F88211">
            <w:pPr>
              <w:spacing w:line="400" w:lineRule="exact"/>
              <w:ind w:firstLine="420" w:firstLineChars="200"/>
              <w:rPr>
                <w:rFonts w:ascii="宋体" w:hAnsi="宋体"/>
                <w:color w:val="auto"/>
                <w:szCs w:val="21"/>
                <w:highlight w:val="none"/>
              </w:rPr>
            </w:pPr>
          </w:p>
        </w:tc>
        <w:tc>
          <w:tcPr>
            <w:tcW w:w="1984" w:type="dxa"/>
            <w:noWrap w:val="0"/>
            <w:vAlign w:val="top"/>
          </w:tcPr>
          <w:p w14:paraId="25E8EF6F">
            <w:pPr>
              <w:spacing w:line="400" w:lineRule="exact"/>
              <w:ind w:firstLine="420" w:firstLineChars="200"/>
              <w:rPr>
                <w:rFonts w:ascii="宋体" w:hAnsi="宋体"/>
                <w:color w:val="auto"/>
                <w:szCs w:val="21"/>
                <w:highlight w:val="none"/>
              </w:rPr>
            </w:pPr>
          </w:p>
        </w:tc>
        <w:tc>
          <w:tcPr>
            <w:tcW w:w="5103" w:type="dxa"/>
            <w:noWrap w:val="0"/>
            <w:vAlign w:val="top"/>
          </w:tcPr>
          <w:p w14:paraId="4039E20C">
            <w:pPr>
              <w:spacing w:line="400" w:lineRule="exact"/>
              <w:ind w:firstLine="420" w:firstLineChars="200"/>
              <w:rPr>
                <w:rFonts w:ascii="宋体" w:hAnsi="宋体"/>
                <w:color w:val="auto"/>
                <w:szCs w:val="21"/>
                <w:highlight w:val="none"/>
              </w:rPr>
            </w:pPr>
          </w:p>
        </w:tc>
        <w:tc>
          <w:tcPr>
            <w:tcW w:w="1560" w:type="dxa"/>
            <w:noWrap w:val="0"/>
            <w:vAlign w:val="top"/>
          </w:tcPr>
          <w:p w14:paraId="49B8526A">
            <w:pPr>
              <w:spacing w:line="400" w:lineRule="exact"/>
              <w:ind w:firstLine="420" w:firstLineChars="200"/>
              <w:rPr>
                <w:rFonts w:ascii="宋体" w:hAnsi="宋体"/>
                <w:color w:val="auto"/>
                <w:szCs w:val="21"/>
                <w:highlight w:val="none"/>
              </w:rPr>
            </w:pPr>
          </w:p>
        </w:tc>
      </w:tr>
      <w:tr w14:paraId="087C6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6536BBED">
            <w:pPr>
              <w:spacing w:line="400" w:lineRule="exact"/>
              <w:ind w:firstLine="420" w:firstLineChars="200"/>
              <w:rPr>
                <w:rFonts w:ascii="宋体" w:hAnsi="宋体"/>
                <w:color w:val="auto"/>
                <w:szCs w:val="21"/>
                <w:highlight w:val="none"/>
              </w:rPr>
            </w:pPr>
          </w:p>
        </w:tc>
        <w:tc>
          <w:tcPr>
            <w:tcW w:w="1984" w:type="dxa"/>
            <w:noWrap w:val="0"/>
            <w:vAlign w:val="top"/>
          </w:tcPr>
          <w:p w14:paraId="70B4FE0D">
            <w:pPr>
              <w:spacing w:line="400" w:lineRule="exact"/>
              <w:ind w:firstLine="420" w:firstLineChars="200"/>
              <w:rPr>
                <w:rFonts w:ascii="宋体" w:hAnsi="宋体"/>
                <w:color w:val="auto"/>
                <w:szCs w:val="21"/>
                <w:highlight w:val="none"/>
              </w:rPr>
            </w:pPr>
          </w:p>
        </w:tc>
        <w:tc>
          <w:tcPr>
            <w:tcW w:w="5103" w:type="dxa"/>
            <w:noWrap w:val="0"/>
            <w:vAlign w:val="top"/>
          </w:tcPr>
          <w:p w14:paraId="7E614454">
            <w:pPr>
              <w:spacing w:line="400" w:lineRule="exact"/>
              <w:ind w:firstLine="420" w:firstLineChars="200"/>
              <w:rPr>
                <w:rFonts w:ascii="宋体" w:hAnsi="宋体"/>
                <w:color w:val="auto"/>
                <w:szCs w:val="21"/>
                <w:highlight w:val="none"/>
              </w:rPr>
            </w:pPr>
          </w:p>
        </w:tc>
        <w:tc>
          <w:tcPr>
            <w:tcW w:w="1560" w:type="dxa"/>
            <w:noWrap w:val="0"/>
            <w:vAlign w:val="top"/>
          </w:tcPr>
          <w:p w14:paraId="33C7682A">
            <w:pPr>
              <w:spacing w:line="400" w:lineRule="exact"/>
              <w:ind w:firstLine="420" w:firstLineChars="200"/>
              <w:rPr>
                <w:rFonts w:ascii="宋体" w:hAnsi="宋体"/>
                <w:color w:val="auto"/>
                <w:szCs w:val="21"/>
                <w:highlight w:val="none"/>
              </w:rPr>
            </w:pPr>
          </w:p>
        </w:tc>
      </w:tr>
      <w:tr w14:paraId="2B1A0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00DD90E6">
            <w:pPr>
              <w:spacing w:line="400" w:lineRule="exact"/>
              <w:ind w:firstLine="420" w:firstLineChars="200"/>
              <w:rPr>
                <w:rFonts w:ascii="宋体" w:hAnsi="宋体"/>
                <w:color w:val="auto"/>
                <w:szCs w:val="21"/>
                <w:highlight w:val="none"/>
              </w:rPr>
            </w:pPr>
          </w:p>
        </w:tc>
        <w:tc>
          <w:tcPr>
            <w:tcW w:w="1984" w:type="dxa"/>
            <w:noWrap w:val="0"/>
            <w:vAlign w:val="top"/>
          </w:tcPr>
          <w:p w14:paraId="1A100EAB">
            <w:pPr>
              <w:spacing w:line="400" w:lineRule="exact"/>
              <w:ind w:firstLine="420" w:firstLineChars="200"/>
              <w:rPr>
                <w:rFonts w:ascii="宋体" w:hAnsi="宋体"/>
                <w:color w:val="auto"/>
                <w:szCs w:val="21"/>
                <w:highlight w:val="none"/>
              </w:rPr>
            </w:pPr>
          </w:p>
        </w:tc>
        <w:tc>
          <w:tcPr>
            <w:tcW w:w="5103" w:type="dxa"/>
            <w:noWrap w:val="0"/>
            <w:vAlign w:val="top"/>
          </w:tcPr>
          <w:p w14:paraId="29BE0201">
            <w:pPr>
              <w:spacing w:line="400" w:lineRule="exact"/>
              <w:ind w:firstLine="420" w:firstLineChars="200"/>
              <w:rPr>
                <w:rFonts w:ascii="宋体" w:hAnsi="宋体"/>
                <w:color w:val="auto"/>
                <w:szCs w:val="21"/>
                <w:highlight w:val="none"/>
              </w:rPr>
            </w:pPr>
          </w:p>
        </w:tc>
        <w:tc>
          <w:tcPr>
            <w:tcW w:w="1560" w:type="dxa"/>
            <w:noWrap w:val="0"/>
            <w:vAlign w:val="top"/>
          </w:tcPr>
          <w:p w14:paraId="578BD0E9">
            <w:pPr>
              <w:spacing w:line="400" w:lineRule="exact"/>
              <w:ind w:firstLine="420" w:firstLineChars="200"/>
              <w:rPr>
                <w:rFonts w:ascii="宋体" w:hAnsi="宋体"/>
                <w:color w:val="auto"/>
                <w:szCs w:val="21"/>
                <w:highlight w:val="none"/>
              </w:rPr>
            </w:pPr>
          </w:p>
        </w:tc>
      </w:tr>
      <w:tr w14:paraId="62A40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76FF1213">
            <w:pPr>
              <w:spacing w:line="400" w:lineRule="exact"/>
              <w:ind w:firstLine="420" w:firstLineChars="200"/>
              <w:rPr>
                <w:rFonts w:ascii="宋体" w:hAnsi="宋体"/>
                <w:color w:val="auto"/>
                <w:szCs w:val="21"/>
                <w:highlight w:val="none"/>
              </w:rPr>
            </w:pPr>
          </w:p>
        </w:tc>
        <w:tc>
          <w:tcPr>
            <w:tcW w:w="1984" w:type="dxa"/>
            <w:noWrap w:val="0"/>
            <w:vAlign w:val="top"/>
          </w:tcPr>
          <w:p w14:paraId="24CC8D2C">
            <w:pPr>
              <w:spacing w:line="400" w:lineRule="exact"/>
              <w:ind w:firstLine="420" w:firstLineChars="200"/>
              <w:rPr>
                <w:rFonts w:ascii="宋体" w:hAnsi="宋体"/>
                <w:color w:val="auto"/>
                <w:szCs w:val="21"/>
                <w:highlight w:val="none"/>
              </w:rPr>
            </w:pPr>
          </w:p>
        </w:tc>
        <w:tc>
          <w:tcPr>
            <w:tcW w:w="5103" w:type="dxa"/>
            <w:noWrap w:val="0"/>
            <w:vAlign w:val="top"/>
          </w:tcPr>
          <w:p w14:paraId="1C87C9AD">
            <w:pPr>
              <w:spacing w:line="400" w:lineRule="exact"/>
              <w:ind w:firstLine="420" w:firstLineChars="200"/>
              <w:rPr>
                <w:rFonts w:ascii="宋体" w:hAnsi="宋体"/>
                <w:color w:val="auto"/>
                <w:szCs w:val="21"/>
                <w:highlight w:val="none"/>
              </w:rPr>
            </w:pPr>
          </w:p>
        </w:tc>
        <w:tc>
          <w:tcPr>
            <w:tcW w:w="1560" w:type="dxa"/>
            <w:noWrap w:val="0"/>
            <w:vAlign w:val="top"/>
          </w:tcPr>
          <w:p w14:paraId="0DAD3923">
            <w:pPr>
              <w:spacing w:line="400" w:lineRule="exact"/>
              <w:ind w:firstLine="420" w:firstLineChars="200"/>
              <w:rPr>
                <w:rFonts w:ascii="宋体" w:hAnsi="宋体"/>
                <w:color w:val="auto"/>
                <w:szCs w:val="21"/>
                <w:highlight w:val="none"/>
              </w:rPr>
            </w:pPr>
          </w:p>
        </w:tc>
      </w:tr>
      <w:tr w14:paraId="4A0ED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3B07A6C4">
            <w:pPr>
              <w:spacing w:line="400" w:lineRule="exact"/>
              <w:ind w:firstLine="420" w:firstLineChars="200"/>
              <w:rPr>
                <w:rFonts w:ascii="宋体" w:hAnsi="宋体"/>
                <w:color w:val="auto"/>
                <w:szCs w:val="21"/>
                <w:highlight w:val="none"/>
              </w:rPr>
            </w:pPr>
          </w:p>
        </w:tc>
        <w:tc>
          <w:tcPr>
            <w:tcW w:w="1984" w:type="dxa"/>
            <w:noWrap w:val="0"/>
            <w:vAlign w:val="top"/>
          </w:tcPr>
          <w:p w14:paraId="12534E52">
            <w:pPr>
              <w:spacing w:line="400" w:lineRule="exact"/>
              <w:ind w:firstLine="420" w:firstLineChars="200"/>
              <w:rPr>
                <w:rFonts w:ascii="宋体" w:hAnsi="宋体"/>
                <w:color w:val="auto"/>
                <w:szCs w:val="21"/>
                <w:highlight w:val="none"/>
              </w:rPr>
            </w:pPr>
          </w:p>
        </w:tc>
        <w:tc>
          <w:tcPr>
            <w:tcW w:w="5103" w:type="dxa"/>
            <w:noWrap w:val="0"/>
            <w:vAlign w:val="top"/>
          </w:tcPr>
          <w:p w14:paraId="4BEE5803">
            <w:pPr>
              <w:spacing w:line="400" w:lineRule="exact"/>
              <w:ind w:firstLine="420" w:firstLineChars="200"/>
              <w:rPr>
                <w:rFonts w:ascii="宋体" w:hAnsi="宋体"/>
                <w:color w:val="auto"/>
                <w:szCs w:val="21"/>
                <w:highlight w:val="none"/>
              </w:rPr>
            </w:pPr>
          </w:p>
        </w:tc>
        <w:tc>
          <w:tcPr>
            <w:tcW w:w="1560" w:type="dxa"/>
            <w:noWrap w:val="0"/>
            <w:vAlign w:val="top"/>
          </w:tcPr>
          <w:p w14:paraId="4508AC20">
            <w:pPr>
              <w:spacing w:line="400" w:lineRule="exact"/>
              <w:ind w:firstLine="420" w:firstLineChars="200"/>
              <w:rPr>
                <w:rFonts w:ascii="宋体" w:hAnsi="宋体"/>
                <w:color w:val="auto"/>
                <w:szCs w:val="21"/>
                <w:highlight w:val="none"/>
              </w:rPr>
            </w:pPr>
          </w:p>
        </w:tc>
      </w:tr>
      <w:tr w14:paraId="21400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47374876">
            <w:pPr>
              <w:spacing w:line="400" w:lineRule="exact"/>
              <w:ind w:firstLine="420" w:firstLineChars="200"/>
              <w:rPr>
                <w:rFonts w:ascii="宋体" w:hAnsi="宋体"/>
                <w:color w:val="auto"/>
                <w:szCs w:val="21"/>
                <w:highlight w:val="none"/>
              </w:rPr>
            </w:pPr>
          </w:p>
        </w:tc>
        <w:tc>
          <w:tcPr>
            <w:tcW w:w="1984" w:type="dxa"/>
            <w:noWrap w:val="0"/>
            <w:vAlign w:val="top"/>
          </w:tcPr>
          <w:p w14:paraId="651AC692">
            <w:pPr>
              <w:spacing w:line="400" w:lineRule="exact"/>
              <w:ind w:firstLine="420" w:firstLineChars="200"/>
              <w:rPr>
                <w:rFonts w:ascii="宋体" w:hAnsi="宋体"/>
                <w:color w:val="auto"/>
                <w:szCs w:val="21"/>
                <w:highlight w:val="none"/>
              </w:rPr>
            </w:pPr>
          </w:p>
        </w:tc>
        <w:tc>
          <w:tcPr>
            <w:tcW w:w="5103" w:type="dxa"/>
            <w:noWrap w:val="0"/>
            <w:vAlign w:val="top"/>
          </w:tcPr>
          <w:p w14:paraId="441FF1D8">
            <w:pPr>
              <w:spacing w:line="400" w:lineRule="exact"/>
              <w:ind w:firstLine="420" w:firstLineChars="200"/>
              <w:rPr>
                <w:rFonts w:ascii="宋体" w:hAnsi="宋体"/>
                <w:color w:val="auto"/>
                <w:szCs w:val="21"/>
                <w:highlight w:val="none"/>
              </w:rPr>
            </w:pPr>
          </w:p>
        </w:tc>
        <w:tc>
          <w:tcPr>
            <w:tcW w:w="1560" w:type="dxa"/>
            <w:noWrap w:val="0"/>
            <w:vAlign w:val="top"/>
          </w:tcPr>
          <w:p w14:paraId="0CDFEA1B">
            <w:pPr>
              <w:spacing w:line="400" w:lineRule="exact"/>
              <w:ind w:firstLine="420" w:firstLineChars="200"/>
              <w:rPr>
                <w:rFonts w:ascii="宋体" w:hAnsi="宋体"/>
                <w:color w:val="auto"/>
                <w:szCs w:val="21"/>
                <w:highlight w:val="none"/>
              </w:rPr>
            </w:pPr>
          </w:p>
        </w:tc>
      </w:tr>
      <w:tr w14:paraId="743C8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3E309A02">
            <w:pPr>
              <w:spacing w:line="400" w:lineRule="exact"/>
              <w:ind w:firstLine="420" w:firstLineChars="200"/>
              <w:rPr>
                <w:rFonts w:ascii="宋体" w:hAnsi="宋体"/>
                <w:color w:val="auto"/>
                <w:szCs w:val="21"/>
                <w:highlight w:val="none"/>
              </w:rPr>
            </w:pPr>
          </w:p>
        </w:tc>
        <w:tc>
          <w:tcPr>
            <w:tcW w:w="1984" w:type="dxa"/>
            <w:noWrap w:val="0"/>
            <w:vAlign w:val="top"/>
          </w:tcPr>
          <w:p w14:paraId="67E9F323">
            <w:pPr>
              <w:spacing w:line="400" w:lineRule="exact"/>
              <w:ind w:firstLine="420" w:firstLineChars="200"/>
              <w:rPr>
                <w:rFonts w:ascii="宋体" w:hAnsi="宋体"/>
                <w:color w:val="auto"/>
                <w:szCs w:val="21"/>
                <w:highlight w:val="none"/>
              </w:rPr>
            </w:pPr>
          </w:p>
        </w:tc>
        <w:tc>
          <w:tcPr>
            <w:tcW w:w="5103" w:type="dxa"/>
            <w:noWrap w:val="0"/>
            <w:vAlign w:val="top"/>
          </w:tcPr>
          <w:p w14:paraId="6CB951C5">
            <w:pPr>
              <w:spacing w:line="400" w:lineRule="exact"/>
              <w:ind w:firstLine="420" w:firstLineChars="200"/>
              <w:rPr>
                <w:rFonts w:ascii="宋体" w:hAnsi="宋体"/>
                <w:color w:val="auto"/>
                <w:szCs w:val="21"/>
                <w:highlight w:val="none"/>
              </w:rPr>
            </w:pPr>
          </w:p>
        </w:tc>
        <w:tc>
          <w:tcPr>
            <w:tcW w:w="1560" w:type="dxa"/>
            <w:noWrap w:val="0"/>
            <w:vAlign w:val="top"/>
          </w:tcPr>
          <w:p w14:paraId="5C6619FB">
            <w:pPr>
              <w:spacing w:line="400" w:lineRule="exact"/>
              <w:ind w:firstLine="420" w:firstLineChars="200"/>
              <w:rPr>
                <w:rFonts w:ascii="宋体" w:hAnsi="宋体"/>
                <w:color w:val="auto"/>
                <w:szCs w:val="21"/>
                <w:highlight w:val="none"/>
              </w:rPr>
            </w:pPr>
          </w:p>
        </w:tc>
      </w:tr>
      <w:tr w14:paraId="6745F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2384CAA1">
            <w:pPr>
              <w:spacing w:line="400" w:lineRule="exact"/>
              <w:ind w:firstLine="420" w:firstLineChars="200"/>
              <w:rPr>
                <w:rFonts w:ascii="宋体" w:hAnsi="宋体"/>
                <w:color w:val="auto"/>
                <w:szCs w:val="21"/>
                <w:highlight w:val="none"/>
              </w:rPr>
            </w:pPr>
          </w:p>
        </w:tc>
        <w:tc>
          <w:tcPr>
            <w:tcW w:w="1984" w:type="dxa"/>
            <w:noWrap w:val="0"/>
            <w:vAlign w:val="top"/>
          </w:tcPr>
          <w:p w14:paraId="1484CDAF">
            <w:pPr>
              <w:spacing w:line="400" w:lineRule="exact"/>
              <w:ind w:firstLine="420" w:firstLineChars="200"/>
              <w:rPr>
                <w:rFonts w:ascii="宋体" w:hAnsi="宋体"/>
                <w:color w:val="auto"/>
                <w:szCs w:val="21"/>
                <w:highlight w:val="none"/>
              </w:rPr>
            </w:pPr>
          </w:p>
        </w:tc>
        <w:tc>
          <w:tcPr>
            <w:tcW w:w="5103" w:type="dxa"/>
            <w:noWrap w:val="0"/>
            <w:vAlign w:val="top"/>
          </w:tcPr>
          <w:p w14:paraId="4A0FD542">
            <w:pPr>
              <w:spacing w:line="400" w:lineRule="exact"/>
              <w:ind w:firstLine="420" w:firstLineChars="200"/>
              <w:rPr>
                <w:rFonts w:ascii="宋体" w:hAnsi="宋体"/>
                <w:color w:val="auto"/>
                <w:szCs w:val="21"/>
                <w:highlight w:val="none"/>
              </w:rPr>
            </w:pPr>
          </w:p>
        </w:tc>
        <w:tc>
          <w:tcPr>
            <w:tcW w:w="1560" w:type="dxa"/>
            <w:noWrap w:val="0"/>
            <w:vAlign w:val="top"/>
          </w:tcPr>
          <w:p w14:paraId="016DA786">
            <w:pPr>
              <w:spacing w:line="400" w:lineRule="exact"/>
              <w:ind w:firstLine="420" w:firstLineChars="200"/>
              <w:rPr>
                <w:rFonts w:ascii="宋体" w:hAnsi="宋体"/>
                <w:color w:val="auto"/>
                <w:szCs w:val="21"/>
                <w:highlight w:val="none"/>
              </w:rPr>
            </w:pPr>
          </w:p>
        </w:tc>
      </w:tr>
      <w:tr w14:paraId="368D1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26DC9BFE">
            <w:pPr>
              <w:spacing w:line="400" w:lineRule="exact"/>
              <w:ind w:firstLine="420" w:firstLineChars="200"/>
              <w:rPr>
                <w:rFonts w:ascii="宋体" w:hAnsi="宋体"/>
                <w:color w:val="auto"/>
                <w:szCs w:val="21"/>
                <w:highlight w:val="none"/>
              </w:rPr>
            </w:pPr>
          </w:p>
        </w:tc>
        <w:tc>
          <w:tcPr>
            <w:tcW w:w="1984" w:type="dxa"/>
            <w:noWrap w:val="0"/>
            <w:vAlign w:val="top"/>
          </w:tcPr>
          <w:p w14:paraId="644D36D8">
            <w:pPr>
              <w:spacing w:line="400" w:lineRule="exact"/>
              <w:ind w:firstLine="420" w:firstLineChars="200"/>
              <w:rPr>
                <w:rFonts w:ascii="宋体" w:hAnsi="宋体"/>
                <w:color w:val="auto"/>
                <w:szCs w:val="21"/>
                <w:highlight w:val="none"/>
              </w:rPr>
            </w:pPr>
          </w:p>
        </w:tc>
        <w:tc>
          <w:tcPr>
            <w:tcW w:w="5103" w:type="dxa"/>
            <w:noWrap w:val="0"/>
            <w:vAlign w:val="top"/>
          </w:tcPr>
          <w:p w14:paraId="121FC4D2">
            <w:pPr>
              <w:spacing w:line="400" w:lineRule="exact"/>
              <w:ind w:firstLine="420" w:firstLineChars="200"/>
              <w:rPr>
                <w:rFonts w:ascii="宋体" w:hAnsi="宋体"/>
                <w:color w:val="auto"/>
                <w:szCs w:val="21"/>
                <w:highlight w:val="none"/>
              </w:rPr>
            </w:pPr>
          </w:p>
        </w:tc>
        <w:tc>
          <w:tcPr>
            <w:tcW w:w="1560" w:type="dxa"/>
            <w:noWrap w:val="0"/>
            <w:vAlign w:val="top"/>
          </w:tcPr>
          <w:p w14:paraId="145738DA">
            <w:pPr>
              <w:spacing w:line="400" w:lineRule="exact"/>
              <w:ind w:firstLine="420" w:firstLineChars="200"/>
              <w:rPr>
                <w:rFonts w:ascii="宋体" w:hAnsi="宋体"/>
                <w:color w:val="auto"/>
                <w:szCs w:val="21"/>
                <w:highlight w:val="none"/>
              </w:rPr>
            </w:pPr>
          </w:p>
        </w:tc>
      </w:tr>
      <w:tr w14:paraId="29068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526" w:type="dxa"/>
            <w:gridSpan w:val="4"/>
            <w:noWrap w:val="0"/>
            <w:vAlign w:val="top"/>
          </w:tcPr>
          <w:p w14:paraId="70151492">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小计：</w:t>
            </w:r>
          </w:p>
        </w:tc>
      </w:tr>
    </w:tbl>
    <w:p w14:paraId="71370F31">
      <w:pPr>
        <w:spacing w:line="360" w:lineRule="auto"/>
        <w:ind w:firstLine="420" w:firstLineChars="200"/>
        <w:rPr>
          <w:rFonts w:ascii="宋体" w:hAnsi="宋体"/>
          <w:color w:val="auto"/>
          <w:szCs w:val="21"/>
          <w:highlight w:val="none"/>
        </w:rPr>
      </w:pPr>
    </w:p>
    <w:p w14:paraId="00979E83">
      <w:pPr>
        <w:pStyle w:val="2"/>
        <w:spacing w:line="360" w:lineRule="auto"/>
        <w:rPr>
          <w:rFonts w:ascii="宋体" w:hAnsi="宋体"/>
          <w:color w:val="auto"/>
          <w:szCs w:val="21"/>
          <w:highlight w:val="none"/>
        </w:rPr>
      </w:pPr>
    </w:p>
    <w:p w14:paraId="2D0CE40E">
      <w:pPr>
        <w:spacing w:line="480" w:lineRule="auto"/>
        <w:ind w:firstLine="420" w:firstLineChars="200"/>
        <w:rPr>
          <w:rFonts w:ascii="宋体" w:hAnsi="宋体"/>
          <w:color w:val="auto"/>
          <w:szCs w:val="21"/>
          <w:highlight w:val="none"/>
        </w:rPr>
      </w:pPr>
      <w:r>
        <w:rPr>
          <w:rFonts w:ascii="宋体" w:hAnsi="宋体"/>
          <w:color w:val="auto"/>
          <w:szCs w:val="21"/>
          <w:highlight w:val="none"/>
        </w:rPr>
        <w:br w:type="page"/>
      </w:r>
    </w:p>
    <w:p w14:paraId="073E525D">
      <w:pPr>
        <w:spacing w:line="480" w:lineRule="auto"/>
        <w:rPr>
          <w:rFonts w:ascii="宋体" w:hAnsi="宋体"/>
          <w:color w:val="auto"/>
          <w:szCs w:val="21"/>
          <w:highlight w:val="none"/>
        </w:rPr>
      </w:pPr>
      <w:r>
        <w:rPr>
          <w:rFonts w:hint="eastAsia" w:ascii="宋体" w:hAnsi="宋体"/>
          <w:color w:val="auto"/>
          <w:szCs w:val="21"/>
          <w:highlight w:val="none"/>
        </w:rPr>
        <w:t>附件8：廉洁从业协议</w:t>
      </w:r>
    </w:p>
    <w:p w14:paraId="6758FB7A">
      <w:pPr>
        <w:spacing w:before="156" w:beforeLines="50" w:after="156" w:afterLines="50" w:line="480" w:lineRule="auto"/>
        <w:jc w:val="center"/>
        <w:rPr>
          <w:rFonts w:ascii="宋体" w:hAnsi="宋体"/>
          <w:color w:val="auto"/>
          <w:szCs w:val="21"/>
          <w:highlight w:val="none"/>
        </w:rPr>
      </w:pPr>
      <w:r>
        <w:rPr>
          <w:rFonts w:hint="eastAsia" w:ascii="宋体" w:hAnsi="宋体"/>
          <w:color w:val="auto"/>
          <w:szCs w:val="21"/>
          <w:highlight w:val="none"/>
        </w:rPr>
        <w:t>廉洁从业协议</w:t>
      </w:r>
    </w:p>
    <w:p w14:paraId="4842FEB9">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发包人（全称）：</w:t>
      </w:r>
      <w:r>
        <w:rPr>
          <w:rFonts w:hint="eastAsia" w:ascii="宋体" w:hAnsi="宋体"/>
          <w:color w:val="auto"/>
          <w:szCs w:val="21"/>
          <w:highlight w:val="none"/>
          <w:u w:val="single"/>
        </w:rPr>
        <w:t xml:space="preserve">                             </w:t>
      </w:r>
    </w:p>
    <w:p w14:paraId="19538FCA">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承包人（全称）：</w:t>
      </w:r>
      <w:r>
        <w:rPr>
          <w:rFonts w:hint="eastAsia" w:ascii="宋体" w:hAnsi="宋体"/>
          <w:color w:val="auto"/>
          <w:szCs w:val="21"/>
          <w:highlight w:val="none"/>
          <w:u w:val="single"/>
        </w:rPr>
        <w:t xml:space="preserve">                             </w:t>
      </w:r>
    </w:p>
    <w:p w14:paraId="1545E12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根据国家有关部门以及有关工程建设、廉政建设的规定，为做好工程建设中的党风廉政建设，保证工程建设高效优质，保证建设资金的安全和有效使用以及投资效益，建设工程的项目法人（以下简称“发包人”）与承包人（以下简称“承包人”），特订立如下协议。</w:t>
      </w:r>
    </w:p>
    <w:p w14:paraId="0496B42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 xml:space="preserve"> 1. 发包人承包人的权利和义务</w:t>
      </w:r>
    </w:p>
    <w:p w14:paraId="3E00A46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（1）严格遵守党的政策规定和国家有关法律法规及相关部门的有关规定。</w:t>
      </w:r>
    </w:p>
    <w:p w14:paraId="4B33453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（2）严格执行 工程的合同文件，自觉按合同办事。</w:t>
      </w:r>
    </w:p>
    <w:p w14:paraId="47F3B89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（3）双方的业务活动坚持公开、公正、诚信、透明的原则（法律认定的商业秘密和合同文件另有规定除外），不得损害国家和集体利益，违反工程建设管理规章制度。</w:t>
      </w:r>
    </w:p>
    <w:p w14:paraId="73FAECD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（4）建立健全廉政制度，开展廉政教育，设立廉政告示牌，公布举报电话，监督并认真查处违法违纪行为。</w:t>
      </w:r>
    </w:p>
    <w:p w14:paraId="6524ECB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（5）发现对方在业务活动中有违反廉政规定的行为，有及时提醒对方纠正的权利和义务。</w:t>
      </w:r>
    </w:p>
    <w:p w14:paraId="4FBF90A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（6）发现对方严重违反协议义务条款的行为，有向其上级有关部门举报、建议给予处理并要求告知处理结果的权利。</w:t>
      </w:r>
    </w:p>
    <w:p w14:paraId="55A3632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发包人的义务</w:t>
      </w:r>
    </w:p>
    <w:p w14:paraId="17D9FC9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（1）发包人及其工作人员不得索要或接受承包人的礼金、有价证券和贵重物品，不得在承包人报销任何应由发包人或发包人工作人员个人支付的费用等。</w:t>
      </w:r>
    </w:p>
    <w:p w14:paraId="6AE73E7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（2）发包人工作人员不得参加承包人安排的超标准宴请和娱乐活动；不得接受承包人提供的通讯工具、交通工具和高档办公用品等。</w:t>
      </w:r>
    </w:p>
    <w:p w14:paraId="77F2946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（3）发包人及其工作人员不得要求或者接受承包人为其住房装修、婚丧嫁娶活动、配偶子女的工作安排以及出国出境、旅游等提供方便等。</w:t>
      </w:r>
    </w:p>
    <w:p w14:paraId="4B5F841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（4）发包人工作人员及其配偶、子女不得从事与发包人工程有关的材料设备供应、工程分包、劳务等经济活动等。</w:t>
      </w:r>
    </w:p>
    <w:p w14:paraId="4FE80C7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（5）发包人及其工作人员不得以任何理由向承包人推荐分包单位或推销材料，不得要求承包人购买合同规定外的材料和设备。</w:t>
      </w:r>
    </w:p>
    <w:p w14:paraId="65FC3FC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（6）发包人工作人员要秉公办事，不准营私舞弊，不准利用职权从事各种个人有偿中介活动和安排个人施工队伍。</w:t>
      </w:r>
    </w:p>
    <w:p w14:paraId="4C8FA3C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承包人义务</w:t>
      </w:r>
    </w:p>
    <w:p w14:paraId="06BDDF4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（1）承包人不得以任何理由向发包人及其工作人员行贿或馈赠礼金、有价证券、贵重礼品。</w:t>
      </w:r>
    </w:p>
    <w:p w14:paraId="2F49994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（2）承包人不得以任何名义为发包人及其工作人员报销应由发包人单位或个人支付的任何费用。</w:t>
      </w:r>
    </w:p>
    <w:p w14:paraId="393CFF3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（3）承包人不得以任何理由安排发包人工作人员参加超标准宴请及娱乐活动。</w:t>
      </w:r>
    </w:p>
    <w:p w14:paraId="503AD5C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（4）承包人不得为发包人单位和个人购置或提供通讯工具、交通工具和高档办公用品等。</w:t>
      </w:r>
    </w:p>
    <w:p w14:paraId="7C29550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 违约责任</w:t>
      </w:r>
    </w:p>
    <w:p w14:paraId="653308C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（1）发包人及其工作人员违反合同第1、2条，按管理权限，依据有关规定给予党纪、政纪或组织处理；涉嫌犯罪的，移交司法机关追究刑事责任；给承包人单位造成经济损失的，应予以赔偿。</w:t>
      </w:r>
    </w:p>
    <w:p w14:paraId="2A0FCCE7">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（2）承包人及其工作人员违反合同第1、3条，按管理权限，依据有关规定给予党纪、政纪或组织处理；给发包人单位造成经济损失的，应予以赔偿。</w:t>
      </w:r>
    </w:p>
    <w:p w14:paraId="1566F41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 双方约定：协议由双方或双方上级单位的纪检监察机关负责监督执行。由发包人或发包人上级单位的纪检监察机关约请承包人或承包人上级单位纪检监察机关对合同执行情况进行检查，提出在协议规定范围内的裁定意见。</w:t>
      </w:r>
    </w:p>
    <w:p w14:paraId="46D70E71">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 协议有效期为甲乙双方签署之日起至该工程项目竣工验收后止。</w:t>
      </w:r>
    </w:p>
    <w:p w14:paraId="2BED52C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7.协议作为 工程施工合同的附件，与工程施工合同具有同等的法律效力，经合同双方签署立即生效。</w:t>
      </w:r>
    </w:p>
    <w:p w14:paraId="071941C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（以下无正文）</w:t>
      </w:r>
    </w:p>
    <w:p w14:paraId="736BFFAD">
      <w:pPr>
        <w:spacing w:line="360" w:lineRule="auto"/>
        <w:rPr>
          <w:rFonts w:ascii="宋体" w:hAnsi="宋体"/>
          <w:color w:val="auto"/>
          <w:szCs w:val="21"/>
          <w:highlight w:val="none"/>
        </w:rPr>
      </w:pPr>
    </w:p>
    <w:p w14:paraId="42FA6E6E">
      <w:pPr>
        <w:pStyle w:val="2"/>
        <w:spacing w:line="360" w:lineRule="auto"/>
        <w:rPr>
          <w:rFonts w:ascii="宋体" w:hAnsi="宋体"/>
          <w:color w:val="auto"/>
          <w:szCs w:val="21"/>
          <w:highlight w:val="none"/>
        </w:rPr>
      </w:pPr>
    </w:p>
    <w:p w14:paraId="4E048580">
      <w:pPr>
        <w:pStyle w:val="2"/>
        <w:spacing w:line="360" w:lineRule="auto"/>
        <w:rPr>
          <w:rFonts w:ascii="宋体" w:hAnsi="宋体"/>
          <w:color w:val="auto"/>
          <w:szCs w:val="21"/>
          <w:highlight w:val="none"/>
        </w:rPr>
      </w:pPr>
    </w:p>
    <w:p w14:paraId="08EE8482">
      <w:pPr>
        <w:spacing w:line="360" w:lineRule="auto"/>
        <w:rPr>
          <w:rFonts w:ascii="宋体" w:hAnsi="宋体"/>
          <w:color w:val="auto"/>
          <w:szCs w:val="21"/>
          <w:highlight w:val="none"/>
        </w:rPr>
      </w:pPr>
      <w:r>
        <w:rPr>
          <w:rFonts w:hint="eastAsia" w:ascii="宋体" w:hAnsi="宋体"/>
          <w:color w:val="auto"/>
          <w:szCs w:val="21"/>
          <w:highlight w:val="none"/>
        </w:rPr>
        <w:t>甲     方：                         乙     方：</w:t>
      </w:r>
    </w:p>
    <w:p w14:paraId="03412725">
      <w:pPr>
        <w:spacing w:line="360" w:lineRule="auto"/>
        <w:rPr>
          <w:rFonts w:ascii="宋体" w:hAnsi="宋体"/>
          <w:color w:val="auto"/>
          <w:szCs w:val="21"/>
          <w:highlight w:val="none"/>
        </w:rPr>
      </w:pPr>
    </w:p>
    <w:p w14:paraId="4C8D526E">
      <w:pPr>
        <w:spacing w:line="360" w:lineRule="auto"/>
        <w:rPr>
          <w:rFonts w:ascii="宋体" w:hAnsi="宋体"/>
          <w:color w:val="auto"/>
          <w:szCs w:val="21"/>
          <w:highlight w:val="none"/>
        </w:rPr>
      </w:pPr>
    </w:p>
    <w:p w14:paraId="4C4C952F">
      <w:pPr>
        <w:spacing w:line="360" w:lineRule="auto"/>
        <w:rPr>
          <w:rFonts w:ascii="宋体" w:hAnsi="宋体"/>
          <w:color w:val="auto"/>
          <w:szCs w:val="21"/>
          <w:highlight w:val="none"/>
        </w:rPr>
      </w:pPr>
      <w:r>
        <w:rPr>
          <w:rFonts w:hint="eastAsia" w:ascii="宋体" w:hAnsi="宋体"/>
          <w:color w:val="auto"/>
          <w:szCs w:val="21"/>
          <w:highlight w:val="none"/>
        </w:rPr>
        <w:t xml:space="preserve">法定代表人                          法定代表人                      </w:t>
      </w:r>
    </w:p>
    <w:p w14:paraId="36A016E7">
      <w:pPr>
        <w:spacing w:line="360" w:lineRule="auto"/>
        <w:rPr>
          <w:rFonts w:ascii="宋体" w:hAnsi="宋体"/>
          <w:color w:val="auto"/>
          <w:szCs w:val="21"/>
          <w:highlight w:val="none"/>
        </w:rPr>
      </w:pPr>
    </w:p>
    <w:p w14:paraId="1D4D2AF6">
      <w:pPr>
        <w:spacing w:line="360" w:lineRule="auto"/>
        <w:rPr>
          <w:rFonts w:ascii="宋体" w:hAnsi="宋体"/>
          <w:color w:val="auto"/>
          <w:szCs w:val="21"/>
          <w:highlight w:val="none"/>
        </w:rPr>
      </w:pPr>
    </w:p>
    <w:p w14:paraId="7E25F054">
      <w:pPr>
        <w:spacing w:line="360" w:lineRule="auto"/>
        <w:rPr>
          <w:rFonts w:ascii="宋体" w:hAnsi="宋体"/>
          <w:color w:val="auto"/>
          <w:szCs w:val="21"/>
          <w:highlight w:val="none"/>
        </w:rPr>
      </w:pPr>
      <w:r>
        <w:rPr>
          <w:rFonts w:hint="eastAsia" w:ascii="宋体" w:hAnsi="宋体"/>
          <w:color w:val="auto"/>
          <w:szCs w:val="21"/>
          <w:highlight w:val="none"/>
        </w:rPr>
        <w:t>或其授权的代理人：                  或授权的代理人：</w:t>
      </w:r>
    </w:p>
    <w:p w14:paraId="515A169F">
      <w:pPr>
        <w:spacing w:line="480" w:lineRule="auto"/>
        <w:rPr>
          <w:rFonts w:ascii="宋体" w:hAnsi="宋体"/>
          <w:color w:val="auto"/>
          <w:szCs w:val="21"/>
          <w:highlight w:val="none"/>
        </w:rPr>
      </w:pPr>
      <w:r>
        <w:rPr>
          <w:rFonts w:hint="eastAsia" w:ascii="宋体" w:hAnsi="宋体"/>
          <w:color w:val="auto"/>
          <w:szCs w:val="21"/>
          <w:highlight w:val="none"/>
        </w:rPr>
        <w:br w:type="page"/>
      </w:r>
      <w:r>
        <w:rPr>
          <w:rFonts w:hint="eastAsia" w:ascii="宋体" w:hAnsi="宋体"/>
          <w:color w:val="auto"/>
          <w:szCs w:val="21"/>
          <w:highlight w:val="none"/>
        </w:rPr>
        <w:t>附件9：安全管理协议</w:t>
      </w:r>
    </w:p>
    <w:p w14:paraId="6B2BF9F8">
      <w:pPr>
        <w:spacing w:before="156" w:beforeLines="50" w:after="156" w:afterLines="50" w:line="480" w:lineRule="auto"/>
        <w:jc w:val="center"/>
        <w:rPr>
          <w:rFonts w:ascii="宋体" w:hAnsi="宋体"/>
          <w:color w:val="auto"/>
          <w:szCs w:val="21"/>
          <w:highlight w:val="none"/>
        </w:rPr>
      </w:pPr>
      <w:bookmarkStart w:id="2095" w:name="_Toc247431422"/>
      <w:bookmarkStart w:id="2096" w:name="_Toc435690184"/>
      <w:bookmarkStart w:id="2097" w:name="_Toc336680145"/>
      <w:bookmarkStart w:id="2098" w:name="_Toc435689499"/>
      <w:bookmarkStart w:id="2099" w:name="_Toc239510288"/>
      <w:bookmarkStart w:id="2100" w:name="_Toc448406299"/>
      <w:r>
        <w:rPr>
          <w:rFonts w:hint="eastAsia" w:ascii="宋体" w:hAnsi="宋体"/>
          <w:color w:val="auto"/>
          <w:szCs w:val="21"/>
          <w:highlight w:val="none"/>
        </w:rPr>
        <w:t>安全管理协议</w:t>
      </w:r>
      <w:bookmarkEnd w:id="2095"/>
      <w:bookmarkEnd w:id="2096"/>
      <w:bookmarkEnd w:id="2097"/>
      <w:bookmarkEnd w:id="2098"/>
      <w:bookmarkEnd w:id="2099"/>
      <w:bookmarkEnd w:id="2100"/>
    </w:p>
    <w:p w14:paraId="758AE121">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发包人（全称）：</w:t>
      </w:r>
      <w:r>
        <w:rPr>
          <w:rFonts w:hint="eastAsia" w:ascii="宋体" w:hAnsi="宋体"/>
          <w:color w:val="auto"/>
          <w:szCs w:val="21"/>
          <w:highlight w:val="none"/>
          <w:u w:val="single"/>
        </w:rPr>
        <w:t xml:space="preserve">                             </w:t>
      </w:r>
    </w:p>
    <w:p w14:paraId="550F2F59">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承包人（全称）：</w:t>
      </w:r>
      <w:r>
        <w:rPr>
          <w:rFonts w:hint="eastAsia" w:ascii="宋体" w:hAnsi="宋体"/>
          <w:color w:val="auto"/>
          <w:szCs w:val="21"/>
          <w:highlight w:val="none"/>
          <w:u w:val="single"/>
        </w:rPr>
        <w:t xml:space="preserve">                             </w:t>
      </w:r>
    </w:p>
    <w:p w14:paraId="7B29386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为了确保实现</w:t>
      </w:r>
      <w:r>
        <w:rPr>
          <w:rFonts w:hint="eastAsia" w:ascii="宋体" w:hAnsi="宋体"/>
          <w:color w:val="auto"/>
          <w:szCs w:val="21"/>
          <w:highlight w:val="none"/>
          <w:u w:val="single"/>
        </w:rPr>
        <w:t xml:space="preserve">        </w:t>
      </w:r>
      <w:r>
        <w:rPr>
          <w:rFonts w:hint="eastAsia" w:ascii="宋体" w:hAnsi="宋体"/>
          <w:color w:val="auto"/>
          <w:szCs w:val="21"/>
          <w:highlight w:val="none"/>
        </w:rPr>
        <w:t>安全生产目标，进一步明确双方的安全管理责任，加强安全生产管理工作的协调、管理力度，</w:t>
      </w:r>
      <w:r>
        <w:rPr>
          <w:rFonts w:hint="eastAsia" w:ascii="宋体" w:hAnsi="宋体"/>
          <w:color w:val="auto"/>
          <w:szCs w:val="21"/>
          <w:highlight w:val="none"/>
          <w:u w:val="single"/>
        </w:rPr>
        <w:t xml:space="preserve">        </w:t>
      </w:r>
      <w:r>
        <w:rPr>
          <w:rFonts w:hint="eastAsia" w:ascii="宋体" w:hAnsi="宋体"/>
          <w:color w:val="auto"/>
          <w:szCs w:val="21"/>
          <w:highlight w:val="none"/>
        </w:rPr>
        <w:t>（以下简称“发包人”）与</w:t>
      </w:r>
      <w:r>
        <w:rPr>
          <w:rFonts w:hint="eastAsia" w:ascii="宋体" w:hAnsi="宋体"/>
          <w:color w:val="auto"/>
          <w:szCs w:val="21"/>
          <w:highlight w:val="none"/>
          <w:u w:val="single"/>
        </w:rPr>
        <w:t xml:space="preserve">        </w:t>
      </w:r>
      <w:r>
        <w:rPr>
          <w:rFonts w:hint="eastAsia" w:ascii="宋体" w:hAnsi="宋体"/>
          <w:color w:val="auto"/>
          <w:szCs w:val="21"/>
          <w:highlight w:val="none"/>
        </w:rPr>
        <w:t>（以下简称“承包人”）依据国家安全生产相关的法律、法规和安全方面的强制性国家标准或行业标准，双方同意签订该协议作为正式合同安全管理方面的补充规定，并承诺本协议具有与合同相同的法律效力。具体条款如下：</w:t>
      </w:r>
    </w:p>
    <w:p w14:paraId="37AA08E3">
      <w:pPr>
        <w:spacing w:line="360" w:lineRule="auto"/>
        <w:ind w:firstLine="420" w:firstLineChars="200"/>
        <w:rPr>
          <w:rFonts w:ascii="宋体" w:hAnsi="宋体"/>
          <w:color w:val="auto"/>
          <w:szCs w:val="21"/>
          <w:highlight w:val="none"/>
        </w:rPr>
      </w:pPr>
      <w:bookmarkStart w:id="2101" w:name="_Toc239510289"/>
      <w:bookmarkStart w:id="2102" w:name="_Toc247431423"/>
      <w:bookmarkStart w:id="2103" w:name="_Toc532375700"/>
      <w:bookmarkStart w:id="2104" w:name="_Toc247418263"/>
      <w:r>
        <w:rPr>
          <w:rFonts w:hint="eastAsia" w:ascii="宋体" w:hAnsi="宋体"/>
          <w:color w:val="auto"/>
          <w:szCs w:val="21"/>
          <w:highlight w:val="none"/>
        </w:rPr>
        <w:t>一、协议有效期限</w:t>
      </w:r>
      <w:bookmarkEnd w:id="2101"/>
      <w:bookmarkEnd w:id="2102"/>
      <w:bookmarkEnd w:id="2103"/>
      <w:bookmarkEnd w:id="2104"/>
    </w:p>
    <w:p w14:paraId="0C4C890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本协议中所涉及的安全管理责任自合同签订之日起开始生效，至合同工程全部完工验收且经发包人与承包人签订移交协议生效后之日终止。</w:t>
      </w:r>
    </w:p>
    <w:p w14:paraId="18403ABA">
      <w:pPr>
        <w:spacing w:line="360" w:lineRule="auto"/>
        <w:ind w:firstLine="420" w:firstLineChars="200"/>
        <w:rPr>
          <w:rFonts w:ascii="宋体" w:hAnsi="宋体"/>
          <w:color w:val="auto"/>
          <w:szCs w:val="21"/>
          <w:highlight w:val="none"/>
        </w:rPr>
      </w:pPr>
      <w:bookmarkStart w:id="2105" w:name="_Toc239510290"/>
      <w:bookmarkStart w:id="2106" w:name="_Toc532375701"/>
      <w:bookmarkStart w:id="2107" w:name="_Toc247418264"/>
      <w:bookmarkStart w:id="2108" w:name="_Toc247431424"/>
      <w:r>
        <w:rPr>
          <w:rFonts w:hint="eastAsia" w:ascii="宋体" w:hAnsi="宋体"/>
          <w:color w:val="auto"/>
          <w:szCs w:val="21"/>
          <w:highlight w:val="none"/>
        </w:rPr>
        <w:t>二、责任目标</w:t>
      </w:r>
      <w:bookmarkEnd w:id="2105"/>
      <w:bookmarkEnd w:id="2106"/>
      <w:bookmarkEnd w:id="2107"/>
      <w:bookmarkEnd w:id="2108"/>
    </w:p>
    <w:p w14:paraId="3459E84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（一）承包人承诺承担和履行合同和发包人所规定的安全责任，且满足要求。</w:t>
      </w:r>
    </w:p>
    <w:p w14:paraId="5A5807E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（二）承包人的安全控制目标是确保本工程在实施过程中：</w:t>
      </w:r>
    </w:p>
    <w:p w14:paraId="012DEB7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1．不发生人身重伤事故；</w:t>
      </w:r>
    </w:p>
    <w:p w14:paraId="433BF10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2．不发生火灾事故；</w:t>
      </w:r>
    </w:p>
    <w:p w14:paraId="411E5FB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3．不发生负有同等及以上事故责任的造成人身重伤的一般交通事故；</w:t>
      </w:r>
    </w:p>
    <w:p w14:paraId="5CE7B20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4．不发生集体食物中毒事件（同时5人及以上的食物中毒）；</w:t>
      </w:r>
    </w:p>
    <w:p w14:paraId="5A11B7D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5．不发生流行性传染病 （无甲型传染病、其他常见传染病未形成多人同时患病）；</w:t>
      </w:r>
    </w:p>
    <w:p w14:paraId="0621285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6．不发生重大环境污染事件（生活、工业垃圾及其他污染物造成环境污染和大面积水土流失）；</w:t>
      </w:r>
    </w:p>
    <w:p w14:paraId="5B118E1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7．不发生对施工区附近生产、生活造成重大影响的事件（如造成重大设备损坏、重大财产损失、人员伤害等）；</w:t>
      </w:r>
    </w:p>
    <w:p w14:paraId="7464100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8．不发生治安保卫事件（构成刑事拘留及以上的事件、盗窃直接损失超过1万元人民币的事件）。</w:t>
      </w:r>
    </w:p>
    <w:p w14:paraId="4B846310">
      <w:pPr>
        <w:spacing w:line="360" w:lineRule="auto"/>
        <w:ind w:firstLine="420" w:firstLineChars="200"/>
        <w:jc w:val="left"/>
        <w:rPr>
          <w:rFonts w:ascii="宋体" w:hAnsi="宋体"/>
          <w:color w:val="auto"/>
          <w:szCs w:val="21"/>
          <w:highlight w:val="none"/>
        </w:rPr>
      </w:pPr>
      <w:bookmarkStart w:id="2109" w:name="_Toc247418265"/>
      <w:bookmarkStart w:id="2110" w:name="_Toc239510291"/>
      <w:bookmarkStart w:id="2111" w:name="_Toc247431425"/>
      <w:r>
        <w:rPr>
          <w:rFonts w:hint="eastAsia" w:ascii="宋体" w:hAnsi="宋体"/>
          <w:color w:val="auto"/>
          <w:szCs w:val="21"/>
          <w:highlight w:val="none"/>
        </w:rPr>
        <w:t>（三）承包人承诺在施工中控制以下安全事故的发生：</w:t>
      </w:r>
      <w:bookmarkEnd w:id="2109"/>
      <w:bookmarkEnd w:id="2110"/>
      <w:bookmarkEnd w:id="2111"/>
    </w:p>
    <w:p w14:paraId="448AEC2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1．人员轻伤事故。</w:t>
      </w:r>
    </w:p>
    <w:p w14:paraId="2F39E30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2．负有同等及以上事故责任的人身轻伤交通事故。</w:t>
      </w:r>
    </w:p>
    <w:p w14:paraId="48FE02B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3．其他安全未遂事故和异常事件。</w:t>
      </w:r>
    </w:p>
    <w:p w14:paraId="653C00FF">
      <w:pPr>
        <w:spacing w:line="360" w:lineRule="auto"/>
        <w:ind w:firstLine="420" w:firstLineChars="200"/>
        <w:rPr>
          <w:rFonts w:ascii="宋体" w:hAnsi="宋体"/>
          <w:color w:val="auto"/>
          <w:szCs w:val="21"/>
          <w:highlight w:val="none"/>
        </w:rPr>
      </w:pPr>
      <w:bookmarkStart w:id="2112" w:name="_Toc532375702"/>
      <w:bookmarkStart w:id="2113" w:name="_Toc247431426"/>
      <w:bookmarkStart w:id="2114" w:name="_Toc247418266"/>
      <w:bookmarkStart w:id="2115" w:name="_Toc239510292"/>
      <w:r>
        <w:rPr>
          <w:rFonts w:hint="eastAsia" w:ascii="宋体" w:hAnsi="宋体"/>
          <w:color w:val="auto"/>
          <w:szCs w:val="21"/>
          <w:highlight w:val="none"/>
        </w:rPr>
        <w:t>三、安全责任</w:t>
      </w:r>
      <w:bookmarkEnd w:id="2112"/>
      <w:bookmarkEnd w:id="2113"/>
      <w:bookmarkEnd w:id="2114"/>
      <w:bookmarkEnd w:id="2115"/>
    </w:p>
    <w:p w14:paraId="6A18F74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1．承包人负有安全生产的管理责任和直接责任。</w:t>
      </w:r>
    </w:p>
    <w:p w14:paraId="15F9B5A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2．承包人的法人或签署合同的公司总经理或受委托的代理人对合同安全负有全面的领导责任。</w:t>
      </w:r>
    </w:p>
    <w:p w14:paraId="5A04BBC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3．承包人项目经理对施工现场的安全工作负有全面的直接领导责任。</w:t>
      </w:r>
    </w:p>
    <w:p w14:paraId="7B5BCBB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4．承包人保证执行“谁施工、谁负责”的施工安全原则。</w:t>
      </w:r>
    </w:p>
    <w:p w14:paraId="2F1B95A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5．承包人保证服从发包人对安全工作的统一协调和管理。</w:t>
      </w:r>
    </w:p>
    <w:p w14:paraId="5F68738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6．承包人保证对本工程项目安全生产条件及其管理资源自行投入，保证安全资金的专款专用。</w:t>
      </w:r>
    </w:p>
    <w:p w14:paraId="42EF967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7．承包人保证建立本工程项目的安全管理体系及安全保证体系（注：项目安全管理大纲/手册、管理性的程序文件等）。</w:t>
      </w:r>
    </w:p>
    <w:p w14:paraId="1D8881A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8．承包人保证现场的安全管理专职人员必须持有建设主管部门安全生产培训考核合格证书。</w:t>
      </w:r>
    </w:p>
    <w:p w14:paraId="68024E4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9．承包人保证为现场所有工作人员（含分包商员工及劳务人员）配备符合国家标准的有承包人和/或其下属分包商标志的个人基本劳动保护用品。</w:t>
      </w:r>
    </w:p>
    <w:p w14:paraId="7D6E4B7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10．承包人保证按照国家法律规定为现场所有工作人员（含分包商员工及劳务人员）购买意外伤害保险。</w:t>
      </w:r>
    </w:p>
    <w:p w14:paraId="21FBBC3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11．承包人保证施工生活营地（包括自建的和租用的营地）满足消防、安全用电、卫生防疫、防暴雨、防雷击等方面的安全要求。</w:t>
      </w:r>
    </w:p>
    <w:p w14:paraId="7281C16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12．承包人保证对带入现场的设备、工具、材料按照国家法规和标准进行检测、试验，并持有法定部门出具的检验证书。</w:t>
      </w:r>
    </w:p>
    <w:p w14:paraId="4B3F799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13．承包人保证制订施工现场的文明施工措施，保护环境、树木和植被，保持施工现场的良好秩序和整洁的作业环境。</w:t>
      </w:r>
    </w:p>
    <w:p w14:paraId="62BDAD0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14．承包人负责在施工过程中与当地政府、周边群众及其他承包商保持良好的沟通和交流。承包人遇到与周边群众发生纠纷时，应负责协调工作，确保工程能够顺利进行。</w:t>
      </w:r>
    </w:p>
    <w:p w14:paraId="3E2C61D3">
      <w:pPr>
        <w:spacing w:line="360" w:lineRule="auto"/>
        <w:ind w:firstLine="420" w:firstLineChars="200"/>
        <w:rPr>
          <w:rFonts w:ascii="宋体" w:hAnsi="宋体"/>
          <w:color w:val="auto"/>
          <w:szCs w:val="21"/>
          <w:highlight w:val="none"/>
        </w:rPr>
      </w:pPr>
      <w:bookmarkStart w:id="2116" w:name="_Toc247418267"/>
      <w:bookmarkStart w:id="2117" w:name="_Toc247431427"/>
      <w:bookmarkStart w:id="2118" w:name="_Toc532375703"/>
      <w:bookmarkStart w:id="2119" w:name="_Toc239510293"/>
      <w:r>
        <w:rPr>
          <w:rFonts w:hint="eastAsia" w:ascii="宋体" w:hAnsi="宋体"/>
          <w:color w:val="auto"/>
          <w:szCs w:val="21"/>
          <w:highlight w:val="none"/>
        </w:rPr>
        <w:t>四、接口及协调</w:t>
      </w:r>
      <w:bookmarkEnd w:id="2116"/>
      <w:bookmarkEnd w:id="2117"/>
      <w:bookmarkEnd w:id="2118"/>
      <w:bookmarkEnd w:id="2119"/>
    </w:p>
    <w:p w14:paraId="64F956C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1．发包人委托监理公司对该工程实施监理，监理公司在安全管理方面代表发包人行使监督检查职能，承包人必须给予配合和支持。</w:t>
      </w:r>
    </w:p>
    <w:p w14:paraId="7E967C5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2．承包人人员、车辆的出入，带入现场的设备、机具、材料，在现场使用的或直接管理的办公、生活、生产性设施的安全管理须满足发包人现场管理的基本要求。</w:t>
      </w:r>
    </w:p>
    <w:p w14:paraId="3F176BE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3．承包人应指定专职安全管理人员与发包人委托的监理公司接口，参与安全协调和管理。安全协调和管理的内容包括职业健康、工业安全、消防安全、卫生防疫、交通安全、环境保护、治安保卫等各方面。</w:t>
      </w:r>
    </w:p>
    <w:p w14:paraId="3F9F620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承包人的专职安全管理人员应具备协调安全工作的能力和授权。发包人委托的监理公司有权对专职安全管理人员的能力和权力做出评价，对于不能胜任的专职安全管理人员，发包人委托的监理公司有权要求承包人换人。</w:t>
      </w:r>
    </w:p>
    <w:p w14:paraId="488B7E2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5．承包人指定的专职安全管理人员应与发包人委托的监理公司建立联系，在业务上接受发包人委托的监理公司的协调和指导。</w:t>
      </w:r>
    </w:p>
    <w:p w14:paraId="0E82937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6．开工后承包人的专职安全管理人员应按照发包人委托的监理公司的规定，定期报送安全月度快报、季报、年报和各种专项事故报告等。</w:t>
      </w:r>
    </w:p>
    <w:p w14:paraId="761E65C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7．在工程实体未全部正式移交发包人施工管理部门之前，承包人依旧对施工范围内的安全管理负责。</w:t>
      </w:r>
    </w:p>
    <w:p w14:paraId="651039AD">
      <w:pPr>
        <w:spacing w:line="360" w:lineRule="auto"/>
        <w:ind w:firstLine="420" w:firstLineChars="200"/>
        <w:rPr>
          <w:rFonts w:ascii="宋体" w:hAnsi="宋体"/>
          <w:color w:val="auto"/>
          <w:szCs w:val="21"/>
          <w:highlight w:val="none"/>
        </w:rPr>
      </w:pPr>
      <w:bookmarkStart w:id="2120" w:name="_Toc239510294"/>
      <w:bookmarkStart w:id="2121" w:name="_Toc247431428"/>
      <w:bookmarkStart w:id="2122" w:name="_Toc532375704"/>
      <w:bookmarkStart w:id="2123" w:name="_Toc247418268"/>
      <w:r>
        <w:rPr>
          <w:rFonts w:hint="eastAsia" w:ascii="宋体" w:hAnsi="宋体"/>
          <w:color w:val="auto"/>
          <w:szCs w:val="21"/>
          <w:highlight w:val="none"/>
        </w:rPr>
        <w:t>五、安全资质审查</w:t>
      </w:r>
      <w:bookmarkEnd w:id="2120"/>
      <w:bookmarkEnd w:id="2121"/>
      <w:bookmarkEnd w:id="2122"/>
      <w:bookmarkEnd w:id="2123"/>
    </w:p>
    <w:p w14:paraId="4AE6515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承包人在项目开工前5个工作天内向发包人委托的监理公司提供以下安全资质供审查和存档：</w:t>
      </w:r>
    </w:p>
    <w:p w14:paraId="3870FB7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1．企业安全生产许可证书复印件。</w:t>
      </w:r>
    </w:p>
    <w:p w14:paraId="1A41EF2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2．企业近三年的施工简历及安全施工业绩证明文件。</w:t>
      </w:r>
    </w:p>
    <w:p w14:paraId="2573912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3．企业主要安全管理人员（包括项目经理、专职安全管理人员）经建设主管部门安全生产知识考核合格证书。</w:t>
      </w:r>
    </w:p>
    <w:p w14:paraId="4DF09E4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4．特种作业人员资格证书。</w:t>
      </w:r>
    </w:p>
    <w:p w14:paraId="2D9FC76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5．项目安全管理机构及其人员配备（承包人必须配有专职的安全员）。</w:t>
      </w:r>
    </w:p>
    <w:p w14:paraId="5184777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6．适用于项目的安全管理体系及保证体系文件（安全管理大纲及管理程序文件）。</w:t>
      </w:r>
    </w:p>
    <w:p w14:paraId="222F3B67">
      <w:pPr>
        <w:spacing w:line="360" w:lineRule="auto"/>
        <w:ind w:firstLine="420" w:firstLineChars="200"/>
        <w:rPr>
          <w:rFonts w:ascii="宋体" w:hAnsi="宋体"/>
          <w:color w:val="auto"/>
          <w:szCs w:val="21"/>
          <w:highlight w:val="none"/>
        </w:rPr>
      </w:pPr>
      <w:bookmarkStart w:id="2124" w:name="_Toc239510295"/>
      <w:bookmarkStart w:id="2125" w:name="_Toc247418269"/>
      <w:bookmarkStart w:id="2126" w:name="_Toc247431429"/>
      <w:bookmarkStart w:id="2127" w:name="_Toc532375705"/>
      <w:r>
        <w:rPr>
          <w:rFonts w:hint="eastAsia" w:ascii="宋体" w:hAnsi="宋体"/>
          <w:color w:val="auto"/>
          <w:szCs w:val="21"/>
          <w:highlight w:val="none"/>
        </w:rPr>
        <w:t>六、人员基本素质</w:t>
      </w:r>
      <w:bookmarkEnd w:id="2124"/>
      <w:bookmarkEnd w:id="2125"/>
      <w:bookmarkEnd w:id="2126"/>
      <w:bookmarkEnd w:id="2127"/>
    </w:p>
    <w:p w14:paraId="313C820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承包人提供的人员必须满足下列要求：</w:t>
      </w:r>
    </w:p>
    <w:p w14:paraId="4749F8D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1．身体健康，无影响工作的精神疾病、无传染病和其他重大疾病；承包人需对其雇用的施工人员签发健康声明并保证其健康。其中体检证明材料（县级以上医院）和健康声明作为人员办理入场证件的必备材料。</w:t>
      </w:r>
    </w:p>
    <w:p w14:paraId="205054D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2．无刑事案件牵连。</w:t>
      </w:r>
    </w:p>
    <w:p w14:paraId="188CADE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3．无吸毒、酗酒、赌博、嫖娼等恶习及违法行为。</w:t>
      </w:r>
    </w:p>
    <w:p w14:paraId="4CC14D24">
      <w:pPr>
        <w:spacing w:line="360" w:lineRule="auto"/>
        <w:ind w:firstLine="420" w:firstLineChars="200"/>
        <w:rPr>
          <w:rFonts w:ascii="宋体" w:hAnsi="宋体"/>
          <w:color w:val="auto"/>
          <w:szCs w:val="21"/>
          <w:highlight w:val="none"/>
        </w:rPr>
      </w:pPr>
      <w:bookmarkStart w:id="2128" w:name="_Toc247431430"/>
      <w:bookmarkStart w:id="2129" w:name="_Toc247418270"/>
      <w:bookmarkStart w:id="2130" w:name="_Toc532375706"/>
      <w:bookmarkStart w:id="2131" w:name="_Toc239510296"/>
      <w:r>
        <w:rPr>
          <w:rFonts w:hint="eastAsia" w:ascii="宋体" w:hAnsi="宋体"/>
          <w:color w:val="auto"/>
          <w:szCs w:val="21"/>
          <w:highlight w:val="none"/>
        </w:rPr>
        <w:t>七、劳动保护</w:t>
      </w:r>
      <w:bookmarkEnd w:id="2128"/>
      <w:bookmarkEnd w:id="2129"/>
      <w:bookmarkEnd w:id="2130"/>
      <w:bookmarkEnd w:id="2131"/>
    </w:p>
    <w:p w14:paraId="5E4129A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1．承包人负责为本单位任何用工形式的员工提供个人劳动保护用品（包括工作服、安全帽、安全鞋等）。</w:t>
      </w:r>
    </w:p>
    <w:p w14:paraId="2AA0527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2．承包人负责向特殊工种的员工提供特殊劳动保护，否则不得从事特殊工种作业。</w:t>
      </w:r>
    </w:p>
    <w:p w14:paraId="476C87F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3．发包人委托的监理公司有权检查承包人的个人劳动保护用品是否符合国家的相应标准。</w:t>
      </w:r>
    </w:p>
    <w:p w14:paraId="55F4908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 承包人在特殊风险场所作业而需要特殊防护用品或安全仪表时，必须在上述防护用品全部到位后才能开工。</w:t>
      </w:r>
    </w:p>
    <w:p w14:paraId="2C9C25D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5．承包人应配备临时安全围栏、警示带、警告标志、防火布等集体防护用品。</w:t>
      </w:r>
    </w:p>
    <w:p w14:paraId="48DB04B9">
      <w:pPr>
        <w:spacing w:line="360" w:lineRule="auto"/>
        <w:ind w:firstLine="420" w:firstLineChars="200"/>
        <w:rPr>
          <w:rFonts w:ascii="宋体" w:hAnsi="宋体"/>
          <w:color w:val="auto"/>
          <w:szCs w:val="21"/>
          <w:highlight w:val="none"/>
        </w:rPr>
      </w:pPr>
      <w:bookmarkStart w:id="2132" w:name="_Toc247431431"/>
      <w:bookmarkStart w:id="2133" w:name="_Toc239510297"/>
      <w:bookmarkStart w:id="2134" w:name="_Toc532375707"/>
      <w:bookmarkStart w:id="2135" w:name="_Toc247418271"/>
      <w:r>
        <w:rPr>
          <w:rFonts w:hint="eastAsia" w:ascii="宋体" w:hAnsi="宋体"/>
          <w:color w:val="auto"/>
          <w:szCs w:val="21"/>
          <w:highlight w:val="none"/>
        </w:rPr>
        <w:t>八、施工机具与材料</w:t>
      </w:r>
      <w:bookmarkEnd w:id="2132"/>
      <w:bookmarkEnd w:id="2133"/>
      <w:bookmarkEnd w:id="2134"/>
      <w:bookmarkEnd w:id="2135"/>
    </w:p>
    <w:p w14:paraId="6BEC10D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1．承包人对带入现场的施工机械和工器具的安全负责。</w:t>
      </w:r>
    </w:p>
    <w:p w14:paraId="6EA6DDD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2．对于承包人带入现场的特殊工器具，如起重设备、索具、机动车辆、压缩气瓶等，承包人必须按国家法规和标准进行检测、试验，并持有法定部门出具的检验证书。</w:t>
      </w:r>
    </w:p>
    <w:p w14:paraId="3623BDF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3．对于不属于法定检测的工器具，承包人也必须建立相应的管理、检测制度，这些工器具包括登高工具、脚手架材料、电动工具、安全防护设备及用具等。</w:t>
      </w:r>
    </w:p>
    <w:p w14:paraId="12B7F2FF">
      <w:pPr>
        <w:spacing w:line="360" w:lineRule="auto"/>
        <w:ind w:firstLine="420" w:firstLineChars="200"/>
        <w:rPr>
          <w:rFonts w:ascii="宋体" w:hAnsi="宋体"/>
          <w:color w:val="auto"/>
          <w:szCs w:val="21"/>
          <w:highlight w:val="none"/>
        </w:rPr>
      </w:pPr>
      <w:bookmarkStart w:id="2136" w:name="_Toc239510298"/>
      <w:bookmarkStart w:id="2137" w:name="_Toc532375708"/>
      <w:bookmarkStart w:id="2138" w:name="_Toc247418272"/>
      <w:bookmarkStart w:id="2139" w:name="_Toc247431432"/>
      <w:r>
        <w:rPr>
          <w:rFonts w:hint="eastAsia" w:ascii="宋体" w:hAnsi="宋体"/>
          <w:color w:val="auto"/>
          <w:szCs w:val="21"/>
          <w:highlight w:val="none"/>
        </w:rPr>
        <w:t>九、开工前安全条件检查</w:t>
      </w:r>
      <w:bookmarkEnd w:id="2136"/>
      <w:bookmarkEnd w:id="2137"/>
      <w:bookmarkEnd w:id="2138"/>
      <w:bookmarkEnd w:id="2139"/>
    </w:p>
    <w:p w14:paraId="547397B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发包人委托的监理公司将在合同生效后，工程项目正式开工5个工作日前，依据合同安全条款的要求逐项对承包人安全准备情况进行检查。不满足开工安全条件时，承包人将不得开工，由此产生的工期和成本的影响，由承包人自行负责。</w:t>
      </w:r>
    </w:p>
    <w:p w14:paraId="15E2B22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开工前安全条件检查的基本内容包括：安全管理体系建设、安全资金投入、危险源识别和安全风险分析、施工机械的安全状况、安全工器具和材料、安全培训教材和教员、专职安全人员的到岗情况、培训的有效性、人员控制、个人劳动保护用品配备等内容。</w:t>
      </w:r>
    </w:p>
    <w:p w14:paraId="4187B95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3．发包人委托的监理公司检查发现的缺陷，承包人应在规定期限内完成整改。对于重大缺陷，发包人委托的监理公司有权要求承包人推迟开工，由此对工期产生的影响或经济损失，由承包人承担。</w:t>
      </w:r>
    </w:p>
    <w:p w14:paraId="523FABB9">
      <w:pPr>
        <w:spacing w:line="360" w:lineRule="auto"/>
        <w:ind w:firstLine="420" w:firstLineChars="200"/>
        <w:rPr>
          <w:rFonts w:ascii="宋体" w:hAnsi="宋体"/>
          <w:color w:val="auto"/>
          <w:szCs w:val="21"/>
          <w:highlight w:val="none"/>
        </w:rPr>
      </w:pPr>
      <w:bookmarkStart w:id="2140" w:name="_Toc239510299"/>
      <w:bookmarkStart w:id="2141" w:name="_Toc247431433"/>
      <w:bookmarkStart w:id="2142" w:name="_Toc532375709"/>
      <w:bookmarkStart w:id="2143" w:name="_Toc247418273"/>
      <w:r>
        <w:rPr>
          <w:rFonts w:hint="eastAsia" w:ascii="宋体" w:hAnsi="宋体"/>
          <w:color w:val="auto"/>
          <w:szCs w:val="21"/>
          <w:highlight w:val="none"/>
        </w:rPr>
        <w:t>十、安全监督</w:t>
      </w:r>
      <w:bookmarkEnd w:id="2140"/>
      <w:bookmarkEnd w:id="2141"/>
      <w:bookmarkEnd w:id="2142"/>
      <w:bookmarkEnd w:id="2143"/>
    </w:p>
    <w:p w14:paraId="303AC32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1．承包人应配备有满足项目安全管理需要的专职安全管理人员。</w:t>
      </w:r>
    </w:p>
    <w:p w14:paraId="6353B02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2．承包人的专职安全管理人员必须持建设主管部门颁发的安全生产知识考核合格证书。</w:t>
      </w:r>
    </w:p>
    <w:p w14:paraId="62A0D6B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3．承包人的专职安全管理人员在业务上接受发包人委托的监理公司和发包人安全管理部门的协调和指导。</w:t>
      </w:r>
    </w:p>
    <w:p w14:paraId="5D00136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4．承包人应建立班前安全交底制度；施工期间坚持开展安全检查和日常安全监督并形成相应的记录。</w:t>
      </w:r>
    </w:p>
    <w:p w14:paraId="4A277C9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5．承包人应在每个作业区任命兼职安全员，赋予兼职安全员相应的授权和义务，并对兼职安全员进行定期考核。</w:t>
      </w:r>
    </w:p>
    <w:p w14:paraId="24813FF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6．承包人应接受和配合发包人专业部门及委托的监理公司的监督与安全评价。</w:t>
      </w:r>
    </w:p>
    <w:p w14:paraId="7AC6BBB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7．发包人和委托的监理公司有权对承包人履行安全管理协议的情况进行监督，并有权对违章行为实行停工和处罚，处罚情况将通知承包人。涉及经济处罚时将直接通知合同管理部门从合同结算中扣除。</w:t>
      </w:r>
    </w:p>
    <w:p w14:paraId="0DE95050">
      <w:pPr>
        <w:spacing w:line="360" w:lineRule="auto"/>
        <w:ind w:firstLine="420" w:firstLineChars="200"/>
        <w:rPr>
          <w:rFonts w:ascii="宋体" w:hAnsi="宋体"/>
          <w:color w:val="auto"/>
          <w:szCs w:val="21"/>
          <w:highlight w:val="none"/>
        </w:rPr>
      </w:pPr>
      <w:bookmarkStart w:id="2144" w:name="_Toc247431434"/>
      <w:bookmarkStart w:id="2145" w:name="_Toc247418274"/>
      <w:bookmarkStart w:id="2146" w:name="_Toc532375710"/>
      <w:bookmarkStart w:id="2147" w:name="_Toc239510300"/>
      <w:r>
        <w:rPr>
          <w:rFonts w:hint="eastAsia" w:ascii="宋体" w:hAnsi="宋体"/>
          <w:color w:val="auto"/>
          <w:szCs w:val="21"/>
          <w:highlight w:val="none"/>
        </w:rPr>
        <w:t>十一、安全培训与授权</w:t>
      </w:r>
      <w:bookmarkEnd w:id="2144"/>
      <w:bookmarkEnd w:id="2145"/>
      <w:bookmarkEnd w:id="2146"/>
      <w:bookmarkEnd w:id="2147"/>
    </w:p>
    <w:p w14:paraId="2B7686E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1．承包人所有特殊工种人员必须持证上岗，发包人和发包人委托的监理公司有权对其进行抽查。承包人要建立特殊工种定期培训和检查计划，这些工种包括但不限于：机动车驾驶员、焊工、起重工、电工等。</w:t>
      </w:r>
    </w:p>
    <w:p w14:paraId="64FA261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2．承包人应在特殊工种之外的其他工种中，筛选出高风险工种，并对其开展针对性的专题安全培训。</w:t>
      </w:r>
    </w:p>
    <w:p w14:paraId="40AB7F4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3．承包人应组织 “入场培训”和考核。发包人委托的监理公司有权监督培训、考核情况或组织抽查考核。</w:t>
      </w:r>
    </w:p>
    <w:p w14:paraId="1DD39ED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4．承包人应建立安全培训和考核机制，编制培训教材和培训滚动计划。承包人应组织安全考试/考核，建立培训考核记录，发包人委托的监理公司有权查看这些记录。</w:t>
      </w:r>
    </w:p>
    <w:p w14:paraId="6968B24A">
      <w:pPr>
        <w:spacing w:line="360" w:lineRule="auto"/>
        <w:ind w:firstLine="420" w:firstLineChars="200"/>
        <w:rPr>
          <w:rFonts w:ascii="宋体" w:hAnsi="宋体"/>
          <w:color w:val="auto"/>
          <w:szCs w:val="21"/>
          <w:highlight w:val="none"/>
        </w:rPr>
      </w:pPr>
      <w:bookmarkStart w:id="2148" w:name="_Toc239510301"/>
      <w:bookmarkStart w:id="2149" w:name="_Toc247431435"/>
      <w:bookmarkStart w:id="2150" w:name="_Toc532375711"/>
      <w:bookmarkStart w:id="2151" w:name="_Toc247418275"/>
      <w:r>
        <w:rPr>
          <w:rFonts w:hint="eastAsia" w:ascii="宋体" w:hAnsi="宋体"/>
          <w:color w:val="auto"/>
          <w:szCs w:val="21"/>
          <w:highlight w:val="none"/>
        </w:rPr>
        <w:t>十二、职业健康与卫生防疫</w:t>
      </w:r>
      <w:bookmarkEnd w:id="2148"/>
      <w:bookmarkEnd w:id="2149"/>
      <w:bookmarkEnd w:id="2150"/>
      <w:bookmarkEnd w:id="2151"/>
    </w:p>
    <w:p w14:paraId="021B021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1．承包人应有特殊健康检查制度，预防有禁忌症患者从事有关职业，如恐高症患者不得从事高空作业，患有心血管疾病的人员不得从事繁重的体力劳动，特殊工种人员的体检应符合国家的规定。</w:t>
      </w:r>
    </w:p>
    <w:p w14:paraId="2BE3221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2．承包人应保证卫生防疫基本设施的投入，以满足医疗、急救的要求，建立外部医疗支持渠道。</w:t>
      </w:r>
    </w:p>
    <w:p w14:paraId="24D2D8C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应建立卫生防疫措施计划，做好生活区和施工区的卫生防疫工作；制定和执行保证饮水卫生、饮食卫生、环境卫生和预防集体食物中毒的措施；有灭蚊、灭鼠和消毒的专项工作计划；有针对性地制订预防SARS、禽流感、疟疾、霍乱、肠道传染病、肝炎、H1N1流感等疾病的措施。</w:t>
      </w:r>
    </w:p>
    <w:p w14:paraId="6374B5A6">
      <w:pPr>
        <w:spacing w:line="360" w:lineRule="auto"/>
        <w:ind w:firstLine="420" w:firstLineChars="200"/>
        <w:rPr>
          <w:rFonts w:ascii="宋体" w:hAnsi="宋体"/>
          <w:color w:val="auto"/>
          <w:szCs w:val="21"/>
          <w:highlight w:val="none"/>
        </w:rPr>
      </w:pPr>
      <w:bookmarkStart w:id="2152" w:name="_Toc239510302"/>
      <w:bookmarkStart w:id="2153" w:name="_Toc532375712"/>
      <w:bookmarkStart w:id="2154" w:name="_Toc247418276"/>
      <w:bookmarkStart w:id="2155" w:name="_Toc247431436"/>
      <w:r>
        <w:rPr>
          <w:rFonts w:hint="eastAsia" w:ascii="宋体" w:hAnsi="宋体"/>
          <w:color w:val="auto"/>
          <w:szCs w:val="21"/>
          <w:highlight w:val="none"/>
        </w:rPr>
        <w:t>十三、文明施工与环保要求</w:t>
      </w:r>
      <w:bookmarkEnd w:id="2152"/>
      <w:bookmarkEnd w:id="2153"/>
      <w:bookmarkEnd w:id="2154"/>
      <w:bookmarkEnd w:id="2155"/>
    </w:p>
    <w:p w14:paraId="6F5110B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1．承包人需制订施工现场的文明施工措施，保持良好的施工现场秩序。施工现场的物料堆放要摆放整齐，安全标志和宣传标志要清楚醒目，废料、废物要分类收集，安全通道要畅通。</w:t>
      </w:r>
    </w:p>
    <w:p w14:paraId="5DA715A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2．承包人作业时应避免建筑材料抛洒、飞扬、流淌；应尽可能降低噪音、震动。</w:t>
      </w:r>
    </w:p>
    <w:p w14:paraId="7605DA1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3．承包人应根据实际需要，在施工现场布置临时卫生设施（洗手间、卫生间等），施工作业不破坏环境卫生，不污染现场环境。</w:t>
      </w:r>
    </w:p>
    <w:p w14:paraId="4C7A776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4．承包人在施工中应充分重视对环境的保护，保护绿色植被，保护古树。施工如需伤害古树，必须报告发包人委托的监理公司，在未得到指令前，禁止擅自伤害古树。</w:t>
      </w:r>
    </w:p>
    <w:p w14:paraId="749528E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承包人应及时清理现场废物和垃圾。工业废料与生活垃圾必须分开，有害废物与普通废物必须分开（如油品废物、电池灯管等，必须单独收集、存放）；禁止在非指定场所乱倒、乱堆垃圾。禁止违章处理危险化学品和工业垃圾。</w:t>
      </w:r>
    </w:p>
    <w:p w14:paraId="15FD6F3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6．承包人在施工中应禁止向环境，排放工业污水、生活污水、废油或其他有害物质。</w:t>
      </w:r>
    </w:p>
    <w:p w14:paraId="7716CE4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承包人在施工中应防止水土流失，应及时对裸露的地基、边坡、开挖出来的沙/土以及砂、石、水泥等建筑材料予以保护，防止风刮扬尘，雨水冲刷，流入下水道、排洪沟。如因防护不及时而造成大量水土流失、淤塞道路、沟道或污染环境的，承包人应承担清淤、清扫以及相应的赔偿责任。</w:t>
      </w:r>
    </w:p>
    <w:p w14:paraId="12F83058">
      <w:pPr>
        <w:spacing w:line="360" w:lineRule="auto"/>
        <w:ind w:firstLine="420" w:firstLineChars="200"/>
        <w:rPr>
          <w:rFonts w:ascii="宋体" w:hAnsi="宋体"/>
          <w:color w:val="auto"/>
          <w:szCs w:val="21"/>
          <w:highlight w:val="none"/>
        </w:rPr>
      </w:pPr>
      <w:bookmarkStart w:id="2156" w:name="_Toc532375713"/>
      <w:bookmarkStart w:id="2157" w:name="_Toc239510303"/>
      <w:bookmarkStart w:id="2158" w:name="_Toc247431437"/>
      <w:bookmarkStart w:id="2159" w:name="_Toc247418277"/>
      <w:r>
        <w:rPr>
          <w:rFonts w:hint="eastAsia" w:ascii="宋体" w:hAnsi="宋体"/>
          <w:color w:val="auto"/>
          <w:szCs w:val="21"/>
          <w:highlight w:val="none"/>
        </w:rPr>
        <w:t>十四、工程风险管理与事故预防</w:t>
      </w:r>
      <w:bookmarkEnd w:id="2156"/>
      <w:bookmarkEnd w:id="2157"/>
      <w:bookmarkEnd w:id="2158"/>
      <w:bookmarkEnd w:id="2159"/>
    </w:p>
    <w:p w14:paraId="63F15369">
      <w:pPr>
        <w:spacing w:line="360" w:lineRule="auto"/>
        <w:ind w:firstLine="420" w:firstLineChars="200"/>
        <w:jc w:val="left"/>
        <w:rPr>
          <w:rFonts w:ascii="宋体" w:hAnsi="宋体"/>
          <w:color w:val="auto"/>
          <w:szCs w:val="21"/>
          <w:highlight w:val="none"/>
        </w:rPr>
      </w:pPr>
      <w:bookmarkStart w:id="2160" w:name="_Toc247431438"/>
      <w:bookmarkStart w:id="2161" w:name="_Toc247418278"/>
      <w:bookmarkStart w:id="2162" w:name="_Toc239510304"/>
      <w:r>
        <w:rPr>
          <w:rFonts w:hint="eastAsia" w:ascii="宋体" w:hAnsi="宋体"/>
          <w:color w:val="auto"/>
          <w:szCs w:val="21"/>
          <w:highlight w:val="none"/>
        </w:rPr>
        <w:t>（一）基本要求</w:t>
      </w:r>
      <w:bookmarkEnd w:id="2160"/>
      <w:bookmarkEnd w:id="2161"/>
      <w:bookmarkEnd w:id="2162"/>
    </w:p>
    <w:p w14:paraId="0DB176A7">
      <w:pPr>
        <w:spacing w:line="360" w:lineRule="auto"/>
        <w:ind w:firstLine="420" w:firstLineChars="200"/>
        <w:jc w:val="left"/>
        <w:rPr>
          <w:rFonts w:ascii="宋体" w:hAnsi="宋体"/>
          <w:color w:val="auto"/>
          <w:szCs w:val="21"/>
          <w:highlight w:val="none"/>
        </w:rPr>
      </w:pPr>
      <w:bookmarkStart w:id="2163" w:name="_Toc532375714"/>
      <w:r>
        <w:rPr>
          <w:rFonts w:hint="eastAsia" w:ascii="宋体" w:hAnsi="宋体"/>
          <w:color w:val="auto"/>
          <w:szCs w:val="21"/>
          <w:highlight w:val="none"/>
        </w:rPr>
        <w:t>1．承包人应对施工过程进行全面、深入的危险源识别和风险分析。在施工安全组织设计中提供危险源及重要危险源清单、作业风险分析报告，该报告应包括（但不限于）如下信息：</w:t>
      </w:r>
      <w:bookmarkEnd w:id="2163"/>
    </w:p>
    <w:p w14:paraId="3CA1132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（1）高风险作业和工种清单：作业名称、类别和数量、主要事故风险。</w:t>
      </w:r>
    </w:p>
    <w:p w14:paraId="1F275BE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（2）施工能源和机械的种类、数量和主要事故风险。</w:t>
      </w:r>
    </w:p>
    <w:p w14:paraId="780923B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（3）施工作业条件的类型和主要事故风险。</w:t>
      </w:r>
    </w:p>
    <w:p w14:paraId="678EF95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（4）主要工艺过程（或施工活动）的类别及其相关的事故风险。</w:t>
      </w:r>
    </w:p>
    <w:p w14:paraId="786085C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（5）主要火灾危险（可燃物、点火源）。</w:t>
      </w:r>
    </w:p>
    <w:p w14:paraId="4EF1BC2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（6）主要自然灾害（洪水、大风、雷暴、暴雨、地质灾害等）。</w:t>
      </w:r>
    </w:p>
    <w:p w14:paraId="44ABD8C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（7）主要环境保护事件（有害垃圾、机械的跑冒滴漏、原材料流失、水土流失等）。</w:t>
      </w:r>
    </w:p>
    <w:p w14:paraId="2CE168A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（8）其他。</w:t>
      </w:r>
    </w:p>
    <w:p w14:paraId="40B0123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2．承包人应针对识别出的危险源制定有针对性的事故预防措施并确保在施工中得到有效落实。</w:t>
      </w:r>
    </w:p>
    <w:p w14:paraId="00ABF7D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3．承包人应建立日常施工活动的动态作业风险分析和安全交底制度。该制度应明确规定风险分析的方法、责任和交底的内容、时间及记录。</w:t>
      </w:r>
    </w:p>
    <w:p w14:paraId="221D9845">
      <w:pPr>
        <w:spacing w:line="360" w:lineRule="auto"/>
        <w:ind w:firstLine="420" w:firstLineChars="200"/>
        <w:jc w:val="left"/>
        <w:rPr>
          <w:rFonts w:ascii="宋体" w:hAnsi="宋体"/>
          <w:color w:val="auto"/>
          <w:szCs w:val="21"/>
          <w:highlight w:val="none"/>
        </w:rPr>
      </w:pPr>
      <w:bookmarkStart w:id="2164" w:name="_Toc247431439"/>
      <w:bookmarkStart w:id="2165" w:name="_Toc239510305"/>
      <w:bookmarkStart w:id="2166" w:name="_Toc247418279"/>
      <w:r>
        <w:rPr>
          <w:rFonts w:hint="eastAsia" w:ascii="宋体" w:hAnsi="宋体"/>
          <w:color w:val="auto"/>
          <w:szCs w:val="21"/>
          <w:highlight w:val="none"/>
        </w:rPr>
        <w:t>（二）现场作业基本安全条件</w:t>
      </w:r>
      <w:bookmarkEnd w:id="2164"/>
      <w:bookmarkEnd w:id="2165"/>
      <w:bookmarkEnd w:id="2166"/>
    </w:p>
    <w:p w14:paraId="2C9D696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应规定现场作业的基本安全条件，包括照明条件、通风条件、作业平台和通道条件、物料堆放条件、供电供水条件、吸烟点、休息点等，并对临边现场、道路上作业现场、立体交叉作业现场、地面坑洞和沟道、夜间作业现场等的基本安全条件做出规定。</w:t>
      </w:r>
    </w:p>
    <w:p w14:paraId="0E12AA4B">
      <w:pPr>
        <w:spacing w:line="360" w:lineRule="auto"/>
        <w:ind w:firstLine="420" w:firstLineChars="200"/>
        <w:rPr>
          <w:rFonts w:ascii="宋体" w:hAnsi="宋体"/>
          <w:color w:val="auto"/>
          <w:szCs w:val="21"/>
          <w:highlight w:val="none"/>
        </w:rPr>
      </w:pPr>
      <w:bookmarkStart w:id="2167" w:name="_Toc247431440"/>
      <w:bookmarkStart w:id="2168" w:name="_Toc247418280"/>
      <w:bookmarkStart w:id="2169" w:name="_Toc532375715"/>
      <w:bookmarkStart w:id="2170" w:name="_Toc239510306"/>
      <w:r>
        <w:rPr>
          <w:rFonts w:hint="eastAsia" w:ascii="宋体" w:hAnsi="宋体"/>
          <w:color w:val="auto"/>
          <w:szCs w:val="21"/>
          <w:highlight w:val="none"/>
        </w:rPr>
        <w:t>十五、事故报告与应急救援</w:t>
      </w:r>
      <w:bookmarkEnd w:id="2167"/>
      <w:bookmarkEnd w:id="2168"/>
      <w:bookmarkEnd w:id="2169"/>
      <w:bookmarkEnd w:id="2170"/>
    </w:p>
    <w:p w14:paraId="42EB0EE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1．承包人应制定对于未遂事故及以上级别的安全事件和事故，定期报送安全月度快报、季报、年报和各种专项事故报告等。</w:t>
      </w:r>
    </w:p>
    <w:p w14:paraId="2126E53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2．承包人应建立安全事故统计记录、未遂事故统计记录、违章统计记录，并根据统计情况进行分析，并就分析结果制定相应的预防措施。</w:t>
      </w:r>
    </w:p>
    <w:p w14:paraId="57544A4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3．承包人应建立事故应急救援机制，明确事故处置的基本原则，即现场发生事故时，首先抢救生命，向救援组织报警，并采取措施限制事故扩大。</w:t>
      </w:r>
    </w:p>
    <w:p w14:paraId="2C99D88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4．承包人应建立相应的应急响应组织，以便能迅速处理突发意外。</w:t>
      </w:r>
    </w:p>
    <w:p w14:paraId="09978DD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5．承包人应建立专项应急响应预案，包括重大人身伤亡事故的救护预案、火灾响应预案、“四防”预案（防风、防冻、防雷、防暴雨）、重大疫病防护预案、环境污染防护预案、地质灾害防护预案等。</w:t>
      </w:r>
    </w:p>
    <w:p w14:paraId="62D6C9D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6．承包人应对应急预案进行适当演练，保证应急预案的可操作性。</w:t>
      </w:r>
    </w:p>
    <w:p w14:paraId="29D6D8E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7．在工地的其他施工单位发生重大事故时，承包人应无条件立即配合、支持事故抢险。</w:t>
      </w:r>
    </w:p>
    <w:p w14:paraId="5459909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8．承包人必须为事故处置支付各项费用，包括受伤者的抚恤、补偿等费用，并按合同要求赔偿对发包人造成的损失。</w:t>
      </w:r>
    </w:p>
    <w:p w14:paraId="70A036B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9．由于发包人原因而造成的事故，发包人应负责按事故的具体损失情况给予承包人经济赔偿。</w:t>
      </w:r>
    </w:p>
    <w:p w14:paraId="779820E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10．涉及承包人员工的伤害事故，承包人除要报告发包人委托的监理公司外，还应负责按照国家、行业和本单位上级公司的要求，上报事故。</w:t>
      </w:r>
    </w:p>
    <w:p w14:paraId="25FFA3B4">
      <w:pPr>
        <w:spacing w:line="360" w:lineRule="auto"/>
        <w:ind w:firstLine="420" w:firstLineChars="200"/>
        <w:rPr>
          <w:rFonts w:ascii="宋体" w:hAnsi="宋体"/>
          <w:color w:val="auto"/>
          <w:szCs w:val="21"/>
          <w:highlight w:val="none"/>
        </w:rPr>
      </w:pPr>
      <w:bookmarkStart w:id="2171" w:name="_Toc247431441"/>
      <w:bookmarkStart w:id="2172" w:name="_Toc247418281"/>
      <w:bookmarkStart w:id="2173" w:name="_Toc532375716"/>
      <w:bookmarkStart w:id="2174" w:name="_Toc239510307"/>
      <w:r>
        <w:rPr>
          <w:rFonts w:hint="eastAsia" w:ascii="宋体" w:hAnsi="宋体"/>
          <w:color w:val="auto"/>
          <w:szCs w:val="21"/>
          <w:highlight w:val="none"/>
        </w:rPr>
        <w:t>十六、安全业绩考核</w:t>
      </w:r>
      <w:bookmarkEnd w:id="2171"/>
      <w:bookmarkEnd w:id="2172"/>
      <w:bookmarkEnd w:id="2173"/>
      <w:bookmarkEnd w:id="2174"/>
    </w:p>
    <w:p w14:paraId="6CED13B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为了落实安全管理的责任，承包人在施工过程中发生安全事故时，承包人除应按国家有关规定承担责任和处罚外，发包人还将按照以下标准进行考核：</w:t>
      </w:r>
    </w:p>
    <w:tbl>
      <w:tblPr>
        <w:tblStyle w:val="45"/>
        <w:tblW w:w="0" w:type="auto"/>
        <w:jc w:val="center"/>
        <w:tblLayout w:type="fixed"/>
        <w:tblCellMar>
          <w:top w:w="0" w:type="dxa"/>
          <w:left w:w="0" w:type="dxa"/>
          <w:bottom w:w="0" w:type="dxa"/>
          <w:right w:w="0" w:type="dxa"/>
        </w:tblCellMar>
      </w:tblPr>
      <w:tblGrid>
        <w:gridCol w:w="3240"/>
        <w:gridCol w:w="3765"/>
      </w:tblGrid>
      <w:tr w14:paraId="4F2FF99A">
        <w:tblPrEx>
          <w:tblCellMar>
            <w:top w:w="0" w:type="dxa"/>
            <w:left w:w="0" w:type="dxa"/>
            <w:bottom w:w="0" w:type="dxa"/>
            <w:right w:w="0" w:type="dxa"/>
          </w:tblCellMar>
        </w:tblPrEx>
        <w:trPr>
          <w:trHeight w:val="188" w:hRule="atLeast"/>
          <w:jc w:val="center"/>
        </w:trPr>
        <w:tc>
          <w:tcPr>
            <w:tcW w:w="324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5CF63C7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事件类型</w:t>
            </w:r>
          </w:p>
        </w:tc>
        <w:tc>
          <w:tcPr>
            <w:tcW w:w="376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9C3D3E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违约金额</w:t>
            </w:r>
          </w:p>
        </w:tc>
      </w:tr>
      <w:tr w14:paraId="0D01133C">
        <w:tblPrEx>
          <w:tblCellMar>
            <w:top w:w="0" w:type="dxa"/>
            <w:left w:w="0" w:type="dxa"/>
            <w:bottom w:w="0" w:type="dxa"/>
            <w:right w:w="0" w:type="dxa"/>
          </w:tblCellMar>
        </w:tblPrEx>
        <w:trPr>
          <w:trHeight w:val="281" w:hRule="atLeast"/>
          <w:jc w:val="center"/>
        </w:trPr>
        <w:tc>
          <w:tcPr>
            <w:tcW w:w="324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444F596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较大事故</w:t>
            </w:r>
          </w:p>
        </w:tc>
        <w:tc>
          <w:tcPr>
            <w:tcW w:w="3765" w:type="dxa"/>
            <w:tcBorders>
              <w:top w:val="single" w:color="auto" w:sz="8" w:space="0"/>
              <w:left w:val="nil"/>
              <w:bottom w:val="single" w:color="auto" w:sz="8" w:space="0"/>
              <w:right w:val="single" w:color="auto" w:sz="8" w:space="0"/>
            </w:tcBorders>
            <w:noWrap w:val="0"/>
            <w:vAlign w:val="center"/>
          </w:tcPr>
          <w:p w14:paraId="3EE35AB1">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签约合同价</w:t>
            </w:r>
            <w:r>
              <w:rPr>
                <w:rFonts w:hint="eastAsia" w:ascii="宋体" w:hAnsi="宋体"/>
                <w:color w:val="auto"/>
                <w:szCs w:val="21"/>
                <w:highlight w:val="none"/>
              </w:rPr>
              <w:t>的0.5‰</w:t>
            </w:r>
          </w:p>
        </w:tc>
      </w:tr>
      <w:tr w14:paraId="0ADE0F21">
        <w:tblPrEx>
          <w:tblCellMar>
            <w:top w:w="0" w:type="dxa"/>
            <w:left w:w="0" w:type="dxa"/>
            <w:bottom w:w="0" w:type="dxa"/>
            <w:right w:w="0" w:type="dxa"/>
          </w:tblCellMar>
        </w:tblPrEx>
        <w:trPr>
          <w:trHeight w:val="274" w:hRule="atLeast"/>
          <w:jc w:val="center"/>
        </w:trPr>
        <w:tc>
          <w:tcPr>
            <w:tcW w:w="324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0F132DB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重大事故</w:t>
            </w:r>
          </w:p>
        </w:tc>
        <w:tc>
          <w:tcPr>
            <w:tcW w:w="3765" w:type="dxa"/>
            <w:tcBorders>
              <w:top w:val="single" w:color="auto" w:sz="8" w:space="0"/>
              <w:left w:val="nil"/>
              <w:bottom w:val="single" w:color="auto" w:sz="8" w:space="0"/>
              <w:right w:val="single" w:color="auto" w:sz="8" w:space="0"/>
            </w:tcBorders>
            <w:noWrap w:val="0"/>
            <w:vAlign w:val="center"/>
          </w:tcPr>
          <w:p w14:paraId="4E42C54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签约合同价的2‰</w:t>
            </w:r>
          </w:p>
        </w:tc>
      </w:tr>
      <w:tr w14:paraId="4D140F34">
        <w:tblPrEx>
          <w:tblCellMar>
            <w:top w:w="0" w:type="dxa"/>
            <w:left w:w="0" w:type="dxa"/>
            <w:bottom w:w="0" w:type="dxa"/>
            <w:right w:w="0" w:type="dxa"/>
          </w:tblCellMar>
        </w:tblPrEx>
        <w:trPr>
          <w:trHeight w:val="138" w:hRule="atLeast"/>
          <w:jc w:val="center"/>
        </w:trPr>
        <w:tc>
          <w:tcPr>
            <w:tcW w:w="324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31FAACE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特别重大事故</w:t>
            </w:r>
          </w:p>
        </w:tc>
        <w:tc>
          <w:tcPr>
            <w:tcW w:w="3765" w:type="dxa"/>
            <w:tcBorders>
              <w:top w:val="single" w:color="auto" w:sz="8" w:space="0"/>
              <w:left w:val="nil"/>
              <w:bottom w:val="single" w:color="auto" w:sz="8" w:space="0"/>
              <w:right w:val="single" w:color="auto" w:sz="8" w:space="0"/>
            </w:tcBorders>
            <w:noWrap w:val="0"/>
            <w:vAlign w:val="center"/>
          </w:tcPr>
          <w:p w14:paraId="680CAA3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签约合同价的4‰</w:t>
            </w:r>
          </w:p>
        </w:tc>
      </w:tr>
    </w:tbl>
    <w:p w14:paraId="5590059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（1）较大事故，是指造成3人以上10人以下死亡，或者10人以上50人以下重伤，或者1000万元以上5000万元以下直接经济损失的事故；</w:t>
      </w:r>
    </w:p>
    <w:p w14:paraId="55E96A2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（2）重大事故，是指造成10人以上30人以下死亡，或者50人以上100人以下重伤，或者5000万元以上1亿元以下直接经济损失的事故；</w:t>
      </w:r>
    </w:p>
    <w:p w14:paraId="54E9F6C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（3）特别重大事故，是指造成30人以上死亡，或者100人以上重伤（包括急性工业中毒，下同），或者1亿元以上直接经济损失的事故；</w:t>
      </w:r>
    </w:p>
    <w:p w14:paraId="3B295FCD">
      <w:pPr>
        <w:spacing w:line="276" w:lineRule="auto"/>
        <w:ind w:firstLine="420" w:firstLineChars="200"/>
        <w:jc w:val="left"/>
        <w:rPr>
          <w:rFonts w:ascii="宋体" w:hAnsi="宋体"/>
          <w:color w:val="auto"/>
          <w:szCs w:val="21"/>
          <w:highlight w:val="none"/>
        </w:rPr>
      </w:pPr>
      <w:r>
        <w:rPr>
          <w:rFonts w:hint="eastAsia" w:ascii="宋体" w:hAnsi="宋体"/>
          <w:color w:val="auto"/>
          <w:szCs w:val="21"/>
          <w:highlight w:val="none"/>
        </w:rPr>
        <w:t>（4）所称的“以上”包括本数，所称的“以下”不包括本数。</w:t>
      </w:r>
    </w:p>
    <w:p w14:paraId="6CBB7AAF">
      <w:pPr>
        <w:spacing w:line="276" w:lineRule="auto"/>
        <w:ind w:firstLine="420" w:firstLineChars="200"/>
        <w:jc w:val="left"/>
        <w:rPr>
          <w:rFonts w:ascii="宋体" w:hAnsi="宋体"/>
          <w:color w:val="auto"/>
          <w:szCs w:val="21"/>
          <w:highlight w:val="none"/>
        </w:rPr>
      </w:pPr>
      <w:r>
        <w:rPr>
          <w:rFonts w:hint="eastAsia" w:ascii="宋体" w:hAnsi="宋体"/>
          <w:color w:val="auto"/>
          <w:szCs w:val="21"/>
          <w:highlight w:val="none"/>
        </w:rPr>
        <w:t>（5）如整个施工过程未发生以上安全事故，则给予承包人建安费总额的1‰的安全奖励。</w:t>
      </w:r>
    </w:p>
    <w:p w14:paraId="7E49941A">
      <w:pPr>
        <w:spacing w:line="276" w:lineRule="auto"/>
        <w:ind w:firstLine="420" w:firstLineChars="200"/>
        <w:jc w:val="left"/>
        <w:rPr>
          <w:rFonts w:ascii="宋体" w:hAnsi="宋体"/>
          <w:color w:val="auto"/>
          <w:szCs w:val="21"/>
          <w:highlight w:val="none"/>
        </w:rPr>
      </w:pPr>
      <w:r>
        <w:rPr>
          <w:rFonts w:hint="eastAsia" w:ascii="宋体" w:hAnsi="宋体"/>
          <w:color w:val="auto"/>
          <w:szCs w:val="21"/>
          <w:highlight w:val="none"/>
        </w:rPr>
        <w:t xml:space="preserve">发包人委托的监理公司负责对承包人的安全业绩进行考核。每次合同支付前，承包人提交自我安全业绩评估报告，然后交发包人委托的监理公司评价。发包人委托的监理公司在签署评价意见后，将作为合同支付依据之一，同时也作为是否可接受承包人再次参加发包人项目投标的依据之一。 </w:t>
      </w:r>
    </w:p>
    <w:p w14:paraId="3BB15663">
      <w:pPr>
        <w:spacing w:line="276" w:lineRule="auto"/>
        <w:ind w:firstLine="420" w:firstLineChars="200"/>
        <w:rPr>
          <w:rFonts w:ascii="宋体" w:hAnsi="宋体"/>
          <w:color w:val="auto"/>
          <w:szCs w:val="21"/>
          <w:highlight w:val="none"/>
        </w:rPr>
      </w:pPr>
      <w:bookmarkStart w:id="2175" w:name="_Toc247418282"/>
      <w:bookmarkStart w:id="2176" w:name="_Toc247431442"/>
      <w:bookmarkStart w:id="2177" w:name="_Toc239510308"/>
      <w:bookmarkStart w:id="2178" w:name="_Toc532375717"/>
      <w:r>
        <w:rPr>
          <w:rFonts w:hint="eastAsia" w:ascii="宋体" w:hAnsi="宋体"/>
          <w:color w:val="auto"/>
          <w:szCs w:val="21"/>
          <w:highlight w:val="none"/>
        </w:rPr>
        <w:t>十七、协议条款的修订</w:t>
      </w:r>
      <w:bookmarkEnd w:id="2175"/>
      <w:bookmarkEnd w:id="2176"/>
      <w:bookmarkEnd w:id="2177"/>
      <w:bookmarkEnd w:id="2178"/>
    </w:p>
    <w:p w14:paraId="5312EAA1">
      <w:pPr>
        <w:spacing w:line="276" w:lineRule="auto"/>
        <w:ind w:firstLine="420" w:firstLineChars="200"/>
        <w:jc w:val="left"/>
        <w:rPr>
          <w:rFonts w:ascii="宋体" w:hAnsi="宋体"/>
          <w:color w:val="auto"/>
          <w:szCs w:val="21"/>
          <w:highlight w:val="none"/>
        </w:rPr>
      </w:pPr>
      <w:r>
        <w:rPr>
          <w:rFonts w:hint="eastAsia" w:ascii="宋体" w:hAnsi="宋体"/>
          <w:color w:val="auto"/>
          <w:szCs w:val="21"/>
          <w:highlight w:val="none"/>
        </w:rPr>
        <w:t>在项目实施过程中，经双方友好协商，本协议的有关条款也可做出相应的修改。</w:t>
      </w:r>
    </w:p>
    <w:p w14:paraId="17964BF9">
      <w:pPr>
        <w:spacing w:line="276" w:lineRule="auto"/>
        <w:ind w:firstLine="420" w:firstLineChars="200"/>
        <w:jc w:val="left"/>
        <w:rPr>
          <w:rFonts w:ascii="宋体" w:hAnsi="宋体"/>
          <w:color w:val="auto"/>
          <w:szCs w:val="21"/>
          <w:highlight w:val="none"/>
        </w:rPr>
      </w:pPr>
      <w:r>
        <w:rPr>
          <w:rFonts w:hint="eastAsia" w:ascii="宋体" w:hAnsi="宋体"/>
          <w:color w:val="auto"/>
          <w:szCs w:val="21"/>
          <w:highlight w:val="none"/>
        </w:rPr>
        <w:t>本工程安全管理协议，由发包人、承包人双方在施工承包合同签订后7天内共同签署，作为施工合同附件。</w:t>
      </w:r>
    </w:p>
    <w:p w14:paraId="5674605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  包  人（公章）：</w:t>
      </w:r>
      <w:r>
        <w:rPr>
          <w:rFonts w:hint="eastAsia" w:ascii="宋体" w:hAnsi="宋体" w:cs="宋体"/>
          <w:color w:val="auto"/>
          <w:szCs w:val="21"/>
          <w:highlight w:val="none"/>
          <w:u w:val="single"/>
        </w:rPr>
        <w:t xml:space="preserve">                       </w:t>
      </w:r>
    </w:p>
    <w:p w14:paraId="5CD2B23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法定代表人（签字）：</w:t>
      </w:r>
      <w:r>
        <w:rPr>
          <w:rFonts w:hint="eastAsia" w:ascii="宋体" w:hAnsi="宋体" w:cs="宋体"/>
          <w:color w:val="auto"/>
          <w:szCs w:val="21"/>
          <w:highlight w:val="none"/>
          <w:u w:val="single"/>
        </w:rPr>
        <w:t xml:space="preserve">                       </w:t>
      </w:r>
      <w:r>
        <w:rPr>
          <w:rFonts w:hint="eastAsia" w:ascii="宋体" w:hAnsi="宋体"/>
          <w:color w:val="auto"/>
          <w:szCs w:val="21"/>
          <w:highlight w:val="none"/>
        </w:rPr>
        <w:t xml:space="preserve">  </w:t>
      </w:r>
    </w:p>
    <w:p w14:paraId="42BD7C8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或其委托代理人（签字）：</w:t>
      </w:r>
      <w:r>
        <w:rPr>
          <w:rFonts w:hint="eastAsia" w:ascii="宋体" w:hAnsi="宋体" w:cs="宋体"/>
          <w:color w:val="auto"/>
          <w:szCs w:val="21"/>
          <w:highlight w:val="none"/>
          <w:u w:val="single"/>
        </w:rPr>
        <w:t xml:space="preserve">                   </w:t>
      </w:r>
      <w:r>
        <w:rPr>
          <w:rFonts w:hint="eastAsia" w:ascii="宋体" w:hAnsi="宋体"/>
          <w:color w:val="auto"/>
          <w:szCs w:val="21"/>
          <w:highlight w:val="none"/>
        </w:rPr>
        <w:t xml:space="preserve">  </w:t>
      </w:r>
    </w:p>
    <w:p w14:paraId="0BA0D97F">
      <w:pPr>
        <w:spacing w:line="360" w:lineRule="auto"/>
        <w:ind w:firstLine="420" w:firstLineChars="200"/>
        <w:jc w:val="left"/>
        <w:rPr>
          <w:rFonts w:ascii="宋体" w:hAnsi="宋体"/>
          <w:color w:val="auto"/>
          <w:szCs w:val="21"/>
          <w:highlight w:val="none"/>
        </w:rPr>
      </w:pPr>
    </w:p>
    <w:p w14:paraId="4B096590">
      <w:pPr>
        <w:spacing w:line="360" w:lineRule="auto"/>
        <w:ind w:firstLine="420" w:firstLineChars="200"/>
        <w:jc w:val="left"/>
        <w:rPr>
          <w:rFonts w:ascii="宋体" w:hAnsi="宋体"/>
          <w:color w:val="auto"/>
          <w:kern w:val="0"/>
          <w:szCs w:val="21"/>
          <w:highlight w:val="none"/>
        </w:rPr>
      </w:pPr>
      <w:r>
        <w:rPr>
          <w:rFonts w:hint="eastAsia" w:ascii="宋体" w:hAnsi="宋体"/>
          <w:color w:val="auto"/>
          <w:szCs w:val="21"/>
          <w:highlight w:val="none"/>
        </w:rPr>
        <w:t>承  包  人（公章）：</w:t>
      </w:r>
      <w:r>
        <w:rPr>
          <w:rFonts w:hint="eastAsia" w:ascii="宋体" w:hAnsi="宋体" w:cs="宋体"/>
          <w:color w:val="auto"/>
          <w:szCs w:val="21"/>
          <w:highlight w:val="none"/>
          <w:u w:val="single"/>
        </w:rPr>
        <w:t xml:space="preserve">                       </w:t>
      </w:r>
    </w:p>
    <w:p w14:paraId="2C9AA47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法定代表人（签字）：</w:t>
      </w:r>
      <w:r>
        <w:rPr>
          <w:rFonts w:hint="eastAsia" w:ascii="宋体" w:hAnsi="宋体" w:cs="宋体"/>
          <w:color w:val="auto"/>
          <w:szCs w:val="21"/>
          <w:highlight w:val="none"/>
          <w:u w:val="single"/>
        </w:rPr>
        <w:t xml:space="preserve">                       </w:t>
      </w:r>
    </w:p>
    <w:p w14:paraId="57555E2B">
      <w:pPr>
        <w:spacing w:line="360" w:lineRule="auto"/>
        <w:ind w:firstLine="420" w:firstLineChars="200"/>
        <w:jc w:val="left"/>
        <w:rPr>
          <w:rFonts w:ascii="宋体" w:hAnsi="宋体"/>
          <w:color w:val="auto"/>
          <w:kern w:val="0"/>
          <w:szCs w:val="21"/>
          <w:highlight w:val="none"/>
        </w:rPr>
      </w:pPr>
      <w:r>
        <w:rPr>
          <w:rFonts w:hint="eastAsia" w:ascii="宋体" w:hAnsi="宋体"/>
          <w:color w:val="auto"/>
          <w:szCs w:val="21"/>
          <w:highlight w:val="none"/>
        </w:rPr>
        <w:t>或其委托代理人（签字）：</w:t>
      </w:r>
      <w:r>
        <w:rPr>
          <w:rFonts w:hint="eastAsia" w:ascii="宋体" w:hAnsi="宋体" w:cs="宋体"/>
          <w:color w:val="auto"/>
          <w:szCs w:val="21"/>
          <w:highlight w:val="none"/>
          <w:u w:val="single"/>
        </w:rPr>
        <w:t xml:space="preserve">                   </w:t>
      </w:r>
    </w:p>
    <w:p w14:paraId="30D57322">
      <w:pPr>
        <w:snapToGrid w:val="0"/>
        <w:spacing w:line="360" w:lineRule="auto"/>
        <w:jc w:val="left"/>
        <w:rPr>
          <w:rFonts w:ascii="宋体" w:hAnsi="宋体"/>
          <w:color w:val="auto"/>
          <w:kern w:val="0"/>
          <w:szCs w:val="21"/>
          <w:highlight w:val="none"/>
        </w:rPr>
      </w:pPr>
      <w:r>
        <w:rPr>
          <w:rFonts w:hint="eastAsia" w:ascii="宋体" w:hAnsi="宋体"/>
          <w:color w:val="auto"/>
          <w:szCs w:val="21"/>
          <w:highlight w:val="none"/>
        </w:rPr>
        <w:br w:type="page"/>
      </w:r>
    </w:p>
    <w:p w14:paraId="416A1386">
      <w:pPr>
        <w:spacing w:line="480" w:lineRule="auto"/>
        <w:rPr>
          <w:rFonts w:ascii="宋体" w:hAnsi="宋体"/>
          <w:color w:val="auto"/>
          <w:szCs w:val="21"/>
          <w:highlight w:val="none"/>
        </w:rPr>
      </w:pPr>
      <w:r>
        <w:rPr>
          <w:rFonts w:hint="eastAsia" w:ascii="宋体" w:hAnsi="宋体"/>
          <w:color w:val="auto"/>
          <w:szCs w:val="21"/>
          <w:highlight w:val="none"/>
        </w:rPr>
        <w:t>附件10 保障农民工工资支付协议</w:t>
      </w:r>
    </w:p>
    <w:p w14:paraId="0C5F9ED2">
      <w:pPr>
        <w:spacing w:before="156" w:beforeLines="50" w:after="156" w:afterLines="50" w:line="480" w:lineRule="auto"/>
        <w:jc w:val="center"/>
        <w:rPr>
          <w:rFonts w:ascii="宋体" w:hAnsi="宋体"/>
          <w:color w:val="auto"/>
          <w:szCs w:val="21"/>
          <w:highlight w:val="none"/>
        </w:rPr>
      </w:pPr>
      <w:r>
        <w:rPr>
          <w:rFonts w:hint="eastAsia" w:ascii="宋体" w:hAnsi="宋体"/>
          <w:color w:val="auto"/>
          <w:szCs w:val="21"/>
          <w:highlight w:val="none"/>
        </w:rPr>
        <w:t>保障农民工工资支付协议</w:t>
      </w:r>
    </w:p>
    <w:p w14:paraId="448A2AA8">
      <w:pPr>
        <w:snapToGrid w:val="0"/>
        <w:spacing w:line="480" w:lineRule="auto"/>
        <w:rPr>
          <w:rFonts w:ascii="宋体" w:hAnsi="宋体"/>
          <w:color w:val="auto"/>
          <w:szCs w:val="21"/>
          <w:highlight w:val="none"/>
        </w:rPr>
      </w:pPr>
      <w:r>
        <w:rPr>
          <w:rFonts w:hint="eastAsia" w:ascii="宋体" w:hAnsi="宋体"/>
          <w:color w:val="auto"/>
          <w:szCs w:val="21"/>
          <w:highlight w:val="none"/>
        </w:rPr>
        <w:t xml:space="preserve"> 发包人：</w:t>
      </w:r>
      <w:r>
        <w:rPr>
          <w:rFonts w:hint="eastAsia" w:ascii="宋体" w:hAnsi="宋体" w:cs="宋体"/>
          <w:color w:val="auto"/>
          <w:szCs w:val="21"/>
          <w:highlight w:val="none"/>
          <w:u w:val="single"/>
        </w:rPr>
        <w:t xml:space="preserve">                                 </w:t>
      </w:r>
      <w:r>
        <w:rPr>
          <w:rFonts w:hint="eastAsia" w:ascii="宋体" w:hAnsi="宋体"/>
          <w:color w:val="auto"/>
          <w:szCs w:val="21"/>
          <w:highlight w:val="none"/>
        </w:rPr>
        <w:t>（发包人）</w:t>
      </w:r>
    </w:p>
    <w:p w14:paraId="65E1DDF7">
      <w:pPr>
        <w:snapToGrid w:val="0"/>
        <w:spacing w:line="360" w:lineRule="auto"/>
        <w:rPr>
          <w:rFonts w:ascii="宋体" w:hAnsi="宋体"/>
          <w:color w:val="auto"/>
          <w:szCs w:val="21"/>
          <w:highlight w:val="none"/>
        </w:rPr>
      </w:pPr>
      <w:r>
        <w:rPr>
          <w:rFonts w:hint="eastAsia" w:ascii="宋体" w:hAnsi="宋体"/>
          <w:color w:val="auto"/>
          <w:szCs w:val="21"/>
          <w:highlight w:val="none"/>
        </w:rPr>
        <w:t xml:space="preserve"> 承包人：</w:t>
      </w:r>
      <w:r>
        <w:rPr>
          <w:rFonts w:hint="eastAsia" w:ascii="宋体" w:hAnsi="宋体" w:cs="宋体"/>
          <w:color w:val="auto"/>
          <w:szCs w:val="21"/>
          <w:highlight w:val="none"/>
          <w:u w:val="single"/>
        </w:rPr>
        <w:t xml:space="preserve">                                 </w:t>
      </w:r>
      <w:r>
        <w:rPr>
          <w:rFonts w:hint="eastAsia" w:ascii="宋体" w:hAnsi="宋体"/>
          <w:color w:val="auto"/>
          <w:szCs w:val="21"/>
          <w:highlight w:val="none"/>
        </w:rPr>
        <w:t>（承包人）</w:t>
      </w:r>
    </w:p>
    <w:p w14:paraId="441A219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为贯彻落实《国务院办公厅关于全面治理拖欠农民工工资问题的意见》（国办发〔2016〕1号），《重庆市人民政府办公厅关于全面治理拖欠农民工工资问题的实施意见》（渝府办发〔2016〕101号），健全预防和解决拖欠农民工工资问题的长效机制，切实保障农民工劳动报酬权益，维护社会公平正义，促进社会和谐稳定。经甲、乙双方结合实际情况，友好协商，达成如下协议：</w:t>
      </w:r>
    </w:p>
    <w:p w14:paraId="5DACA62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一、承包人申报工程进度款时，应对上月已支付工程款用于农民工工资发放的情况进行说明，并附农民工代表按时足额收取了工资的签字确认书。监理单位应对相关情况说明和签字确认书（详附件）进行审查签字后，与工程进度款申报资料一并提交给发包人。发包人审核合格后，才进行当期工程进度款的支付。</w:t>
      </w:r>
    </w:p>
    <w:p w14:paraId="4BFEA6D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二、由于工程进度款申报和审查需一定时间，其与农民工工资发放时间存在一定时间的延后，承包人应具有垫付不低于3个月农民工工资能力。承包人在本补充协议签订后申请的第一笔工程进度款时应出具垫付不低于3个月农民工工资的书面承诺给发包人。发包人将承包人是否做出承诺作为支付工程进度款的前提条件之一。</w:t>
      </w:r>
    </w:p>
    <w:p w14:paraId="743E7EB3">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三、承包人每月10日前将本月作业班组、班组人数、农民工身份信息等报监理单位，10日～15日分别以作业班组为小组，每小组自行选举产生一名农民工代表，监理单位应全程监督，选举结果与当期工程款支付申请一并报送发包人。</w:t>
      </w:r>
    </w:p>
    <w:p w14:paraId="379E46B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四、若发现承包人有下列事项的，发包人在支付当期进度款时暂扣当期应支付进度款5%比例的款项。</w:t>
      </w:r>
      <w:r>
        <w:rPr>
          <w:rFonts w:hint="eastAsia" w:ascii="宋体" w:hAnsi="宋体"/>
          <w:color w:val="auto"/>
          <w:szCs w:val="21"/>
          <w:highlight w:val="none"/>
        </w:rPr>
        <w:br w:type="textWrapping"/>
      </w:r>
      <w:r>
        <w:rPr>
          <w:rFonts w:hint="eastAsia" w:ascii="宋体" w:hAnsi="宋体"/>
          <w:color w:val="auto"/>
          <w:szCs w:val="21"/>
          <w:highlight w:val="none"/>
        </w:rPr>
        <w:t xml:space="preserve">    （一）现场检查发现项目存在拖欠农民工工资情况并经核查属实的；</w:t>
      </w:r>
    </w:p>
    <w:p w14:paraId="4CD6D17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（二）相关行政管理部门检查发现存在拖欠农民工工资情况并经核查属实的；</w:t>
      </w:r>
      <w:r>
        <w:rPr>
          <w:rFonts w:hint="eastAsia" w:ascii="宋体" w:hAnsi="宋体"/>
          <w:color w:val="auto"/>
          <w:szCs w:val="21"/>
          <w:highlight w:val="none"/>
        </w:rPr>
        <w:br w:type="textWrapping"/>
      </w:r>
      <w:r>
        <w:rPr>
          <w:rFonts w:hint="eastAsia" w:ascii="宋体" w:hAnsi="宋体"/>
          <w:color w:val="auto"/>
          <w:szCs w:val="21"/>
          <w:highlight w:val="none"/>
        </w:rPr>
        <w:t xml:space="preserve">    （三）有拖欠农民工工资投诉事项并经核查属实的。</w:t>
      </w:r>
      <w:r>
        <w:rPr>
          <w:rFonts w:hint="eastAsia" w:ascii="宋体" w:hAnsi="宋体"/>
          <w:color w:val="auto"/>
          <w:szCs w:val="21"/>
          <w:highlight w:val="none"/>
        </w:rPr>
        <w:br w:type="textWrapping"/>
      </w:r>
      <w:r>
        <w:rPr>
          <w:rFonts w:hint="eastAsia" w:ascii="宋体" w:hAnsi="宋体"/>
          <w:color w:val="auto"/>
          <w:szCs w:val="21"/>
          <w:highlight w:val="none"/>
        </w:rPr>
        <w:t xml:space="preserve">    五、对发现的存在拖欠农民工工资事项，承包人应在3天内限时整改，并将整改措施和结果报发包人审查，经发包人批准同意后，在下一期工程进度款支付中返还暂扣的工程款；如承包人未在3天内限时整改，暂扣工程款将继续扣留，直至整改完毕。暂扣款不计息。</w:t>
      </w:r>
    </w:p>
    <w:p w14:paraId="6461E265">
      <w:pPr>
        <w:tabs>
          <w:tab w:val="left" w:pos="1080"/>
          <w:tab w:val="left" w:pos="1260"/>
          <w:tab w:val="left" w:pos="1440"/>
        </w:tabs>
        <w:spacing w:line="360" w:lineRule="auto"/>
        <w:ind w:firstLine="420" w:firstLineChars="200"/>
        <w:rPr>
          <w:rFonts w:ascii="宋体" w:hAnsi="宋体"/>
          <w:snapToGrid w:val="0"/>
          <w:color w:val="auto"/>
          <w:spacing w:val="-4"/>
          <w:kern w:val="0"/>
          <w:szCs w:val="21"/>
          <w:highlight w:val="none"/>
        </w:rPr>
      </w:pPr>
      <w:r>
        <w:rPr>
          <w:rFonts w:hint="eastAsia" w:ascii="宋体" w:hAnsi="宋体"/>
          <w:color w:val="auto"/>
          <w:szCs w:val="21"/>
          <w:highlight w:val="none"/>
        </w:rPr>
        <w:t>六、本协议经双方法定代表人或委托代理人签字并加盖公章后生效，履行完毕后自然失效。</w:t>
      </w:r>
    </w:p>
    <w:p w14:paraId="637DDD9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附件：</w:t>
      </w:r>
    </w:p>
    <w:p w14:paraId="17E2F8F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1、关于农民工工资发放情况的说明表</w:t>
      </w:r>
    </w:p>
    <w:p w14:paraId="57C11E5A">
      <w:pPr>
        <w:pStyle w:val="2"/>
        <w:spacing w:line="360" w:lineRule="auto"/>
        <w:ind w:firstLine="420" w:firstLineChars="200"/>
        <w:rPr>
          <w:rFonts w:hint="eastAsia" w:ascii="宋体" w:hAnsi="宋体"/>
          <w:color w:val="auto"/>
          <w:szCs w:val="21"/>
          <w:highlight w:val="none"/>
        </w:rPr>
      </w:pPr>
    </w:p>
    <w:p w14:paraId="76BCE531">
      <w:pPr>
        <w:pStyle w:val="2"/>
        <w:spacing w:line="360" w:lineRule="auto"/>
        <w:ind w:firstLine="420" w:firstLineChars="200"/>
        <w:rPr>
          <w:rFonts w:hint="eastAsia" w:ascii="宋体" w:hAnsi="宋体"/>
          <w:color w:val="auto"/>
          <w:szCs w:val="21"/>
          <w:highlight w:val="none"/>
        </w:rPr>
      </w:pPr>
    </w:p>
    <w:p w14:paraId="4973DE01">
      <w:pPr>
        <w:pStyle w:val="2"/>
        <w:spacing w:line="360" w:lineRule="auto"/>
        <w:ind w:firstLine="420" w:firstLineChars="200"/>
        <w:rPr>
          <w:rFonts w:ascii="宋体" w:hAnsi="宋体"/>
          <w:color w:val="auto"/>
          <w:szCs w:val="21"/>
          <w:highlight w:val="none"/>
        </w:rPr>
      </w:pPr>
    </w:p>
    <w:p w14:paraId="7900602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（以下无正文）</w:t>
      </w:r>
    </w:p>
    <w:p w14:paraId="179ED136">
      <w:pPr>
        <w:spacing w:line="360" w:lineRule="auto"/>
        <w:ind w:firstLine="420" w:firstLineChars="200"/>
        <w:rPr>
          <w:rFonts w:ascii="宋体" w:hAnsi="宋体"/>
          <w:color w:val="auto"/>
          <w:szCs w:val="21"/>
          <w:highlight w:val="none"/>
        </w:rPr>
      </w:pPr>
    </w:p>
    <w:p w14:paraId="772F05DE">
      <w:pPr>
        <w:spacing w:line="360" w:lineRule="auto"/>
        <w:ind w:firstLine="420" w:firstLineChars="200"/>
        <w:rPr>
          <w:rFonts w:ascii="宋体" w:hAnsi="宋体"/>
          <w:color w:val="auto"/>
          <w:szCs w:val="21"/>
          <w:highlight w:val="none"/>
        </w:rPr>
      </w:pPr>
    </w:p>
    <w:p w14:paraId="1FF3EB16">
      <w:pPr>
        <w:pStyle w:val="2"/>
        <w:spacing w:line="360" w:lineRule="auto"/>
        <w:rPr>
          <w:rFonts w:ascii="宋体" w:hAnsi="宋体"/>
          <w:color w:val="auto"/>
          <w:szCs w:val="21"/>
          <w:highlight w:val="none"/>
        </w:rPr>
      </w:pPr>
    </w:p>
    <w:p w14:paraId="7DAD1761">
      <w:pPr>
        <w:spacing w:line="360" w:lineRule="auto"/>
        <w:rPr>
          <w:rFonts w:ascii="宋体" w:hAnsi="宋体"/>
          <w:color w:val="auto"/>
          <w:szCs w:val="21"/>
          <w:highlight w:val="none"/>
        </w:rPr>
      </w:pPr>
      <w:r>
        <w:rPr>
          <w:rFonts w:hint="eastAsia" w:ascii="宋体" w:hAnsi="宋体"/>
          <w:color w:val="auto"/>
          <w:szCs w:val="21"/>
          <w:highlight w:val="none"/>
        </w:rPr>
        <w:t>发包人：</w:t>
      </w:r>
      <w:r>
        <w:rPr>
          <w:rFonts w:hint="eastAsia" w:ascii="宋体" w:hAnsi="宋体" w:cs="宋体"/>
          <w:color w:val="auto"/>
          <w:szCs w:val="21"/>
          <w:highlight w:val="none"/>
          <w:u w:val="single"/>
        </w:rPr>
        <w:t xml:space="preserve">       </w:t>
      </w:r>
      <w:r>
        <w:rPr>
          <w:rFonts w:hint="eastAsia" w:ascii="宋体" w:hAnsi="宋体"/>
          <w:color w:val="auto"/>
          <w:szCs w:val="21"/>
          <w:highlight w:val="none"/>
        </w:rPr>
        <w:t>（发包人）</w:t>
      </w:r>
    </w:p>
    <w:p w14:paraId="3707D6B9">
      <w:pPr>
        <w:spacing w:line="360" w:lineRule="auto"/>
        <w:rPr>
          <w:rFonts w:ascii="宋体" w:hAnsi="宋体"/>
          <w:color w:val="auto"/>
          <w:szCs w:val="21"/>
          <w:highlight w:val="none"/>
        </w:rPr>
      </w:pPr>
      <w:r>
        <w:rPr>
          <w:rFonts w:hint="eastAsia" w:ascii="宋体" w:hAnsi="宋体"/>
          <w:color w:val="auto"/>
          <w:szCs w:val="21"/>
          <w:highlight w:val="none"/>
        </w:rPr>
        <w:t>法定代表人：</w:t>
      </w:r>
      <w:r>
        <w:rPr>
          <w:rFonts w:hint="eastAsia" w:ascii="宋体" w:hAnsi="宋体" w:cs="宋体"/>
          <w:color w:val="auto"/>
          <w:szCs w:val="21"/>
          <w:highlight w:val="none"/>
          <w:u w:val="single"/>
        </w:rPr>
        <w:t xml:space="preserve">       </w:t>
      </w:r>
    </w:p>
    <w:p w14:paraId="01570C0E">
      <w:pPr>
        <w:spacing w:line="360" w:lineRule="auto"/>
        <w:rPr>
          <w:rFonts w:ascii="宋体" w:hAnsi="宋体"/>
          <w:color w:val="auto"/>
          <w:szCs w:val="21"/>
          <w:highlight w:val="none"/>
        </w:rPr>
      </w:pPr>
      <w:r>
        <w:rPr>
          <w:rFonts w:hint="eastAsia" w:ascii="宋体" w:hAnsi="宋体"/>
          <w:color w:val="auto"/>
          <w:szCs w:val="21"/>
          <w:highlight w:val="none"/>
        </w:rPr>
        <w:t>或委托代理人：</w:t>
      </w:r>
      <w:r>
        <w:rPr>
          <w:rFonts w:hint="eastAsia" w:ascii="宋体" w:hAnsi="宋体" w:cs="宋体"/>
          <w:color w:val="auto"/>
          <w:szCs w:val="21"/>
          <w:highlight w:val="none"/>
          <w:u w:val="single"/>
        </w:rPr>
        <w:t xml:space="preserve">       </w:t>
      </w:r>
    </w:p>
    <w:p w14:paraId="60EEC519">
      <w:pPr>
        <w:spacing w:line="360" w:lineRule="auto"/>
        <w:rPr>
          <w:rFonts w:ascii="宋体" w:hAnsi="宋体"/>
          <w:color w:val="auto"/>
          <w:szCs w:val="21"/>
          <w:highlight w:val="none"/>
        </w:rPr>
      </w:pPr>
      <w:r>
        <w:rPr>
          <w:rFonts w:hint="eastAsia" w:ascii="宋体" w:hAnsi="宋体"/>
          <w:color w:val="auto"/>
          <w:szCs w:val="21"/>
          <w:highlight w:val="none"/>
        </w:rPr>
        <w:t>联系人：</w:t>
      </w:r>
      <w:r>
        <w:rPr>
          <w:rFonts w:hint="eastAsia" w:ascii="宋体" w:hAnsi="宋体" w:cs="宋体"/>
          <w:color w:val="auto"/>
          <w:szCs w:val="21"/>
          <w:highlight w:val="none"/>
          <w:u w:val="single"/>
        </w:rPr>
        <w:t xml:space="preserve">       </w:t>
      </w:r>
    </w:p>
    <w:p w14:paraId="77A5711E">
      <w:pPr>
        <w:spacing w:line="360" w:lineRule="auto"/>
        <w:rPr>
          <w:rFonts w:ascii="宋体" w:hAnsi="宋体"/>
          <w:color w:val="auto"/>
          <w:szCs w:val="21"/>
          <w:highlight w:val="none"/>
        </w:rPr>
      </w:pPr>
    </w:p>
    <w:p w14:paraId="179D90C4">
      <w:pPr>
        <w:spacing w:line="360" w:lineRule="auto"/>
        <w:rPr>
          <w:rFonts w:ascii="宋体" w:hAnsi="宋体"/>
          <w:color w:val="auto"/>
          <w:szCs w:val="21"/>
          <w:highlight w:val="none"/>
        </w:rPr>
      </w:pPr>
    </w:p>
    <w:p w14:paraId="47DB376F">
      <w:pPr>
        <w:spacing w:line="360" w:lineRule="auto"/>
        <w:rPr>
          <w:rFonts w:ascii="宋体" w:hAnsi="宋体"/>
          <w:color w:val="auto"/>
          <w:szCs w:val="21"/>
          <w:highlight w:val="none"/>
        </w:rPr>
      </w:pPr>
    </w:p>
    <w:p w14:paraId="75F87C3D">
      <w:pPr>
        <w:spacing w:line="360" w:lineRule="auto"/>
        <w:rPr>
          <w:rFonts w:ascii="宋体" w:hAnsi="宋体"/>
          <w:color w:val="auto"/>
          <w:szCs w:val="21"/>
          <w:highlight w:val="none"/>
        </w:rPr>
      </w:pPr>
      <w:r>
        <w:rPr>
          <w:rFonts w:hint="eastAsia" w:ascii="宋体" w:hAnsi="宋体"/>
          <w:color w:val="auto"/>
          <w:szCs w:val="21"/>
          <w:highlight w:val="none"/>
        </w:rPr>
        <w:t>承包人：</w:t>
      </w:r>
      <w:r>
        <w:rPr>
          <w:rFonts w:hint="eastAsia" w:ascii="宋体" w:hAnsi="宋体" w:cs="宋体"/>
          <w:color w:val="auto"/>
          <w:szCs w:val="21"/>
          <w:highlight w:val="none"/>
          <w:u w:val="single"/>
        </w:rPr>
        <w:t xml:space="preserve">       </w:t>
      </w:r>
      <w:r>
        <w:rPr>
          <w:rFonts w:hint="eastAsia" w:ascii="宋体" w:hAnsi="宋体"/>
          <w:color w:val="auto"/>
          <w:szCs w:val="21"/>
          <w:highlight w:val="none"/>
        </w:rPr>
        <w:t>（承包人）</w:t>
      </w:r>
    </w:p>
    <w:p w14:paraId="3130D363">
      <w:pPr>
        <w:spacing w:line="360" w:lineRule="auto"/>
        <w:rPr>
          <w:rFonts w:ascii="宋体" w:hAnsi="宋体"/>
          <w:color w:val="auto"/>
          <w:szCs w:val="21"/>
          <w:highlight w:val="none"/>
        </w:rPr>
      </w:pPr>
      <w:r>
        <w:rPr>
          <w:rFonts w:hint="eastAsia" w:ascii="宋体" w:hAnsi="宋体"/>
          <w:color w:val="auto"/>
          <w:szCs w:val="21"/>
          <w:highlight w:val="none"/>
        </w:rPr>
        <w:t>法定代表人：</w:t>
      </w:r>
      <w:r>
        <w:rPr>
          <w:rFonts w:hint="eastAsia" w:ascii="宋体" w:hAnsi="宋体" w:cs="宋体"/>
          <w:color w:val="auto"/>
          <w:szCs w:val="21"/>
          <w:highlight w:val="none"/>
          <w:u w:val="single"/>
        </w:rPr>
        <w:t xml:space="preserve">       </w:t>
      </w:r>
    </w:p>
    <w:p w14:paraId="41F3C855">
      <w:pPr>
        <w:spacing w:line="360" w:lineRule="auto"/>
        <w:rPr>
          <w:rFonts w:ascii="宋体" w:hAnsi="宋体"/>
          <w:color w:val="auto"/>
          <w:szCs w:val="21"/>
          <w:highlight w:val="none"/>
        </w:rPr>
      </w:pPr>
      <w:r>
        <w:rPr>
          <w:rFonts w:hint="eastAsia" w:ascii="宋体" w:hAnsi="宋体"/>
          <w:color w:val="auto"/>
          <w:szCs w:val="21"/>
          <w:highlight w:val="none"/>
        </w:rPr>
        <w:t>或委托代理人：</w:t>
      </w:r>
      <w:r>
        <w:rPr>
          <w:rFonts w:hint="eastAsia" w:ascii="宋体" w:hAnsi="宋体" w:cs="宋体"/>
          <w:color w:val="auto"/>
          <w:szCs w:val="21"/>
          <w:highlight w:val="none"/>
          <w:u w:val="single"/>
        </w:rPr>
        <w:t xml:space="preserve">       </w:t>
      </w:r>
    </w:p>
    <w:p w14:paraId="4D7EB477">
      <w:pPr>
        <w:spacing w:line="360" w:lineRule="auto"/>
        <w:rPr>
          <w:rFonts w:ascii="宋体" w:hAnsi="宋体"/>
          <w:color w:val="auto"/>
          <w:szCs w:val="21"/>
          <w:highlight w:val="none"/>
        </w:rPr>
      </w:pPr>
      <w:r>
        <w:rPr>
          <w:rFonts w:hint="eastAsia" w:ascii="宋体" w:hAnsi="宋体"/>
          <w:color w:val="auto"/>
          <w:szCs w:val="21"/>
          <w:highlight w:val="none"/>
        </w:rPr>
        <w:t>联系人：</w:t>
      </w:r>
      <w:r>
        <w:rPr>
          <w:rFonts w:hint="eastAsia" w:ascii="宋体" w:hAnsi="宋体" w:cs="宋体"/>
          <w:color w:val="auto"/>
          <w:szCs w:val="21"/>
          <w:highlight w:val="none"/>
          <w:u w:val="single"/>
        </w:rPr>
        <w:t xml:space="preserve">       </w:t>
      </w:r>
    </w:p>
    <w:p w14:paraId="46EEA693">
      <w:pPr>
        <w:snapToGrid w:val="0"/>
        <w:spacing w:line="360" w:lineRule="auto"/>
        <w:ind w:firstLine="560"/>
        <w:rPr>
          <w:rFonts w:ascii="宋体" w:hAnsi="宋体"/>
          <w:color w:val="auto"/>
          <w:szCs w:val="21"/>
          <w:highlight w:val="none"/>
        </w:rPr>
      </w:pPr>
    </w:p>
    <w:p w14:paraId="0E791E9B">
      <w:pPr>
        <w:spacing w:line="480" w:lineRule="auto"/>
        <w:rPr>
          <w:rFonts w:ascii="宋体" w:hAnsi="宋体"/>
          <w:color w:val="auto"/>
          <w:szCs w:val="21"/>
          <w:highlight w:val="none"/>
        </w:rPr>
      </w:pPr>
      <w:r>
        <w:rPr>
          <w:rFonts w:hint="eastAsia" w:ascii="宋体" w:hAnsi="宋体"/>
          <w:color w:val="auto"/>
          <w:szCs w:val="21"/>
          <w:highlight w:val="none"/>
        </w:rPr>
        <w:br w:type="page"/>
      </w:r>
      <w:r>
        <w:rPr>
          <w:rFonts w:hint="eastAsia" w:ascii="宋体" w:hAnsi="宋体"/>
          <w:color w:val="auto"/>
          <w:szCs w:val="21"/>
          <w:highlight w:val="none"/>
        </w:rPr>
        <w:t>保障农民工工资支付协议附件1：</w:t>
      </w:r>
    </w:p>
    <w:p w14:paraId="6EC69EC2">
      <w:pPr>
        <w:widowControl/>
        <w:snapToGrid w:val="0"/>
        <w:spacing w:after="100" w:afterAutospacing="1" w:line="480" w:lineRule="auto"/>
        <w:jc w:val="center"/>
        <w:rPr>
          <w:rFonts w:ascii="宋体" w:hAnsi="宋体"/>
          <w:color w:val="auto"/>
          <w:szCs w:val="21"/>
          <w:highlight w:val="none"/>
        </w:rPr>
      </w:pPr>
      <w:r>
        <w:rPr>
          <w:rFonts w:hint="eastAsia" w:ascii="宋体" w:hAnsi="宋体"/>
          <w:color w:val="auto"/>
          <w:szCs w:val="21"/>
          <w:highlight w:val="none"/>
        </w:rPr>
        <w:t>关于农民工工资发放情况的说明表</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6"/>
        <w:gridCol w:w="6201"/>
      </w:tblGrid>
      <w:tr w14:paraId="06554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7" w:type="dxa"/>
            <w:gridSpan w:val="2"/>
            <w:noWrap w:val="0"/>
            <w:vAlign w:val="top"/>
          </w:tcPr>
          <w:p w14:paraId="5F0E0E53">
            <w:pPr>
              <w:widowControl/>
              <w:snapToGrid w:val="0"/>
              <w:spacing w:after="100" w:afterAutospacing="1" w:line="400" w:lineRule="exact"/>
              <w:jc w:val="left"/>
              <w:rPr>
                <w:rFonts w:ascii="宋体" w:hAnsi="宋体"/>
                <w:color w:val="auto"/>
                <w:kern w:val="0"/>
                <w:szCs w:val="21"/>
                <w:highlight w:val="none"/>
              </w:rPr>
            </w:pPr>
            <w:r>
              <w:rPr>
                <w:rFonts w:hint="eastAsia" w:ascii="宋体" w:hAnsi="宋体"/>
                <w:color w:val="auto"/>
                <w:kern w:val="0"/>
                <w:szCs w:val="21"/>
                <w:highlight w:val="none"/>
              </w:rPr>
              <w:t>工程名称：</w:t>
            </w:r>
          </w:p>
        </w:tc>
      </w:tr>
      <w:tr w14:paraId="62C6B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236" w:type="dxa"/>
            <w:noWrap w:val="0"/>
            <w:vAlign w:val="top"/>
          </w:tcPr>
          <w:p w14:paraId="44DE0AE1">
            <w:pPr>
              <w:widowControl/>
              <w:snapToGrid w:val="0"/>
              <w:spacing w:after="100" w:afterAutospacing="1" w:line="400" w:lineRule="exact"/>
              <w:rPr>
                <w:rFonts w:ascii="宋体" w:hAnsi="宋体"/>
                <w:color w:val="auto"/>
                <w:kern w:val="0"/>
                <w:szCs w:val="21"/>
                <w:highlight w:val="none"/>
              </w:rPr>
            </w:pPr>
            <w:r>
              <w:rPr>
                <w:rFonts w:hint="eastAsia" w:ascii="宋体" w:hAnsi="宋体"/>
                <w:color w:val="auto"/>
                <w:kern w:val="0"/>
                <w:szCs w:val="21"/>
                <w:highlight w:val="none"/>
              </w:rPr>
              <w:t>施工单位：</w:t>
            </w:r>
          </w:p>
        </w:tc>
        <w:tc>
          <w:tcPr>
            <w:tcW w:w="6201" w:type="dxa"/>
            <w:noWrap w:val="0"/>
            <w:vAlign w:val="top"/>
          </w:tcPr>
          <w:p w14:paraId="0A8D52FC">
            <w:pPr>
              <w:widowControl/>
              <w:snapToGrid w:val="0"/>
              <w:spacing w:after="100" w:afterAutospacing="1" w:line="400" w:lineRule="exact"/>
              <w:rPr>
                <w:rFonts w:ascii="宋体" w:hAnsi="宋体"/>
                <w:color w:val="auto"/>
                <w:kern w:val="0"/>
                <w:szCs w:val="21"/>
                <w:highlight w:val="none"/>
              </w:rPr>
            </w:pPr>
          </w:p>
        </w:tc>
      </w:tr>
      <w:tr w14:paraId="33496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6" w:type="dxa"/>
            <w:noWrap w:val="0"/>
            <w:vAlign w:val="top"/>
          </w:tcPr>
          <w:p w14:paraId="6E465ABF">
            <w:pPr>
              <w:widowControl/>
              <w:snapToGrid w:val="0"/>
              <w:spacing w:after="100" w:afterAutospacing="1" w:line="400" w:lineRule="exact"/>
              <w:rPr>
                <w:rFonts w:ascii="宋体" w:hAnsi="宋体"/>
                <w:color w:val="auto"/>
                <w:kern w:val="0"/>
                <w:szCs w:val="21"/>
                <w:highlight w:val="none"/>
              </w:rPr>
            </w:pPr>
            <w:r>
              <w:rPr>
                <w:rFonts w:hint="eastAsia" w:ascii="宋体" w:hAnsi="宋体"/>
                <w:color w:val="auto"/>
                <w:kern w:val="0"/>
                <w:szCs w:val="21"/>
                <w:highlight w:val="none"/>
              </w:rPr>
              <w:t>监理单位：</w:t>
            </w:r>
          </w:p>
        </w:tc>
        <w:tc>
          <w:tcPr>
            <w:tcW w:w="6201" w:type="dxa"/>
            <w:noWrap w:val="0"/>
            <w:vAlign w:val="top"/>
          </w:tcPr>
          <w:p w14:paraId="4A18ABA8">
            <w:pPr>
              <w:widowControl/>
              <w:snapToGrid w:val="0"/>
              <w:spacing w:after="100" w:afterAutospacing="1" w:line="400" w:lineRule="exact"/>
              <w:rPr>
                <w:rFonts w:ascii="宋体" w:hAnsi="宋体"/>
                <w:color w:val="auto"/>
                <w:kern w:val="0"/>
                <w:szCs w:val="21"/>
                <w:highlight w:val="none"/>
              </w:rPr>
            </w:pPr>
          </w:p>
        </w:tc>
      </w:tr>
      <w:tr w14:paraId="38F08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atLeast"/>
          <w:jc w:val="center"/>
        </w:trPr>
        <w:tc>
          <w:tcPr>
            <w:tcW w:w="8437" w:type="dxa"/>
            <w:gridSpan w:val="2"/>
            <w:noWrap w:val="0"/>
            <w:vAlign w:val="top"/>
          </w:tcPr>
          <w:p w14:paraId="441F8870">
            <w:pPr>
              <w:widowControl/>
              <w:snapToGrid w:val="0"/>
              <w:spacing w:after="100" w:afterAutospacing="1" w:line="400" w:lineRule="exact"/>
              <w:rPr>
                <w:rFonts w:ascii="宋体" w:hAnsi="宋体"/>
                <w:color w:val="auto"/>
                <w:kern w:val="0"/>
                <w:szCs w:val="21"/>
                <w:highlight w:val="none"/>
                <w:u w:val="single"/>
              </w:rPr>
            </w:pPr>
          </w:p>
          <w:p w14:paraId="5DB0640E">
            <w:pPr>
              <w:widowControl/>
              <w:snapToGrid w:val="0"/>
              <w:spacing w:after="100" w:afterAutospacing="1" w:line="400" w:lineRule="exact"/>
              <w:rPr>
                <w:rFonts w:ascii="宋体" w:hAnsi="宋体"/>
                <w:color w:val="auto"/>
                <w:kern w:val="0"/>
                <w:szCs w:val="21"/>
                <w:highlight w:val="none"/>
              </w:rPr>
            </w:pPr>
            <w:r>
              <w:rPr>
                <w:rFonts w:hint="eastAsia" w:ascii="宋体" w:hAnsi="宋体"/>
                <w:color w:val="auto"/>
                <w:kern w:val="0"/>
                <w:szCs w:val="21"/>
                <w:highlight w:val="none"/>
              </w:rPr>
              <w:t>（项目业主单位名称）：</w:t>
            </w:r>
            <w:r>
              <w:rPr>
                <w:rFonts w:hint="eastAsia" w:ascii="宋体" w:hAnsi="宋体"/>
                <w:color w:val="auto"/>
                <w:kern w:val="0"/>
                <w:szCs w:val="21"/>
                <w:highlight w:val="none"/>
                <w:u w:val="single"/>
              </w:rPr>
              <w:br w:type="textWrapping"/>
            </w:r>
            <w:r>
              <w:rPr>
                <w:rFonts w:hint="eastAsia" w:ascii="宋体" w:hAnsi="宋体"/>
                <w:color w:val="auto"/>
                <w:kern w:val="0"/>
                <w:szCs w:val="21"/>
                <w:highlight w:val="none"/>
              </w:rPr>
              <w:t xml:space="preserve">    我单位负责承建的（工程名称）无拖欠农民工资的情况，贵单位先期支付我单位的工程款已优先用于支付了农民工工资，农民工工资全部按时足额进行了发放，请贵单位予以审核。</w:t>
            </w:r>
            <w:r>
              <w:rPr>
                <w:rFonts w:hint="eastAsia" w:ascii="宋体" w:hAnsi="宋体"/>
                <w:color w:val="auto"/>
                <w:kern w:val="0"/>
                <w:szCs w:val="21"/>
                <w:highlight w:val="none"/>
              </w:rPr>
              <w:br w:type="textWrapping"/>
            </w:r>
          </w:p>
          <w:p w14:paraId="6F589FB3">
            <w:pPr>
              <w:widowControl/>
              <w:snapToGrid w:val="0"/>
              <w:spacing w:after="100" w:afterAutospacing="1" w:line="400" w:lineRule="exact"/>
              <w:ind w:firstLine="1260" w:firstLineChars="600"/>
              <w:rPr>
                <w:rFonts w:ascii="宋体" w:hAnsi="宋体"/>
                <w:color w:val="auto"/>
                <w:kern w:val="0"/>
                <w:szCs w:val="21"/>
                <w:highlight w:val="none"/>
                <w:u w:val="single"/>
              </w:rPr>
            </w:pPr>
            <w:r>
              <w:rPr>
                <w:rFonts w:hint="eastAsia" w:ascii="宋体" w:hAnsi="宋体"/>
                <w:color w:val="auto"/>
                <w:kern w:val="0"/>
                <w:szCs w:val="21"/>
                <w:highlight w:val="none"/>
              </w:rPr>
              <w:t>施工单位项目负责人签字（加盖项目章）：</w:t>
            </w:r>
            <w:r>
              <w:rPr>
                <w:rFonts w:hint="eastAsia" w:ascii="宋体" w:hAnsi="宋体"/>
                <w:color w:val="auto"/>
                <w:kern w:val="0"/>
                <w:szCs w:val="21"/>
                <w:highlight w:val="none"/>
                <w:u w:val="single"/>
              </w:rPr>
              <w:t xml:space="preserve">        </w:t>
            </w:r>
          </w:p>
        </w:tc>
      </w:tr>
      <w:tr w14:paraId="33401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2236" w:type="dxa"/>
            <w:noWrap w:val="0"/>
            <w:vAlign w:val="center"/>
          </w:tcPr>
          <w:p w14:paraId="5690754B">
            <w:pPr>
              <w:widowControl/>
              <w:snapToGrid w:val="0"/>
              <w:spacing w:after="100" w:afterAutospacing="1"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监理单位意见：</w:t>
            </w:r>
          </w:p>
        </w:tc>
        <w:tc>
          <w:tcPr>
            <w:tcW w:w="6201" w:type="dxa"/>
            <w:noWrap w:val="0"/>
            <w:vAlign w:val="top"/>
          </w:tcPr>
          <w:p w14:paraId="6DD33AE7">
            <w:pPr>
              <w:widowControl/>
              <w:snapToGrid w:val="0"/>
              <w:spacing w:after="100" w:afterAutospacing="1" w:line="400" w:lineRule="exact"/>
              <w:rPr>
                <w:rFonts w:ascii="宋体" w:hAnsi="宋体"/>
                <w:color w:val="auto"/>
                <w:kern w:val="0"/>
                <w:szCs w:val="21"/>
                <w:highlight w:val="none"/>
                <w:u w:val="single"/>
              </w:rPr>
            </w:pPr>
          </w:p>
          <w:p w14:paraId="63029226">
            <w:pPr>
              <w:widowControl/>
              <w:snapToGrid w:val="0"/>
              <w:spacing w:after="100" w:afterAutospacing="1" w:line="400" w:lineRule="exact"/>
              <w:rPr>
                <w:rFonts w:ascii="宋体" w:hAnsi="宋体"/>
                <w:color w:val="auto"/>
                <w:kern w:val="0"/>
                <w:szCs w:val="21"/>
                <w:highlight w:val="none"/>
                <w:u w:val="single"/>
              </w:rPr>
            </w:pPr>
            <w:r>
              <w:rPr>
                <w:rFonts w:hint="eastAsia" w:ascii="宋体" w:hAnsi="宋体"/>
                <w:color w:val="auto"/>
                <w:kern w:val="0"/>
                <w:szCs w:val="21"/>
                <w:highlight w:val="none"/>
              </w:rPr>
              <w:t xml:space="preserve">             总监签字并加盖项目章：</w:t>
            </w:r>
            <w:r>
              <w:rPr>
                <w:rFonts w:hint="eastAsia" w:ascii="宋体" w:hAnsi="宋体"/>
                <w:color w:val="auto"/>
                <w:kern w:val="0"/>
                <w:szCs w:val="21"/>
                <w:highlight w:val="none"/>
                <w:u w:val="single"/>
              </w:rPr>
              <w:t xml:space="preserve">        </w:t>
            </w:r>
          </w:p>
        </w:tc>
      </w:tr>
      <w:tr w14:paraId="706F7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jc w:val="center"/>
        </w:trPr>
        <w:tc>
          <w:tcPr>
            <w:tcW w:w="2236" w:type="dxa"/>
            <w:noWrap w:val="0"/>
            <w:vAlign w:val="center"/>
          </w:tcPr>
          <w:p w14:paraId="7C10E5C3">
            <w:pPr>
              <w:widowControl/>
              <w:snapToGrid w:val="0"/>
              <w:spacing w:after="100" w:afterAutospacing="1" w:line="400" w:lineRule="exact"/>
              <w:jc w:val="center"/>
              <w:rPr>
                <w:rFonts w:ascii="宋体" w:hAnsi="宋体"/>
                <w:color w:val="auto"/>
                <w:kern w:val="0"/>
                <w:szCs w:val="21"/>
                <w:highlight w:val="none"/>
              </w:rPr>
            </w:pPr>
            <w:r>
              <w:rPr>
                <w:rFonts w:hint="eastAsia" w:ascii="宋体" w:hAnsi="宋体"/>
                <w:color w:val="auto"/>
                <w:kern w:val="0"/>
                <w:szCs w:val="21"/>
                <w:highlight w:val="none"/>
              </w:rPr>
              <w:t>工程部项目负责人意见：</w:t>
            </w:r>
          </w:p>
        </w:tc>
        <w:tc>
          <w:tcPr>
            <w:tcW w:w="6201" w:type="dxa"/>
            <w:noWrap w:val="0"/>
            <w:vAlign w:val="top"/>
          </w:tcPr>
          <w:p w14:paraId="00CFE2CC">
            <w:pPr>
              <w:widowControl/>
              <w:snapToGrid w:val="0"/>
              <w:spacing w:after="100" w:afterAutospacing="1" w:line="400" w:lineRule="exact"/>
              <w:rPr>
                <w:rFonts w:ascii="宋体" w:hAnsi="宋体"/>
                <w:color w:val="auto"/>
                <w:kern w:val="0"/>
                <w:szCs w:val="21"/>
                <w:highlight w:val="none"/>
                <w:u w:val="single"/>
              </w:rPr>
            </w:pPr>
          </w:p>
          <w:p w14:paraId="0CAF5B7D">
            <w:pPr>
              <w:widowControl/>
              <w:snapToGrid w:val="0"/>
              <w:spacing w:after="100" w:afterAutospacing="1" w:line="400" w:lineRule="exact"/>
              <w:rPr>
                <w:rFonts w:ascii="宋体" w:hAnsi="宋体"/>
                <w:color w:val="auto"/>
                <w:kern w:val="0"/>
                <w:szCs w:val="21"/>
                <w:highlight w:val="none"/>
                <w:u w:val="single"/>
              </w:rPr>
            </w:pPr>
            <w:r>
              <w:rPr>
                <w:rFonts w:hint="eastAsia" w:ascii="宋体" w:hAnsi="宋体"/>
                <w:color w:val="auto"/>
                <w:kern w:val="0"/>
                <w:szCs w:val="21"/>
                <w:highlight w:val="none"/>
              </w:rPr>
              <w:t xml:space="preserve">                   项目负责人签字：</w:t>
            </w:r>
            <w:r>
              <w:rPr>
                <w:rFonts w:hint="eastAsia" w:ascii="宋体" w:hAnsi="宋体"/>
                <w:color w:val="auto"/>
                <w:kern w:val="0"/>
                <w:szCs w:val="21"/>
                <w:highlight w:val="none"/>
                <w:u w:val="single"/>
              </w:rPr>
              <w:t xml:space="preserve">        </w:t>
            </w:r>
          </w:p>
        </w:tc>
      </w:tr>
    </w:tbl>
    <w:p w14:paraId="1B4E0936">
      <w:pPr>
        <w:pStyle w:val="2"/>
        <w:rPr>
          <w:rFonts w:ascii="宋体" w:hAnsi="宋体"/>
          <w:color w:val="auto"/>
          <w:sz w:val="24"/>
          <w:highlight w:val="none"/>
        </w:rPr>
      </w:pPr>
    </w:p>
    <w:p w14:paraId="45CDD92C">
      <w:pPr>
        <w:pStyle w:val="2"/>
        <w:rPr>
          <w:rFonts w:ascii="宋体" w:hAnsi="宋体"/>
          <w:color w:val="auto"/>
          <w:sz w:val="24"/>
          <w:highlight w:val="none"/>
        </w:rPr>
      </w:pPr>
    </w:p>
    <w:p w14:paraId="68CDADCE">
      <w:pPr>
        <w:pStyle w:val="2"/>
        <w:rPr>
          <w:rFonts w:ascii="宋体" w:hAnsi="宋体"/>
          <w:color w:val="auto"/>
          <w:sz w:val="24"/>
          <w:highlight w:val="none"/>
        </w:rPr>
      </w:pPr>
    </w:p>
    <w:p w14:paraId="29F1033D">
      <w:pPr>
        <w:pStyle w:val="2"/>
        <w:rPr>
          <w:rFonts w:ascii="宋体" w:hAnsi="宋体"/>
          <w:color w:val="auto"/>
          <w:sz w:val="24"/>
          <w:highlight w:val="none"/>
        </w:rPr>
      </w:pPr>
    </w:p>
    <w:p w14:paraId="680CEB47">
      <w:pPr>
        <w:pStyle w:val="2"/>
        <w:rPr>
          <w:rFonts w:ascii="宋体" w:hAnsi="宋体"/>
          <w:color w:val="auto"/>
          <w:sz w:val="24"/>
          <w:highlight w:val="none"/>
        </w:rPr>
      </w:pPr>
    </w:p>
    <w:p w14:paraId="398E08DC">
      <w:pPr>
        <w:pStyle w:val="2"/>
        <w:rPr>
          <w:rFonts w:ascii="宋体" w:hAnsi="宋体"/>
          <w:color w:val="auto"/>
          <w:sz w:val="24"/>
          <w:highlight w:val="none"/>
        </w:rPr>
      </w:pPr>
    </w:p>
    <w:p w14:paraId="175AE1F6">
      <w:pPr>
        <w:pStyle w:val="2"/>
        <w:rPr>
          <w:rFonts w:ascii="宋体" w:hAnsi="宋体"/>
          <w:color w:val="auto"/>
          <w:sz w:val="24"/>
          <w:highlight w:val="none"/>
        </w:rPr>
      </w:pPr>
    </w:p>
    <w:p w14:paraId="475554B5">
      <w:pPr>
        <w:pStyle w:val="2"/>
        <w:rPr>
          <w:rFonts w:ascii="宋体" w:hAnsi="宋体"/>
          <w:color w:val="auto"/>
          <w:sz w:val="24"/>
          <w:highlight w:val="none"/>
        </w:rPr>
      </w:pPr>
    </w:p>
    <w:p w14:paraId="3D5D1E93">
      <w:pPr>
        <w:spacing w:line="360" w:lineRule="auto"/>
        <w:jc w:val="left"/>
        <w:rPr>
          <w:rFonts w:ascii="宋体" w:hAnsi="宋体"/>
          <w:color w:val="auto"/>
          <w:sz w:val="24"/>
          <w:highlight w:val="none"/>
        </w:rPr>
      </w:pPr>
    </w:p>
    <w:bookmarkEnd w:id="688"/>
    <w:p w14:paraId="302CEBB5">
      <w:pPr>
        <w:spacing w:line="360" w:lineRule="auto"/>
        <w:rPr>
          <w:rFonts w:ascii="宋体" w:hAnsi="宋体"/>
          <w:color w:val="auto"/>
          <w:szCs w:val="20"/>
          <w:highlight w:val="none"/>
        </w:rPr>
      </w:pPr>
    </w:p>
    <w:p w14:paraId="49C80D73">
      <w:pPr>
        <w:spacing w:line="240" w:lineRule="exact"/>
        <w:rPr>
          <w:rFonts w:ascii="宋体" w:hAnsi="宋体"/>
          <w:color w:val="auto"/>
          <w:szCs w:val="20"/>
          <w:highlight w:val="none"/>
        </w:rPr>
      </w:pPr>
      <w:r>
        <w:rPr>
          <w:rFonts w:ascii="宋体" w:hAnsi="宋体"/>
          <w:color w:val="auto"/>
          <w:szCs w:val="20"/>
          <w:highlight w:val="none"/>
        </w:rPr>
        <w:br w:type="page"/>
      </w:r>
      <w:bookmarkStart w:id="2179" w:name="招标文件05章工程量清单"/>
      <w:bookmarkEnd w:id="2179"/>
    </w:p>
    <w:p w14:paraId="2C0FE289">
      <w:pPr>
        <w:pStyle w:val="3"/>
        <w:spacing w:before="0" w:after="0" w:line="360" w:lineRule="auto"/>
        <w:jc w:val="center"/>
        <w:rPr>
          <w:rFonts w:ascii="宋体" w:hAnsi="宋体"/>
          <w:color w:val="auto"/>
          <w:highlight w:val="none"/>
        </w:rPr>
      </w:pPr>
      <w:bookmarkStart w:id="2180" w:name="_Toc287607855"/>
      <w:bookmarkStart w:id="2181" w:name="_Toc430530513"/>
      <w:bookmarkStart w:id="2182" w:name="_Toc57820640"/>
      <w:bookmarkStart w:id="2183" w:name="_Toc509218843"/>
      <w:bookmarkStart w:id="2184" w:name="_Toc534185822"/>
      <w:bookmarkStart w:id="2185" w:name="_Toc287620797"/>
      <w:r>
        <w:rPr>
          <w:rFonts w:hint="eastAsia" w:ascii="宋体" w:hAnsi="宋体"/>
          <w:color w:val="auto"/>
          <w:highlight w:val="none"/>
        </w:rPr>
        <w:t>第五章  工程量清单</w:t>
      </w:r>
      <w:bookmarkEnd w:id="2180"/>
      <w:bookmarkEnd w:id="2181"/>
      <w:bookmarkEnd w:id="2182"/>
      <w:bookmarkEnd w:id="2183"/>
      <w:bookmarkEnd w:id="2184"/>
      <w:bookmarkEnd w:id="2185"/>
      <w:bookmarkStart w:id="2186" w:name="招标文件05章工程量清单01"/>
      <w:bookmarkEnd w:id="2186"/>
      <w:bookmarkStart w:id="2187" w:name="_Toc277082638"/>
      <w:bookmarkStart w:id="2188" w:name="_Toc224103477"/>
      <w:bookmarkStart w:id="2189" w:name="_Toc287607856"/>
      <w:bookmarkStart w:id="2190" w:name="_Toc287620798"/>
      <w:bookmarkStart w:id="2191" w:name="_Toc430530514"/>
    </w:p>
    <w:bookmarkEnd w:id="2187"/>
    <w:bookmarkEnd w:id="2188"/>
    <w:bookmarkEnd w:id="2189"/>
    <w:bookmarkEnd w:id="2190"/>
    <w:bookmarkEnd w:id="2191"/>
    <w:p w14:paraId="5C082E5E">
      <w:pPr>
        <w:snapToGrid w:val="0"/>
        <w:spacing w:line="360" w:lineRule="auto"/>
        <w:jc w:val="center"/>
        <w:rPr>
          <w:rFonts w:hint="eastAsia" w:ascii="宋体" w:hAnsi="宋体"/>
          <w:color w:val="auto"/>
          <w:sz w:val="24"/>
          <w:highlight w:val="none"/>
        </w:rPr>
      </w:pPr>
    </w:p>
    <w:p w14:paraId="53F0F743">
      <w:pPr>
        <w:snapToGrid w:val="0"/>
        <w:spacing w:line="360" w:lineRule="auto"/>
        <w:jc w:val="center"/>
        <w:rPr>
          <w:rFonts w:hint="eastAsia" w:ascii="宋体" w:hAnsi="宋体"/>
          <w:color w:val="auto"/>
          <w:szCs w:val="21"/>
          <w:highlight w:val="none"/>
        </w:rPr>
      </w:pPr>
      <w:r>
        <w:rPr>
          <w:rFonts w:hint="eastAsia" w:ascii="宋体" w:hAnsi="宋体"/>
          <w:color w:val="auto"/>
          <w:szCs w:val="20"/>
          <w:highlight w:val="none"/>
        </w:rPr>
        <w:t>在</w:t>
      </w:r>
      <w:r>
        <w:rPr>
          <w:rFonts w:hint="eastAsia" w:ascii="宋体" w:hAnsi="宋体"/>
          <w:color w:val="auto"/>
          <w:szCs w:val="20"/>
          <w:highlight w:val="none"/>
          <w:u w:val="single"/>
        </w:rPr>
        <w:t>重庆市公共资源交易网（www.cqggzy.com）</w:t>
      </w:r>
      <w:r>
        <w:rPr>
          <w:rFonts w:hint="eastAsia" w:ascii="宋体" w:hAnsi="宋体"/>
          <w:color w:val="auto"/>
          <w:szCs w:val="20"/>
          <w:highlight w:val="none"/>
        </w:rPr>
        <w:t>下载。</w:t>
      </w:r>
    </w:p>
    <w:p w14:paraId="717D1EFC">
      <w:pPr>
        <w:ind w:right="561"/>
        <w:rPr>
          <w:rFonts w:ascii="宋体" w:hAnsi="宋体"/>
          <w:color w:val="auto"/>
          <w:szCs w:val="21"/>
          <w:highlight w:val="none"/>
        </w:rPr>
      </w:pPr>
      <w:r>
        <w:rPr>
          <w:rFonts w:ascii="宋体" w:hAnsi="宋体"/>
          <w:color w:val="auto"/>
          <w:sz w:val="24"/>
          <w:highlight w:val="none"/>
        </w:rPr>
        <w:br w:type="page"/>
      </w:r>
    </w:p>
    <w:p w14:paraId="76CDC433">
      <w:pPr>
        <w:pStyle w:val="3"/>
        <w:spacing w:before="0" w:after="0" w:line="360" w:lineRule="auto"/>
        <w:jc w:val="center"/>
        <w:rPr>
          <w:rFonts w:ascii="宋体" w:hAnsi="宋体"/>
          <w:color w:val="auto"/>
          <w:sz w:val="52"/>
          <w:szCs w:val="52"/>
          <w:highlight w:val="none"/>
        </w:rPr>
      </w:pPr>
      <w:bookmarkStart w:id="2192" w:name="_Toc534185823"/>
      <w:bookmarkStart w:id="2193" w:name="_Toc509218844"/>
      <w:bookmarkStart w:id="2194" w:name="_Toc57820641"/>
      <w:r>
        <w:rPr>
          <w:rFonts w:ascii="宋体" w:hAnsi="宋体"/>
          <w:color w:val="auto"/>
          <w:sz w:val="52"/>
          <w:szCs w:val="52"/>
          <w:highlight w:val="none"/>
        </w:rPr>
        <w:t>第 二 卷</w:t>
      </w:r>
      <w:bookmarkEnd w:id="2192"/>
      <w:bookmarkEnd w:id="2193"/>
      <w:bookmarkEnd w:id="2194"/>
    </w:p>
    <w:p w14:paraId="65724D44">
      <w:pPr>
        <w:spacing w:line="360" w:lineRule="auto"/>
        <w:rPr>
          <w:rFonts w:ascii="宋体" w:hAnsi="宋体"/>
          <w:color w:val="auto"/>
          <w:szCs w:val="20"/>
          <w:highlight w:val="none"/>
        </w:rPr>
      </w:pPr>
      <w:r>
        <w:rPr>
          <w:rFonts w:ascii="宋体" w:hAnsi="宋体"/>
          <w:color w:val="auto"/>
          <w:szCs w:val="20"/>
          <w:highlight w:val="none"/>
        </w:rPr>
        <w:br w:type="page"/>
      </w:r>
    </w:p>
    <w:p w14:paraId="078F7F8D">
      <w:pPr>
        <w:pStyle w:val="3"/>
        <w:spacing w:line="360" w:lineRule="auto"/>
        <w:jc w:val="center"/>
        <w:rPr>
          <w:rFonts w:ascii="宋体" w:hAnsi="宋体"/>
          <w:color w:val="auto"/>
          <w:highlight w:val="none"/>
        </w:rPr>
      </w:pPr>
      <w:bookmarkStart w:id="2195" w:name="招标文件06章图纸"/>
      <w:bookmarkEnd w:id="2195"/>
      <w:bookmarkStart w:id="2196" w:name="_Toc57820642"/>
      <w:bookmarkStart w:id="2197" w:name="_Toc287620803"/>
      <w:bookmarkStart w:id="2198" w:name="_Toc287607861"/>
      <w:bookmarkStart w:id="2199" w:name="_Toc509218846"/>
      <w:bookmarkStart w:id="2200" w:name="_Toc534185825"/>
      <w:bookmarkStart w:id="2201" w:name="_Toc430530519"/>
      <w:r>
        <w:rPr>
          <w:rFonts w:hint="eastAsia" w:ascii="宋体" w:hAnsi="宋体"/>
          <w:color w:val="auto"/>
          <w:highlight w:val="none"/>
        </w:rPr>
        <w:t>第六章  图纸</w:t>
      </w:r>
      <w:bookmarkEnd w:id="2196"/>
      <w:bookmarkEnd w:id="2197"/>
      <w:bookmarkEnd w:id="2198"/>
      <w:bookmarkEnd w:id="2199"/>
      <w:bookmarkEnd w:id="2200"/>
      <w:bookmarkEnd w:id="2201"/>
    </w:p>
    <w:p w14:paraId="0EDA89B9">
      <w:pPr>
        <w:spacing w:line="360" w:lineRule="auto"/>
        <w:jc w:val="center"/>
        <w:rPr>
          <w:rFonts w:ascii="宋体" w:hAnsi="宋体"/>
          <w:color w:val="auto"/>
          <w:szCs w:val="20"/>
          <w:highlight w:val="none"/>
        </w:rPr>
      </w:pPr>
      <w:r>
        <w:rPr>
          <w:rFonts w:hint="eastAsia" w:ascii="宋体" w:hAnsi="宋体"/>
          <w:color w:val="auto"/>
          <w:szCs w:val="20"/>
          <w:highlight w:val="none"/>
        </w:rPr>
        <w:t>在</w:t>
      </w:r>
      <w:r>
        <w:rPr>
          <w:rFonts w:hint="eastAsia" w:ascii="宋体" w:hAnsi="宋体"/>
          <w:color w:val="auto"/>
          <w:szCs w:val="20"/>
          <w:highlight w:val="none"/>
          <w:u w:val="single"/>
        </w:rPr>
        <w:t>重庆市公共资源交易网（www.cqggzy.com）</w:t>
      </w:r>
      <w:r>
        <w:rPr>
          <w:rFonts w:hint="eastAsia" w:ascii="宋体" w:hAnsi="宋体"/>
          <w:color w:val="auto"/>
          <w:szCs w:val="20"/>
          <w:highlight w:val="none"/>
        </w:rPr>
        <w:t>下载。</w:t>
      </w:r>
    </w:p>
    <w:p w14:paraId="6F8F28C4">
      <w:pPr>
        <w:spacing w:line="360" w:lineRule="auto"/>
        <w:rPr>
          <w:rFonts w:ascii="宋体" w:hAnsi="宋体"/>
          <w:color w:val="auto"/>
          <w:szCs w:val="20"/>
          <w:highlight w:val="none"/>
        </w:rPr>
      </w:pPr>
      <w:bookmarkStart w:id="2202" w:name="招标文件06章图纸01"/>
      <w:bookmarkEnd w:id="2202"/>
      <w:bookmarkStart w:id="2203" w:name="_Toc287620804"/>
      <w:bookmarkStart w:id="2204" w:name="_Toc430530520"/>
    </w:p>
    <w:bookmarkEnd w:id="2203"/>
    <w:bookmarkEnd w:id="2204"/>
    <w:p w14:paraId="6F9037A9">
      <w:pPr>
        <w:spacing w:line="360" w:lineRule="auto"/>
        <w:rPr>
          <w:rFonts w:ascii="宋体" w:hAnsi="宋体"/>
          <w:color w:val="auto"/>
          <w:highlight w:val="none"/>
        </w:rPr>
      </w:pPr>
      <w:r>
        <w:rPr>
          <w:rFonts w:ascii="宋体" w:hAnsi="宋体"/>
          <w:color w:val="auto"/>
          <w:szCs w:val="20"/>
          <w:highlight w:val="none"/>
        </w:rPr>
        <w:br w:type="page"/>
      </w:r>
    </w:p>
    <w:p w14:paraId="456715FF">
      <w:pPr>
        <w:pStyle w:val="3"/>
        <w:spacing w:before="0" w:after="0" w:line="360" w:lineRule="auto"/>
        <w:jc w:val="center"/>
        <w:rPr>
          <w:rFonts w:hint="eastAsia" w:ascii="宋体" w:hAnsi="宋体"/>
          <w:color w:val="auto"/>
          <w:sz w:val="52"/>
          <w:szCs w:val="52"/>
          <w:highlight w:val="none"/>
        </w:rPr>
      </w:pPr>
      <w:bookmarkStart w:id="2205" w:name="_Toc57820643"/>
      <w:r>
        <w:rPr>
          <w:rFonts w:hint="eastAsia" w:ascii="宋体" w:hAnsi="宋体"/>
          <w:color w:val="auto"/>
          <w:sz w:val="52"/>
          <w:szCs w:val="52"/>
          <w:highlight w:val="none"/>
        </w:rPr>
        <w:t>第 三 卷</w:t>
      </w:r>
      <w:bookmarkEnd w:id="2205"/>
      <w:bookmarkStart w:id="2206" w:name="_Toc509218847"/>
      <w:bookmarkStart w:id="2207" w:name="_Toc13211206"/>
      <w:bookmarkStart w:id="2208" w:name="_Toc536796850"/>
      <w:bookmarkStart w:id="2209" w:name="_Toc536797121"/>
      <w:bookmarkStart w:id="2210" w:name="_Toc536796986"/>
      <w:bookmarkStart w:id="2211" w:name="_Toc536797390"/>
      <w:bookmarkStart w:id="2212" w:name="_Toc536797255"/>
      <w:bookmarkStart w:id="2213" w:name="_Toc536620100"/>
      <w:bookmarkStart w:id="2214" w:name="_Toc13211764"/>
      <w:bookmarkStart w:id="2215" w:name="_Toc536621880"/>
      <w:bookmarkStart w:id="2216" w:name="_Toc536628344"/>
      <w:bookmarkStart w:id="2217" w:name="_Toc534185826"/>
      <w:bookmarkStart w:id="2218" w:name="_Toc13210772"/>
      <w:bookmarkStart w:id="2219" w:name="_Toc536619968"/>
    </w:p>
    <w:bookmarkEnd w:id="2206"/>
    <w:p w14:paraId="6ECA882F">
      <w:pPr>
        <w:rPr>
          <w:color w:val="auto"/>
          <w:highlight w:val="none"/>
        </w:rPr>
      </w:pPr>
      <w:r>
        <w:rPr>
          <w:color w:val="auto"/>
          <w:highlight w:val="none"/>
        </w:rPr>
        <w:br w:type="page"/>
      </w:r>
      <w:bookmarkEnd w:id="2207"/>
      <w:bookmarkEnd w:id="2208"/>
      <w:bookmarkEnd w:id="2209"/>
      <w:bookmarkEnd w:id="2210"/>
      <w:bookmarkEnd w:id="2211"/>
      <w:bookmarkEnd w:id="2212"/>
      <w:bookmarkEnd w:id="2213"/>
      <w:bookmarkEnd w:id="2214"/>
      <w:bookmarkEnd w:id="2215"/>
      <w:bookmarkEnd w:id="2216"/>
      <w:bookmarkEnd w:id="2217"/>
      <w:bookmarkEnd w:id="2218"/>
      <w:bookmarkEnd w:id="2219"/>
    </w:p>
    <w:p w14:paraId="59778EA8">
      <w:pPr>
        <w:pStyle w:val="3"/>
        <w:spacing w:line="360" w:lineRule="auto"/>
        <w:jc w:val="center"/>
        <w:rPr>
          <w:rFonts w:ascii="宋体" w:hAnsi="宋体"/>
          <w:color w:val="auto"/>
          <w:highlight w:val="none"/>
        </w:rPr>
      </w:pPr>
      <w:bookmarkStart w:id="2220" w:name="招标文件07章技术标准和要求"/>
      <w:bookmarkEnd w:id="2220"/>
      <w:bookmarkStart w:id="2221" w:name="_Toc57820644"/>
      <w:r>
        <w:rPr>
          <w:rFonts w:ascii="宋体" w:hAnsi="宋体"/>
          <w:color w:val="auto"/>
          <w:highlight w:val="none"/>
        </w:rPr>
        <w:t>第七章</w:t>
      </w:r>
      <w:r>
        <w:rPr>
          <w:rFonts w:hint="eastAsia" w:ascii="宋体" w:hAnsi="宋体"/>
          <w:color w:val="auto"/>
          <w:highlight w:val="none"/>
        </w:rPr>
        <w:t xml:space="preserve">  </w:t>
      </w:r>
      <w:r>
        <w:rPr>
          <w:rFonts w:ascii="宋体" w:hAnsi="宋体"/>
          <w:color w:val="auto"/>
          <w:highlight w:val="none"/>
        </w:rPr>
        <w:t>技术标准和要求</w:t>
      </w:r>
      <w:bookmarkEnd w:id="2221"/>
      <w:bookmarkStart w:id="2222" w:name="招标文件07章技术标准和要求01"/>
      <w:bookmarkEnd w:id="2222"/>
      <w:bookmarkStart w:id="2223" w:name="_Toc287620808"/>
      <w:bookmarkStart w:id="2224" w:name="_Toc430530524"/>
    </w:p>
    <w:bookmarkEnd w:id="2223"/>
    <w:bookmarkEnd w:id="2224"/>
    <w:p w14:paraId="78AEB0AB">
      <w:pPr>
        <w:spacing w:line="360" w:lineRule="auto"/>
        <w:jc w:val="center"/>
        <w:rPr>
          <w:rStyle w:val="54"/>
          <w:rFonts w:hint="eastAsia"/>
          <w:color w:val="auto"/>
          <w:highlight w:val="none"/>
        </w:rPr>
      </w:pPr>
      <w:r>
        <w:rPr>
          <w:rFonts w:ascii="宋体" w:hAnsi="宋体"/>
          <w:color w:val="auto"/>
          <w:szCs w:val="21"/>
          <w:highlight w:val="none"/>
        </w:rPr>
        <w:t>由招标人根据招标项目的实际情况编写</w:t>
      </w:r>
      <w:r>
        <w:rPr>
          <w:rFonts w:hint="eastAsia" w:ascii="宋体" w:hAnsi="宋体"/>
          <w:color w:val="auto"/>
          <w:szCs w:val="21"/>
          <w:highlight w:val="none"/>
        </w:rPr>
        <w:t>（如有）。</w:t>
      </w:r>
    </w:p>
    <w:p w14:paraId="1E36115E">
      <w:pPr>
        <w:spacing w:line="360" w:lineRule="auto"/>
        <w:rPr>
          <w:rFonts w:ascii="宋体" w:hAnsi="宋体"/>
          <w:color w:val="auto"/>
          <w:highlight w:val="none"/>
        </w:rPr>
      </w:pPr>
      <w:r>
        <w:rPr>
          <w:rFonts w:ascii="宋体" w:hAnsi="宋体"/>
          <w:color w:val="auto"/>
          <w:highlight w:val="none"/>
        </w:rPr>
        <w:br w:type="page"/>
      </w:r>
    </w:p>
    <w:p w14:paraId="6627ACBA">
      <w:pPr>
        <w:pStyle w:val="3"/>
        <w:spacing w:before="0" w:after="0" w:line="360" w:lineRule="auto"/>
        <w:jc w:val="center"/>
        <w:rPr>
          <w:rFonts w:hint="eastAsia" w:ascii="宋体" w:hAnsi="宋体"/>
          <w:color w:val="auto"/>
          <w:sz w:val="52"/>
          <w:szCs w:val="52"/>
          <w:highlight w:val="none"/>
        </w:rPr>
      </w:pPr>
      <w:bookmarkStart w:id="2225" w:name="_Toc57820645"/>
      <w:bookmarkStart w:id="2226" w:name="_Toc509218849"/>
      <w:bookmarkStart w:id="2227" w:name="_Toc534185827"/>
      <w:r>
        <w:rPr>
          <w:rFonts w:ascii="宋体" w:hAnsi="宋体"/>
          <w:color w:val="auto"/>
          <w:sz w:val="52"/>
          <w:szCs w:val="52"/>
          <w:highlight w:val="none"/>
        </w:rPr>
        <w:t>第 四 卷</w:t>
      </w:r>
      <w:bookmarkEnd w:id="2225"/>
      <w:bookmarkEnd w:id="2226"/>
      <w:bookmarkEnd w:id="2227"/>
      <w:bookmarkStart w:id="2228" w:name="_Toc536628347"/>
      <w:bookmarkStart w:id="2229" w:name="_Toc536796853"/>
      <w:bookmarkStart w:id="2230" w:name="_Toc13210775"/>
      <w:bookmarkStart w:id="2231" w:name="_Toc13211767"/>
      <w:bookmarkStart w:id="2232" w:name="_Toc509218850"/>
      <w:bookmarkStart w:id="2233" w:name="_Toc536619970"/>
      <w:bookmarkStart w:id="2234" w:name="_Toc536621883"/>
      <w:bookmarkStart w:id="2235" w:name="_Toc536797124"/>
      <w:bookmarkStart w:id="2236" w:name="_Toc536797258"/>
      <w:bookmarkStart w:id="2237" w:name="_Toc536797393"/>
      <w:bookmarkStart w:id="2238" w:name="_Toc534185828"/>
      <w:bookmarkStart w:id="2239" w:name="_Toc536796989"/>
      <w:bookmarkStart w:id="2240" w:name="_Toc13211209"/>
      <w:bookmarkStart w:id="2241" w:name="_Toc536620102"/>
    </w:p>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14:paraId="6D882214">
      <w:pPr>
        <w:rPr>
          <w:rFonts w:hint="eastAsia"/>
          <w:color w:val="auto"/>
          <w:highlight w:val="none"/>
        </w:rPr>
      </w:pPr>
      <w:r>
        <w:rPr>
          <w:color w:val="auto"/>
          <w:highlight w:val="none"/>
        </w:rPr>
        <w:br w:type="page"/>
      </w:r>
      <w:bookmarkStart w:id="2242" w:name="招标文件08章投标文件格式"/>
      <w:bookmarkEnd w:id="2242"/>
      <w:bookmarkStart w:id="2243" w:name="_Toc287620812"/>
      <w:bookmarkStart w:id="2244" w:name="_Toc287607865"/>
    </w:p>
    <w:p w14:paraId="24DDA49B">
      <w:pPr>
        <w:pStyle w:val="3"/>
        <w:spacing w:line="360" w:lineRule="auto"/>
        <w:jc w:val="center"/>
        <w:rPr>
          <w:rFonts w:ascii="宋体" w:hAnsi="宋体"/>
          <w:color w:val="auto"/>
          <w:highlight w:val="none"/>
        </w:rPr>
      </w:pPr>
      <w:bookmarkStart w:id="2245" w:name="_Toc430530528"/>
      <w:bookmarkStart w:id="2246" w:name="_Toc509218852"/>
      <w:bookmarkStart w:id="2247" w:name="_Toc534185829"/>
      <w:bookmarkStart w:id="2248" w:name="_Toc57820646"/>
      <w:r>
        <w:rPr>
          <w:rFonts w:hint="eastAsia" w:ascii="宋体" w:hAnsi="宋体"/>
          <w:color w:val="auto"/>
          <w:highlight w:val="none"/>
        </w:rPr>
        <w:t>第八章  投标文件格式</w:t>
      </w:r>
      <w:bookmarkEnd w:id="2243"/>
      <w:bookmarkEnd w:id="2244"/>
      <w:bookmarkEnd w:id="2245"/>
      <w:bookmarkEnd w:id="2246"/>
      <w:bookmarkEnd w:id="2247"/>
      <w:bookmarkEnd w:id="2248"/>
    </w:p>
    <w:p w14:paraId="3518F1BE">
      <w:pPr>
        <w:spacing w:line="360" w:lineRule="auto"/>
        <w:rPr>
          <w:rFonts w:ascii="宋体" w:hAnsi="宋体"/>
          <w:color w:val="auto"/>
          <w:sz w:val="32"/>
          <w:szCs w:val="32"/>
          <w:highlight w:val="none"/>
        </w:rPr>
      </w:pPr>
    </w:p>
    <w:p w14:paraId="1267222F">
      <w:pPr>
        <w:spacing w:line="360" w:lineRule="auto"/>
        <w:jc w:val="center"/>
        <w:rPr>
          <w:rFonts w:ascii="宋体" w:hAnsi="宋体"/>
          <w:color w:val="auto"/>
          <w:sz w:val="36"/>
          <w:szCs w:val="36"/>
          <w:highlight w:val="none"/>
        </w:rPr>
      </w:pPr>
      <w:r>
        <w:rPr>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2365375</wp:posOffset>
                </wp:positionH>
                <wp:positionV relativeFrom="paragraph">
                  <wp:posOffset>8465820</wp:posOffset>
                </wp:positionV>
                <wp:extent cx="807720" cy="693420"/>
                <wp:effectExtent l="0" t="0" r="11430" b="11430"/>
                <wp:wrapNone/>
                <wp:docPr id="2" name="矩形 118"/>
                <wp:cNvGraphicFramePr/>
                <a:graphic xmlns:a="http://schemas.openxmlformats.org/drawingml/2006/main">
                  <a:graphicData uri="http://schemas.microsoft.com/office/word/2010/wordprocessingShape">
                    <wps:wsp>
                      <wps:cNvSpPr/>
                      <wps:spPr>
                        <a:xfrm>
                          <a:off x="0" y="0"/>
                          <a:ext cx="807720" cy="693420"/>
                        </a:xfrm>
                        <a:prstGeom prst="rect">
                          <a:avLst/>
                        </a:prstGeom>
                        <a:solidFill>
                          <a:srgbClr val="FFFFFF"/>
                        </a:solidFill>
                        <a:ln>
                          <a:noFill/>
                        </a:ln>
                      </wps:spPr>
                      <wps:txbx>
                        <w:txbxContent>
                          <w:p w14:paraId="5D4E4628"/>
                        </w:txbxContent>
                      </wps:txbx>
                      <wps:bodyPr wrap="square" upright="1"/>
                    </wps:wsp>
                  </a:graphicData>
                </a:graphic>
              </wp:anchor>
            </w:drawing>
          </mc:Choice>
          <mc:Fallback>
            <w:pict>
              <v:rect id="矩形 118" o:spid="_x0000_s1026" o:spt="1" style="position:absolute;left:0pt;margin-left:186.25pt;margin-top:666.6pt;height:54.6pt;width:63.6pt;z-index:251660288;mso-width-relative:page;mso-height-relative:page;" fillcolor="#FFFFFF" filled="t" stroked="f" coordsize="21600,21600" o:gfxdata="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fvl6p9oAAAANAQAADwAAAAAAAAABACAAAAAiAAAAZHJzL2Rvd25yZXYu&#10;eG1sUEsBAhQAFAAAAAgAh07iQL0qBPLAAQAAeQMAAA4AAAAAAAAAAQAgAAAAKQEAAGRycy9lMm9E&#10;b2MueG1sUEsFBgAAAAAGAAYAWQEAAFsFAAAAAA==&#10;">
                <v:fill on="t" focussize="0,0"/>
                <v:stroke on="f"/>
                <v:imagedata o:title=""/>
                <o:lock v:ext="edit" aspectratio="f"/>
                <v:textbox>
                  <w:txbxContent>
                    <w:p w14:paraId="5D4E4628"/>
                  </w:txbxContent>
                </v:textbox>
              </v:rect>
            </w:pict>
          </mc:Fallback>
        </mc:AlternateContent>
      </w:r>
      <w:r>
        <w:rPr>
          <w:rFonts w:ascii="宋体" w:hAnsi="宋体"/>
          <w:color w:val="auto"/>
          <w:szCs w:val="20"/>
          <w:highlight w:val="none"/>
        </w:rPr>
        <w:br w:type="page"/>
      </w:r>
      <w:bookmarkStart w:id="2249" w:name="_Toc224103493"/>
      <w:r>
        <w:rPr>
          <w:rFonts w:hint="eastAsia" w:ascii="宋体" w:hAnsi="宋体"/>
          <w:color w:val="auto"/>
          <w:sz w:val="36"/>
          <w:szCs w:val="36"/>
          <w:highlight w:val="none"/>
        </w:rPr>
        <w:t>目  录</w:t>
      </w:r>
      <w:bookmarkEnd w:id="2249"/>
    </w:p>
    <w:p w14:paraId="18334F11">
      <w:pPr>
        <w:spacing w:line="360" w:lineRule="auto"/>
        <w:jc w:val="center"/>
        <w:rPr>
          <w:rFonts w:ascii="宋体" w:hAnsi="宋体"/>
          <w:color w:val="auto"/>
          <w:szCs w:val="20"/>
          <w:highlight w:val="none"/>
        </w:rPr>
      </w:pPr>
    </w:p>
    <w:p w14:paraId="52AECD8F">
      <w:pPr>
        <w:spacing w:line="360" w:lineRule="auto"/>
        <w:rPr>
          <w:rFonts w:ascii="宋体" w:hAnsi="宋体"/>
          <w:b/>
          <w:color w:val="auto"/>
          <w:highlight w:val="none"/>
        </w:rPr>
      </w:pPr>
      <w:r>
        <w:rPr>
          <w:rFonts w:hint="eastAsia" w:ascii="宋体" w:hAnsi="宋体"/>
          <w:b/>
          <w:color w:val="auto"/>
          <w:highlight w:val="none"/>
        </w:rPr>
        <w:t>一</w:t>
      </w:r>
      <w:r>
        <w:rPr>
          <w:rFonts w:ascii="宋体" w:hAnsi="宋体"/>
          <w:b/>
          <w:color w:val="auto"/>
          <w:highlight w:val="none"/>
        </w:rPr>
        <w:t>、投标函部分</w:t>
      </w:r>
    </w:p>
    <w:p w14:paraId="10BEFE77">
      <w:pPr>
        <w:spacing w:line="360" w:lineRule="auto"/>
        <w:ind w:firstLine="420" w:firstLineChars="200"/>
        <w:rPr>
          <w:rFonts w:ascii="宋体" w:hAnsi="宋体"/>
          <w:color w:val="auto"/>
          <w:highlight w:val="none"/>
        </w:rPr>
      </w:pPr>
      <w:r>
        <w:rPr>
          <w:rFonts w:ascii="宋体" w:hAnsi="宋体"/>
          <w:color w:val="auto"/>
          <w:highlight w:val="none"/>
        </w:rPr>
        <w:t>（一）投标函</w:t>
      </w:r>
    </w:p>
    <w:p w14:paraId="4622B431">
      <w:pPr>
        <w:spacing w:line="360" w:lineRule="auto"/>
        <w:ind w:firstLine="420" w:firstLineChars="200"/>
        <w:rPr>
          <w:rFonts w:ascii="宋体" w:hAnsi="宋体"/>
          <w:color w:val="auto"/>
          <w:highlight w:val="none"/>
        </w:rPr>
      </w:pPr>
      <w:r>
        <w:rPr>
          <w:rFonts w:ascii="宋体" w:hAnsi="宋体"/>
          <w:color w:val="auto"/>
          <w:highlight w:val="none"/>
        </w:rPr>
        <w:t>（二）投标函附录</w:t>
      </w:r>
    </w:p>
    <w:p w14:paraId="135885FE">
      <w:pPr>
        <w:spacing w:line="360" w:lineRule="auto"/>
        <w:ind w:firstLine="420" w:firstLineChars="200"/>
        <w:rPr>
          <w:rFonts w:ascii="宋体" w:hAnsi="宋体"/>
          <w:color w:val="auto"/>
          <w:highlight w:val="none"/>
        </w:rPr>
      </w:pPr>
      <w:r>
        <w:rPr>
          <w:rFonts w:ascii="宋体" w:hAnsi="宋体"/>
          <w:color w:val="auto"/>
          <w:highlight w:val="none"/>
        </w:rPr>
        <w:t>（三）</w:t>
      </w:r>
      <w:r>
        <w:rPr>
          <w:rFonts w:hint="eastAsia" w:ascii="宋体" w:hAnsi="宋体"/>
          <w:color w:val="auto"/>
          <w:highlight w:val="none"/>
        </w:rPr>
        <w:t>法定代表人身份证明或附有法定代表人身份证明的授权委托书</w:t>
      </w:r>
    </w:p>
    <w:p w14:paraId="604FF68B">
      <w:pPr>
        <w:spacing w:line="360" w:lineRule="auto"/>
        <w:ind w:firstLine="420" w:firstLineChars="200"/>
        <w:rPr>
          <w:rFonts w:ascii="宋体" w:hAnsi="宋体"/>
          <w:color w:val="auto"/>
          <w:highlight w:val="none"/>
        </w:rPr>
      </w:pPr>
      <w:r>
        <w:rPr>
          <w:rFonts w:ascii="宋体" w:hAnsi="宋体"/>
          <w:color w:val="auto"/>
          <w:highlight w:val="none"/>
        </w:rPr>
        <w:t>（四）</w:t>
      </w:r>
      <w:r>
        <w:rPr>
          <w:rFonts w:hint="eastAsia" w:ascii="宋体" w:hAnsi="宋体"/>
          <w:color w:val="auto"/>
          <w:highlight w:val="none"/>
        </w:rPr>
        <w:t>低价风险担保缴纳承诺书（如有）</w:t>
      </w:r>
    </w:p>
    <w:p w14:paraId="53BADCE7">
      <w:pPr>
        <w:spacing w:line="360" w:lineRule="auto"/>
        <w:ind w:firstLine="420" w:firstLineChars="200"/>
        <w:rPr>
          <w:rFonts w:ascii="宋体" w:hAnsi="宋体"/>
          <w:color w:val="auto"/>
          <w:highlight w:val="none"/>
        </w:rPr>
      </w:pPr>
      <w:r>
        <w:rPr>
          <w:rFonts w:ascii="宋体" w:hAnsi="宋体"/>
          <w:color w:val="auto"/>
          <w:highlight w:val="none"/>
        </w:rPr>
        <w:t>（五）联合体协议书</w:t>
      </w:r>
      <w:r>
        <w:rPr>
          <w:rFonts w:hint="eastAsia" w:ascii="宋体" w:hAnsi="宋体"/>
          <w:color w:val="auto"/>
          <w:highlight w:val="none"/>
        </w:rPr>
        <w:t>（如有）</w:t>
      </w:r>
    </w:p>
    <w:p w14:paraId="5EEECD99">
      <w:pPr>
        <w:spacing w:line="360" w:lineRule="auto"/>
        <w:rPr>
          <w:rFonts w:ascii="宋体" w:hAnsi="宋体"/>
          <w:b/>
          <w:color w:val="auto"/>
          <w:highlight w:val="none"/>
        </w:rPr>
      </w:pPr>
      <w:r>
        <w:rPr>
          <w:rFonts w:hint="eastAsia" w:ascii="宋体" w:hAnsi="宋体"/>
          <w:b/>
          <w:color w:val="auto"/>
          <w:highlight w:val="none"/>
        </w:rPr>
        <w:t>二</w:t>
      </w:r>
      <w:r>
        <w:rPr>
          <w:rFonts w:ascii="宋体" w:hAnsi="宋体"/>
          <w:b/>
          <w:color w:val="auto"/>
          <w:highlight w:val="none"/>
        </w:rPr>
        <w:t>、</w:t>
      </w:r>
      <w:r>
        <w:rPr>
          <w:rFonts w:hint="eastAsia" w:ascii="宋体" w:hAnsi="宋体"/>
          <w:b/>
          <w:color w:val="auto"/>
          <w:highlight w:val="none"/>
        </w:rPr>
        <w:t>经济</w:t>
      </w:r>
      <w:r>
        <w:rPr>
          <w:rFonts w:ascii="宋体" w:hAnsi="宋体"/>
          <w:b/>
          <w:color w:val="auto"/>
          <w:highlight w:val="none"/>
        </w:rPr>
        <w:t>部分</w:t>
      </w:r>
    </w:p>
    <w:p w14:paraId="44E3D90E">
      <w:pPr>
        <w:spacing w:line="360" w:lineRule="auto"/>
        <w:ind w:firstLine="420" w:firstLineChars="200"/>
        <w:rPr>
          <w:rFonts w:ascii="宋体" w:hAnsi="宋体"/>
          <w:color w:val="auto"/>
          <w:highlight w:val="none"/>
        </w:rPr>
      </w:pPr>
      <w:r>
        <w:rPr>
          <w:rFonts w:ascii="宋体" w:hAnsi="宋体"/>
          <w:color w:val="auto"/>
          <w:highlight w:val="none"/>
        </w:rPr>
        <w:t>已标价工程量清单</w:t>
      </w:r>
    </w:p>
    <w:p w14:paraId="50B9D327">
      <w:pPr>
        <w:spacing w:line="360" w:lineRule="auto"/>
        <w:rPr>
          <w:rFonts w:ascii="宋体" w:hAnsi="宋体"/>
          <w:b/>
          <w:color w:val="auto"/>
          <w:highlight w:val="none"/>
        </w:rPr>
      </w:pPr>
      <w:r>
        <w:rPr>
          <w:rFonts w:hint="eastAsia" w:ascii="宋体" w:hAnsi="宋体"/>
          <w:b/>
          <w:color w:val="auto"/>
          <w:highlight w:val="none"/>
        </w:rPr>
        <w:t>三</w:t>
      </w:r>
      <w:r>
        <w:rPr>
          <w:rFonts w:ascii="宋体" w:hAnsi="宋体"/>
          <w:b/>
          <w:color w:val="auto"/>
          <w:highlight w:val="none"/>
        </w:rPr>
        <w:t>、技术部分（不设置</w:t>
      </w:r>
      <w:r>
        <w:rPr>
          <w:rFonts w:hint="eastAsia" w:ascii="宋体" w:hAnsi="宋体"/>
          <w:b/>
          <w:color w:val="auto"/>
          <w:highlight w:val="none"/>
        </w:rPr>
        <w:t>技术方案</w:t>
      </w:r>
      <w:r>
        <w:rPr>
          <w:rFonts w:ascii="宋体" w:hAnsi="宋体"/>
          <w:b/>
          <w:color w:val="auto"/>
          <w:highlight w:val="none"/>
        </w:rPr>
        <w:t>评审的不设此部分）</w:t>
      </w:r>
    </w:p>
    <w:p w14:paraId="1B96E68E">
      <w:pPr>
        <w:spacing w:line="360" w:lineRule="auto"/>
        <w:ind w:firstLine="420" w:firstLineChars="200"/>
        <w:rPr>
          <w:rFonts w:ascii="宋体" w:hAnsi="宋体"/>
          <w:color w:val="auto"/>
          <w:highlight w:val="none"/>
        </w:rPr>
      </w:pPr>
      <w:r>
        <w:rPr>
          <w:rFonts w:hint="eastAsia" w:ascii="宋体" w:hAnsi="宋体"/>
          <w:color w:val="auto"/>
          <w:highlight w:val="none"/>
        </w:rPr>
        <w:t>技术方案</w:t>
      </w:r>
    </w:p>
    <w:p w14:paraId="37C894D6">
      <w:pPr>
        <w:spacing w:line="360" w:lineRule="auto"/>
        <w:ind w:firstLine="420" w:firstLineChars="200"/>
        <w:rPr>
          <w:rFonts w:ascii="宋体" w:hAnsi="宋体"/>
          <w:color w:val="auto"/>
          <w:highlight w:val="none"/>
        </w:rPr>
      </w:pPr>
      <w:r>
        <w:rPr>
          <w:rFonts w:ascii="宋体" w:hAnsi="宋体"/>
          <w:color w:val="auto"/>
          <w:highlight w:val="none"/>
        </w:rPr>
        <w:t>附表一</w:t>
      </w:r>
      <w:r>
        <w:rPr>
          <w:rFonts w:hint="eastAsia" w:ascii="宋体" w:hAnsi="宋体"/>
          <w:color w:val="auto"/>
          <w:highlight w:val="none"/>
        </w:rPr>
        <w:t xml:space="preserve"> </w:t>
      </w:r>
      <w:r>
        <w:rPr>
          <w:rFonts w:ascii="宋体" w:hAnsi="宋体"/>
          <w:color w:val="auto"/>
          <w:highlight w:val="none"/>
        </w:rPr>
        <w:t>拟投入本标段的主要施工设备表</w:t>
      </w:r>
    </w:p>
    <w:p w14:paraId="709009C5">
      <w:pPr>
        <w:spacing w:line="360" w:lineRule="auto"/>
        <w:ind w:firstLine="420" w:firstLineChars="200"/>
        <w:rPr>
          <w:rFonts w:ascii="宋体" w:hAnsi="宋体"/>
          <w:color w:val="auto"/>
          <w:highlight w:val="none"/>
        </w:rPr>
      </w:pPr>
      <w:r>
        <w:rPr>
          <w:rFonts w:ascii="宋体" w:hAnsi="宋体"/>
          <w:color w:val="auto"/>
          <w:highlight w:val="none"/>
        </w:rPr>
        <w:t>附表二</w:t>
      </w:r>
      <w:r>
        <w:rPr>
          <w:rFonts w:hint="eastAsia" w:ascii="宋体" w:hAnsi="宋体"/>
          <w:color w:val="auto"/>
          <w:highlight w:val="none"/>
        </w:rPr>
        <w:t xml:space="preserve"> </w:t>
      </w:r>
      <w:r>
        <w:rPr>
          <w:rFonts w:ascii="宋体" w:hAnsi="宋体"/>
          <w:color w:val="auto"/>
          <w:highlight w:val="none"/>
        </w:rPr>
        <w:t>拟配备本标段的试验和检测仪器设备表</w:t>
      </w:r>
    </w:p>
    <w:p w14:paraId="5EB2CAC7">
      <w:pPr>
        <w:spacing w:line="360" w:lineRule="auto"/>
        <w:ind w:firstLine="420" w:firstLineChars="200"/>
        <w:rPr>
          <w:rFonts w:ascii="宋体" w:hAnsi="宋体"/>
          <w:color w:val="auto"/>
          <w:highlight w:val="none"/>
        </w:rPr>
      </w:pPr>
      <w:r>
        <w:rPr>
          <w:rFonts w:ascii="宋体" w:hAnsi="宋体"/>
          <w:color w:val="auto"/>
          <w:highlight w:val="none"/>
        </w:rPr>
        <w:t>附表三</w:t>
      </w:r>
      <w:r>
        <w:rPr>
          <w:rFonts w:hint="eastAsia" w:ascii="宋体" w:hAnsi="宋体"/>
          <w:color w:val="auto"/>
          <w:highlight w:val="none"/>
        </w:rPr>
        <w:t xml:space="preserve"> </w:t>
      </w:r>
      <w:r>
        <w:rPr>
          <w:rFonts w:ascii="宋体" w:hAnsi="宋体"/>
          <w:color w:val="auto"/>
          <w:highlight w:val="none"/>
        </w:rPr>
        <w:t>劳动力计划表</w:t>
      </w:r>
    </w:p>
    <w:p w14:paraId="7D95AAD4">
      <w:pPr>
        <w:spacing w:line="360" w:lineRule="auto"/>
        <w:ind w:firstLine="420" w:firstLineChars="200"/>
        <w:rPr>
          <w:rFonts w:ascii="宋体" w:hAnsi="宋体"/>
          <w:color w:val="auto"/>
          <w:highlight w:val="none"/>
        </w:rPr>
      </w:pPr>
      <w:r>
        <w:rPr>
          <w:rFonts w:ascii="宋体" w:hAnsi="宋体"/>
          <w:color w:val="auto"/>
          <w:highlight w:val="none"/>
        </w:rPr>
        <w:t>附表四</w:t>
      </w:r>
      <w:r>
        <w:rPr>
          <w:rFonts w:hint="eastAsia" w:ascii="宋体" w:hAnsi="宋体"/>
          <w:color w:val="auto"/>
          <w:highlight w:val="none"/>
        </w:rPr>
        <w:t xml:space="preserve"> </w:t>
      </w:r>
      <w:r>
        <w:rPr>
          <w:rFonts w:ascii="宋体" w:hAnsi="宋体"/>
          <w:color w:val="auto"/>
          <w:highlight w:val="none"/>
        </w:rPr>
        <w:t>计划开、竣工日期和施工进度网络图</w:t>
      </w:r>
    </w:p>
    <w:p w14:paraId="41D87E4E">
      <w:pPr>
        <w:spacing w:line="360" w:lineRule="auto"/>
        <w:ind w:firstLine="420" w:firstLineChars="200"/>
        <w:rPr>
          <w:rFonts w:ascii="宋体" w:hAnsi="宋体"/>
          <w:color w:val="auto"/>
          <w:highlight w:val="none"/>
        </w:rPr>
      </w:pPr>
      <w:r>
        <w:rPr>
          <w:rFonts w:ascii="宋体" w:hAnsi="宋体"/>
          <w:color w:val="auto"/>
          <w:highlight w:val="none"/>
        </w:rPr>
        <w:t>附表五</w:t>
      </w:r>
      <w:r>
        <w:rPr>
          <w:rFonts w:hint="eastAsia" w:ascii="宋体" w:hAnsi="宋体"/>
          <w:color w:val="auto"/>
          <w:highlight w:val="none"/>
        </w:rPr>
        <w:t xml:space="preserve"> </w:t>
      </w:r>
      <w:r>
        <w:rPr>
          <w:rFonts w:ascii="宋体" w:hAnsi="宋体"/>
          <w:color w:val="auto"/>
          <w:highlight w:val="none"/>
        </w:rPr>
        <w:t>施工总平面图</w:t>
      </w:r>
    </w:p>
    <w:p w14:paraId="7ED7178A">
      <w:pPr>
        <w:spacing w:line="360" w:lineRule="auto"/>
        <w:ind w:firstLine="420" w:firstLineChars="200"/>
        <w:rPr>
          <w:rFonts w:ascii="宋体" w:hAnsi="宋体"/>
          <w:color w:val="auto"/>
          <w:highlight w:val="none"/>
        </w:rPr>
      </w:pPr>
      <w:r>
        <w:rPr>
          <w:rFonts w:ascii="宋体" w:hAnsi="宋体"/>
          <w:color w:val="auto"/>
          <w:highlight w:val="none"/>
        </w:rPr>
        <w:t>附表六</w:t>
      </w:r>
      <w:r>
        <w:rPr>
          <w:rFonts w:hint="eastAsia" w:ascii="宋体" w:hAnsi="宋体"/>
          <w:color w:val="auto"/>
          <w:highlight w:val="none"/>
        </w:rPr>
        <w:t xml:space="preserve"> </w:t>
      </w:r>
      <w:r>
        <w:rPr>
          <w:rFonts w:ascii="宋体" w:hAnsi="宋体"/>
          <w:color w:val="auto"/>
          <w:highlight w:val="none"/>
        </w:rPr>
        <w:t>临时用地表</w:t>
      </w:r>
    </w:p>
    <w:p w14:paraId="6B110F45">
      <w:pPr>
        <w:spacing w:line="360" w:lineRule="auto"/>
        <w:rPr>
          <w:rFonts w:ascii="宋体" w:hAnsi="宋体"/>
          <w:b/>
          <w:color w:val="auto"/>
          <w:highlight w:val="none"/>
        </w:rPr>
      </w:pPr>
      <w:r>
        <w:rPr>
          <w:rFonts w:hint="eastAsia" w:ascii="宋体" w:hAnsi="宋体"/>
          <w:b/>
          <w:color w:val="auto"/>
          <w:highlight w:val="none"/>
        </w:rPr>
        <w:t>四</w:t>
      </w:r>
      <w:r>
        <w:rPr>
          <w:rFonts w:ascii="宋体" w:hAnsi="宋体"/>
          <w:b/>
          <w:color w:val="auto"/>
          <w:highlight w:val="none"/>
        </w:rPr>
        <w:t>、</w:t>
      </w:r>
      <w:r>
        <w:rPr>
          <w:rFonts w:hint="eastAsia" w:ascii="宋体" w:hAnsi="宋体"/>
          <w:b/>
          <w:color w:val="auto"/>
          <w:highlight w:val="none"/>
        </w:rPr>
        <w:t>资格审查部分</w:t>
      </w:r>
    </w:p>
    <w:p w14:paraId="0B42FCE9">
      <w:pPr>
        <w:spacing w:line="360" w:lineRule="auto"/>
        <w:ind w:firstLine="420" w:firstLineChars="200"/>
        <w:rPr>
          <w:rFonts w:ascii="宋体" w:hAnsi="宋体"/>
          <w:color w:val="auto"/>
          <w:highlight w:val="none"/>
        </w:rPr>
      </w:pPr>
      <w:r>
        <w:rPr>
          <w:rFonts w:ascii="宋体" w:hAnsi="宋体"/>
          <w:color w:val="auto"/>
          <w:highlight w:val="none"/>
        </w:rPr>
        <w:t>（一）</w:t>
      </w:r>
      <w:r>
        <w:rPr>
          <w:rFonts w:hint="eastAsia" w:ascii="宋体" w:hAnsi="宋体"/>
          <w:color w:val="auto"/>
          <w:highlight w:val="none"/>
        </w:rPr>
        <w:t>法定代表人身份证明或附有法定代表人身份证明的授权委托书</w:t>
      </w:r>
    </w:p>
    <w:p w14:paraId="49961C6E">
      <w:pPr>
        <w:spacing w:line="360" w:lineRule="auto"/>
        <w:ind w:firstLine="420" w:firstLineChars="200"/>
        <w:rPr>
          <w:rFonts w:ascii="宋体" w:hAnsi="宋体"/>
          <w:color w:val="auto"/>
          <w:highlight w:val="none"/>
        </w:rPr>
      </w:pPr>
      <w:r>
        <w:rPr>
          <w:rFonts w:ascii="宋体" w:hAnsi="宋体"/>
          <w:color w:val="auto"/>
          <w:highlight w:val="none"/>
        </w:rPr>
        <w:t>（二）联合体协议书</w:t>
      </w:r>
      <w:r>
        <w:rPr>
          <w:rFonts w:hint="eastAsia" w:ascii="宋体" w:hAnsi="宋体"/>
          <w:color w:val="auto"/>
          <w:highlight w:val="none"/>
        </w:rPr>
        <w:t>（如有）</w:t>
      </w:r>
    </w:p>
    <w:p w14:paraId="29ACE593">
      <w:pPr>
        <w:spacing w:line="360" w:lineRule="auto"/>
        <w:ind w:firstLine="420" w:firstLineChars="200"/>
        <w:rPr>
          <w:rFonts w:ascii="宋体" w:hAnsi="宋体"/>
          <w:color w:val="auto"/>
          <w:highlight w:val="none"/>
        </w:rPr>
      </w:pPr>
      <w:r>
        <w:rPr>
          <w:rFonts w:ascii="宋体" w:hAnsi="宋体"/>
          <w:color w:val="auto"/>
          <w:highlight w:val="none"/>
        </w:rPr>
        <w:t>（三）投标人基本情况表</w:t>
      </w:r>
    </w:p>
    <w:p w14:paraId="4A7C98D0">
      <w:pPr>
        <w:spacing w:line="360" w:lineRule="auto"/>
        <w:ind w:firstLine="420" w:firstLineChars="200"/>
        <w:rPr>
          <w:rFonts w:ascii="宋体" w:hAnsi="宋体"/>
          <w:color w:val="auto"/>
          <w:highlight w:val="none"/>
        </w:rPr>
      </w:pPr>
      <w:r>
        <w:rPr>
          <w:rFonts w:ascii="宋体" w:hAnsi="宋体"/>
          <w:color w:val="auto"/>
          <w:highlight w:val="none"/>
        </w:rPr>
        <w:t>（四）项目管理机构</w:t>
      </w:r>
    </w:p>
    <w:p w14:paraId="1A0F4024">
      <w:pPr>
        <w:spacing w:line="360" w:lineRule="auto"/>
        <w:ind w:firstLine="420" w:firstLineChars="200"/>
        <w:rPr>
          <w:rFonts w:ascii="宋体" w:hAnsi="宋体"/>
          <w:color w:val="auto"/>
          <w:highlight w:val="none"/>
        </w:rPr>
      </w:pPr>
      <w:r>
        <w:rPr>
          <w:rFonts w:ascii="宋体" w:hAnsi="宋体"/>
          <w:color w:val="auto"/>
          <w:highlight w:val="none"/>
        </w:rPr>
        <w:t>（五）近年财务状况表</w:t>
      </w:r>
    </w:p>
    <w:p w14:paraId="66169F98">
      <w:pPr>
        <w:spacing w:line="360" w:lineRule="auto"/>
        <w:ind w:firstLine="420" w:firstLineChars="200"/>
        <w:rPr>
          <w:rFonts w:ascii="宋体" w:hAnsi="宋体"/>
          <w:color w:val="auto"/>
          <w:highlight w:val="none"/>
        </w:rPr>
      </w:pPr>
      <w:r>
        <w:rPr>
          <w:rFonts w:ascii="宋体" w:hAnsi="宋体"/>
          <w:color w:val="auto"/>
          <w:highlight w:val="none"/>
        </w:rPr>
        <w:t>（六）类似项目情况表</w:t>
      </w:r>
    </w:p>
    <w:p w14:paraId="35834097">
      <w:pPr>
        <w:spacing w:line="360" w:lineRule="auto"/>
        <w:ind w:firstLine="420" w:firstLineChars="200"/>
        <w:rPr>
          <w:rFonts w:ascii="宋体" w:hAnsi="宋体"/>
          <w:color w:val="auto"/>
          <w:highlight w:val="none"/>
        </w:rPr>
      </w:pPr>
      <w:r>
        <w:rPr>
          <w:rFonts w:ascii="宋体" w:hAnsi="宋体"/>
          <w:color w:val="auto"/>
          <w:highlight w:val="none"/>
        </w:rPr>
        <w:t>（七）</w:t>
      </w:r>
      <w:r>
        <w:rPr>
          <w:rFonts w:hint="eastAsia" w:ascii="宋体" w:hAnsi="宋体"/>
          <w:color w:val="auto"/>
          <w:highlight w:val="none"/>
        </w:rPr>
        <w:t>承诺</w:t>
      </w:r>
    </w:p>
    <w:p w14:paraId="131B622B">
      <w:pPr>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rPr>
        <w:t>八</w:t>
      </w:r>
      <w:r>
        <w:rPr>
          <w:rFonts w:ascii="宋体" w:hAnsi="宋体"/>
          <w:color w:val="auto"/>
          <w:highlight w:val="none"/>
        </w:rPr>
        <w:t>）其他资料</w:t>
      </w:r>
    </w:p>
    <w:p w14:paraId="61223F54">
      <w:pPr>
        <w:autoSpaceDE w:val="0"/>
        <w:autoSpaceDN w:val="0"/>
        <w:adjustRightInd w:val="0"/>
        <w:spacing w:line="276" w:lineRule="auto"/>
        <w:ind w:right="-23"/>
        <w:jc w:val="left"/>
        <w:rPr>
          <w:rFonts w:ascii="宋体" w:hAnsi="宋体"/>
          <w:color w:val="auto"/>
          <w:kern w:val="0"/>
          <w:szCs w:val="21"/>
          <w:highlight w:val="none"/>
          <w:u w:val="single"/>
        </w:rPr>
      </w:pPr>
      <w:r>
        <w:rPr>
          <w:rFonts w:ascii="宋体" w:hAnsi="宋体"/>
          <w:b/>
          <w:color w:val="auto"/>
          <w:kern w:val="0"/>
          <w:sz w:val="24"/>
          <w:highlight w:val="none"/>
        </w:rPr>
        <w:br w:type="page"/>
      </w:r>
      <w:bookmarkStart w:id="2250" w:name="_Toc224103494"/>
      <w:bookmarkStart w:id="2251" w:name="_Toc287620813"/>
      <w:bookmarkStart w:id="2252" w:name="_Toc430530529"/>
      <w:bookmarkStart w:id="2253" w:name="_Toc287607866"/>
      <w:bookmarkStart w:id="2254" w:name="_Toc277082642"/>
    </w:p>
    <w:p w14:paraId="25B13893">
      <w:pPr>
        <w:pStyle w:val="4"/>
        <w:spacing w:line="360" w:lineRule="auto"/>
        <w:jc w:val="center"/>
        <w:rPr>
          <w:rFonts w:ascii="宋体" w:hAnsi="宋体"/>
          <w:b w:val="0"/>
          <w:bCs w:val="0"/>
          <w:color w:val="auto"/>
          <w:sz w:val="44"/>
          <w:szCs w:val="44"/>
          <w:highlight w:val="none"/>
        </w:rPr>
      </w:pPr>
      <w:bookmarkStart w:id="2255" w:name="_Toc57820647"/>
      <w:r>
        <w:rPr>
          <w:rFonts w:hint="eastAsia" w:ascii="宋体" w:hAnsi="宋体"/>
          <w:b w:val="0"/>
          <w:bCs w:val="0"/>
          <w:color w:val="auto"/>
          <w:sz w:val="44"/>
          <w:szCs w:val="44"/>
          <w:highlight w:val="none"/>
        </w:rPr>
        <w:t>一、投标函部分</w:t>
      </w:r>
      <w:bookmarkEnd w:id="2250"/>
      <w:bookmarkEnd w:id="2251"/>
      <w:bookmarkEnd w:id="2252"/>
      <w:bookmarkEnd w:id="2253"/>
      <w:bookmarkEnd w:id="2254"/>
      <w:bookmarkEnd w:id="2255"/>
    </w:p>
    <w:p w14:paraId="246A7D78">
      <w:pPr>
        <w:tabs>
          <w:tab w:val="left" w:pos="2580"/>
          <w:tab w:val="left" w:pos="5940"/>
        </w:tabs>
        <w:autoSpaceDE w:val="0"/>
        <w:autoSpaceDN w:val="0"/>
        <w:adjustRightInd w:val="0"/>
        <w:snapToGrid w:val="0"/>
        <w:spacing w:line="360" w:lineRule="auto"/>
        <w:jc w:val="left"/>
        <w:rPr>
          <w:rFonts w:ascii="宋体" w:hAnsi="宋体"/>
          <w:color w:val="auto"/>
          <w:kern w:val="0"/>
          <w:sz w:val="28"/>
          <w:szCs w:val="28"/>
          <w:highlight w:val="none"/>
          <w:u w:val="single"/>
        </w:rPr>
      </w:pPr>
      <w:r>
        <w:rPr>
          <w:rFonts w:ascii="宋体" w:hAnsi="宋体"/>
          <w:color w:val="auto"/>
          <w:kern w:val="0"/>
          <w:sz w:val="28"/>
          <w:szCs w:val="28"/>
          <w:highlight w:val="none"/>
          <w:u w:val="single"/>
        </w:rPr>
        <w:br w:type="page"/>
      </w:r>
    </w:p>
    <w:p w14:paraId="395B231C">
      <w:pPr>
        <w:spacing w:line="360" w:lineRule="auto"/>
        <w:jc w:val="center"/>
        <w:rPr>
          <w:rFonts w:hint="eastAsia" w:ascii="宋体" w:hAnsi="宋体"/>
          <w:color w:val="auto"/>
          <w:kern w:val="0"/>
          <w:sz w:val="32"/>
          <w:szCs w:val="32"/>
          <w:highlight w:val="none"/>
        </w:rPr>
      </w:pPr>
      <w:r>
        <w:rPr>
          <w:rFonts w:hint="eastAsia" w:ascii="宋体" w:hAnsi="宋体"/>
          <w:color w:val="auto"/>
          <w:kern w:val="0"/>
          <w:sz w:val="32"/>
          <w:szCs w:val="32"/>
          <w:highlight w:val="none"/>
          <w:u w:val="single"/>
        </w:rPr>
        <w:t xml:space="preserve">                   （项目名称）</w:t>
      </w:r>
    </w:p>
    <w:p w14:paraId="25191B4A">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079973DB">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68E7E866">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384AEFCC">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19962431">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7EF9A13C">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14:paraId="4967DBE3">
      <w:pPr>
        <w:autoSpaceDE w:val="0"/>
        <w:autoSpaceDN w:val="0"/>
        <w:adjustRightInd w:val="0"/>
        <w:snapToGrid w:val="0"/>
        <w:spacing w:line="360" w:lineRule="auto"/>
        <w:jc w:val="left"/>
        <w:rPr>
          <w:rFonts w:ascii="宋体" w:hAnsi="宋体"/>
          <w:color w:val="auto"/>
          <w:kern w:val="0"/>
          <w:sz w:val="16"/>
          <w:szCs w:val="16"/>
          <w:highlight w:val="none"/>
        </w:rPr>
      </w:pPr>
    </w:p>
    <w:p w14:paraId="5CEBBF24">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投标函部分</w:t>
      </w:r>
    </w:p>
    <w:p w14:paraId="237A177C">
      <w:pPr>
        <w:autoSpaceDE w:val="0"/>
        <w:autoSpaceDN w:val="0"/>
        <w:adjustRightInd w:val="0"/>
        <w:snapToGrid w:val="0"/>
        <w:spacing w:line="360" w:lineRule="auto"/>
        <w:jc w:val="left"/>
        <w:rPr>
          <w:rFonts w:ascii="宋体" w:hAnsi="宋体"/>
          <w:b/>
          <w:color w:val="auto"/>
          <w:kern w:val="0"/>
          <w:sz w:val="20"/>
          <w:szCs w:val="20"/>
          <w:highlight w:val="none"/>
        </w:rPr>
      </w:pPr>
    </w:p>
    <w:p w14:paraId="2B550C37">
      <w:pPr>
        <w:autoSpaceDE w:val="0"/>
        <w:autoSpaceDN w:val="0"/>
        <w:adjustRightInd w:val="0"/>
        <w:snapToGrid w:val="0"/>
        <w:spacing w:line="360" w:lineRule="auto"/>
        <w:jc w:val="left"/>
        <w:rPr>
          <w:rFonts w:ascii="宋体" w:hAnsi="宋体"/>
          <w:b/>
          <w:color w:val="auto"/>
          <w:kern w:val="0"/>
          <w:sz w:val="20"/>
          <w:szCs w:val="20"/>
          <w:highlight w:val="none"/>
        </w:rPr>
      </w:pPr>
    </w:p>
    <w:p w14:paraId="77246301">
      <w:pPr>
        <w:autoSpaceDE w:val="0"/>
        <w:autoSpaceDN w:val="0"/>
        <w:adjustRightInd w:val="0"/>
        <w:snapToGrid w:val="0"/>
        <w:spacing w:line="360" w:lineRule="auto"/>
        <w:jc w:val="left"/>
        <w:rPr>
          <w:rFonts w:ascii="宋体" w:hAnsi="宋体"/>
          <w:b/>
          <w:color w:val="auto"/>
          <w:kern w:val="0"/>
          <w:sz w:val="20"/>
          <w:szCs w:val="20"/>
          <w:highlight w:val="none"/>
        </w:rPr>
      </w:pPr>
    </w:p>
    <w:p w14:paraId="3AEEB1FC">
      <w:pPr>
        <w:autoSpaceDE w:val="0"/>
        <w:autoSpaceDN w:val="0"/>
        <w:adjustRightInd w:val="0"/>
        <w:snapToGrid w:val="0"/>
        <w:spacing w:line="360" w:lineRule="auto"/>
        <w:jc w:val="left"/>
        <w:rPr>
          <w:rFonts w:ascii="宋体" w:hAnsi="宋体"/>
          <w:b/>
          <w:color w:val="auto"/>
          <w:kern w:val="0"/>
          <w:sz w:val="20"/>
          <w:szCs w:val="20"/>
          <w:highlight w:val="none"/>
        </w:rPr>
      </w:pPr>
    </w:p>
    <w:p w14:paraId="7A98EEEC">
      <w:pPr>
        <w:autoSpaceDE w:val="0"/>
        <w:autoSpaceDN w:val="0"/>
        <w:adjustRightInd w:val="0"/>
        <w:snapToGrid w:val="0"/>
        <w:spacing w:line="360" w:lineRule="auto"/>
        <w:jc w:val="left"/>
        <w:rPr>
          <w:rFonts w:ascii="宋体" w:hAnsi="宋体"/>
          <w:b/>
          <w:color w:val="auto"/>
          <w:kern w:val="0"/>
          <w:sz w:val="20"/>
          <w:szCs w:val="20"/>
          <w:highlight w:val="none"/>
        </w:rPr>
      </w:pPr>
    </w:p>
    <w:p w14:paraId="6741C956">
      <w:pPr>
        <w:autoSpaceDE w:val="0"/>
        <w:autoSpaceDN w:val="0"/>
        <w:adjustRightInd w:val="0"/>
        <w:snapToGrid w:val="0"/>
        <w:spacing w:line="360" w:lineRule="auto"/>
        <w:jc w:val="left"/>
        <w:rPr>
          <w:rFonts w:ascii="宋体" w:hAnsi="宋体"/>
          <w:b/>
          <w:color w:val="auto"/>
          <w:kern w:val="0"/>
          <w:sz w:val="20"/>
          <w:szCs w:val="20"/>
          <w:highlight w:val="none"/>
        </w:rPr>
      </w:pPr>
    </w:p>
    <w:p w14:paraId="054394C6">
      <w:pPr>
        <w:autoSpaceDE w:val="0"/>
        <w:autoSpaceDN w:val="0"/>
        <w:adjustRightInd w:val="0"/>
        <w:snapToGrid w:val="0"/>
        <w:spacing w:line="360" w:lineRule="auto"/>
        <w:jc w:val="left"/>
        <w:rPr>
          <w:rFonts w:ascii="宋体" w:hAnsi="宋体"/>
          <w:b/>
          <w:color w:val="auto"/>
          <w:kern w:val="0"/>
          <w:sz w:val="20"/>
          <w:szCs w:val="20"/>
          <w:highlight w:val="none"/>
        </w:rPr>
      </w:pPr>
    </w:p>
    <w:p w14:paraId="7D83CF6D">
      <w:pPr>
        <w:autoSpaceDE w:val="0"/>
        <w:autoSpaceDN w:val="0"/>
        <w:adjustRightInd w:val="0"/>
        <w:snapToGrid w:val="0"/>
        <w:spacing w:line="360" w:lineRule="auto"/>
        <w:jc w:val="left"/>
        <w:rPr>
          <w:rFonts w:ascii="宋体" w:hAnsi="宋体"/>
          <w:b/>
          <w:color w:val="auto"/>
          <w:kern w:val="0"/>
          <w:sz w:val="20"/>
          <w:szCs w:val="20"/>
          <w:highlight w:val="none"/>
        </w:rPr>
      </w:pPr>
    </w:p>
    <w:p w14:paraId="61B99154">
      <w:pPr>
        <w:autoSpaceDE w:val="0"/>
        <w:autoSpaceDN w:val="0"/>
        <w:adjustRightInd w:val="0"/>
        <w:snapToGrid w:val="0"/>
        <w:spacing w:line="360" w:lineRule="auto"/>
        <w:jc w:val="left"/>
        <w:rPr>
          <w:rFonts w:ascii="宋体" w:hAnsi="宋体"/>
          <w:b/>
          <w:color w:val="auto"/>
          <w:kern w:val="0"/>
          <w:sz w:val="20"/>
          <w:szCs w:val="20"/>
          <w:highlight w:val="none"/>
        </w:rPr>
      </w:pPr>
    </w:p>
    <w:p w14:paraId="77A0E58E">
      <w:pPr>
        <w:autoSpaceDE w:val="0"/>
        <w:autoSpaceDN w:val="0"/>
        <w:adjustRightInd w:val="0"/>
        <w:snapToGrid w:val="0"/>
        <w:spacing w:line="360" w:lineRule="auto"/>
        <w:jc w:val="left"/>
        <w:rPr>
          <w:rFonts w:ascii="宋体" w:hAnsi="宋体"/>
          <w:b/>
          <w:color w:val="auto"/>
          <w:kern w:val="0"/>
          <w:sz w:val="20"/>
          <w:szCs w:val="20"/>
          <w:highlight w:val="none"/>
        </w:rPr>
      </w:pPr>
    </w:p>
    <w:p w14:paraId="7D38CB4B">
      <w:pPr>
        <w:autoSpaceDE w:val="0"/>
        <w:autoSpaceDN w:val="0"/>
        <w:adjustRightInd w:val="0"/>
        <w:snapToGrid w:val="0"/>
        <w:spacing w:line="360" w:lineRule="auto"/>
        <w:jc w:val="left"/>
        <w:rPr>
          <w:rFonts w:ascii="宋体" w:hAnsi="宋体"/>
          <w:b/>
          <w:color w:val="auto"/>
          <w:kern w:val="0"/>
          <w:sz w:val="20"/>
          <w:szCs w:val="20"/>
          <w:highlight w:val="none"/>
        </w:rPr>
      </w:pPr>
    </w:p>
    <w:p w14:paraId="68394B87">
      <w:pPr>
        <w:tabs>
          <w:tab w:val="left" w:pos="6080"/>
          <w:tab w:val="left" w:pos="6640"/>
        </w:tabs>
        <w:autoSpaceDE w:val="0"/>
        <w:autoSpaceDN w:val="0"/>
        <w:adjustRightInd w:val="0"/>
        <w:snapToGrid w:val="0"/>
        <w:spacing w:after="156" w:afterLines="50" w:line="360" w:lineRule="auto"/>
        <w:jc w:val="center"/>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14:paraId="47E14A7F">
      <w:pPr>
        <w:tabs>
          <w:tab w:val="left" w:pos="6080"/>
          <w:tab w:val="left" w:pos="6640"/>
        </w:tabs>
        <w:autoSpaceDE w:val="0"/>
        <w:autoSpaceDN w:val="0"/>
        <w:adjustRightInd w:val="0"/>
        <w:snapToGrid w:val="0"/>
        <w:spacing w:after="156" w:afterLines="50" w:line="360" w:lineRule="auto"/>
        <w:jc w:val="center"/>
        <w:rPr>
          <w:rFonts w:ascii="宋体" w:hAnsi="宋体"/>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（签字或盖章）</w:t>
      </w:r>
    </w:p>
    <w:p w14:paraId="39E449AF">
      <w:pPr>
        <w:autoSpaceDE w:val="0"/>
        <w:autoSpaceDN w:val="0"/>
        <w:adjustRightInd w:val="0"/>
        <w:snapToGrid w:val="0"/>
        <w:spacing w:line="360" w:lineRule="auto"/>
        <w:jc w:val="center"/>
        <w:rPr>
          <w:rFonts w:ascii="宋体" w:hAnsi="宋体"/>
          <w:color w:val="auto"/>
          <w:kern w:val="0"/>
          <w:sz w:val="24"/>
          <w:szCs w:val="21"/>
          <w:highlight w:val="none"/>
        </w:rPr>
      </w:pP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年</w:t>
      </w: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月</w:t>
      </w: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日</w:t>
      </w:r>
      <w:r>
        <w:rPr>
          <w:rFonts w:ascii="宋体" w:hAnsi="宋体"/>
          <w:color w:val="auto"/>
          <w:kern w:val="0"/>
          <w:sz w:val="24"/>
          <w:szCs w:val="21"/>
          <w:highlight w:val="none"/>
        </w:rPr>
        <w:br w:type="page"/>
      </w:r>
    </w:p>
    <w:p w14:paraId="3B33155C">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目  录</w:t>
      </w:r>
    </w:p>
    <w:p w14:paraId="32D50B3E">
      <w:pPr>
        <w:autoSpaceDE w:val="0"/>
        <w:autoSpaceDN w:val="0"/>
        <w:adjustRightInd w:val="0"/>
        <w:snapToGrid w:val="0"/>
        <w:spacing w:line="360" w:lineRule="auto"/>
        <w:jc w:val="left"/>
        <w:rPr>
          <w:rFonts w:ascii="宋体" w:hAnsi="宋体"/>
          <w:color w:val="auto"/>
          <w:kern w:val="0"/>
          <w:sz w:val="24"/>
          <w:szCs w:val="21"/>
          <w:highlight w:val="none"/>
        </w:rPr>
      </w:pPr>
    </w:p>
    <w:p w14:paraId="2C345584">
      <w:pPr>
        <w:autoSpaceDE w:val="0"/>
        <w:autoSpaceDN w:val="0"/>
        <w:adjustRightInd w:val="0"/>
        <w:spacing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（一）投标函</w:t>
      </w:r>
    </w:p>
    <w:p w14:paraId="1368EA50">
      <w:pPr>
        <w:autoSpaceDE w:val="0"/>
        <w:autoSpaceDN w:val="0"/>
        <w:adjustRightInd w:val="0"/>
        <w:spacing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（二）投标函附录</w:t>
      </w:r>
    </w:p>
    <w:p w14:paraId="7FDCE65B">
      <w:pPr>
        <w:autoSpaceDE w:val="0"/>
        <w:autoSpaceDN w:val="0"/>
        <w:adjustRightInd w:val="0"/>
        <w:spacing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（三）</w:t>
      </w:r>
      <w:r>
        <w:rPr>
          <w:rFonts w:hint="eastAsia" w:ascii="宋体" w:hAnsi="宋体"/>
          <w:color w:val="auto"/>
          <w:kern w:val="0"/>
          <w:sz w:val="24"/>
          <w:highlight w:val="none"/>
        </w:rPr>
        <w:t>法定代表人身份证明或附有法定代表人身份证明的授权委托书</w:t>
      </w:r>
    </w:p>
    <w:p w14:paraId="23F09063">
      <w:pPr>
        <w:autoSpaceDE w:val="0"/>
        <w:autoSpaceDN w:val="0"/>
        <w:adjustRightInd w:val="0"/>
        <w:spacing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（四）</w:t>
      </w:r>
      <w:r>
        <w:rPr>
          <w:rFonts w:hint="eastAsia" w:ascii="宋体" w:hAnsi="宋体"/>
          <w:color w:val="auto"/>
          <w:kern w:val="0"/>
          <w:sz w:val="24"/>
          <w:highlight w:val="none"/>
        </w:rPr>
        <w:t>低价风险担保缴纳承诺书（如有）</w:t>
      </w:r>
    </w:p>
    <w:p w14:paraId="487A5AFE">
      <w:pPr>
        <w:autoSpaceDE w:val="0"/>
        <w:autoSpaceDN w:val="0"/>
        <w:adjustRightInd w:val="0"/>
        <w:spacing w:line="360" w:lineRule="auto"/>
        <w:ind w:firstLine="480" w:firstLineChars="200"/>
        <w:jc w:val="left"/>
        <w:rPr>
          <w:rFonts w:ascii="宋体" w:hAnsi="宋体"/>
          <w:color w:val="auto"/>
          <w:kern w:val="0"/>
          <w:sz w:val="24"/>
          <w:highlight w:val="none"/>
        </w:rPr>
      </w:pPr>
      <w:r>
        <w:rPr>
          <w:rFonts w:hint="eastAsia" w:ascii="宋体" w:hAnsi="宋体"/>
          <w:color w:val="auto"/>
          <w:kern w:val="0"/>
          <w:sz w:val="24"/>
          <w:highlight w:val="none"/>
        </w:rPr>
        <w:t>（五）</w:t>
      </w:r>
      <w:r>
        <w:rPr>
          <w:rFonts w:ascii="宋体" w:hAnsi="宋体"/>
          <w:color w:val="auto"/>
          <w:kern w:val="0"/>
          <w:sz w:val="24"/>
          <w:highlight w:val="none"/>
        </w:rPr>
        <w:t>联合体协议书</w:t>
      </w:r>
      <w:r>
        <w:rPr>
          <w:rFonts w:hint="eastAsia" w:ascii="宋体" w:hAnsi="宋体"/>
          <w:color w:val="auto"/>
          <w:kern w:val="0"/>
          <w:sz w:val="24"/>
          <w:highlight w:val="none"/>
        </w:rPr>
        <w:t>（如有）</w:t>
      </w:r>
    </w:p>
    <w:p w14:paraId="7D8CC244">
      <w:pPr>
        <w:pStyle w:val="5"/>
        <w:spacing w:before="0" w:after="0" w:line="240" w:lineRule="auto"/>
        <w:jc w:val="center"/>
        <w:rPr>
          <w:rFonts w:ascii="宋体" w:hAnsi="宋体"/>
          <w:b w:val="0"/>
          <w:color w:val="auto"/>
          <w:highlight w:val="none"/>
        </w:rPr>
      </w:pPr>
      <w:bookmarkStart w:id="2256" w:name="_Toc534185831"/>
      <w:bookmarkStart w:id="2257" w:name="_Toc287607867"/>
      <w:bookmarkStart w:id="2258" w:name="_Toc430530530"/>
      <w:bookmarkStart w:id="2259" w:name="_Toc277082643"/>
      <w:bookmarkStart w:id="2260" w:name="_Toc224103495"/>
      <w:bookmarkStart w:id="2261" w:name="_Toc287620814"/>
      <w:bookmarkStart w:id="2262" w:name="_Toc509218854"/>
      <w:r>
        <w:rPr>
          <w:rFonts w:ascii="宋体" w:hAnsi="宋体"/>
          <w:color w:val="auto"/>
          <w:highlight w:val="none"/>
        </w:rPr>
        <w:br w:type="page"/>
      </w:r>
      <w:bookmarkStart w:id="2263" w:name="_Toc57820648"/>
      <w:r>
        <w:rPr>
          <w:rFonts w:hint="eastAsia" w:ascii="宋体" w:hAnsi="宋体"/>
          <w:b w:val="0"/>
          <w:bCs w:val="0"/>
          <w:color w:val="auto"/>
          <w:highlight w:val="none"/>
        </w:rPr>
        <w:t>（一）投标函</w:t>
      </w:r>
      <w:bookmarkEnd w:id="2256"/>
      <w:bookmarkEnd w:id="2257"/>
      <w:bookmarkEnd w:id="2258"/>
      <w:bookmarkEnd w:id="2259"/>
      <w:bookmarkEnd w:id="2260"/>
      <w:bookmarkEnd w:id="2261"/>
      <w:bookmarkEnd w:id="2262"/>
      <w:bookmarkEnd w:id="2263"/>
    </w:p>
    <w:p w14:paraId="3211B1B6">
      <w:pPr>
        <w:tabs>
          <w:tab w:val="left" w:pos="2640"/>
        </w:tabs>
        <w:autoSpaceDE w:val="0"/>
        <w:autoSpaceDN w:val="0"/>
        <w:adjustRightInd w:val="0"/>
        <w:spacing w:line="400" w:lineRule="exact"/>
        <w:rPr>
          <w:rFonts w:ascii="宋体" w:hAnsi="宋体"/>
          <w:snapToGrid w:val="0"/>
          <w:color w:val="auto"/>
          <w:kern w:val="0"/>
          <w:szCs w:val="21"/>
          <w:highlight w:val="none"/>
        </w:rPr>
      </w:pP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（招标人名称）</w:t>
      </w:r>
      <w:r>
        <w:rPr>
          <w:rFonts w:ascii="宋体" w:hAnsi="宋体"/>
          <w:snapToGrid w:val="0"/>
          <w:color w:val="auto"/>
          <w:kern w:val="0"/>
          <w:szCs w:val="21"/>
          <w:highlight w:val="none"/>
        </w:rPr>
        <w:t>：</w:t>
      </w:r>
    </w:p>
    <w:p w14:paraId="30F189BE">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我方已仔细研究了</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招标文件的全部内容，愿意以人民币（大写）</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）的投标总报价进行报价，其中</w:t>
      </w:r>
      <w:r>
        <w:rPr>
          <w:rFonts w:ascii="宋体" w:hAnsi="宋体"/>
          <w:snapToGrid w:val="0"/>
          <w:color w:val="auto"/>
          <w:kern w:val="0"/>
          <w:highlight w:val="none"/>
        </w:rPr>
        <w:t>安全文明施工费暂定金额为人民币</w:t>
      </w:r>
      <w:r>
        <w:rPr>
          <w:rFonts w:ascii="宋体" w:hAnsi="宋体"/>
          <w:snapToGrid w:val="0"/>
          <w:color w:val="auto"/>
          <w:kern w:val="0"/>
          <w:highlight w:val="none"/>
          <w:u w:val="single"/>
        </w:rPr>
        <w:t xml:space="preserve">        </w:t>
      </w:r>
      <w:r>
        <w:rPr>
          <w:rFonts w:ascii="宋体" w:hAnsi="宋体"/>
          <w:snapToGrid w:val="0"/>
          <w:color w:val="auto"/>
          <w:kern w:val="0"/>
          <w:highlight w:val="none"/>
        </w:rPr>
        <w:t>万元</w:t>
      </w:r>
      <w:r>
        <w:rPr>
          <w:rFonts w:ascii="宋体" w:hAnsi="宋体"/>
          <w:snapToGrid w:val="0"/>
          <w:color w:val="auto"/>
          <w:kern w:val="0"/>
          <w:szCs w:val="21"/>
          <w:highlight w:val="none"/>
        </w:rPr>
        <w:t>，该工程</w:t>
      </w:r>
      <w:r>
        <w:rPr>
          <w:rFonts w:ascii="宋体" w:hAnsi="宋体"/>
          <w:snapToGrid w:val="0"/>
          <w:color w:val="auto"/>
          <w:kern w:val="0"/>
          <w:highlight w:val="none"/>
        </w:rPr>
        <w:t>项目经理为</w:t>
      </w:r>
      <w:r>
        <w:rPr>
          <w:rFonts w:hint="eastAsia" w:ascii="宋体" w:hAnsi="宋体"/>
          <w:snapToGrid w:val="0"/>
          <w:color w:val="auto"/>
          <w:kern w:val="0"/>
          <w:highlight w:val="none"/>
          <w:u w:val="single"/>
        </w:rPr>
        <w:t xml:space="preserve">        </w:t>
      </w:r>
      <w:r>
        <w:rPr>
          <w:rFonts w:hint="eastAsia" w:ascii="宋体" w:hAnsi="宋体"/>
          <w:snapToGrid w:val="0"/>
          <w:color w:val="auto"/>
          <w:kern w:val="0"/>
          <w:szCs w:val="21"/>
          <w:highlight w:val="none"/>
        </w:rPr>
        <w:t>，身份证号码为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；委托代理人为：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，身份证号码为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。工期</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缺陷责任期</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 xml:space="preserve"> 按合同约定实施和完成承包工程，修补工程中的任何缺陷，工程质量达到</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 xml:space="preserve"> 。</w:t>
      </w:r>
    </w:p>
    <w:p w14:paraId="34FE74DB">
      <w:pPr>
        <w:autoSpaceDE w:val="0"/>
        <w:autoSpaceDN w:val="0"/>
        <w:adjustRightInd w:val="0"/>
        <w:spacing w:line="400" w:lineRule="exact"/>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2</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我方承诺在投标有效期内不修改、撤销投标文件。</w:t>
      </w:r>
    </w:p>
    <w:p w14:paraId="4989B2F6">
      <w:pPr>
        <w:tabs>
          <w:tab w:val="left" w:pos="2730"/>
          <w:tab w:val="left" w:pos="7980"/>
        </w:tabs>
        <w:autoSpaceDE w:val="0"/>
        <w:autoSpaceDN w:val="0"/>
        <w:adjustRightInd w:val="0"/>
        <w:spacing w:line="400" w:lineRule="exact"/>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3</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随同本投标函提交投标保证金一份，金额为人民币（大写）</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w:t>
      </w: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投标保证金有效期</w:t>
      </w:r>
      <w:r>
        <w:rPr>
          <w:rFonts w:ascii="宋体" w:hAnsi="宋体"/>
          <w:snapToGrid w:val="0"/>
          <w:color w:val="auto"/>
          <w:kern w:val="0"/>
          <w:szCs w:val="21"/>
          <w:highlight w:val="none"/>
        </w:rPr>
        <w:t>与</w:t>
      </w:r>
      <w:r>
        <w:rPr>
          <w:rFonts w:hint="eastAsia" w:ascii="宋体" w:hAnsi="宋体"/>
          <w:snapToGrid w:val="0"/>
          <w:color w:val="auto"/>
          <w:kern w:val="0"/>
          <w:szCs w:val="21"/>
          <w:highlight w:val="none"/>
        </w:rPr>
        <w:t>投标有效期</w:t>
      </w:r>
      <w:r>
        <w:rPr>
          <w:rFonts w:ascii="宋体" w:hAnsi="宋体"/>
          <w:snapToGrid w:val="0"/>
          <w:color w:val="auto"/>
          <w:kern w:val="0"/>
          <w:szCs w:val="21"/>
          <w:highlight w:val="none"/>
        </w:rPr>
        <w:t>一致，在此期间，若我方违反招投标有关法律、法规及本招标文件的相关规定，投标保证金的受益人为招标人。</w:t>
      </w:r>
    </w:p>
    <w:p w14:paraId="5FD3130F">
      <w:pPr>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如我方中标：</w:t>
      </w:r>
    </w:p>
    <w:p w14:paraId="5A249396">
      <w:pPr>
        <w:autoSpaceDE w:val="0"/>
        <w:autoSpaceDN w:val="0"/>
        <w:adjustRightInd w:val="0"/>
        <w:spacing w:line="400" w:lineRule="exact"/>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（1）我方承诺在收到中标通知书后，在中标通知书规定的期限内与你方签订合同。</w:t>
      </w:r>
    </w:p>
    <w:p w14:paraId="3BE45E50">
      <w:pPr>
        <w:autoSpaceDE w:val="0"/>
        <w:autoSpaceDN w:val="0"/>
        <w:adjustRightInd w:val="0"/>
        <w:spacing w:line="400" w:lineRule="exact"/>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（2）随同本投标函递交的投标函附录属于合同文件的组成部分。</w:t>
      </w:r>
    </w:p>
    <w:p w14:paraId="64E356FE">
      <w:pPr>
        <w:autoSpaceDE w:val="0"/>
        <w:autoSpaceDN w:val="0"/>
        <w:adjustRightInd w:val="0"/>
        <w:spacing w:line="400" w:lineRule="exact"/>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（3）我方承诺按照招标文件规定向你方递交履约担保。</w:t>
      </w:r>
    </w:p>
    <w:p w14:paraId="6C636F87">
      <w:pPr>
        <w:autoSpaceDE w:val="0"/>
        <w:autoSpaceDN w:val="0"/>
        <w:adjustRightInd w:val="0"/>
        <w:spacing w:line="400" w:lineRule="exact"/>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（4）我方承诺在合同约定的期限内完成并移交全部合同工程。</w:t>
      </w:r>
    </w:p>
    <w:p w14:paraId="0F5EE77F">
      <w:pPr>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5</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我方</w:t>
      </w:r>
      <w:r>
        <w:rPr>
          <w:rFonts w:ascii="宋体" w:hAnsi="宋体"/>
          <w:snapToGrid w:val="0"/>
          <w:color w:val="auto"/>
          <w:spacing w:val="-2"/>
          <w:kern w:val="0"/>
          <w:szCs w:val="21"/>
          <w:highlight w:val="none"/>
        </w:rPr>
        <w:t>在此声明，所递交的投标文件及有关资料内容完整、真实和准确，且不存在第二章“投标人</w:t>
      </w:r>
      <w:r>
        <w:rPr>
          <w:rFonts w:ascii="宋体" w:hAnsi="宋体"/>
          <w:snapToGrid w:val="0"/>
          <w:color w:val="auto"/>
          <w:kern w:val="0"/>
          <w:szCs w:val="21"/>
          <w:highlight w:val="none"/>
        </w:rPr>
        <w:t>须知”第 1.4.3 项规定的任何一种情形。同时我方承诺接受招标文件及附件、</w:t>
      </w:r>
      <w:r>
        <w:rPr>
          <w:rFonts w:hint="eastAsia" w:ascii="宋体" w:hAnsi="宋体"/>
          <w:snapToGrid w:val="0"/>
          <w:color w:val="auto"/>
          <w:kern w:val="0"/>
          <w:szCs w:val="21"/>
          <w:highlight w:val="none"/>
        </w:rPr>
        <w:t>澄清</w:t>
      </w:r>
      <w:r>
        <w:rPr>
          <w:rFonts w:ascii="宋体" w:hAnsi="宋体"/>
          <w:snapToGrid w:val="0"/>
          <w:color w:val="auto"/>
          <w:kern w:val="0"/>
          <w:szCs w:val="21"/>
          <w:highlight w:val="none"/>
        </w:rPr>
        <w:t>及</w:t>
      </w:r>
      <w:r>
        <w:rPr>
          <w:rFonts w:hint="eastAsia" w:ascii="宋体" w:hAnsi="宋体"/>
          <w:snapToGrid w:val="0"/>
          <w:color w:val="auto"/>
          <w:kern w:val="0"/>
          <w:szCs w:val="21"/>
          <w:highlight w:val="none"/>
        </w:rPr>
        <w:t>修改</w:t>
      </w:r>
      <w:r>
        <w:rPr>
          <w:rFonts w:ascii="宋体" w:hAnsi="宋体"/>
          <w:snapToGrid w:val="0"/>
          <w:color w:val="auto"/>
          <w:kern w:val="0"/>
          <w:szCs w:val="21"/>
          <w:highlight w:val="none"/>
        </w:rPr>
        <w:t>通知中所有的内容。</w:t>
      </w:r>
    </w:p>
    <w:p w14:paraId="1116C6B3">
      <w:pPr>
        <w:tabs>
          <w:tab w:val="left" w:pos="5985"/>
        </w:tabs>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6</w:t>
      </w:r>
      <w:r>
        <w:rPr>
          <w:rFonts w:hint="eastAsia" w:ascii="宋体" w:hAnsi="宋体"/>
          <w:snapToGrid w:val="0"/>
          <w:color w:val="auto"/>
          <w:kern w:val="0"/>
          <w:szCs w:val="21"/>
          <w:highlight w:val="none"/>
        </w:rPr>
        <w:t xml:space="preserve">. </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（其他补充说明）</w:t>
      </w:r>
      <w:r>
        <w:rPr>
          <w:rFonts w:ascii="宋体" w:hAnsi="宋体"/>
          <w:snapToGrid w:val="0"/>
          <w:color w:val="auto"/>
          <w:kern w:val="0"/>
          <w:szCs w:val="21"/>
          <w:highlight w:val="none"/>
        </w:rPr>
        <w:t>。</w:t>
      </w:r>
    </w:p>
    <w:p w14:paraId="23912679">
      <w:pPr>
        <w:tabs>
          <w:tab w:val="left" w:pos="7140"/>
          <w:tab w:val="left" w:pos="7560"/>
          <w:tab w:val="left" w:pos="8300"/>
        </w:tabs>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  标  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（盖单位法人章） </w:t>
      </w:r>
    </w:p>
    <w:p w14:paraId="5596DA3E">
      <w:pPr>
        <w:tabs>
          <w:tab w:val="left" w:pos="7140"/>
          <w:tab w:val="left" w:pos="7560"/>
          <w:tab w:val="left" w:pos="8300"/>
        </w:tabs>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法定代表人</w:t>
      </w:r>
      <w:r>
        <w:rPr>
          <w:rFonts w:hint="eastAsia" w:ascii="宋体" w:hAnsi="宋体"/>
          <w:snapToGrid w:val="0"/>
          <w:color w:val="auto"/>
          <w:kern w:val="0"/>
          <w:szCs w:val="21"/>
          <w:highlight w:val="none"/>
        </w:rPr>
        <w:t>或其委托代理人</w:t>
      </w:r>
      <w:r>
        <w:rPr>
          <w:rFonts w:ascii="宋体" w:hAnsi="宋体"/>
          <w:snapToGrid w:val="0"/>
          <w:color w:val="auto"/>
          <w:kern w:val="0"/>
          <w:szCs w:val="21"/>
          <w:highlight w:val="none"/>
        </w:rPr>
        <w:t>：</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（签字或盖章）</w:t>
      </w:r>
    </w:p>
    <w:p w14:paraId="75164BA5">
      <w:pPr>
        <w:tabs>
          <w:tab w:val="left" w:pos="7035"/>
          <w:tab w:val="left" w:pos="7560"/>
          <w:tab w:val="left" w:pos="8300"/>
        </w:tabs>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地</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址：</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3840DC29">
      <w:pPr>
        <w:tabs>
          <w:tab w:val="left" w:pos="8300"/>
        </w:tabs>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网</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址：</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289166A9">
      <w:pPr>
        <w:tabs>
          <w:tab w:val="left" w:pos="8300"/>
        </w:tabs>
        <w:autoSpaceDE w:val="0"/>
        <w:autoSpaceDN w:val="0"/>
        <w:adjustRightInd w:val="0"/>
        <w:spacing w:line="400" w:lineRule="exact"/>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单位电话（座机）：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委托代理人电话（手机）：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0D0BC626">
      <w:pPr>
        <w:tabs>
          <w:tab w:val="left" w:pos="8300"/>
        </w:tabs>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传</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真：</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4DD2C548">
      <w:pPr>
        <w:tabs>
          <w:tab w:val="left" w:pos="8300"/>
        </w:tabs>
        <w:autoSpaceDE w:val="0"/>
        <w:autoSpaceDN w:val="0"/>
        <w:adjustRightInd w:val="0"/>
        <w:spacing w:line="400" w:lineRule="exact"/>
        <w:ind w:firstLine="420" w:firstLineChars="200"/>
        <w:rPr>
          <w:rFonts w:hint="eastAsia" w:ascii="宋体" w:hAnsi="宋体"/>
          <w:snapToGrid w:val="0"/>
          <w:color w:val="auto"/>
          <w:kern w:val="0"/>
          <w:szCs w:val="21"/>
          <w:highlight w:val="none"/>
          <w:u w:val="single"/>
        </w:rPr>
      </w:pPr>
      <w:r>
        <w:rPr>
          <w:rFonts w:ascii="宋体" w:hAnsi="宋体"/>
          <w:snapToGrid w:val="0"/>
          <w:color w:val="auto"/>
          <w:kern w:val="0"/>
          <w:szCs w:val="21"/>
          <w:highlight w:val="none"/>
        </w:rPr>
        <w:t>邮政编码：</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2100FA6D">
      <w:pPr>
        <w:tabs>
          <w:tab w:val="left" w:pos="8300"/>
        </w:tabs>
        <w:autoSpaceDE w:val="0"/>
        <w:autoSpaceDN w:val="0"/>
        <w:adjustRightInd w:val="0"/>
        <w:spacing w:line="400" w:lineRule="exact"/>
        <w:ind w:firstLine="400" w:firstLineChars="200"/>
        <w:rPr>
          <w:rFonts w:ascii="宋体" w:hAnsi="宋体"/>
          <w:snapToGrid w:val="0"/>
          <w:color w:val="auto"/>
          <w:kern w:val="0"/>
          <w:sz w:val="20"/>
          <w:szCs w:val="20"/>
          <w:highlight w:val="none"/>
        </w:rPr>
      </w:pPr>
    </w:p>
    <w:p w14:paraId="03DADF3B">
      <w:pPr>
        <w:tabs>
          <w:tab w:val="left" w:pos="8300"/>
        </w:tabs>
        <w:autoSpaceDE w:val="0"/>
        <w:autoSpaceDN w:val="0"/>
        <w:adjustRightInd w:val="0"/>
        <w:spacing w:line="400" w:lineRule="exact"/>
        <w:ind w:firstLine="420" w:firstLineChars="200"/>
        <w:jc w:val="right"/>
        <w:rPr>
          <w:rFonts w:hint="eastAsia" w:ascii="宋体" w:hAnsi="宋体"/>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4380C3B2">
      <w:pPr>
        <w:tabs>
          <w:tab w:val="left" w:pos="8300"/>
        </w:tabs>
        <w:autoSpaceDE w:val="0"/>
        <w:autoSpaceDN w:val="0"/>
        <w:adjustRightInd w:val="0"/>
        <w:spacing w:line="400" w:lineRule="exact"/>
        <w:ind w:firstLine="420" w:firstLineChars="200"/>
        <w:jc w:val="right"/>
        <w:rPr>
          <w:rFonts w:hint="eastAsia" w:ascii="宋体" w:hAnsi="宋体"/>
          <w:color w:val="auto"/>
          <w:kern w:val="0"/>
          <w:szCs w:val="21"/>
          <w:highlight w:val="none"/>
        </w:rPr>
      </w:pPr>
    </w:p>
    <w:p w14:paraId="312A70A0">
      <w:pPr>
        <w:tabs>
          <w:tab w:val="left" w:pos="8300"/>
        </w:tabs>
        <w:autoSpaceDE w:val="0"/>
        <w:autoSpaceDN w:val="0"/>
        <w:adjustRightInd w:val="0"/>
        <w:spacing w:line="40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注：联合体投标的，应在本投标函第6条中列明联合体全体成员的单位全称；要求加盖单位法人章的地方由联合体牵头人使用 CA 数字证书加盖单位电子印章即可。</w:t>
      </w:r>
    </w:p>
    <w:p w14:paraId="34C62466">
      <w:pPr>
        <w:pStyle w:val="5"/>
        <w:spacing w:before="0" w:after="0" w:line="240" w:lineRule="auto"/>
        <w:jc w:val="center"/>
        <w:rPr>
          <w:rFonts w:ascii="宋体" w:hAnsi="宋体"/>
          <w:snapToGrid w:val="0"/>
          <w:color w:val="auto"/>
          <w:kern w:val="0"/>
          <w:szCs w:val="21"/>
          <w:highlight w:val="none"/>
        </w:rPr>
      </w:pPr>
      <w:bookmarkStart w:id="2264" w:name="_Toc277082644"/>
      <w:bookmarkStart w:id="2265" w:name="_Toc287620815"/>
      <w:bookmarkStart w:id="2266" w:name="_Toc287607868"/>
      <w:bookmarkStart w:id="2267" w:name="_Toc430530531"/>
      <w:bookmarkStart w:id="2268" w:name="_Toc224103496"/>
      <w:r>
        <w:rPr>
          <w:rFonts w:ascii="宋体" w:hAnsi="宋体"/>
          <w:color w:val="auto"/>
          <w:sz w:val="28"/>
          <w:highlight w:val="none"/>
        </w:rPr>
        <w:br w:type="page"/>
      </w:r>
      <w:bookmarkStart w:id="2269" w:name="_Toc57820649"/>
      <w:bookmarkStart w:id="2270" w:name="_Toc534185832"/>
      <w:bookmarkStart w:id="2271" w:name="_Toc509218855"/>
      <w:r>
        <w:rPr>
          <w:rFonts w:ascii="宋体" w:hAnsi="宋体"/>
          <w:b w:val="0"/>
          <w:bCs w:val="0"/>
          <w:color w:val="auto"/>
          <w:highlight w:val="none"/>
        </w:rPr>
        <w:t>（二）投标函附录</w:t>
      </w:r>
      <w:bookmarkEnd w:id="2264"/>
      <w:bookmarkEnd w:id="2265"/>
      <w:bookmarkEnd w:id="2266"/>
      <w:bookmarkEnd w:id="2267"/>
      <w:bookmarkEnd w:id="2268"/>
      <w:bookmarkEnd w:id="2269"/>
      <w:bookmarkEnd w:id="2270"/>
      <w:bookmarkEnd w:id="2271"/>
    </w:p>
    <w:tbl>
      <w:tblPr>
        <w:tblStyle w:val="45"/>
        <w:tblW w:w="0" w:type="auto"/>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0"/>
        <w:gridCol w:w="2582"/>
        <w:gridCol w:w="2388"/>
        <w:gridCol w:w="2987"/>
        <w:gridCol w:w="792"/>
      </w:tblGrid>
      <w:tr w14:paraId="736C504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noWrap w:val="0"/>
            <w:vAlign w:val="center"/>
          </w:tcPr>
          <w:p w14:paraId="11EE1004">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序号</w:t>
            </w:r>
          </w:p>
        </w:tc>
        <w:tc>
          <w:tcPr>
            <w:tcW w:w="2582" w:type="dxa"/>
            <w:noWrap w:val="0"/>
            <w:vAlign w:val="center"/>
          </w:tcPr>
          <w:p w14:paraId="1ABC4332">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条款名称</w:t>
            </w:r>
          </w:p>
        </w:tc>
        <w:tc>
          <w:tcPr>
            <w:tcW w:w="2388" w:type="dxa"/>
            <w:noWrap w:val="0"/>
            <w:vAlign w:val="center"/>
          </w:tcPr>
          <w:p w14:paraId="28365EF2">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合同条款号</w:t>
            </w:r>
          </w:p>
        </w:tc>
        <w:tc>
          <w:tcPr>
            <w:tcW w:w="2987" w:type="dxa"/>
            <w:noWrap w:val="0"/>
            <w:vAlign w:val="center"/>
          </w:tcPr>
          <w:p w14:paraId="29BD211A">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约定内容</w:t>
            </w:r>
          </w:p>
        </w:tc>
        <w:tc>
          <w:tcPr>
            <w:tcW w:w="792" w:type="dxa"/>
            <w:noWrap w:val="0"/>
            <w:vAlign w:val="center"/>
          </w:tcPr>
          <w:p w14:paraId="5744CEC9">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备注</w:t>
            </w:r>
          </w:p>
        </w:tc>
      </w:tr>
      <w:tr w14:paraId="183C77F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noWrap w:val="0"/>
            <w:vAlign w:val="center"/>
          </w:tcPr>
          <w:p w14:paraId="258068BC">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1</w:t>
            </w:r>
          </w:p>
        </w:tc>
        <w:tc>
          <w:tcPr>
            <w:tcW w:w="2582" w:type="dxa"/>
            <w:noWrap w:val="0"/>
            <w:vAlign w:val="center"/>
          </w:tcPr>
          <w:p w14:paraId="22C52727">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项目经理</w:t>
            </w:r>
          </w:p>
        </w:tc>
        <w:tc>
          <w:tcPr>
            <w:tcW w:w="2388" w:type="dxa"/>
            <w:noWrap w:val="0"/>
            <w:vAlign w:val="center"/>
          </w:tcPr>
          <w:p w14:paraId="5E128FAE">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1.1.2.8</w:t>
            </w:r>
          </w:p>
        </w:tc>
        <w:tc>
          <w:tcPr>
            <w:tcW w:w="2987" w:type="dxa"/>
            <w:noWrap w:val="0"/>
            <w:vAlign w:val="center"/>
          </w:tcPr>
          <w:p w14:paraId="12CC74B9">
            <w:pPr>
              <w:tabs>
                <w:tab w:val="left" w:pos="2190"/>
              </w:tabs>
              <w:autoSpaceDE w:val="0"/>
              <w:autoSpaceDN w:val="0"/>
              <w:adjustRightInd w:val="0"/>
              <w:jc w:val="center"/>
              <w:rPr>
                <w:rFonts w:ascii="宋体" w:hAnsi="宋体"/>
                <w:snapToGrid w:val="0"/>
                <w:color w:val="auto"/>
                <w:kern w:val="0"/>
                <w:szCs w:val="21"/>
                <w:highlight w:val="none"/>
                <w:u w:val="single"/>
              </w:rPr>
            </w:pPr>
            <w:r>
              <w:rPr>
                <w:rFonts w:ascii="宋体" w:hAnsi="宋体"/>
                <w:snapToGrid w:val="0"/>
                <w:color w:val="auto"/>
                <w:kern w:val="0"/>
                <w:szCs w:val="21"/>
                <w:highlight w:val="none"/>
              </w:rPr>
              <w:t>姓名：</w:t>
            </w:r>
            <w:r>
              <w:rPr>
                <w:rFonts w:hint="eastAsia" w:ascii="宋体" w:hAnsi="宋体"/>
                <w:snapToGrid w:val="0"/>
                <w:color w:val="auto"/>
                <w:kern w:val="0"/>
                <w:szCs w:val="21"/>
                <w:highlight w:val="none"/>
              </w:rPr>
              <w:t xml:space="preserve">    </w:t>
            </w:r>
          </w:p>
        </w:tc>
        <w:tc>
          <w:tcPr>
            <w:tcW w:w="792" w:type="dxa"/>
            <w:noWrap w:val="0"/>
            <w:vAlign w:val="center"/>
          </w:tcPr>
          <w:p w14:paraId="296BCA59">
            <w:pPr>
              <w:autoSpaceDE w:val="0"/>
              <w:autoSpaceDN w:val="0"/>
              <w:adjustRightInd w:val="0"/>
              <w:jc w:val="center"/>
              <w:rPr>
                <w:rFonts w:ascii="宋体" w:hAnsi="宋体"/>
                <w:snapToGrid w:val="0"/>
                <w:color w:val="auto"/>
                <w:kern w:val="0"/>
                <w:szCs w:val="21"/>
                <w:highlight w:val="none"/>
              </w:rPr>
            </w:pPr>
          </w:p>
        </w:tc>
      </w:tr>
      <w:tr w14:paraId="5538DC8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noWrap w:val="0"/>
            <w:vAlign w:val="center"/>
          </w:tcPr>
          <w:p w14:paraId="382179AA">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2</w:t>
            </w:r>
          </w:p>
        </w:tc>
        <w:tc>
          <w:tcPr>
            <w:tcW w:w="2582" w:type="dxa"/>
            <w:noWrap w:val="0"/>
            <w:vAlign w:val="center"/>
          </w:tcPr>
          <w:p w14:paraId="3913D80D">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工期</w:t>
            </w:r>
          </w:p>
        </w:tc>
        <w:tc>
          <w:tcPr>
            <w:tcW w:w="2388" w:type="dxa"/>
            <w:noWrap w:val="0"/>
            <w:vAlign w:val="center"/>
          </w:tcPr>
          <w:p w14:paraId="465143BE">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1.1.4.3</w:t>
            </w:r>
          </w:p>
        </w:tc>
        <w:tc>
          <w:tcPr>
            <w:tcW w:w="2987" w:type="dxa"/>
            <w:noWrap w:val="0"/>
            <w:vAlign w:val="center"/>
          </w:tcPr>
          <w:p w14:paraId="23CB8726">
            <w:pPr>
              <w:tabs>
                <w:tab w:val="left" w:pos="1560"/>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天数：</w:t>
            </w:r>
            <w:r>
              <w:rPr>
                <w:rFonts w:hint="eastAsia" w:ascii="宋体" w:hAnsi="宋体"/>
                <w:snapToGrid w:val="0"/>
                <w:color w:val="auto"/>
                <w:kern w:val="0"/>
                <w:szCs w:val="21"/>
                <w:highlight w:val="none"/>
                <w:u w:val="single"/>
              </w:rPr>
              <w:t xml:space="preserve">    </w:t>
            </w:r>
          </w:p>
        </w:tc>
        <w:tc>
          <w:tcPr>
            <w:tcW w:w="792" w:type="dxa"/>
            <w:noWrap w:val="0"/>
            <w:vAlign w:val="center"/>
          </w:tcPr>
          <w:p w14:paraId="7A95FC8D">
            <w:pPr>
              <w:autoSpaceDE w:val="0"/>
              <w:autoSpaceDN w:val="0"/>
              <w:adjustRightInd w:val="0"/>
              <w:jc w:val="center"/>
              <w:rPr>
                <w:rFonts w:ascii="宋体" w:hAnsi="宋体"/>
                <w:snapToGrid w:val="0"/>
                <w:color w:val="auto"/>
                <w:kern w:val="0"/>
                <w:szCs w:val="21"/>
                <w:highlight w:val="none"/>
              </w:rPr>
            </w:pPr>
          </w:p>
        </w:tc>
      </w:tr>
      <w:tr w14:paraId="63F8B51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noWrap w:val="0"/>
            <w:vAlign w:val="center"/>
          </w:tcPr>
          <w:p w14:paraId="07A2DE68">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3</w:t>
            </w:r>
          </w:p>
        </w:tc>
        <w:tc>
          <w:tcPr>
            <w:tcW w:w="2582" w:type="dxa"/>
            <w:noWrap w:val="0"/>
            <w:vAlign w:val="center"/>
          </w:tcPr>
          <w:p w14:paraId="7308DDBA">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缺陷责任期</w:t>
            </w:r>
          </w:p>
        </w:tc>
        <w:tc>
          <w:tcPr>
            <w:tcW w:w="2388" w:type="dxa"/>
            <w:noWrap w:val="0"/>
            <w:vAlign w:val="center"/>
          </w:tcPr>
          <w:p w14:paraId="48ED2249">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1.1.4.4</w:t>
            </w:r>
          </w:p>
        </w:tc>
        <w:tc>
          <w:tcPr>
            <w:tcW w:w="2987" w:type="dxa"/>
            <w:noWrap w:val="0"/>
            <w:vAlign w:val="center"/>
          </w:tcPr>
          <w:p w14:paraId="76B84A26">
            <w:pPr>
              <w:autoSpaceDE w:val="0"/>
              <w:autoSpaceDN w:val="0"/>
              <w:adjustRightInd w:val="0"/>
              <w:jc w:val="center"/>
              <w:rPr>
                <w:rFonts w:ascii="宋体" w:hAnsi="宋体"/>
                <w:snapToGrid w:val="0"/>
                <w:color w:val="auto"/>
                <w:kern w:val="0"/>
                <w:szCs w:val="21"/>
                <w:highlight w:val="none"/>
              </w:rPr>
            </w:pPr>
          </w:p>
        </w:tc>
        <w:tc>
          <w:tcPr>
            <w:tcW w:w="792" w:type="dxa"/>
            <w:noWrap w:val="0"/>
            <w:vAlign w:val="center"/>
          </w:tcPr>
          <w:p w14:paraId="61E1E7C7">
            <w:pPr>
              <w:autoSpaceDE w:val="0"/>
              <w:autoSpaceDN w:val="0"/>
              <w:adjustRightInd w:val="0"/>
              <w:jc w:val="center"/>
              <w:rPr>
                <w:rFonts w:ascii="宋体" w:hAnsi="宋体"/>
                <w:snapToGrid w:val="0"/>
                <w:color w:val="auto"/>
                <w:kern w:val="0"/>
                <w:szCs w:val="21"/>
                <w:highlight w:val="none"/>
              </w:rPr>
            </w:pPr>
          </w:p>
        </w:tc>
      </w:tr>
      <w:tr w14:paraId="10A0864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noWrap w:val="0"/>
            <w:vAlign w:val="center"/>
          </w:tcPr>
          <w:p w14:paraId="0AE3A1EC">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4</w:t>
            </w:r>
          </w:p>
        </w:tc>
        <w:tc>
          <w:tcPr>
            <w:tcW w:w="2582" w:type="dxa"/>
            <w:noWrap w:val="0"/>
            <w:vAlign w:val="center"/>
          </w:tcPr>
          <w:p w14:paraId="07148993">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分包</w:t>
            </w:r>
          </w:p>
        </w:tc>
        <w:tc>
          <w:tcPr>
            <w:tcW w:w="2388" w:type="dxa"/>
            <w:noWrap w:val="0"/>
            <w:vAlign w:val="center"/>
          </w:tcPr>
          <w:p w14:paraId="49D9A131">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3.5</w:t>
            </w:r>
          </w:p>
        </w:tc>
        <w:tc>
          <w:tcPr>
            <w:tcW w:w="2987" w:type="dxa"/>
            <w:noWrap w:val="0"/>
            <w:vAlign w:val="center"/>
          </w:tcPr>
          <w:p w14:paraId="15E1AAE7">
            <w:pPr>
              <w:autoSpaceDE w:val="0"/>
              <w:autoSpaceDN w:val="0"/>
              <w:adjustRightInd w:val="0"/>
              <w:jc w:val="center"/>
              <w:rPr>
                <w:rFonts w:ascii="宋体" w:hAnsi="宋体"/>
                <w:snapToGrid w:val="0"/>
                <w:color w:val="auto"/>
                <w:kern w:val="0"/>
                <w:szCs w:val="21"/>
                <w:highlight w:val="none"/>
              </w:rPr>
            </w:pPr>
          </w:p>
        </w:tc>
        <w:tc>
          <w:tcPr>
            <w:tcW w:w="792" w:type="dxa"/>
            <w:noWrap w:val="0"/>
            <w:vAlign w:val="center"/>
          </w:tcPr>
          <w:p w14:paraId="35D97D0B">
            <w:pPr>
              <w:autoSpaceDE w:val="0"/>
              <w:autoSpaceDN w:val="0"/>
              <w:adjustRightInd w:val="0"/>
              <w:jc w:val="center"/>
              <w:rPr>
                <w:rFonts w:ascii="宋体" w:hAnsi="宋体"/>
                <w:snapToGrid w:val="0"/>
                <w:color w:val="auto"/>
                <w:kern w:val="0"/>
                <w:szCs w:val="21"/>
                <w:highlight w:val="none"/>
              </w:rPr>
            </w:pPr>
          </w:p>
        </w:tc>
      </w:tr>
      <w:tr w14:paraId="1E47906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noWrap w:val="0"/>
            <w:vAlign w:val="center"/>
          </w:tcPr>
          <w:p w14:paraId="7FB8C85B">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582" w:type="dxa"/>
            <w:noWrap w:val="0"/>
            <w:vAlign w:val="center"/>
          </w:tcPr>
          <w:p w14:paraId="481D78C8">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388" w:type="dxa"/>
            <w:noWrap w:val="0"/>
            <w:vAlign w:val="center"/>
          </w:tcPr>
          <w:p w14:paraId="080B6717">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987" w:type="dxa"/>
            <w:noWrap w:val="0"/>
            <w:vAlign w:val="center"/>
          </w:tcPr>
          <w:p w14:paraId="162FDB73">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792" w:type="dxa"/>
            <w:noWrap w:val="0"/>
            <w:vAlign w:val="center"/>
          </w:tcPr>
          <w:p w14:paraId="7FD57233">
            <w:pPr>
              <w:autoSpaceDE w:val="0"/>
              <w:autoSpaceDN w:val="0"/>
              <w:adjustRightInd w:val="0"/>
              <w:jc w:val="center"/>
              <w:rPr>
                <w:rFonts w:ascii="宋体" w:hAnsi="宋体"/>
                <w:snapToGrid w:val="0"/>
                <w:color w:val="auto"/>
                <w:kern w:val="0"/>
                <w:szCs w:val="21"/>
                <w:highlight w:val="none"/>
              </w:rPr>
            </w:pPr>
          </w:p>
        </w:tc>
      </w:tr>
      <w:tr w14:paraId="3F276F0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noWrap w:val="0"/>
            <w:vAlign w:val="center"/>
          </w:tcPr>
          <w:p w14:paraId="7314CE17">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582" w:type="dxa"/>
            <w:noWrap w:val="0"/>
            <w:vAlign w:val="center"/>
          </w:tcPr>
          <w:p w14:paraId="19A62853">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388" w:type="dxa"/>
            <w:noWrap w:val="0"/>
            <w:vAlign w:val="center"/>
          </w:tcPr>
          <w:p w14:paraId="1107BF84">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987" w:type="dxa"/>
            <w:noWrap w:val="0"/>
            <w:vAlign w:val="center"/>
          </w:tcPr>
          <w:p w14:paraId="56569BEC">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792" w:type="dxa"/>
            <w:noWrap w:val="0"/>
            <w:vAlign w:val="center"/>
          </w:tcPr>
          <w:p w14:paraId="63CD3F1D">
            <w:pPr>
              <w:autoSpaceDE w:val="0"/>
              <w:autoSpaceDN w:val="0"/>
              <w:adjustRightInd w:val="0"/>
              <w:jc w:val="center"/>
              <w:rPr>
                <w:rFonts w:ascii="宋体" w:hAnsi="宋体"/>
                <w:snapToGrid w:val="0"/>
                <w:color w:val="auto"/>
                <w:kern w:val="0"/>
                <w:szCs w:val="21"/>
                <w:highlight w:val="none"/>
              </w:rPr>
            </w:pPr>
          </w:p>
        </w:tc>
      </w:tr>
    </w:tbl>
    <w:p w14:paraId="7D23457E">
      <w:pPr>
        <w:spacing w:line="360" w:lineRule="auto"/>
        <w:rPr>
          <w:rFonts w:ascii="宋体" w:hAnsi="宋体"/>
          <w:snapToGrid w:val="0"/>
          <w:color w:val="auto"/>
          <w:w w:val="99"/>
          <w:highlight w:val="none"/>
        </w:rPr>
      </w:pPr>
    </w:p>
    <w:p w14:paraId="6C843F75">
      <w:pPr>
        <w:spacing w:line="360" w:lineRule="auto"/>
        <w:rPr>
          <w:rFonts w:hint="eastAsia" w:ascii="宋体" w:hAnsi="宋体"/>
          <w:snapToGrid w:val="0"/>
          <w:color w:val="auto"/>
          <w:kern w:val="0"/>
          <w:sz w:val="32"/>
          <w:szCs w:val="32"/>
          <w:highlight w:val="none"/>
        </w:rPr>
      </w:pPr>
    </w:p>
    <w:p w14:paraId="08D082F1">
      <w:pPr>
        <w:spacing w:line="360" w:lineRule="auto"/>
        <w:rPr>
          <w:rFonts w:ascii="宋体" w:hAnsi="宋体"/>
          <w:snapToGrid w:val="0"/>
          <w:color w:val="auto"/>
          <w:highlight w:val="none"/>
        </w:rPr>
      </w:pPr>
    </w:p>
    <w:p w14:paraId="2EF094C4">
      <w:pPr>
        <w:tabs>
          <w:tab w:val="left" w:pos="7140"/>
          <w:tab w:val="left" w:pos="7560"/>
          <w:tab w:val="left" w:pos="8300"/>
        </w:tabs>
        <w:autoSpaceDE w:val="0"/>
        <w:autoSpaceDN w:val="0"/>
        <w:adjustRightInd w:val="0"/>
        <w:spacing w:line="360" w:lineRule="auto"/>
        <w:ind w:right="210" w:firstLine="2396" w:firstLineChars="1141"/>
        <w:rPr>
          <w:rFonts w:hint="eastAsia" w:ascii="宋体" w:hAnsi="宋体"/>
          <w:snapToGrid w:val="0"/>
          <w:color w:val="auto"/>
          <w:kern w:val="0"/>
          <w:szCs w:val="21"/>
          <w:highlight w:val="none"/>
        </w:rPr>
      </w:pPr>
      <w:r>
        <w:rPr>
          <w:rFonts w:ascii="宋体" w:hAnsi="宋体"/>
          <w:snapToGrid w:val="0"/>
          <w:color w:val="auto"/>
          <w:kern w:val="0"/>
          <w:szCs w:val="21"/>
          <w:highlight w:val="none"/>
        </w:rPr>
        <w:t>投  标  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（盖单位法人章） </w:t>
      </w:r>
    </w:p>
    <w:p w14:paraId="7177783C">
      <w:pPr>
        <w:tabs>
          <w:tab w:val="left" w:pos="7140"/>
          <w:tab w:val="left" w:pos="7560"/>
          <w:tab w:val="left" w:pos="8300"/>
        </w:tabs>
        <w:autoSpaceDE w:val="0"/>
        <w:autoSpaceDN w:val="0"/>
        <w:adjustRightInd w:val="0"/>
        <w:spacing w:line="360" w:lineRule="auto"/>
        <w:ind w:right="210" w:firstLine="1984" w:firstLineChars="945"/>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 xml:space="preserve">   </w:t>
      </w:r>
    </w:p>
    <w:p w14:paraId="51395AD5">
      <w:pPr>
        <w:tabs>
          <w:tab w:val="left" w:pos="7140"/>
          <w:tab w:val="left" w:pos="7560"/>
          <w:tab w:val="left" w:pos="8300"/>
        </w:tabs>
        <w:autoSpaceDE w:val="0"/>
        <w:autoSpaceDN w:val="0"/>
        <w:adjustRightInd w:val="0"/>
        <w:spacing w:line="360" w:lineRule="auto"/>
        <w:ind w:right="210" w:firstLine="2415" w:firstLineChars="1150"/>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（签字或盖章） </w:t>
      </w:r>
    </w:p>
    <w:p w14:paraId="01CA7B20">
      <w:pPr>
        <w:tabs>
          <w:tab w:val="left" w:pos="7140"/>
          <w:tab w:val="left" w:pos="7560"/>
          <w:tab w:val="left" w:pos="8300"/>
        </w:tabs>
        <w:autoSpaceDE w:val="0"/>
        <w:autoSpaceDN w:val="0"/>
        <w:adjustRightInd w:val="0"/>
        <w:spacing w:line="360" w:lineRule="auto"/>
        <w:ind w:right="210" w:firstLine="1995" w:firstLineChars="950"/>
        <w:rPr>
          <w:rFonts w:ascii="宋体" w:hAnsi="宋体"/>
          <w:snapToGrid w:val="0"/>
          <w:color w:val="auto"/>
          <w:kern w:val="0"/>
          <w:szCs w:val="21"/>
          <w:highlight w:val="none"/>
        </w:rPr>
      </w:pPr>
    </w:p>
    <w:p w14:paraId="5CA948D1">
      <w:pPr>
        <w:pStyle w:val="5"/>
        <w:spacing w:before="0" w:after="0" w:line="240" w:lineRule="auto"/>
        <w:jc w:val="center"/>
        <w:rPr>
          <w:rFonts w:ascii="宋体" w:hAnsi="宋体"/>
          <w:snapToGrid w:val="0"/>
          <w:color w:val="auto"/>
          <w:kern w:val="0"/>
          <w:szCs w:val="21"/>
          <w:highlight w:val="none"/>
        </w:rPr>
      </w:pPr>
      <w:r>
        <w:rPr>
          <w:rFonts w:ascii="宋体" w:hAnsi="宋体"/>
          <w:snapToGrid w:val="0"/>
          <w:color w:val="auto"/>
          <w:highlight w:val="none"/>
        </w:rPr>
        <w:br w:type="page"/>
      </w:r>
      <w:bookmarkStart w:id="2272" w:name="_Toc57820650"/>
      <w:bookmarkStart w:id="2273" w:name="_Toc277082645"/>
      <w:bookmarkStart w:id="2274" w:name="_Toc287607869"/>
      <w:bookmarkStart w:id="2275" w:name="_Toc430530532"/>
      <w:bookmarkStart w:id="2276" w:name="_Toc224103497"/>
      <w:bookmarkStart w:id="2277" w:name="_Toc287620816"/>
      <w:r>
        <w:rPr>
          <w:rFonts w:ascii="宋体" w:hAnsi="宋体"/>
          <w:b w:val="0"/>
          <w:bCs w:val="0"/>
          <w:color w:val="auto"/>
          <w:highlight w:val="none"/>
        </w:rPr>
        <w:t>（三）</w:t>
      </w:r>
      <w:r>
        <w:rPr>
          <w:rFonts w:hint="eastAsia" w:ascii="宋体" w:hAnsi="宋体"/>
          <w:b w:val="0"/>
          <w:bCs w:val="0"/>
          <w:color w:val="auto"/>
          <w:highlight w:val="none"/>
        </w:rPr>
        <w:t>法定代表人身份证明或附有法定代表人身份证明的授权委托书</w:t>
      </w:r>
      <w:bookmarkEnd w:id="2272"/>
      <w:bookmarkEnd w:id="2273"/>
      <w:bookmarkEnd w:id="2274"/>
      <w:bookmarkEnd w:id="2275"/>
      <w:bookmarkEnd w:id="2276"/>
      <w:bookmarkEnd w:id="2277"/>
    </w:p>
    <w:p w14:paraId="2F8C0672">
      <w:pPr>
        <w:spacing w:line="480" w:lineRule="auto"/>
        <w:jc w:val="center"/>
        <w:rPr>
          <w:rFonts w:hint="eastAsia" w:ascii="宋体" w:hAnsi="宋体"/>
          <w:color w:val="auto"/>
          <w:sz w:val="28"/>
          <w:highlight w:val="none"/>
        </w:rPr>
      </w:pPr>
      <w:r>
        <w:rPr>
          <w:rFonts w:hint="eastAsia" w:ascii="宋体" w:hAnsi="宋体"/>
          <w:color w:val="auto"/>
          <w:sz w:val="28"/>
          <w:highlight w:val="none"/>
        </w:rPr>
        <w:t>法定代表人身份证明</w:t>
      </w:r>
    </w:p>
    <w:p w14:paraId="38770970">
      <w:pPr>
        <w:spacing w:line="480" w:lineRule="auto"/>
        <w:jc w:val="center"/>
        <w:rPr>
          <w:rFonts w:ascii="宋体" w:hAnsi="宋体"/>
          <w:color w:val="auto"/>
          <w:highlight w:val="none"/>
        </w:rPr>
      </w:pPr>
    </w:p>
    <w:p w14:paraId="132481C6">
      <w:pPr>
        <w:tabs>
          <w:tab w:val="left" w:pos="556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投标人名称：</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2DBB74A6">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单位性质：</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6B835806">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5BF764A2">
      <w:pPr>
        <w:tabs>
          <w:tab w:val="left" w:pos="2520"/>
          <w:tab w:val="left" w:pos="3836"/>
        </w:tabs>
        <w:autoSpaceDE w:val="0"/>
        <w:autoSpaceDN w:val="0"/>
        <w:adjustRightInd w:val="0"/>
        <w:snapToGrid w:val="0"/>
        <w:spacing w:line="480" w:lineRule="auto"/>
        <w:ind w:firstLine="390" w:firstLineChars="186"/>
        <w:jc w:val="left"/>
        <w:rPr>
          <w:rFonts w:ascii="宋体" w:hAnsi="宋体"/>
          <w:color w:val="auto"/>
          <w:kern w:val="0"/>
          <w:sz w:val="10"/>
          <w:szCs w:val="10"/>
          <w:highlight w:val="none"/>
        </w:rPr>
      </w:pPr>
      <w:r>
        <w:rPr>
          <w:rFonts w:ascii="宋体" w:hAnsi="宋体"/>
          <w:color w:val="auto"/>
          <w:kern w:val="0"/>
          <w:szCs w:val="21"/>
          <w:highlight w:val="none"/>
        </w:rPr>
        <w:t>成立时间：</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14:paraId="6B0AB70A">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经营期限：</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54C4D30A">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姓名：</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性别</w:t>
      </w:r>
      <w:r>
        <w:rPr>
          <w:rFonts w:ascii="宋体" w:hAnsi="宋体"/>
          <w:color w:val="auto"/>
          <w:spacing w:val="-1"/>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spacing w:val="-1"/>
          <w:kern w:val="0"/>
          <w:szCs w:val="21"/>
          <w:highlight w:val="none"/>
        </w:rPr>
        <w:t>年</w:t>
      </w:r>
      <w:r>
        <w:rPr>
          <w:rFonts w:ascii="宋体" w:hAnsi="宋体"/>
          <w:color w:val="auto"/>
          <w:kern w:val="0"/>
          <w:szCs w:val="21"/>
          <w:highlight w:val="none"/>
        </w:rPr>
        <w:t>龄：</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职务：</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14:paraId="3778BB49">
      <w:pPr>
        <w:tabs>
          <w:tab w:val="left" w:pos="336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系</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（投标人名称）</w:t>
      </w:r>
      <w:r>
        <w:rPr>
          <w:rFonts w:ascii="宋体" w:hAnsi="宋体"/>
          <w:color w:val="auto"/>
          <w:kern w:val="0"/>
          <w:szCs w:val="21"/>
          <w:highlight w:val="none"/>
        </w:rPr>
        <w:t>的法定代表人。</w:t>
      </w:r>
    </w:p>
    <w:p w14:paraId="205A8F03">
      <w:pPr>
        <w:tabs>
          <w:tab w:val="left" w:pos="3360"/>
        </w:tabs>
        <w:autoSpaceDE w:val="0"/>
        <w:autoSpaceDN w:val="0"/>
        <w:adjustRightInd w:val="0"/>
        <w:snapToGrid w:val="0"/>
        <w:spacing w:line="480" w:lineRule="auto"/>
        <w:ind w:firstLine="390" w:firstLineChars="186"/>
        <w:jc w:val="left"/>
        <w:rPr>
          <w:rFonts w:hint="eastAsia" w:ascii="宋体" w:hAnsi="宋体"/>
          <w:color w:val="auto"/>
          <w:kern w:val="0"/>
          <w:szCs w:val="21"/>
          <w:highlight w:val="none"/>
        </w:rPr>
      </w:pPr>
      <w:r>
        <w:rPr>
          <w:rFonts w:ascii="宋体" w:hAnsi="宋体"/>
          <w:color w:val="auto"/>
          <w:kern w:val="0"/>
          <w:szCs w:val="21"/>
          <w:highlight w:val="none"/>
        </w:rPr>
        <w:t>特此证明。</w:t>
      </w:r>
    </w:p>
    <w:p w14:paraId="6A2AEE47">
      <w:pPr>
        <w:autoSpaceDE w:val="0"/>
        <w:autoSpaceDN w:val="0"/>
        <w:adjustRightInd w:val="0"/>
        <w:snapToGrid w:val="0"/>
        <w:spacing w:line="480" w:lineRule="auto"/>
        <w:ind w:firstLine="810" w:firstLineChars="386"/>
        <w:jc w:val="left"/>
        <w:rPr>
          <w:rFonts w:hint="eastAsia" w:ascii="宋体" w:hAnsi="宋体"/>
          <w:color w:val="auto"/>
          <w:kern w:val="0"/>
          <w:szCs w:val="21"/>
          <w:highlight w:val="none"/>
        </w:rPr>
      </w:pPr>
      <w:r>
        <w:rPr>
          <w:rFonts w:hint="eastAsia" w:ascii="宋体" w:hAnsi="宋体"/>
          <w:color w:val="auto"/>
          <w:kern w:val="0"/>
          <w:szCs w:val="21"/>
          <w:highlight w:val="none"/>
        </w:rPr>
        <w:t>附：法定代表人身份证明扫描件（双面）</w:t>
      </w:r>
    </w:p>
    <w:p w14:paraId="591CFD1B">
      <w:pPr>
        <w:autoSpaceDE w:val="0"/>
        <w:autoSpaceDN w:val="0"/>
        <w:adjustRightInd w:val="0"/>
        <w:snapToGrid w:val="0"/>
        <w:spacing w:line="360" w:lineRule="auto"/>
        <w:jc w:val="left"/>
        <w:rPr>
          <w:rFonts w:hint="eastAsia" w:ascii="宋体" w:hAnsi="宋体"/>
          <w:color w:val="auto"/>
          <w:szCs w:val="21"/>
          <w:highlight w:val="none"/>
        </w:rPr>
      </w:pPr>
    </w:p>
    <w:p w14:paraId="33F26858">
      <w:pPr>
        <w:pStyle w:val="2"/>
        <w:spacing w:after="0" w:line="360" w:lineRule="auto"/>
        <w:rPr>
          <w:rFonts w:hint="eastAsia" w:ascii="宋体" w:hAnsi="宋体"/>
          <w:color w:val="auto"/>
          <w:szCs w:val="21"/>
          <w:highlight w:val="none"/>
        </w:rPr>
      </w:pPr>
    </w:p>
    <w:p w14:paraId="20C89547">
      <w:pPr>
        <w:pStyle w:val="2"/>
        <w:spacing w:after="0" w:line="360" w:lineRule="auto"/>
        <w:rPr>
          <w:rFonts w:hint="eastAsia" w:ascii="宋体" w:hAnsi="宋体"/>
          <w:color w:val="auto"/>
          <w:szCs w:val="21"/>
          <w:highlight w:val="none"/>
        </w:rPr>
      </w:pPr>
    </w:p>
    <w:p w14:paraId="26B4CBAE">
      <w:pPr>
        <w:pStyle w:val="2"/>
        <w:spacing w:after="0" w:line="360" w:lineRule="auto"/>
        <w:rPr>
          <w:rFonts w:hint="eastAsia" w:ascii="宋体" w:hAnsi="宋体"/>
          <w:color w:val="auto"/>
          <w:szCs w:val="21"/>
          <w:highlight w:val="none"/>
        </w:rPr>
      </w:pPr>
    </w:p>
    <w:p w14:paraId="0A2BA859">
      <w:pPr>
        <w:pStyle w:val="2"/>
        <w:spacing w:after="0" w:line="360" w:lineRule="auto"/>
        <w:rPr>
          <w:rFonts w:hint="eastAsia" w:ascii="宋体" w:hAnsi="宋体"/>
          <w:color w:val="auto"/>
          <w:szCs w:val="21"/>
          <w:highlight w:val="none"/>
        </w:rPr>
      </w:pPr>
    </w:p>
    <w:p w14:paraId="65E44DA6">
      <w:pPr>
        <w:pStyle w:val="2"/>
        <w:spacing w:after="0" w:line="360" w:lineRule="auto"/>
        <w:rPr>
          <w:rFonts w:ascii="宋体" w:hAnsi="宋体"/>
          <w:color w:val="auto"/>
          <w:szCs w:val="21"/>
          <w:highlight w:val="none"/>
        </w:rPr>
      </w:pPr>
    </w:p>
    <w:p w14:paraId="4CDFDA73">
      <w:pPr>
        <w:tabs>
          <w:tab w:val="left" w:pos="5475"/>
        </w:tabs>
        <w:autoSpaceDE w:val="0"/>
        <w:autoSpaceDN w:val="0"/>
        <w:adjustRightInd w:val="0"/>
        <w:snapToGrid w:val="0"/>
        <w:spacing w:line="480" w:lineRule="auto"/>
        <w:ind w:firstLine="372" w:firstLineChars="186"/>
        <w:jc w:val="left"/>
        <w:rPr>
          <w:rFonts w:ascii="宋体" w:hAnsi="宋体"/>
          <w:color w:val="auto"/>
          <w:kern w:val="0"/>
          <w:sz w:val="20"/>
          <w:szCs w:val="20"/>
          <w:highlight w:val="none"/>
        </w:rPr>
      </w:pPr>
    </w:p>
    <w:p w14:paraId="5E4AF54B">
      <w:pPr>
        <w:tabs>
          <w:tab w:val="left" w:pos="5460"/>
        </w:tabs>
        <w:autoSpaceDE w:val="0"/>
        <w:autoSpaceDN w:val="0"/>
        <w:adjustRightInd w:val="0"/>
        <w:snapToGrid w:val="0"/>
        <w:spacing w:line="480" w:lineRule="auto"/>
        <w:ind w:firstLine="2100"/>
        <w:jc w:val="right"/>
        <w:rPr>
          <w:rFonts w:ascii="宋体" w:hAnsi="宋体"/>
          <w:color w:val="auto"/>
          <w:kern w:val="0"/>
          <w:szCs w:val="21"/>
          <w:highlight w:val="none"/>
        </w:rPr>
      </w:pPr>
      <w:r>
        <w:rPr>
          <w:rFonts w:ascii="宋体" w:hAnsi="宋体"/>
          <w:color w:val="auto"/>
          <w:kern w:val="0"/>
          <w:szCs w:val="21"/>
          <w:highlight w:val="none"/>
        </w:rPr>
        <w:t>投标</w:t>
      </w:r>
      <w:r>
        <w:rPr>
          <w:rFonts w:ascii="宋体" w:hAnsi="宋体"/>
          <w:color w:val="auto"/>
          <w:spacing w:val="-1"/>
          <w:kern w:val="0"/>
          <w:szCs w:val="21"/>
          <w:highlight w:val="none"/>
        </w:rPr>
        <w:t>人</w:t>
      </w:r>
      <w:r>
        <w:rPr>
          <w:rFonts w:ascii="宋体" w:hAnsi="宋体"/>
          <w:color w:val="auto"/>
          <w:kern w:val="0"/>
          <w:szCs w:val="21"/>
          <w:highlight w:val="none"/>
        </w:rPr>
        <w:t>：</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spacing w:val="-1"/>
          <w:kern w:val="0"/>
          <w:szCs w:val="21"/>
          <w:highlight w:val="none"/>
        </w:rPr>
        <w:t>（</w:t>
      </w:r>
      <w:r>
        <w:rPr>
          <w:rFonts w:ascii="宋体" w:hAnsi="宋体"/>
          <w:color w:val="auto"/>
          <w:kern w:val="0"/>
          <w:szCs w:val="21"/>
          <w:highlight w:val="none"/>
        </w:rPr>
        <w:t>盖单位法人章）</w:t>
      </w:r>
    </w:p>
    <w:p w14:paraId="64715C66">
      <w:pPr>
        <w:autoSpaceDE w:val="0"/>
        <w:autoSpaceDN w:val="0"/>
        <w:adjustRightInd w:val="0"/>
        <w:snapToGrid w:val="0"/>
        <w:spacing w:line="480" w:lineRule="auto"/>
        <w:jc w:val="left"/>
        <w:rPr>
          <w:rFonts w:ascii="宋体" w:hAnsi="宋体"/>
          <w:color w:val="auto"/>
          <w:kern w:val="0"/>
          <w:sz w:val="20"/>
          <w:szCs w:val="20"/>
          <w:highlight w:val="none"/>
        </w:rPr>
      </w:pPr>
    </w:p>
    <w:p w14:paraId="11147601">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14:paraId="051B6F37">
      <w:pPr>
        <w:autoSpaceDE w:val="0"/>
        <w:autoSpaceDN w:val="0"/>
        <w:adjustRightInd w:val="0"/>
        <w:snapToGrid w:val="0"/>
        <w:spacing w:line="360" w:lineRule="auto"/>
        <w:jc w:val="left"/>
        <w:rPr>
          <w:rFonts w:ascii="宋体" w:hAnsi="宋体"/>
          <w:color w:val="auto"/>
          <w:kern w:val="0"/>
          <w:highlight w:val="none"/>
        </w:rPr>
      </w:pPr>
    </w:p>
    <w:p w14:paraId="6E637278">
      <w:pPr>
        <w:autoSpaceDE w:val="0"/>
        <w:autoSpaceDN w:val="0"/>
        <w:adjustRightInd w:val="0"/>
        <w:snapToGrid w:val="0"/>
        <w:spacing w:line="360" w:lineRule="auto"/>
        <w:jc w:val="left"/>
        <w:rPr>
          <w:rFonts w:ascii="宋体" w:hAnsi="宋体"/>
          <w:color w:val="auto"/>
          <w:kern w:val="0"/>
          <w:highlight w:val="none"/>
        </w:rPr>
      </w:pPr>
    </w:p>
    <w:p w14:paraId="6507DCBD">
      <w:pPr>
        <w:spacing w:line="360" w:lineRule="auto"/>
        <w:ind w:firstLine="420" w:firstLineChars="200"/>
        <w:rPr>
          <w:rFonts w:hint="eastAsia" w:ascii="宋体" w:hAnsi="宋体"/>
          <w:color w:val="auto"/>
          <w:highlight w:val="none"/>
        </w:rPr>
      </w:pPr>
      <w:r>
        <w:rPr>
          <w:rFonts w:ascii="宋体" w:hAnsi="宋体"/>
          <w:color w:val="auto"/>
          <w:highlight w:val="none"/>
        </w:rPr>
        <w:t>注：法定代表人身份证明需按上述格式填写完整，不可缺少内容。在此基础上增加内容的不影响其有效性。</w:t>
      </w:r>
    </w:p>
    <w:p w14:paraId="6ED79AA5">
      <w:pPr>
        <w:spacing w:line="360" w:lineRule="auto"/>
        <w:ind w:firstLine="420" w:firstLineChars="200"/>
        <w:rPr>
          <w:rFonts w:ascii="宋体" w:hAnsi="宋体"/>
          <w:color w:val="auto"/>
          <w:highlight w:val="none"/>
        </w:rPr>
      </w:pPr>
    </w:p>
    <w:p w14:paraId="5D783F87">
      <w:pPr>
        <w:tabs>
          <w:tab w:val="left" w:pos="1680"/>
          <w:tab w:val="left" w:pos="4215"/>
          <w:tab w:val="left" w:pos="4305"/>
          <w:tab w:val="left" w:pos="8000"/>
        </w:tabs>
        <w:autoSpaceDE w:val="0"/>
        <w:autoSpaceDN w:val="0"/>
        <w:adjustRightInd w:val="0"/>
        <w:snapToGrid w:val="0"/>
        <w:spacing w:line="360" w:lineRule="auto"/>
        <w:jc w:val="center"/>
        <w:rPr>
          <w:rFonts w:ascii="宋体" w:hAnsi="宋体"/>
          <w:color w:val="auto"/>
          <w:kern w:val="0"/>
          <w:sz w:val="28"/>
          <w:szCs w:val="28"/>
          <w:highlight w:val="none"/>
        </w:rPr>
      </w:pPr>
      <w:r>
        <w:rPr>
          <w:rFonts w:ascii="宋体" w:hAnsi="宋体"/>
          <w:color w:val="auto"/>
          <w:kern w:val="0"/>
          <w:highlight w:val="none"/>
        </w:rPr>
        <w:br w:type="page"/>
      </w:r>
      <w:r>
        <w:rPr>
          <w:rFonts w:ascii="宋体" w:hAnsi="宋体"/>
          <w:snapToGrid w:val="0"/>
          <w:color w:val="auto"/>
          <w:kern w:val="0"/>
          <w:sz w:val="32"/>
          <w:szCs w:val="32"/>
          <w:highlight w:val="none"/>
        </w:rPr>
        <w:t>授权委托书</w:t>
      </w:r>
    </w:p>
    <w:p w14:paraId="49081595">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color w:val="auto"/>
          <w:kern w:val="0"/>
          <w:szCs w:val="21"/>
          <w:highlight w:val="none"/>
        </w:rPr>
      </w:pPr>
      <w:r>
        <w:rPr>
          <w:rFonts w:ascii="宋体" w:hAnsi="宋体"/>
          <w:color w:val="auto"/>
          <w:kern w:val="0"/>
          <w:szCs w:val="21"/>
          <w:highlight w:val="none"/>
        </w:rPr>
        <w:t>本人</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系</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w:t>
      </w:r>
      <w:r>
        <w:rPr>
          <w:rFonts w:ascii="宋体" w:hAnsi="宋体"/>
          <w:color w:val="auto"/>
          <w:spacing w:val="-1"/>
          <w:kern w:val="0"/>
          <w:szCs w:val="21"/>
          <w:highlight w:val="none"/>
          <w:u w:val="single"/>
        </w:rPr>
        <w:t>投</w:t>
      </w:r>
      <w:r>
        <w:rPr>
          <w:rFonts w:ascii="宋体" w:hAnsi="宋体"/>
          <w:color w:val="auto"/>
          <w:kern w:val="0"/>
          <w:szCs w:val="21"/>
          <w:highlight w:val="none"/>
          <w:u w:val="single"/>
        </w:rPr>
        <w:t>标人名称</w:t>
      </w:r>
      <w:r>
        <w:rPr>
          <w:rFonts w:ascii="宋体" w:hAnsi="宋体"/>
          <w:color w:val="auto"/>
          <w:spacing w:val="1"/>
          <w:kern w:val="0"/>
          <w:szCs w:val="21"/>
          <w:highlight w:val="none"/>
          <w:u w:val="single"/>
        </w:rPr>
        <w:t>）</w:t>
      </w:r>
      <w:r>
        <w:rPr>
          <w:rFonts w:ascii="宋体" w:hAnsi="宋体"/>
          <w:color w:val="auto"/>
          <w:kern w:val="0"/>
          <w:szCs w:val="21"/>
          <w:highlight w:val="none"/>
        </w:rPr>
        <w:t>的法定代</w:t>
      </w:r>
      <w:r>
        <w:rPr>
          <w:rFonts w:ascii="宋体" w:hAnsi="宋体"/>
          <w:color w:val="auto"/>
          <w:spacing w:val="1"/>
          <w:kern w:val="0"/>
          <w:szCs w:val="21"/>
          <w:highlight w:val="none"/>
        </w:rPr>
        <w:t>表</w:t>
      </w:r>
      <w:r>
        <w:rPr>
          <w:rFonts w:ascii="宋体" w:hAnsi="宋体"/>
          <w:color w:val="auto"/>
          <w:kern w:val="0"/>
          <w:szCs w:val="21"/>
          <w:highlight w:val="none"/>
        </w:rPr>
        <w:t>人，现委托</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为我方代理人。代理人根据授权，以我方名义签署、澄清、说明、补正、递交、撤回、 修改</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（项</w:t>
      </w:r>
      <w:r>
        <w:rPr>
          <w:rFonts w:ascii="宋体" w:hAnsi="宋体"/>
          <w:color w:val="auto"/>
          <w:spacing w:val="-1"/>
          <w:kern w:val="0"/>
          <w:szCs w:val="21"/>
          <w:highlight w:val="none"/>
          <w:u w:val="single"/>
        </w:rPr>
        <w:t>目</w:t>
      </w:r>
      <w:r>
        <w:rPr>
          <w:rFonts w:ascii="宋体" w:hAnsi="宋体"/>
          <w:color w:val="auto"/>
          <w:kern w:val="0"/>
          <w:szCs w:val="21"/>
          <w:highlight w:val="none"/>
          <w:u w:val="single"/>
        </w:rPr>
        <w:t>名称）</w:t>
      </w:r>
      <w:r>
        <w:rPr>
          <w:rFonts w:ascii="宋体" w:hAnsi="宋体"/>
          <w:color w:val="auto"/>
          <w:kern w:val="0"/>
          <w:szCs w:val="21"/>
          <w:highlight w:val="none"/>
        </w:rPr>
        <w:t>投标文件、签订合同和处理有关事宜， 其法律后果由我方承担。</w:t>
      </w:r>
    </w:p>
    <w:p w14:paraId="26E86B6A">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color w:val="auto"/>
          <w:kern w:val="0"/>
          <w:szCs w:val="21"/>
          <w:highlight w:val="none"/>
        </w:rPr>
      </w:pPr>
      <w:r>
        <w:rPr>
          <w:rFonts w:ascii="宋体" w:hAnsi="宋体"/>
          <w:color w:val="auto"/>
          <w:kern w:val="0"/>
          <w:szCs w:val="21"/>
          <w:highlight w:val="none"/>
        </w:rPr>
        <w:t>委托</w:t>
      </w:r>
      <w:r>
        <w:rPr>
          <w:rFonts w:ascii="宋体" w:hAnsi="宋体"/>
          <w:color w:val="auto"/>
          <w:spacing w:val="-1"/>
          <w:kern w:val="0"/>
          <w:szCs w:val="21"/>
          <w:highlight w:val="none"/>
        </w:rPr>
        <w:t>期</w:t>
      </w:r>
      <w:r>
        <w:rPr>
          <w:rFonts w:ascii="宋体" w:hAnsi="宋体"/>
          <w:color w:val="auto"/>
          <w:kern w:val="0"/>
          <w:szCs w:val="21"/>
          <w:highlight w:val="none"/>
        </w:rPr>
        <w:t>限：</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 xml:space="preserve">。 </w:t>
      </w:r>
    </w:p>
    <w:p w14:paraId="1AD51C20">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color w:val="auto"/>
          <w:kern w:val="0"/>
          <w:szCs w:val="21"/>
          <w:highlight w:val="none"/>
        </w:rPr>
      </w:pPr>
      <w:r>
        <w:rPr>
          <w:rFonts w:ascii="宋体" w:hAnsi="宋体"/>
          <w:color w:val="auto"/>
          <w:kern w:val="0"/>
          <w:szCs w:val="21"/>
          <w:highlight w:val="none"/>
        </w:rPr>
        <w:t>代理人无转委托权。</w:t>
      </w:r>
    </w:p>
    <w:p w14:paraId="5249484A">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color w:val="auto"/>
          <w:kern w:val="0"/>
          <w:szCs w:val="21"/>
          <w:highlight w:val="none"/>
        </w:rPr>
      </w:pPr>
    </w:p>
    <w:p w14:paraId="43040ADC">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14:paraId="7324ADB3">
      <w:pPr>
        <w:tabs>
          <w:tab w:val="left" w:pos="630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（签字或盖章）</w:t>
      </w:r>
    </w:p>
    <w:p w14:paraId="078441D4">
      <w:pPr>
        <w:tabs>
          <w:tab w:val="left" w:pos="5260"/>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14:paraId="1D13D402">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委托代理人：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（签</w:t>
      </w:r>
      <w:r>
        <w:rPr>
          <w:rFonts w:ascii="宋体" w:hAnsi="宋体"/>
          <w:color w:val="auto"/>
          <w:spacing w:val="-1"/>
          <w:kern w:val="0"/>
          <w:szCs w:val="21"/>
          <w:highlight w:val="none"/>
        </w:rPr>
        <w:t>字</w:t>
      </w:r>
      <w:r>
        <w:rPr>
          <w:rFonts w:ascii="宋体" w:hAnsi="宋体"/>
          <w:color w:val="auto"/>
          <w:kern w:val="0"/>
          <w:szCs w:val="21"/>
          <w:highlight w:val="none"/>
        </w:rPr>
        <w:t>）</w:t>
      </w:r>
    </w:p>
    <w:p w14:paraId="12939532">
      <w:pPr>
        <w:tabs>
          <w:tab w:val="left" w:pos="6825"/>
        </w:tabs>
        <w:autoSpaceDE w:val="0"/>
        <w:autoSpaceDN w:val="0"/>
        <w:adjustRightInd w:val="0"/>
        <w:snapToGrid w:val="0"/>
        <w:spacing w:line="480" w:lineRule="auto"/>
        <w:ind w:firstLine="420" w:firstLineChars="200"/>
        <w:jc w:val="left"/>
        <w:rPr>
          <w:rFonts w:hint="eastAsia" w:ascii="宋体" w:hAnsi="宋体"/>
          <w:color w:val="auto"/>
          <w:w w:val="200"/>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14:paraId="765D8B6C">
      <w:pPr>
        <w:tabs>
          <w:tab w:val="left" w:pos="6825"/>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u w:val="single"/>
        </w:rPr>
      </w:pPr>
      <w:r>
        <w:rPr>
          <w:rFonts w:hint="eastAsia" w:ascii="宋体" w:hAnsi="宋体"/>
          <w:color w:val="auto"/>
          <w:kern w:val="0"/>
          <w:szCs w:val="21"/>
          <w:highlight w:val="none"/>
        </w:rPr>
        <w:t>单位电话（座机）：</w:t>
      </w:r>
      <w:r>
        <w:rPr>
          <w:rFonts w:hint="eastAsia" w:ascii="宋体" w:hAnsi="宋体"/>
          <w:color w:val="auto"/>
          <w:kern w:val="0"/>
          <w:szCs w:val="21"/>
          <w:highlight w:val="none"/>
          <w:u w:val="single"/>
        </w:rPr>
        <w:t xml:space="preserve">                              </w:t>
      </w:r>
    </w:p>
    <w:p w14:paraId="239CC81E">
      <w:pPr>
        <w:tabs>
          <w:tab w:val="left" w:pos="5260"/>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 xml:space="preserve">委托代理人电话（手机）：                                          </w:t>
      </w:r>
    </w:p>
    <w:p w14:paraId="11A4C54B">
      <w:pPr>
        <w:autoSpaceDE w:val="0"/>
        <w:autoSpaceDN w:val="0"/>
        <w:adjustRightInd w:val="0"/>
        <w:snapToGrid w:val="0"/>
        <w:spacing w:line="480" w:lineRule="auto"/>
        <w:ind w:firstLine="810" w:firstLineChars="386"/>
        <w:jc w:val="left"/>
        <w:rPr>
          <w:rFonts w:hint="eastAsia" w:ascii="宋体" w:hAnsi="宋体"/>
          <w:color w:val="auto"/>
          <w:kern w:val="0"/>
          <w:szCs w:val="21"/>
          <w:highlight w:val="none"/>
        </w:rPr>
      </w:pPr>
      <w:r>
        <w:rPr>
          <w:rFonts w:hint="eastAsia" w:ascii="宋体" w:hAnsi="宋体"/>
          <w:color w:val="auto"/>
          <w:kern w:val="0"/>
          <w:szCs w:val="21"/>
          <w:highlight w:val="none"/>
        </w:rPr>
        <w:t>附：法定代表人和委托代理人身份证明扫描件（双面）</w:t>
      </w:r>
    </w:p>
    <w:p w14:paraId="002634AB">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22E60E37">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385D47FE">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1F187B1C">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2CA9634F">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1DAB0FC4">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4C756D77">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42D48366">
      <w:pPr>
        <w:tabs>
          <w:tab w:val="left" w:pos="6825"/>
        </w:tabs>
        <w:autoSpaceDE w:val="0"/>
        <w:autoSpaceDN w:val="0"/>
        <w:adjustRightInd w:val="0"/>
        <w:snapToGrid w:val="0"/>
        <w:spacing w:line="480" w:lineRule="auto"/>
        <w:ind w:firstLine="420" w:firstLineChars="200"/>
        <w:jc w:val="left"/>
        <w:rPr>
          <w:rFonts w:ascii="宋体" w:hAnsi="宋体"/>
          <w:color w:val="auto"/>
          <w:kern w:val="0"/>
          <w:szCs w:val="21"/>
          <w:highlight w:val="none"/>
        </w:rPr>
      </w:pPr>
    </w:p>
    <w:p w14:paraId="1C6FD60C">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14:paraId="766238B8">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kern w:val="0"/>
          <w:szCs w:val="21"/>
          <w:highlight w:val="none"/>
        </w:rPr>
      </w:pPr>
    </w:p>
    <w:p w14:paraId="353D70D3">
      <w:pPr>
        <w:tabs>
          <w:tab w:val="left" w:pos="5760"/>
        </w:tabs>
        <w:autoSpaceDE w:val="0"/>
        <w:autoSpaceDN w:val="0"/>
        <w:adjustRightInd w:val="0"/>
        <w:spacing w:line="360" w:lineRule="auto"/>
        <w:ind w:firstLine="420" w:firstLineChars="200"/>
        <w:rPr>
          <w:rFonts w:hint="eastAsia" w:ascii="宋体" w:hAnsi="宋体"/>
          <w:color w:val="auto"/>
          <w:kern w:val="0"/>
          <w:highlight w:val="none"/>
        </w:rPr>
      </w:pPr>
    </w:p>
    <w:p w14:paraId="656B5086">
      <w:pPr>
        <w:tabs>
          <w:tab w:val="left" w:pos="1680"/>
          <w:tab w:val="left" w:pos="4215"/>
          <w:tab w:val="left" w:pos="4305"/>
          <w:tab w:val="left" w:pos="8000"/>
        </w:tabs>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14:paraId="66CB5349">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kern w:val="0"/>
          <w:szCs w:val="21"/>
          <w:highlight w:val="none"/>
        </w:rPr>
        <w:t>2.</w:t>
      </w:r>
      <w:r>
        <w:rPr>
          <w:rFonts w:hint="eastAsia" w:ascii="宋体" w:hAnsi="宋体"/>
          <w:color w:val="auto"/>
          <w:highlight w:val="none"/>
        </w:rPr>
        <w:t>授权委托书</w:t>
      </w:r>
      <w:r>
        <w:rPr>
          <w:rFonts w:ascii="宋体" w:hAnsi="宋体"/>
          <w:color w:val="auto"/>
          <w:highlight w:val="none"/>
        </w:rPr>
        <w:t>需按上述格式填写完整，不可缺少内容。在此基础上增加内容的不影响其有效性。</w:t>
      </w:r>
    </w:p>
    <w:p w14:paraId="10314AEB">
      <w:pPr>
        <w:spacing w:line="360" w:lineRule="auto"/>
        <w:ind w:firstLine="420" w:firstLineChars="200"/>
        <w:rPr>
          <w:rFonts w:ascii="宋体" w:hAnsi="宋体"/>
          <w:color w:val="auto"/>
          <w:highlight w:val="none"/>
        </w:rPr>
      </w:pPr>
      <w:r>
        <w:rPr>
          <w:rFonts w:ascii="宋体" w:hAnsi="宋体"/>
          <w:color w:val="auto"/>
          <w:highlight w:val="none"/>
        </w:rPr>
        <w:br w:type="page"/>
      </w:r>
    </w:p>
    <w:p w14:paraId="581A47D5">
      <w:pPr>
        <w:pStyle w:val="5"/>
        <w:spacing w:before="0" w:after="0" w:line="240" w:lineRule="auto"/>
        <w:jc w:val="center"/>
        <w:rPr>
          <w:rFonts w:hint="eastAsia" w:ascii="宋体" w:hAnsi="宋体"/>
          <w:b w:val="0"/>
          <w:bCs w:val="0"/>
          <w:color w:val="auto"/>
          <w:highlight w:val="none"/>
        </w:rPr>
      </w:pPr>
      <w:bookmarkStart w:id="2278" w:name="_Toc287620817"/>
      <w:bookmarkStart w:id="2279" w:name="_Toc277082646"/>
      <w:bookmarkStart w:id="2280" w:name="_Toc287607870"/>
      <w:bookmarkStart w:id="2281" w:name="_Toc224103498"/>
      <w:bookmarkStart w:id="2282" w:name="_Toc57820651"/>
      <w:bookmarkStart w:id="2283" w:name="_Toc430530533"/>
      <w:r>
        <w:rPr>
          <w:rFonts w:ascii="宋体" w:hAnsi="宋体"/>
          <w:b w:val="0"/>
          <w:bCs w:val="0"/>
          <w:color w:val="auto"/>
          <w:highlight w:val="none"/>
        </w:rPr>
        <w:t>（四）</w:t>
      </w:r>
      <w:bookmarkEnd w:id="2278"/>
      <w:bookmarkEnd w:id="2279"/>
      <w:bookmarkEnd w:id="2280"/>
      <w:bookmarkEnd w:id="2281"/>
      <w:bookmarkStart w:id="2284" w:name="_Toc287607871"/>
      <w:bookmarkStart w:id="2285" w:name="_Toc287620818"/>
      <w:bookmarkStart w:id="2286" w:name="_Toc277082647"/>
      <w:bookmarkStart w:id="2287" w:name="_Toc224103499"/>
      <w:r>
        <w:rPr>
          <w:rFonts w:hint="eastAsia" w:ascii="宋体" w:hAnsi="宋体"/>
          <w:b w:val="0"/>
          <w:bCs w:val="0"/>
          <w:color w:val="auto"/>
          <w:highlight w:val="none"/>
        </w:rPr>
        <w:t>低价风险担保缴纳承诺书</w:t>
      </w:r>
      <w:bookmarkEnd w:id="2282"/>
    </w:p>
    <w:p w14:paraId="5AEB0AEB">
      <w:pPr>
        <w:autoSpaceDE w:val="0"/>
        <w:autoSpaceDN w:val="0"/>
        <w:adjustRightInd w:val="0"/>
        <w:snapToGrid w:val="0"/>
        <w:spacing w:line="360" w:lineRule="auto"/>
        <w:jc w:val="center"/>
        <w:rPr>
          <w:rFonts w:ascii="宋体" w:hAnsi="宋体"/>
          <w:snapToGrid w:val="0"/>
          <w:color w:val="auto"/>
          <w:kern w:val="0"/>
          <w:sz w:val="32"/>
          <w:szCs w:val="32"/>
          <w:highlight w:val="none"/>
        </w:rPr>
      </w:pPr>
    </w:p>
    <w:p w14:paraId="3AF2DCB4">
      <w:pPr>
        <w:autoSpaceDE w:val="0"/>
        <w:autoSpaceDN w:val="0"/>
        <w:adjustRightInd w:val="0"/>
        <w:snapToGrid w:val="0"/>
        <w:spacing w:line="360" w:lineRule="auto"/>
        <w:jc w:val="center"/>
        <w:rPr>
          <w:rFonts w:hint="eastAsia" w:ascii="宋体" w:hAnsi="宋体"/>
          <w:snapToGrid w:val="0"/>
          <w:color w:val="auto"/>
          <w:kern w:val="0"/>
          <w:sz w:val="32"/>
          <w:szCs w:val="32"/>
          <w:highlight w:val="none"/>
        </w:rPr>
      </w:pPr>
      <w:r>
        <w:rPr>
          <w:rFonts w:hint="eastAsia" w:ascii="宋体" w:hAnsi="宋体"/>
          <w:snapToGrid w:val="0"/>
          <w:color w:val="auto"/>
          <w:kern w:val="0"/>
          <w:sz w:val="32"/>
          <w:szCs w:val="32"/>
          <w:highlight w:val="none"/>
        </w:rPr>
        <w:t>（投标报价低于招标项目最高限价的85%时采用）</w:t>
      </w:r>
    </w:p>
    <w:p w14:paraId="0C5F5DDB">
      <w:pPr>
        <w:autoSpaceDE w:val="0"/>
        <w:autoSpaceDN w:val="0"/>
        <w:adjustRightInd w:val="0"/>
        <w:snapToGrid w:val="0"/>
        <w:spacing w:line="360" w:lineRule="auto"/>
        <w:jc w:val="center"/>
        <w:rPr>
          <w:rFonts w:ascii="宋体" w:hAnsi="宋体"/>
          <w:snapToGrid w:val="0"/>
          <w:color w:val="auto"/>
          <w:kern w:val="0"/>
          <w:sz w:val="32"/>
          <w:szCs w:val="32"/>
          <w:highlight w:val="none"/>
        </w:rPr>
      </w:pPr>
    </w:p>
    <w:p w14:paraId="684AA43E">
      <w:pPr>
        <w:autoSpaceDE w:val="0"/>
        <w:autoSpaceDN w:val="0"/>
        <w:adjustRightInd w:val="0"/>
        <w:snapToGrid w:val="0"/>
        <w:spacing w:line="360" w:lineRule="auto"/>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rPr>
        <w:t xml:space="preserve">        （招标人名称）</w:t>
      </w:r>
      <w:r>
        <w:rPr>
          <w:rFonts w:hint="eastAsia" w:ascii="宋体" w:hAnsi="宋体" w:cs="宋体"/>
          <w:snapToGrid w:val="0"/>
          <w:color w:val="auto"/>
          <w:kern w:val="0"/>
          <w:szCs w:val="21"/>
          <w:highlight w:val="none"/>
        </w:rPr>
        <w:t>：</w:t>
      </w:r>
    </w:p>
    <w:p w14:paraId="54960655">
      <w:pPr>
        <w:autoSpaceDE w:val="0"/>
        <w:autoSpaceDN w:val="0"/>
        <w:adjustRightInd w:val="0"/>
        <w:snapToGrid w:val="0"/>
        <w:spacing w:line="360" w:lineRule="auto"/>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我公司</w:t>
      </w:r>
      <w:r>
        <w:rPr>
          <w:rFonts w:hint="eastAsia" w:ascii="宋体" w:hAnsi="宋体" w:cs="宋体"/>
          <w:snapToGrid w:val="0"/>
          <w:color w:val="auto"/>
          <w:kern w:val="0"/>
          <w:szCs w:val="21"/>
          <w:highlight w:val="none"/>
          <w:u w:val="single"/>
        </w:rPr>
        <w:t xml:space="preserve">        （投标人名称）</w:t>
      </w:r>
      <w:r>
        <w:rPr>
          <w:rFonts w:hint="eastAsia" w:ascii="宋体" w:hAnsi="宋体" w:cs="宋体"/>
          <w:snapToGrid w:val="0"/>
          <w:color w:val="auto"/>
          <w:kern w:val="0"/>
          <w:szCs w:val="21"/>
          <w:highlight w:val="none"/>
        </w:rPr>
        <w:t>参加了你公司</w:t>
      </w:r>
      <w:r>
        <w:rPr>
          <w:rFonts w:hint="eastAsia" w:ascii="宋体" w:hAnsi="宋体" w:cs="宋体"/>
          <w:snapToGrid w:val="0"/>
          <w:color w:val="auto"/>
          <w:kern w:val="0"/>
          <w:szCs w:val="21"/>
          <w:highlight w:val="none"/>
          <w:u w:val="single"/>
        </w:rPr>
        <w:t xml:space="preserve">        （项目名称）</w:t>
      </w:r>
      <w:r>
        <w:rPr>
          <w:rFonts w:hint="eastAsia" w:ascii="宋体" w:hAnsi="宋体" w:cs="宋体"/>
          <w:snapToGrid w:val="0"/>
          <w:color w:val="auto"/>
          <w:kern w:val="0"/>
          <w:szCs w:val="21"/>
          <w:highlight w:val="none"/>
        </w:rPr>
        <w:t>的投标。我公司投标报价低于最高限价的85%，若获得中标资格，我公司承诺按照招标文件的规定递交低价风险担保。否则，我公司愿承担招标文件中约定的，因未按规定递交低价风险担保的相应责任。</w:t>
      </w:r>
    </w:p>
    <w:p w14:paraId="7C3CCCC2">
      <w:pPr>
        <w:autoSpaceDE w:val="0"/>
        <w:autoSpaceDN w:val="0"/>
        <w:adjustRightInd w:val="0"/>
        <w:snapToGrid w:val="0"/>
        <w:spacing w:line="360" w:lineRule="auto"/>
        <w:ind w:firstLine="640"/>
        <w:rPr>
          <w:rFonts w:ascii="宋体" w:hAnsi="宋体" w:cs="宋体"/>
          <w:snapToGrid w:val="0"/>
          <w:color w:val="auto"/>
          <w:kern w:val="0"/>
          <w:szCs w:val="21"/>
          <w:highlight w:val="none"/>
        </w:rPr>
      </w:pPr>
    </w:p>
    <w:p w14:paraId="71DB1831">
      <w:pPr>
        <w:autoSpaceDE w:val="0"/>
        <w:autoSpaceDN w:val="0"/>
        <w:adjustRightInd w:val="0"/>
        <w:snapToGrid w:val="0"/>
        <w:spacing w:line="360" w:lineRule="auto"/>
        <w:ind w:firstLine="64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特此承诺。</w:t>
      </w:r>
    </w:p>
    <w:p w14:paraId="7D15B77F">
      <w:pPr>
        <w:autoSpaceDE w:val="0"/>
        <w:autoSpaceDN w:val="0"/>
        <w:adjustRightInd w:val="0"/>
        <w:snapToGrid w:val="0"/>
        <w:spacing w:line="360" w:lineRule="auto"/>
        <w:ind w:firstLine="640"/>
        <w:rPr>
          <w:rFonts w:ascii="宋体" w:hAnsi="宋体" w:cs="宋体"/>
          <w:snapToGrid w:val="0"/>
          <w:color w:val="auto"/>
          <w:kern w:val="0"/>
          <w:sz w:val="32"/>
          <w:szCs w:val="32"/>
          <w:highlight w:val="none"/>
        </w:rPr>
      </w:pPr>
    </w:p>
    <w:p w14:paraId="4D5509D0">
      <w:pPr>
        <w:autoSpaceDE w:val="0"/>
        <w:autoSpaceDN w:val="0"/>
        <w:adjustRightInd w:val="0"/>
        <w:snapToGrid w:val="0"/>
        <w:spacing w:line="360" w:lineRule="auto"/>
        <w:ind w:firstLine="640"/>
        <w:rPr>
          <w:rFonts w:ascii="宋体" w:hAnsi="宋体" w:cs="宋体"/>
          <w:snapToGrid w:val="0"/>
          <w:color w:val="auto"/>
          <w:kern w:val="0"/>
          <w:sz w:val="32"/>
          <w:szCs w:val="32"/>
          <w:highlight w:val="none"/>
        </w:rPr>
      </w:pPr>
    </w:p>
    <w:p w14:paraId="7319A121">
      <w:pPr>
        <w:autoSpaceDE w:val="0"/>
        <w:autoSpaceDN w:val="0"/>
        <w:adjustRightInd w:val="0"/>
        <w:snapToGrid w:val="0"/>
        <w:spacing w:line="360" w:lineRule="auto"/>
        <w:ind w:firstLine="640"/>
        <w:rPr>
          <w:rFonts w:hint="eastAsia" w:ascii="宋体" w:hAnsi="宋体" w:cs="宋体"/>
          <w:snapToGrid w:val="0"/>
          <w:color w:val="auto"/>
          <w:kern w:val="0"/>
          <w:sz w:val="32"/>
          <w:szCs w:val="32"/>
          <w:highlight w:val="none"/>
        </w:rPr>
      </w:pPr>
    </w:p>
    <w:p w14:paraId="20D35C0C">
      <w:pPr>
        <w:autoSpaceDE w:val="0"/>
        <w:autoSpaceDN w:val="0"/>
        <w:adjustRightInd w:val="0"/>
        <w:snapToGrid w:val="0"/>
        <w:spacing w:line="360" w:lineRule="auto"/>
        <w:ind w:firstLine="640"/>
        <w:rPr>
          <w:rFonts w:hint="eastAsia" w:ascii="宋体" w:hAnsi="宋体" w:cs="宋体"/>
          <w:snapToGrid w:val="0"/>
          <w:color w:val="auto"/>
          <w:kern w:val="0"/>
          <w:sz w:val="32"/>
          <w:szCs w:val="32"/>
          <w:highlight w:val="none"/>
        </w:rPr>
      </w:pPr>
    </w:p>
    <w:p w14:paraId="4AC57A3C">
      <w:pPr>
        <w:autoSpaceDE w:val="0"/>
        <w:autoSpaceDN w:val="0"/>
        <w:adjustRightInd w:val="0"/>
        <w:snapToGrid w:val="0"/>
        <w:spacing w:line="360" w:lineRule="auto"/>
        <w:ind w:firstLine="640"/>
        <w:rPr>
          <w:rFonts w:ascii="宋体" w:hAnsi="宋体" w:cs="宋体"/>
          <w:snapToGrid w:val="0"/>
          <w:color w:val="auto"/>
          <w:kern w:val="0"/>
          <w:sz w:val="32"/>
          <w:szCs w:val="32"/>
          <w:highlight w:val="none"/>
        </w:rPr>
      </w:pPr>
    </w:p>
    <w:p w14:paraId="4B488825">
      <w:pPr>
        <w:tabs>
          <w:tab w:val="left" w:pos="4200"/>
          <w:tab w:val="left" w:pos="4620"/>
        </w:tabs>
        <w:autoSpaceDE w:val="0"/>
        <w:autoSpaceDN w:val="0"/>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14:paraId="34EE676C">
      <w:pPr>
        <w:tabs>
          <w:tab w:val="left" w:pos="6300"/>
        </w:tabs>
        <w:autoSpaceDE w:val="0"/>
        <w:autoSpaceDN w:val="0"/>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（签字或盖章）</w:t>
      </w:r>
    </w:p>
    <w:p w14:paraId="5396EB77">
      <w:pPr>
        <w:tabs>
          <w:tab w:val="left" w:pos="7140"/>
          <w:tab w:val="left" w:pos="7560"/>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p>
    <w:p w14:paraId="7D0A6749">
      <w:pPr>
        <w:tabs>
          <w:tab w:val="left" w:pos="3840"/>
          <w:tab w:val="left" w:pos="4780"/>
          <w:tab w:val="left" w:pos="5720"/>
        </w:tabs>
        <w:autoSpaceDE w:val="0"/>
        <w:autoSpaceDN w:val="0"/>
        <w:adjustRightInd w:val="0"/>
        <w:snapToGrid w:val="0"/>
        <w:spacing w:before="156" w:beforeLines="50" w:line="360" w:lineRule="auto"/>
        <w:ind w:right="420" w:firstLine="5565" w:firstLineChars="2650"/>
        <w:jc w:val="right"/>
        <w:rPr>
          <w:rFonts w:ascii="宋体" w:hAnsi="宋体"/>
          <w:snapToGrid w:val="0"/>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7D3C9E4E">
      <w:pPr>
        <w:autoSpaceDE w:val="0"/>
        <w:autoSpaceDN w:val="0"/>
        <w:adjustRightInd w:val="0"/>
        <w:snapToGrid w:val="0"/>
        <w:spacing w:line="360" w:lineRule="auto"/>
        <w:ind w:firstLine="640"/>
        <w:rPr>
          <w:rFonts w:ascii="宋体" w:hAnsi="宋体" w:cs="宋体"/>
          <w:snapToGrid w:val="0"/>
          <w:color w:val="auto"/>
          <w:kern w:val="0"/>
          <w:sz w:val="32"/>
          <w:szCs w:val="32"/>
          <w:highlight w:val="none"/>
        </w:rPr>
      </w:pPr>
    </w:p>
    <w:p w14:paraId="3D9A633C">
      <w:pPr>
        <w:autoSpaceDE w:val="0"/>
        <w:autoSpaceDN w:val="0"/>
        <w:adjustRightInd w:val="0"/>
        <w:snapToGrid w:val="0"/>
        <w:spacing w:line="360" w:lineRule="auto"/>
        <w:jc w:val="center"/>
        <w:rPr>
          <w:rFonts w:ascii="宋体" w:hAnsi="宋体"/>
          <w:snapToGrid w:val="0"/>
          <w:color w:val="auto"/>
          <w:kern w:val="0"/>
          <w:sz w:val="32"/>
          <w:szCs w:val="32"/>
          <w:highlight w:val="none"/>
        </w:rPr>
      </w:pPr>
    </w:p>
    <w:p w14:paraId="27AA840B">
      <w:pPr>
        <w:pStyle w:val="2"/>
        <w:rPr>
          <w:rFonts w:ascii="宋体" w:hAnsi="宋体"/>
          <w:snapToGrid w:val="0"/>
          <w:color w:val="auto"/>
          <w:kern w:val="0"/>
          <w:sz w:val="32"/>
          <w:szCs w:val="32"/>
          <w:highlight w:val="none"/>
        </w:rPr>
      </w:pPr>
      <w:r>
        <w:rPr>
          <w:rFonts w:ascii="宋体" w:hAnsi="宋体"/>
          <w:snapToGrid w:val="0"/>
          <w:color w:val="auto"/>
          <w:kern w:val="0"/>
          <w:sz w:val="32"/>
          <w:szCs w:val="32"/>
          <w:highlight w:val="none"/>
        </w:rPr>
        <w:br w:type="page"/>
      </w:r>
    </w:p>
    <w:p w14:paraId="2A36CCF0">
      <w:pPr>
        <w:pStyle w:val="5"/>
        <w:spacing w:before="0" w:after="0" w:line="240" w:lineRule="auto"/>
        <w:jc w:val="center"/>
        <w:rPr>
          <w:rFonts w:ascii="宋体" w:hAnsi="宋体"/>
          <w:b w:val="0"/>
          <w:bCs w:val="0"/>
          <w:color w:val="auto"/>
          <w:highlight w:val="none"/>
        </w:rPr>
      </w:pPr>
      <w:bookmarkStart w:id="2288" w:name="_Toc57820652"/>
      <w:r>
        <w:rPr>
          <w:rFonts w:hint="eastAsia" w:ascii="宋体" w:hAnsi="宋体"/>
          <w:b w:val="0"/>
          <w:bCs w:val="0"/>
          <w:color w:val="auto"/>
          <w:highlight w:val="none"/>
        </w:rPr>
        <w:t>（五）</w:t>
      </w:r>
      <w:r>
        <w:rPr>
          <w:rFonts w:ascii="宋体" w:hAnsi="宋体"/>
          <w:b w:val="0"/>
          <w:bCs w:val="0"/>
          <w:color w:val="auto"/>
          <w:highlight w:val="none"/>
        </w:rPr>
        <w:t>联合体协议书</w:t>
      </w:r>
      <w:bookmarkEnd w:id="2283"/>
      <w:bookmarkEnd w:id="2284"/>
      <w:bookmarkEnd w:id="2285"/>
      <w:bookmarkEnd w:id="2286"/>
      <w:bookmarkEnd w:id="2287"/>
      <w:r>
        <w:rPr>
          <w:rFonts w:hint="eastAsia" w:ascii="宋体" w:hAnsi="宋体"/>
          <w:b w:val="0"/>
          <w:bCs w:val="0"/>
          <w:color w:val="auto"/>
          <w:highlight w:val="none"/>
        </w:rPr>
        <w:t>（如有）</w:t>
      </w:r>
      <w:bookmarkEnd w:id="2288"/>
    </w:p>
    <w:p w14:paraId="23C5F612">
      <w:pPr>
        <w:autoSpaceDE w:val="0"/>
        <w:autoSpaceDN w:val="0"/>
        <w:adjustRightInd w:val="0"/>
        <w:snapToGrid w:val="0"/>
        <w:spacing w:line="5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（所有成员单位名称）</w:t>
      </w:r>
      <w:r>
        <w:rPr>
          <w:rFonts w:ascii="宋体" w:hAnsi="宋体"/>
          <w:snapToGrid w:val="0"/>
          <w:color w:val="auto"/>
          <w:kern w:val="0"/>
          <w:szCs w:val="21"/>
          <w:highlight w:val="none"/>
        </w:rPr>
        <w:t>自愿组成联合体，共同参加</w:t>
      </w: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投标。现就联合体投标事宜订立如下协议。</w:t>
      </w:r>
    </w:p>
    <w:p w14:paraId="0CC06DEE">
      <w:pPr>
        <w:tabs>
          <w:tab w:val="left" w:pos="3465"/>
          <w:tab w:val="left" w:pos="4200"/>
        </w:tabs>
        <w:autoSpaceDE w:val="0"/>
        <w:autoSpaceDN w:val="0"/>
        <w:adjustRightInd w:val="0"/>
        <w:snapToGrid w:val="0"/>
        <w:spacing w:line="500" w:lineRule="exact"/>
        <w:ind w:firstLine="405" w:firstLineChars="193"/>
        <w:jc w:val="left"/>
        <w:rPr>
          <w:rFonts w:ascii="宋体" w:hAnsi="宋体"/>
          <w:snapToGrid w:val="0"/>
          <w:color w:val="auto"/>
          <w:kern w:val="0"/>
          <w:szCs w:val="21"/>
          <w:highlight w:val="none"/>
        </w:rPr>
      </w:pPr>
      <w:r>
        <w:rPr>
          <w:rFonts w:ascii="宋体" w:hAnsi="宋体"/>
          <w:snapToGrid w:val="0"/>
          <w:color w:val="auto"/>
          <w:kern w:val="0"/>
          <w:szCs w:val="21"/>
          <w:highlight w:val="none"/>
        </w:rPr>
        <w:t>1.</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（某成员单位名称）</w:t>
      </w:r>
      <w:r>
        <w:rPr>
          <w:rFonts w:hint="eastAsia" w:ascii="宋体" w:hAnsi="宋体"/>
          <w:snapToGrid w:val="0"/>
          <w:color w:val="auto"/>
          <w:kern w:val="0"/>
          <w:szCs w:val="21"/>
          <w:highlight w:val="none"/>
        </w:rPr>
        <w:t>为</w:t>
      </w:r>
      <w:r>
        <w:rPr>
          <w:rFonts w:hint="eastAsia"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（项目名称）</w:t>
      </w:r>
      <w:r>
        <w:rPr>
          <w:rFonts w:ascii="宋体" w:hAnsi="宋体"/>
          <w:snapToGrid w:val="0"/>
          <w:color w:val="auto"/>
          <w:kern w:val="0"/>
          <w:szCs w:val="21"/>
          <w:highlight w:val="none"/>
        </w:rPr>
        <w:t>联合体牵头人。由联合体牵头人单位递交投标保证金。</w:t>
      </w:r>
    </w:p>
    <w:p w14:paraId="46F41428">
      <w:pPr>
        <w:autoSpaceDE w:val="0"/>
        <w:autoSpaceDN w:val="0"/>
        <w:adjustRightInd w:val="0"/>
        <w:snapToGrid w:val="0"/>
        <w:spacing w:line="500" w:lineRule="exact"/>
        <w:ind w:firstLine="420"/>
        <w:rPr>
          <w:rFonts w:ascii="宋体" w:hAnsi="宋体"/>
          <w:snapToGrid w:val="0"/>
          <w:color w:val="auto"/>
          <w:kern w:val="0"/>
          <w:szCs w:val="21"/>
          <w:highlight w:val="none"/>
        </w:rPr>
      </w:pPr>
      <w:r>
        <w:rPr>
          <w:rFonts w:ascii="宋体" w:hAnsi="宋体"/>
          <w:snapToGrid w:val="0"/>
          <w:color w:val="auto"/>
          <w:kern w:val="0"/>
          <w:szCs w:val="21"/>
          <w:highlight w:val="none"/>
        </w:rPr>
        <w:t>2.联合体牵头人合法代表联合体各成员负责本招标项目投标文件编制和合同谈判活动， 并代表联合体提交和接收相关的资料、信息及指示，并处理与之有关的一切事务，负责合同 实施阶段的主办、组织和协调工作。</w:t>
      </w:r>
    </w:p>
    <w:p w14:paraId="79F398DA">
      <w:pPr>
        <w:autoSpaceDE w:val="0"/>
        <w:autoSpaceDN w:val="0"/>
        <w:adjustRightInd w:val="0"/>
        <w:snapToGrid w:val="0"/>
        <w:spacing w:line="500"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3.联合体将严格按照招标文件的各项要求，递交投标文件，履行合同，并对外承担连带责任。</w:t>
      </w:r>
    </w:p>
    <w:p w14:paraId="160FAD38">
      <w:pPr>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4.联合体牵头人代表联合体签署投标文件</w:t>
      </w:r>
      <w:r>
        <w:rPr>
          <w:rFonts w:ascii="宋体" w:hAnsi="宋体"/>
          <w:color w:val="auto"/>
          <w:spacing w:val="-19"/>
          <w:kern w:val="0"/>
          <w:szCs w:val="21"/>
          <w:highlight w:val="none"/>
        </w:rPr>
        <w:t>，</w:t>
      </w:r>
      <w:r>
        <w:rPr>
          <w:rFonts w:ascii="宋体" w:hAnsi="宋体"/>
          <w:color w:val="auto"/>
          <w:kern w:val="0"/>
          <w:szCs w:val="21"/>
          <w:highlight w:val="none"/>
        </w:rPr>
        <w:t>联合体牵头人的所有承诺均认为代表了联合体各成员。</w:t>
      </w:r>
    </w:p>
    <w:p w14:paraId="0123D277">
      <w:pPr>
        <w:tabs>
          <w:tab w:val="left" w:pos="2020"/>
          <w:tab w:val="left" w:pos="4680"/>
          <w:tab w:val="left" w:pos="7640"/>
          <w:tab w:val="left" w:pos="7820"/>
        </w:tabs>
        <w:autoSpaceDE w:val="0"/>
        <w:autoSpaceDN w:val="0"/>
        <w:adjustRightInd w:val="0"/>
        <w:spacing w:line="5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5.联合体各成员单位内部的职责分工如下：</w:t>
      </w:r>
    </w:p>
    <w:p w14:paraId="3929E294">
      <w:pPr>
        <w:tabs>
          <w:tab w:val="left" w:pos="2020"/>
          <w:tab w:val="left" w:pos="4680"/>
          <w:tab w:val="left" w:pos="7640"/>
          <w:tab w:val="left" w:pos="7820"/>
        </w:tabs>
        <w:autoSpaceDE w:val="0"/>
        <w:autoSpaceDN w:val="0"/>
        <w:adjustRightInd w:val="0"/>
        <w:spacing w:line="500" w:lineRule="exact"/>
        <w:ind w:firstLine="416" w:firstLineChars="200"/>
        <w:jc w:val="left"/>
        <w:rPr>
          <w:rFonts w:ascii="宋体" w:hAnsi="宋体"/>
          <w:color w:val="auto"/>
          <w:spacing w:val="-1"/>
          <w:kern w:val="0"/>
          <w:szCs w:val="21"/>
          <w:highlight w:val="none"/>
        </w:rPr>
      </w:pPr>
      <w:r>
        <w:rPr>
          <w:rFonts w:ascii="宋体" w:hAnsi="宋体"/>
          <w:color w:val="auto"/>
          <w:spacing w:val="-1"/>
          <w:kern w:val="0"/>
          <w:szCs w:val="21"/>
          <w:highlight w:val="none"/>
          <w:u w:val="single"/>
        </w:rPr>
        <w:t>（牵头人名称</w:t>
      </w:r>
      <w:r>
        <w:rPr>
          <w:rFonts w:hint="eastAsia" w:ascii="宋体" w:hAnsi="宋体"/>
          <w:color w:val="auto"/>
          <w:spacing w:val="-1"/>
          <w:kern w:val="0"/>
          <w:szCs w:val="21"/>
          <w:highlight w:val="none"/>
          <w:u w:val="single"/>
        </w:rPr>
        <w:t>）</w:t>
      </w:r>
      <w:r>
        <w:rPr>
          <w:rFonts w:ascii="宋体" w:hAnsi="宋体"/>
          <w:color w:val="auto"/>
          <w:spacing w:val="-1"/>
          <w:kern w:val="0"/>
          <w:szCs w:val="21"/>
          <w:highlight w:val="none"/>
        </w:rPr>
        <w:t>承担</w:t>
      </w:r>
      <w:r>
        <w:rPr>
          <w:rFonts w:ascii="宋体" w:hAnsi="宋体"/>
          <w:color w:val="auto"/>
          <w:spacing w:val="-1"/>
          <w:kern w:val="0"/>
          <w:szCs w:val="21"/>
          <w:highlight w:val="none"/>
          <w:u w:val="single"/>
        </w:rPr>
        <w:tab/>
      </w:r>
      <w:r>
        <w:rPr>
          <w:rFonts w:ascii="宋体" w:hAnsi="宋体"/>
          <w:color w:val="auto"/>
          <w:spacing w:val="-1"/>
          <w:kern w:val="0"/>
          <w:szCs w:val="21"/>
          <w:highlight w:val="none"/>
        </w:rPr>
        <w:t>；</w:t>
      </w:r>
    </w:p>
    <w:p w14:paraId="0FAD9759">
      <w:pPr>
        <w:tabs>
          <w:tab w:val="left" w:pos="2020"/>
          <w:tab w:val="left" w:pos="4680"/>
          <w:tab w:val="left" w:pos="7640"/>
          <w:tab w:val="left" w:pos="7820"/>
        </w:tabs>
        <w:autoSpaceDE w:val="0"/>
        <w:autoSpaceDN w:val="0"/>
        <w:adjustRightInd w:val="0"/>
        <w:spacing w:line="500" w:lineRule="exact"/>
        <w:ind w:firstLine="428" w:firstLineChars="200"/>
        <w:jc w:val="left"/>
        <w:rPr>
          <w:rFonts w:ascii="宋体" w:hAnsi="宋体"/>
          <w:color w:val="auto"/>
          <w:spacing w:val="-1"/>
          <w:kern w:val="0"/>
          <w:szCs w:val="21"/>
          <w:highlight w:val="none"/>
        </w:rPr>
      </w:pPr>
      <w:r>
        <w:rPr>
          <w:rFonts w:ascii="宋体" w:hAnsi="宋体"/>
          <w:color w:val="auto"/>
          <w:spacing w:val="2"/>
          <w:kern w:val="0"/>
          <w:szCs w:val="21"/>
          <w:highlight w:val="none"/>
          <w:u w:val="single"/>
        </w:rPr>
        <w:t>（</w:t>
      </w:r>
      <w:r>
        <w:rPr>
          <w:rFonts w:ascii="宋体" w:hAnsi="宋体"/>
          <w:color w:val="auto"/>
          <w:kern w:val="0"/>
          <w:szCs w:val="21"/>
          <w:highlight w:val="none"/>
          <w:u w:val="single"/>
        </w:rPr>
        <w:t>成员一名称</w:t>
      </w:r>
      <w:r>
        <w:rPr>
          <w:rFonts w:hint="eastAsia" w:ascii="宋体" w:hAnsi="宋体"/>
          <w:color w:val="auto"/>
          <w:spacing w:val="-1"/>
          <w:kern w:val="0"/>
          <w:szCs w:val="21"/>
          <w:highlight w:val="none"/>
          <w:u w:val="single"/>
        </w:rPr>
        <w:t>）</w:t>
      </w:r>
      <w:r>
        <w:rPr>
          <w:rFonts w:ascii="宋体" w:hAnsi="宋体"/>
          <w:color w:val="auto"/>
          <w:kern w:val="0"/>
          <w:szCs w:val="21"/>
          <w:highlight w:val="none"/>
        </w:rPr>
        <w:t>承担</w:t>
      </w:r>
      <w:r>
        <w:rPr>
          <w:rFonts w:ascii="宋体" w:hAnsi="宋体"/>
          <w:color w:val="auto"/>
          <w:kern w:val="0"/>
          <w:szCs w:val="21"/>
          <w:highlight w:val="none"/>
          <w:u w:val="single"/>
        </w:rPr>
        <w:tab/>
      </w:r>
      <w:r>
        <w:rPr>
          <w:rFonts w:ascii="宋体" w:hAnsi="宋体"/>
          <w:color w:val="auto"/>
          <w:spacing w:val="-1"/>
          <w:kern w:val="0"/>
          <w:szCs w:val="21"/>
          <w:highlight w:val="none"/>
        </w:rPr>
        <w:t>；</w:t>
      </w:r>
    </w:p>
    <w:p w14:paraId="0E507430">
      <w:pPr>
        <w:tabs>
          <w:tab w:val="left" w:pos="2020"/>
          <w:tab w:val="left" w:pos="4680"/>
          <w:tab w:val="left" w:pos="7640"/>
          <w:tab w:val="left" w:pos="782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w:t>
      </w:r>
    </w:p>
    <w:p w14:paraId="39D0801F">
      <w:pPr>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6</w:t>
      </w:r>
      <w:r>
        <w:rPr>
          <w:rFonts w:ascii="宋体" w:hAnsi="宋体"/>
          <w:color w:val="auto"/>
          <w:spacing w:val="7"/>
          <w:kern w:val="0"/>
          <w:szCs w:val="21"/>
          <w:highlight w:val="none"/>
        </w:rPr>
        <w:t>.投标工作和联合体</w:t>
      </w:r>
      <w:r>
        <w:rPr>
          <w:rFonts w:ascii="宋体" w:hAnsi="宋体"/>
          <w:color w:val="auto"/>
          <w:spacing w:val="5"/>
          <w:kern w:val="0"/>
          <w:szCs w:val="21"/>
          <w:highlight w:val="none"/>
        </w:rPr>
        <w:t>在</w:t>
      </w:r>
      <w:r>
        <w:rPr>
          <w:rFonts w:ascii="宋体" w:hAnsi="宋体"/>
          <w:color w:val="auto"/>
          <w:spacing w:val="7"/>
          <w:kern w:val="0"/>
          <w:szCs w:val="21"/>
          <w:highlight w:val="none"/>
        </w:rPr>
        <w:t>中标后工程实施过</w:t>
      </w:r>
      <w:r>
        <w:rPr>
          <w:rFonts w:ascii="宋体" w:hAnsi="宋体"/>
          <w:color w:val="auto"/>
          <w:spacing w:val="5"/>
          <w:kern w:val="0"/>
          <w:szCs w:val="21"/>
          <w:highlight w:val="none"/>
        </w:rPr>
        <w:t>程</w:t>
      </w:r>
      <w:r>
        <w:rPr>
          <w:rFonts w:ascii="宋体" w:hAnsi="宋体"/>
          <w:color w:val="auto"/>
          <w:spacing w:val="7"/>
          <w:kern w:val="0"/>
          <w:szCs w:val="21"/>
          <w:highlight w:val="none"/>
        </w:rPr>
        <w:t>中的有关费用按各</w:t>
      </w:r>
      <w:r>
        <w:rPr>
          <w:rFonts w:ascii="宋体" w:hAnsi="宋体"/>
          <w:color w:val="auto"/>
          <w:spacing w:val="5"/>
          <w:kern w:val="0"/>
          <w:szCs w:val="21"/>
          <w:highlight w:val="none"/>
        </w:rPr>
        <w:t>自</w:t>
      </w:r>
      <w:r>
        <w:rPr>
          <w:rFonts w:ascii="宋体" w:hAnsi="宋体"/>
          <w:color w:val="auto"/>
          <w:spacing w:val="7"/>
          <w:kern w:val="0"/>
          <w:szCs w:val="21"/>
          <w:highlight w:val="none"/>
        </w:rPr>
        <w:t>承担的工作</w:t>
      </w:r>
      <w:r>
        <w:rPr>
          <w:rFonts w:ascii="宋体" w:hAnsi="宋体"/>
          <w:color w:val="auto"/>
          <w:kern w:val="0"/>
          <w:szCs w:val="21"/>
          <w:highlight w:val="none"/>
        </w:rPr>
        <w:t>量分摊。</w:t>
      </w:r>
    </w:p>
    <w:p w14:paraId="2217DFC3">
      <w:pPr>
        <w:tabs>
          <w:tab w:val="left" w:pos="6300"/>
          <w:tab w:val="left" w:pos="8295"/>
        </w:tabs>
        <w:autoSpaceDE w:val="0"/>
        <w:autoSpaceDN w:val="0"/>
        <w:adjustRightInd w:val="0"/>
        <w:snapToGrid w:val="0"/>
        <w:spacing w:line="5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7.本协议书自签署之日起生效，合同履行完毕后自动失效。</w:t>
      </w:r>
    </w:p>
    <w:p w14:paraId="0682314D">
      <w:pPr>
        <w:autoSpaceDE w:val="0"/>
        <w:autoSpaceDN w:val="0"/>
        <w:adjustRightInd w:val="0"/>
        <w:snapToGrid w:val="0"/>
        <w:spacing w:line="500" w:lineRule="exact"/>
        <w:ind w:firstLine="390" w:firstLineChars="186"/>
        <w:jc w:val="left"/>
        <w:rPr>
          <w:rFonts w:ascii="宋体" w:hAnsi="宋体"/>
          <w:snapToGrid w:val="0"/>
          <w:color w:val="auto"/>
          <w:kern w:val="0"/>
          <w:szCs w:val="21"/>
          <w:highlight w:val="none"/>
        </w:rPr>
      </w:pPr>
      <w:r>
        <w:rPr>
          <w:rFonts w:ascii="宋体" w:hAnsi="宋体"/>
          <w:snapToGrid w:val="0"/>
          <w:color w:val="auto"/>
          <w:kern w:val="0"/>
          <w:szCs w:val="21"/>
          <w:highlight w:val="none"/>
        </w:rPr>
        <w:t>8.本协议书一式份，联合体成员和招标人各执一份。</w:t>
      </w:r>
    </w:p>
    <w:p w14:paraId="15B41AB5">
      <w:pPr>
        <w:autoSpaceDE w:val="0"/>
        <w:autoSpaceDN w:val="0"/>
        <w:adjustRightInd w:val="0"/>
        <w:snapToGrid w:val="0"/>
        <w:spacing w:line="500" w:lineRule="exact"/>
        <w:ind w:firstLine="390" w:firstLineChars="186"/>
        <w:jc w:val="left"/>
        <w:rPr>
          <w:rFonts w:ascii="宋体" w:hAnsi="宋体"/>
          <w:snapToGrid w:val="0"/>
          <w:color w:val="auto"/>
          <w:kern w:val="0"/>
          <w:szCs w:val="21"/>
          <w:highlight w:val="none"/>
        </w:rPr>
      </w:pPr>
    </w:p>
    <w:p w14:paraId="64130B67">
      <w:pPr>
        <w:tabs>
          <w:tab w:val="left" w:pos="4840"/>
        </w:tabs>
        <w:autoSpaceDE w:val="0"/>
        <w:autoSpaceDN w:val="0"/>
        <w:adjustRightInd w:val="0"/>
        <w:snapToGrid w:val="0"/>
        <w:spacing w:line="5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牵头人名称：</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（盖单位法人章）</w:t>
      </w:r>
    </w:p>
    <w:p w14:paraId="229C0138">
      <w:pPr>
        <w:tabs>
          <w:tab w:val="left" w:pos="5260"/>
        </w:tabs>
        <w:autoSpaceDE w:val="0"/>
        <w:autoSpaceDN w:val="0"/>
        <w:adjustRightInd w:val="0"/>
        <w:snapToGrid w:val="0"/>
        <w:spacing w:line="5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position w:val="-2"/>
          <w:szCs w:val="21"/>
          <w:highlight w:val="none"/>
        </w:rPr>
        <w:t>法定代表人或其委托代理人：</w:t>
      </w:r>
      <w:r>
        <w:rPr>
          <w:rFonts w:hint="eastAsia" w:ascii="宋体" w:hAnsi="宋体"/>
          <w:snapToGrid w:val="0"/>
          <w:color w:val="auto"/>
          <w:kern w:val="0"/>
          <w:position w:val="-2"/>
          <w:szCs w:val="21"/>
          <w:highlight w:val="none"/>
          <w:u w:val="single"/>
        </w:rPr>
        <w:t xml:space="preserve">                                   </w:t>
      </w:r>
      <w:r>
        <w:rPr>
          <w:rFonts w:ascii="宋体" w:hAnsi="宋体"/>
          <w:snapToGrid w:val="0"/>
          <w:color w:val="auto"/>
          <w:kern w:val="0"/>
          <w:position w:val="-2"/>
          <w:szCs w:val="21"/>
          <w:highlight w:val="none"/>
        </w:rPr>
        <w:t>（</w:t>
      </w:r>
      <w:r>
        <w:rPr>
          <w:rFonts w:ascii="宋体" w:hAnsi="宋体"/>
          <w:snapToGrid w:val="0"/>
          <w:color w:val="auto"/>
          <w:kern w:val="0"/>
          <w:szCs w:val="21"/>
          <w:highlight w:val="none"/>
        </w:rPr>
        <w:t>签字或盖章</w:t>
      </w:r>
      <w:r>
        <w:rPr>
          <w:rFonts w:ascii="宋体" w:hAnsi="宋体"/>
          <w:snapToGrid w:val="0"/>
          <w:color w:val="auto"/>
          <w:kern w:val="0"/>
          <w:position w:val="-2"/>
          <w:szCs w:val="21"/>
          <w:highlight w:val="none"/>
        </w:rPr>
        <w:t>）</w:t>
      </w:r>
    </w:p>
    <w:p w14:paraId="57251A4C">
      <w:pPr>
        <w:tabs>
          <w:tab w:val="left" w:pos="789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成员一名称：</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r>
        <w:rPr>
          <w:rFonts w:ascii="宋体" w:hAnsi="宋体"/>
          <w:color w:val="auto"/>
          <w:kern w:val="0"/>
          <w:szCs w:val="21"/>
          <w:highlight w:val="none"/>
        </w:rPr>
        <w:t>盖单位法人章）</w:t>
      </w:r>
    </w:p>
    <w:p w14:paraId="525DD2D3">
      <w:pPr>
        <w:tabs>
          <w:tab w:val="left" w:pos="774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法定代表人或其委托代理人</w:t>
      </w:r>
      <w:r>
        <w:rPr>
          <w:rFonts w:hint="eastAsia" w:ascii="宋体" w:hAnsi="宋体"/>
          <w:color w:val="auto"/>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spacing w:val="-1"/>
          <w:kern w:val="0"/>
          <w:szCs w:val="21"/>
          <w:highlight w:val="none"/>
        </w:rPr>
        <w:t>（</w:t>
      </w:r>
      <w:r>
        <w:rPr>
          <w:rFonts w:ascii="宋体" w:hAnsi="宋体"/>
          <w:color w:val="auto"/>
          <w:kern w:val="0"/>
          <w:szCs w:val="21"/>
          <w:highlight w:val="none"/>
        </w:rPr>
        <w:t>签字</w:t>
      </w:r>
      <w:r>
        <w:rPr>
          <w:rFonts w:ascii="宋体" w:hAnsi="宋体"/>
          <w:snapToGrid w:val="0"/>
          <w:color w:val="auto"/>
          <w:kern w:val="0"/>
          <w:szCs w:val="21"/>
          <w:highlight w:val="none"/>
        </w:rPr>
        <w:t>或盖章</w:t>
      </w:r>
      <w:r>
        <w:rPr>
          <w:rFonts w:ascii="宋体" w:hAnsi="宋体"/>
          <w:color w:val="auto"/>
          <w:kern w:val="0"/>
          <w:szCs w:val="21"/>
          <w:highlight w:val="none"/>
        </w:rPr>
        <w:t>）</w:t>
      </w:r>
    </w:p>
    <w:p w14:paraId="381608CD">
      <w:pPr>
        <w:tabs>
          <w:tab w:val="left" w:pos="5140"/>
          <w:tab w:val="left" w:pos="6100"/>
          <w:tab w:val="left" w:pos="682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w:t>
      </w:r>
    </w:p>
    <w:p w14:paraId="5138DD82">
      <w:pPr>
        <w:tabs>
          <w:tab w:val="left" w:pos="3840"/>
          <w:tab w:val="left" w:pos="4780"/>
          <w:tab w:val="left" w:pos="5720"/>
        </w:tabs>
        <w:autoSpaceDE w:val="0"/>
        <w:autoSpaceDN w:val="0"/>
        <w:adjustRightInd w:val="0"/>
        <w:snapToGrid w:val="0"/>
        <w:spacing w:before="156" w:beforeLines="50" w:line="500" w:lineRule="exact"/>
        <w:ind w:right="420" w:firstLine="5565" w:firstLineChars="2650"/>
        <w:jc w:val="right"/>
        <w:rPr>
          <w:rFonts w:ascii="宋体" w:hAnsi="宋体"/>
          <w:snapToGrid w:val="0"/>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7EABA621">
      <w:pPr>
        <w:pStyle w:val="9"/>
        <w:tabs>
          <w:tab w:val="left" w:pos="315"/>
        </w:tabs>
        <w:spacing w:before="156" w:beforeLines="50" w:line="500" w:lineRule="exact"/>
        <w:ind w:firstLine="420" w:firstLineChars="200"/>
        <w:rPr>
          <w:rFonts w:ascii="宋体" w:hAnsi="宋体" w:eastAsia="宋体"/>
          <w:b/>
          <w:color w:val="auto"/>
          <w:sz w:val="21"/>
          <w:szCs w:val="21"/>
          <w:highlight w:val="none"/>
        </w:rPr>
      </w:pPr>
      <w:r>
        <w:rPr>
          <w:rFonts w:ascii="宋体" w:hAnsi="宋体" w:eastAsia="宋体"/>
          <w:snapToGrid w:val="0"/>
          <w:color w:val="auto"/>
          <w:sz w:val="21"/>
          <w:szCs w:val="21"/>
          <w:highlight w:val="none"/>
        </w:rPr>
        <w:t>注：本协议书由委托代理人签字或盖章的，应附法定代表人签字或盖章的授权委托书。</w:t>
      </w:r>
    </w:p>
    <w:p w14:paraId="6540F065">
      <w:pPr>
        <w:tabs>
          <w:tab w:val="left" w:pos="2580"/>
          <w:tab w:val="left" w:pos="5940"/>
        </w:tabs>
        <w:autoSpaceDE w:val="0"/>
        <w:autoSpaceDN w:val="0"/>
        <w:adjustRightInd w:val="0"/>
        <w:snapToGrid w:val="0"/>
        <w:spacing w:line="360" w:lineRule="auto"/>
        <w:ind w:firstLine="2940"/>
        <w:jc w:val="left"/>
        <w:rPr>
          <w:rFonts w:ascii="宋体" w:hAnsi="宋体"/>
          <w:color w:val="auto"/>
          <w:highlight w:val="none"/>
        </w:rPr>
      </w:pPr>
      <w:bookmarkStart w:id="2289" w:name="_Toc224103500"/>
      <w:r>
        <w:rPr>
          <w:rFonts w:ascii="宋体" w:hAnsi="宋体"/>
          <w:color w:val="auto"/>
          <w:sz w:val="32"/>
          <w:szCs w:val="32"/>
          <w:highlight w:val="none"/>
        </w:rPr>
        <w:br w:type="page"/>
      </w:r>
      <w:bookmarkStart w:id="2290" w:name="_Toc287607872"/>
      <w:bookmarkStart w:id="2291" w:name="_Toc430530534"/>
      <w:bookmarkStart w:id="2292" w:name="_Toc287620819"/>
    </w:p>
    <w:p w14:paraId="5FE950FA">
      <w:pPr>
        <w:pStyle w:val="4"/>
        <w:spacing w:line="360" w:lineRule="auto"/>
        <w:jc w:val="center"/>
        <w:rPr>
          <w:rFonts w:ascii="宋体" w:hAnsi="宋体"/>
          <w:b w:val="0"/>
          <w:bCs w:val="0"/>
          <w:color w:val="auto"/>
          <w:sz w:val="44"/>
          <w:szCs w:val="44"/>
          <w:highlight w:val="none"/>
        </w:rPr>
      </w:pPr>
      <w:bookmarkStart w:id="2293" w:name="_Toc57820653"/>
      <w:r>
        <w:rPr>
          <w:rFonts w:hint="eastAsia" w:ascii="宋体" w:hAnsi="宋体"/>
          <w:b w:val="0"/>
          <w:bCs w:val="0"/>
          <w:color w:val="auto"/>
          <w:sz w:val="44"/>
          <w:szCs w:val="44"/>
          <w:highlight w:val="none"/>
        </w:rPr>
        <w:t>二、经济部分</w:t>
      </w:r>
      <w:bookmarkEnd w:id="2289"/>
      <w:bookmarkEnd w:id="2290"/>
      <w:bookmarkEnd w:id="2291"/>
      <w:bookmarkEnd w:id="2292"/>
      <w:bookmarkEnd w:id="2293"/>
    </w:p>
    <w:p w14:paraId="7D9CF4A6">
      <w:pPr>
        <w:spacing w:line="360" w:lineRule="auto"/>
        <w:jc w:val="center"/>
        <w:rPr>
          <w:rFonts w:hint="eastAsia" w:ascii="宋体" w:hAnsi="宋体"/>
          <w:color w:val="auto"/>
          <w:kern w:val="0"/>
          <w:sz w:val="32"/>
          <w:szCs w:val="32"/>
          <w:highlight w:val="none"/>
        </w:rPr>
      </w:pPr>
      <w:r>
        <w:rPr>
          <w:rFonts w:ascii="宋体" w:hAnsi="宋体"/>
          <w:color w:val="auto"/>
          <w:kern w:val="0"/>
          <w:sz w:val="28"/>
          <w:szCs w:val="28"/>
          <w:highlight w:val="none"/>
        </w:rPr>
        <w:br w:type="page"/>
      </w:r>
      <w:r>
        <w:rPr>
          <w:rFonts w:hint="eastAsia" w:ascii="宋体" w:hAnsi="宋体"/>
          <w:color w:val="auto"/>
          <w:kern w:val="0"/>
          <w:sz w:val="32"/>
          <w:szCs w:val="32"/>
          <w:highlight w:val="none"/>
          <w:u w:val="single"/>
        </w:rPr>
        <w:t xml:space="preserve">                   （项目名称）</w:t>
      </w:r>
    </w:p>
    <w:p w14:paraId="1E58CF76">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0EB0136B">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4296DCE9">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67F64E92">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66B1FFE3">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14:paraId="43D9FB18">
      <w:pPr>
        <w:autoSpaceDE w:val="0"/>
        <w:autoSpaceDN w:val="0"/>
        <w:adjustRightInd w:val="0"/>
        <w:snapToGrid w:val="0"/>
        <w:spacing w:line="360" w:lineRule="auto"/>
        <w:jc w:val="left"/>
        <w:rPr>
          <w:rFonts w:ascii="宋体" w:hAnsi="宋体"/>
          <w:color w:val="auto"/>
          <w:kern w:val="0"/>
          <w:sz w:val="16"/>
          <w:szCs w:val="16"/>
          <w:highlight w:val="none"/>
        </w:rPr>
      </w:pPr>
    </w:p>
    <w:p w14:paraId="2935B2F3">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经济部分</w:t>
      </w:r>
    </w:p>
    <w:p w14:paraId="2E66F4CD">
      <w:pPr>
        <w:autoSpaceDE w:val="0"/>
        <w:autoSpaceDN w:val="0"/>
        <w:adjustRightInd w:val="0"/>
        <w:snapToGrid w:val="0"/>
        <w:spacing w:line="360" w:lineRule="auto"/>
        <w:jc w:val="left"/>
        <w:rPr>
          <w:rFonts w:ascii="宋体" w:hAnsi="宋体"/>
          <w:b/>
          <w:color w:val="auto"/>
          <w:kern w:val="0"/>
          <w:sz w:val="20"/>
          <w:szCs w:val="20"/>
          <w:highlight w:val="none"/>
        </w:rPr>
      </w:pPr>
    </w:p>
    <w:p w14:paraId="535E5AAB">
      <w:pPr>
        <w:autoSpaceDE w:val="0"/>
        <w:autoSpaceDN w:val="0"/>
        <w:adjustRightInd w:val="0"/>
        <w:snapToGrid w:val="0"/>
        <w:spacing w:line="360" w:lineRule="auto"/>
        <w:jc w:val="left"/>
        <w:rPr>
          <w:rFonts w:ascii="宋体" w:hAnsi="宋体"/>
          <w:b/>
          <w:color w:val="auto"/>
          <w:kern w:val="0"/>
          <w:sz w:val="20"/>
          <w:szCs w:val="20"/>
          <w:highlight w:val="none"/>
        </w:rPr>
      </w:pPr>
    </w:p>
    <w:p w14:paraId="1E039D37">
      <w:pPr>
        <w:autoSpaceDE w:val="0"/>
        <w:autoSpaceDN w:val="0"/>
        <w:adjustRightInd w:val="0"/>
        <w:snapToGrid w:val="0"/>
        <w:spacing w:line="360" w:lineRule="auto"/>
        <w:jc w:val="left"/>
        <w:rPr>
          <w:rFonts w:ascii="宋体" w:hAnsi="宋体"/>
          <w:b/>
          <w:color w:val="auto"/>
          <w:kern w:val="0"/>
          <w:sz w:val="20"/>
          <w:szCs w:val="20"/>
          <w:highlight w:val="none"/>
        </w:rPr>
      </w:pPr>
    </w:p>
    <w:p w14:paraId="5D5E5CB2">
      <w:pPr>
        <w:autoSpaceDE w:val="0"/>
        <w:autoSpaceDN w:val="0"/>
        <w:adjustRightInd w:val="0"/>
        <w:snapToGrid w:val="0"/>
        <w:spacing w:line="360" w:lineRule="auto"/>
        <w:jc w:val="left"/>
        <w:rPr>
          <w:rFonts w:ascii="宋体" w:hAnsi="宋体"/>
          <w:b/>
          <w:color w:val="auto"/>
          <w:kern w:val="0"/>
          <w:sz w:val="20"/>
          <w:szCs w:val="20"/>
          <w:highlight w:val="none"/>
        </w:rPr>
      </w:pPr>
    </w:p>
    <w:p w14:paraId="5D492495">
      <w:pPr>
        <w:autoSpaceDE w:val="0"/>
        <w:autoSpaceDN w:val="0"/>
        <w:adjustRightInd w:val="0"/>
        <w:snapToGrid w:val="0"/>
        <w:spacing w:line="360" w:lineRule="auto"/>
        <w:jc w:val="left"/>
        <w:rPr>
          <w:rFonts w:ascii="宋体" w:hAnsi="宋体"/>
          <w:b/>
          <w:color w:val="auto"/>
          <w:kern w:val="0"/>
          <w:sz w:val="20"/>
          <w:szCs w:val="20"/>
          <w:highlight w:val="none"/>
        </w:rPr>
      </w:pPr>
    </w:p>
    <w:p w14:paraId="4D2EF10B">
      <w:pPr>
        <w:autoSpaceDE w:val="0"/>
        <w:autoSpaceDN w:val="0"/>
        <w:adjustRightInd w:val="0"/>
        <w:snapToGrid w:val="0"/>
        <w:spacing w:line="360" w:lineRule="auto"/>
        <w:jc w:val="left"/>
        <w:rPr>
          <w:rFonts w:ascii="宋体" w:hAnsi="宋体"/>
          <w:b/>
          <w:color w:val="auto"/>
          <w:kern w:val="0"/>
          <w:sz w:val="20"/>
          <w:szCs w:val="20"/>
          <w:highlight w:val="none"/>
        </w:rPr>
      </w:pPr>
    </w:p>
    <w:p w14:paraId="76930799">
      <w:pPr>
        <w:autoSpaceDE w:val="0"/>
        <w:autoSpaceDN w:val="0"/>
        <w:adjustRightInd w:val="0"/>
        <w:snapToGrid w:val="0"/>
        <w:spacing w:line="360" w:lineRule="auto"/>
        <w:jc w:val="left"/>
        <w:rPr>
          <w:rFonts w:ascii="宋体" w:hAnsi="宋体"/>
          <w:b/>
          <w:color w:val="auto"/>
          <w:kern w:val="0"/>
          <w:sz w:val="20"/>
          <w:szCs w:val="20"/>
          <w:highlight w:val="none"/>
        </w:rPr>
      </w:pPr>
    </w:p>
    <w:p w14:paraId="3C55D4DD">
      <w:pPr>
        <w:autoSpaceDE w:val="0"/>
        <w:autoSpaceDN w:val="0"/>
        <w:adjustRightInd w:val="0"/>
        <w:snapToGrid w:val="0"/>
        <w:spacing w:line="360" w:lineRule="auto"/>
        <w:jc w:val="left"/>
        <w:rPr>
          <w:rFonts w:ascii="宋体" w:hAnsi="宋体"/>
          <w:b/>
          <w:color w:val="auto"/>
          <w:kern w:val="0"/>
          <w:sz w:val="20"/>
          <w:szCs w:val="20"/>
          <w:highlight w:val="none"/>
        </w:rPr>
      </w:pPr>
    </w:p>
    <w:p w14:paraId="1776C2E2">
      <w:pPr>
        <w:autoSpaceDE w:val="0"/>
        <w:autoSpaceDN w:val="0"/>
        <w:adjustRightInd w:val="0"/>
        <w:snapToGrid w:val="0"/>
        <w:spacing w:line="360" w:lineRule="auto"/>
        <w:jc w:val="left"/>
        <w:rPr>
          <w:rFonts w:ascii="宋体" w:hAnsi="宋体"/>
          <w:b/>
          <w:color w:val="auto"/>
          <w:kern w:val="0"/>
          <w:sz w:val="20"/>
          <w:szCs w:val="20"/>
          <w:highlight w:val="none"/>
        </w:rPr>
      </w:pPr>
    </w:p>
    <w:p w14:paraId="44EA796C">
      <w:pPr>
        <w:autoSpaceDE w:val="0"/>
        <w:autoSpaceDN w:val="0"/>
        <w:adjustRightInd w:val="0"/>
        <w:snapToGrid w:val="0"/>
        <w:spacing w:line="360" w:lineRule="auto"/>
        <w:jc w:val="left"/>
        <w:rPr>
          <w:rFonts w:ascii="宋体" w:hAnsi="宋体"/>
          <w:b/>
          <w:color w:val="auto"/>
          <w:kern w:val="0"/>
          <w:sz w:val="20"/>
          <w:szCs w:val="20"/>
          <w:highlight w:val="none"/>
        </w:rPr>
      </w:pPr>
    </w:p>
    <w:p w14:paraId="3D086854">
      <w:pPr>
        <w:autoSpaceDE w:val="0"/>
        <w:autoSpaceDN w:val="0"/>
        <w:adjustRightInd w:val="0"/>
        <w:snapToGrid w:val="0"/>
        <w:spacing w:line="360" w:lineRule="auto"/>
        <w:jc w:val="left"/>
        <w:rPr>
          <w:rFonts w:ascii="宋体" w:hAnsi="宋体"/>
          <w:b/>
          <w:color w:val="auto"/>
          <w:kern w:val="0"/>
          <w:sz w:val="20"/>
          <w:szCs w:val="20"/>
          <w:highlight w:val="none"/>
        </w:rPr>
      </w:pPr>
    </w:p>
    <w:p w14:paraId="09AD61CE">
      <w:pPr>
        <w:autoSpaceDE w:val="0"/>
        <w:autoSpaceDN w:val="0"/>
        <w:adjustRightInd w:val="0"/>
        <w:snapToGrid w:val="0"/>
        <w:spacing w:line="360" w:lineRule="auto"/>
        <w:jc w:val="left"/>
        <w:rPr>
          <w:rFonts w:ascii="宋体" w:hAnsi="宋体"/>
          <w:b/>
          <w:color w:val="auto"/>
          <w:kern w:val="0"/>
          <w:sz w:val="20"/>
          <w:szCs w:val="20"/>
          <w:highlight w:val="none"/>
        </w:rPr>
      </w:pPr>
    </w:p>
    <w:p w14:paraId="17B6A8FB">
      <w:pPr>
        <w:autoSpaceDE w:val="0"/>
        <w:autoSpaceDN w:val="0"/>
        <w:adjustRightInd w:val="0"/>
        <w:snapToGrid w:val="0"/>
        <w:spacing w:line="360" w:lineRule="auto"/>
        <w:jc w:val="left"/>
        <w:rPr>
          <w:rFonts w:ascii="宋体" w:hAnsi="宋体"/>
          <w:b/>
          <w:color w:val="auto"/>
          <w:kern w:val="0"/>
          <w:sz w:val="20"/>
          <w:szCs w:val="20"/>
          <w:highlight w:val="none"/>
        </w:rPr>
      </w:pPr>
    </w:p>
    <w:p w14:paraId="20A73BB6">
      <w:pPr>
        <w:tabs>
          <w:tab w:val="left" w:pos="6080"/>
          <w:tab w:val="left" w:pos="6640"/>
        </w:tabs>
        <w:autoSpaceDE w:val="0"/>
        <w:autoSpaceDN w:val="0"/>
        <w:adjustRightInd w:val="0"/>
        <w:snapToGrid w:val="0"/>
        <w:spacing w:after="156" w:afterLines="50" w:line="360" w:lineRule="auto"/>
        <w:jc w:val="center"/>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14:paraId="7178EE2A">
      <w:pPr>
        <w:tabs>
          <w:tab w:val="left" w:pos="6080"/>
          <w:tab w:val="left" w:pos="6640"/>
        </w:tabs>
        <w:autoSpaceDE w:val="0"/>
        <w:autoSpaceDN w:val="0"/>
        <w:adjustRightInd w:val="0"/>
        <w:snapToGrid w:val="0"/>
        <w:spacing w:after="156" w:afterLines="50" w:line="360" w:lineRule="auto"/>
        <w:jc w:val="center"/>
        <w:rPr>
          <w:rFonts w:ascii="宋体" w:hAnsi="宋体"/>
          <w:b/>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（签字或盖章）</w:t>
      </w:r>
    </w:p>
    <w:p w14:paraId="67200407">
      <w:pPr>
        <w:tabs>
          <w:tab w:val="left" w:pos="3280"/>
          <w:tab w:val="left" w:pos="4680"/>
          <w:tab w:val="left" w:pos="6080"/>
        </w:tabs>
        <w:autoSpaceDE w:val="0"/>
        <w:autoSpaceDN w:val="0"/>
        <w:adjustRightInd w:val="0"/>
        <w:snapToGrid w:val="0"/>
        <w:spacing w:after="156" w:afterLines="50" w:line="360" w:lineRule="auto"/>
        <w:jc w:val="center"/>
        <w:rPr>
          <w:rFonts w:ascii="宋体" w:hAnsi="宋体"/>
          <w:color w:val="auto"/>
          <w:kern w:val="0"/>
          <w:sz w:val="28"/>
          <w:szCs w:val="28"/>
          <w:highlight w:val="none"/>
        </w:rPr>
      </w:pP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年</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月</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日</w:t>
      </w:r>
    </w:p>
    <w:p w14:paraId="631F7B67">
      <w:pPr>
        <w:autoSpaceDE w:val="0"/>
        <w:autoSpaceDN w:val="0"/>
        <w:adjustRightInd w:val="0"/>
        <w:snapToGrid w:val="0"/>
        <w:spacing w:line="360" w:lineRule="auto"/>
        <w:jc w:val="left"/>
        <w:rPr>
          <w:rFonts w:ascii="宋体" w:hAnsi="宋体"/>
          <w:color w:val="auto"/>
          <w:kern w:val="0"/>
          <w:sz w:val="24"/>
          <w:szCs w:val="21"/>
          <w:highlight w:val="none"/>
        </w:rPr>
      </w:pPr>
      <w:r>
        <w:rPr>
          <w:rFonts w:ascii="宋体" w:hAnsi="宋体"/>
          <w:color w:val="auto"/>
          <w:kern w:val="0"/>
          <w:sz w:val="24"/>
          <w:szCs w:val="21"/>
          <w:highlight w:val="none"/>
        </w:rPr>
        <w:br w:type="page"/>
      </w:r>
    </w:p>
    <w:p w14:paraId="469BC06E">
      <w:pPr>
        <w:autoSpaceDE w:val="0"/>
        <w:autoSpaceDN w:val="0"/>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 w:val="36"/>
          <w:szCs w:val="36"/>
          <w:highlight w:val="none"/>
        </w:rPr>
        <w:t>目  录</w:t>
      </w:r>
    </w:p>
    <w:p w14:paraId="1DD641F8">
      <w:pPr>
        <w:autoSpaceDE w:val="0"/>
        <w:autoSpaceDN w:val="0"/>
        <w:adjustRightInd w:val="0"/>
        <w:snapToGrid w:val="0"/>
        <w:spacing w:line="360" w:lineRule="auto"/>
        <w:jc w:val="left"/>
        <w:rPr>
          <w:rFonts w:ascii="宋体" w:hAnsi="宋体"/>
          <w:color w:val="auto"/>
          <w:kern w:val="0"/>
          <w:szCs w:val="21"/>
          <w:highlight w:val="none"/>
        </w:rPr>
      </w:pPr>
    </w:p>
    <w:p w14:paraId="6D77E325">
      <w:pPr>
        <w:autoSpaceDE w:val="0"/>
        <w:autoSpaceDN w:val="0"/>
        <w:adjustRightInd w:val="0"/>
        <w:snapToGrid w:val="0"/>
        <w:spacing w:line="360" w:lineRule="auto"/>
        <w:jc w:val="center"/>
        <w:rPr>
          <w:rFonts w:ascii="宋体" w:hAnsi="宋体"/>
          <w:i/>
          <w:iCs/>
          <w:color w:val="auto"/>
          <w:kern w:val="0"/>
          <w:szCs w:val="21"/>
          <w:highlight w:val="none"/>
        </w:rPr>
      </w:pPr>
      <w:r>
        <w:rPr>
          <w:rFonts w:ascii="宋体" w:hAnsi="宋体"/>
          <w:i/>
          <w:iCs/>
          <w:color w:val="auto"/>
          <w:kern w:val="0"/>
          <w:szCs w:val="21"/>
          <w:highlight w:val="none"/>
        </w:rPr>
        <w:t>[</w:t>
      </w:r>
      <w:r>
        <w:rPr>
          <w:rFonts w:hint="eastAsia" w:ascii="宋体" w:hAnsi="宋体"/>
          <w:i/>
          <w:iCs/>
          <w:color w:val="auto"/>
          <w:kern w:val="0"/>
          <w:szCs w:val="21"/>
          <w:highlight w:val="none"/>
        </w:rPr>
        <w:t>提示：</w:t>
      </w:r>
      <w:r>
        <w:rPr>
          <w:rFonts w:ascii="宋体" w:hAnsi="宋体"/>
          <w:i/>
          <w:iCs/>
          <w:color w:val="auto"/>
          <w:kern w:val="0"/>
          <w:szCs w:val="21"/>
          <w:highlight w:val="none"/>
        </w:rPr>
        <w:t>目录由投标人自行编制]</w:t>
      </w:r>
    </w:p>
    <w:p w14:paraId="013E299F">
      <w:pPr>
        <w:pStyle w:val="5"/>
        <w:spacing w:before="0" w:after="0" w:line="240" w:lineRule="auto"/>
        <w:jc w:val="center"/>
        <w:rPr>
          <w:rFonts w:ascii="宋体" w:hAnsi="宋体"/>
          <w:b w:val="0"/>
          <w:bCs w:val="0"/>
          <w:color w:val="auto"/>
          <w:highlight w:val="none"/>
        </w:rPr>
      </w:pPr>
      <w:bookmarkStart w:id="2294" w:name="_Toc287620820"/>
      <w:bookmarkStart w:id="2295" w:name="_Toc287607873"/>
      <w:bookmarkStart w:id="2296" w:name="_Toc224103501"/>
      <w:bookmarkStart w:id="2297" w:name="_Toc277082648"/>
      <w:bookmarkStart w:id="2298" w:name="_Toc430530535"/>
      <w:r>
        <w:rPr>
          <w:rFonts w:ascii="宋体" w:hAnsi="宋体"/>
          <w:b w:val="0"/>
          <w:bCs w:val="0"/>
          <w:color w:val="auto"/>
          <w:kern w:val="0"/>
          <w:sz w:val="21"/>
          <w:szCs w:val="21"/>
          <w:highlight w:val="none"/>
        </w:rPr>
        <w:br w:type="page"/>
      </w:r>
      <w:bookmarkStart w:id="2299" w:name="_Toc57820654"/>
      <w:r>
        <w:rPr>
          <w:rFonts w:hint="eastAsia" w:ascii="宋体" w:hAnsi="宋体"/>
          <w:b w:val="0"/>
          <w:bCs w:val="0"/>
          <w:color w:val="auto"/>
          <w:highlight w:val="none"/>
        </w:rPr>
        <w:t>（一）已标价工程量清单</w:t>
      </w:r>
      <w:bookmarkEnd w:id="2294"/>
      <w:bookmarkEnd w:id="2295"/>
      <w:bookmarkEnd w:id="2296"/>
      <w:bookmarkEnd w:id="2297"/>
      <w:bookmarkEnd w:id="2298"/>
      <w:bookmarkEnd w:id="2299"/>
    </w:p>
    <w:p w14:paraId="3FDD3990">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61A5C88B">
      <w:pPr>
        <w:pStyle w:val="4"/>
        <w:spacing w:line="360" w:lineRule="auto"/>
        <w:rPr>
          <w:rFonts w:ascii="宋体" w:hAnsi="宋体"/>
          <w:color w:val="auto"/>
          <w:kern w:val="0"/>
          <w:sz w:val="24"/>
          <w:szCs w:val="21"/>
          <w:highlight w:val="none"/>
        </w:rPr>
      </w:pPr>
      <w:bookmarkStart w:id="2300" w:name="_Toc430530536"/>
      <w:bookmarkStart w:id="2301" w:name="_Toc224103502"/>
      <w:bookmarkStart w:id="2302" w:name="_Toc287620821"/>
      <w:bookmarkStart w:id="2303" w:name="_Toc287607874"/>
      <w:r>
        <w:rPr>
          <w:rFonts w:ascii="宋体" w:hAnsi="宋体"/>
          <w:color w:val="auto"/>
          <w:highlight w:val="none"/>
        </w:rPr>
        <w:br w:type="page"/>
      </w:r>
    </w:p>
    <w:p w14:paraId="1541359A">
      <w:pPr>
        <w:pStyle w:val="4"/>
        <w:spacing w:line="360" w:lineRule="auto"/>
        <w:jc w:val="center"/>
        <w:rPr>
          <w:rFonts w:ascii="宋体" w:hAnsi="宋体"/>
          <w:b w:val="0"/>
          <w:bCs w:val="0"/>
          <w:color w:val="auto"/>
          <w:sz w:val="44"/>
          <w:szCs w:val="44"/>
          <w:highlight w:val="none"/>
        </w:rPr>
      </w:pPr>
      <w:bookmarkStart w:id="2304" w:name="_Toc57820655"/>
      <w:r>
        <w:rPr>
          <w:rFonts w:hint="eastAsia" w:ascii="宋体" w:hAnsi="宋体"/>
          <w:b w:val="0"/>
          <w:bCs w:val="0"/>
          <w:color w:val="auto"/>
          <w:sz w:val="44"/>
          <w:szCs w:val="44"/>
          <w:highlight w:val="none"/>
        </w:rPr>
        <w:t>三、技术部分</w:t>
      </w:r>
      <w:bookmarkEnd w:id="2300"/>
      <w:bookmarkEnd w:id="2301"/>
      <w:bookmarkEnd w:id="2304"/>
    </w:p>
    <w:p w14:paraId="585BA82B">
      <w:pPr>
        <w:jc w:val="center"/>
        <w:rPr>
          <w:rFonts w:hint="eastAsia"/>
          <w:i/>
          <w:iCs/>
          <w:color w:val="auto"/>
          <w:highlight w:val="none"/>
        </w:rPr>
      </w:pPr>
      <w:bookmarkStart w:id="2305" w:name="_Toc509218856"/>
      <w:bookmarkStart w:id="2306" w:name="_Toc536628352"/>
      <w:bookmarkStart w:id="2307" w:name="_Toc430530537"/>
      <w:bookmarkStart w:id="2308" w:name="_Toc534185833"/>
      <w:r>
        <w:rPr>
          <w:rFonts w:ascii="宋体" w:hAnsi="宋体"/>
          <w:i/>
          <w:iCs/>
          <w:color w:val="auto"/>
          <w:kern w:val="0"/>
          <w:szCs w:val="21"/>
          <w:highlight w:val="none"/>
        </w:rPr>
        <w:t>[</w:t>
      </w:r>
      <w:r>
        <w:rPr>
          <w:rFonts w:hint="eastAsia"/>
          <w:i/>
          <w:iCs/>
          <w:color w:val="auto"/>
          <w:highlight w:val="none"/>
        </w:rPr>
        <w:t>提示：</w:t>
      </w:r>
      <w:r>
        <w:rPr>
          <w:i/>
          <w:iCs/>
          <w:color w:val="auto"/>
          <w:highlight w:val="none"/>
        </w:rPr>
        <w:t>不设置技术方案评审的不设此部分</w:t>
      </w:r>
      <w:bookmarkEnd w:id="2302"/>
      <w:bookmarkEnd w:id="2303"/>
      <w:bookmarkEnd w:id="2305"/>
      <w:bookmarkEnd w:id="2306"/>
      <w:bookmarkEnd w:id="2307"/>
      <w:bookmarkEnd w:id="2308"/>
      <w:r>
        <w:rPr>
          <w:rFonts w:ascii="宋体" w:hAnsi="宋体"/>
          <w:i/>
          <w:iCs/>
          <w:color w:val="auto"/>
          <w:kern w:val="0"/>
          <w:szCs w:val="21"/>
          <w:highlight w:val="none"/>
        </w:rPr>
        <w:t>]</w:t>
      </w:r>
    </w:p>
    <w:p w14:paraId="3CA881B4">
      <w:pPr>
        <w:autoSpaceDE w:val="0"/>
        <w:autoSpaceDN w:val="0"/>
        <w:adjustRightInd w:val="0"/>
        <w:snapToGrid w:val="0"/>
        <w:spacing w:line="360" w:lineRule="auto"/>
        <w:ind w:firstLine="411" w:firstLineChars="196"/>
        <w:rPr>
          <w:rFonts w:ascii="宋体" w:hAnsi="宋体"/>
          <w:b/>
          <w:snapToGrid w:val="0"/>
          <w:color w:val="auto"/>
          <w:kern w:val="0"/>
          <w:sz w:val="24"/>
          <w:highlight w:val="none"/>
        </w:rPr>
      </w:pPr>
      <w:r>
        <w:rPr>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2541270</wp:posOffset>
                </wp:positionH>
                <wp:positionV relativeFrom="paragraph">
                  <wp:posOffset>8717280</wp:posOffset>
                </wp:positionV>
                <wp:extent cx="807720" cy="693420"/>
                <wp:effectExtent l="0" t="0" r="11430" b="11430"/>
                <wp:wrapNone/>
                <wp:docPr id="3" name="矩形 113"/>
                <wp:cNvGraphicFramePr/>
                <a:graphic xmlns:a="http://schemas.openxmlformats.org/drawingml/2006/main">
                  <a:graphicData uri="http://schemas.microsoft.com/office/word/2010/wordprocessingShape">
                    <wps:wsp>
                      <wps:cNvSpPr/>
                      <wps:spPr>
                        <a:xfrm>
                          <a:off x="0" y="0"/>
                          <a:ext cx="807720" cy="693420"/>
                        </a:xfrm>
                        <a:prstGeom prst="rect">
                          <a:avLst/>
                        </a:prstGeom>
                        <a:solidFill>
                          <a:srgbClr val="FFFFFF"/>
                        </a:solidFill>
                        <a:ln>
                          <a:noFill/>
                        </a:ln>
                      </wps:spPr>
                      <wps:txbx>
                        <w:txbxContent>
                          <w:p w14:paraId="19DA8C83"/>
                        </w:txbxContent>
                      </wps:txbx>
                      <wps:bodyPr wrap="square" upright="1"/>
                    </wps:wsp>
                  </a:graphicData>
                </a:graphic>
              </wp:anchor>
            </w:drawing>
          </mc:Choice>
          <mc:Fallback>
            <w:pict>
              <v:rect id="矩形 113" o:spid="_x0000_s1026" o:spt="1" style="position:absolute;left:0pt;margin-left:200.1pt;margin-top:686.4pt;height:54.6pt;width:63.6pt;z-index:251661312;mso-width-relative:page;mso-height-relative:page;" fillcolor="#FFFFFF" filled="t" stroked="f" coordsize="21600,21600" o:gfxdata="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CS8a1XaAAAADQEAAA8AAAAAAAAAAQAgAAAAIgAAAGRycy9kb3ducmV2&#10;LnhtbFBLAQIUABQAAAAIAIdO4kBH/BudwQEAAHkDAAAOAAAAAAAAAAEAIAAAACkBAABkcnMvZTJv&#10;RG9jLnhtbFBLBQYAAAAABgAGAFkBAABcBQAAAAA=&#10;">
                <v:fill on="t" focussize="0,0"/>
                <v:stroke on="f"/>
                <v:imagedata o:title=""/>
                <o:lock v:ext="edit" aspectratio="f"/>
                <v:textbox>
                  <w:txbxContent>
                    <w:p w14:paraId="19DA8C83"/>
                  </w:txbxContent>
                </v:textbox>
              </v:rect>
            </w:pict>
          </mc:Fallback>
        </mc:AlternateContent>
      </w:r>
    </w:p>
    <w:p w14:paraId="15036289">
      <w:pPr>
        <w:autoSpaceDE w:val="0"/>
        <w:autoSpaceDN w:val="0"/>
        <w:adjustRightInd w:val="0"/>
        <w:snapToGrid w:val="0"/>
        <w:spacing w:line="360" w:lineRule="auto"/>
        <w:jc w:val="center"/>
        <w:rPr>
          <w:rFonts w:ascii="宋体" w:hAnsi="宋体"/>
          <w:color w:val="auto"/>
          <w:kern w:val="0"/>
          <w:sz w:val="24"/>
          <w:highlight w:val="none"/>
        </w:rPr>
      </w:pPr>
      <w:r>
        <w:rPr>
          <w:rFonts w:ascii="宋体" w:hAnsi="宋体"/>
          <w:color w:val="auto"/>
          <w:kern w:val="0"/>
          <w:sz w:val="24"/>
          <w:highlight w:val="none"/>
        </w:rPr>
        <w:br w:type="page"/>
      </w:r>
    </w:p>
    <w:p w14:paraId="04736AA8">
      <w:pPr>
        <w:autoSpaceDE w:val="0"/>
        <w:autoSpaceDN w:val="0"/>
        <w:adjustRightInd w:val="0"/>
        <w:snapToGrid w:val="0"/>
        <w:spacing w:line="360" w:lineRule="auto"/>
        <w:jc w:val="left"/>
        <w:rPr>
          <w:rFonts w:ascii="宋体" w:hAnsi="宋体"/>
          <w:color w:val="auto"/>
          <w:kern w:val="0"/>
          <w:sz w:val="24"/>
          <w:szCs w:val="21"/>
          <w:highlight w:val="none"/>
        </w:rPr>
      </w:pPr>
    </w:p>
    <w:p w14:paraId="69F2DA7A">
      <w:pPr>
        <w:autoSpaceDE w:val="0"/>
        <w:autoSpaceDN w:val="0"/>
        <w:adjustRightInd w:val="0"/>
        <w:snapToGrid w:val="0"/>
        <w:spacing w:line="360" w:lineRule="auto"/>
        <w:jc w:val="center"/>
        <w:rPr>
          <w:rFonts w:ascii="宋体" w:hAnsi="宋体"/>
          <w:color w:val="auto"/>
          <w:kern w:val="0"/>
          <w:sz w:val="32"/>
          <w:szCs w:val="32"/>
          <w:highlight w:val="none"/>
        </w:rPr>
      </w:pPr>
      <w:r>
        <w:rPr>
          <w:rFonts w:hint="eastAsia" w:ascii="宋体" w:hAnsi="宋体"/>
          <w:color w:val="auto"/>
          <w:kern w:val="0"/>
          <w:sz w:val="36"/>
          <w:szCs w:val="36"/>
          <w:highlight w:val="none"/>
        </w:rPr>
        <w:t>目  录</w:t>
      </w:r>
    </w:p>
    <w:p w14:paraId="20DA8B6C">
      <w:pPr>
        <w:autoSpaceDE w:val="0"/>
        <w:autoSpaceDN w:val="0"/>
        <w:adjustRightInd w:val="0"/>
        <w:snapToGrid w:val="0"/>
        <w:spacing w:line="360" w:lineRule="auto"/>
        <w:jc w:val="left"/>
        <w:rPr>
          <w:rFonts w:ascii="宋体" w:hAnsi="宋体"/>
          <w:color w:val="auto"/>
          <w:kern w:val="0"/>
          <w:sz w:val="32"/>
          <w:szCs w:val="32"/>
          <w:highlight w:val="none"/>
        </w:rPr>
      </w:pPr>
    </w:p>
    <w:p w14:paraId="5C15CF53">
      <w:pPr>
        <w:autoSpaceDE w:val="0"/>
        <w:autoSpaceDN w:val="0"/>
        <w:adjustRightInd w:val="0"/>
        <w:snapToGrid w:val="0"/>
        <w:spacing w:line="360" w:lineRule="auto"/>
        <w:jc w:val="center"/>
        <w:rPr>
          <w:rFonts w:ascii="宋体" w:hAnsi="宋体"/>
          <w:i/>
          <w:iCs/>
          <w:color w:val="auto"/>
          <w:kern w:val="0"/>
          <w:szCs w:val="21"/>
          <w:highlight w:val="none"/>
        </w:rPr>
      </w:pPr>
      <w:r>
        <w:rPr>
          <w:rFonts w:ascii="宋体" w:hAnsi="宋体"/>
          <w:i/>
          <w:iCs/>
          <w:color w:val="auto"/>
          <w:kern w:val="0"/>
          <w:szCs w:val="21"/>
          <w:highlight w:val="none"/>
        </w:rPr>
        <w:t>[</w:t>
      </w:r>
      <w:r>
        <w:rPr>
          <w:rFonts w:hint="eastAsia" w:ascii="宋体" w:hAnsi="宋体"/>
          <w:i/>
          <w:iCs/>
          <w:color w:val="auto"/>
          <w:kern w:val="0"/>
          <w:szCs w:val="21"/>
          <w:highlight w:val="none"/>
        </w:rPr>
        <w:t>提示：</w:t>
      </w:r>
      <w:r>
        <w:rPr>
          <w:rFonts w:ascii="宋体" w:hAnsi="宋体"/>
          <w:i/>
          <w:iCs/>
          <w:color w:val="auto"/>
          <w:kern w:val="0"/>
          <w:szCs w:val="21"/>
          <w:highlight w:val="none"/>
        </w:rPr>
        <w:t>目录由投标人自行编制]</w:t>
      </w:r>
    </w:p>
    <w:p w14:paraId="1CF2C0FB">
      <w:pPr>
        <w:pStyle w:val="5"/>
        <w:spacing w:before="0" w:after="0" w:line="240" w:lineRule="auto"/>
        <w:jc w:val="center"/>
        <w:rPr>
          <w:rFonts w:ascii="宋体" w:hAnsi="宋体"/>
          <w:b w:val="0"/>
          <w:color w:val="auto"/>
          <w:sz w:val="36"/>
          <w:szCs w:val="36"/>
          <w:highlight w:val="none"/>
        </w:rPr>
      </w:pPr>
      <w:r>
        <w:rPr>
          <w:rFonts w:ascii="宋体" w:hAnsi="宋体"/>
          <w:color w:val="auto"/>
          <w:highlight w:val="none"/>
        </w:rPr>
        <w:br w:type="page"/>
      </w:r>
      <w:bookmarkStart w:id="2309" w:name="_Toc57820656"/>
      <w:r>
        <w:rPr>
          <w:rFonts w:hint="eastAsia" w:ascii="宋体" w:hAnsi="宋体"/>
          <w:b w:val="0"/>
          <w:color w:val="auto"/>
          <w:highlight w:val="none"/>
        </w:rPr>
        <w:t>（一）</w:t>
      </w:r>
      <w:r>
        <w:rPr>
          <w:rFonts w:hint="eastAsia" w:ascii="宋体" w:hAnsi="宋体"/>
          <w:b w:val="0"/>
          <w:bCs w:val="0"/>
          <w:color w:val="auto"/>
          <w:highlight w:val="none"/>
        </w:rPr>
        <w:t>技术方案</w:t>
      </w:r>
      <w:bookmarkEnd w:id="2309"/>
    </w:p>
    <w:p w14:paraId="6D0F31FF">
      <w:pPr>
        <w:autoSpaceDE w:val="0"/>
        <w:autoSpaceDN w:val="0"/>
        <w:adjustRightInd w:val="0"/>
        <w:snapToGrid w:val="0"/>
        <w:spacing w:line="360" w:lineRule="auto"/>
        <w:jc w:val="left"/>
        <w:rPr>
          <w:rFonts w:ascii="宋体" w:hAnsi="宋体"/>
          <w:color w:val="auto"/>
          <w:kern w:val="0"/>
          <w:sz w:val="12"/>
          <w:szCs w:val="12"/>
          <w:highlight w:val="none"/>
        </w:rPr>
      </w:pPr>
    </w:p>
    <w:p w14:paraId="7FB07C53">
      <w:pPr>
        <w:pStyle w:val="2"/>
        <w:spacing w:line="360" w:lineRule="auto"/>
        <w:ind w:firstLine="420" w:firstLineChars="200"/>
        <w:jc w:val="center"/>
        <w:rPr>
          <w:rFonts w:hint="eastAsia" w:ascii="宋体" w:hAnsi="宋体"/>
          <w:i/>
          <w:color w:val="auto"/>
          <w:kern w:val="0"/>
          <w:szCs w:val="21"/>
          <w:highlight w:val="none"/>
        </w:rPr>
      </w:pPr>
      <w:r>
        <w:rPr>
          <w:rFonts w:hint="eastAsia" w:ascii="宋体" w:hAnsi="宋体"/>
          <w:i/>
          <w:color w:val="auto"/>
          <w:kern w:val="0"/>
          <w:szCs w:val="21"/>
          <w:highlight w:val="none"/>
        </w:rPr>
        <w:t>[提示：投标人应根据招标文件的要求编制技术方案]</w:t>
      </w:r>
    </w:p>
    <w:p w14:paraId="778BE96E">
      <w:pPr>
        <w:autoSpaceDE w:val="0"/>
        <w:autoSpaceDN w:val="0"/>
        <w:adjustRightInd w:val="0"/>
        <w:snapToGrid w:val="0"/>
        <w:spacing w:line="360" w:lineRule="auto"/>
        <w:ind w:firstLine="420"/>
        <w:rPr>
          <w:rFonts w:ascii="宋体" w:hAnsi="宋体"/>
          <w:color w:val="auto"/>
          <w:kern w:val="0"/>
          <w:szCs w:val="21"/>
          <w:highlight w:val="none"/>
        </w:rPr>
      </w:pPr>
      <w:r>
        <w:rPr>
          <w:rFonts w:ascii="宋体" w:hAnsi="宋体"/>
          <w:color w:val="auto"/>
          <w:kern w:val="0"/>
          <w:szCs w:val="21"/>
          <w:highlight w:val="none"/>
        </w:rPr>
        <w:t>1.</w:t>
      </w:r>
      <w:r>
        <w:rPr>
          <w:color w:val="auto"/>
          <w:highlight w:val="none"/>
        </w:rPr>
        <w:t>投标人编制技术方案的要求：编制时应采用文字并结合图表形式说明施工方法； 拟投入本标段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w:t>
      </w:r>
      <w:r>
        <w:rPr>
          <w:rFonts w:hint="eastAsia"/>
          <w:color w:val="auto"/>
          <w:highlight w:val="none"/>
        </w:rPr>
        <w:t>；BIM、CIM、智慧工地建设管理方案及措施（如有）；危大工程清单安全管理措施（如有）</w:t>
      </w:r>
      <w:r>
        <w:rPr>
          <w:color w:val="auto"/>
          <w:highlight w:val="none"/>
        </w:rPr>
        <w:t>等</w:t>
      </w:r>
      <w:r>
        <w:rPr>
          <w:rFonts w:ascii="宋体" w:hAnsi="宋体"/>
          <w:color w:val="auto"/>
          <w:kern w:val="0"/>
          <w:szCs w:val="21"/>
          <w:highlight w:val="none"/>
        </w:rPr>
        <w:t>。</w:t>
      </w:r>
    </w:p>
    <w:p w14:paraId="6405B0F9">
      <w:pPr>
        <w:tabs>
          <w:tab w:val="left" w:pos="735"/>
          <w:tab w:val="left" w:pos="840"/>
          <w:tab w:val="left" w:pos="1050"/>
          <w:tab w:val="left" w:pos="1700"/>
        </w:tabs>
        <w:autoSpaceDE w:val="0"/>
        <w:autoSpaceDN w:val="0"/>
        <w:adjustRightInd w:val="0"/>
        <w:snapToGrid w:val="0"/>
        <w:spacing w:line="360" w:lineRule="auto"/>
        <w:ind w:left="-2" w:leftChars="-1" w:firstLine="424" w:firstLineChars="202"/>
        <w:jc w:val="left"/>
        <w:rPr>
          <w:rFonts w:ascii="宋体" w:hAnsi="宋体"/>
          <w:color w:val="auto"/>
          <w:kern w:val="0"/>
          <w:szCs w:val="21"/>
          <w:highlight w:val="none"/>
        </w:rPr>
      </w:pPr>
      <w:r>
        <w:rPr>
          <w:rFonts w:ascii="宋体" w:hAnsi="宋体"/>
          <w:color w:val="auto"/>
          <w:kern w:val="0"/>
          <w:szCs w:val="21"/>
          <w:highlight w:val="none"/>
        </w:rPr>
        <w:t xml:space="preserve">2.技术方案除采用文字表述外可附下列图表，图表及格式要求附后。 </w:t>
      </w:r>
    </w:p>
    <w:p w14:paraId="416802B6">
      <w:pPr>
        <w:tabs>
          <w:tab w:val="left" w:pos="1700"/>
        </w:tabs>
        <w:autoSpaceDE w:val="0"/>
        <w:autoSpaceDN w:val="0"/>
        <w:adjustRightInd w:val="0"/>
        <w:snapToGrid w:val="0"/>
        <w:spacing w:line="360" w:lineRule="auto"/>
        <w:ind w:firstLine="424" w:firstLineChars="202"/>
        <w:jc w:val="left"/>
        <w:rPr>
          <w:rFonts w:ascii="宋体" w:hAnsi="宋体"/>
          <w:color w:val="auto"/>
          <w:kern w:val="0"/>
          <w:szCs w:val="21"/>
          <w:highlight w:val="none"/>
        </w:rPr>
      </w:pPr>
    </w:p>
    <w:p w14:paraId="34F67D27">
      <w:pPr>
        <w:tabs>
          <w:tab w:val="left" w:pos="1700"/>
        </w:tabs>
        <w:autoSpaceDE w:val="0"/>
        <w:autoSpaceDN w:val="0"/>
        <w:adjustRightInd w:val="0"/>
        <w:snapToGrid w:val="0"/>
        <w:spacing w:line="360" w:lineRule="auto"/>
        <w:ind w:firstLine="424" w:firstLineChars="202"/>
        <w:jc w:val="left"/>
        <w:rPr>
          <w:rFonts w:ascii="宋体" w:hAnsi="宋体"/>
          <w:color w:val="auto"/>
          <w:kern w:val="0"/>
          <w:szCs w:val="21"/>
          <w:highlight w:val="none"/>
        </w:rPr>
      </w:pPr>
      <w:r>
        <w:rPr>
          <w:rFonts w:ascii="宋体" w:hAnsi="宋体"/>
          <w:color w:val="auto"/>
          <w:kern w:val="0"/>
          <w:szCs w:val="21"/>
          <w:highlight w:val="none"/>
        </w:rPr>
        <w:t>附表一</w:t>
      </w:r>
      <w:r>
        <w:rPr>
          <w:rFonts w:hint="eastAsia" w:ascii="宋体" w:hAnsi="宋体"/>
          <w:color w:val="auto"/>
          <w:kern w:val="0"/>
          <w:szCs w:val="21"/>
          <w:highlight w:val="none"/>
        </w:rPr>
        <w:t xml:space="preserve">  </w:t>
      </w:r>
      <w:r>
        <w:rPr>
          <w:rFonts w:ascii="宋体" w:hAnsi="宋体"/>
          <w:color w:val="auto"/>
          <w:kern w:val="0"/>
          <w:szCs w:val="21"/>
          <w:highlight w:val="none"/>
        </w:rPr>
        <w:t>拟投入本标段的主要施工设备表</w:t>
      </w:r>
    </w:p>
    <w:p w14:paraId="09709DF8">
      <w:pPr>
        <w:tabs>
          <w:tab w:val="left" w:pos="1700"/>
        </w:tabs>
        <w:autoSpaceDE w:val="0"/>
        <w:autoSpaceDN w:val="0"/>
        <w:adjustRightInd w:val="0"/>
        <w:snapToGrid w:val="0"/>
        <w:spacing w:line="360" w:lineRule="auto"/>
        <w:ind w:firstLine="424" w:firstLineChars="202"/>
        <w:jc w:val="left"/>
        <w:rPr>
          <w:rFonts w:ascii="宋体" w:hAnsi="宋体"/>
          <w:color w:val="auto"/>
          <w:kern w:val="0"/>
          <w:szCs w:val="21"/>
          <w:highlight w:val="none"/>
        </w:rPr>
      </w:pPr>
      <w:r>
        <w:rPr>
          <w:rFonts w:ascii="宋体" w:hAnsi="宋体"/>
          <w:color w:val="auto"/>
          <w:kern w:val="0"/>
          <w:szCs w:val="21"/>
          <w:highlight w:val="none"/>
        </w:rPr>
        <w:t>附表二</w:t>
      </w:r>
      <w:r>
        <w:rPr>
          <w:rFonts w:hint="eastAsia" w:ascii="宋体" w:hAnsi="宋体"/>
          <w:color w:val="auto"/>
          <w:kern w:val="0"/>
          <w:szCs w:val="21"/>
          <w:highlight w:val="none"/>
        </w:rPr>
        <w:t xml:space="preserve">  </w:t>
      </w:r>
      <w:r>
        <w:rPr>
          <w:rFonts w:ascii="宋体" w:hAnsi="宋体"/>
          <w:color w:val="auto"/>
          <w:kern w:val="0"/>
          <w:szCs w:val="21"/>
          <w:highlight w:val="none"/>
        </w:rPr>
        <w:t>拟配备本标段的试验和检测仪器设备表</w:t>
      </w:r>
    </w:p>
    <w:p w14:paraId="693C6BDA">
      <w:pPr>
        <w:tabs>
          <w:tab w:val="left" w:pos="1700"/>
        </w:tabs>
        <w:autoSpaceDE w:val="0"/>
        <w:autoSpaceDN w:val="0"/>
        <w:adjustRightInd w:val="0"/>
        <w:snapToGrid w:val="0"/>
        <w:spacing w:line="360" w:lineRule="auto"/>
        <w:ind w:firstLine="424" w:firstLineChars="202"/>
        <w:jc w:val="left"/>
        <w:rPr>
          <w:rFonts w:ascii="宋体" w:hAnsi="宋体"/>
          <w:color w:val="auto"/>
          <w:kern w:val="0"/>
          <w:szCs w:val="21"/>
          <w:highlight w:val="none"/>
        </w:rPr>
      </w:pPr>
      <w:r>
        <w:rPr>
          <w:rFonts w:ascii="宋体" w:hAnsi="宋体"/>
          <w:color w:val="auto"/>
          <w:kern w:val="0"/>
          <w:szCs w:val="21"/>
          <w:highlight w:val="none"/>
        </w:rPr>
        <w:t>附表三</w:t>
      </w:r>
      <w:r>
        <w:rPr>
          <w:rFonts w:hint="eastAsia" w:ascii="宋体" w:hAnsi="宋体"/>
          <w:color w:val="auto"/>
          <w:kern w:val="0"/>
          <w:szCs w:val="21"/>
          <w:highlight w:val="none"/>
        </w:rPr>
        <w:t xml:space="preserve">  </w:t>
      </w:r>
      <w:r>
        <w:rPr>
          <w:rFonts w:ascii="宋体" w:hAnsi="宋体"/>
          <w:color w:val="auto"/>
          <w:kern w:val="0"/>
          <w:szCs w:val="21"/>
          <w:highlight w:val="none"/>
        </w:rPr>
        <w:t>劳动力计划表</w:t>
      </w:r>
    </w:p>
    <w:p w14:paraId="7E62E537">
      <w:pPr>
        <w:tabs>
          <w:tab w:val="left" w:pos="1700"/>
        </w:tabs>
        <w:autoSpaceDE w:val="0"/>
        <w:autoSpaceDN w:val="0"/>
        <w:adjustRightInd w:val="0"/>
        <w:snapToGrid w:val="0"/>
        <w:spacing w:line="360" w:lineRule="auto"/>
        <w:ind w:firstLine="424" w:firstLineChars="202"/>
        <w:jc w:val="left"/>
        <w:rPr>
          <w:rFonts w:ascii="宋体" w:hAnsi="宋体"/>
          <w:color w:val="auto"/>
          <w:kern w:val="0"/>
          <w:szCs w:val="21"/>
          <w:highlight w:val="none"/>
        </w:rPr>
      </w:pPr>
      <w:r>
        <w:rPr>
          <w:rFonts w:ascii="宋体" w:hAnsi="宋体"/>
          <w:color w:val="auto"/>
          <w:kern w:val="0"/>
          <w:szCs w:val="21"/>
          <w:highlight w:val="none"/>
        </w:rPr>
        <w:t>附表四</w:t>
      </w:r>
      <w:r>
        <w:rPr>
          <w:rFonts w:hint="eastAsia" w:ascii="宋体" w:hAnsi="宋体"/>
          <w:color w:val="auto"/>
          <w:kern w:val="0"/>
          <w:szCs w:val="21"/>
          <w:highlight w:val="none"/>
        </w:rPr>
        <w:t xml:space="preserve">  </w:t>
      </w:r>
      <w:r>
        <w:rPr>
          <w:rFonts w:ascii="宋体" w:hAnsi="宋体"/>
          <w:color w:val="auto"/>
          <w:kern w:val="0"/>
          <w:szCs w:val="21"/>
          <w:highlight w:val="none"/>
        </w:rPr>
        <w:t>计划开、竣工日期和施工进度网络图</w:t>
      </w:r>
    </w:p>
    <w:p w14:paraId="333B1C67">
      <w:pPr>
        <w:tabs>
          <w:tab w:val="left" w:pos="1700"/>
        </w:tabs>
        <w:autoSpaceDE w:val="0"/>
        <w:autoSpaceDN w:val="0"/>
        <w:adjustRightInd w:val="0"/>
        <w:snapToGrid w:val="0"/>
        <w:spacing w:line="360" w:lineRule="auto"/>
        <w:ind w:firstLine="424" w:firstLineChars="202"/>
        <w:jc w:val="left"/>
        <w:rPr>
          <w:rFonts w:ascii="宋体" w:hAnsi="宋体"/>
          <w:color w:val="auto"/>
          <w:kern w:val="0"/>
          <w:szCs w:val="21"/>
          <w:highlight w:val="none"/>
        </w:rPr>
      </w:pPr>
      <w:r>
        <w:rPr>
          <w:rFonts w:ascii="宋体" w:hAnsi="宋体"/>
          <w:color w:val="auto"/>
          <w:kern w:val="0"/>
          <w:szCs w:val="21"/>
          <w:highlight w:val="none"/>
        </w:rPr>
        <w:t>附表五</w:t>
      </w:r>
      <w:r>
        <w:rPr>
          <w:rFonts w:hint="eastAsia" w:ascii="宋体" w:hAnsi="宋体"/>
          <w:color w:val="auto"/>
          <w:kern w:val="0"/>
          <w:szCs w:val="21"/>
          <w:highlight w:val="none"/>
        </w:rPr>
        <w:t xml:space="preserve">  </w:t>
      </w:r>
      <w:r>
        <w:rPr>
          <w:rFonts w:ascii="宋体" w:hAnsi="宋体"/>
          <w:color w:val="auto"/>
          <w:kern w:val="0"/>
          <w:szCs w:val="21"/>
          <w:highlight w:val="none"/>
        </w:rPr>
        <w:t>施工总平面图</w:t>
      </w:r>
    </w:p>
    <w:p w14:paraId="29885C66">
      <w:pPr>
        <w:tabs>
          <w:tab w:val="left" w:pos="1700"/>
        </w:tabs>
        <w:autoSpaceDE w:val="0"/>
        <w:autoSpaceDN w:val="0"/>
        <w:adjustRightInd w:val="0"/>
        <w:snapToGrid w:val="0"/>
        <w:spacing w:line="360" w:lineRule="auto"/>
        <w:ind w:firstLine="424" w:firstLineChars="202"/>
        <w:jc w:val="left"/>
        <w:rPr>
          <w:rFonts w:ascii="宋体" w:hAnsi="宋体"/>
          <w:color w:val="auto"/>
          <w:kern w:val="0"/>
          <w:szCs w:val="21"/>
          <w:highlight w:val="none"/>
        </w:rPr>
      </w:pPr>
      <w:r>
        <w:rPr>
          <w:rFonts w:ascii="宋体" w:hAnsi="宋体"/>
          <w:color w:val="auto"/>
          <w:kern w:val="0"/>
          <w:szCs w:val="21"/>
          <w:highlight w:val="none"/>
        </w:rPr>
        <w:t>附表六</w:t>
      </w:r>
      <w:r>
        <w:rPr>
          <w:rFonts w:hint="eastAsia" w:ascii="宋体" w:hAnsi="宋体"/>
          <w:color w:val="auto"/>
          <w:kern w:val="0"/>
          <w:szCs w:val="21"/>
          <w:highlight w:val="none"/>
        </w:rPr>
        <w:t xml:space="preserve">  </w:t>
      </w:r>
      <w:r>
        <w:rPr>
          <w:rFonts w:ascii="宋体" w:hAnsi="宋体"/>
          <w:color w:val="auto"/>
          <w:kern w:val="0"/>
          <w:szCs w:val="21"/>
          <w:highlight w:val="none"/>
        </w:rPr>
        <w:t>临时用地表</w:t>
      </w:r>
    </w:p>
    <w:p w14:paraId="5B30A070">
      <w:pPr>
        <w:jc w:val="center"/>
        <w:rPr>
          <w:color w:val="auto"/>
          <w:sz w:val="32"/>
          <w:szCs w:val="32"/>
          <w:highlight w:val="none"/>
        </w:rPr>
      </w:pPr>
      <w:bookmarkStart w:id="2310" w:name="_Toc224103504"/>
      <w:bookmarkStart w:id="2311" w:name="_Toc287607876"/>
      <w:bookmarkStart w:id="2312" w:name="_Toc287620823"/>
      <w:bookmarkStart w:id="2313" w:name="_Toc534185834"/>
      <w:bookmarkStart w:id="2314" w:name="_Toc277082650"/>
      <w:bookmarkStart w:id="2315" w:name="_Toc430530539"/>
      <w:bookmarkStart w:id="2316" w:name="_Toc509218857"/>
      <w:bookmarkStart w:id="2317" w:name="_Toc277082653"/>
      <w:bookmarkStart w:id="2318" w:name="_Toc287607879"/>
      <w:bookmarkStart w:id="2319" w:name="_Toc287620826"/>
      <w:bookmarkStart w:id="2320" w:name="_Toc224103507"/>
      <w:r>
        <w:rPr>
          <w:rFonts w:ascii="宋体" w:hAnsi="宋体"/>
          <w:color w:val="auto"/>
          <w:kern w:val="0"/>
          <w:sz w:val="24"/>
          <w:highlight w:val="none"/>
        </w:rPr>
        <w:br w:type="page"/>
      </w:r>
      <w:r>
        <w:rPr>
          <w:rFonts w:hint="eastAsia"/>
          <w:color w:val="auto"/>
          <w:sz w:val="32"/>
          <w:szCs w:val="32"/>
          <w:highlight w:val="none"/>
        </w:rPr>
        <w:t>附表一：拟投入本标段的主要施工设备表</w:t>
      </w:r>
      <w:bookmarkEnd w:id="2310"/>
      <w:bookmarkEnd w:id="2311"/>
      <w:bookmarkEnd w:id="2312"/>
      <w:bookmarkEnd w:id="2313"/>
      <w:bookmarkEnd w:id="2314"/>
      <w:bookmarkEnd w:id="2315"/>
      <w:bookmarkEnd w:id="2316"/>
    </w:p>
    <w:tbl>
      <w:tblPr>
        <w:tblStyle w:val="45"/>
        <w:tblW w:w="0" w:type="auto"/>
        <w:tblInd w:w="-5"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1"/>
        <w:gridCol w:w="1176"/>
        <w:gridCol w:w="824"/>
        <w:gridCol w:w="1072"/>
        <w:gridCol w:w="728"/>
        <w:gridCol w:w="799"/>
        <w:gridCol w:w="1312"/>
        <w:gridCol w:w="947"/>
        <w:gridCol w:w="1141"/>
        <w:gridCol w:w="749"/>
      </w:tblGrid>
      <w:tr w14:paraId="1CDA206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17" w:hRule="exact"/>
        </w:trPr>
        <w:tc>
          <w:tcPr>
            <w:tcW w:w="721" w:type="dxa"/>
            <w:noWrap w:val="0"/>
            <w:vAlign w:val="center"/>
          </w:tcPr>
          <w:p w14:paraId="22B51D7D">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序号</w:t>
            </w:r>
          </w:p>
        </w:tc>
        <w:tc>
          <w:tcPr>
            <w:tcW w:w="1176" w:type="dxa"/>
            <w:noWrap w:val="0"/>
            <w:vAlign w:val="center"/>
          </w:tcPr>
          <w:p w14:paraId="53F20AD5">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设备名称</w:t>
            </w:r>
          </w:p>
        </w:tc>
        <w:tc>
          <w:tcPr>
            <w:tcW w:w="824" w:type="dxa"/>
            <w:noWrap w:val="0"/>
            <w:vAlign w:val="center"/>
          </w:tcPr>
          <w:p w14:paraId="69FF8F1D">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型号</w:t>
            </w:r>
          </w:p>
          <w:p w14:paraId="25082704">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规格</w:t>
            </w:r>
          </w:p>
        </w:tc>
        <w:tc>
          <w:tcPr>
            <w:tcW w:w="1072" w:type="dxa"/>
            <w:noWrap w:val="0"/>
            <w:vAlign w:val="center"/>
          </w:tcPr>
          <w:p w14:paraId="15EA7E84">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数量</w:t>
            </w:r>
          </w:p>
        </w:tc>
        <w:tc>
          <w:tcPr>
            <w:tcW w:w="728" w:type="dxa"/>
            <w:noWrap w:val="0"/>
            <w:vAlign w:val="center"/>
          </w:tcPr>
          <w:p w14:paraId="05EB684D">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国别 产地</w:t>
            </w:r>
          </w:p>
        </w:tc>
        <w:tc>
          <w:tcPr>
            <w:tcW w:w="799" w:type="dxa"/>
            <w:noWrap w:val="0"/>
            <w:vAlign w:val="center"/>
          </w:tcPr>
          <w:p w14:paraId="40941F13">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制造</w:t>
            </w:r>
          </w:p>
          <w:p w14:paraId="081BEA6B">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年份</w:t>
            </w:r>
          </w:p>
        </w:tc>
        <w:tc>
          <w:tcPr>
            <w:tcW w:w="1312" w:type="dxa"/>
            <w:noWrap w:val="0"/>
            <w:vAlign w:val="center"/>
          </w:tcPr>
          <w:p w14:paraId="6FEA1130">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额定功率</w:t>
            </w:r>
          </w:p>
          <w:p w14:paraId="78190A91">
            <w:pPr>
              <w:autoSpaceDE w:val="0"/>
              <w:autoSpaceDN w:val="0"/>
              <w:adjustRightInd w:val="0"/>
              <w:snapToGrid w:val="0"/>
              <w:jc w:val="center"/>
              <w:rPr>
                <w:rFonts w:ascii="宋体" w:hAnsi="宋体"/>
                <w:color w:val="auto"/>
                <w:kern w:val="0"/>
                <w:sz w:val="10"/>
                <w:szCs w:val="10"/>
                <w:highlight w:val="none"/>
              </w:rPr>
            </w:pPr>
          </w:p>
          <w:p w14:paraId="04F72634">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（KW）</w:t>
            </w:r>
          </w:p>
        </w:tc>
        <w:tc>
          <w:tcPr>
            <w:tcW w:w="947" w:type="dxa"/>
            <w:noWrap w:val="0"/>
            <w:vAlign w:val="center"/>
          </w:tcPr>
          <w:p w14:paraId="3DE76B02">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生产</w:t>
            </w:r>
          </w:p>
          <w:p w14:paraId="15D2B4CE">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能力</w:t>
            </w:r>
          </w:p>
        </w:tc>
        <w:tc>
          <w:tcPr>
            <w:tcW w:w="1141" w:type="dxa"/>
            <w:noWrap w:val="0"/>
            <w:vAlign w:val="center"/>
          </w:tcPr>
          <w:p w14:paraId="43A2A7F7">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用于施</w:t>
            </w:r>
          </w:p>
          <w:p w14:paraId="27DD96EA">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工部位</w:t>
            </w:r>
          </w:p>
        </w:tc>
        <w:tc>
          <w:tcPr>
            <w:tcW w:w="749" w:type="dxa"/>
            <w:noWrap w:val="0"/>
            <w:vAlign w:val="center"/>
          </w:tcPr>
          <w:p w14:paraId="2FA79A20">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备注</w:t>
            </w:r>
          </w:p>
        </w:tc>
      </w:tr>
      <w:tr w14:paraId="08C8C76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0D5384D3">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66BE73F9">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532220D1">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7FD9A36C">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24DCF5B9">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0BA5DCDC">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7D8E62FC">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6C72282E">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003F9C59">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0964F8AE">
            <w:pPr>
              <w:autoSpaceDE w:val="0"/>
              <w:autoSpaceDN w:val="0"/>
              <w:adjustRightInd w:val="0"/>
              <w:snapToGrid w:val="0"/>
              <w:jc w:val="center"/>
              <w:rPr>
                <w:rFonts w:ascii="宋体" w:hAnsi="宋体"/>
                <w:color w:val="auto"/>
                <w:kern w:val="0"/>
                <w:sz w:val="24"/>
                <w:highlight w:val="none"/>
              </w:rPr>
            </w:pPr>
          </w:p>
        </w:tc>
      </w:tr>
      <w:tr w14:paraId="226BCA1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537BE769">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3D4DC6C3">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6C0C72E5">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6DE8A016">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0E061231">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1EF6E5B4">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70AED0FC">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1863C3DF">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222FD2D0">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2C805D7F">
            <w:pPr>
              <w:autoSpaceDE w:val="0"/>
              <w:autoSpaceDN w:val="0"/>
              <w:adjustRightInd w:val="0"/>
              <w:snapToGrid w:val="0"/>
              <w:jc w:val="center"/>
              <w:rPr>
                <w:rFonts w:ascii="宋体" w:hAnsi="宋体"/>
                <w:color w:val="auto"/>
                <w:kern w:val="0"/>
                <w:sz w:val="24"/>
                <w:highlight w:val="none"/>
              </w:rPr>
            </w:pPr>
          </w:p>
        </w:tc>
      </w:tr>
      <w:tr w14:paraId="0A76884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541F7E50">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56B0403C">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7AC0071B">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4A6C2710">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3B7C96AD">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5A0BF933">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6E386B2E">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37D9D986">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700AE999">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418EA1EB">
            <w:pPr>
              <w:autoSpaceDE w:val="0"/>
              <w:autoSpaceDN w:val="0"/>
              <w:adjustRightInd w:val="0"/>
              <w:snapToGrid w:val="0"/>
              <w:jc w:val="center"/>
              <w:rPr>
                <w:rFonts w:ascii="宋体" w:hAnsi="宋体"/>
                <w:color w:val="auto"/>
                <w:kern w:val="0"/>
                <w:sz w:val="24"/>
                <w:highlight w:val="none"/>
              </w:rPr>
            </w:pPr>
          </w:p>
        </w:tc>
      </w:tr>
      <w:tr w14:paraId="4D406AB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09EF86E5">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64BCE21E">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0E411E27">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5439ABAC">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6CB1EF27">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6DA3C32D">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716110AC">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17427017">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5937AEE1">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4790805E">
            <w:pPr>
              <w:autoSpaceDE w:val="0"/>
              <w:autoSpaceDN w:val="0"/>
              <w:adjustRightInd w:val="0"/>
              <w:snapToGrid w:val="0"/>
              <w:jc w:val="center"/>
              <w:rPr>
                <w:rFonts w:ascii="宋体" w:hAnsi="宋体"/>
                <w:color w:val="auto"/>
                <w:kern w:val="0"/>
                <w:sz w:val="24"/>
                <w:highlight w:val="none"/>
              </w:rPr>
            </w:pPr>
          </w:p>
        </w:tc>
      </w:tr>
      <w:tr w14:paraId="569E79C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1D9B71EB">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21B7E5EA">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60099253">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7B48B3D6">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2778FCA4">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76D5BABD">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3B40CA64">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72221481">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525090E5">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1A03AD7C">
            <w:pPr>
              <w:autoSpaceDE w:val="0"/>
              <w:autoSpaceDN w:val="0"/>
              <w:adjustRightInd w:val="0"/>
              <w:snapToGrid w:val="0"/>
              <w:jc w:val="center"/>
              <w:rPr>
                <w:rFonts w:ascii="宋体" w:hAnsi="宋体"/>
                <w:color w:val="auto"/>
                <w:kern w:val="0"/>
                <w:sz w:val="24"/>
                <w:highlight w:val="none"/>
              </w:rPr>
            </w:pPr>
          </w:p>
        </w:tc>
      </w:tr>
      <w:tr w14:paraId="2E9A071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28D3F627">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5DAAD1F5">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09CA58B9">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39122C03">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270F088B">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79B10AF5">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79A22CB7">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7E91CB52">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67225C1A">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6B7CD1CB">
            <w:pPr>
              <w:autoSpaceDE w:val="0"/>
              <w:autoSpaceDN w:val="0"/>
              <w:adjustRightInd w:val="0"/>
              <w:snapToGrid w:val="0"/>
              <w:jc w:val="center"/>
              <w:rPr>
                <w:rFonts w:ascii="宋体" w:hAnsi="宋体"/>
                <w:color w:val="auto"/>
                <w:kern w:val="0"/>
                <w:sz w:val="24"/>
                <w:highlight w:val="none"/>
              </w:rPr>
            </w:pPr>
          </w:p>
        </w:tc>
      </w:tr>
      <w:tr w14:paraId="71991FC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3C0FD4F1">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3406EE70">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4216F0D2">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5C706399">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1B47FAD8">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1D83E306">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0372D614">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185B4BA1">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267DBC73">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092DDCBF">
            <w:pPr>
              <w:autoSpaceDE w:val="0"/>
              <w:autoSpaceDN w:val="0"/>
              <w:adjustRightInd w:val="0"/>
              <w:snapToGrid w:val="0"/>
              <w:jc w:val="center"/>
              <w:rPr>
                <w:rFonts w:ascii="宋体" w:hAnsi="宋体"/>
                <w:color w:val="auto"/>
                <w:kern w:val="0"/>
                <w:sz w:val="24"/>
                <w:highlight w:val="none"/>
              </w:rPr>
            </w:pPr>
          </w:p>
        </w:tc>
      </w:tr>
      <w:tr w14:paraId="48B7A82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0CB8BE7B">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20B2F61A">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3C1EDFA5">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01B73265">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334A6899">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57E35FE5">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4209FF09">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169A1B74">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6EF20475">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0585C1C6">
            <w:pPr>
              <w:autoSpaceDE w:val="0"/>
              <w:autoSpaceDN w:val="0"/>
              <w:adjustRightInd w:val="0"/>
              <w:snapToGrid w:val="0"/>
              <w:jc w:val="center"/>
              <w:rPr>
                <w:rFonts w:ascii="宋体" w:hAnsi="宋体"/>
                <w:color w:val="auto"/>
                <w:kern w:val="0"/>
                <w:sz w:val="24"/>
                <w:highlight w:val="none"/>
              </w:rPr>
            </w:pPr>
          </w:p>
        </w:tc>
      </w:tr>
      <w:tr w14:paraId="1BE298F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2D78C825">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3102A40E">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0A38F418">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16A79C3A">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07B8A1C9">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479F0F4D">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792A0B89">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36260B37">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6D1FBB76">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0F904C60">
            <w:pPr>
              <w:autoSpaceDE w:val="0"/>
              <w:autoSpaceDN w:val="0"/>
              <w:adjustRightInd w:val="0"/>
              <w:snapToGrid w:val="0"/>
              <w:jc w:val="center"/>
              <w:rPr>
                <w:rFonts w:ascii="宋体" w:hAnsi="宋体"/>
                <w:color w:val="auto"/>
                <w:kern w:val="0"/>
                <w:sz w:val="24"/>
                <w:highlight w:val="none"/>
              </w:rPr>
            </w:pPr>
          </w:p>
        </w:tc>
      </w:tr>
      <w:tr w14:paraId="468BF82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7EE47B58">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0A13F9F0">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637F7A02">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6E57FE57">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011BA0B1">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1D2F4FAE">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0A91787F">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739DF132">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27CF776B">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05B62DE0">
            <w:pPr>
              <w:autoSpaceDE w:val="0"/>
              <w:autoSpaceDN w:val="0"/>
              <w:adjustRightInd w:val="0"/>
              <w:snapToGrid w:val="0"/>
              <w:jc w:val="center"/>
              <w:rPr>
                <w:rFonts w:ascii="宋体" w:hAnsi="宋体"/>
                <w:color w:val="auto"/>
                <w:kern w:val="0"/>
                <w:sz w:val="24"/>
                <w:highlight w:val="none"/>
              </w:rPr>
            </w:pPr>
          </w:p>
        </w:tc>
      </w:tr>
      <w:tr w14:paraId="79ECCF8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213D74C5">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2918E2EF">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68B9C83D">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3614F994">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6B1A53A3">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67C1AA79">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31607A31">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4353D4FA">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41323F84">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49974AA2">
            <w:pPr>
              <w:autoSpaceDE w:val="0"/>
              <w:autoSpaceDN w:val="0"/>
              <w:adjustRightInd w:val="0"/>
              <w:snapToGrid w:val="0"/>
              <w:jc w:val="center"/>
              <w:rPr>
                <w:rFonts w:ascii="宋体" w:hAnsi="宋体"/>
                <w:color w:val="auto"/>
                <w:kern w:val="0"/>
                <w:sz w:val="24"/>
                <w:highlight w:val="none"/>
              </w:rPr>
            </w:pPr>
          </w:p>
        </w:tc>
      </w:tr>
      <w:tr w14:paraId="00FE9E6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6EA9CBD1">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2D744261">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5A1C678C">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65A2C9D0">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0AA4A9AD">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6B2C5B6D">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631AA903">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4A22D74B">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53F22940">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2B95DCB6">
            <w:pPr>
              <w:autoSpaceDE w:val="0"/>
              <w:autoSpaceDN w:val="0"/>
              <w:adjustRightInd w:val="0"/>
              <w:snapToGrid w:val="0"/>
              <w:jc w:val="center"/>
              <w:rPr>
                <w:rFonts w:ascii="宋体" w:hAnsi="宋体"/>
                <w:color w:val="auto"/>
                <w:kern w:val="0"/>
                <w:sz w:val="24"/>
                <w:highlight w:val="none"/>
              </w:rPr>
            </w:pPr>
          </w:p>
        </w:tc>
      </w:tr>
      <w:tr w14:paraId="2F47FAE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41A7320C">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6FF36920">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4ABE0824">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127AEE90">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289792A8">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0110257F">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32A864F9">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4000F2DF">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0DAEA150">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7E823862">
            <w:pPr>
              <w:autoSpaceDE w:val="0"/>
              <w:autoSpaceDN w:val="0"/>
              <w:adjustRightInd w:val="0"/>
              <w:snapToGrid w:val="0"/>
              <w:jc w:val="center"/>
              <w:rPr>
                <w:rFonts w:ascii="宋体" w:hAnsi="宋体"/>
                <w:color w:val="auto"/>
                <w:kern w:val="0"/>
                <w:sz w:val="24"/>
                <w:highlight w:val="none"/>
              </w:rPr>
            </w:pPr>
          </w:p>
        </w:tc>
      </w:tr>
      <w:tr w14:paraId="4EF9C21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4E57208D">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6C4EB45B">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6E1A2DF5">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0ADD14D7">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3A35FE97">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4F24B42F">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1F499184">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2EDAF461">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40D0B14A">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163297FA">
            <w:pPr>
              <w:autoSpaceDE w:val="0"/>
              <w:autoSpaceDN w:val="0"/>
              <w:adjustRightInd w:val="0"/>
              <w:snapToGrid w:val="0"/>
              <w:jc w:val="center"/>
              <w:rPr>
                <w:rFonts w:ascii="宋体" w:hAnsi="宋体"/>
                <w:color w:val="auto"/>
                <w:kern w:val="0"/>
                <w:sz w:val="24"/>
                <w:highlight w:val="none"/>
              </w:rPr>
            </w:pPr>
          </w:p>
        </w:tc>
      </w:tr>
      <w:tr w14:paraId="704D23F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0DD9D643">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273EA2CB">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0357B0BC">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36013687">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13A7DE97">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5D336B5B">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6F2D1FAC">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6BE2B05A">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3E633F0B">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02C8310D">
            <w:pPr>
              <w:autoSpaceDE w:val="0"/>
              <w:autoSpaceDN w:val="0"/>
              <w:adjustRightInd w:val="0"/>
              <w:snapToGrid w:val="0"/>
              <w:jc w:val="center"/>
              <w:rPr>
                <w:rFonts w:ascii="宋体" w:hAnsi="宋体"/>
                <w:color w:val="auto"/>
                <w:kern w:val="0"/>
                <w:sz w:val="24"/>
                <w:highlight w:val="none"/>
              </w:rPr>
            </w:pPr>
          </w:p>
        </w:tc>
      </w:tr>
      <w:tr w14:paraId="43E436B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645FD6D7">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78FC021C">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06F70188">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5B0657E1">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268D87A1">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51F952CB">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17DA423B">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79A8D48A">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56DBABB7">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4894718E">
            <w:pPr>
              <w:autoSpaceDE w:val="0"/>
              <w:autoSpaceDN w:val="0"/>
              <w:adjustRightInd w:val="0"/>
              <w:snapToGrid w:val="0"/>
              <w:jc w:val="center"/>
              <w:rPr>
                <w:rFonts w:ascii="宋体" w:hAnsi="宋体"/>
                <w:color w:val="auto"/>
                <w:kern w:val="0"/>
                <w:sz w:val="24"/>
                <w:highlight w:val="none"/>
              </w:rPr>
            </w:pPr>
          </w:p>
        </w:tc>
      </w:tr>
      <w:tr w14:paraId="4A27FE3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4EE835D4">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4D1E43C4">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640226DF">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4D548BF8">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64646E2A">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33776568">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7C05A896">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2D5EF904">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564B2DAC">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48A4826B">
            <w:pPr>
              <w:autoSpaceDE w:val="0"/>
              <w:autoSpaceDN w:val="0"/>
              <w:adjustRightInd w:val="0"/>
              <w:snapToGrid w:val="0"/>
              <w:jc w:val="center"/>
              <w:rPr>
                <w:rFonts w:ascii="宋体" w:hAnsi="宋体"/>
                <w:color w:val="auto"/>
                <w:kern w:val="0"/>
                <w:sz w:val="24"/>
                <w:highlight w:val="none"/>
              </w:rPr>
            </w:pPr>
          </w:p>
        </w:tc>
      </w:tr>
      <w:tr w14:paraId="1F80A09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545BF67B">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455F15C4">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172BAC68">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5388D601">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32BFDD80">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0E593509">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2F1E0D2C">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1F9D9F67">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4B49B91C">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4042D054">
            <w:pPr>
              <w:autoSpaceDE w:val="0"/>
              <w:autoSpaceDN w:val="0"/>
              <w:adjustRightInd w:val="0"/>
              <w:snapToGrid w:val="0"/>
              <w:jc w:val="center"/>
              <w:rPr>
                <w:rFonts w:ascii="宋体" w:hAnsi="宋体"/>
                <w:color w:val="auto"/>
                <w:kern w:val="0"/>
                <w:sz w:val="24"/>
                <w:highlight w:val="none"/>
              </w:rPr>
            </w:pPr>
          </w:p>
        </w:tc>
      </w:tr>
      <w:tr w14:paraId="74BB245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79136E01">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6B19C578">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4C35AF50">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31DB84F0">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077D3271">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1C5FDB4A">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27FE21FE">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40A0D907">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3139083D">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4BA8C140">
            <w:pPr>
              <w:autoSpaceDE w:val="0"/>
              <w:autoSpaceDN w:val="0"/>
              <w:adjustRightInd w:val="0"/>
              <w:snapToGrid w:val="0"/>
              <w:jc w:val="center"/>
              <w:rPr>
                <w:rFonts w:ascii="宋体" w:hAnsi="宋体"/>
                <w:color w:val="auto"/>
                <w:kern w:val="0"/>
                <w:sz w:val="24"/>
                <w:highlight w:val="none"/>
              </w:rPr>
            </w:pPr>
          </w:p>
        </w:tc>
      </w:tr>
      <w:tr w14:paraId="0532451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1CCBCEC5">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790DC31F">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651FDB68">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78A7300C">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3808FBFC">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7AF356D4">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6A187A21">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5B233A27">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529F2BB9">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26B9477A">
            <w:pPr>
              <w:autoSpaceDE w:val="0"/>
              <w:autoSpaceDN w:val="0"/>
              <w:adjustRightInd w:val="0"/>
              <w:snapToGrid w:val="0"/>
              <w:jc w:val="center"/>
              <w:rPr>
                <w:rFonts w:ascii="宋体" w:hAnsi="宋体"/>
                <w:color w:val="auto"/>
                <w:kern w:val="0"/>
                <w:sz w:val="24"/>
                <w:highlight w:val="none"/>
              </w:rPr>
            </w:pPr>
          </w:p>
        </w:tc>
      </w:tr>
      <w:tr w14:paraId="0E7B748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6C1516B9">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5AAF3EC5">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11B32A0A">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020A0C34">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0CB5C1AB">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1DBBC183">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492EEC03">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33264C3D">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19D2404D">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5C79BD2B">
            <w:pPr>
              <w:autoSpaceDE w:val="0"/>
              <w:autoSpaceDN w:val="0"/>
              <w:adjustRightInd w:val="0"/>
              <w:snapToGrid w:val="0"/>
              <w:jc w:val="center"/>
              <w:rPr>
                <w:rFonts w:ascii="宋体" w:hAnsi="宋体"/>
                <w:color w:val="auto"/>
                <w:kern w:val="0"/>
                <w:sz w:val="24"/>
                <w:highlight w:val="none"/>
              </w:rPr>
            </w:pPr>
          </w:p>
        </w:tc>
      </w:tr>
      <w:tr w14:paraId="585B0F8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15FD3AE0">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59C163A0">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211D5433">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02359666">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15509677">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5692146A">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7CC2FE45">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33E24D8E">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59EC2186">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50CE2940">
            <w:pPr>
              <w:autoSpaceDE w:val="0"/>
              <w:autoSpaceDN w:val="0"/>
              <w:adjustRightInd w:val="0"/>
              <w:snapToGrid w:val="0"/>
              <w:jc w:val="center"/>
              <w:rPr>
                <w:rFonts w:ascii="宋体" w:hAnsi="宋体"/>
                <w:color w:val="auto"/>
                <w:kern w:val="0"/>
                <w:sz w:val="24"/>
                <w:highlight w:val="none"/>
              </w:rPr>
            </w:pPr>
          </w:p>
        </w:tc>
      </w:tr>
      <w:tr w14:paraId="2B86509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3AA2F408">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2BE19AF7">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3770B11D">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5174B0D1">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12170BDE">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12EAA23C">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22084EF2">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5BB7E2BC">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7279F769">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214885F9">
            <w:pPr>
              <w:autoSpaceDE w:val="0"/>
              <w:autoSpaceDN w:val="0"/>
              <w:adjustRightInd w:val="0"/>
              <w:snapToGrid w:val="0"/>
              <w:jc w:val="center"/>
              <w:rPr>
                <w:rFonts w:ascii="宋体" w:hAnsi="宋体"/>
                <w:color w:val="auto"/>
                <w:kern w:val="0"/>
                <w:sz w:val="24"/>
                <w:highlight w:val="none"/>
              </w:rPr>
            </w:pPr>
          </w:p>
        </w:tc>
      </w:tr>
    </w:tbl>
    <w:p w14:paraId="2DAB40F2">
      <w:pPr>
        <w:autoSpaceDE w:val="0"/>
        <w:autoSpaceDN w:val="0"/>
        <w:adjustRightInd w:val="0"/>
        <w:snapToGrid w:val="0"/>
        <w:spacing w:line="20" w:lineRule="exact"/>
        <w:jc w:val="left"/>
        <w:rPr>
          <w:rFonts w:ascii="宋体" w:hAnsi="宋体"/>
          <w:color w:val="auto"/>
          <w:kern w:val="0"/>
          <w:highlight w:val="none"/>
        </w:rPr>
      </w:pPr>
    </w:p>
    <w:p w14:paraId="7479BB59">
      <w:pPr>
        <w:jc w:val="center"/>
        <w:rPr>
          <w:rFonts w:ascii="宋体" w:hAnsi="宋体"/>
          <w:color w:val="auto"/>
          <w:kern w:val="0"/>
          <w:sz w:val="20"/>
          <w:szCs w:val="20"/>
          <w:highlight w:val="none"/>
        </w:rPr>
      </w:pPr>
      <w:bookmarkStart w:id="2321" w:name="_Toc287607877"/>
      <w:bookmarkStart w:id="2322" w:name="_Toc224103505"/>
      <w:bookmarkStart w:id="2323" w:name="_Toc277082651"/>
      <w:bookmarkStart w:id="2324" w:name="_Toc287620824"/>
      <w:bookmarkStart w:id="2325" w:name="_Toc430530540"/>
      <w:r>
        <w:rPr>
          <w:rFonts w:ascii="宋体" w:hAnsi="宋体"/>
          <w:color w:val="auto"/>
          <w:sz w:val="28"/>
          <w:highlight w:val="none"/>
        </w:rPr>
        <w:br w:type="page"/>
      </w:r>
      <w:bookmarkStart w:id="2326" w:name="_Toc534185835"/>
      <w:bookmarkStart w:id="2327" w:name="_Toc509218858"/>
      <w:r>
        <w:rPr>
          <w:color w:val="auto"/>
          <w:sz w:val="32"/>
          <w:szCs w:val="32"/>
          <w:highlight w:val="none"/>
        </w:rPr>
        <w:t>附表二：拟配备本标段的试验和检测仪器设备表</w:t>
      </w:r>
      <w:bookmarkEnd w:id="2321"/>
      <w:bookmarkEnd w:id="2322"/>
      <w:bookmarkEnd w:id="2323"/>
      <w:bookmarkEnd w:id="2324"/>
      <w:bookmarkEnd w:id="2325"/>
      <w:bookmarkEnd w:id="2326"/>
      <w:bookmarkEnd w:id="2327"/>
    </w:p>
    <w:tbl>
      <w:tblPr>
        <w:tblStyle w:val="45"/>
        <w:tblW w:w="0" w:type="auto"/>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47"/>
        <w:gridCol w:w="1219"/>
        <w:gridCol w:w="852"/>
        <w:gridCol w:w="1111"/>
        <w:gridCol w:w="754"/>
        <w:gridCol w:w="827"/>
        <w:gridCol w:w="1359"/>
        <w:gridCol w:w="1855"/>
        <w:gridCol w:w="770"/>
      </w:tblGrid>
      <w:tr w14:paraId="389B7F7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14" w:hRule="exact"/>
        </w:trPr>
        <w:tc>
          <w:tcPr>
            <w:tcW w:w="747" w:type="dxa"/>
            <w:noWrap w:val="0"/>
            <w:vAlign w:val="center"/>
          </w:tcPr>
          <w:p w14:paraId="323E32DC">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序号</w:t>
            </w:r>
          </w:p>
        </w:tc>
        <w:tc>
          <w:tcPr>
            <w:tcW w:w="1219" w:type="dxa"/>
            <w:noWrap w:val="0"/>
            <w:vAlign w:val="center"/>
          </w:tcPr>
          <w:p w14:paraId="76C28642">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仪器设备</w:t>
            </w:r>
          </w:p>
          <w:p w14:paraId="0755AAB8">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名　　称</w:t>
            </w:r>
          </w:p>
        </w:tc>
        <w:tc>
          <w:tcPr>
            <w:tcW w:w="852" w:type="dxa"/>
            <w:noWrap w:val="0"/>
            <w:vAlign w:val="center"/>
          </w:tcPr>
          <w:p w14:paraId="70D73BC1">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型号</w:t>
            </w:r>
          </w:p>
          <w:p w14:paraId="4CFCA789">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规格</w:t>
            </w:r>
          </w:p>
        </w:tc>
        <w:tc>
          <w:tcPr>
            <w:tcW w:w="1111" w:type="dxa"/>
            <w:noWrap w:val="0"/>
            <w:vAlign w:val="center"/>
          </w:tcPr>
          <w:p w14:paraId="6094AA36">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数量</w:t>
            </w:r>
          </w:p>
        </w:tc>
        <w:tc>
          <w:tcPr>
            <w:tcW w:w="754" w:type="dxa"/>
            <w:noWrap w:val="0"/>
            <w:vAlign w:val="center"/>
          </w:tcPr>
          <w:p w14:paraId="6ED854BA">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国别</w:t>
            </w:r>
          </w:p>
          <w:p w14:paraId="4F70F0AF">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产地</w:t>
            </w:r>
          </w:p>
        </w:tc>
        <w:tc>
          <w:tcPr>
            <w:tcW w:w="827" w:type="dxa"/>
            <w:noWrap w:val="0"/>
            <w:vAlign w:val="center"/>
          </w:tcPr>
          <w:p w14:paraId="4BD60AF2">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制造</w:t>
            </w:r>
          </w:p>
          <w:p w14:paraId="6B42B949">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年份</w:t>
            </w:r>
          </w:p>
        </w:tc>
        <w:tc>
          <w:tcPr>
            <w:tcW w:w="1359" w:type="dxa"/>
            <w:noWrap w:val="0"/>
            <w:vAlign w:val="center"/>
          </w:tcPr>
          <w:p w14:paraId="0572E794">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已使用</w:t>
            </w:r>
          </w:p>
          <w:p w14:paraId="3EA1E0EE">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台时数</w:t>
            </w:r>
          </w:p>
        </w:tc>
        <w:tc>
          <w:tcPr>
            <w:tcW w:w="1855" w:type="dxa"/>
            <w:noWrap w:val="0"/>
            <w:vAlign w:val="center"/>
          </w:tcPr>
          <w:p w14:paraId="167226A2">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用途</w:t>
            </w:r>
          </w:p>
        </w:tc>
        <w:tc>
          <w:tcPr>
            <w:tcW w:w="770" w:type="dxa"/>
            <w:noWrap w:val="0"/>
            <w:vAlign w:val="center"/>
          </w:tcPr>
          <w:p w14:paraId="6A666223">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备注</w:t>
            </w:r>
          </w:p>
        </w:tc>
      </w:tr>
      <w:tr w14:paraId="18E5FAB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07E7CE19">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6091FDBF">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68ED5A50">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23F622E4">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1127A22C">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09F4E7C8">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3217D9D4">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7763ED37">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37EC67C0">
            <w:pPr>
              <w:autoSpaceDE w:val="0"/>
              <w:autoSpaceDN w:val="0"/>
              <w:adjustRightInd w:val="0"/>
              <w:snapToGrid w:val="0"/>
              <w:jc w:val="left"/>
              <w:rPr>
                <w:rFonts w:ascii="宋体" w:hAnsi="宋体"/>
                <w:color w:val="auto"/>
                <w:kern w:val="0"/>
                <w:sz w:val="24"/>
                <w:highlight w:val="none"/>
              </w:rPr>
            </w:pPr>
          </w:p>
        </w:tc>
      </w:tr>
      <w:tr w14:paraId="6DEDE07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5DD04D9D">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2529144B">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038430E9">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19602B28">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25F90175">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623E37E2">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52804679">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3AEB4782">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0F303AAC">
            <w:pPr>
              <w:autoSpaceDE w:val="0"/>
              <w:autoSpaceDN w:val="0"/>
              <w:adjustRightInd w:val="0"/>
              <w:snapToGrid w:val="0"/>
              <w:jc w:val="left"/>
              <w:rPr>
                <w:rFonts w:ascii="宋体" w:hAnsi="宋体"/>
                <w:color w:val="auto"/>
                <w:kern w:val="0"/>
                <w:sz w:val="24"/>
                <w:highlight w:val="none"/>
              </w:rPr>
            </w:pPr>
          </w:p>
        </w:tc>
      </w:tr>
      <w:tr w14:paraId="02FA816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7595813F">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10791F8F">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3D231183">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45F2E932">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37BBB423">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5D37E80D">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6574A240">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5D78D805">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14224EDC">
            <w:pPr>
              <w:autoSpaceDE w:val="0"/>
              <w:autoSpaceDN w:val="0"/>
              <w:adjustRightInd w:val="0"/>
              <w:snapToGrid w:val="0"/>
              <w:jc w:val="left"/>
              <w:rPr>
                <w:rFonts w:ascii="宋体" w:hAnsi="宋体"/>
                <w:color w:val="auto"/>
                <w:kern w:val="0"/>
                <w:sz w:val="24"/>
                <w:highlight w:val="none"/>
              </w:rPr>
            </w:pPr>
          </w:p>
        </w:tc>
      </w:tr>
      <w:tr w14:paraId="6AB4976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18AFC2C2">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4210ECA6">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17E4798D">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53D229F1">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5E359A3E">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6789D0B7">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4601435B">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7B18A70E">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0BC95A2B">
            <w:pPr>
              <w:autoSpaceDE w:val="0"/>
              <w:autoSpaceDN w:val="0"/>
              <w:adjustRightInd w:val="0"/>
              <w:snapToGrid w:val="0"/>
              <w:jc w:val="left"/>
              <w:rPr>
                <w:rFonts w:ascii="宋体" w:hAnsi="宋体"/>
                <w:color w:val="auto"/>
                <w:kern w:val="0"/>
                <w:sz w:val="24"/>
                <w:highlight w:val="none"/>
              </w:rPr>
            </w:pPr>
          </w:p>
        </w:tc>
      </w:tr>
      <w:tr w14:paraId="3DB3D60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0628EAA8">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4643DCF6">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2BE0DB06">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515C4F0F">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6F67FF44">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17843D60">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0B4B7287">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693D4296">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13E38442">
            <w:pPr>
              <w:autoSpaceDE w:val="0"/>
              <w:autoSpaceDN w:val="0"/>
              <w:adjustRightInd w:val="0"/>
              <w:snapToGrid w:val="0"/>
              <w:jc w:val="left"/>
              <w:rPr>
                <w:rFonts w:ascii="宋体" w:hAnsi="宋体"/>
                <w:color w:val="auto"/>
                <w:kern w:val="0"/>
                <w:sz w:val="24"/>
                <w:highlight w:val="none"/>
              </w:rPr>
            </w:pPr>
          </w:p>
        </w:tc>
      </w:tr>
      <w:tr w14:paraId="30C0CD0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32B39094">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0F79FD39">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3CBC22D9">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196AEE10">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625AE87E">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00E975F3">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2B3C5F97">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56ED2C4F">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0ECF2F1F">
            <w:pPr>
              <w:autoSpaceDE w:val="0"/>
              <w:autoSpaceDN w:val="0"/>
              <w:adjustRightInd w:val="0"/>
              <w:snapToGrid w:val="0"/>
              <w:jc w:val="left"/>
              <w:rPr>
                <w:rFonts w:ascii="宋体" w:hAnsi="宋体"/>
                <w:color w:val="auto"/>
                <w:kern w:val="0"/>
                <w:sz w:val="24"/>
                <w:highlight w:val="none"/>
              </w:rPr>
            </w:pPr>
          </w:p>
        </w:tc>
      </w:tr>
      <w:tr w14:paraId="0BE9C10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64CD50BC">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177CE273">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44A5D208">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0ED5B055">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62EFDF8D">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226E58B5">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1347DFD8">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47DBD710">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02A424F3">
            <w:pPr>
              <w:autoSpaceDE w:val="0"/>
              <w:autoSpaceDN w:val="0"/>
              <w:adjustRightInd w:val="0"/>
              <w:snapToGrid w:val="0"/>
              <w:jc w:val="left"/>
              <w:rPr>
                <w:rFonts w:ascii="宋体" w:hAnsi="宋体"/>
                <w:color w:val="auto"/>
                <w:kern w:val="0"/>
                <w:sz w:val="24"/>
                <w:highlight w:val="none"/>
              </w:rPr>
            </w:pPr>
          </w:p>
        </w:tc>
      </w:tr>
      <w:tr w14:paraId="667FA6F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66EAB8BA">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47639FB8">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70A4A2E4">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7DEDD960">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0A6A7D4A">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6C584760">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05CF4506">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0F351B53">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3870140A">
            <w:pPr>
              <w:autoSpaceDE w:val="0"/>
              <w:autoSpaceDN w:val="0"/>
              <w:adjustRightInd w:val="0"/>
              <w:snapToGrid w:val="0"/>
              <w:jc w:val="left"/>
              <w:rPr>
                <w:rFonts w:ascii="宋体" w:hAnsi="宋体"/>
                <w:color w:val="auto"/>
                <w:kern w:val="0"/>
                <w:sz w:val="24"/>
                <w:highlight w:val="none"/>
              </w:rPr>
            </w:pPr>
          </w:p>
        </w:tc>
      </w:tr>
      <w:tr w14:paraId="2CD3028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1D038A6C">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2C4C4677">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3E059CEA">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25166953">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581795E3">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71A2C30B">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0F7B8C1D">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615F88B9">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0968F2C1">
            <w:pPr>
              <w:autoSpaceDE w:val="0"/>
              <w:autoSpaceDN w:val="0"/>
              <w:adjustRightInd w:val="0"/>
              <w:snapToGrid w:val="0"/>
              <w:jc w:val="left"/>
              <w:rPr>
                <w:rFonts w:ascii="宋体" w:hAnsi="宋体"/>
                <w:color w:val="auto"/>
                <w:kern w:val="0"/>
                <w:sz w:val="24"/>
                <w:highlight w:val="none"/>
              </w:rPr>
            </w:pPr>
          </w:p>
        </w:tc>
      </w:tr>
      <w:tr w14:paraId="340983E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09C7C150">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18EFC872">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300E3773">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03A6717C">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50B42F05">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396DE9DB">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671BEA52">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7D2C9CE6">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60BB5FDF">
            <w:pPr>
              <w:autoSpaceDE w:val="0"/>
              <w:autoSpaceDN w:val="0"/>
              <w:adjustRightInd w:val="0"/>
              <w:snapToGrid w:val="0"/>
              <w:jc w:val="left"/>
              <w:rPr>
                <w:rFonts w:ascii="宋体" w:hAnsi="宋体"/>
                <w:color w:val="auto"/>
                <w:kern w:val="0"/>
                <w:sz w:val="24"/>
                <w:highlight w:val="none"/>
              </w:rPr>
            </w:pPr>
          </w:p>
        </w:tc>
      </w:tr>
      <w:tr w14:paraId="3EE302C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3078DC5D">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5DA51336">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20F5C914">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776DBA01">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69C16DA5">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73F30575">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02EDB975">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2CF3A25B">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568A90E1">
            <w:pPr>
              <w:autoSpaceDE w:val="0"/>
              <w:autoSpaceDN w:val="0"/>
              <w:adjustRightInd w:val="0"/>
              <w:snapToGrid w:val="0"/>
              <w:jc w:val="left"/>
              <w:rPr>
                <w:rFonts w:ascii="宋体" w:hAnsi="宋体"/>
                <w:color w:val="auto"/>
                <w:kern w:val="0"/>
                <w:sz w:val="24"/>
                <w:highlight w:val="none"/>
              </w:rPr>
            </w:pPr>
          </w:p>
        </w:tc>
      </w:tr>
      <w:tr w14:paraId="62BA972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072110EB">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61CDAD66">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7E2840AE">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1E3AE1E9">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4BB8887D">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68EF9E8C">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5A0FA274">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7472732D">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27E8885E">
            <w:pPr>
              <w:autoSpaceDE w:val="0"/>
              <w:autoSpaceDN w:val="0"/>
              <w:adjustRightInd w:val="0"/>
              <w:snapToGrid w:val="0"/>
              <w:jc w:val="left"/>
              <w:rPr>
                <w:rFonts w:ascii="宋体" w:hAnsi="宋体"/>
                <w:color w:val="auto"/>
                <w:kern w:val="0"/>
                <w:sz w:val="24"/>
                <w:highlight w:val="none"/>
              </w:rPr>
            </w:pPr>
          </w:p>
        </w:tc>
      </w:tr>
      <w:tr w14:paraId="79BBB48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10F2752D">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56B5F8A8">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3AA10473">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53BF12F9">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4F27063B">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2AFD639C">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58E11549">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6DE5BF40">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3F721D5F">
            <w:pPr>
              <w:autoSpaceDE w:val="0"/>
              <w:autoSpaceDN w:val="0"/>
              <w:adjustRightInd w:val="0"/>
              <w:snapToGrid w:val="0"/>
              <w:jc w:val="left"/>
              <w:rPr>
                <w:rFonts w:ascii="宋体" w:hAnsi="宋体"/>
                <w:color w:val="auto"/>
                <w:kern w:val="0"/>
                <w:sz w:val="24"/>
                <w:highlight w:val="none"/>
              </w:rPr>
            </w:pPr>
          </w:p>
        </w:tc>
      </w:tr>
      <w:tr w14:paraId="1A39A82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63E18655">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653D675F">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3D916F98">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17AA1F51">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318AC1E1">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0F6EE532">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10187EBB">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60586563">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421C213C">
            <w:pPr>
              <w:autoSpaceDE w:val="0"/>
              <w:autoSpaceDN w:val="0"/>
              <w:adjustRightInd w:val="0"/>
              <w:snapToGrid w:val="0"/>
              <w:jc w:val="left"/>
              <w:rPr>
                <w:rFonts w:ascii="宋体" w:hAnsi="宋体"/>
                <w:color w:val="auto"/>
                <w:kern w:val="0"/>
                <w:sz w:val="24"/>
                <w:highlight w:val="none"/>
              </w:rPr>
            </w:pPr>
          </w:p>
        </w:tc>
      </w:tr>
      <w:tr w14:paraId="55A79C7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7C398A9A">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6D7A986A">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4066369D">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0E9A6925">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78747186">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1D36096A">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54DF00A1">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6A4B392F">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594BAA16">
            <w:pPr>
              <w:autoSpaceDE w:val="0"/>
              <w:autoSpaceDN w:val="0"/>
              <w:adjustRightInd w:val="0"/>
              <w:snapToGrid w:val="0"/>
              <w:jc w:val="left"/>
              <w:rPr>
                <w:rFonts w:ascii="宋体" w:hAnsi="宋体"/>
                <w:color w:val="auto"/>
                <w:kern w:val="0"/>
                <w:sz w:val="24"/>
                <w:highlight w:val="none"/>
              </w:rPr>
            </w:pPr>
          </w:p>
        </w:tc>
      </w:tr>
      <w:tr w14:paraId="57E9CF2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2CD3EFAB">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54A6B6A7">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26440929">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541F966F">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053DA8B5">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5C226469">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1C315B94">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7C930876">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3B6E92B5">
            <w:pPr>
              <w:autoSpaceDE w:val="0"/>
              <w:autoSpaceDN w:val="0"/>
              <w:adjustRightInd w:val="0"/>
              <w:snapToGrid w:val="0"/>
              <w:jc w:val="left"/>
              <w:rPr>
                <w:rFonts w:ascii="宋体" w:hAnsi="宋体"/>
                <w:color w:val="auto"/>
                <w:kern w:val="0"/>
                <w:sz w:val="24"/>
                <w:highlight w:val="none"/>
              </w:rPr>
            </w:pPr>
          </w:p>
        </w:tc>
      </w:tr>
      <w:tr w14:paraId="4B6C575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4FD73B7C">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68D78DA6">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7EF029C8">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3FA72DD8">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79815696">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188DEAB3">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7DA5693F">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15194CE6">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070629CA">
            <w:pPr>
              <w:autoSpaceDE w:val="0"/>
              <w:autoSpaceDN w:val="0"/>
              <w:adjustRightInd w:val="0"/>
              <w:snapToGrid w:val="0"/>
              <w:jc w:val="left"/>
              <w:rPr>
                <w:rFonts w:ascii="宋体" w:hAnsi="宋体"/>
                <w:color w:val="auto"/>
                <w:kern w:val="0"/>
                <w:sz w:val="24"/>
                <w:highlight w:val="none"/>
              </w:rPr>
            </w:pPr>
          </w:p>
        </w:tc>
      </w:tr>
      <w:tr w14:paraId="631CD3B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2FD85A51">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7BEE0C13">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2467AE3D">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45342928">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5BF5B9D6">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4BF3A617">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562AC20F">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7ECB30CD">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736D4677">
            <w:pPr>
              <w:autoSpaceDE w:val="0"/>
              <w:autoSpaceDN w:val="0"/>
              <w:adjustRightInd w:val="0"/>
              <w:snapToGrid w:val="0"/>
              <w:jc w:val="left"/>
              <w:rPr>
                <w:rFonts w:ascii="宋体" w:hAnsi="宋体"/>
                <w:color w:val="auto"/>
                <w:kern w:val="0"/>
                <w:sz w:val="24"/>
                <w:highlight w:val="none"/>
              </w:rPr>
            </w:pPr>
          </w:p>
        </w:tc>
      </w:tr>
      <w:tr w14:paraId="7B2862E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7B5F5DF9">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405C98EC">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6497CB2C">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1107150F">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4869B09F">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0684C724">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796DA67B">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4A3874B1">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38C6F042">
            <w:pPr>
              <w:autoSpaceDE w:val="0"/>
              <w:autoSpaceDN w:val="0"/>
              <w:adjustRightInd w:val="0"/>
              <w:snapToGrid w:val="0"/>
              <w:jc w:val="left"/>
              <w:rPr>
                <w:rFonts w:ascii="宋体" w:hAnsi="宋体"/>
                <w:color w:val="auto"/>
                <w:kern w:val="0"/>
                <w:sz w:val="24"/>
                <w:highlight w:val="none"/>
              </w:rPr>
            </w:pPr>
          </w:p>
        </w:tc>
      </w:tr>
      <w:tr w14:paraId="714C74E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03D502DE">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349A564A">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3F2716CC">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40CEE400">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392E67A9">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0A41BBDC">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594BDD1B">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6290210A">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6EE56359">
            <w:pPr>
              <w:autoSpaceDE w:val="0"/>
              <w:autoSpaceDN w:val="0"/>
              <w:adjustRightInd w:val="0"/>
              <w:snapToGrid w:val="0"/>
              <w:jc w:val="left"/>
              <w:rPr>
                <w:rFonts w:ascii="宋体" w:hAnsi="宋体"/>
                <w:color w:val="auto"/>
                <w:kern w:val="0"/>
                <w:sz w:val="24"/>
                <w:highlight w:val="none"/>
              </w:rPr>
            </w:pPr>
          </w:p>
        </w:tc>
      </w:tr>
      <w:tr w14:paraId="604ED06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7994E077">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7C23977B">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0B4DC428">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0E8258E4">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728ADCE6">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03104243">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5C30CAB6">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3066AE3F">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0AD2546B">
            <w:pPr>
              <w:autoSpaceDE w:val="0"/>
              <w:autoSpaceDN w:val="0"/>
              <w:adjustRightInd w:val="0"/>
              <w:snapToGrid w:val="0"/>
              <w:jc w:val="left"/>
              <w:rPr>
                <w:rFonts w:ascii="宋体" w:hAnsi="宋体"/>
                <w:color w:val="auto"/>
                <w:kern w:val="0"/>
                <w:sz w:val="24"/>
                <w:highlight w:val="none"/>
              </w:rPr>
            </w:pPr>
          </w:p>
        </w:tc>
      </w:tr>
      <w:tr w14:paraId="0936D3E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7E7C5AAC">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009F399D">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7178A6B2">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2DEB5729">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0E1C6BB4">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36DE754B">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0651F5A5">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3900BDDC">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5B1A59BB">
            <w:pPr>
              <w:autoSpaceDE w:val="0"/>
              <w:autoSpaceDN w:val="0"/>
              <w:adjustRightInd w:val="0"/>
              <w:snapToGrid w:val="0"/>
              <w:jc w:val="left"/>
              <w:rPr>
                <w:rFonts w:ascii="宋体" w:hAnsi="宋体"/>
                <w:color w:val="auto"/>
                <w:kern w:val="0"/>
                <w:sz w:val="24"/>
                <w:highlight w:val="none"/>
              </w:rPr>
            </w:pPr>
          </w:p>
        </w:tc>
      </w:tr>
      <w:tr w14:paraId="19852C5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38DA109E">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57D09A67">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67C5CD40">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0413B1F8">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7284CBFC">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2A225674">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6CBA7CB6">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46E72879">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580814F0">
            <w:pPr>
              <w:autoSpaceDE w:val="0"/>
              <w:autoSpaceDN w:val="0"/>
              <w:adjustRightInd w:val="0"/>
              <w:snapToGrid w:val="0"/>
              <w:jc w:val="left"/>
              <w:rPr>
                <w:rFonts w:ascii="宋体" w:hAnsi="宋体"/>
                <w:color w:val="auto"/>
                <w:kern w:val="0"/>
                <w:sz w:val="24"/>
                <w:highlight w:val="none"/>
              </w:rPr>
            </w:pPr>
          </w:p>
        </w:tc>
      </w:tr>
      <w:tr w14:paraId="37DBBC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2941F49F">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0D150E4F">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425E0CEA">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3FF12428">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03247C9D">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1FCB3FAC">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2B29A199">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7161E6C0">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325B0EBD">
            <w:pPr>
              <w:autoSpaceDE w:val="0"/>
              <w:autoSpaceDN w:val="0"/>
              <w:adjustRightInd w:val="0"/>
              <w:snapToGrid w:val="0"/>
              <w:jc w:val="left"/>
              <w:rPr>
                <w:rFonts w:ascii="宋体" w:hAnsi="宋体"/>
                <w:color w:val="auto"/>
                <w:kern w:val="0"/>
                <w:sz w:val="24"/>
                <w:highlight w:val="none"/>
              </w:rPr>
            </w:pPr>
          </w:p>
        </w:tc>
      </w:tr>
    </w:tbl>
    <w:p w14:paraId="20DED626">
      <w:pPr>
        <w:spacing w:line="20" w:lineRule="exact"/>
        <w:rPr>
          <w:rFonts w:ascii="宋体" w:hAnsi="宋体"/>
          <w:color w:val="auto"/>
          <w:highlight w:val="none"/>
        </w:rPr>
      </w:pPr>
    </w:p>
    <w:p w14:paraId="15D8F36D">
      <w:pPr>
        <w:jc w:val="center"/>
        <w:rPr>
          <w:rFonts w:ascii="宋体" w:hAnsi="宋体"/>
          <w:b/>
          <w:color w:val="auto"/>
          <w:highlight w:val="none"/>
        </w:rPr>
      </w:pPr>
      <w:bookmarkStart w:id="2328" w:name="_Toc224103506"/>
      <w:bookmarkStart w:id="2329" w:name="_Toc287620825"/>
      <w:bookmarkStart w:id="2330" w:name="_Toc287607878"/>
      <w:bookmarkStart w:id="2331" w:name="_Toc430530541"/>
      <w:bookmarkStart w:id="2332" w:name="_Toc277082652"/>
      <w:r>
        <w:rPr>
          <w:rFonts w:ascii="宋体" w:hAnsi="宋体"/>
          <w:color w:val="auto"/>
          <w:sz w:val="28"/>
          <w:highlight w:val="none"/>
        </w:rPr>
        <w:br w:type="page"/>
      </w:r>
      <w:bookmarkStart w:id="2333" w:name="_Toc534185836"/>
      <w:bookmarkStart w:id="2334" w:name="_Toc509218859"/>
      <w:r>
        <w:rPr>
          <w:color w:val="auto"/>
          <w:sz w:val="32"/>
          <w:szCs w:val="32"/>
          <w:highlight w:val="none"/>
        </w:rPr>
        <w:t>附表三：劳动力计划表</w:t>
      </w:r>
      <w:bookmarkEnd w:id="2328"/>
      <w:bookmarkEnd w:id="2329"/>
      <w:bookmarkEnd w:id="2330"/>
      <w:bookmarkEnd w:id="2331"/>
      <w:bookmarkEnd w:id="2332"/>
      <w:bookmarkEnd w:id="2333"/>
      <w:bookmarkEnd w:id="2334"/>
    </w:p>
    <w:p w14:paraId="7346A0B7">
      <w:pPr>
        <w:autoSpaceDE w:val="0"/>
        <w:autoSpaceDN w:val="0"/>
        <w:adjustRightInd w:val="0"/>
        <w:snapToGrid w:val="0"/>
        <w:spacing w:line="360" w:lineRule="auto"/>
        <w:ind w:right="210"/>
        <w:jc w:val="right"/>
        <w:rPr>
          <w:rFonts w:ascii="宋体" w:hAnsi="宋体"/>
          <w:color w:val="auto"/>
          <w:kern w:val="0"/>
          <w:szCs w:val="21"/>
          <w:highlight w:val="none"/>
        </w:rPr>
      </w:pPr>
      <w:r>
        <w:rPr>
          <w:rFonts w:ascii="宋体" w:hAnsi="宋体"/>
          <w:color w:val="auto"/>
          <w:kern w:val="0"/>
          <w:szCs w:val="21"/>
          <w:highlight w:val="none"/>
        </w:rPr>
        <w:t>单位：人</w:t>
      </w:r>
    </w:p>
    <w:tbl>
      <w:tblPr>
        <w:tblStyle w:val="45"/>
        <w:tblW w:w="0" w:type="auto"/>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924"/>
        <w:gridCol w:w="1453"/>
        <w:gridCol w:w="1186"/>
        <w:gridCol w:w="1188"/>
        <w:gridCol w:w="1186"/>
        <w:gridCol w:w="1188"/>
        <w:gridCol w:w="1186"/>
        <w:gridCol w:w="1187"/>
      </w:tblGrid>
      <w:tr w14:paraId="687E2DB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vMerge w:val="restart"/>
            <w:noWrap w:val="0"/>
            <w:vAlign w:val="center"/>
          </w:tcPr>
          <w:p w14:paraId="179D99DA">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工种</w:t>
            </w:r>
          </w:p>
        </w:tc>
        <w:tc>
          <w:tcPr>
            <w:tcW w:w="8574" w:type="dxa"/>
            <w:gridSpan w:val="7"/>
            <w:noWrap w:val="0"/>
            <w:vAlign w:val="center"/>
          </w:tcPr>
          <w:p w14:paraId="2D0EB24A">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按工程施工阶段投入劳动力情况</w:t>
            </w:r>
          </w:p>
        </w:tc>
      </w:tr>
      <w:tr w14:paraId="6F45753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vMerge w:val="continue"/>
            <w:noWrap w:val="0"/>
            <w:vAlign w:val="top"/>
          </w:tcPr>
          <w:p w14:paraId="3A4D831B">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7FB4BE1B">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7BE37B3A">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177B6A87">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72C82D66">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41B54032">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26331C5A">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3D2AA6C2">
            <w:pPr>
              <w:autoSpaceDE w:val="0"/>
              <w:autoSpaceDN w:val="0"/>
              <w:adjustRightInd w:val="0"/>
              <w:snapToGrid w:val="0"/>
              <w:jc w:val="left"/>
              <w:rPr>
                <w:rFonts w:ascii="宋体" w:hAnsi="宋体"/>
                <w:color w:val="auto"/>
                <w:kern w:val="0"/>
                <w:sz w:val="24"/>
                <w:highlight w:val="none"/>
              </w:rPr>
            </w:pPr>
          </w:p>
        </w:tc>
      </w:tr>
      <w:tr w14:paraId="650A707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32973874">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045303D8">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51FE52DD">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34E7D8BA">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201577C4">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38C45098">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023EB65A">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571B7725">
            <w:pPr>
              <w:autoSpaceDE w:val="0"/>
              <w:autoSpaceDN w:val="0"/>
              <w:adjustRightInd w:val="0"/>
              <w:snapToGrid w:val="0"/>
              <w:jc w:val="left"/>
              <w:rPr>
                <w:rFonts w:ascii="宋体" w:hAnsi="宋体"/>
                <w:color w:val="auto"/>
                <w:kern w:val="0"/>
                <w:sz w:val="24"/>
                <w:highlight w:val="none"/>
              </w:rPr>
            </w:pPr>
          </w:p>
        </w:tc>
      </w:tr>
      <w:tr w14:paraId="6B0E879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164ADFD4">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29A906C1">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55520AF4">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2B3E6BDB">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101C65A6">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10F40231">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30F3DB2E">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080C1BAB">
            <w:pPr>
              <w:autoSpaceDE w:val="0"/>
              <w:autoSpaceDN w:val="0"/>
              <w:adjustRightInd w:val="0"/>
              <w:snapToGrid w:val="0"/>
              <w:jc w:val="left"/>
              <w:rPr>
                <w:rFonts w:ascii="宋体" w:hAnsi="宋体"/>
                <w:color w:val="auto"/>
                <w:kern w:val="0"/>
                <w:sz w:val="24"/>
                <w:highlight w:val="none"/>
              </w:rPr>
            </w:pPr>
          </w:p>
        </w:tc>
      </w:tr>
      <w:tr w14:paraId="611A71F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4F246781">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2597987C">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718A5134">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43471D52">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61FA4B07">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079A3C58">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4C1E287D">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48F0F2CF">
            <w:pPr>
              <w:autoSpaceDE w:val="0"/>
              <w:autoSpaceDN w:val="0"/>
              <w:adjustRightInd w:val="0"/>
              <w:snapToGrid w:val="0"/>
              <w:jc w:val="left"/>
              <w:rPr>
                <w:rFonts w:ascii="宋体" w:hAnsi="宋体"/>
                <w:color w:val="auto"/>
                <w:kern w:val="0"/>
                <w:sz w:val="24"/>
                <w:highlight w:val="none"/>
              </w:rPr>
            </w:pPr>
          </w:p>
        </w:tc>
      </w:tr>
      <w:tr w14:paraId="2D74B5F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55F18BC9">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23097BA5">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2F384E41">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6A5E9A94">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584FF494">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2CE9BDB2">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5D9D5970">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5E51CF4A">
            <w:pPr>
              <w:autoSpaceDE w:val="0"/>
              <w:autoSpaceDN w:val="0"/>
              <w:adjustRightInd w:val="0"/>
              <w:snapToGrid w:val="0"/>
              <w:jc w:val="left"/>
              <w:rPr>
                <w:rFonts w:ascii="宋体" w:hAnsi="宋体"/>
                <w:color w:val="auto"/>
                <w:kern w:val="0"/>
                <w:sz w:val="24"/>
                <w:highlight w:val="none"/>
              </w:rPr>
            </w:pPr>
          </w:p>
        </w:tc>
      </w:tr>
      <w:tr w14:paraId="434125E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0CD3F77E">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197E4651">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41265F81">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6B3E2690">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5557E45B">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7C83E6FC">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55F24645">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6D31B009">
            <w:pPr>
              <w:autoSpaceDE w:val="0"/>
              <w:autoSpaceDN w:val="0"/>
              <w:adjustRightInd w:val="0"/>
              <w:snapToGrid w:val="0"/>
              <w:jc w:val="left"/>
              <w:rPr>
                <w:rFonts w:ascii="宋体" w:hAnsi="宋体"/>
                <w:color w:val="auto"/>
                <w:kern w:val="0"/>
                <w:sz w:val="24"/>
                <w:highlight w:val="none"/>
              </w:rPr>
            </w:pPr>
          </w:p>
        </w:tc>
      </w:tr>
      <w:tr w14:paraId="6814BA6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2D721419">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2B4D760A">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7ECBA16E">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2CAFD522">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14C5DC5B">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2B5B79DA">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70856C08">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2B01B9EE">
            <w:pPr>
              <w:autoSpaceDE w:val="0"/>
              <w:autoSpaceDN w:val="0"/>
              <w:adjustRightInd w:val="0"/>
              <w:snapToGrid w:val="0"/>
              <w:jc w:val="left"/>
              <w:rPr>
                <w:rFonts w:ascii="宋体" w:hAnsi="宋体"/>
                <w:color w:val="auto"/>
                <w:kern w:val="0"/>
                <w:sz w:val="24"/>
                <w:highlight w:val="none"/>
              </w:rPr>
            </w:pPr>
          </w:p>
        </w:tc>
      </w:tr>
      <w:tr w14:paraId="46CE949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2242A677">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489E97DD">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3F6A4CDA">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47868AAE">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5AEFEC68">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73AB52D0">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3B5838F6">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3B498BA2">
            <w:pPr>
              <w:autoSpaceDE w:val="0"/>
              <w:autoSpaceDN w:val="0"/>
              <w:adjustRightInd w:val="0"/>
              <w:snapToGrid w:val="0"/>
              <w:jc w:val="left"/>
              <w:rPr>
                <w:rFonts w:ascii="宋体" w:hAnsi="宋体"/>
                <w:color w:val="auto"/>
                <w:kern w:val="0"/>
                <w:sz w:val="24"/>
                <w:highlight w:val="none"/>
              </w:rPr>
            </w:pPr>
          </w:p>
        </w:tc>
      </w:tr>
      <w:tr w14:paraId="27A7868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1B980B09">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1195C9C2">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6D828DF0">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28C59B20">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14893EFC">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42FDFED9">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0F464114">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36BE14BA">
            <w:pPr>
              <w:autoSpaceDE w:val="0"/>
              <w:autoSpaceDN w:val="0"/>
              <w:adjustRightInd w:val="0"/>
              <w:snapToGrid w:val="0"/>
              <w:jc w:val="left"/>
              <w:rPr>
                <w:rFonts w:ascii="宋体" w:hAnsi="宋体"/>
                <w:color w:val="auto"/>
                <w:kern w:val="0"/>
                <w:sz w:val="24"/>
                <w:highlight w:val="none"/>
              </w:rPr>
            </w:pPr>
          </w:p>
        </w:tc>
      </w:tr>
      <w:tr w14:paraId="3FB06C0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25E7438F">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1A6C316D">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614442D0">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50B36506">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463F0C78">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2DC7B03A">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39E73A3D">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0F2402C0">
            <w:pPr>
              <w:autoSpaceDE w:val="0"/>
              <w:autoSpaceDN w:val="0"/>
              <w:adjustRightInd w:val="0"/>
              <w:snapToGrid w:val="0"/>
              <w:jc w:val="left"/>
              <w:rPr>
                <w:rFonts w:ascii="宋体" w:hAnsi="宋体"/>
                <w:color w:val="auto"/>
                <w:kern w:val="0"/>
                <w:sz w:val="24"/>
                <w:highlight w:val="none"/>
              </w:rPr>
            </w:pPr>
          </w:p>
        </w:tc>
      </w:tr>
      <w:tr w14:paraId="6E681BE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66F38510">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449C6F83">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0FB7A174">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0C8AF1B6">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18664599">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023BF660">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372992C0">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70CA9595">
            <w:pPr>
              <w:autoSpaceDE w:val="0"/>
              <w:autoSpaceDN w:val="0"/>
              <w:adjustRightInd w:val="0"/>
              <w:snapToGrid w:val="0"/>
              <w:jc w:val="left"/>
              <w:rPr>
                <w:rFonts w:ascii="宋体" w:hAnsi="宋体"/>
                <w:color w:val="auto"/>
                <w:kern w:val="0"/>
                <w:sz w:val="24"/>
                <w:highlight w:val="none"/>
              </w:rPr>
            </w:pPr>
          </w:p>
        </w:tc>
      </w:tr>
      <w:tr w14:paraId="13A2F1E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7E6EA4C0">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1C5C4D90">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0B66C267">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3F88E648">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215CCD4B">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347CDD50">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3B1067E4">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6D0147DF">
            <w:pPr>
              <w:autoSpaceDE w:val="0"/>
              <w:autoSpaceDN w:val="0"/>
              <w:adjustRightInd w:val="0"/>
              <w:snapToGrid w:val="0"/>
              <w:jc w:val="left"/>
              <w:rPr>
                <w:rFonts w:ascii="宋体" w:hAnsi="宋体"/>
                <w:color w:val="auto"/>
                <w:kern w:val="0"/>
                <w:sz w:val="24"/>
                <w:highlight w:val="none"/>
              </w:rPr>
            </w:pPr>
          </w:p>
        </w:tc>
      </w:tr>
      <w:tr w14:paraId="144E274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2CBC018E">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134DA8F4">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3C4F095E">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210B363F">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7944D1E7">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114D6FBA">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2EAFB871">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4BFDC5D0">
            <w:pPr>
              <w:autoSpaceDE w:val="0"/>
              <w:autoSpaceDN w:val="0"/>
              <w:adjustRightInd w:val="0"/>
              <w:snapToGrid w:val="0"/>
              <w:jc w:val="left"/>
              <w:rPr>
                <w:rFonts w:ascii="宋体" w:hAnsi="宋体"/>
                <w:color w:val="auto"/>
                <w:kern w:val="0"/>
                <w:sz w:val="24"/>
                <w:highlight w:val="none"/>
              </w:rPr>
            </w:pPr>
          </w:p>
        </w:tc>
      </w:tr>
      <w:tr w14:paraId="65DE714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53F25497">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146E1CC7">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2F5D4AF4">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3841C6B2">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2816C599">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7CA12CAD">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47737610">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7197FB92">
            <w:pPr>
              <w:autoSpaceDE w:val="0"/>
              <w:autoSpaceDN w:val="0"/>
              <w:adjustRightInd w:val="0"/>
              <w:snapToGrid w:val="0"/>
              <w:jc w:val="left"/>
              <w:rPr>
                <w:rFonts w:ascii="宋体" w:hAnsi="宋体"/>
                <w:color w:val="auto"/>
                <w:kern w:val="0"/>
                <w:sz w:val="24"/>
                <w:highlight w:val="none"/>
              </w:rPr>
            </w:pPr>
          </w:p>
        </w:tc>
      </w:tr>
      <w:tr w14:paraId="443827B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1D9A04ED">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2CD61149">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232127D5">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024CE40D">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1E4DD2A6">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3D415FEB">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00229007">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14FEC533">
            <w:pPr>
              <w:autoSpaceDE w:val="0"/>
              <w:autoSpaceDN w:val="0"/>
              <w:adjustRightInd w:val="0"/>
              <w:snapToGrid w:val="0"/>
              <w:jc w:val="left"/>
              <w:rPr>
                <w:rFonts w:ascii="宋体" w:hAnsi="宋体"/>
                <w:color w:val="auto"/>
                <w:kern w:val="0"/>
                <w:sz w:val="24"/>
                <w:highlight w:val="none"/>
              </w:rPr>
            </w:pPr>
          </w:p>
        </w:tc>
      </w:tr>
      <w:tr w14:paraId="76BAD97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3FB647CA">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1A303112">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7A8AFEE9">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6CFF89B0">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3DBB0707">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2DD2CDE2">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118BB2D1">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0A3A6DE3">
            <w:pPr>
              <w:autoSpaceDE w:val="0"/>
              <w:autoSpaceDN w:val="0"/>
              <w:adjustRightInd w:val="0"/>
              <w:snapToGrid w:val="0"/>
              <w:jc w:val="left"/>
              <w:rPr>
                <w:rFonts w:ascii="宋体" w:hAnsi="宋体"/>
                <w:color w:val="auto"/>
                <w:kern w:val="0"/>
                <w:sz w:val="24"/>
                <w:highlight w:val="none"/>
              </w:rPr>
            </w:pPr>
          </w:p>
        </w:tc>
      </w:tr>
      <w:tr w14:paraId="1E82822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0B6C5B4A">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37E21F75">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43067591">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3D7D2EE1">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03DAC522">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3E988319">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69AD2718">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6D159089">
            <w:pPr>
              <w:autoSpaceDE w:val="0"/>
              <w:autoSpaceDN w:val="0"/>
              <w:adjustRightInd w:val="0"/>
              <w:snapToGrid w:val="0"/>
              <w:jc w:val="left"/>
              <w:rPr>
                <w:rFonts w:ascii="宋体" w:hAnsi="宋体"/>
                <w:color w:val="auto"/>
                <w:kern w:val="0"/>
                <w:sz w:val="24"/>
                <w:highlight w:val="none"/>
              </w:rPr>
            </w:pPr>
          </w:p>
        </w:tc>
      </w:tr>
      <w:tr w14:paraId="784DD84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0C1B8CA9">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58B5C293">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76E13962">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70E0A473">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428F8D68">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7574A322">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397ACA15">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63C8D96D">
            <w:pPr>
              <w:autoSpaceDE w:val="0"/>
              <w:autoSpaceDN w:val="0"/>
              <w:adjustRightInd w:val="0"/>
              <w:snapToGrid w:val="0"/>
              <w:jc w:val="left"/>
              <w:rPr>
                <w:rFonts w:ascii="宋体" w:hAnsi="宋体"/>
                <w:color w:val="auto"/>
                <w:kern w:val="0"/>
                <w:sz w:val="24"/>
                <w:highlight w:val="none"/>
              </w:rPr>
            </w:pPr>
          </w:p>
        </w:tc>
      </w:tr>
      <w:tr w14:paraId="2469CDA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55002102">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384927EA">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7456AFFE">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59E24ED3">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1735959A">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04399CD9">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6BB74BC8">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6561897C">
            <w:pPr>
              <w:autoSpaceDE w:val="0"/>
              <w:autoSpaceDN w:val="0"/>
              <w:adjustRightInd w:val="0"/>
              <w:snapToGrid w:val="0"/>
              <w:jc w:val="left"/>
              <w:rPr>
                <w:rFonts w:ascii="宋体" w:hAnsi="宋体"/>
                <w:color w:val="auto"/>
                <w:kern w:val="0"/>
                <w:sz w:val="24"/>
                <w:highlight w:val="none"/>
              </w:rPr>
            </w:pPr>
          </w:p>
        </w:tc>
      </w:tr>
      <w:tr w14:paraId="4FF40BF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42F25CD8">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7D18CAD9">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67E599C7">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3E20C9C7">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6D20855B">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6CAF4410">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587F46EF">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7D0AA082">
            <w:pPr>
              <w:autoSpaceDE w:val="0"/>
              <w:autoSpaceDN w:val="0"/>
              <w:adjustRightInd w:val="0"/>
              <w:snapToGrid w:val="0"/>
              <w:jc w:val="left"/>
              <w:rPr>
                <w:rFonts w:ascii="宋体" w:hAnsi="宋体"/>
                <w:color w:val="auto"/>
                <w:kern w:val="0"/>
                <w:sz w:val="24"/>
                <w:highlight w:val="none"/>
              </w:rPr>
            </w:pPr>
          </w:p>
        </w:tc>
      </w:tr>
      <w:tr w14:paraId="6063341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4548E5CB">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7FAA52C0">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0B1CEC90">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2A0CDF29">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22580C09">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2008EE18">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54DD8C46">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43C96F18">
            <w:pPr>
              <w:autoSpaceDE w:val="0"/>
              <w:autoSpaceDN w:val="0"/>
              <w:adjustRightInd w:val="0"/>
              <w:snapToGrid w:val="0"/>
              <w:jc w:val="left"/>
              <w:rPr>
                <w:rFonts w:ascii="宋体" w:hAnsi="宋体"/>
                <w:color w:val="auto"/>
                <w:kern w:val="0"/>
                <w:sz w:val="24"/>
                <w:highlight w:val="none"/>
              </w:rPr>
            </w:pPr>
          </w:p>
        </w:tc>
      </w:tr>
      <w:tr w14:paraId="6E1819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746F918C">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1F1F174C">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17427305">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51513D12">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4463A23E">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1AC7741E">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76001164">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13D14C50">
            <w:pPr>
              <w:autoSpaceDE w:val="0"/>
              <w:autoSpaceDN w:val="0"/>
              <w:adjustRightInd w:val="0"/>
              <w:snapToGrid w:val="0"/>
              <w:jc w:val="left"/>
              <w:rPr>
                <w:rFonts w:ascii="宋体" w:hAnsi="宋体"/>
                <w:color w:val="auto"/>
                <w:kern w:val="0"/>
                <w:sz w:val="24"/>
                <w:highlight w:val="none"/>
              </w:rPr>
            </w:pPr>
          </w:p>
        </w:tc>
      </w:tr>
      <w:tr w14:paraId="1CFDFB6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405FCC97">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54023A93">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3B17ED68">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2906B908">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46149799">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2470FD40">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50750F58">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7CFBB713">
            <w:pPr>
              <w:autoSpaceDE w:val="0"/>
              <w:autoSpaceDN w:val="0"/>
              <w:adjustRightInd w:val="0"/>
              <w:snapToGrid w:val="0"/>
              <w:jc w:val="left"/>
              <w:rPr>
                <w:rFonts w:ascii="宋体" w:hAnsi="宋体"/>
                <w:color w:val="auto"/>
                <w:kern w:val="0"/>
                <w:sz w:val="24"/>
                <w:highlight w:val="none"/>
              </w:rPr>
            </w:pPr>
          </w:p>
        </w:tc>
      </w:tr>
      <w:tr w14:paraId="598D980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160AC71B">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4D8B03A1">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02C28DA2">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2452743E">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4677666A">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147E2EEC">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453DA617">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33F20940">
            <w:pPr>
              <w:autoSpaceDE w:val="0"/>
              <w:autoSpaceDN w:val="0"/>
              <w:adjustRightInd w:val="0"/>
              <w:snapToGrid w:val="0"/>
              <w:jc w:val="left"/>
              <w:rPr>
                <w:rFonts w:ascii="宋体" w:hAnsi="宋体"/>
                <w:color w:val="auto"/>
                <w:kern w:val="0"/>
                <w:sz w:val="24"/>
                <w:highlight w:val="none"/>
              </w:rPr>
            </w:pPr>
          </w:p>
        </w:tc>
      </w:tr>
      <w:tr w14:paraId="031845F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42BBADC8">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055C91F2">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4E601E67">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1922E65B">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62AAEC9B">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189B1FCF">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6D135C0E">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4A3348CA">
            <w:pPr>
              <w:autoSpaceDE w:val="0"/>
              <w:autoSpaceDN w:val="0"/>
              <w:adjustRightInd w:val="0"/>
              <w:snapToGrid w:val="0"/>
              <w:jc w:val="left"/>
              <w:rPr>
                <w:rFonts w:ascii="宋体" w:hAnsi="宋体"/>
                <w:color w:val="auto"/>
                <w:kern w:val="0"/>
                <w:sz w:val="24"/>
                <w:highlight w:val="none"/>
              </w:rPr>
            </w:pPr>
          </w:p>
        </w:tc>
      </w:tr>
    </w:tbl>
    <w:p w14:paraId="26027651">
      <w:pPr>
        <w:autoSpaceDE w:val="0"/>
        <w:autoSpaceDN w:val="0"/>
        <w:adjustRightInd w:val="0"/>
        <w:snapToGrid w:val="0"/>
        <w:spacing w:line="20" w:lineRule="exact"/>
        <w:jc w:val="left"/>
        <w:rPr>
          <w:rFonts w:ascii="宋体" w:hAnsi="宋体"/>
          <w:color w:val="auto"/>
          <w:kern w:val="0"/>
          <w:highlight w:val="none"/>
        </w:rPr>
      </w:pPr>
    </w:p>
    <w:p w14:paraId="1B5B3D8B">
      <w:pPr>
        <w:jc w:val="center"/>
        <w:rPr>
          <w:rFonts w:ascii="宋体" w:hAnsi="宋体"/>
          <w:b/>
          <w:color w:val="auto"/>
          <w:highlight w:val="none"/>
        </w:rPr>
      </w:pPr>
      <w:bookmarkStart w:id="2335" w:name="_Toc430530542"/>
      <w:r>
        <w:rPr>
          <w:rFonts w:ascii="宋体" w:hAnsi="宋体"/>
          <w:color w:val="auto"/>
          <w:sz w:val="28"/>
          <w:highlight w:val="none"/>
        </w:rPr>
        <w:br w:type="page"/>
      </w:r>
      <w:bookmarkStart w:id="2336" w:name="_Toc509218860"/>
      <w:bookmarkStart w:id="2337" w:name="_Toc534185837"/>
      <w:r>
        <w:rPr>
          <w:color w:val="auto"/>
          <w:sz w:val="32"/>
          <w:szCs w:val="32"/>
          <w:highlight w:val="none"/>
        </w:rPr>
        <w:t>附表四：计划开、竣工日期和施工进度网络图</w:t>
      </w:r>
      <w:bookmarkEnd w:id="2317"/>
      <w:bookmarkEnd w:id="2318"/>
      <w:bookmarkEnd w:id="2319"/>
      <w:bookmarkEnd w:id="2320"/>
      <w:bookmarkEnd w:id="2335"/>
      <w:bookmarkEnd w:id="2336"/>
      <w:bookmarkEnd w:id="2337"/>
    </w:p>
    <w:p w14:paraId="4EE099C6">
      <w:pPr>
        <w:autoSpaceDE w:val="0"/>
        <w:autoSpaceDN w:val="0"/>
        <w:adjustRightInd w:val="0"/>
        <w:snapToGrid w:val="0"/>
        <w:spacing w:line="360" w:lineRule="auto"/>
        <w:jc w:val="left"/>
        <w:rPr>
          <w:rFonts w:ascii="宋体" w:hAnsi="宋体"/>
          <w:color w:val="auto"/>
          <w:kern w:val="0"/>
          <w:sz w:val="20"/>
          <w:szCs w:val="20"/>
          <w:highlight w:val="none"/>
        </w:rPr>
      </w:pPr>
    </w:p>
    <w:p w14:paraId="60BDDFCD">
      <w:pPr>
        <w:autoSpaceDE w:val="0"/>
        <w:autoSpaceDN w:val="0"/>
        <w:adjustRightInd w:val="0"/>
        <w:snapToGrid w:val="0"/>
        <w:spacing w:line="360" w:lineRule="auto"/>
        <w:ind w:firstLine="420"/>
        <w:jc w:val="left"/>
        <w:rPr>
          <w:rFonts w:ascii="宋体" w:hAnsi="宋体"/>
          <w:color w:val="auto"/>
          <w:kern w:val="0"/>
          <w:szCs w:val="21"/>
          <w:highlight w:val="none"/>
        </w:rPr>
      </w:pPr>
      <w:r>
        <w:rPr>
          <w:rFonts w:ascii="宋体" w:hAnsi="宋体"/>
          <w:color w:val="auto"/>
          <w:kern w:val="0"/>
          <w:szCs w:val="21"/>
          <w:highlight w:val="none"/>
        </w:rPr>
        <w:t xml:space="preserve">1. </w:t>
      </w:r>
      <w:r>
        <w:rPr>
          <w:rFonts w:ascii="宋体" w:hAnsi="宋体"/>
          <w:color w:val="auto"/>
          <w:spacing w:val="1"/>
          <w:kern w:val="0"/>
          <w:szCs w:val="21"/>
          <w:highlight w:val="none"/>
        </w:rPr>
        <w:t>投标人</w:t>
      </w:r>
      <w:r>
        <w:rPr>
          <w:rFonts w:ascii="宋体" w:hAnsi="宋体"/>
          <w:color w:val="auto"/>
          <w:spacing w:val="2"/>
          <w:kern w:val="0"/>
          <w:szCs w:val="21"/>
          <w:highlight w:val="none"/>
        </w:rPr>
        <w:t>应</w:t>
      </w:r>
      <w:r>
        <w:rPr>
          <w:rFonts w:ascii="宋体" w:hAnsi="宋体"/>
          <w:color w:val="auto"/>
          <w:spacing w:val="1"/>
          <w:kern w:val="0"/>
          <w:szCs w:val="21"/>
          <w:highlight w:val="none"/>
        </w:rPr>
        <w:t>递交</w:t>
      </w:r>
      <w:r>
        <w:rPr>
          <w:rFonts w:ascii="宋体" w:hAnsi="宋体"/>
          <w:color w:val="auto"/>
          <w:spacing w:val="2"/>
          <w:kern w:val="0"/>
          <w:szCs w:val="21"/>
          <w:highlight w:val="none"/>
        </w:rPr>
        <w:t>施</w:t>
      </w:r>
      <w:r>
        <w:rPr>
          <w:rFonts w:ascii="宋体" w:hAnsi="宋体"/>
          <w:color w:val="auto"/>
          <w:spacing w:val="1"/>
          <w:kern w:val="0"/>
          <w:szCs w:val="21"/>
          <w:highlight w:val="none"/>
        </w:rPr>
        <w:t>工</w:t>
      </w:r>
      <w:r>
        <w:rPr>
          <w:rFonts w:ascii="宋体" w:hAnsi="宋体"/>
          <w:color w:val="auto"/>
          <w:spacing w:val="2"/>
          <w:kern w:val="0"/>
          <w:szCs w:val="21"/>
          <w:highlight w:val="none"/>
        </w:rPr>
        <w:t>进</w:t>
      </w:r>
      <w:r>
        <w:rPr>
          <w:rFonts w:ascii="宋体" w:hAnsi="宋体"/>
          <w:color w:val="auto"/>
          <w:spacing w:val="1"/>
          <w:kern w:val="0"/>
          <w:szCs w:val="21"/>
          <w:highlight w:val="none"/>
        </w:rPr>
        <w:t>度网</w:t>
      </w:r>
      <w:r>
        <w:rPr>
          <w:rFonts w:ascii="宋体" w:hAnsi="宋体"/>
          <w:color w:val="auto"/>
          <w:spacing w:val="2"/>
          <w:kern w:val="0"/>
          <w:szCs w:val="21"/>
          <w:highlight w:val="none"/>
        </w:rPr>
        <w:t>络</w:t>
      </w:r>
      <w:r>
        <w:rPr>
          <w:rFonts w:ascii="宋体" w:hAnsi="宋体"/>
          <w:color w:val="auto"/>
          <w:spacing w:val="1"/>
          <w:kern w:val="0"/>
          <w:szCs w:val="21"/>
          <w:highlight w:val="none"/>
        </w:rPr>
        <w:t>图</w:t>
      </w:r>
      <w:r>
        <w:rPr>
          <w:rFonts w:ascii="宋体" w:hAnsi="宋体"/>
          <w:color w:val="auto"/>
          <w:spacing w:val="2"/>
          <w:kern w:val="0"/>
          <w:szCs w:val="21"/>
          <w:highlight w:val="none"/>
        </w:rPr>
        <w:t>或</w:t>
      </w:r>
      <w:r>
        <w:rPr>
          <w:rFonts w:ascii="宋体" w:hAnsi="宋体"/>
          <w:color w:val="auto"/>
          <w:spacing w:val="1"/>
          <w:kern w:val="0"/>
          <w:szCs w:val="21"/>
          <w:highlight w:val="none"/>
        </w:rPr>
        <w:t>施工</w:t>
      </w:r>
      <w:r>
        <w:rPr>
          <w:rFonts w:ascii="宋体" w:hAnsi="宋体"/>
          <w:color w:val="auto"/>
          <w:spacing w:val="2"/>
          <w:kern w:val="0"/>
          <w:szCs w:val="21"/>
          <w:highlight w:val="none"/>
        </w:rPr>
        <w:t>进</w:t>
      </w:r>
      <w:r>
        <w:rPr>
          <w:rFonts w:ascii="宋体" w:hAnsi="宋体"/>
          <w:color w:val="auto"/>
          <w:spacing w:val="1"/>
          <w:kern w:val="0"/>
          <w:szCs w:val="21"/>
          <w:highlight w:val="none"/>
        </w:rPr>
        <w:t>度</w:t>
      </w:r>
      <w:r>
        <w:rPr>
          <w:rFonts w:ascii="宋体" w:hAnsi="宋体"/>
          <w:color w:val="auto"/>
          <w:spacing w:val="2"/>
          <w:kern w:val="0"/>
          <w:szCs w:val="21"/>
          <w:highlight w:val="none"/>
        </w:rPr>
        <w:t>表</w:t>
      </w:r>
      <w:r>
        <w:rPr>
          <w:rFonts w:ascii="宋体" w:hAnsi="宋体"/>
          <w:color w:val="auto"/>
          <w:spacing w:val="1"/>
          <w:kern w:val="0"/>
          <w:szCs w:val="21"/>
          <w:highlight w:val="none"/>
        </w:rPr>
        <w:t>，说</w:t>
      </w:r>
      <w:r>
        <w:rPr>
          <w:rFonts w:ascii="宋体" w:hAnsi="宋体"/>
          <w:color w:val="auto"/>
          <w:spacing w:val="2"/>
          <w:kern w:val="0"/>
          <w:szCs w:val="21"/>
          <w:highlight w:val="none"/>
        </w:rPr>
        <w:t>明</w:t>
      </w:r>
      <w:r>
        <w:rPr>
          <w:rFonts w:ascii="宋体" w:hAnsi="宋体"/>
          <w:color w:val="auto"/>
          <w:spacing w:val="1"/>
          <w:kern w:val="0"/>
          <w:szCs w:val="21"/>
          <w:highlight w:val="none"/>
        </w:rPr>
        <w:t>按</w:t>
      </w:r>
      <w:r>
        <w:rPr>
          <w:rFonts w:ascii="宋体" w:hAnsi="宋体"/>
          <w:color w:val="auto"/>
          <w:spacing w:val="2"/>
          <w:kern w:val="0"/>
          <w:szCs w:val="21"/>
          <w:highlight w:val="none"/>
        </w:rPr>
        <w:t>招</w:t>
      </w:r>
      <w:r>
        <w:rPr>
          <w:rFonts w:ascii="宋体" w:hAnsi="宋体"/>
          <w:color w:val="auto"/>
          <w:spacing w:val="1"/>
          <w:kern w:val="0"/>
          <w:szCs w:val="21"/>
          <w:highlight w:val="none"/>
        </w:rPr>
        <w:t>标文</w:t>
      </w:r>
      <w:r>
        <w:rPr>
          <w:rFonts w:ascii="宋体" w:hAnsi="宋体"/>
          <w:color w:val="auto"/>
          <w:spacing w:val="2"/>
          <w:kern w:val="0"/>
          <w:szCs w:val="21"/>
          <w:highlight w:val="none"/>
        </w:rPr>
        <w:t>件</w:t>
      </w:r>
      <w:r>
        <w:rPr>
          <w:rFonts w:ascii="宋体" w:hAnsi="宋体"/>
          <w:color w:val="auto"/>
          <w:spacing w:val="1"/>
          <w:kern w:val="0"/>
          <w:szCs w:val="21"/>
          <w:highlight w:val="none"/>
        </w:rPr>
        <w:t>要</w:t>
      </w:r>
      <w:r>
        <w:rPr>
          <w:rFonts w:ascii="宋体" w:hAnsi="宋体"/>
          <w:color w:val="auto"/>
          <w:spacing w:val="2"/>
          <w:kern w:val="0"/>
          <w:szCs w:val="21"/>
          <w:highlight w:val="none"/>
        </w:rPr>
        <w:t>求</w:t>
      </w:r>
      <w:r>
        <w:rPr>
          <w:rFonts w:ascii="宋体" w:hAnsi="宋体"/>
          <w:color w:val="auto"/>
          <w:spacing w:val="1"/>
          <w:kern w:val="0"/>
          <w:szCs w:val="21"/>
          <w:highlight w:val="none"/>
        </w:rPr>
        <w:t>的计</w:t>
      </w:r>
      <w:r>
        <w:rPr>
          <w:rFonts w:ascii="宋体" w:hAnsi="宋体"/>
          <w:color w:val="auto"/>
          <w:spacing w:val="2"/>
          <w:kern w:val="0"/>
          <w:szCs w:val="21"/>
          <w:highlight w:val="none"/>
        </w:rPr>
        <w:t>划</w:t>
      </w:r>
      <w:r>
        <w:rPr>
          <w:rFonts w:ascii="宋体" w:hAnsi="宋体"/>
          <w:color w:val="auto"/>
          <w:spacing w:val="1"/>
          <w:kern w:val="0"/>
          <w:szCs w:val="21"/>
          <w:highlight w:val="none"/>
        </w:rPr>
        <w:t>工</w:t>
      </w:r>
      <w:r>
        <w:rPr>
          <w:rFonts w:ascii="宋体" w:hAnsi="宋体"/>
          <w:color w:val="auto"/>
          <w:spacing w:val="4"/>
          <w:kern w:val="0"/>
          <w:szCs w:val="21"/>
          <w:highlight w:val="none"/>
        </w:rPr>
        <w:t>期</w:t>
      </w:r>
      <w:r>
        <w:rPr>
          <w:rFonts w:ascii="宋体" w:hAnsi="宋体"/>
          <w:color w:val="auto"/>
          <w:spacing w:val="2"/>
          <w:kern w:val="0"/>
          <w:szCs w:val="21"/>
          <w:highlight w:val="none"/>
        </w:rPr>
        <w:t>进</w:t>
      </w:r>
      <w:r>
        <w:rPr>
          <w:rFonts w:ascii="宋体" w:hAnsi="宋体"/>
          <w:color w:val="auto"/>
          <w:spacing w:val="1"/>
          <w:kern w:val="0"/>
          <w:szCs w:val="21"/>
          <w:highlight w:val="none"/>
        </w:rPr>
        <w:t>行</w:t>
      </w:r>
      <w:r>
        <w:rPr>
          <w:rFonts w:ascii="宋体" w:hAnsi="宋体"/>
          <w:color w:val="auto"/>
          <w:kern w:val="0"/>
          <w:szCs w:val="21"/>
          <w:highlight w:val="none"/>
        </w:rPr>
        <w:t>施工的各个关键日期。</w:t>
      </w:r>
    </w:p>
    <w:p w14:paraId="053C88E6">
      <w:pPr>
        <w:autoSpaceDE w:val="0"/>
        <w:autoSpaceDN w:val="0"/>
        <w:adjustRightInd w:val="0"/>
        <w:snapToGrid w:val="0"/>
        <w:spacing w:line="360" w:lineRule="auto"/>
        <w:ind w:firstLine="424" w:firstLineChars="202"/>
        <w:jc w:val="left"/>
        <w:rPr>
          <w:rFonts w:ascii="宋体" w:hAnsi="宋体"/>
          <w:color w:val="auto"/>
          <w:kern w:val="0"/>
          <w:szCs w:val="21"/>
          <w:highlight w:val="none"/>
        </w:rPr>
      </w:pPr>
      <w:r>
        <w:rPr>
          <w:rFonts w:ascii="宋体" w:hAnsi="宋体"/>
          <w:color w:val="auto"/>
          <w:kern w:val="0"/>
          <w:szCs w:val="21"/>
          <w:highlight w:val="none"/>
        </w:rPr>
        <w:t>2.施工进</w:t>
      </w:r>
      <w:r>
        <w:rPr>
          <w:rFonts w:ascii="宋体" w:hAnsi="宋体"/>
          <w:color w:val="auto"/>
          <w:spacing w:val="-1"/>
          <w:kern w:val="0"/>
          <w:szCs w:val="21"/>
          <w:highlight w:val="none"/>
        </w:rPr>
        <w:t>度</w:t>
      </w:r>
      <w:r>
        <w:rPr>
          <w:rFonts w:ascii="宋体" w:hAnsi="宋体"/>
          <w:color w:val="auto"/>
          <w:kern w:val="0"/>
          <w:szCs w:val="21"/>
          <w:highlight w:val="none"/>
        </w:rPr>
        <w:t>表可采用网络图（或横道图）表示。</w:t>
      </w:r>
    </w:p>
    <w:p w14:paraId="27126FE6">
      <w:pPr>
        <w:jc w:val="center"/>
        <w:rPr>
          <w:rFonts w:ascii="宋体" w:hAnsi="宋体"/>
          <w:color w:val="auto"/>
          <w:sz w:val="28"/>
          <w:highlight w:val="none"/>
        </w:rPr>
      </w:pPr>
      <w:bookmarkStart w:id="2338" w:name="_Toc277082654"/>
      <w:bookmarkStart w:id="2339" w:name="_Toc287607880"/>
      <w:bookmarkStart w:id="2340" w:name="_Toc509218861"/>
      <w:bookmarkStart w:id="2341" w:name="_Toc287620827"/>
      <w:bookmarkStart w:id="2342" w:name="_Toc534185838"/>
      <w:bookmarkStart w:id="2343" w:name="_Toc224103508"/>
      <w:bookmarkStart w:id="2344" w:name="_Toc430530543"/>
      <w:r>
        <w:rPr>
          <w:rFonts w:ascii="宋体" w:hAnsi="宋体"/>
          <w:color w:val="auto"/>
          <w:kern w:val="0"/>
          <w:sz w:val="24"/>
          <w:highlight w:val="none"/>
        </w:rPr>
        <w:br w:type="page"/>
      </w:r>
      <w:r>
        <w:rPr>
          <w:color w:val="auto"/>
          <w:sz w:val="32"/>
          <w:szCs w:val="32"/>
          <w:highlight w:val="none"/>
        </w:rPr>
        <w:t>附表五：施工总平面图</w:t>
      </w:r>
      <w:bookmarkEnd w:id="2338"/>
      <w:bookmarkEnd w:id="2339"/>
      <w:bookmarkEnd w:id="2340"/>
      <w:bookmarkEnd w:id="2341"/>
      <w:bookmarkEnd w:id="2342"/>
      <w:bookmarkEnd w:id="2343"/>
      <w:bookmarkEnd w:id="2344"/>
    </w:p>
    <w:p w14:paraId="316394C0">
      <w:pPr>
        <w:autoSpaceDE w:val="0"/>
        <w:autoSpaceDN w:val="0"/>
        <w:adjustRightInd w:val="0"/>
        <w:snapToGrid w:val="0"/>
        <w:spacing w:line="360" w:lineRule="auto"/>
        <w:jc w:val="left"/>
        <w:rPr>
          <w:rFonts w:ascii="宋体" w:hAnsi="宋体"/>
          <w:color w:val="auto"/>
          <w:kern w:val="0"/>
          <w:sz w:val="20"/>
          <w:szCs w:val="20"/>
          <w:highlight w:val="none"/>
        </w:rPr>
      </w:pPr>
    </w:p>
    <w:p w14:paraId="5F24618E">
      <w:pPr>
        <w:autoSpaceDE w:val="0"/>
        <w:autoSpaceDN w:val="0"/>
        <w:adjustRightInd w:val="0"/>
        <w:snapToGrid w:val="0"/>
        <w:spacing w:line="360" w:lineRule="auto"/>
        <w:ind w:firstLine="424" w:firstLineChars="202"/>
        <w:jc w:val="left"/>
        <w:rPr>
          <w:rFonts w:ascii="宋体" w:hAnsi="宋体"/>
          <w:color w:val="auto"/>
          <w:kern w:val="0"/>
          <w:szCs w:val="21"/>
          <w:highlight w:val="none"/>
        </w:rPr>
      </w:pPr>
      <w:r>
        <w:rPr>
          <w:rFonts w:ascii="宋体" w:hAnsi="宋体"/>
          <w:color w:val="auto"/>
          <w:kern w:val="0"/>
          <w:szCs w:val="21"/>
          <w:highlight w:val="none"/>
        </w:rPr>
        <w:t>投标人应递交一份施工总平面图</w:t>
      </w:r>
      <w:r>
        <w:rPr>
          <w:rFonts w:ascii="宋体" w:hAnsi="宋体"/>
          <w:color w:val="auto"/>
          <w:spacing w:val="-47"/>
          <w:kern w:val="0"/>
          <w:szCs w:val="21"/>
          <w:highlight w:val="none"/>
        </w:rPr>
        <w:t>，</w:t>
      </w:r>
      <w:r>
        <w:rPr>
          <w:rFonts w:ascii="宋体" w:hAnsi="宋体"/>
          <w:color w:val="auto"/>
          <w:kern w:val="0"/>
          <w:szCs w:val="21"/>
          <w:highlight w:val="none"/>
        </w:rPr>
        <w:t>绘出现场临时设施布置图表并附文字说明</w:t>
      </w:r>
      <w:r>
        <w:rPr>
          <w:rFonts w:ascii="宋体" w:hAnsi="宋体"/>
          <w:color w:val="auto"/>
          <w:spacing w:val="-47"/>
          <w:kern w:val="0"/>
          <w:szCs w:val="21"/>
          <w:highlight w:val="none"/>
        </w:rPr>
        <w:t>，</w:t>
      </w:r>
      <w:r>
        <w:rPr>
          <w:rFonts w:ascii="宋体" w:hAnsi="宋体"/>
          <w:color w:val="auto"/>
          <w:kern w:val="0"/>
          <w:szCs w:val="21"/>
          <w:highlight w:val="none"/>
        </w:rPr>
        <w:t>说明临时 设施</w:t>
      </w:r>
      <w:r>
        <w:rPr>
          <w:rFonts w:ascii="宋体" w:hAnsi="宋体"/>
          <w:color w:val="auto"/>
          <w:spacing w:val="-11"/>
          <w:kern w:val="0"/>
          <w:szCs w:val="21"/>
          <w:highlight w:val="none"/>
        </w:rPr>
        <w:t>、</w:t>
      </w:r>
      <w:r>
        <w:rPr>
          <w:rFonts w:ascii="宋体" w:hAnsi="宋体"/>
          <w:color w:val="auto"/>
          <w:kern w:val="0"/>
          <w:szCs w:val="21"/>
          <w:highlight w:val="none"/>
        </w:rPr>
        <w:t>加工车间</w:t>
      </w:r>
      <w:r>
        <w:rPr>
          <w:rFonts w:ascii="宋体" w:hAnsi="宋体"/>
          <w:color w:val="auto"/>
          <w:spacing w:val="-11"/>
          <w:kern w:val="0"/>
          <w:szCs w:val="21"/>
          <w:highlight w:val="none"/>
        </w:rPr>
        <w:t>、</w:t>
      </w:r>
      <w:r>
        <w:rPr>
          <w:rFonts w:ascii="宋体" w:hAnsi="宋体"/>
          <w:color w:val="auto"/>
          <w:kern w:val="0"/>
          <w:szCs w:val="21"/>
          <w:highlight w:val="none"/>
        </w:rPr>
        <w:t>现场办公</w:t>
      </w:r>
      <w:r>
        <w:rPr>
          <w:rFonts w:ascii="宋体" w:hAnsi="宋体"/>
          <w:color w:val="auto"/>
          <w:spacing w:val="-11"/>
          <w:kern w:val="0"/>
          <w:szCs w:val="21"/>
          <w:highlight w:val="none"/>
        </w:rPr>
        <w:t>、</w:t>
      </w:r>
      <w:r>
        <w:rPr>
          <w:rFonts w:ascii="宋体" w:hAnsi="宋体"/>
          <w:color w:val="auto"/>
          <w:kern w:val="0"/>
          <w:szCs w:val="21"/>
          <w:highlight w:val="none"/>
        </w:rPr>
        <w:t>设备及仓储</w:t>
      </w:r>
      <w:r>
        <w:rPr>
          <w:rFonts w:ascii="宋体" w:hAnsi="宋体"/>
          <w:color w:val="auto"/>
          <w:spacing w:val="-11"/>
          <w:kern w:val="0"/>
          <w:szCs w:val="21"/>
          <w:highlight w:val="none"/>
        </w:rPr>
        <w:t>、</w:t>
      </w:r>
      <w:r>
        <w:rPr>
          <w:rFonts w:ascii="宋体" w:hAnsi="宋体"/>
          <w:color w:val="auto"/>
          <w:kern w:val="0"/>
          <w:szCs w:val="21"/>
          <w:highlight w:val="none"/>
        </w:rPr>
        <w:t>供电</w:t>
      </w:r>
      <w:r>
        <w:rPr>
          <w:rFonts w:ascii="宋体" w:hAnsi="宋体"/>
          <w:color w:val="auto"/>
          <w:spacing w:val="-11"/>
          <w:kern w:val="0"/>
          <w:szCs w:val="21"/>
          <w:highlight w:val="none"/>
        </w:rPr>
        <w:t>、</w:t>
      </w:r>
      <w:r>
        <w:rPr>
          <w:rFonts w:ascii="宋体" w:hAnsi="宋体"/>
          <w:color w:val="auto"/>
          <w:kern w:val="0"/>
          <w:szCs w:val="21"/>
          <w:highlight w:val="none"/>
        </w:rPr>
        <w:t>供水</w:t>
      </w:r>
      <w:r>
        <w:rPr>
          <w:rFonts w:ascii="宋体" w:hAnsi="宋体"/>
          <w:color w:val="auto"/>
          <w:spacing w:val="-10"/>
          <w:kern w:val="0"/>
          <w:szCs w:val="21"/>
          <w:highlight w:val="none"/>
        </w:rPr>
        <w:t>、</w:t>
      </w:r>
      <w:r>
        <w:rPr>
          <w:rFonts w:ascii="宋体" w:hAnsi="宋体"/>
          <w:color w:val="auto"/>
          <w:kern w:val="0"/>
          <w:szCs w:val="21"/>
          <w:highlight w:val="none"/>
        </w:rPr>
        <w:t>卫生</w:t>
      </w:r>
      <w:r>
        <w:rPr>
          <w:rFonts w:ascii="宋体" w:hAnsi="宋体"/>
          <w:color w:val="auto"/>
          <w:spacing w:val="-11"/>
          <w:kern w:val="0"/>
          <w:szCs w:val="21"/>
          <w:highlight w:val="none"/>
        </w:rPr>
        <w:t>、</w:t>
      </w:r>
      <w:r>
        <w:rPr>
          <w:rFonts w:ascii="宋体" w:hAnsi="宋体"/>
          <w:color w:val="auto"/>
          <w:kern w:val="0"/>
          <w:szCs w:val="21"/>
          <w:highlight w:val="none"/>
        </w:rPr>
        <w:t>生活</w:t>
      </w:r>
      <w:r>
        <w:rPr>
          <w:rFonts w:ascii="宋体" w:hAnsi="宋体"/>
          <w:color w:val="auto"/>
          <w:spacing w:val="-11"/>
          <w:kern w:val="0"/>
          <w:szCs w:val="21"/>
          <w:highlight w:val="none"/>
        </w:rPr>
        <w:t>、</w:t>
      </w:r>
      <w:r>
        <w:rPr>
          <w:rFonts w:ascii="宋体" w:hAnsi="宋体"/>
          <w:color w:val="auto"/>
          <w:kern w:val="0"/>
          <w:szCs w:val="21"/>
          <w:highlight w:val="none"/>
        </w:rPr>
        <w:t>道路</w:t>
      </w:r>
      <w:r>
        <w:rPr>
          <w:rFonts w:ascii="宋体" w:hAnsi="宋体"/>
          <w:color w:val="auto"/>
          <w:spacing w:val="-11"/>
          <w:kern w:val="0"/>
          <w:szCs w:val="21"/>
          <w:highlight w:val="none"/>
        </w:rPr>
        <w:t>、</w:t>
      </w:r>
      <w:r>
        <w:rPr>
          <w:rFonts w:ascii="宋体" w:hAnsi="宋体"/>
          <w:color w:val="auto"/>
          <w:spacing w:val="1"/>
          <w:kern w:val="0"/>
          <w:szCs w:val="21"/>
          <w:highlight w:val="none"/>
        </w:rPr>
        <w:t>消</w:t>
      </w:r>
      <w:r>
        <w:rPr>
          <w:rFonts w:ascii="宋体" w:hAnsi="宋体"/>
          <w:color w:val="auto"/>
          <w:kern w:val="0"/>
          <w:szCs w:val="21"/>
          <w:highlight w:val="none"/>
        </w:rPr>
        <w:t>防等设施的情况和布置。</w:t>
      </w:r>
    </w:p>
    <w:p w14:paraId="6BEC5014">
      <w:pPr>
        <w:autoSpaceDE w:val="0"/>
        <w:autoSpaceDN w:val="0"/>
        <w:adjustRightInd w:val="0"/>
        <w:snapToGrid w:val="0"/>
        <w:spacing w:line="360" w:lineRule="auto"/>
        <w:jc w:val="left"/>
        <w:rPr>
          <w:rFonts w:ascii="宋体" w:hAnsi="宋体"/>
          <w:color w:val="auto"/>
          <w:kern w:val="0"/>
          <w:szCs w:val="21"/>
          <w:highlight w:val="none"/>
        </w:rPr>
      </w:pPr>
      <w:r>
        <w:rPr>
          <w:rFonts w:ascii="宋体" w:hAnsi="宋体"/>
          <w:color w:val="auto"/>
          <w:kern w:val="0"/>
          <w:szCs w:val="21"/>
          <w:highlight w:val="none"/>
        </w:rPr>
        <w:br w:type="page"/>
      </w:r>
    </w:p>
    <w:p w14:paraId="2F72C1FC">
      <w:pPr>
        <w:jc w:val="center"/>
        <w:rPr>
          <w:color w:val="auto"/>
          <w:sz w:val="32"/>
          <w:szCs w:val="32"/>
          <w:highlight w:val="none"/>
        </w:rPr>
      </w:pPr>
      <w:bookmarkStart w:id="2345" w:name="_Toc287620828"/>
      <w:bookmarkStart w:id="2346" w:name="_Toc430530544"/>
      <w:bookmarkStart w:id="2347" w:name="_Toc509218862"/>
      <w:bookmarkStart w:id="2348" w:name="_Toc277082655"/>
      <w:bookmarkStart w:id="2349" w:name="_Toc534185839"/>
      <w:bookmarkStart w:id="2350" w:name="_Toc224103509"/>
      <w:bookmarkStart w:id="2351" w:name="_Toc287607881"/>
      <w:r>
        <w:rPr>
          <w:rFonts w:hint="eastAsia"/>
          <w:color w:val="auto"/>
          <w:sz w:val="32"/>
          <w:szCs w:val="32"/>
          <w:highlight w:val="none"/>
        </w:rPr>
        <w:t>附表六：临时用地表</w:t>
      </w:r>
      <w:bookmarkEnd w:id="2345"/>
      <w:bookmarkEnd w:id="2346"/>
      <w:bookmarkEnd w:id="2347"/>
      <w:bookmarkEnd w:id="2348"/>
      <w:bookmarkEnd w:id="2349"/>
      <w:bookmarkEnd w:id="2350"/>
      <w:bookmarkEnd w:id="2351"/>
    </w:p>
    <w:tbl>
      <w:tblPr>
        <w:tblStyle w:val="45"/>
        <w:tblW w:w="0" w:type="auto"/>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2381"/>
        <w:gridCol w:w="2381"/>
        <w:gridCol w:w="2383"/>
        <w:gridCol w:w="2384"/>
      </w:tblGrid>
      <w:tr w14:paraId="7C5F987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center"/>
          </w:tcPr>
          <w:p w14:paraId="071D07C8">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用 途</w:t>
            </w:r>
          </w:p>
        </w:tc>
        <w:tc>
          <w:tcPr>
            <w:tcW w:w="2381" w:type="dxa"/>
            <w:noWrap w:val="0"/>
            <w:vAlign w:val="center"/>
          </w:tcPr>
          <w:p w14:paraId="1881A1AB">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面 积（平</w:t>
            </w:r>
            <w:r>
              <w:rPr>
                <w:rFonts w:ascii="宋体" w:hAnsi="宋体"/>
                <w:color w:val="auto"/>
                <w:spacing w:val="-1"/>
                <w:kern w:val="0"/>
                <w:szCs w:val="21"/>
                <w:highlight w:val="none"/>
              </w:rPr>
              <w:t>方</w:t>
            </w:r>
            <w:r>
              <w:rPr>
                <w:rFonts w:ascii="宋体" w:hAnsi="宋体"/>
                <w:color w:val="auto"/>
                <w:kern w:val="0"/>
                <w:szCs w:val="21"/>
                <w:highlight w:val="none"/>
              </w:rPr>
              <w:t>米）</w:t>
            </w:r>
          </w:p>
        </w:tc>
        <w:tc>
          <w:tcPr>
            <w:tcW w:w="2383" w:type="dxa"/>
            <w:noWrap w:val="0"/>
            <w:vAlign w:val="center"/>
          </w:tcPr>
          <w:p w14:paraId="65061D43">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位 置</w:t>
            </w:r>
          </w:p>
        </w:tc>
        <w:tc>
          <w:tcPr>
            <w:tcW w:w="2384" w:type="dxa"/>
            <w:noWrap w:val="0"/>
            <w:vAlign w:val="center"/>
          </w:tcPr>
          <w:p w14:paraId="7080F663">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需用时间</w:t>
            </w:r>
          </w:p>
        </w:tc>
      </w:tr>
      <w:tr w14:paraId="7D01B96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0B48E588">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523DAE30">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7B23B158">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7BE3F77A">
            <w:pPr>
              <w:autoSpaceDE w:val="0"/>
              <w:autoSpaceDN w:val="0"/>
              <w:adjustRightInd w:val="0"/>
              <w:snapToGrid w:val="0"/>
              <w:jc w:val="left"/>
              <w:rPr>
                <w:rFonts w:ascii="宋体" w:hAnsi="宋体"/>
                <w:color w:val="auto"/>
                <w:kern w:val="0"/>
                <w:sz w:val="24"/>
                <w:highlight w:val="none"/>
              </w:rPr>
            </w:pPr>
          </w:p>
        </w:tc>
      </w:tr>
      <w:tr w14:paraId="52C955C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67567376">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547193F5">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4F0831DB">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5A4BE285">
            <w:pPr>
              <w:autoSpaceDE w:val="0"/>
              <w:autoSpaceDN w:val="0"/>
              <w:adjustRightInd w:val="0"/>
              <w:snapToGrid w:val="0"/>
              <w:jc w:val="left"/>
              <w:rPr>
                <w:rFonts w:ascii="宋体" w:hAnsi="宋体"/>
                <w:color w:val="auto"/>
                <w:kern w:val="0"/>
                <w:sz w:val="24"/>
                <w:highlight w:val="none"/>
              </w:rPr>
            </w:pPr>
          </w:p>
        </w:tc>
      </w:tr>
      <w:tr w14:paraId="7B2B384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10529E3B">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4E8B90AB">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59236600">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678F44FD">
            <w:pPr>
              <w:autoSpaceDE w:val="0"/>
              <w:autoSpaceDN w:val="0"/>
              <w:adjustRightInd w:val="0"/>
              <w:snapToGrid w:val="0"/>
              <w:jc w:val="left"/>
              <w:rPr>
                <w:rFonts w:ascii="宋体" w:hAnsi="宋体"/>
                <w:color w:val="auto"/>
                <w:kern w:val="0"/>
                <w:sz w:val="24"/>
                <w:highlight w:val="none"/>
              </w:rPr>
            </w:pPr>
          </w:p>
        </w:tc>
      </w:tr>
      <w:tr w14:paraId="552E599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5A2179F7">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77B50F7F">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33524725">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709A1057">
            <w:pPr>
              <w:autoSpaceDE w:val="0"/>
              <w:autoSpaceDN w:val="0"/>
              <w:adjustRightInd w:val="0"/>
              <w:snapToGrid w:val="0"/>
              <w:jc w:val="left"/>
              <w:rPr>
                <w:rFonts w:ascii="宋体" w:hAnsi="宋体"/>
                <w:color w:val="auto"/>
                <w:kern w:val="0"/>
                <w:sz w:val="24"/>
                <w:highlight w:val="none"/>
              </w:rPr>
            </w:pPr>
          </w:p>
        </w:tc>
      </w:tr>
      <w:tr w14:paraId="3693919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04640D09">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08B2CB73">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70CD669D">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2D449C01">
            <w:pPr>
              <w:autoSpaceDE w:val="0"/>
              <w:autoSpaceDN w:val="0"/>
              <w:adjustRightInd w:val="0"/>
              <w:snapToGrid w:val="0"/>
              <w:jc w:val="left"/>
              <w:rPr>
                <w:rFonts w:ascii="宋体" w:hAnsi="宋体"/>
                <w:color w:val="auto"/>
                <w:kern w:val="0"/>
                <w:sz w:val="24"/>
                <w:highlight w:val="none"/>
              </w:rPr>
            </w:pPr>
          </w:p>
        </w:tc>
      </w:tr>
      <w:tr w14:paraId="5C54182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2FC3F3C5">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7014722C">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5972AC8C">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5A947B3D">
            <w:pPr>
              <w:autoSpaceDE w:val="0"/>
              <w:autoSpaceDN w:val="0"/>
              <w:adjustRightInd w:val="0"/>
              <w:snapToGrid w:val="0"/>
              <w:jc w:val="left"/>
              <w:rPr>
                <w:rFonts w:ascii="宋体" w:hAnsi="宋体"/>
                <w:color w:val="auto"/>
                <w:kern w:val="0"/>
                <w:sz w:val="24"/>
                <w:highlight w:val="none"/>
              </w:rPr>
            </w:pPr>
          </w:p>
        </w:tc>
      </w:tr>
      <w:tr w14:paraId="3F9B6AC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32349728">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607C1299">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01945D3F">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07FD7B4A">
            <w:pPr>
              <w:autoSpaceDE w:val="0"/>
              <w:autoSpaceDN w:val="0"/>
              <w:adjustRightInd w:val="0"/>
              <w:snapToGrid w:val="0"/>
              <w:jc w:val="left"/>
              <w:rPr>
                <w:rFonts w:ascii="宋体" w:hAnsi="宋体"/>
                <w:color w:val="auto"/>
                <w:kern w:val="0"/>
                <w:sz w:val="24"/>
                <w:highlight w:val="none"/>
              </w:rPr>
            </w:pPr>
          </w:p>
        </w:tc>
      </w:tr>
      <w:tr w14:paraId="61CF12B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3AD2CA6F">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360706A6">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489C5B64">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305D4664">
            <w:pPr>
              <w:autoSpaceDE w:val="0"/>
              <w:autoSpaceDN w:val="0"/>
              <w:adjustRightInd w:val="0"/>
              <w:snapToGrid w:val="0"/>
              <w:jc w:val="left"/>
              <w:rPr>
                <w:rFonts w:ascii="宋体" w:hAnsi="宋体"/>
                <w:color w:val="auto"/>
                <w:kern w:val="0"/>
                <w:sz w:val="24"/>
                <w:highlight w:val="none"/>
              </w:rPr>
            </w:pPr>
          </w:p>
        </w:tc>
      </w:tr>
      <w:tr w14:paraId="321A464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00376596">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3DD90D30">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1DAB26EB">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15152222">
            <w:pPr>
              <w:autoSpaceDE w:val="0"/>
              <w:autoSpaceDN w:val="0"/>
              <w:adjustRightInd w:val="0"/>
              <w:snapToGrid w:val="0"/>
              <w:jc w:val="left"/>
              <w:rPr>
                <w:rFonts w:ascii="宋体" w:hAnsi="宋体"/>
                <w:color w:val="auto"/>
                <w:kern w:val="0"/>
                <w:sz w:val="24"/>
                <w:highlight w:val="none"/>
              </w:rPr>
            </w:pPr>
          </w:p>
        </w:tc>
      </w:tr>
      <w:tr w14:paraId="3F0F046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31370A7E">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19F7B6CF">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04B35947">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2E213DE2">
            <w:pPr>
              <w:autoSpaceDE w:val="0"/>
              <w:autoSpaceDN w:val="0"/>
              <w:adjustRightInd w:val="0"/>
              <w:snapToGrid w:val="0"/>
              <w:jc w:val="left"/>
              <w:rPr>
                <w:rFonts w:ascii="宋体" w:hAnsi="宋体"/>
                <w:color w:val="auto"/>
                <w:kern w:val="0"/>
                <w:sz w:val="24"/>
                <w:highlight w:val="none"/>
              </w:rPr>
            </w:pPr>
          </w:p>
        </w:tc>
      </w:tr>
      <w:tr w14:paraId="4010703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4E75EDAA">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66E91EE7">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60F1D040">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4DB83067">
            <w:pPr>
              <w:autoSpaceDE w:val="0"/>
              <w:autoSpaceDN w:val="0"/>
              <w:adjustRightInd w:val="0"/>
              <w:snapToGrid w:val="0"/>
              <w:jc w:val="left"/>
              <w:rPr>
                <w:rFonts w:ascii="宋体" w:hAnsi="宋体"/>
                <w:color w:val="auto"/>
                <w:kern w:val="0"/>
                <w:sz w:val="24"/>
                <w:highlight w:val="none"/>
              </w:rPr>
            </w:pPr>
          </w:p>
        </w:tc>
      </w:tr>
      <w:tr w14:paraId="37306BA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2DBBA3C3">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20278F81">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54E1E0B6">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5DEE9AB6">
            <w:pPr>
              <w:autoSpaceDE w:val="0"/>
              <w:autoSpaceDN w:val="0"/>
              <w:adjustRightInd w:val="0"/>
              <w:snapToGrid w:val="0"/>
              <w:jc w:val="left"/>
              <w:rPr>
                <w:rFonts w:ascii="宋体" w:hAnsi="宋体"/>
                <w:color w:val="auto"/>
                <w:kern w:val="0"/>
                <w:sz w:val="24"/>
                <w:highlight w:val="none"/>
              </w:rPr>
            </w:pPr>
          </w:p>
        </w:tc>
      </w:tr>
      <w:tr w14:paraId="52D8875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4A7E4C70">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3768547A">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5FD18471">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27DE6B83">
            <w:pPr>
              <w:autoSpaceDE w:val="0"/>
              <w:autoSpaceDN w:val="0"/>
              <w:adjustRightInd w:val="0"/>
              <w:snapToGrid w:val="0"/>
              <w:jc w:val="left"/>
              <w:rPr>
                <w:rFonts w:ascii="宋体" w:hAnsi="宋体"/>
                <w:color w:val="auto"/>
                <w:kern w:val="0"/>
                <w:sz w:val="24"/>
                <w:highlight w:val="none"/>
              </w:rPr>
            </w:pPr>
          </w:p>
        </w:tc>
      </w:tr>
      <w:tr w14:paraId="454A0CC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121F53FB">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2646953C">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48533F8E">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13B23FA3">
            <w:pPr>
              <w:autoSpaceDE w:val="0"/>
              <w:autoSpaceDN w:val="0"/>
              <w:adjustRightInd w:val="0"/>
              <w:snapToGrid w:val="0"/>
              <w:jc w:val="left"/>
              <w:rPr>
                <w:rFonts w:ascii="宋体" w:hAnsi="宋体"/>
                <w:color w:val="auto"/>
                <w:kern w:val="0"/>
                <w:sz w:val="24"/>
                <w:highlight w:val="none"/>
              </w:rPr>
            </w:pPr>
          </w:p>
        </w:tc>
      </w:tr>
      <w:tr w14:paraId="520BD0B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61A156A1">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4300F5BE">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006D89CA">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4297E018">
            <w:pPr>
              <w:autoSpaceDE w:val="0"/>
              <w:autoSpaceDN w:val="0"/>
              <w:adjustRightInd w:val="0"/>
              <w:snapToGrid w:val="0"/>
              <w:jc w:val="left"/>
              <w:rPr>
                <w:rFonts w:ascii="宋体" w:hAnsi="宋体"/>
                <w:color w:val="auto"/>
                <w:kern w:val="0"/>
                <w:sz w:val="24"/>
                <w:highlight w:val="none"/>
              </w:rPr>
            </w:pPr>
          </w:p>
        </w:tc>
      </w:tr>
      <w:tr w14:paraId="681EF07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0772B9DA">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7384629D">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494764E5">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2EBD4085">
            <w:pPr>
              <w:autoSpaceDE w:val="0"/>
              <w:autoSpaceDN w:val="0"/>
              <w:adjustRightInd w:val="0"/>
              <w:snapToGrid w:val="0"/>
              <w:jc w:val="left"/>
              <w:rPr>
                <w:rFonts w:ascii="宋体" w:hAnsi="宋体"/>
                <w:color w:val="auto"/>
                <w:kern w:val="0"/>
                <w:sz w:val="24"/>
                <w:highlight w:val="none"/>
              </w:rPr>
            </w:pPr>
          </w:p>
        </w:tc>
      </w:tr>
      <w:tr w14:paraId="09D740A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0813F598">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35992C92">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70FB682A">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1AFC72D8">
            <w:pPr>
              <w:autoSpaceDE w:val="0"/>
              <w:autoSpaceDN w:val="0"/>
              <w:adjustRightInd w:val="0"/>
              <w:snapToGrid w:val="0"/>
              <w:jc w:val="left"/>
              <w:rPr>
                <w:rFonts w:ascii="宋体" w:hAnsi="宋体"/>
                <w:color w:val="auto"/>
                <w:kern w:val="0"/>
                <w:sz w:val="24"/>
                <w:highlight w:val="none"/>
              </w:rPr>
            </w:pPr>
          </w:p>
        </w:tc>
      </w:tr>
      <w:tr w14:paraId="229FB2D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51F78328">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09DF899C">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142A1DE2">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78000607">
            <w:pPr>
              <w:autoSpaceDE w:val="0"/>
              <w:autoSpaceDN w:val="0"/>
              <w:adjustRightInd w:val="0"/>
              <w:snapToGrid w:val="0"/>
              <w:jc w:val="left"/>
              <w:rPr>
                <w:rFonts w:ascii="宋体" w:hAnsi="宋体"/>
                <w:color w:val="auto"/>
                <w:kern w:val="0"/>
                <w:sz w:val="24"/>
                <w:highlight w:val="none"/>
              </w:rPr>
            </w:pPr>
          </w:p>
        </w:tc>
      </w:tr>
      <w:tr w14:paraId="1228AB7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7EA25D6B">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7663E1F9">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08C37EF3">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72C62335">
            <w:pPr>
              <w:autoSpaceDE w:val="0"/>
              <w:autoSpaceDN w:val="0"/>
              <w:adjustRightInd w:val="0"/>
              <w:snapToGrid w:val="0"/>
              <w:jc w:val="left"/>
              <w:rPr>
                <w:rFonts w:ascii="宋体" w:hAnsi="宋体"/>
                <w:color w:val="auto"/>
                <w:kern w:val="0"/>
                <w:sz w:val="24"/>
                <w:highlight w:val="none"/>
              </w:rPr>
            </w:pPr>
          </w:p>
        </w:tc>
      </w:tr>
      <w:tr w14:paraId="2BCC10F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09E9449A">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17EC0521">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36EF9AD4">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01B3B7D0">
            <w:pPr>
              <w:autoSpaceDE w:val="0"/>
              <w:autoSpaceDN w:val="0"/>
              <w:adjustRightInd w:val="0"/>
              <w:snapToGrid w:val="0"/>
              <w:jc w:val="left"/>
              <w:rPr>
                <w:rFonts w:ascii="宋体" w:hAnsi="宋体"/>
                <w:color w:val="auto"/>
                <w:kern w:val="0"/>
                <w:sz w:val="24"/>
                <w:highlight w:val="none"/>
              </w:rPr>
            </w:pPr>
          </w:p>
        </w:tc>
      </w:tr>
      <w:tr w14:paraId="52F2132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5A0EDA26">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708069D5">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5032657E">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2E6C65A7">
            <w:pPr>
              <w:autoSpaceDE w:val="0"/>
              <w:autoSpaceDN w:val="0"/>
              <w:adjustRightInd w:val="0"/>
              <w:snapToGrid w:val="0"/>
              <w:jc w:val="left"/>
              <w:rPr>
                <w:rFonts w:ascii="宋体" w:hAnsi="宋体"/>
                <w:color w:val="auto"/>
                <w:kern w:val="0"/>
                <w:sz w:val="24"/>
                <w:highlight w:val="none"/>
              </w:rPr>
            </w:pPr>
          </w:p>
        </w:tc>
      </w:tr>
      <w:tr w14:paraId="44B5D4B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1760DE1C">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5723559F">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2A806D5A">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6995EE49">
            <w:pPr>
              <w:autoSpaceDE w:val="0"/>
              <w:autoSpaceDN w:val="0"/>
              <w:adjustRightInd w:val="0"/>
              <w:snapToGrid w:val="0"/>
              <w:jc w:val="left"/>
              <w:rPr>
                <w:rFonts w:ascii="宋体" w:hAnsi="宋体"/>
                <w:color w:val="auto"/>
                <w:kern w:val="0"/>
                <w:sz w:val="24"/>
                <w:highlight w:val="none"/>
              </w:rPr>
            </w:pPr>
          </w:p>
        </w:tc>
      </w:tr>
    </w:tbl>
    <w:p w14:paraId="739F42F6">
      <w:pPr>
        <w:autoSpaceDE w:val="0"/>
        <w:autoSpaceDN w:val="0"/>
        <w:adjustRightInd w:val="0"/>
        <w:snapToGrid w:val="0"/>
        <w:spacing w:line="20" w:lineRule="exact"/>
        <w:jc w:val="left"/>
        <w:rPr>
          <w:rFonts w:ascii="宋体" w:hAnsi="宋体"/>
          <w:color w:val="auto"/>
          <w:kern w:val="0"/>
          <w:highlight w:val="none"/>
        </w:rPr>
      </w:pPr>
    </w:p>
    <w:p w14:paraId="4F91BBD1">
      <w:pPr>
        <w:autoSpaceDE w:val="0"/>
        <w:autoSpaceDN w:val="0"/>
        <w:adjustRightInd w:val="0"/>
        <w:snapToGrid w:val="0"/>
        <w:spacing w:line="360" w:lineRule="auto"/>
        <w:jc w:val="center"/>
        <w:rPr>
          <w:rFonts w:hint="eastAsia" w:ascii="宋体" w:hAnsi="宋体"/>
          <w:color w:val="auto"/>
          <w:sz w:val="36"/>
          <w:szCs w:val="36"/>
          <w:highlight w:val="none"/>
        </w:rPr>
      </w:pPr>
      <w:r>
        <w:rPr>
          <w:rFonts w:ascii="宋体" w:hAnsi="宋体"/>
          <w:color w:val="auto"/>
          <w:sz w:val="36"/>
          <w:szCs w:val="36"/>
          <w:highlight w:val="none"/>
        </w:rPr>
        <w:br w:type="page"/>
      </w:r>
    </w:p>
    <w:p w14:paraId="0B2E6F2C">
      <w:pPr>
        <w:pStyle w:val="4"/>
        <w:spacing w:line="360" w:lineRule="auto"/>
        <w:jc w:val="center"/>
        <w:rPr>
          <w:rFonts w:ascii="宋体" w:hAnsi="宋体"/>
          <w:b w:val="0"/>
          <w:bCs w:val="0"/>
          <w:color w:val="auto"/>
          <w:sz w:val="44"/>
          <w:szCs w:val="44"/>
          <w:highlight w:val="none"/>
        </w:rPr>
      </w:pPr>
      <w:bookmarkStart w:id="2352" w:name="_Toc224103510"/>
      <w:bookmarkStart w:id="2353" w:name="_Toc287620829"/>
      <w:bookmarkStart w:id="2354" w:name="_Toc287607882"/>
      <w:bookmarkStart w:id="2355" w:name="_Toc277082656"/>
      <w:bookmarkStart w:id="2356" w:name="_Toc430530545"/>
      <w:bookmarkStart w:id="2357" w:name="_Toc57820657"/>
      <w:r>
        <w:rPr>
          <w:rFonts w:hint="eastAsia" w:ascii="宋体" w:hAnsi="宋体"/>
          <w:b w:val="0"/>
          <w:bCs w:val="0"/>
          <w:color w:val="auto"/>
          <w:sz w:val="44"/>
          <w:szCs w:val="44"/>
          <w:highlight w:val="none"/>
        </w:rPr>
        <w:t>四、</w:t>
      </w:r>
      <w:bookmarkEnd w:id="2352"/>
      <w:bookmarkEnd w:id="2353"/>
      <w:bookmarkEnd w:id="2354"/>
      <w:bookmarkEnd w:id="2355"/>
      <w:bookmarkEnd w:id="2356"/>
      <w:r>
        <w:rPr>
          <w:rFonts w:hint="eastAsia" w:ascii="宋体" w:hAnsi="宋体"/>
          <w:b w:val="0"/>
          <w:bCs w:val="0"/>
          <w:color w:val="auto"/>
          <w:sz w:val="44"/>
          <w:szCs w:val="44"/>
          <w:highlight w:val="none"/>
        </w:rPr>
        <w:t>资格审查部分</w:t>
      </w:r>
      <w:bookmarkEnd w:id="2357"/>
    </w:p>
    <w:p w14:paraId="7CF032F8">
      <w:pPr>
        <w:spacing w:line="360" w:lineRule="auto"/>
        <w:jc w:val="center"/>
        <w:rPr>
          <w:rFonts w:hint="eastAsia" w:ascii="宋体" w:hAnsi="宋体"/>
          <w:color w:val="auto"/>
          <w:kern w:val="0"/>
          <w:sz w:val="32"/>
          <w:szCs w:val="32"/>
          <w:highlight w:val="none"/>
        </w:rPr>
      </w:pPr>
      <w:r>
        <w:rPr>
          <w:rFonts w:ascii="宋体" w:hAnsi="宋体"/>
          <w:color w:val="auto"/>
          <w:sz w:val="32"/>
          <w:szCs w:val="32"/>
          <w:highlight w:val="none"/>
        </w:rPr>
        <w:br w:type="page"/>
      </w:r>
      <w:r>
        <w:rPr>
          <w:rFonts w:hint="eastAsia" w:ascii="宋体" w:hAnsi="宋体"/>
          <w:color w:val="auto"/>
          <w:kern w:val="0"/>
          <w:sz w:val="32"/>
          <w:szCs w:val="32"/>
          <w:highlight w:val="none"/>
          <w:u w:val="single"/>
        </w:rPr>
        <w:t xml:space="preserve">                   （项目名称）</w:t>
      </w:r>
    </w:p>
    <w:p w14:paraId="30114A74">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14:paraId="525B97E0">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14:paraId="107FF963">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14:paraId="78994CE4">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14:paraId="37869C77">
      <w:pPr>
        <w:autoSpaceDE w:val="0"/>
        <w:autoSpaceDN w:val="0"/>
        <w:adjustRightInd w:val="0"/>
        <w:snapToGrid w:val="0"/>
        <w:spacing w:line="360" w:lineRule="auto"/>
        <w:jc w:val="left"/>
        <w:rPr>
          <w:rFonts w:ascii="宋体" w:hAnsi="宋体"/>
          <w:color w:val="auto"/>
          <w:kern w:val="0"/>
          <w:sz w:val="16"/>
          <w:szCs w:val="16"/>
          <w:highlight w:val="none"/>
        </w:rPr>
      </w:pPr>
    </w:p>
    <w:p w14:paraId="2AE6790F">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资格审查部分</w:t>
      </w:r>
    </w:p>
    <w:p w14:paraId="09CB5E30">
      <w:pPr>
        <w:autoSpaceDE w:val="0"/>
        <w:autoSpaceDN w:val="0"/>
        <w:adjustRightInd w:val="0"/>
        <w:snapToGrid w:val="0"/>
        <w:spacing w:line="360" w:lineRule="auto"/>
        <w:jc w:val="left"/>
        <w:rPr>
          <w:rFonts w:ascii="宋体" w:hAnsi="宋体" w:cs="MingLiU"/>
          <w:color w:val="auto"/>
          <w:kern w:val="0"/>
          <w:sz w:val="20"/>
          <w:szCs w:val="20"/>
          <w:highlight w:val="none"/>
        </w:rPr>
      </w:pPr>
    </w:p>
    <w:p w14:paraId="356325EF">
      <w:pPr>
        <w:adjustRightInd w:val="0"/>
        <w:snapToGrid w:val="0"/>
        <w:spacing w:line="264" w:lineRule="auto"/>
        <w:rPr>
          <w:rFonts w:ascii="宋体" w:hAnsi="宋体"/>
          <w:color w:val="auto"/>
          <w:szCs w:val="21"/>
          <w:highlight w:val="none"/>
        </w:rPr>
      </w:pPr>
    </w:p>
    <w:p w14:paraId="6646FAD6">
      <w:pPr>
        <w:autoSpaceDE w:val="0"/>
        <w:autoSpaceDN w:val="0"/>
        <w:adjustRightInd w:val="0"/>
        <w:snapToGrid w:val="0"/>
        <w:spacing w:line="360" w:lineRule="auto"/>
        <w:jc w:val="left"/>
        <w:rPr>
          <w:rFonts w:ascii="宋体" w:hAnsi="宋体" w:cs="MingLiU"/>
          <w:color w:val="auto"/>
          <w:kern w:val="0"/>
          <w:sz w:val="20"/>
          <w:szCs w:val="20"/>
          <w:highlight w:val="none"/>
        </w:rPr>
      </w:pPr>
    </w:p>
    <w:p w14:paraId="5E1C5C40">
      <w:pPr>
        <w:autoSpaceDE w:val="0"/>
        <w:autoSpaceDN w:val="0"/>
        <w:adjustRightInd w:val="0"/>
        <w:snapToGrid w:val="0"/>
        <w:spacing w:line="360" w:lineRule="auto"/>
        <w:jc w:val="left"/>
        <w:rPr>
          <w:rFonts w:ascii="宋体" w:hAnsi="宋体" w:cs="MingLiU"/>
          <w:color w:val="auto"/>
          <w:kern w:val="0"/>
          <w:sz w:val="20"/>
          <w:szCs w:val="20"/>
          <w:highlight w:val="none"/>
        </w:rPr>
      </w:pPr>
    </w:p>
    <w:p w14:paraId="78903940">
      <w:pPr>
        <w:autoSpaceDE w:val="0"/>
        <w:autoSpaceDN w:val="0"/>
        <w:adjustRightInd w:val="0"/>
        <w:snapToGrid w:val="0"/>
        <w:spacing w:line="360" w:lineRule="auto"/>
        <w:jc w:val="left"/>
        <w:rPr>
          <w:rFonts w:ascii="宋体" w:hAnsi="宋体" w:cs="MingLiU"/>
          <w:color w:val="auto"/>
          <w:kern w:val="0"/>
          <w:sz w:val="20"/>
          <w:szCs w:val="20"/>
          <w:highlight w:val="none"/>
        </w:rPr>
      </w:pPr>
    </w:p>
    <w:p w14:paraId="1AF7EF4F">
      <w:pPr>
        <w:autoSpaceDE w:val="0"/>
        <w:autoSpaceDN w:val="0"/>
        <w:adjustRightInd w:val="0"/>
        <w:snapToGrid w:val="0"/>
        <w:spacing w:line="360" w:lineRule="auto"/>
        <w:jc w:val="left"/>
        <w:rPr>
          <w:rFonts w:ascii="宋体" w:hAnsi="宋体" w:cs="MingLiU"/>
          <w:color w:val="auto"/>
          <w:kern w:val="0"/>
          <w:sz w:val="20"/>
          <w:szCs w:val="20"/>
          <w:highlight w:val="none"/>
        </w:rPr>
      </w:pPr>
    </w:p>
    <w:p w14:paraId="7B7F98A7">
      <w:pPr>
        <w:autoSpaceDE w:val="0"/>
        <w:autoSpaceDN w:val="0"/>
        <w:adjustRightInd w:val="0"/>
        <w:snapToGrid w:val="0"/>
        <w:spacing w:line="360" w:lineRule="auto"/>
        <w:jc w:val="left"/>
        <w:rPr>
          <w:rFonts w:ascii="宋体" w:hAnsi="宋体" w:cs="MingLiU"/>
          <w:color w:val="auto"/>
          <w:kern w:val="0"/>
          <w:sz w:val="20"/>
          <w:szCs w:val="20"/>
          <w:highlight w:val="none"/>
        </w:rPr>
      </w:pPr>
    </w:p>
    <w:p w14:paraId="56928A3A">
      <w:pPr>
        <w:autoSpaceDE w:val="0"/>
        <w:autoSpaceDN w:val="0"/>
        <w:adjustRightInd w:val="0"/>
        <w:snapToGrid w:val="0"/>
        <w:spacing w:line="360" w:lineRule="auto"/>
        <w:jc w:val="left"/>
        <w:rPr>
          <w:rFonts w:ascii="宋体" w:hAnsi="宋体" w:cs="MingLiU"/>
          <w:color w:val="auto"/>
          <w:kern w:val="0"/>
          <w:sz w:val="20"/>
          <w:szCs w:val="20"/>
          <w:highlight w:val="none"/>
        </w:rPr>
      </w:pPr>
    </w:p>
    <w:p w14:paraId="12AA0E70">
      <w:pPr>
        <w:autoSpaceDE w:val="0"/>
        <w:autoSpaceDN w:val="0"/>
        <w:adjustRightInd w:val="0"/>
        <w:snapToGrid w:val="0"/>
        <w:spacing w:line="360" w:lineRule="auto"/>
        <w:jc w:val="left"/>
        <w:rPr>
          <w:rFonts w:ascii="宋体" w:hAnsi="宋体" w:cs="MingLiU"/>
          <w:color w:val="auto"/>
          <w:kern w:val="0"/>
          <w:sz w:val="20"/>
          <w:szCs w:val="20"/>
          <w:highlight w:val="none"/>
        </w:rPr>
      </w:pPr>
    </w:p>
    <w:p w14:paraId="6E750160">
      <w:pPr>
        <w:autoSpaceDE w:val="0"/>
        <w:autoSpaceDN w:val="0"/>
        <w:adjustRightInd w:val="0"/>
        <w:snapToGrid w:val="0"/>
        <w:spacing w:line="360" w:lineRule="auto"/>
        <w:jc w:val="left"/>
        <w:rPr>
          <w:rFonts w:ascii="宋体" w:hAnsi="宋体" w:cs="MingLiU"/>
          <w:color w:val="auto"/>
          <w:kern w:val="0"/>
          <w:sz w:val="20"/>
          <w:szCs w:val="20"/>
          <w:highlight w:val="none"/>
        </w:rPr>
      </w:pPr>
    </w:p>
    <w:p w14:paraId="2DC71148">
      <w:pPr>
        <w:autoSpaceDE w:val="0"/>
        <w:autoSpaceDN w:val="0"/>
        <w:adjustRightInd w:val="0"/>
        <w:snapToGrid w:val="0"/>
        <w:spacing w:line="360" w:lineRule="auto"/>
        <w:jc w:val="left"/>
        <w:rPr>
          <w:rFonts w:ascii="宋体" w:hAnsi="宋体" w:cs="MingLiU"/>
          <w:color w:val="auto"/>
          <w:kern w:val="0"/>
          <w:sz w:val="20"/>
          <w:szCs w:val="20"/>
          <w:highlight w:val="none"/>
        </w:rPr>
      </w:pPr>
    </w:p>
    <w:p w14:paraId="480316CB">
      <w:pPr>
        <w:autoSpaceDE w:val="0"/>
        <w:autoSpaceDN w:val="0"/>
        <w:adjustRightInd w:val="0"/>
        <w:snapToGrid w:val="0"/>
        <w:spacing w:line="360" w:lineRule="auto"/>
        <w:jc w:val="left"/>
        <w:rPr>
          <w:rFonts w:ascii="宋体" w:hAnsi="宋体" w:cs="MingLiU"/>
          <w:color w:val="auto"/>
          <w:kern w:val="0"/>
          <w:sz w:val="20"/>
          <w:szCs w:val="20"/>
          <w:highlight w:val="none"/>
        </w:rPr>
      </w:pPr>
    </w:p>
    <w:p w14:paraId="6A3D224B">
      <w:pPr>
        <w:autoSpaceDE w:val="0"/>
        <w:autoSpaceDN w:val="0"/>
        <w:adjustRightInd w:val="0"/>
        <w:snapToGrid w:val="0"/>
        <w:spacing w:line="360" w:lineRule="auto"/>
        <w:jc w:val="left"/>
        <w:rPr>
          <w:rFonts w:ascii="宋体" w:hAnsi="宋体" w:cs="MingLiU"/>
          <w:color w:val="auto"/>
          <w:kern w:val="0"/>
          <w:sz w:val="20"/>
          <w:szCs w:val="20"/>
          <w:highlight w:val="none"/>
        </w:rPr>
      </w:pPr>
    </w:p>
    <w:p w14:paraId="01D52263">
      <w:pPr>
        <w:autoSpaceDE w:val="0"/>
        <w:autoSpaceDN w:val="0"/>
        <w:adjustRightInd w:val="0"/>
        <w:snapToGrid w:val="0"/>
        <w:spacing w:line="360" w:lineRule="auto"/>
        <w:jc w:val="left"/>
        <w:rPr>
          <w:rFonts w:ascii="宋体" w:hAnsi="宋体" w:cs="MingLiU"/>
          <w:color w:val="auto"/>
          <w:kern w:val="0"/>
          <w:sz w:val="20"/>
          <w:szCs w:val="20"/>
          <w:highlight w:val="none"/>
        </w:rPr>
      </w:pPr>
    </w:p>
    <w:p w14:paraId="689692D6">
      <w:pPr>
        <w:autoSpaceDE w:val="0"/>
        <w:autoSpaceDN w:val="0"/>
        <w:adjustRightInd w:val="0"/>
        <w:snapToGrid w:val="0"/>
        <w:spacing w:line="360" w:lineRule="auto"/>
        <w:jc w:val="left"/>
        <w:rPr>
          <w:rFonts w:ascii="宋体" w:hAnsi="宋体" w:cs="MingLiU"/>
          <w:color w:val="auto"/>
          <w:kern w:val="0"/>
          <w:sz w:val="20"/>
          <w:szCs w:val="20"/>
          <w:highlight w:val="none"/>
        </w:rPr>
      </w:pPr>
    </w:p>
    <w:p w14:paraId="158C9F30">
      <w:pPr>
        <w:tabs>
          <w:tab w:val="left" w:pos="6080"/>
          <w:tab w:val="left" w:pos="6640"/>
        </w:tabs>
        <w:autoSpaceDE w:val="0"/>
        <w:autoSpaceDN w:val="0"/>
        <w:adjustRightInd w:val="0"/>
        <w:snapToGrid w:val="0"/>
        <w:spacing w:line="480" w:lineRule="auto"/>
        <w:jc w:val="center"/>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14:paraId="67843365">
      <w:pPr>
        <w:tabs>
          <w:tab w:val="left" w:pos="6080"/>
          <w:tab w:val="left" w:pos="6640"/>
        </w:tabs>
        <w:autoSpaceDE w:val="0"/>
        <w:autoSpaceDN w:val="0"/>
        <w:adjustRightInd w:val="0"/>
        <w:snapToGrid w:val="0"/>
        <w:spacing w:line="480" w:lineRule="auto"/>
        <w:jc w:val="center"/>
        <w:rPr>
          <w:rFonts w:ascii="宋体" w:hAnsi="宋体"/>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（签字或盖章）</w:t>
      </w:r>
    </w:p>
    <w:p w14:paraId="5235D68B">
      <w:pPr>
        <w:tabs>
          <w:tab w:val="left" w:pos="3280"/>
          <w:tab w:val="left" w:pos="4680"/>
          <w:tab w:val="left" w:pos="6080"/>
        </w:tabs>
        <w:autoSpaceDE w:val="0"/>
        <w:autoSpaceDN w:val="0"/>
        <w:adjustRightInd w:val="0"/>
        <w:snapToGrid w:val="0"/>
        <w:spacing w:line="480" w:lineRule="auto"/>
        <w:jc w:val="center"/>
        <w:rPr>
          <w:rFonts w:ascii="宋体" w:hAnsi="宋体"/>
          <w:color w:val="auto"/>
          <w:w w:val="99"/>
          <w:kern w:val="0"/>
          <w:sz w:val="28"/>
          <w:szCs w:val="28"/>
          <w:highlight w:val="none"/>
        </w:rPr>
      </w:pP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年</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月</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日</w:t>
      </w:r>
    </w:p>
    <w:p w14:paraId="55971BD0">
      <w:pPr>
        <w:tabs>
          <w:tab w:val="left" w:pos="3280"/>
          <w:tab w:val="left" w:pos="4680"/>
          <w:tab w:val="left" w:pos="6080"/>
        </w:tabs>
        <w:autoSpaceDE w:val="0"/>
        <w:autoSpaceDN w:val="0"/>
        <w:adjustRightInd w:val="0"/>
        <w:snapToGrid w:val="0"/>
        <w:spacing w:line="480" w:lineRule="auto"/>
        <w:jc w:val="center"/>
        <w:rPr>
          <w:rFonts w:ascii="宋体" w:hAnsi="宋体"/>
          <w:b/>
          <w:color w:val="auto"/>
          <w:kern w:val="0"/>
          <w:sz w:val="28"/>
          <w:szCs w:val="28"/>
          <w:highlight w:val="none"/>
        </w:rPr>
      </w:pPr>
      <w:r>
        <w:rPr>
          <w:rFonts w:ascii="宋体" w:hAnsi="宋体"/>
          <w:color w:val="auto"/>
          <w:w w:val="99"/>
          <w:kern w:val="0"/>
          <w:sz w:val="28"/>
          <w:szCs w:val="28"/>
          <w:highlight w:val="none"/>
        </w:rPr>
        <w:br w:type="page"/>
      </w:r>
    </w:p>
    <w:p w14:paraId="2042B4ED">
      <w:pPr>
        <w:autoSpaceDE w:val="0"/>
        <w:autoSpaceDN w:val="0"/>
        <w:adjustRightInd w:val="0"/>
        <w:snapToGrid w:val="0"/>
        <w:jc w:val="center"/>
        <w:rPr>
          <w:rFonts w:ascii="宋体" w:hAnsi="宋体"/>
          <w:color w:val="auto"/>
          <w:kern w:val="0"/>
          <w:sz w:val="36"/>
          <w:szCs w:val="36"/>
          <w:highlight w:val="none"/>
        </w:rPr>
      </w:pPr>
      <w:r>
        <w:rPr>
          <w:rFonts w:hint="eastAsia" w:ascii="宋体" w:hAnsi="宋体"/>
          <w:color w:val="auto"/>
          <w:kern w:val="0"/>
          <w:sz w:val="36"/>
          <w:szCs w:val="36"/>
          <w:highlight w:val="none"/>
        </w:rPr>
        <w:t>目  录</w:t>
      </w:r>
    </w:p>
    <w:p w14:paraId="1F5F0102">
      <w:pPr>
        <w:spacing w:line="360" w:lineRule="auto"/>
        <w:jc w:val="center"/>
        <w:rPr>
          <w:rFonts w:ascii="宋体" w:hAnsi="宋体"/>
          <w:b/>
          <w:color w:val="auto"/>
          <w:kern w:val="0"/>
          <w:sz w:val="32"/>
          <w:szCs w:val="32"/>
          <w:highlight w:val="none"/>
        </w:rPr>
      </w:pPr>
    </w:p>
    <w:p w14:paraId="2965B186">
      <w:pPr>
        <w:spacing w:line="360" w:lineRule="auto"/>
        <w:ind w:firstLine="420" w:firstLineChars="200"/>
        <w:rPr>
          <w:rFonts w:ascii="宋体" w:hAnsi="宋体"/>
          <w:color w:val="auto"/>
          <w:szCs w:val="21"/>
          <w:highlight w:val="none"/>
        </w:rPr>
      </w:pPr>
      <w:r>
        <w:rPr>
          <w:rFonts w:ascii="宋体" w:hAnsi="宋体"/>
          <w:color w:val="auto"/>
          <w:szCs w:val="21"/>
          <w:highlight w:val="none"/>
        </w:rPr>
        <w:t>（一）</w:t>
      </w:r>
      <w:r>
        <w:rPr>
          <w:rFonts w:hint="eastAsia" w:ascii="宋体" w:hAnsi="宋体"/>
          <w:color w:val="auto"/>
          <w:szCs w:val="21"/>
          <w:highlight w:val="none"/>
        </w:rPr>
        <w:t>法定代表人身份证明或附有法定代表人身份证明的授权委托书</w:t>
      </w:r>
    </w:p>
    <w:p w14:paraId="3ABAD40A">
      <w:pPr>
        <w:spacing w:line="360" w:lineRule="auto"/>
        <w:ind w:firstLine="420" w:firstLineChars="200"/>
        <w:rPr>
          <w:rFonts w:ascii="宋体" w:hAnsi="宋体"/>
          <w:color w:val="auto"/>
          <w:szCs w:val="21"/>
          <w:highlight w:val="none"/>
        </w:rPr>
      </w:pPr>
      <w:r>
        <w:rPr>
          <w:rFonts w:ascii="宋体" w:hAnsi="宋体"/>
          <w:color w:val="auto"/>
          <w:szCs w:val="21"/>
          <w:highlight w:val="none"/>
        </w:rPr>
        <w:t>（二）联合体协议书</w:t>
      </w:r>
      <w:r>
        <w:rPr>
          <w:rFonts w:hint="eastAsia" w:ascii="宋体" w:hAnsi="宋体"/>
          <w:color w:val="auto"/>
          <w:szCs w:val="21"/>
          <w:highlight w:val="none"/>
        </w:rPr>
        <w:t>（如有）</w:t>
      </w:r>
    </w:p>
    <w:p w14:paraId="3A871459">
      <w:pPr>
        <w:spacing w:line="360" w:lineRule="auto"/>
        <w:ind w:firstLine="420" w:firstLineChars="200"/>
        <w:rPr>
          <w:rFonts w:ascii="宋体" w:hAnsi="宋体"/>
          <w:color w:val="auto"/>
          <w:szCs w:val="21"/>
          <w:highlight w:val="none"/>
        </w:rPr>
      </w:pPr>
      <w:r>
        <w:rPr>
          <w:rFonts w:ascii="宋体" w:hAnsi="宋体"/>
          <w:color w:val="auto"/>
          <w:szCs w:val="21"/>
          <w:highlight w:val="none"/>
        </w:rPr>
        <w:t>（三）投标人基本情况表</w:t>
      </w:r>
    </w:p>
    <w:p w14:paraId="35BBA2D5">
      <w:pPr>
        <w:spacing w:line="360" w:lineRule="auto"/>
        <w:ind w:firstLine="420" w:firstLineChars="200"/>
        <w:rPr>
          <w:rFonts w:ascii="宋体" w:hAnsi="宋体"/>
          <w:color w:val="auto"/>
          <w:szCs w:val="21"/>
          <w:highlight w:val="none"/>
        </w:rPr>
      </w:pPr>
      <w:r>
        <w:rPr>
          <w:rFonts w:ascii="宋体" w:hAnsi="宋体"/>
          <w:color w:val="auto"/>
          <w:szCs w:val="21"/>
          <w:highlight w:val="none"/>
        </w:rPr>
        <w:t>（四）项目管理机构</w:t>
      </w:r>
    </w:p>
    <w:p w14:paraId="5A205F00">
      <w:pPr>
        <w:spacing w:line="360" w:lineRule="auto"/>
        <w:ind w:firstLine="420" w:firstLineChars="200"/>
        <w:rPr>
          <w:rFonts w:ascii="宋体" w:hAnsi="宋体"/>
          <w:color w:val="auto"/>
          <w:szCs w:val="21"/>
          <w:highlight w:val="none"/>
        </w:rPr>
      </w:pPr>
      <w:r>
        <w:rPr>
          <w:rFonts w:ascii="宋体" w:hAnsi="宋体"/>
          <w:color w:val="auto"/>
          <w:szCs w:val="21"/>
          <w:highlight w:val="none"/>
        </w:rPr>
        <w:t>（五）近年财务状况表</w:t>
      </w:r>
    </w:p>
    <w:p w14:paraId="1B56EAC1">
      <w:pPr>
        <w:spacing w:line="360" w:lineRule="auto"/>
        <w:ind w:firstLine="420" w:firstLineChars="200"/>
        <w:rPr>
          <w:rFonts w:ascii="宋体" w:hAnsi="宋体"/>
          <w:color w:val="auto"/>
          <w:szCs w:val="21"/>
          <w:highlight w:val="none"/>
        </w:rPr>
      </w:pPr>
      <w:r>
        <w:rPr>
          <w:rFonts w:ascii="宋体" w:hAnsi="宋体"/>
          <w:color w:val="auto"/>
          <w:szCs w:val="21"/>
          <w:highlight w:val="none"/>
        </w:rPr>
        <w:t>（六）类似项目情况表</w:t>
      </w:r>
    </w:p>
    <w:p w14:paraId="17A2DF36">
      <w:pPr>
        <w:spacing w:line="360" w:lineRule="auto"/>
        <w:ind w:firstLine="420" w:firstLineChars="200"/>
        <w:rPr>
          <w:rFonts w:hint="eastAsia" w:ascii="宋体" w:hAnsi="宋体"/>
          <w:color w:val="auto"/>
          <w:szCs w:val="21"/>
          <w:highlight w:val="none"/>
        </w:rPr>
      </w:pPr>
      <w:r>
        <w:rPr>
          <w:rFonts w:ascii="宋体" w:hAnsi="宋体"/>
          <w:color w:val="auto"/>
          <w:szCs w:val="21"/>
          <w:highlight w:val="none"/>
        </w:rPr>
        <w:t>（七）</w:t>
      </w:r>
      <w:r>
        <w:rPr>
          <w:rFonts w:hint="eastAsia" w:ascii="宋体" w:hAnsi="宋体"/>
          <w:color w:val="auto"/>
          <w:szCs w:val="21"/>
          <w:highlight w:val="none"/>
        </w:rPr>
        <w:t>承诺</w:t>
      </w:r>
    </w:p>
    <w:p w14:paraId="0151F7FD">
      <w:pPr>
        <w:spacing w:line="360" w:lineRule="auto"/>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八</w:t>
      </w:r>
      <w:r>
        <w:rPr>
          <w:rFonts w:ascii="宋体" w:hAnsi="宋体"/>
          <w:color w:val="auto"/>
          <w:szCs w:val="21"/>
          <w:highlight w:val="none"/>
        </w:rPr>
        <w:t>）其他资料</w:t>
      </w:r>
    </w:p>
    <w:p w14:paraId="046B6BD6">
      <w:pPr>
        <w:spacing w:line="360" w:lineRule="auto"/>
        <w:jc w:val="center"/>
        <w:rPr>
          <w:rFonts w:ascii="宋体" w:hAnsi="宋体"/>
          <w:b/>
          <w:color w:val="auto"/>
          <w:kern w:val="0"/>
          <w:sz w:val="32"/>
          <w:szCs w:val="32"/>
          <w:highlight w:val="none"/>
        </w:rPr>
      </w:pPr>
    </w:p>
    <w:p w14:paraId="3E0F01D7">
      <w:pPr>
        <w:spacing w:line="360" w:lineRule="auto"/>
        <w:jc w:val="center"/>
        <w:rPr>
          <w:rFonts w:ascii="宋体" w:hAnsi="宋体"/>
          <w:b/>
          <w:color w:val="auto"/>
          <w:kern w:val="0"/>
          <w:sz w:val="32"/>
          <w:szCs w:val="32"/>
          <w:highlight w:val="none"/>
        </w:rPr>
      </w:pPr>
    </w:p>
    <w:p w14:paraId="244DEEB7">
      <w:pPr>
        <w:pStyle w:val="5"/>
        <w:spacing w:before="0" w:after="0" w:line="240" w:lineRule="auto"/>
        <w:jc w:val="center"/>
        <w:rPr>
          <w:rFonts w:hint="eastAsia" w:ascii="宋体" w:hAnsi="宋体"/>
          <w:color w:val="auto"/>
          <w:sz w:val="36"/>
          <w:szCs w:val="36"/>
          <w:highlight w:val="none"/>
        </w:rPr>
      </w:pPr>
      <w:r>
        <w:rPr>
          <w:rFonts w:ascii="宋体" w:hAnsi="宋体"/>
          <w:color w:val="auto"/>
          <w:highlight w:val="none"/>
        </w:rPr>
        <w:br w:type="page"/>
      </w:r>
      <w:bookmarkStart w:id="2358" w:name="_Toc224103511"/>
      <w:bookmarkStart w:id="2359" w:name="_Toc287620830"/>
      <w:bookmarkStart w:id="2360" w:name="_Toc287607883"/>
      <w:bookmarkStart w:id="2361" w:name="_Toc57820658"/>
      <w:bookmarkStart w:id="2362" w:name="_Toc277082657"/>
      <w:bookmarkStart w:id="2363" w:name="_Toc430530546"/>
      <w:r>
        <w:rPr>
          <w:rFonts w:hint="eastAsia" w:ascii="宋体" w:hAnsi="宋体"/>
          <w:b w:val="0"/>
          <w:bCs w:val="0"/>
          <w:color w:val="auto"/>
          <w:highlight w:val="none"/>
        </w:rPr>
        <w:t>（一）法定代表人身份证明或附有法定代表人身份证明的授权委托书</w:t>
      </w:r>
      <w:bookmarkEnd w:id="2358"/>
      <w:bookmarkEnd w:id="2359"/>
      <w:bookmarkEnd w:id="2360"/>
      <w:bookmarkEnd w:id="2361"/>
      <w:bookmarkEnd w:id="2362"/>
      <w:bookmarkEnd w:id="2363"/>
    </w:p>
    <w:p w14:paraId="32E81C06">
      <w:pPr>
        <w:spacing w:line="480" w:lineRule="auto"/>
        <w:jc w:val="center"/>
        <w:rPr>
          <w:rFonts w:hint="eastAsia" w:ascii="宋体" w:hAnsi="宋体"/>
          <w:color w:val="auto"/>
          <w:sz w:val="28"/>
          <w:highlight w:val="none"/>
        </w:rPr>
      </w:pPr>
      <w:r>
        <w:rPr>
          <w:rFonts w:hint="eastAsia" w:ascii="宋体" w:hAnsi="宋体"/>
          <w:color w:val="auto"/>
          <w:sz w:val="28"/>
          <w:highlight w:val="none"/>
        </w:rPr>
        <w:t>法定代表人身份证明</w:t>
      </w:r>
    </w:p>
    <w:p w14:paraId="53D5665F">
      <w:pPr>
        <w:spacing w:line="480" w:lineRule="auto"/>
        <w:jc w:val="center"/>
        <w:rPr>
          <w:rFonts w:ascii="宋体" w:hAnsi="宋体"/>
          <w:color w:val="auto"/>
          <w:highlight w:val="none"/>
        </w:rPr>
      </w:pPr>
    </w:p>
    <w:p w14:paraId="4EF32709">
      <w:pPr>
        <w:tabs>
          <w:tab w:val="left" w:pos="556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投标人名称：</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0A0117FC">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单位性质：</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1078C1C1">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5E120803">
      <w:pPr>
        <w:tabs>
          <w:tab w:val="left" w:pos="2520"/>
          <w:tab w:val="left" w:pos="3836"/>
        </w:tabs>
        <w:autoSpaceDE w:val="0"/>
        <w:autoSpaceDN w:val="0"/>
        <w:adjustRightInd w:val="0"/>
        <w:snapToGrid w:val="0"/>
        <w:spacing w:line="480" w:lineRule="auto"/>
        <w:ind w:firstLine="390" w:firstLineChars="186"/>
        <w:jc w:val="left"/>
        <w:rPr>
          <w:rFonts w:ascii="宋体" w:hAnsi="宋体"/>
          <w:color w:val="auto"/>
          <w:kern w:val="0"/>
          <w:sz w:val="10"/>
          <w:szCs w:val="10"/>
          <w:highlight w:val="none"/>
        </w:rPr>
      </w:pPr>
      <w:r>
        <w:rPr>
          <w:rFonts w:ascii="宋体" w:hAnsi="宋体"/>
          <w:color w:val="auto"/>
          <w:kern w:val="0"/>
          <w:szCs w:val="21"/>
          <w:highlight w:val="none"/>
        </w:rPr>
        <w:t>成立时间：</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14:paraId="40D6496F">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经营期限：</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6F9F9D8A">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姓名：</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性别</w:t>
      </w:r>
      <w:r>
        <w:rPr>
          <w:rFonts w:ascii="宋体" w:hAnsi="宋体"/>
          <w:color w:val="auto"/>
          <w:spacing w:val="-1"/>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spacing w:val="-1"/>
          <w:kern w:val="0"/>
          <w:szCs w:val="21"/>
          <w:highlight w:val="none"/>
        </w:rPr>
        <w:t>年</w:t>
      </w:r>
      <w:r>
        <w:rPr>
          <w:rFonts w:ascii="宋体" w:hAnsi="宋体"/>
          <w:color w:val="auto"/>
          <w:kern w:val="0"/>
          <w:szCs w:val="21"/>
          <w:highlight w:val="none"/>
        </w:rPr>
        <w:t>龄：</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职务：</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14:paraId="099E7A1D">
      <w:pPr>
        <w:tabs>
          <w:tab w:val="left" w:pos="336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系</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（投标人名称）</w:t>
      </w:r>
      <w:r>
        <w:rPr>
          <w:rFonts w:ascii="宋体" w:hAnsi="宋体"/>
          <w:color w:val="auto"/>
          <w:kern w:val="0"/>
          <w:szCs w:val="21"/>
          <w:highlight w:val="none"/>
        </w:rPr>
        <w:t>的法定代表人。</w:t>
      </w:r>
    </w:p>
    <w:p w14:paraId="0DB4BA3B">
      <w:pPr>
        <w:tabs>
          <w:tab w:val="left" w:pos="3360"/>
        </w:tabs>
        <w:autoSpaceDE w:val="0"/>
        <w:autoSpaceDN w:val="0"/>
        <w:adjustRightInd w:val="0"/>
        <w:snapToGrid w:val="0"/>
        <w:spacing w:line="480" w:lineRule="auto"/>
        <w:ind w:firstLine="390" w:firstLineChars="186"/>
        <w:jc w:val="left"/>
        <w:rPr>
          <w:rFonts w:hint="eastAsia" w:ascii="宋体" w:hAnsi="宋体"/>
          <w:color w:val="auto"/>
          <w:kern w:val="0"/>
          <w:szCs w:val="21"/>
          <w:highlight w:val="none"/>
        </w:rPr>
      </w:pPr>
      <w:r>
        <w:rPr>
          <w:rFonts w:ascii="宋体" w:hAnsi="宋体"/>
          <w:color w:val="auto"/>
          <w:kern w:val="0"/>
          <w:szCs w:val="21"/>
          <w:highlight w:val="none"/>
        </w:rPr>
        <w:t>特此证明。</w:t>
      </w:r>
    </w:p>
    <w:p w14:paraId="78CAC1C6">
      <w:pPr>
        <w:autoSpaceDE w:val="0"/>
        <w:autoSpaceDN w:val="0"/>
        <w:adjustRightInd w:val="0"/>
        <w:snapToGrid w:val="0"/>
        <w:spacing w:line="480" w:lineRule="auto"/>
        <w:ind w:firstLine="810" w:firstLineChars="386"/>
        <w:jc w:val="left"/>
        <w:rPr>
          <w:rFonts w:hint="eastAsia" w:ascii="宋体" w:hAnsi="宋体"/>
          <w:color w:val="auto"/>
          <w:kern w:val="0"/>
          <w:szCs w:val="21"/>
          <w:highlight w:val="none"/>
        </w:rPr>
      </w:pPr>
      <w:r>
        <w:rPr>
          <w:rFonts w:hint="eastAsia" w:ascii="宋体" w:hAnsi="宋体"/>
          <w:color w:val="auto"/>
          <w:kern w:val="0"/>
          <w:szCs w:val="21"/>
          <w:highlight w:val="none"/>
        </w:rPr>
        <w:t>附：法定代表人身份证明扫描件（双面）</w:t>
      </w:r>
    </w:p>
    <w:p w14:paraId="7D5F5E01">
      <w:pPr>
        <w:autoSpaceDE w:val="0"/>
        <w:autoSpaceDN w:val="0"/>
        <w:adjustRightInd w:val="0"/>
        <w:snapToGrid w:val="0"/>
        <w:spacing w:line="360" w:lineRule="auto"/>
        <w:jc w:val="left"/>
        <w:rPr>
          <w:rFonts w:hint="eastAsia" w:ascii="宋体" w:hAnsi="宋体"/>
          <w:color w:val="auto"/>
          <w:szCs w:val="21"/>
          <w:highlight w:val="none"/>
        </w:rPr>
      </w:pPr>
    </w:p>
    <w:p w14:paraId="60283FF0">
      <w:pPr>
        <w:pStyle w:val="2"/>
        <w:spacing w:after="0" w:line="360" w:lineRule="auto"/>
        <w:rPr>
          <w:rFonts w:hint="eastAsia" w:ascii="宋体" w:hAnsi="宋体"/>
          <w:color w:val="auto"/>
          <w:szCs w:val="21"/>
          <w:highlight w:val="none"/>
        </w:rPr>
      </w:pPr>
    </w:p>
    <w:p w14:paraId="2ED072B6">
      <w:pPr>
        <w:pStyle w:val="2"/>
        <w:spacing w:after="0" w:line="360" w:lineRule="auto"/>
        <w:rPr>
          <w:rFonts w:hint="eastAsia" w:ascii="宋体" w:hAnsi="宋体"/>
          <w:color w:val="auto"/>
          <w:szCs w:val="21"/>
          <w:highlight w:val="none"/>
        </w:rPr>
      </w:pPr>
    </w:p>
    <w:p w14:paraId="1B087A1C">
      <w:pPr>
        <w:pStyle w:val="2"/>
        <w:spacing w:after="0" w:line="360" w:lineRule="auto"/>
        <w:rPr>
          <w:rFonts w:hint="eastAsia" w:ascii="宋体" w:hAnsi="宋体"/>
          <w:color w:val="auto"/>
          <w:szCs w:val="21"/>
          <w:highlight w:val="none"/>
        </w:rPr>
      </w:pPr>
    </w:p>
    <w:p w14:paraId="1C992BCE">
      <w:pPr>
        <w:pStyle w:val="2"/>
        <w:spacing w:after="0" w:line="360" w:lineRule="auto"/>
        <w:rPr>
          <w:rFonts w:hint="eastAsia" w:ascii="宋体" w:hAnsi="宋体"/>
          <w:color w:val="auto"/>
          <w:szCs w:val="21"/>
          <w:highlight w:val="none"/>
        </w:rPr>
      </w:pPr>
    </w:p>
    <w:p w14:paraId="13965EAD">
      <w:pPr>
        <w:pStyle w:val="2"/>
        <w:spacing w:after="0" w:line="360" w:lineRule="auto"/>
        <w:rPr>
          <w:rFonts w:ascii="宋体" w:hAnsi="宋体"/>
          <w:color w:val="auto"/>
          <w:szCs w:val="21"/>
          <w:highlight w:val="none"/>
        </w:rPr>
      </w:pPr>
    </w:p>
    <w:p w14:paraId="08A18B5F">
      <w:pPr>
        <w:autoSpaceDE w:val="0"/>
        <w:autoSpaceDN w:val="0"/>
        <w:adjustRightInd w:val="0"/>
        <w:snapToGrid w:val="0"/>
        <w:spacing w:line="480" w:lineRule="auto"/>
        <w:ind w:firstLine="420" w:firstLineChars="200"/>
        <w:jc w:val="right"/>
        <w:rPr>
          <w:rFonts w:ascii="宋体" w:hAnsi="宋体"/>
          <w:color w:val="auto"/>
          <w:kern w:val="0"/>
          <w:szCs w:val="21"/>
          <w:highlight w:val="none"/>
        </w:rPr>
      </w:pPr>
      <w:r>
        <w:rPr>
          <w:rFonts w:ascii="宋体" w:hAnsi="宋体"/>
          <w:color w:val="auto"/>
          <w:kern w:val="0"/>
          <w:szCs w:val="21"/>
          <w:highlight w:val="none"/>
        </w:rPr>
        <w:t>投标</w:t>
      </w:r>
      <w:r>
        <w:rPr>
          <w:rFonts w:ascii="宋体" w:hAnsi="宋体"/>
          <w:color w:val="auto"/>
          <w:spacing w:val="-1"/>
          <w:kern w:val="0"/>
          <w:szCs w:val="21"/>
          <w:highlight w:val="none"/>
        </w:rPr>
        <w:t>人</w:t>
      </w:r>
      <w:r>
        <w:rPr>
          <w:rFonts w:ascii="宋体" w:hAnsi="宋体"/>
          <w:color w:val="auto"/>
          <w:kern w:val="0"/>
          <w:szCs w:val="21"/>
          <w:highlight w:val="none"/>
        </w:rPr>
        <w:t>：</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spacing w:val="-1"/>
          <w:kern w:val="0"/>
          <w:szCs w:val="21"/>
          <w:highlight w:val="none"/>
        </w:rPr>
        <w:t>（</w:t>
      </w:r>
      <w:r>
        <w:rPr>
          <w:rFonts w:ascii="宋体" w:hAnsi="宋体"/>
          <w:color w:val="auto"/>
          <w:kern w:val="0"/>
          <w:szCs w:val="21"/>
          <w:highlight w:val="none"/>
        </w:rPr>
        <w:t>盖单位法人章）</w:t>
      </w:r>
    </w:p>
    <w:p w14:paraId="4D1B2FF5">
      <w:pPr>
        <w:autoSpaceDE w:val="0"/>
        <w:autoSpaceDN w:val="0"/>
        <w:adjustRightInd w:val="0"/>
        <w:snapToGrid w:val="0"/>
        <w:spacing w:line="480" w:lineRule="auto"/>
        <w:jc w:val="left"/>
        <w:rPr>
          <w:rFonts w:ascii="宋体" w:hAnsi="宋体"/>
          <w:color w:val="auto"/>
          <w:kern w:val="0"/>
          <w:sz w:val="20"/>
          <w:szCs w:val="20"/>
          <w:highlight w:val="none"/>
        </w:rPr>
      </w:pPr>
    </w:p>
    <w:p w14:paraId="2ED4C050">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14:paraId="1648E414">
      <w:pPr>
        <w:autoSpaceDE w:val="0"/>
        <w:autoSpaceDN w:val="0"/>
        <w:adjustRightInd w:val="0"/>
        <w:snapToGrid w:val="0"/>
        <w:spacing w:line="360" w:lineRule="auto"/>
        <w:jc w:val="left"/>
        <w:rPr>
          <w:rFonts w:ascii="宋体" w:hAnsi="宋体"/>
          <w:color w:val="auto"/>
          <w:kern w:val="0"/>
          <w:highlight w:val="none"/>
        </w:rPr>
      </w:pPr>
    </w:p>
    <w:p w14:paraId="695BABBB">
      <w:pPr>
        <w:autoSpaceDE w:val="0"/>
        <w:autoSpaceDN w:val="0"/>
        <w:adjustRightInd w:val="0"/>
        <w:snapToGrid w:val="0"/>
        <w:spacing w:line="360" w:lineRule="auto"/>
        <w:jc w:val="left"/>
        <w:rPr>
          <w:rFonts w:ascii="宋体" w:hAnsi="宋体"/>
          <w:color w:val="auto"/>
          <w:kern w:val="0"/>
          <w:highlight w:val="none"/>
        </w:rPr>
      </w:pPr>
    </w:p>
    <w:p w14:paraId="62828DCE">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hint="eastAsia" w:ascii="宋体" w:hAnsi="宋体"/>
          <w:color w:val="auto"/>
          <w:kern w:val="0"/>
          <w:szCs w:val="21"/>
          <w:highlight w:val="none"/>
        </w:rPr>
      </w:pPr>
      <w:r>
        <w:rPr>
          <w:rFonts w:ascii="宋体" w:hAnsi="宋体"/>
          <w:color w:val="auto"/>
          <w:highlight w:val="none"/>
        </w:rPr>
        <w:t>注：法定代表人身份证明需按上述格式填写完整，不可缺少内容。在此基础上增加内容的不影响其有效性</w:t>
      </w:r>
      <w:r>
        <w:rPr>
          <w:rFonts w:hint="eastAsia" w:ascii="宋体" w:hAnsi="宋体"/>
          <w:color w:val="auto"/>
          <w:kern w:val="0"/>
          <w:szCs w:val="21"/>
          <w:highlight w:val="none"/>
        </w:rPr>
        <w:t>。</w:t>
      </w:r>
    </w:p>
    <w:p w14:paraId="7727C31A">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color w:val="auto"/>
          <w:kern w:val="0"/>
          <w:szCs w:val="21"/>
          <w:highlight w:val="none"/>
        </w:rPr>
      </w:pPr>
    </w:p>
    <w:p w14:paraId="2B15295E">
      <w:pPr>
        <w:tabs>
          <w:tab w:val="left" w:pos="1680"/>
          <w:tab w:val="left" w:pos="4215"/>
          <w:tab w:val="left" w:pos="4305"/>
          <w:tab w:val="left" w:pos="8000"/>
        </w:tabs>
        <w:autoSpaceDE w:val="0"/>
        <w:autoSpaceDN w:val="0"/>
        <w:adjustRightInd w:val="0"/>
        <w:snapToGrid w:val="0"/>
        <w:spacing w:line="360" w:lineRule="auto"/>
        <w:jc w:val="center"/>
        <w:rPr>
          <w:rFonts w:ascii="宋体" w:hAnsi="宋体"/>
          <w:color w:val="auto"/>
          <w:kern w:val="0"/>
          <w:sz w:val="28"/>
          <w:szCs w:val="28"/>
          <w:highlight w:val="none"/>
        </w:rPr>
      </w:pPr>
      <w:r>
        <w:rPr>
          <w:rFonts w:ascii="宋体" w:hAnsi="宋体"/>
          <w:b/>
          <w:color w:val="auto"/>
          <w:kern w:val="0"/>
          <w:sz w:val="28"/>
          <w:szCs w:val="28"/>
          <w:highlight w:val="none"/>
        </w:rPr>
        <w:br w:type="page"/>
      </w:r>
      <w:r>
        <w:rPr>
          <w:rFonts w:ascii="宋体" w:hAnsi="宋体"/>
          <w:snapToGrid w:val="0"/>
          <w:color w:val="auto"/>
          <w:kern w:val="0"/>
          <w:sz w:val="32"/>
          <w:szCs w:val="32"/>
          <w:highlight w:val="none"/>
        </w:rPr>
        <w:t>授权委托书</w:t>
      </w:r>
    </w:p>
    <w:p w14:paraId="784758CB">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color w:val="auto"/>
          <w:kern w:val="0"/>
          <w:szCs w:val="21"/>
          <w:highlight w:val="none"/>
        </w:rPr>
      </w:pPr>
      <w:r>
        <w:rPr>
          <w:rFonts w:ascii="宋体" w:hAnsi="宋体"/>
          <w:color w:val="auto"/>
          <w:kern w:val="0"/>
          <w:szCs w:val="21"/>
          <w:highlight w:val="none"/>
        </w:rPr>
        <w:t>本人</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系</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w:t>
      </w:r>
      <w:r>
        <w:rPr>
          <w:rFonts w:ascii="宋体" w:hAnsi="宋体"/>
          <w:color w:val="auto"/>
          <w:spacing w:val="-1"/>
          <w:kern w:val="0"/>
          <w:szCs w:val="21"/>
          <w:highlight w:val="none"/>
          <w:u w:val="single"/>
        </w:rPr>
        <w:t>投</w:t>
      </w:r>
      <w:r>
        <w:rPr>
          <w:rFonts w:ascii="宋体" w:hAnsi="宋体"/>
          <w:color w:val="auto"/>
          <w:kern w:val="0"/>
          <w:szCs w:val="21"/>
          <w:highlight w:val="none"/>
          <w:u w:val="single"/>
        </w:rPr>
        <w:t>标人名称</w:t>
      </w:r>
      <w:r>
        <w:rPr>
          <w:rFonts w:ascii="宋体" w:hAnsi="宋体"/>
          <w:color w:val="auto"/>
          <w:spacing w:val="1"/>
          <w:kern w:val="0"/>
          <w:szCs w:val="21"/>
          <w:highlight w:val="none"/>
          <w:u w:val="single"/>
        </w:rPr>
        <w:t>）</w:t>
      </w:r>
      <w:r>
        <w:rPr>
          <w:rFonts w:ascii="宋体" w:hAnsi="宋体"/>
          <w:color w:val="auto"/>
          <w:kern w:val="0"/>
          <w:szCs w:val="21"/>
          <w:highlight w:val="none"/>
        </w:rPr>
        <w:t>的法定代</w:t>
      </w:r>
      <w:r>
        <w:rPr>
          <w:rFonts w:ascii="宋体" w:hAnsi="宋体"/>
          <w:color w:val="auto"/>
          <w:spacing w:val="1"/>
          <w:kern w:val="0"/>
          <w:szCs w:val="21"/>
          <w:highlight w:val="none"/>
        </w:rPr>
        <w:t>表</w:t>
      </w:r>
      <w:r>
        <w:rPr>
          <w:rFonts w:ascii="宋体" w:hAnsi="宋体"/>
          <w:color w:val="auto"/>
          <w:kern w:val="0"/>
          <w:szCs w:val="21"/>
          <w:highlight w:val="none"/>
        </w:rPr>
        <w:t>人，现委托</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为我方代理人。代理人根据授权，以我方名义签署、澄清、说明、补正、递交、撤回、 修改</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（项</w:t>
      </w:r>
      <w:r>
        <w:rPr>
          <w:rFonts w:ascii="宋体" w:hAnsi="宋体"/>
          <w:color w:val="auto"/>
          <w:spacing w:val="-1"/>
          <w:kern w:val="0"/>
          <w:szCs w:val="21"/>
          <w:highlight w:val="none"/>
          <w:u w:val="single"/>
        </w:rPr>
        <w:t>目</w:t>
      </w:r>
      <w:r>
        <w:rPr>
          <w:rFonts w:ascii="宋体" w:hAnsi="宋体"/>
          <w:color w:val="auto"/>
          <w:kern w:val="0"/>
          <w:szCs w:val="21"/>
          <w:highlight w:val="none"/>
          <w:u w:val="single"/>
        </w:rPr>
        <w:t>名称）</w:t>
      </w:r>
      <w:r>
        <w:rPr>
          <w:rFonts w:ascii="宋体" w:hAnsi="宋体"/>
          <w:color w:val="auto"/>
          <w:kern w:val="0"/>
          <w:szCs w:val="21"/>
          <w:highlight w:val="none"/>
        </w:rPr>
        <w:t>投标文件、签订合同和处理有关事宜， 其法律后果由我方承担。</w:t>
      </w:r>
    </w:p>
    <w:p w14:paraId="549B7CEB">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color w:val="auto"/>
          <w:kern w:val="0"/>
          <w:szCs w:val="21"/>
          <w:highlight w:val="none"/>
        </w:rPr>
      </w:pPr>
      <w:r>
        <w:rPr>
          <w:rFonts w:ascii="宋体" w:hAnsi="宋体"/>
          <w:color w:val="auto"/>
          <w:kern w:val="0"/>
          <w:szCs w:val="21"/>
          <w:highlight w:val="none"/>
        </w:rPr>
        <w:t>委托</w:t>
      </w:r>
      <w:r>
        <w:rPr>
          <w:rFonts w:ascii="宋体" w:hAnsi="宋体"/>
          <w:color w:val="auto"/>
          <w:spacing w:val="-1"/>
          <w:kern w:val="0"/>
          <w:szCs w:val="21"/>
          <w:highlight w:val="none"/>
        </w:rPr>
        <w:t>期</w:t>
      </w:r>
      <w:r>
        <w:rPr>
          <w:rFonts w:ascii="宋体" w:hAnsi="宋体"/>
          <w:color w:val="auto"/>
          <w:kern w:val="0"/>
          <w:szCs w:val="21"/>
          <w:highlight w:val="none"/>
        </w:rPr>
        <w:t>限：</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 xml:space="preserve">。 </w:t>
      </w:r>
    </w:p>
    <w:p w14:paraId="4F32F9A0">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color w:val="auto"/>
          <w:kern w:val="0"/>
          <w:szCs w:val="21"/>
          <w:highlight w:val="none"/>
        </w:rPr>
      </w:pPr>
      <w:r>
        <w:rPr>
          <w:rFonts w:ascii="宋体" w:hAnsi="宋体"/>
          <w:color w:val="auto"/>
          <w:kern w:val="0"/>
          <w:szCs w:val="21"/>
          <w:highlight w:val="none"/>
        </w:rPr>
        <w:t>代理人无转委托权。</w:t>
      </w:r>
    </w:p>
    <w:p w14:paraId="26253237">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color w:val="auto"/>
          <w:kern w:val="0"/>
          <w:szCs w:val="21"/>
          <w:highlight w:val="none"/>
        </w:rPr>
      </w:pPr>
    </w:p>
    <w:p w14:paraId="34F7A665">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14:paraId="4A4163D9">
      <w:pPr>
        <w:tabs>
          <w:tab w:val="left" w:pos="630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（签字或盖章）</w:t>
      </w:r>
    </w:p>
    <w:p w14:paraId="63DE44D5">
      <w:pPr>
        <w:tabs>
          <w:tab w:val="left" w:pos="5260"/>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14:paraId="667BBA8F">
      <w:pPr>
        <w:tabs>
          <w:tab w:val="left" w:pos="5260"/>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rPr>
      </w:pPr>
      <w:r>
        <w:rPr>
          <w:rFonts w:ascii="宋体" w:hAnsi="宋体"/>
          <w:color w:val="auto"/>
          <w:kern w:val="0"/>
          <w:szCs w:val="21"/>
          <w:highlight w:val="none"/>
        </w:rPr>
        <w:t>委托代理人：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（签</w:t>
      </w:r>
      <w:r>
        <w:rPr>
          <w:rFonts w:ascii="宋体" w:hAnsi="宋体"/>
          <w:color w:val="auto"/>
          <w:spacing w:val="-1"/>
          <w:kern w:val="0"/>
          <w:szCs w:val="21"/>
          <w:highlight w:val="none"/>
        </w:rPr>
        <w:t>字</w:t>
      </w:r>
      <w:r>
        <w:rPr>
          <w:rFonts w:hint="eastAsia" w:ascii="宋体" w:hAnsi="宋体"/>
          <w:color w:val="auto"/>
          <w:spacing w:val="-1"/>
          <w:kern w:val="0"/>
          <w:szCs w:val="21"/>
          <w:highlight w:val="none"/>
        </w:rPr>
        <w:t>）</w:t>
      </w:r>
    </w:p>
    <w:p w14:paraId="3A4E99E0">
      <w:pPr>
        <w:tabs>
          <w:tab w:val="left" w:pos="6825"/>
        </w:tabs>
        <w:autoSpaceDE w:val="0"/>
        <w:autoSpaceDN w:val="0"/>
        <w:adjustRightInd w:val="0"/>
        <w:snapToGrid w:val="0"/>
        <w:spacing w:line="480" w:lineRule="auto"/>
        <w:ind w:firstLine="420" w:firstLineChars="200"/>
        <w:jc w:val="left"/>
        <w:rPr>
          <w:rFonts w:hint="eastAsia" w:ascii="宋体" w:hAnsi="宋体"/>
          <w:color w:val="auto"/>
          <w:w w:val="200"/>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14:paraId="3D83C8C0">
      <w:pPr>
        <w:tabs>
          <w:tab w:val="left" w:pos="6825"/>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u w:val="single"/>
        </w:rPr>
      </w:pPr>
      <w:r>
        <w:rPr>
          <w:rFonts w:hint="eastAsia" w:ascii="宋体" w:hAnsi="宋体"/>
          <w:color w:val="auto"/>
          <w:kern w:val="0"/>
          <w:szCs w:val="21"/>
          <w:highlight w:val="none"/>
        </w:rPr>
        <w:t>单位电话（座机）：</w:t>
      </w:r>
      <w:r>
        <w:rPr>
          <w:rFonts w:hint="eastAsia" w:ascii="宋体" w:hAnsi="宋体"/>
          <w:color w:val="auto"/>
          <w:kern w:val="0"/>
          <w:szCs w:val="21"/>
          <w:highlight w:val="none"/>
          <w:u w:val="single"/>
        </w:rPr>
        <w:t xml:space="preserve">                              </w:t>
      </w:r>
    </w:p>
    <w:p w14:paraId="24553204">
      <w:pPr>
        <w:tabs>
          <w:tab w:val="left" w:pos="5260"/>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 xml:space="preserve">委托代理人电话（手机）：                                          </w:t>
      </w:r>
    </w:p>
    <w:p w14:paraId="70DB9DEE">
      <w:pPr>
        <w:autoSpaceDE w:val="0"/>
        <w:autoSpaceDN w:val="0"/>
        <w:adjustRightInd w:val="0"/>
        <w:snapToGrid w:val="0"/>
        <w:spacing w:line="480" w:lineRule="auto"/>
        <w:ind w:firstLine="810" w:firstLineChars="386"/>
        <w:jc w:val="left"/>
        <w:rPr>
          <w:rFonts w:hint="eastAsia" w:ascii="宋体" w:hAnsi="宋体"/>
          <w:color w:val="auto"/>
          <w:kern w:val="0"/>
          <w:szCs w:val="21"/>
          <w:highlight w:val="none"/>
        </w:rPr>
      </w:pPr>
      <w:r>
        <w:rPr>
          <w:rFonts w:hint="eastAsia" w:ascii="宋体" w:hAnsi="宋体"/>
          <w:color w:val="auto"/>
          <w:kern w:val="0"/>
          <w:szCs w:val="21"/>
          <w:highlight w:val="none"/>
        </w:rPr>
        <w:t>附：法定代表人和委托代理人身份证明扫描件（双面）</w:t>
      </w:r>
    </w:p>
    <w:p w14:paraId="270648CA">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7A294BA3">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4DE730EA">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1DBD7D3F">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27F67517">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05A1BD5B">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21A8F7B4">
      <w:pPr>
        <w:tabs>
          <w:tab w:val="left" w:pos="6825"/>
        </w:tabs>
        <w:autoSpaceDE w:val="0"/>
        <w:autoSpaceDN w:val="0"/>
        <w:adjustRightInd w:val="0"/>
        <w:snapToGrid w:val="0"/>
        <w:spacing w:line="480" w:lineRule="auto"/>
        <w:ind w:firstLine="420" w:firstLineChars="200"/>
        <w:jc w:val="left"/>
        <w:rPr>
          <w:rFonts w:ascii="宋体" w:hAnsi="宋体"/>
          <w:color w:val="auto"/>
          <w:kern w:val="0"/>
          <w:szCs w:val="21"/>
          <w:highlight w:val="none"/>
        </w:rPr>
      </w:pPr>
    </w:p>
    <w:p w14:paraId="16271E91">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14:paraId="29A63CE9">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kern w:val="0"/>
          <w:szCs w:val="21"/>
          <w:highlight w:val="none"/>
        </w:rPr>
      </w:pPr>
    </w:p>
    <w:p w14:paraId="71E3C031">
      <w:pPr>
        <w:tabs>
          <w:tab w:val="left" w:pos="5760"/>
        </w:tabs>
        <w:autoSpaceDE w:val="0"/>
        <w:autoSpaceDN w:val="0"/>
        <w:adjustRightInd w:val="0"/>
        <w:spacing w:line="360" w:lineRule="auto"/>
        <w:ind w:firstLine="420" w:firstLineChars="200"/>
        <w:rPr>
          <w:rFonts w:hint="eastAsia" w:ascii="宋体" w:hAnsi="宋体"/>
          <w:color w:val="auto"/>
          <w:kern w:val="0"/>
          <w:highlight w:val="none"/>
        </w:rPr>
      </w:pPr>
    </w:p>
    <w:p w14:paraId="48FFB23E">
      <w:pPr>
        <w:tabs>
          <w:tab w:val="left" w:pos="1680"/>
          <w:tab w:val="left" w:pos="4215"/>
          <w:tab w:val="left" w:pos="4305"/>
          <w:tab w:val="left" w:pos="8000"/>
        </w:tabs>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14:paraId="11000B29">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kern w:val="0"/>
          <w:szCs w:val="21"/>
          <w:highlight w:val="none"/>
        </w:rPr>
        <w:t>2.</w:t>
      </w:r>
      <w:r>
        <w:rPr>
          <w:rFonts w:hint="eastAsia" w:ascii="宋体" w:hAnsi="宋体"/>
          <w:color w:val="auto"/>
          <w:highlight w:val="none"/>
        </w:rPr>
        <w:t>授权委托书</w:t>
      </w:r>
      <w:r>
        <w:rPr>
          <w:rFonts w:ascii="宋体" w:hAnsi="宋体"/>
          <w:color w:val="auto"/>
          <w:highlight w:val="none"/>
        </w:rPr>
        <w:t>需按上述格式填写完整，不可缺少内容。在此基础上增加内容的不影响其有效性。</w:t>
      </w:r>
    </w:p>
    <w:p w14:paraId="77FFE549">
      <w:pPr>
        <w:autoSpaceDE w:val="0"/>
        <w:autoSpaceDN w:val="0"/>
        <w:adjustRightInd w:val="0"/>
        <w:snapToGrid w:val="0"/>
        <w:jc w:val="center"/>
        <w:rPr>
          <w:rFonts w:ascii="宋体" w:hAnsi="宋体"/>
          <w:color w:val="auto"/>
          <w:highlight w:val="none"/>
        </w:rPr>
      </w:pPr>
      <w:r>
        <w:rPr>
          <w:rFonts w:ascii="宋体" w:hAnsi="宋体"/>
          <w:color w:val="auto"/>
          <w:highlight w:val="none"/>
        </w:rPr>
        <w:br w:type="page"/>
      </w:r>
    </w:p>
    <w:p w14:paraId="45A11BD6">
      <w:pPr>
        <w:pStyle w:val="5"/>
        <w:spacing w:before="0" w:after="0" w:line="240" w:lineRule="auto"/>
        <w:jc w:val="center"/>
        <w:rPr>
          <w:rFonts w:ascii="宋体" w:hAnsi="宋体"/>
          <w:b w:val="0"/>
          <w:bCs w:val="0"/>
          <w:color w:val="auto"/>
          <w:highlight w:val="none"/>
        </w:rPr>
      </w:pPr>
      <w:bookmarkStart w:id="2364" w:name="_Toc430530547"/>
      <w:bookmarkStart w:id="2365" w:name="_Toc57820659"/>
      <w:bookmarkStart w:id="2366" w:name="_Toc287620831"/>
      <w:bookmarkStart w:id="2367" w:name="_Toc224103512"/>
      <w:bookmarkStart w:id="2368" w:name="_Toc287607884"/>
      <w:bookmarkStart w:id="2369" w:name="_Toc277082658"/>
      <w:r>
        <w:rPr>
          <w:rFonts w:hint="eastAsia" w:ascii="宋体" w:hAnsi="宋体"/>
          <w:b w:val="0"/>
          <w:bCs w:val="0"/>
          <w:color w:val="auto"/>
          <w:highlight w:val="none"/>
        </w:rPr>
        <w:t>（二）联合体协议书</w:t>
      </w:r>
      <w:bookmarkEnd w:id="2364"/>
      <w:r>
        <w:rPr>
          <w:rFonts w:hint="eastAsia" w:ascii="宋体" w:hAnsi="宋体"/>
          <w:b w:val="0"/>
          <w:bCs w:val="0"/>
          <w:color w:val="auto"/>
          <w:highlight w:val="none"/>
        </w:rPr>
        <w:t>（如有）</w:t>
      </w:r>
      <w:bookmarkEnd w:id="2365"/>
    </w:p>
    <w:bookmarkEnd w:id="2366"/>
    <w:bookmarkEnd w:id="2367"/>
    <w:bookmarkEnd w:id="2368"/>
    <w:bookmarkEnd w:id="2369"/>
    <w:p w14:paraId="7C697C21">
      <w:pPr>
        <w:autoSpaceDE w:val="0"/>
        <w:autoSpaceDN w:val="0"/>
        <w:adjustRightInd w:val="0"/>
        <w:snapToGrid w:val="0"/>
        <w:spacing w:line="500" w:lineRule="exact"/>
        <w:ind w:firstLine="420" w:firstLineChars="200"/>
        <w:rPr>
          <w:rFonts w:ascii="宋体" w:hAnsi="宋体"/>
          <w:snapToGrid w:val="0"/>
          <w:color w:val="auto"/>
          <w:kern w:val="0"/>
          <w:szCs w:val="21"/>
          <w:highlight w:val="none"/>
        </w:rPr>
      </w:pPr>
      <w:bookmarkStart w:id="2370" w:name="_Toc277082659"/>
      <w:bookmarkStart w:id="2371" w:name="_Toc287607887"/>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（所有成员单位名称）</w:t>
      </w:r>
      <w:r>
        <w:rPr>
          <w:rFonts w:ascii="宋体" w:hAnsi="宋体"/>
          <w:snapToGrid w:val="0"/>
          <w:color w:val="auto"/>
          <w:kern w:val="0"/>
          <w:szCs w:val="21"/>
          <w:highlight w:val="none"/>
        </w:rPr>
        <w:t>自愿组成联合体，共同参加</w:t>
      </w: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投标。现就联合体投标事宜订立如下协议。</w:t>
      </w:r>
    </w:p>
    <w:p w14:paraId="37D69A41">
      <w:pPr>
        <w:tabs>
          <w:tab w:val="left" w:pos="3465"/>
          <w:tab w:val="left" w:pos="4200"/>
        </w:tabs>
        <w:autoSpaceDE w:val="0"/>
        <w:autoSpaceDN w:val="0"/>
        <w:adjustRightInd w:val="0"/>
        <w:snapToGrid w:val="0"/>
        <w:spacing w:line="500" w:lineRule="exact"/>
        <w:ind w:firstLine="405" w:firstLineChars="193"/>
        <w:jc w:val="left"/>
        <w:rPr>
          <w:rFonts w:ascii="宋体" w:hAnsi="宋体"/>
          <w:snapToGrid w:val="0"/>
          <w:color w:val="auto"/>
          <w:kern w:val="0"/>
          <w:szCs w:val="21"/>
          <w:highlight w:val="none"/>
        </w:rPr>
      </w:pPr>
      <w:r>
        <w:rPr>
          <w:rFonts w:ascii="宋体" w:hAnsi="宋体"/>
          <w:snapToGrid w:val="0"/>
          <w:color w:val="auto"/>
          <w:kern w:val="0"/>
          <w:szCs w:val="21"/>
          <w:highlight w:val="none"/>
        </w:rPr>
        <w:t>1.</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（某成员单位名称）</w:t>
      </w:r>
      <w:r>
        <w:rPr>
          <w:rFonts w:hint="eastAsia" w:ascii="宋体" w:hAnsi="宋体"/>
          <w:snapToGrid w:val="0"/>
          <w:color w:val="auto"/>
          <w:kern w:val="0"/>
          <w:szCs w:val="21"/>
          <w:highlight w:val="none"/>
        </w:rPr>
        <w:t>为</w:t>
      </w:r>
      <w:r>
        <w:rPr>
          <w:rFonts w:hint="eastAsia"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（项目名称）</w:t>
      </w:r>
      <w:r>
        <w:rPr>
          <w:rFonts w:ascii="宋体" w:hAnsi="宋体"/>
          <w:snapToGrid w:val="0"/>
          <w:color w:val="auto"/>
          <w:kern w:val="0"/>
          <w:szCs w:val="21"/>
          <w:highlight w:val="none"/>
        </w:rPr>
        <w:t>联合体牵头人。由联合体牵头人单位递交投标保证金。</w:t>
      </w:r>
    </w:p>
    <w:p w14:paraId="7DCC2EE1">
      <w:pPr>
        <w:autoSpaceDE w:val="0"/>
        <w:autoSpaceDN w:val="0"/>
        <w:adjustRightInd w:val="0"/>
        <w:snapToGrid w:val="0"/>
        <w:spacing w:line="500" w:lineRule="exact"/>
        <w:ind w:firstLine="420"/>
        <w:rPr>
          <w:rFonts w:ascii="宋体" w:hAnsi="宋体"/>
          <w:snapToGrid w:val="0"/>
          <w:color w:val="auto"/>
          <w:kern w:val="0"/>
          <w:szCs w:val="21"/>
          <w:highlight w:val="none"/>
        </w:rPr>
      </w:pPr>
      <w:r>
        <w:rPr>
          <w:rFonts w:ascii="宋体" w:hAnsi="宋体"/>
          <w:snapToGrid w:val="0"/>
          <w:color w:val="auto"/>
          <w:kern w:val="0"/>
          <w:szCs w:val="21"/>
          <w:highlight w:val="none"/>
        </w:rPr>
        <w:t>2.联合体牵头人合法代表联合体各成员负责本招标项目投标文件编制和合同谈判活动， 并代表联合体提交和接收相关的资料、信息及指示，并处理与之有关的一切事务，负责合同 实施阶段的主办、组织和协调工作。</w:t>
      </w:r>
    </w:p>
    <w:p w14:paraId="0661F70E">
      <w:pPr>
        <w:autoSpaceDE w:val="0"/>
        <w:autoSpaceDN w:val="0"/>
        <w:adjustRightInd w:val="0"/>
        <w:snapToGrid w:val="0"/>
        <w:spacing w:line="500"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3.联合体将严格按照招标文件的各项要求，递交投标文件，履行合同，并对外承担连带责任。</w:t>
      </w:r>
    </w:p>
    <w:p w14:paraId="6942BF43">
      <w:pPr>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4.联合体牵头人代表联合体签署投标文件</w:t>
      </w:r>
      <w:r>
        <w:rPr>
          <w:rFonts w:ascii="宋体" w:hAnsi="宋体"/>
          <w:color w:val="auto"/>
          <w:spacing w:val="-19"/>
          <w:kern w:val="0"/>
          <w:szCs w:val="21"/>
          <w:highlight w:val="none"/>
        </w:rPr>
        <w:t>，</w:t>
      </w:r>
      <w:r>
        <w:rPr>
          <w:rFonts w:ascii="宋体" w:hAnsi="宋体"/>
          <w:color w:val="auto"/>
          <w:kern w:val="0"/>
          <w:szCs w:val="21"/>
          <w:highlight w:val="none"/>
        </w:rPr>
        <w:t>联合体牵头人的所有承诺均认为代表了联合体各成员。</w:t>
      </w:r>
    </w:p>
    <w:p w14:paraId="20025E28">
      <w:pPr>
        <w:tabs>
          <w:tab w:val="left" w:pos="2020"/>
          <w:tab w:val="left" w:pos="4680"/>
          <w:tab w:val="left" w:pos="7640"/>
          <w:tab w:val="left" w:pos="7820"/>
        </w:tabs>
        <w:autoSpaceDE w:val="0"/>
        <w:autoSpaceDN w:val="0"/>
        <w:adjustRightInd w:val="0"/>
        <w:spacing w:line="5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5.联合体各成员单位内部的职责分工如下：</w:t>
      </w:r>
    </w:p>
    <w:p w14:paraId="424F33AE">
      <w:pPr>
        <w:tabs>
          <w:tab w:val="left" w:pos="2020"/>
          <w:tab w:val="left" w:pos="4680"/>
          <w:tab w:val="left" w:pos="7640"/>
          <w:tab w:val="left" w:pos="7820"/>
        </w:tabs>
        <w:autoSpaceDE w:val="0"/>
        <w:autoSpaceDN w:val="0"/>
        <w:adjustRightInd w:val="0"/>
        <w:spacing w:line="500" w:lineRule="exact"/>
        <w:ind w:firstLine="416" w:firstLineChars="200"/>
        <w:jc w:val="left"/>
        <w:rPr>
          <w:rFonts w:ascii="宋体" w:hAnsi="宋体"/>
          <w:color w:val="auto"/>
          <w:spacing w:val="-1"/>
          <w:kern w:val="0"/>
          <w:szCs w:val="21"/>
          <w:highlight w:val="none"/>
        </w:rPr>
      </w:pPr>
      <w:r>
        <w:rPr>
          <w:rFonts w:ascii="宋体" w:hAnsi="宋体"/>
          <w:color w:val="auto"/>
          <w:spacing w:val="-1"/>
          <w:kern w:val="0"/>
          <w:szCs w:val="21"/>
          <w:highlight w:val="none"/>
          <w:u w:val="single"/>
        </w:rPr>
        <w:t>（牵头人名称</w:t>
      </w:r>
      <w:r>
        <w:rPr>
          <w:rFonts w:hint="eastAsia" w:ascii="宋体" w:hAnsi="宋体"/>
          <w:color w:val="auto"/>
          <w:spacing w:val="-1"/>
          <w:kern w:val="0"/>
          <w:szCs w:val="21"/>
          <w:highlight w:val="none"/>
          <w:u w:val="single"/>
        </w:rPr>
        <w:t>）</w:t>
      </w:r>
      <w:r>
        <w:rPr>
          <w:rFonts w:ascii="宋体" w:hAnsi="宋体"/>
          <w:color w:val="auto"/>
          <w:spacing w:val="-1"/>
          <w:kern w:val="0"/>
          <w:szCs w:val="21"/>
          <w:highlight w:val="none"/>
        </w:rPr>
        <w:t>承担</w:t>
      </w:r>
      <w:r>
        <w:rPr>
          <w:rFonts w:ascii="宋体" w:hAnsi="宋体"/>
          <w:color w:val="auto"/>
          <w:spacing w:val="-1"/>
          <w:kern w:val="0"/>
          <w:szCs w:val="21"/>
          <w:highlight w:val="none"/>
          <w:u w:val="single"/>
        </w:rPr>
        <w:tab/>
      </w:r>
      <w:r>
        <w:rPr>
          <w:rFonts w:ascii="宋体" w:hAnsi="宋体"/>
          <w:color w:val="auto"/>
          <w:spacing w:val="-1"/>
          <w:kern w:val="0"/>
          <w:szCs w:val="21"/>
          <w:highlight w:val="none"/>
        </w:rPr>
        <w:t>；</w:t>
      </w:r>
    </w:p>
    <w:p w14:paraId="2C7C63E6">
      <w:pPr>
        <w:tabs>
          <w:tab w:val="left" w:pos="2020"/>
          <w:tab w:val="left" w:pos="4680"/>
          <w:tab w:val="left" w:pos="7640"/>
          <w:tab w:val="left" w:pos="7820"/>
        </w:tabs>
        <w:autoSpaceDE w:val="0"/>
        <w:autoSpaceDN w:val="0"/>
        <w:adjustRightInd w:val="0"/>
        <w:spacing w:line="500" w:lineRule="exact"/>
        <w:ind w:firstLine="428" w:firstLineChars="200"/>
        <w:jc w:val="left"/>
        <w:rPr>
          <w:rFonts w:ascii="宋体" w:hAnsi="宋体"/>
          <w:color w:val="auto"/>
          <w:spacing w:val="-1"/>
          <w:kern w:val="0"/>
          <w:szCs w:val="21"/>
          <w:highlight w:val="none"/>
        </w:rPr>
      </w:pPr>
      <w:r>
        <w:rPr>
          <w:rFonts w:ascii="宋体" w:hAnsi="宋体"/>
          <w:color w:val="auto"/>
          <w:spacing w:val="2"/>
          <w:kern w:val="0"/>
          <w:szCs w:val="21"/>
          <w:highlight w:val="none"/>
          <w:u w:val="single"/>
        </w:rPr>
        <w:t>（</w:t>
      </w:r>
      <w:r>
        <w:rPr>
          <w:rFonts w:ascii="宋体" w:hAnsi="宋体"/>
          <w:color w:val="auto"/>
          <w:kern w:val="0"/>
          <w:szCs w:val="21"/>
          <w:highlight w:val="none"/>
          <w:u w:val="single"/>
        </w:rPr>
        <w:t>成员一名称</w:t>
      </w:r>
      <w:r>
        <w:rPr>
          <w:rFonts w:hint="eastAsia" w:ascii="宋体" w:hAnsi="宋体"/>
          <w:color w:val="auto"/>
          <w:spacing w:val="-1"/>
          <w:kern w:val="0"/>
          <w:szCs w:val="21"/>
          <w:highlight w:val="none"/>
          <w:u w:val="single"/>
        </w:rPr>
        <w:t>）</w:t>
      </w:r>
      <w:r>
        <w:rPr>
          <w:rFonts w:ascii="宋体" w:hAnsi="宋体"/>
          <w:color w:val="auto"/>
          <w:kern w:val="0"/>
          <w:szCs w:val="21"/>
          <w:highlight w:val="none"/>
        </w:rPr>
        <w:t>承担</w:t>
      </w:r>
      <w:r>
        <w:rPr>
          <w:rFonts w:ascii="宋体" w:hAnsi="宋体"/>
          <w:color w:val="auto"/>
          <w:kern w:val="0"/>
          <w:szCs w:val="21"/>
          <w:highlight w:val="none"/>
          <w:u w:val="single"/>
        </w:rPr>
        <w:tab/>
      </w:r>
      <w:r>
        <w:rPr>
          <w:rFonts w:ascii="宋体" w:hAnsi="宋体"/>
          <w:color w:val="auto"/>
          <w:spacing w:val="-1"/>
          <w:kern w:val="0"/>
          <w:szCs w:val="21"/>
          <w:highlight w:val="none"/>
        </w:rPr>
        <w:t>；</w:t>
      </w:r>
    </w:p>
    <w:p w14:paraId="5144902A">
      <w:pPr>
        <w:tabs>
          <w:tab w:val="left" w:pos="2020"/>
          <w:tab w:val="left" w:pos="4680"/>
          <w:tab w:val="left" w:pos="7640"/>
          <w:tab w:val="left" w:pos="782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w:t>
      </w:r>
    </w:p>
    <w:p w14:paraId="2A6493DE">
      <w:pPr>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6</w:t>
      </w:r>
      <w:r>
        <w:rPr>
          <w:rFonts w:ascii="宋体" w:hAnsi="宋体"/>
          <w:color w:val="auto"/>
          <w:spacing w:val="7"/>
          <w:kern w:val="0"/>
          <w:szCs w:val="21"/>
          <w:highlight w:val="none"/>
        </w:rPr>
        <w:t>.投标工作和联合体</w:t>
      </w:r>
      <w:r>
        <w:rPr>
          <w:rFonts w:ascii="宋体" w:hAnsi="宋体"/>
          <w:color w:val="auto"/>
          <w:spacing w:val="5"/>
          <w:kern w:val="0"/>
          <w:szCs w:val="21"/>
          <w:highlight w:val="none"/>
        </w:rPr>
        <w:t>在</w:t>
      </w:r>
      <w:r>
        <w:rPr>
          <w:rFonts w:ascii="宋体" w:hAnsi="宋体"/>
          <w:color w:val="auto"/>
          <w:spacing w:val="7"/>
          <w:kern w:val="0"/>
          <w:szCs w:val="21"/>
          <w:highlight w:val="none"/>
        </w:rPr>
        <w:t>中标后工程实施过</w:t>
      </w:r>
      <w:r>
        <w:rPr>
          <w:rFonts w:ascii="宋体" w:hAnsi="宋体"/>
          <w:color w:val="auto"/>
          <w:spacing w:val="5"/>
          <w:kern w:val="0"/>
          <w:szCs w:val="21"/>
          <w:highlight w:val="none"/>
        </w:rPr>
        <w:t>程</w:t>
      </w:r>
      <w:r>
        <w:rPr>
          <w:rFonts w:ascii="宋体" w:hAnsi="宋体"/>
          <w:color w:val="auto"/>
          <w:spacing w:val="7"/>
          <w:kern w:val="0"/>
          <w:szCs w:val="21"/>
          <w:highlight w:val="none"/>
        </w:rPr>
        <w:t>中的有关费用按各</w:t>
      </w:r>
      <w:r>
        <w:rPr>
          <w:rFonts w:ascii="宋体" w:hAnsi="宋体"/>
          <w:color w:val="auto"/>
          <w:spacing w:val="5"/>
          <w:kern w:val="0"/>
          <w:szCs w:val="21"/>
          <w:highlight w:val="none"/>
        </w:rPr>
        <w:t>自</w:t>
      </w:r>
      <w:r>
        <w:rPr>
          <w:rFonts w:ascii="宋体" w:hAnsi="宋体"/>
          <w:color w:val="auto"/>
          <w:spacing w:val="7"/>
          <w:kern w:val="0"/>
          <w:szCs w:val="21"/>
          <w:highlight w:val="none"/>
        </w:rPr>
        <w:t>承担的工作</w:t>
      </w:r>
      <w:r>
        <w:rPr>
          <w:rFonts w:ascii="宋体" w:hAnsi="宋体"/>
          <w:color w:val="auto"/>
          <w:kern w:val="0"/>
          <w:szCs w:val="21"/>
          <w:highlight w:val="none"/>
        </w:rPr>
        <w:t>量分摊。</w:t>
      </w:r>
    </w:p>
    <w:p w14:paraId="76E38331">
      <w:pPr>
        <w:tabs>
          <w:tab w:val="left" w:pos="6300"/>
          <w:tab w:val="left" w:pos="8295"/>
        </w:tabs>
        <w:autoSpaceDE w:val="0"/>
        <w:autoSpaceDN w:val="0"/>
        <w:adjustRightInd w:val="0"/>
        <w:snapToGrid w:val="0"/>
        <w:spacing w:line="5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7.本协议书自签署之日起生效，合同履行完毕后自动失效。</w:t>
      </w:r>
    </w:p>
    <w:p w14:paraId="2D824548">
      <w:pPr>
        <w:autoSpaceDE w:val="0"/>
        <w:autoSpaceDN w:val="0"/>
        <w:adjustRightInd w:val="0"/>
        <w:snapToGrid w:val="0"/>
        <w:spacing w:line="500" w:lineRule="exact"/>
        <w:ind w:firstLine="390" w:firstLineChars="186"/>
        <w:jc w:val="left"/>
        <w:rPr>
          <w:rFonts w:ascii="宋体" w:hAnsi="宋体"/>
          <w:snapToGrid w:val="0"/>
          <w:color w:val="auto"/>
          <w:kern w:val="0"/>
          <w:szCs w:val="21"/>
          <w:highlight w:val="none"/>
        </w:rPr>
      </w:pPr>
      <w:r>
        <w:rPr>
          <w:rFonts w:ascii="宋体" w:hAnsi="宋体"/>
          <w:snapToGrid w:val="0"/>
          <w:color w:val="auto"/>
          <w:kern w:val="0"/>
          <w:szCs w:val="21"/>
          <w:highlight w:val="none"/>
        </w:rPr>
        <w:t>8.本协议书一式份，联合体成员和招标人各执一份。</w:t>
      </w:r>
    </w:p>
    <w:p w14:paraId="013E4DC5">
      <w:pPr>
        <w:autoSpaceDE w:val="0"/>
        <w:autoSpaceDN w:val="0"/>
        <w:adjustRightInd w:val="0"/>
        <w:snapToGrid w:val="0"/>
        <w:spacing w:line="500" w:lineRule="exact"/>
        <w:ind w:firstLine="390" w:firstLineChars="186"/>
        <w:jc w:val="left"/>
        <w:rPr>
          <w:rFonts w:ascii="宋体" w:hAnsi="宋体"/>
          <w:snapToGrid w:val="0"/>
          <w:color w:val="auto"/>
          <w:kern w:val="0"/>
          <w:szCs w:val="21"/>
          <w:highlight w:val="none"/>
        </w:rPr>
      </w:pPr>
    </w:p>
    <w:p w14:paraId="4302EE38">
      <w:pPr>
        <w:tabs>
          <w:tab w:val="left" w:pos="4840"/>
        </w:tabs>
        <w:autoSpaceDE w:val="0"/>
        <w:autoSpaceDN w:val="0"/>
        <w:adjustRightInd w:val="0"/>
        <w:snapToGrid w:val="0"/>
        <w:spacing w:line="5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牵头人名称：</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（盖单位法人章）</w:t>
      </w:r>
    </w:p>
    <w:p w14:paraId="73A4C3C9">
      <w:pPr>
        <w:tabs>
          <w:tab w:val="left" w:pos="5260"/>
        </w:tabs>
        <w:autoSpaceDE w:val="0"/>
        <w:autoSpaceDN w:val="0"/>
        <w:adjustRightInd w:val="0"/>
        <w:snapToGrid w:val="0"/>
        <w:spacing w:line="5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position w:val="-2"/>
          <w:szCs w:val="21"/>
          <w:highlight w:val="none"/>
        </w:rPr>
        <w:t>法定代表人或其委托代理人：</w:t>
      </w:r>
      <w:r>
        <w:rPr>
          <w:rFonts w:hint="eastAsia" w:ascii="宋体" w:hAnsi="宋体"/>
          <w:snapToGrid w:val="0"/>
          <w:color w:val="auto"/>
          <w:kern w:val="0"/>
          <w:position w:val="-2"/>
          <w:szCs w:val="21"/>
          <w:highlight w:val="none"/>
          <w:u w:val="single"/>
        </w:rPr>
        <w:t xml:space="preserve">                                   </w:t>
      </w:r>
      <w:r>
        <w:rPr>
          <w:rFonts w:ascii="宋体" w:hAnsi="宋体"/>
          <w:snapToGrid w:val="0"/>
          <w:color w:val="auto"/>
          <w:kern w:val="0"/>
          <w:position w:val="-2"/>
          <w:szCs w:val="21"/>
          <w:highlight w:val="none"/>
        </w:rPr>
        <w:t>（</w:t>
      </w:r>
      <w:r>
        <w:rPr>
          <w:rFonts w:ascii="宋体" w:hAnsi="宋体"/>
          <w:snapToGrid w:val="0"/>
          <w:color w:val="auto"/>
          <w:kern w:val="0"/>
          <w:szCs w:val="21"/>
          <w:highlight w:val="none"/>
        </w:rPr>
        <w:t>签字或盖章</w:t>
      </w:r>
      <w:r>
        <w:rPr>
          <w:rFonts w:ascii="宋体" w:hAnsi="宋体"/>
          <w:snapToGrid w:val="0"/>
          <w:color w:val="auto"/>
          <w:kern w:val="0"/>
          <w:position w:val="-2"/>
          <w:szCs w:val="21"/>
          <w:highlight w:val="none"/>
        </w:rPr>
        <w:t>）</w:t>
      </w:r>
    </w:p>
    <w:p w14:paraId="129B7A8E">
      <w:pPr>
        <w:tabs>
          <w:tab w:val="left" w:pos="789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成员一名称：</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r>
        <w:rPr>
          <w:rFonts w:ascii="宋体" w:hAnsi="宋体"/>
          <w:color w:val="auto"/>
          <w:kern w:val="0"/>
          <w:szCs w:val="21"/>
          <w:highlight w:val="none"/>
        </w:rPr>
        <w:t>盖单位法人章）</w:t>
      </w:r>
    </w:p>
    <w:p w14:paraId="75B34C2A">
      <w:pPr>
        <w:tabs>
          <w:tab w:val="left" w:pos="774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法定代表人或其委托代理人</w:t>
      </w:r>
      <w:r>
        <w:rPr>
          <w:rFonts w:hint="eastAsia" w:ascii="宋体" w:hAnsi="宋体"/>
          <w:color w:val="auto"/>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spacing w:val="-1"/>
          <w:kern w:val="0"/>
          <w:szCs w:val="21"/>
          <w:highlight w:val="none"/>
        </w:rPr>
        <w:t>（</w:t>
      </w:r>
      <w:r>
        <w:rPr>
          <w:rFonts w:ascii="宋体" w:hAnsi="宋体"/>
          <w:color w:val="auto"/>
          <w:kern w:val="0"/>
          <w:szCs w:val="21"/>
          <w:highlight w:val="none"/>
        </w:rPr>
        <w:t>签字</w:t>
      </w:r>
      <w:r>
        <w:rPr>
          <w:rFonts w:ascii="宋体" w:hAnsi="宋体"/>
          <w:snapToGrid w:val="0"/>
          <w:color w:val="auto"/>
          <w:kern w:val="0"/>
          <w:szCs w:val="21"/>
          <w:highlight w:val="none"/>
        </w:rPr>
        <w:t>或盖章</w:t>
      </w:r>
      <w:r>
        <w:rPr>
          <w:rFonts w:ascii="宋体" w:hAnsi="宋体"/>
          <w:color w:val="auto"/>
          <w:kern w:val="0"/>
          <w:szCs w:val="21"/>
          <w:highlight w:val="none"/>
        </w:rPr>
        <w:t>）</w:t>
      </w:r>
    </w:p>
    <w:p w14:paraId="5DC4CC81">
      <w:pPr>
        <w:tabs>
          <w:tab w:val="left" w:pos="5140"/>
          <w:tab w:val="left" w:pos="6100"/>
          <w:tab w:val="left" w:pos="682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w:t>
      </w:r>
    </w:p>
    <w:p w14:paraId="739715F0">
      <w:pPr>
        <w:tabs>
          <w:tab w:val="left" w:pos="3840"/>
          <w:tab w:val="left" w:pos="4780"/>
          <w:tab w:val="left" w:pos="5720"/>
        </w:tabs>
        <w:autoSpaceDE w:val="0"/>
        <w:autoSpaceDN w:val="0"/>
        <w:adjustRightInd w:val="0"/>
        <w:snapToGrid w:val="0"/>
        <w:spacing w:before="156" w:beforeLines="50" w:line="500" w:lineRule="exact"/>
        <w:ind w:right="420" w:firstLine="5565" w:firstLineChars="2650"/>
        <w:jc w:val="right"/>
        <w:rPr>
          <w:rFonts w:ascii="宋体" w:hAnsi="宋体"/>
          <w:snapToGrid w:val="0"/>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548B2F94">
      <w:pPr>
        <w:spacing w:line="360" w:lineRule="auto"/>
        <w:jc w:val="center"/>
        <w:rPr>
          <w:rFonts w:ascii="宋体" w:hAnsi="宋体"/>
          <w:snapToGrid w:val="0"/>
          <w:color w:val="auto"/>
          <w:szCs w:val="21"/>
          <w:highlight w:val="none"/>
        </w:rPr>
      </w:pPr>
    </w:p>
    <w:p w14:paraId="7B8FF138">
      <w:pPr>
        <w:spacing w:line="360" w:lineRule="auto"/>
        <w:jc w:val="center"/>
        <w:rPr>
          <w:rFonts w:ascii="宋体" w:hAnsi="宋体"/>
          <w:color w:val="auto"/>
          <w:szCs w:val="21"/>
          <w:highlight w:val="none"/>
        </w:rPr>
      </w:pPr>
      <w:r>
        <w:rPr>
          <w:rFonts w:ascii="宋体" w:hAnsi="宋体"/>
          <w:snapToGrid w:val="0"/>
          <w:color w:val="auto"/>
          <w:szCs w:val="21"/>
          <w:highlight w:val="none"/>
        </w:rPr>
        <w:t>注：本协议书由委托代理人签字或盖章的，应附法定代表人签字或盖章的授权委托书。</w:t>
      </w:r>
    </w:p>
    <w:p w14:paraId="1EFAE3B9">
      <w:pPr>
        <w:spacing w:line="20" w:lineRule="exact"/>
        <w:jc w:val="center"/>
        <w:rPr>
          <w:rFonts w:ascii="宋体" w:hAnsi="宋体"/>
          <w:color w:val="auto"/>
          <w:szCs w:val="21"/>
          <w:highlight w:val="none"/>
        </w:rPr>
      </w:pPr>
    </w:p>
    <w:p w14:paraId="7EDD49D9">
      <w:pPr>
        <w:pStyle w:val="5"/>
        <w:spacing w:before="0" w:after="0" w:line="240" w:lineRule="auto"/>
        <w:jc w:val="center"/>
        <w:rPr>
          <w:rFonts w:ascii="宋体" w:hAnsi="宋体"/>
          <w:color w:val="auto"/>
          <w:highlight w:val="none"/>
        </w:rPr>
      </w:pPr>
      <w:r>
        <w:rPr>
          <w:rFonts w:ascii="宋体" w:hAnsi="宋体"/>
          <w:color w:val="auto"/>
          <w:szCs w:val="21"/>
          <w:highlight w:val="none"/>
        </w:rPr>
        <w:br w:type="page"/>
      </w:r>
      <w:bookmarkStart w:id="2372" w:name="_Toc57820660"/>
      <w:r>
        <w:rPr>
          <w:rFonts w:hint="eastAsia" w:ascii="宋体" w:hAnsi="宋体"/>
          <w:b w:val="0"/>
          <w:bCs w:val="0"/>
          <w:color w:val="auto"/>
          <w:highlight w:val="none"/>
        </w:rPr>
        <w:t>（三）投标人基本情况表</w:t>
      </w:r>
      <w:bookmarkEnd w:id="2372"/>
    </w:p>
    <w:tbl>
      <w:tblPr>
        <w:tblStyle w:val="45"/>
        <w:tblW w:w="0" w:type="auto"/>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862"/>
        <w:gridCol w:w="967"/>
        <w:gridCol w:w="1024"/>
        <w:gridCol w:w="904"/>
        <w:gridCol w:w="452"/>
        <w:gridCol w:w="103"/>
        <w:gridCol w:w="1392"/>
        <w:gridCol w:w="529"/>
        <w:gridCol w:w="925"/>
        <w:gridCol w:w="1311"/>
      </w:tblGrid>
      <w:tr w14:paraId="609E686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4A042C62">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投标人名称</w:t>
            </w:r>
          </w:p>
        </w:tc>
        <w:tc>
          <w:tcPr>
            <w:tcW w:w="7607" w:type="dxa"/>
            <w:gridSpan w:val="9"/>
            <w:noWrap w:val="0"/>
            <w:vAlign w:val="center"/>
          </w:tcPr>
          <w:p w14:paraId="6C4DBBC1">
            <w:pPr>
              <w:autoSpaceDE w:val="0"/>
              <w:autoSpaceDN w:val="0"/>
              <w:adjustRightInd w:val="0"/>
              <w:snapToGrid w:val="0"/>
              <w:jc w:val="center"/>
              <w:rPr>
                <w:rFonts w:ascii="宋体" w:hAnsi="宋体"/>
                <w:color w:val="auto"/>
                <w:kern w:val="0"/>
                <w:szCs w:val="21"/>
                <w:highlight w:val="none"/>
              </w:rPr>
            </w:pPr>
          </w:p>
        </w:tc>
      </w:tr>
      <w:tr w14:paraId="74172FE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462E2973">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注册地址</w:t>
            </w:r>
          </w:p>
        </w:tc>
        <w:tc>
          <w:tcPr>
            <w:tcW w:w="3450" w:type="dxa"/>
            <w:gridSpan w:val="5"/>
            <w:noWrap w:val="0"/>
            <w:vAlign w:val="center"/>
          </w:tcPr>
          <w:p w14:paraId="1E44D7A1">
            <w:pPr>
              <w:autoSpaceDE w:val="0"/>
              <w:autoSpaceDN w:val="0"/>
              <w:adjustRightInd w:val="0"/>
              <w:snapToGrid w:val="0"/>
              <w:jc w:val="center"/>
              <w:rPr>
                <w:rFonts w:ascii="宋体" w:hAnsi="宋体"/>
                <w:color w:val="auto"/>
                <w:kern w:val="0"/>
                <w:szCs w:val="21"/>
                <w:highlight w:val="none"/>
              </w:rPr>
            </w:pPr>
          </w:p>
        </w:tc>
        <w:tc>
          <w:tcPr>
            <w:tcW w:w="1392" w:type="dxa"/>
            <w:noWrap w:val="0"/>
            <w:vAlign w:val="center"/>
          </w:tcPr>
          <w:p w14:paraId="5EBA7F1D">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邮政编码</w:t>
            </w:r>
          </w:p>
        </w:tc>
        <w:tc>
          <w:tcPr>
            <w:tcW w:w="2765" w:type="dxa"/>
            <w:gridSpan w:val="3"/>
            <w:noWrap w:val="0"/>
            <w:vAlign w:val="center"/>
          </w:tcPr>
          <w:p w14:paraId="14C79E13">
            <w:pPr>
              <w:autoSpaceDE w:val="0"/>
              <w:autoSpaceDN w:val="0"/>
              <w:adjustRightInd w:val="0"/>
              <w:snapToGrid w:val="0"/>
              <w:jc w:val="center"/>
              <w:rPr>
                <w:rFonts w:ascii="宋体" w:hAnsi="宋体"/>
                <w:color w:val="auto"/>
                <w:kern w:val="0"/>
                <w:szCs w:val="21"/>
                <w:highlight w:val="none"/>
              </w:rPr>
            </w:pPr>
          </w:p>
        </w:tc>
      </w:tr>
      <w:tr w14:paraId="214026F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restart"/>
            <w:noWrap w:val="0"/>
            <w:vAlign w:val="center"/>
          </w:tcPr>
          <w:p w14:paraId="595D1BAD">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联系方式</w:t>
            </w:r>
          </w:p>
        </w:tc>
        <w:tc>
          <w:tcPr>
            <w:tcW w:w="967" w:type="dxa"/>
            <w:noWrap w:val="0"/>
            <w:vAlign w:val="center"/>
          </w:tcPr>
          <w:p w14:paraId="50DEB76C">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联系人</w:t>
            </w:r>
          </w:p>
        </w:tc>
        <w:tc>
          <w:tcPr>
            <w:tcW w:w="2483" w:type="dxa"/>
            <w:gridSpan w:val="4"/>
            <w:noWrap w:val="0"/>
            <w:vAlign w:val="center"/>
          </w:tcPr>
          <w:p w14:paraId="0339CFB6">
            <w:pPr>
              <w:autoSpaceDE w:val="0"/>
              <w:autoSpaceDN w:val="0"/>
              <w:adjustRightInd w:val="0"/>
              <w:snapToGrid w:val="0"/>
              <w:jc w:val="center"/>
              <w:rPr>
                <w:rFonts w:ascii="宋体" w:hAnsi="宋体"/>
                <w:color w:val="auto"/>
                <w:kern w:val="0"/>
                <w:szCs w:val="21"/>
                <w:highlight w:val="none"/>
              </w:rPr>
            </w:pPr>
          </w:p>
        </w:tc>
        <w:tc>
          <w:tcPr>
            <w:tcW w:w="1392" w:type="dxa"/>
            <w:noWrap w:val="0"/>
            <w:vAlign w:val="center"/>
          </w:tcPr>
          <w:p w14:paraId="1A7BFD0F">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电话</w:t>
            </w:r>
          </w:p>
        </w:tc>
        <w:tc>
          <w:tcPr>
            <w:tcW w:w="2765" w:type="dxa"/>
            <w:gridSpan w:val="3"/>
            <w:noWrap w:val="0"/>
            <w:vAlign w:val="center"/>
          </w:tcPr>
          <w:p w14:paraId="5CA33F19">
            <w:pPr>
              <w:autoSpaceDE w:val="0"/>
              <w:autoSpaceDN w:val="0"/>
              <w:adjustRightInd w:val="0"/>
              <w:snapToGrid w:val="0"/>
              <w:jc w:val="center"/>
              <w:rPr>
                <w:rFonts w:ascii="宋体" w:hAnsi="宋体"/>
                <w:color w:val="auto"/>
                <w:kern w:val="0"/>
                <w:szCs w:val="21"/>
                <w:highlight w:val="none"/>
              </w:rPr>
            </w:pPr>
          </w:p>
        </w:tc>
      </w:tr>
      <w:tr w14:paraId="2F27D7B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continue"/>
            <w:noWrap w:val="0"/>
            <w:vAlign w:val="center"/>
          </w:tcPr>
          <w:p w14:paraId="6BAE75A2">
            <w:pPr>
              <w:autoSpaceDE w:val="0"/>
              <w:autoSpaceDN w:val="0"/>
              <w:adjustRightInd w:val="0"/>
              <w:snapToGrid w:val="0"/>
              <w:jc w:val="center"/>
              <w:rPr>
                <w:rFonts w:ascii="宋体" w:hAnsi="宋体"/>
                <w:color w:val="auto"/>
                <w:kern w:val="0"/>
                <w:szCs w:val="21"/>
                <w:highlight w:val="none"/>
              </w:rPr>
            </w:pPr>
          </w:p>
        </w:tc>
        <w:tc>
          <w:tcPr>
            <w:tcW w:w="967" w:type="dxa"/>
            <w:noWrap w:val="0"/>
            <w:vAlign w:val="center"/>
          </w:tcPr>
          <w:p w14:paraId="1052E432">
            <w:pPr>
              <w:tabs>
                <w:tab w:val="left" w:pos="540"/>
              </w:tabs>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传  真</w:t>
            </w:r>
          </w:p>
        </w:tc>
        <w:tc>
          <w:tcPr>
            <w:tcW w:w="2483" w:type="dxa"/>
            <w:gridSpan w:val="4"/>
            <w:noWrap w:val="0"/>
            <w:vAlign w:val="center"/>
          </w:tcPr>
          <w:p w14:paraId="7B1DD2D0">
            <w:pPr>
              <w:autoSpaceDE w:val="0"/>
              <w:autoSpaceDN w:val="0"/>
              <w:adjustRightInd w:val="0"/>
              <w:snapToGrid w:val="0"/>
              <w:jc w:val="center"/>
              <w:rPr>
                <w:rFonts w:ascii="宋体" w:hAnsi="宋体"/>
                <w:color w:val="auto"/>
                <w:kern w:val="0"/>
                <w:szCs w:val="21"/>
                <w:highlight w:val="none"/>
              </w:rPr>
            </w:pPr>
          </w:p>
        </w:tc>
        <w:tc>
          <w:tcPr>
            <w:tcW w:w="1392" w:type="dxa"/>
            <w:noWrap w:val="0"/>
            <w:vAlign w:val="center"/>
          </w:tcPr>
          <w:p w14:paraId="52CE7A5B">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网址</w:t>
            </w:r>
          </w:p>
        </w:tc>
        <w:tc>
          <w:tcPr>
            <w:tcW w:w="2765" w:type="dxa"/>
            <w:gridSpan w:val="3"/>
            <w:noWrap w:val="0"/>
            <w:vAlign w:val="center"/>
          </w:tcPr>
          <w:p w14:paraId="59A50D81">
            <w:pPr>
              <w:autoSpaceDE w:val="0"/>
              <w:autoSpaceDN w:val="0"/>
              <w:adjustRightInd w:val="0"/>
              <w:snapToGrid w:val="0"/>
              <w:jc w:val="center"/>
              <w:rPr>
                <w:rFonts w:ascii="宋体" w:hAnsi="宋体"/>
                <w:color w:val="auto"/>
                <w:kern w:val="0"/>
                <w:szCs w:val="21"/>
                <w:highlight w:val="none"/>
              </w:rPr>
            </w:pPr>
          </w:p>
        </w:tc>
      </w:tr>
      <w:tr w14:paraId="57D76AB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266549D6">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组织结构</w:t>
            </w:r>
          </w:p>
        </w:tc>
        <w:tc>
          <w:tcPr>
            <w:tcW w:w="7607" w:type="dxa"/>
            <w:gridSpan w:val="9"/>
            <w:noWrap w:val="0"/>
            <w:vAlign w:val="center"/>
          </w:tcPr>
          <w:p w14:paraId="595A7652">
            <w:pPr>
              <w:autoSpaceDE w:val="0"/>
              <w:autoSpaceDN w:val="0"/>
              <w:adjustRightInd w:val="0"/>
              <w:snapToGrid w:val="0"/>
              <w:jc w:val="center"/>
              <w:rPr>
                <w:rFonts w:ascii="宋体" w:hAnsi="宋体"/>
                <w:color w:val="auto"/>
                <w:kern w:val="0"/>
                <w:szCs w:val="21"/>
                <w:highlight w:val="none"/>
              </w:rPr>
            </w:pPr>
          </w:p>
        </w:tc>
      </w:tr>
      <w:tr w14:paraId="5EF7763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51BE78B2">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法定代表人</w:t>
            </w:r>
          </w:p>
        </w:tc>
        <w:tc>
          <w:tcPr>
            <w:tcW w:w="967" w:type="dxa"/>
            <w:noWrap w:val="0"/>
            <w:vAlign w:val="center"/>
          </w:tcPr>
          <w:p w14:paraId="2700C6F8">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姓  名</w:t>
            </w:r>
          </w:p>
        </w:tc>
        <w:tc>
          <w:tcPr>
            <w:tcW w:w="1024" w:type="dxa"/>
            <w:noWrap w:val="0"/>
            <w:vAlign w:val="center"/>
          </w:tcPr>
          <w:p w14:paraId="18CBB2A5">
            <w:pPr>
              <w:autoSpaceDE w:val="0"/>
              <w:autoSpaceDN w:val="0"/>
              <w:adjustRightInd w:val="0"/>
              <w:snapToGrid w:val="0"/>
              <w:jc w:val="center"/>
              <w:rPr>
                <w:rFonts w:ascii="宋体" w:hAnsi="宋体"/>
                <w:color w:val="auto"/>
                <w:kern w:val="0"/>
                <w:szCs w:val="21"/>
                <w:highlight w:val="none"/>
              </w:rPr>
            </w:pPr>
          </w:p>
        </w:tc>
        <w:tc>
          <w:tcPr>
            <w:tcW w:w="1356" w:type="dxa"/>
            <w:gridSpan w:val="2"/>
            <w:noWrap w:val="0"/>
            <w:vAlign w:val="center"/>
          </w:tcPr>
          <w:p w14:paraId="0E652C80">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技术职称</w:t>
            </w:r>
          </w:p>
        </w:tc>
        <w:tc>
          <w:tcPr>
            <w:tcW w:w="2024" w:type="dxa"/>
            <w:gridSpan w:val="3"/>
            <w:noWrap w:val="0"/>
            <w:vAlign w:val="center"/>
          </w:tcPr>
          <w:p w14:paraId="062DC05D">
            <w:pPr>
              <w:autoSpaceDE w:val="0"/>
              <w:autoSpaceDN w:val="0"/>
              <w:adjustRightInd w:val="0"/>
              <w:snapToGrid w:val="0"/>
              <w:jc w:val="center"/>
              <w:rPr>
                <w:rFonts w:ascii="宋体" w:hAnsi="宋体"/>
                <w:color w:val="auto"/>
                <w:kern w:val="0"/>
                <w:szCs w:val="21"/>
                <w:highlight w:val="none"/>
              </w:rPr>
            </w:pPr>
          </w:p>
        </w:tc>
        <w:tc>
          <w:tcPr>
            <w:tcW w:w="925" w:type="dxa"/>
            <w:noWrap w:val="0"/>
            <w:vAlign w:val="center"/>
          </w:tcPr>
          <w:p w14:paraId="1B4FACDE">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电  话</w:t>
            </w:r>
          </w:p>
        </w:tc>
        <w:tc>
          <w:tcPr>
            <w:tcW w:w="1311" w:type="dxa"/>
            <w:noWrap w:val="0"/>
            <w:vAlign w:val="center"/>
          </w:tcPr>
          <w:p w14:paraId="3F7C04AA">
            <w:pPr>
              <w:autoSpaceDE w:val="0"/>
              <w:autoSpaceDN w:val="0"/>
              <w:adjustRightInd w:val="0"/>
              <w:snapToGrid w:val="0"/>
              <w:jc w:val="center"/>
              <w:rPr>
                <w:rFonts w:ascii="宋体" w:hAnsi="宋体"/>
                <w:color w:val="auto"/>
                <w:kern w:val="0"/>
                <w:szCs w:val="21"/>
                <w:highlight w:val="none"/>
              </w:rPr>
            </w:pPr>
          </w:p>
        </w:tc>
      </w:tr>
      <w:tr w14:paraId="7E37D80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2ACDA189">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技术负责人</w:t>
            </w:r>
          </w:p>
        </w:tc>
        <w:tc>
          <w:tcPr>
            <w:tcW w:w="967" w:type="dxa"/>
            <w:noWrap w:val="0"/>
            <w:vAlign w:val="center"/>
          </w:tcPr>
          <w:p w14:paraId="4FAE85FA">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姓  名</w:t>
            </w:r>
          </w:p>
        </w:tc>
        <w:tc>
          <w:tcPr>
            <w:tcW w:w="1024" w:type="dxa"/>
            <w:noWrap w:val="0"/>
            <w:vAlign w:val="center"/>
          </w:tcPr>
          <w:p w14:paraId="7AE58DA2">
            <w:pPr>
              <w:autoSpaceDE w:val="0"/>
              <w:autoSpaceDN w:val="0"/>
              <w:adjustRightInd w:val="0"/>
              <w:snapToGrid w:val="0"/>
              <w:jc w:val="center"/>
              <w:rPr>
                <w:rFonts w:ascii="宋体" w:hAnsi="宋体"/>
                <w:color w:val="auto"/>
                <w:kern w:val="0"/>
                <w:szCs w:val="21"/>
                <w:highlight w:val="none"/>
              </w:rPr>
            </w:pPr>
          </w:p>
        </w:tc>
        <w:tc>
          <w:tcPr>
            <w:tcW w:w="1356" w:type="dxa"/>
            <w:gridSpan w:val="2"/>
            <w:noWrap w:val="0"/>
            <w:vAlign w:val="center"/>
          </w:tcPr>
          <w:p w14:paraId="4C972B19">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技术职称</w:t>
            </w:r>
          </w:p>
        </w:tc>
        <w:tc>
          <w:tcPr>
            <w:tcW w:w="2024" w:type="dxa"/>
            <w:gridSpan w:val="3"/>
            <w:noWrap w:val="0"/>
            <w:vAlign w:val="center"/>
          </w:tcPr>
          <w:p w14:paraId="053AC826">
            <w:pPr>
              <w:autoSpaceDE w:val="0"/>
              <w:autoSpaceDN w:val="0"/>
              <w:adjustRightInd w:val="0"/>
              <w:snapToGrid w:val="0"/>
              <w:jc w:val="center"/>
              <w:rPr>
                <w:rFonts w:ascii="宋体" w:hAnsi="宋体"/>
                <w:color w:val="auto"/>
                <w:kern w:val="0"/>
                <w:szCs w:val="21"/>
                <w:highlight w:val="none"/>
              </w:rPr>
            </w:pPr>
          </w:p>
        </w:tc>
        <w:tc>
          <w:tcPr>
            <w:tcW w:w="925" w:type="dxa"/>
            <w:noWrap w:val="0"/>
            <w:vAlign w:val="center"/>
          </w:tcPr>
          <w:p w14:paraId="6F491D70">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电  话</w:t>
            </w:r>
          </w:p>
        </w:tc>
        <w:tc>
          <w:tcPr>
            <w:tcW w:w="1311" w:type="dxa"/>
            <w:noWrap w:val="0"/>
            <w:vAlign w:val="center"/>
          </w:tcPr>
          <w:p w14:paraId="25462BE3">
            <w:pPr>
              <w:autoSpaceDE w:val="0"/>
              <w:autoSpaceDN w:val="0"/>
              <w:adjustRightInd w:val="0"/>
              <w:snapToGrid w:val="0"/>
              <w:jc w:val="center"/>
              <w:rPr>
                <w:rFonts w:ascii="宋体" w:hAnsi="宋体"/>
                <w:color w:val="auto"/>
                <w:kern w:val="0"/>
                <w:szCs w:val="21"/>
                <w:highlight w:val="none"/>
              </w:rPr>
            </w:pPr>
          </w:p>
        </w:tc>
      </w:tr>
      <w:tr w14:paraId="40FB77B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57D7BC5E">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成立时间</w:t>
            </w:r>
          </w:p>
        </w:tc>
        <w:tc>
          <w:tcPr>
            <w:tcW w:w="1991" w:type="dxa"/>
            <w:gridSpan w:val="2"/>
            <w:noWrap w:val="0"/>
            <w:vAlign w:val="center"/>
          </w:tcPr>
          <w:p w14:paraId="059D9A4B">
            <w:pPr>
              <w:autoSpaceDE w:val="0"/>
              <w:autoSpaceDN w:val="0"/>
              <w:adjustRightInd w:val="0"/>
              <w:snapToGrid w:val="0"/>
              <w:jc w:val="center"/>
              <w:rPr>
                <w:rFonts w:ascii="宋体" w:hAnsi="宋体"/>
                <w:color w:val="auto"/>
                <w:kern w:val="0"/>
                <w:szCs w:val="21"/>
                <w:highlight w:val="none"/>
              </w:rPr>
            </w:pPr>
          </w:p>
        </w:tc>
        <w:tc>
          <w:tcPr>
            <w:tcW w:w="5616" w:type="dxa"/>
            <w:gridSpan w:val="7"/>
            <w:noWrap w:val="0"/>
            <w:vAlign w:val="center"/>
          </w:tcPr>
          <w:p w14:paraId="1D7FEA0F">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员工总人数：</w:t>
            </w:r>
          </w:p>
        </w:tc>
      </w:tr>
      <w:tr w14:paraId="32971E9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222915BF">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企业资质等级</w:t>
            </w:r>
          </w:p>
        </w:tc>
        <w:tc>
          <w:tcPr>
            <w:tcW w:w="1991" w:type="dxa"/>
            <w:gridSpan w:val="2"/>
            <w:noWrap w:val="0"/>
            <w:vAlign w:val="center"/>
          </w:tcPr>
          <w:p w14:paraId="06214D0D">
            <w:pPr>
              <w:autoSpaceDE w:val="0"/>
              <w:autoSpaceDN w:val="0"/>
              <w:adjustRightInd w:val="0"/>
              <w:snapToGrid w:val="0"/>
              <w:jc w:val="center"/>
              <w:rPr>
                <w:rFonts w:ascii="宋体" w:hAnsi="宋体"/>
                <w:color w:val="auto"/>
                <w:kern w:val="0"/>
                <w:szCs w:val="21"/>
                <w:highlight w:val="none"/>
              </w:rPr>
            </w:pPr>
          </w:p>
        </w:tc>
        <w:tc>
          <w:tcPr>
            <w:tcW w:w="904" w:type="dxa"/>
            <w:vMerge w:val="restart"/>
            <w:noWrap w:val="0"/>
            <w:vAlign w:val="center"/>
          </w:tcPr>
          <w:p w14:paraId="3DA82BD5">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其中</w:t>
            </w:r>
          </w:p>
        </w:tc>
        <w:tc>
          <w:tcPr>
            <w:tcW w:w="2476" w:type="dxa"/>
            <w:gridSpan w:val="4"/>
            <w:noWrap w:val="0"/>
            <w:vAlign w:val="center"/>
          </w:tcPr>
          <w:p w14:paraId="4E9E2896">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项目经理</w:t>
            </w:r>
          </w:p>
        </w:tc>
        <w:tc>
          <w:tcPr>
            <w:tcW w:w="2236" w:type="dxa"/>
            <w:gridSpan w:val="2"/>
            <w:noWrap w:val="0"/>
            <w:vAlign w:val="center"/>
          </w:tcPr>
          <w:p w14:paraId="2ED17779">
            <w:pPr>
              <w:autoSpaceDE w:val="0"/>
              <w:autoSpaceDN w:val="0"/>
              <w:adjustRightInd w:val="0"/>
              <w:snapToGrid w:val="0"/>
              <w:jc w:val="center"/>
              <w:rPr>
                <w:rFonts w:ascii="宋体" w:hAnsi="宋体"/>
                <w:color w:val="auto"/>
                <w:kern w:val="0"/>
                <w:szCs w:val="21"/>
                <w:highlight w:val="none"/>
              </w:rPr>
            </w:pPr>
          </w:p>
        </w:tc>
      </w:tr>
      <w:tr w14:paraId="2C7C4A7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2513B2FD">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营业执照号</w:t>
            </w:r>
          </w:p>
        </w:tc>
        <w:tc>
          <w:tcPr>
            <w:tcW w:w="1991" w:type="dxa"/>
            <w:gridSpan w:val="2"/>
            <w:noWrap w:val="0"/>
            <w:vAlign w:val="center"/>
          </w:tcPr>
          <w:p w14:paraId="7942182B">
            <w:pPr>
              <w:autoSpaceDE w:val="0"/>
              <w:autoSpaceDN w:val="0"/>
              <w:adjustRightInd w:val="0"/>
              <w:snapToGrid w:val="0"/>
              <w:jc w:val="center"/>
              <w:rPr>
                <w:rFonts w:ascii="宋体" w:hAnsi="宋体"/>
                <w:color w:val="auto"/>
                <w:kern w:val="0"/>
                <w:szCs w:val="21"/>
                <w:highlight w:val="none"/>
              </w:rPr>
            </w:pPr>
          </w:p>
        </w:tc>
        <w:tc>
          <w:tcPr>
            <w:tcW w:w="904" w:type="dxa"/>
            <w:vMerge w:val="continue"/>
            <w:noWrap w:val="0"/>
            <w:vAlign w:val="center"/>
          </w:tcPr>
          <w:p w14:paraId="7D58BA80">
            <w:pPr>
              <w:autoSpaceDE w:val="0"/>
              <w:autoSpaceDN w:val="0"/>
              <w:adjustRightInd w:val="0"/>
              <w:snapToGrid w:val="0"/>
              <w:jc w:val="center"/>
              <w:rPr>
                <w:rFonts w:ascii="宋体" w:hAnsi="宋体"/>
                <w:color w:val="auto"/>
                <w:kern w:val="0"/>
                <w:szCs w:val="21"/>
                <w:highlight w:val="none"/>
              </w:rPr>
            </w:pPr>
          </w:p>
        </w:tc>
        <w:tc>
          <w:tcPr>
            <w:tcW w:w="2476" w:type="dxa"/>
            <w:gridSpan w:val="4"/>
            <w:noWrap w:val="0"/>
            <w:vAlign w:val="center"/>
          </w:tcPr>
          <w:p w14:paraId="44420528">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高级职称人员</w:t>
            </w:r>
          </w:p>
        </w:tc>
        <w:tc>
          <w:tcPr>
            <w:tcW w:w="2236" w:type="dxa"/>
            <w:gridSpan w:val="2"/>
            <w:noWrap w:val="0"/>
            <w:vAlign w:val="center"/>
          </w:tcPr>
          <w:p w14:paraId="4C232138">
            <w:pPr>
              <w:autoSpaceDE w:val="0"/>
              <w:autoSpaceDN w:val="0"/>
              <w:adjustRightInd w:val="0"/>
              <w:snapToGrid w:val="0"/>
              <w:jc w:val="center"/>
              <w:rPr>
                <w:rFonts w:ascii="宋体" w:hAnsi="宋体"/>
                <w:color w:val="auto"/>
                <w:kern w:val="0"/>
                <w:szCs w:val="21"/>
                <w:highlight w:val="none"/>
              </w:rPr>
            </w:pPr>
          </w:p>
        </w:tc>
      </w:tr>
      <w:tr w14:paraId="1F66B9E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7A5EA394">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注册资金</w:t>
            </w:r>
          </w:p>
        </w:tc>
        <w:tc>
          <w:tcPr>
            <w:tcW w:w="1991" w:type="dxa"/>
            <w:gridSpan w:val="2"/>
            <w:noWrap w:val="0"/>
            <w:vAlign w:val="center"/>
          </w:tcPr>
          <w:p w14:paraId="7037A88D">
            <w:pPr>
              <w:autoSpaceDE w:val="0"/>
              <w:autoSpaceDN w:val="0"/>
              <w:adjustRightInd w:val="0"/>
              <w:snapToGrid w:val="0"/>
              <w:jc w:val="center"/>
              <w:rPr>
                <w:rFonts w:ascii="宋体" w:hAnsi="宋体"/>
                <w:color w:val="auto"/>
                <w:kern w:val="0"/>
                <w:szCs w:val="21"/>
                <w:highlight w:val="none"/>
              </w:rPr>
            </w:pPr>
          </w:p>
        </w:tc>
        <w:tc>
          <w:tcPr>
            <w:tcW w:w="904" w:type="dxa"/>
            <w:vMerge w:val="continue"/>
            <w:noWrap w:val="0"/>
            <w:vAlign w:val="center"/>
          </w:tcPr>
          <w:p w14:paraId="68C97624">
            <w:pPr>
              <w:autoSpaceDE w:val="0"/>
              <w:autoSpaceDN w:val="0"/>
              <w:adjustRightInd w:val="0"/>
              <w:snapToGrid w:val="0"/>
              <w:jc w:val="center"/>
              <w:rPr>
                <w:rFonts w:ascii="宋体" w:hAnsi="宋体"/>
                <w:color w:val="auto"/>
                <w:kern w:val="0"/>
                <w:szCs w:val="21"/>
                <w:highlight w:val="none"/>
              </w:rPr>
            </w:pPr>
          </w:p>
        </w:tc>
        <w:tc>
          <w:tcPr>
            <w:tcW w:w="2476" w:type="dxa"/>
            <w:gridSpan w:val="4"/>
            <w:noWrap w:val="0"/>
            <w:vAlign w:val="center"/>
          </w:tcPr>
          <w:p w14:paraId="599DCD22">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中级职称人员</w:t>
            </w:r>
          </w:p>
        </w:tc>
        <w:tc>
          <w:tcPr>
            <w:tcW w:w="2236" w:type="dxa"/>
            <w:gridSpan w:val="2"/>
            <w:noWrap w:val="0"/>
            <w:vAlign w:val="center"/>
          </w:tcPr>
          <w:p w14:paraId="68FCAE1A">
            <w:pPr>
              <w:autoSpaceDE w:val="0"/>
              <w:autoSpaceDN w:val="0"/>
              <w:adjustRightInd w:val="0"/>
              <w:snapToGrid w:val="0"/>
              <w:jc w:val="center"/>
              <w:rPr>
                <w:rFonts w:ascii="宋体" w:hAnsi="宋体"/>
                <w:color w:val="auto"/>
                <w:kern w:val="0"/>
                <w:szCs w:val="21"/>
                <w:highlight w:val="none"/>
              </w:rPr>
            </w:pPr>
          </w:p>
        </w:tc>
      </w:tr>
      <w:tr w14:paraId="1FBBBD4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621232BC">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开户银行</w:t>
            </w:r>
          </w:p>
        </w:tc>
        <w:tc>
          <w:tcPr>
            <w:tcW w:w="1991" w:type="dxa"/>
            <w:gridSpan w:val="2"/>
            <w:noWrap w:val="0"/>
            <w:vAlign w:val="center"/>
          </w:tcPr>
          <w:p w14:paraId="6E025E1D">
            <w:pPr>
              <w:autoSpaceDE w:val="0"/>
              <w:autoSpaceDN w:val="0"/>
              <w:adjustRightInd w:val="0"/>
              <w:snapToGrid w:val="0"/>
              <w:jc w:val="center"/>
              <w:rPr>
                <w:rFonts w:ascii="宋体" w:hAnsi="宋体"/>
                <w:color w:val="auto"/>
                <w:kern w:val="0"/>
                <w:szCs w:val="21"/>
                <w:highlight w:val="none"/>
              </w:rPr>
            </w:pPr>
          </w:p>
        </w:tc>
        <w:tc>
          <w:tcPr>
            <w:tcW w:w="904" w:type="dxa"/>
            <w:vMerge w:val="continue"/>
            <w:noWrap w:val="0"/>
            <w:vAlign w:val="center"/>
          </w:tcPr>
          <w:p w14:paraId="230DA4D1">
            <w:pPr>
              <w:autoSpaceDE w:val="0"/>
              <w:autoSpaceDN w:val="0"/>
              <w:adjustRightInd w:val="0"/>
              <w:snapToGrid w:val="0"/>
              <w:jc w:val="center"/>
              <w:rPr>
                <w:rFonts w:ascii="宋体" w:hAnsi="宋体"/>
                <w:color w:val="auto"/>
                <w:kern w:val="0"/>
                <w:szCs w:val="21"/>
                <w:highlight w:val="none"/>
              </w:rPr>
            </w:pPr>
          </w:p>
        </w:tc>
        <w:tc>
          <w:tcPr>
            <w:tcW w:w="2476" w:type="dxa"/>
            <w:gridSpan w:val="4"/>
            <w:noWrap w:val="0"/>
            <w:vAlign w:val="center"/>
          </w:tcPr>
          <w:p w14:paraId="093D7B79">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初级职称人员</w:t>
            </w:r>
          </w:p>
        </w:tc>
        <w:tc>
          <w:tcPr>
            <w:tcW w:w="2236" w:type="dxa"/>
            <w:gridSpan w:val="2"/>
            <w:noWrap w:val="0"/>
            <w:vAlign w:val="center"/>
          </w:tcPr>
          <w:p w14:paraId="3CB7D868">
            <w:pPr>
              <w:autoSpaceDE w:val="0"/>
              <w:autoSpaceDN w:val="0"/>
              <w:adjustRightInd w:val="0"/>
              <w:snapToGrid w:val="0"/>
              <w:jc w:val="center"/>
              <w:rPr>
                <w:rFonts w:ascii="宋体" w:hAnsi="宋体"/>
                <w:color w:val="auto"/>
                <w:kern w:val="0"/>
                <w:szCs w:val="21"/>
                <w:highlight w:val="none"/>
              </w:rPr>
            </w:pPr>
          </w:p>
        </w:tc>
      </w:tr>
      <w:tr w14:paraId="4CF6E02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51B46509">
            <w:pPr>
              <w:autoSpaceDE w:val="0"/>
              <w:autoSpaceDN w:val="0"/>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账号</w:t>
            </w:r>
          </w:p>
        </w:tc>
        <w:tc>
          <w:tcPr>
            <w:tcW w:w="1991" w:type="dxa"/>
            <w:gridSpan w:val="2"/>
            <w:noWrap w:val="0"/>
            <w:vAlign w:val="center"/>
          </w:tcPr>
          <w:p w14:paraId="47CFCD4A">
            <w:pPr>
              <w:autoSpaceDE w:val="0"/>
              <w:autoSpaceDN w:val="0"/>
              <w:adjustRightInd w:val="0"/>
              <w:snapToGrid w:val="0"/>
              <w:jc w:val="center"/>
              <w:rPr>
                <w:rFonts w:ascii="宋体" w:hAnsi="宋体"/>
                <w:color w:val="auto"/>
                <w:kern w:val="0"/>
                <w:szCs w:val="21"/>
                <w:highlight w:val="none"/>
              </w:rPr>
            </w:pPr>
          </w:p>
        </w:tc>
        <w:tc>
          <w:tcPr>
            <w:tcW w:w="904" w:type="dxa"/>
            <w:vMerge w:val="continue"/>
            <w:noWrap w:val="0"/>
            <w:vAlign w:val="center"/>
          </w:tcPr>
          <w:p w14:paraId="65A6D79A">
            <w:pPr>
              <w:autoSpaceDE w:val="0"/>
              <w:autoSpaceDN w:val="0"/>
              <w:adjustRightInd w:val="0"/>
              <w:snapToGrid w:val="0"/>
              <w:jc w:val="center"/>
              <w:rPr>
                <w:rFonts w:ascii="宋体" w:hAnsi="宋体"/>
                <w:color w:val="auto"/>
                <w:kern w:val="0"/>
                <w:szCs w:val="21"/>
                <w:highlight w:val="none"/>
              </w:rPr>
            </w:pPr>
          </w:p>
        </w:tc>
        <w:tc>
          <w:tcPr>
            <w:tcW w:w="2476" w:type="dxa"/>
            <w:gridSpan w:val="4"/>
            <w:noWrap w:val="0"/>
            <w:vAlign w:val="center"/>
          </w:tcPr>
          <w:p w14:paraId="7134F7D7">
            <w:pPr>
              <w:tabs>
                <w:tab w:val="left" w:pos="1240"/>
              </w:tabs>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技</w:t>
            </w:r>
            <w:r>
              <w:rPr>
                <w:rFonts w:ascii="宋体" w:hAnsi="宋体"/>
                <w:color w:val="auto"/>
                <w:kern w:val="0"/>
                <w:szCs w:val="21"/>
                <w:highlight w:val="none"/>
              </w:rPr>
              <w:tab/>
            </w:r>
            <w:r>
              <w:rPr>
                <w:rFonts w:hint="eastAsia" w:ascii="宋体" w:hAnsi="宋体" w:cs="MingLiU"/>
                <w:color w:val="auto"/>
                <w:kern w:val="0"/>
                <w:szCs w:val="21"/>
                <w:highlight w:val="none"/>
              </w:rPr>
              <w:t>工</w:t>
            </w:r>
          </w:p>
        </w:tc>
        <w:tc>
          <w:tcPr>
            <w:tcW w:w="2236" w:type="dxa"/>
            <w:gridSpan w:val="2"/>
            <w:noWrap w:val="0"/>
            <w:vAlign w:val="center"/>
          </w:tcPr>
          <w:p w14:paraId="46C70906">
            <w:pPr>
              <w:autoSpaceDE w:val="0"/>
              <w:autoSpaceDN w:val="0"/>
              <w:adjustRightInd w:val="0"/>
              <w:snapToGrid w:val="0"/>
              <w:jc w:val="center"/>
              <w:rPr>
                <w:rFonts w:ascii="宋体" w:hAnsi="宋体"/>
                <w:color w:val="auto"/>
                <w:kern w:val="0"/>
                <w:szCs w:val="21"/>
                <w:highlight w:val="none"/>
              </w:rPr>
            </w:pPr>
          </w:p>
        </w:tc>
      </w:tr>
      <w:tr w14:paraId="3DFF9FD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4985FB2E">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经营范围</w:t>
            </w:r>
          </w:p>
        </w:tc>
        <w:tc>
          <w:tcPr>
            <w:tcW w:w="7607" w:type="dxa"/>
            <w:gridSpan w:val="9"/>
            <w:noWrap w:val="0"/>
            <w:vAlign w:val="center"/>
          </w:tcPr>
          <w:p w14:paraId="59EDE8F4">
            <w:pPr>
              <w:autoSpaceDE w:val="0"/>
              <w:autoSpaceDN w:val="0"/>
              <w:adjustRightInd w:val="0"/>
              <w:snapToGrid w:val="0"/>
              <w:jc w:val="center"/>
              <w:rPr>
                <w:rFonts w:ascii="宋体" w:hAnsi="宋体"/>
                <w:color w:val="auto"/>
                <w:kern w:val="0"/>
                <w:szCs w:val="21"/>
                <w:highlight w:val="none"/>
              </w:rPr>
            </w:pPr>
          </w:p>
        </w:tc>
      </w:tr>
      <w:tr w14:paraId="5AB04E8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0DE1B4F7">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备注</w:t>
            </w:r>
          </w:p>
        </w:tc>
        <w:tc>
          <w:tcPr>
            <w:tcW w:w="7607" w:type="dxa"/>
            <w:gridSpan w:val="9"/>
            <w:noWrap w:val="0"/>
            <w:vAlign w:val="center"/>
          </w:tcPr>
          <w:p w14:paraId="518ADBB8">
            <w:pPr>
              <w:autoSpaceDE w:val="0"/>
              <w:autoSpaceDN w:val="0"/>
              <w:adjustRightInd w:val="0"/>
              <w:snapToGrid w:val="0"/>
              <w:jc w:val="center"/>
              <w:rPr>
                <w:rFonts w:ascii="宋体" w:hAnsi="宋体"/>
                <w:color w:val="auto"/>
                <w:kern w:val="0"/>
                <w:szCs w:val="21"/>
                <w:highlight w:val="none"/>
              </w:rPr>
            </w:pPr>
          </w:p>
        </w:tc>
      </w:tr>
    </w:tbl>
    <w:p w14:paraId="0C68C290">
      <w:pPr>
        <w:spacing w:line="360" w:lineRule="auto"/>
        <w:jc w:val="center"/>
        <w:rPr>
          <w:rFonts w:ascii="宋体" w:hAnsi="宋体"/>
          <w:color w:val="auto"/>
          <w:szCs w:val="21"/>
          <w:highlight w:val="none"/>
        </w:rPr>
      </w:pPr>
    </w:p>
    <w:p w14:paraId="22611443">
      <w:pPr>
        <w:pStyle w:val="5"/>
        <w:spacing w:before="0" w:after="0" w:line="240" w:lineRule="auto"/>
        <w:jc w:val="center"/>
        <w:rPr>
          <w:rFonts w:ascii="宋体" w:hAnsi="宋体"/>
          <w:b w:val="0"/>
          <w:bCs w:val="0"/>
          <w:color w:val="auto"/>
          <w:highlight w:val="none"/>
        </w:rPr>
      </w:pPr>
      <w:r>
        <w:rPr>
          <w:rFonts w:ascii="宋体" w:hAnsi="宋体"/>
          <w:color w:val="auto"/>
          <w:szCs w:val="21"/>
          <w:highlight w:val="none"/>
        </w:rPr>
        <w:br w:type="page"/>
      </w:r>
      <w:bookmarkStart w:id="2373" w:name="_Toc509218863"/>
      <w:bookmarkStart w:id="2374" w:name="_Toc57820661"/>
      <w:bookmarkStart w:id="2375" w:name="_Toc534185840"/>
      <w:r>
        <w:rPr>
          <w:rFonts w:hint="eastAsia" w:ascii="宋体" w:hAnsi="宋体"/>
          <w:b w:val="0"/>
          <w:bCs w:val="0"/>
          <w:color w:val="auto"/>
          <w:highlight w:val="none"/>
        </w:rPr>
        <w:t>（四）项目管理机构</w:t>
      </w:r>
      <w:bookmarkEnd w:id="2373"/>
      <w:bookmarkEnd w:id="2374"/>
      <w:bookmarkEnd w:id="2375"/>
    </w:p>
    <w:p w14:paraId="3F3216FF">
      <w:pPr>
        <w:spacing w:line="360" w:lineRule="auto"/>
        <w:rPr>
          <w:rFonts w:ascii="宋体" w:hAnsi="宋体"/>
          <w:color w:val="auto"/>
          <w:highlight w:val="none"/>
        </w:rPr>
      </w:pPr>
    </w:p>
    <w:p w14:paraId="0645259A">
      <w:pPr>
        <w:autoSpaceDE w:val="0"/>
        <w:autoSpaceDN w:val="0"/>
        <w:adjustRightInd w:val="0"/>
        <w:snapToGrid w:val="0"/>
        <w:spacing w:line="360" w:lineRule="auto"/>
        <w:jc w:val="center"/>
        <w:rPr>
          <w:rFonts w:ascii="宋体" w:hAnsi="宋体" w:cs="MingLiU"/>
          <w:color w:val="auto"/>
          <w:kern w:val="0"/>
          <w:sz w:val="28"/>
          <w:szCs w:val="28"/>
          <w:highlight w:val="none"/>
        </w:rPr>
      </w:pPr>
      <w:r>
        <w:rPr>
          <w:rFonts w:hint="eastAsia" w:ascii="宋体" w:hAnsi="宋体" w:cs="MingLiU"/>
          <w:color w:val="auto"/>
          <w:kern w:val="0"/>
          <w:sz w:val="28"/>
          <w:szCs w:val="28"/>
          <w:highlight w:val="none"/>
        </w:rPr>
        <w:t>项目管理机构组成表</w:t>
      </w:r>
    </w:p>
    <w:tbl>
      <w:tblPr>
        <w:tblStyle w:val="45"/>
        <w:tblW w:w="0" w:type="auto"/>
        <w:tblInd w:w="-5"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856"/>
        <w:gridCol w:w="734"/>
        <w:gridCol w:w="776"/>
        <w:gridCol w:w="1167"/>
        <w:gridCol w:w="776"/>
        <w:gridCol w:w="778"/>
        <w:gridCol w:w="776"/>
        <w:gridCol w:w="2723"/>
        <w:gridCol w:w="896"/>
      </w:tblGrid>
      <w:tr w14:paraId="1080036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Merge w:val="restart"/>
            <w:noWrap w:val="0"/>
            <w:vAlign w:val="center"/>
          </w:tcPr>
          <w:p w14:paraId="3531665C">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职务</w:t>
            </w:r>
          </w:p>
        </w:tc>
        <w:tc>
          <w:tcPr>
            <w:tcW w:w="734" w:type="dxa"/>
            <w:vMerge w:val="restart"/>
            <w:noWrap w:val="0"/>
            <w:vAlign w:val="center"/>
          </w:tcPr>
          <w:p w14:paraId="04F8BC84">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姓名</w:t>
            </w:r>
          </w:p>
        </w:tc>
        <w:tc>
          <w:tcPr>
            <w:tcW w:w="776" w:type="dxa"/>
            <w:vMerge w:val="restart"/>
            <w:noWrap w:val="0"/>
            <w:vAlign w:val="center"/>
          </w:tcPr>
          <w:p w14:paraId="04892569">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职称</w:t>
            </w:r>
          </w:p>
        </w:tc>
        <w:tc>
          <w:tcPr>
            <w:tcW w:w="6220" w:type="dxa"/>
            <w:gridSpan w:val="5"/>
            <w:noWrap w:val="0"/>
            <w:vAlign w:val="center"/>
          </w:tcPr>
          <w:p w14:paraId="3CEF884A">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执业或职业资格证明</w:t>
            </w:r>
          </w:p>
        </w:tc>
        <w:tc>
          <w:tcPr>
            <w:tcW w:w="896" w:type="dxa"/>
            <w:noWrap w:val="0"/>
            <w:vAlign w:val="center"/>
          </w:tcPr>
          <w:p w14:paraId="4BEA8AE7">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备注</w:t>
            </w:r>
          </w:p>
        </w:tc>
      </w:tr>
      <w:tr w14:paraId="5C34F95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Merge w:val="continue"/>
            <w:noWrap w:val="0"/>
            <w:vAlign w:val="top"/>
          </w:tcPr>
          <w:p w14:paraId="4B4E7A06">
            <w:pPr>
              <w:autoSpaceDE w:val="0"/>
              <w:autoSpaceDN w:val="0"/>
              <w:adjustRightInd w:val="0"/>
              <w:snapToGrid w:val="0"/>
              <w:jc w:val="left"/>
              <w:rPr>
                <w:rFonts w:ascii="宋体" w:hAnsi="宋体"/>
                <w:color w:val="auto"/>
                <w:kern w:val="0"/>
                <w:szCs w:val="21"/>
                <w:highlight w:val="none"/>
              </w:rPr>
            </w:pPr>
          </w:p>
        </w:tc>
        <w:tc>
          <w:tcPr>
            <w:tcW w:w="734" w:type="dxa"/>
            <w:vMerge w:val="continue"/>
            <w:noWrap w:val="0"/>
            <w:vAlign w:val="top"/>
          </w:tcPr>
          <w:p w14:paraId="5CBF6154">
            <w:pPr>
              <w:autoSpaceDE w:val="0"/>
              <w:autoSpaceDN w:val="0"/>
              <w:adjustRightInd w:val="0"/>
              <w:snapToGrid w:val="0"/>
              <w:jc w:val="left"/>
              <w:rPr>
                <w:rFonts w:ascii="宋体" w:hAnsi="宋体"/>
                <w:color w:val="auto"/>
                <w:kern w:val="0"/>
                <w:szCs w:val="21"/>
                <w:highlight w:val="none"/>
              </w:rPr>
            </w:pPr>
          </w:p>
        </w:tc>
        <w:tc>
          <w:tcPr>
            <w:tcW w:w="776" w:type="dxa"/>
            <w:vMerge w:val="continue"/>
            <w:noWrap w:val="0"/>
            <w:vAlign w:val="top"/>
          </w:tcPr>
          <w:p w14:paraId="1A4AA245">
            <w:pPr>
              <w:autoSpaceDE w:val="0"/>
              <w:autoSpaceDN w:val="0"/>
              <w:adjustRightInd w:val="0"/>
              <w:snapToGrid w:val="0"/>
              <w:jc w:val="left"/>
              <w:rPr>
                <w:rFonts w:ascii="宋体" w:hAnsi="宋体"/>
                <w:color w:val="auto"/>
                <w:kern w:val="0"/>
                <w:szCs w:val="21"/>
                <w:highlight w:val="none"/>
              </w:rPr>
            </w:pPr>
          </w:p>
        </w:tc>
        <w:tc>
          <w:tcPr>
            <w:tcW w:w="1167" w:type="dxa"/>
            <w:noWrap w:val="0"/>
            <w:vAlign w:val="center"/>
          </w:tcPr>
          <w:p w14:paraId="6CE8C03B">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证书名称</w:t>
            </w:r>
          </w:p>
        </w:tc>
        <w:tc>
          <w:tcPr>
            <w:tcW w:w="776" w:type="dxa"/>
            <w:noWrap w:val="0"/>
            <w:vAlign w:val="center"/>
          </w:tcPr>
          <w:p w14:paraId="3A957804">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级别</w:t>
            </w:r>
          </w:p>
        </w:tc>
        <w:tc>
          <w:tcPr>
            <w:tcW w:w="778" w:type="dxa"/>
            <w:noWrap w:val="0"/>
            <w:vAlign w:val="center"/>
          </w:tcPr>
          <w:p w14:paraId="2F86A2C0">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证号</w:t>
            </w:r>
          </w:p>
        </w:tc>
        <w:tc>
          <w:tcPr>
            <w:tcW w:w="776" w:type="dxa"/>
            <w:noWrap w:val="0"/>
            <w:vAlign w:val="center"/>
          </w:tcPr>
          <w:p w14:paraId="480D0110">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专业</w:t>
            </w:r>
          </w:p>
        </w:tc>
        <w:tc>
          <w:tcPr>
            <w:tcW w:w="2723" w:type="dxa"/>
            <w:noWrap w:val="0"/>
            <w:vAlign w:val="center"/>
          </w:tcPr>
          <w:p w14:paraId="4BB54035">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养老保险</w:t>
            </w:r>
          </w:p>
        </w:tc>
        <w:tc>
          <w:tcPr>
            <w:tcW w:w="896" w:type="dxa"/>
            <w:noWrap w:val="0"/>
            <w:vAlign w:val="top"/>
          </w:tcPr>
          <w:p w14:paraId="51AD05B0">
            <w:pPr>
              <w:autoSpaceDE w:val="0"/>
              <w:autoSpaceDN w:val="0"/>
              <w:adjustRightInd w:val="0"/>
              <w:snapToGrid w:val="0"/>
              <w:jc w:val="left"/>
              <w:rPr>
                <w:rFonts w:ascii="宋体" w:hAnsi="宋体"/>
                <w:color w:val="auto"/>
                <w:kern w:val="0"/>
                <w:szCs w:val="21"/>
                <w:highlight w:val="none"/>
              </w:rPr>
            </w:pPr>
          </w:p>
        </w:tc>
      </w:tr>
      <w:tr w14:paraId="0215788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center"/>
          </w:tcPr>
          <w:p w14:paraId="29AACE31">
            <w:pPr>
              <w:autoSpaceDE w:val="0"/>
              <w:autoSpaceDN w:val="0"/>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项目经理</w:t>
            </w:r>
          </w:p>
        </w:tc>
        <w:tc>
          <w:tcPr>
            <w:tcW w:w="734" w:type="dxa"/>
            <w:noWrap w:val="0"/>
            <w:vAlign w:val="top"/>
          </w:tcPr>
          <w:p w14:paraId="7BB01DFE">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D823321">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61494295">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47DC2171">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1212CD82">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8D4E377">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0F06E557">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09E8B3E2">
            <w:pPr>
              <w:autoSpaceDE w:val="0"/>
              <w:autoSpaceDN w:val="0"/>
              <w:adjustRightInd w:val="0"/>
              <w:snapToGrid w:val="0"/>
              <w:jc w:val="left"/>
              <w:rPr>
                <w:rFonts w:ascii="宋体" w:hAnsi="宋体"/>
                <w:color w:val="auto"/>
                <w:kern w:val="0"/>
                <w:szCs w:val="21"/>
                <w:highlight w:val="none"/>
              </w:rPr>
            </w:pPr>
          </w:p>
        </w:tc>
      </w:tr>
      <w:tr w14:paraId="191CB37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03" w:hRule="exact"/>
        </w:trPr>
        <w:tc>
          <w:tcPr>
            <w:tcW w:w="856" w:type="dxa"/>
            <w:noWrap w:val="0"/>
            <w:vAlign w:val="center"/>
          </w:tcPr>
          <w:p w14:paraId="39E34340">
            <w:pPr>
              <w:autoSpaceDE w:val="0"/>
              <w:autoSpaceDN w:val="0"/>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项目技术负责人</w:t>
            </w:r>
          </w:p>
        </w:tc>
        <w:tc>
          <w:tcPr>
            <w:tcW w:w="734" w:type="dxa"/>
            <w:noWrap w:val="0"/>
            <w:vAlign w:val="top"/>
          </w:tcPr>
          <w:p w14:paraId="04299CCF">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4445C877">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2794C2DF">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CEC7F02">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52BD248C">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3ACE737D">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1CF53903">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4B5D37E8">
            <w:pPr>
              <w:autoSpaceDE w:val="0"/>
              <w:autoSpaceDN w:val="0"/>
              <w:adjustRightInd w:val="0"/>
              <w:snapToGrid w:val="0"/>
              <w:jc w:val="left"/>
              <w:rPr>
                <w:rFonts w:ascii="宋体" w:hAnsi="宋体"/>
                <w:color w:val="auto"/>
                <w:kern w:val="0"/>
                <w:szCs w:val="21"/>
                <w:highlight w:val="none"/>
              </w:rPr>
            </w:pPr>
          </w:p>
        </w:tc>
      </w:tr>
      <w:tr w14:paraId="6ED7D96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3ED9CBC7">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232B5786">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0D3A95C2">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6042CDCC">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87DC077">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42208C80">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807470B">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6591EF20">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590C367F">
            <w:pPr>
              <w:autoSpaceDE w:val="0"/>
              <w:autoSpaceDN w:val="0"/>
              <w:adjustRightInd w:val="0"/>
              <w:snapToGrid w:val="0"/>
              <w:jc w:val="left"/>
              <w:rPr>
                <w:rFonts w:ascii="宋体" w:hAnsi="宋体"/>
                <w:color w:val="auto"/>
                <w:kern w:val="0"/>
                <w:szCs w:val="21"/>
                <w:highlight w:val="none"/>
              </w:rPr>
            </w:pPr>
          </w:p>
        </w:tc>
      </w:tr>
      <w:tr w14:paraId="5B3D040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5E0F2C70">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26F14380">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458B6436">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6A07B1CA">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34669251">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727BEC46">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3E07A1BB">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5801C408">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3FCD9F0D">
            <w:pPr>
              <w:autoSpaceDE w:val="0"/>
              <w:autoSpaceDN w:val="0"/>
              <w:adjustRightInd w:val="0"/>
              <w:snapToGrid w:val="0"/>
              <w:jc w:val="left"/>
              <w:rPr>
                <w:rFonts w:ascii="宋体" w:hAnsi="宋体"/>
                <w:color w:val="auto"/>
                <w:kern w:val="0"/>
                <w:szCs w:val="21"/>
                <w:highlight w:val="none"/>
              </w:rPr>
            </w:pPr>
          </w:p>
        </w:tc>
      </w:tr>
      <w:tr w14:paraId="08EB658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55D3A909">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33BB1020">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3FCB3597">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46311E07">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CAF666B">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3810DA69">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4A541EC">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6E110C69">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49C72A4C">
            <w:pPr>
              <w:autoSpaceDE w:val="0"/>
              <w:autoSpaceDN w:val="0"/>
              <w:adjustRightInd w:val="0"/>
              <w:snapToGrid w:val="0"/>
              <w:jc w:val="left"/>
              <w:rPr>
                <w:rFonts w:ascii="宋体" w:hAnsi="宋体"/>
                <w:color w:val="auto"/>
                <w:kern w:val="0"/>
                <w:szCs w:val="21"/>
                <w:highlight w:val="none"/>
              </w:rPr>
            </w:pPr>
          </w:p>
        </w:tc>
      </w:tr>
      <w:tr w14:paraId="0F0EA3E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7EA8AB8C">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5833F142">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3A935BE3">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787DE45E">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8D678FE">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190453D0">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080D2B64">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760D34F7">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6D5A518D">
            <w:pPr>
              <w:autoSpaceDE w:val="0"/>
              <w:autoSpaceDN w:val="0"/>
              <w:adjustRightInd w:val="0"/>
              <w:snapToGrid w:val="0"/>
              <w:jc w:val="left"/>
              <w:rPr>
                <w:rFonts w:ascii="宋体" w:hAnsi="宋体"/>
                <w:color w:val="auto"/>
                <w:kern w:val="0"/>
                <w:szCs w:val="21"/>
                <w:highlight w:val="none"/>
              </w:rPr>
            </w:pPr>
          </w:p>
        </w:tc>
      </w:tr>
      <w:tr w14:paraId="76EC8B3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07EE3CE1">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2D60114A">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39CC9A9D">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73C38306">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591BB78">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2A569CE1">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388C0D1A">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4822E8DF">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66AE1927">
            <w:pPr>
              <w:autoSpaceDE w:val="0"/>
              <w:autoSpaceDN w:val="0"/>
              <w:adjustRightInd w:val="0"/>
              <w:snapToGrid w:val="0"/>
              <w:jc w:val="left"/>
              <w:rPr>
                <w:rFonts w:ascii="宋体" w:hAnsi="宋体"/>
                <w:color w:val="auto"/>
                <w:kern w:val="0"/>
                <w:szCs w:val="21"/>
                <w:highlight w:val="none"/>
              </w:rPr>
            </w:pPr>
          </w:p>
        </w:tc>
      </w:tr>
      <w:tr w14:paraId="5A23D17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26B98B02">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6BB5B2C8">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9414F6B">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36C8DBE5">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C1752D8">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275A91C5">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DE31492">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01A0481D">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0D744B1B">
            <w:pPr>
              <w:autoSpaceDE w:val="0"/>
              <w:autoSpaceDN w:val="0"/>
              <w:adjustRightInd w:val="0"/>
              <w:snapToGrid w:val="0"/>
              <w:jc w:val="left"/>
              <w:rPr>
                <w:rFonts w:ascii="宋体" w:hAnsi="宋体"/>
                <w:color w:val="auto"/>
                <w:kern w:val="0"/>
                <w:szCs w:val="21"/>
                <w:highlight w:val="none"/>
              </w:rPr>
            </w:pPr>
          </w:p>
        </w:tc>
      </w:tr>
      <w:tr w14:paraId="3BB3C3D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412B40B3">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2EFC7B9D">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477687BC">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0FCFF207">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218E7767">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03EEFF1A">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A79B6EA">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7A6A196C">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196CC863">
            <w:pPr>
              <w:autoSpaceDE w:val="0"/>
              <w:autoSpaceDN w:val="0"/>
              <w:adjustRightInd w:val="0"/>
              <w:snapToGrid w:val="0"/>
              <w:jc w:val="left"/>
              <w:rPr>
                <w:rFonts w:ascii="宋体" w:hAnsi="宋体"/>
                <w:color w:val="auto"/>
                <w:kern w:val="0"/>
                <w:szCs w:val="21"/>
                <w:highlight w:val="none"/>
              </w:rPr>
            </w:pPr>
          </w:p>
        </w:tc>
      </w:tr>
      <w:tr w14:paraId="744A840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20E993E8">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465F5F04">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30261624">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3D141815">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DB26AE1">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1C6E8837">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9BBCFB7">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2B58EDC4">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39B67DF9">
            <w:pPr>
              <w:autoSpaceDE w:val="0"/>
              <w:autoSpaceDN w:val="0"/>
              <w:adjustRightInd w:val="0"/>
              <w:snapToGrid w:val="0"/>
              <w:jc w:val="left"/>
              <w:rPr>
                <w:rFonts w:ascii="宋体" w:hAnsi="宋体"/>
                <w:color w:val="auto"/>
                <w:kern w:val="0"/>
                <w:szCs w:val="21"/>
                <w:highlight w:val="none"/>
              </w:rPr>
            </w:pPr>
          </w:p>
        </w:tc>
      </w:tr>
      <w:tr w14:paraId="22C906D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38B07000">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1E64FDF1">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254083F">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1A26F06C">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273C2DB">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5F82F2D2">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C187026">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789743C9">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2BE3B45D">
            <w:pPr>
              <w:autoSpaceDE w:val="0"/>
              <w:autoSpaceDN w:val="0"/>
              <w:adjustRightInd w:val="0"/>
              <w:snapToGrid w:val="0"/>
              <w:jc w:val="left"/>
              <w:rPr>
                <w:rFonts w:ascii="宋体" w:hAnsi="宋体"/>
                <w:color w:val="auto"/>
                <w:kern w:val="0"/>
                <w:szCs w:val="21"/>
                <w:highlight w:val="none"/>
              </w:rPr>
            </w:pPr>
          </w:p>
        </w:tc>
      </w:tr>
      <w:tr w14:paraId="0748B09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17B77672">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60ABC154">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0A83F0B">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5CB4F10D">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BBF02ED">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696BFC34">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B5C6D39">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60E1CA5D">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08B8ACF9">
            <w:pPr>
              <w:autoSpaceDE w:val="0"/>
              <w:autoSpaceDN w:val="0"/>
              <w:adjustRightInd w:val="0"/>
              <w:snapToGrid w:val="0"/>
              <w:jc w:val="left"/>
              <w:rPr>
                <w:rFonts w:ascii="宋体" w:hAnsi="宋体"/>
                <w:color w:val="auto"/>
                <w:kern w:val="0"/>
                <w:szCs w:val="21"/>
                <w:highlight w:val="none"/>
              </w:rPr>
            </w:pPr>
          </w:p>
        </w:tc>
      </w:tr>
      <w:tr w14:paraId="1F4CDFF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6CA97E89">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7FB4913E">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7A7E6D0">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2674695F">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88F97E7">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74D8EC27">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32141FC0">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0B7F9DBA">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2CC799C1">
            <w:pPr>
              <w:autoSpaceDE w:val="0"/>
              <w:autoSpaceDN w:val="0"/>
              <w:adjustRightInd w:val="0"/>
              <w:snapToGrid w:val="0"/>
              <w:jc w:val="left"/>
              <w:rPr>
                <w:rFonts w:ascii="宋体" w:hAnsi="宋体"/>
                <w:color w:val="auto"/>
                <w:kern w:val="0"/>
                <w:szCs w:val="21"/>
                <w:highlight w:val="none"/>
              </w:rPr>
            </w:pPr>
          </w:p>
        </w:tc>
      </w:tr>
      <w:tr w14:paraId="1AAE302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31100B6D">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022AEAB8">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36BB906">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76A7FAB2">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4A3A73F4">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02057FF5">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48C8D6C">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189B8B87">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29A958BF">
            <w:pPr>
              <w:autoSpaceDE w:val="0"/>
              <w:autoSpaceDN w:val="0"/>
              <w:adjustRightInd w:val="0"/>
              <w:snapToGrid w:val="0"/>
              <w:jc w:val="left"/>
              <w:rPr>
                <w:rFonts w:ascii="宋体" w:hAnsi="宋体"/>
                <w:color w:val="auto"/>
                <w:kern w:val="0"/>
                <w:szCs w:val="21"/>
                <w:highlight w:val="none"/>
              </w:rPr>
            </w:pPr>
          </w:p>
        </w:tc>
      </w:tr>
      <w:tr w14:paraId="78F5076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50AAFE41">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37F86A6C">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057C2BD5">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2F6F8AFB">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37929CB">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6511642F">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0B05CF79">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3ED2ABC0">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002C31F8">
            <w:pPr>
              <w:autoSpaceDE w:val="0"/>
              <w:autoSpaceDN w:val="0"/>
              <w:adjustRightInd w:val="0"/>
              <w:snapToGrid w:val="0"/>
              <w:jc w:val="left"/>
              <w:rPr>
                <w:rFonts w:ascii="宋体" w:hAnsi="宋体"/>
                <w:color w:val="auto"/>
                <w:kern w:val="0"/>
                <w:szCs w:val="21"/>
                <w:highlight w:val="none"/>
              </w:rPr>
            </w:pPr>
          </w:p>
        </w:tc>
      </w:tr>
      <w:tr w14:paraId="5328469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7AC33FCD">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6EDC506B">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435DE76A">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17D13A4C">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3F185ECF">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7F2FF5CC">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36DD0ED">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61AA1C87">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2B493B30">
            <w:pPr>
              <w:autoSpaceDE w:val="0"/>
              <w:autoSpaceDN w:val="0"/>
              <w:adjustRightInd w:val="0"/>
              <w:snapToGrid w:val="0"/>
              <w:jc w:val="left"/>
              <w:rPr>
                <w:rFonts w:ascii="宋体" w:hAnsi="宋体"/>
                <w:color w:val="auto"/>
                <w:kern w:val="0"/>
                <w:szCs w:val="21"/>
                <w:highlight w:val="none"/>
              </w:rPr>
            </w:pPr>
          </w:p>
        </w:tc>
      </w:tr>
      <w:tr w14:paraId="7BE1C76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565F44F5">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72CF4AA3">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62CAFCA">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18291572">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BEA8A7A">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57CC0603">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20EAA3DD">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162776C2">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2D4E55DB">
            <w:pPr>
              <w:autoSpaceDE w:val="0"/>
              <w:autoSpaceDN w:val="0"/>
              <w:adjustRightInd w:val="0"/>
              <w:snapToGrid w:val="0"/>
              <w:jc w:val="left"/>
              <w:rPr>
                <w:rFonts w:ascii="宋体" w:hAnsi="宋体"/>
                <w:color w:val="auto"/>
                <w:kern w:val="0"/>
                <w:szCs w:val="21"/>
                <w:highlight w:val="none"/>
              </w:rPr>
            </w:pPr>
          </w:p>
        </w:tc>
      </w:tr>
      <w:tr w14:paraId="6A08161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059DB1CC">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583ED22C">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BD746DB">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57B87D21">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A4E7277">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4F15C23A">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44FF8FA">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2143AA4D">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37F20096">
            <w:pPr>
              <w:autoSpaceDE w:val="0"/>
              <w:autoSpaceDN w:val="0"/>
              <w:adjustRightInd w:val="0"/>
              <w:snapToGrid w:val="0"/>
              <w:jc w:val="left"/>
              <w:rPr>
                <w:rFonts w:ascii="宋体" w:hAnsi="宋体"/>
                <w:color w:val="auto"/>
                <w:kern w:val="0"/>
                <w:szCs w:val="21"/>
                <w:highlight w:val="none"/>
              </w:rPr>
            </w:pPr>
          </w:p>
        </w:tc>
      </w:tr>
    </w:tbl>
    <w:p w14:paraId="2B75A6FC">
      <w:pPr>
        <w:spacing w:line="20" w:lineRule="exact"/>
        <w:jc w:val="center"/>
        <w:rPr>
          <w:rFonts w:ascii="宋体" w:hAnsi="宋体"/>
          <w:color w:val="auto"/>
          <w:szCs w:val="21"/>
          <w:highlight w:val="none"/>
        </w:rPr>
      </w:pPr>
    </w:p>
    <w:p w14:paraId="010376B5">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备注：本表仅填项目经理、项目技术负责人相关信息</w:t>
      </w:r>
    </w:p>
    <w:p w14:paraId="744A39B9">
      <w:pPr>
        <w:spacing w:line="360" w:lineRule="auto"/>
        <w:ind w:firstLine="640"/>
        <w:jc w:val="center"/>
        <w:rPr>
          <w:rFonts w:ascii="宋体" w:hAnsi="宋体"/>
          <w:color w:val="auto"/>
          <w:sz w:val="32"/>
          <w:szCs w:val="32"/>
          <w:highlight w:val="none"/>
        </w:rPr>
      </w:pPr>
      <w:r>
        <w:rPr>
          <w:rFonts w:ascii="宋体" w:hAnsi="宋体"/>
          <w:color w:val="auto"/>
          <w:sz w:val="32"/>
          <w:szCs w:val="32"/>
          <w:highlight w:val="none"/>
        </w:rPr>
        <w:br w:type="page"/>
      </w:r>
      <w:r>
        <w:rPr>
          <w:rFonts w:hint="eastAsia" w:ascii="宋体" w:hAnsi="宋体"/>
          <w:color w:val="auto"/>
          <w:sz w:val="32"/>
          <w:szCs w:val="32"/>
          <w:highlight w:val="none"/>
        </w:rPr>
        <w:t>项目经理及项目技术负责人简历表</w:t>
      </w:r>
      <w:bookmarkEnd w:id="2370"/>
      <w:bookmarkEnd w:id="2371"/>
    </w:p>
    <w:tbl>
      <w:tblPr>
        <w:tblStyle w:val="45"/>
        <w:tblW w:w="0" w:type="auto"/>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306"/>
        <w:gridCol w:w="397"/>
        <w:gridCol w:w="793"/>
        <w:gridCol w:w="1020"/>
        <w:gridCol w:w="1175"/>
        <w:gridCol w:w="780"/>
        <w:gridCol w:w="1388"/>
        <w:gridCol w:w="178"/>
        <w:gridCol w:w="2528"/>
      </w:tblGrid>
      <w:tr w14:paraId="1488888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noWrap w:val="0"/>
            <w:vAlign w:val="center"/>
          </w:tcPr>
          <w:p w14:paraId="4E898857">
            <w:pPr>
              <w:tabs>
                <w:tab w:val="left" w:pos="520"/>
              </w:tabs>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姓名</w:t>
            </w:r>
          </w:p>
        </w:tc>
        <w:tc>
          <w:tcPr>
            <w:tcW w:w="1190" w:type="dxa"/>
            <w:gridSpan w:val="2"/>
            <w:noWrap w:val="0"/>
            <w:vAlign w:val="center"/>
          </w:tcPr>
          <w:p w14:paraId="02AB1F09">
            <w:pPr>
              <w:autoSpaceDE w:val="0"/>
              <w:autoSpaceDN w:val="0"/>
              <w:adjustRightInd w:val="0"/>
              <w:snapToGrid w:val="0"/>
              <w:jc w:val="center"/>
              <w:rPr>
                <w:rFonts w:ascii="宋体" w:hAnsi="宋体"/>
                <w:color w:val="auto"/>
                <w:kern w:val="0"/>
                <w:szCs w:val="21"/>
                <w:highlight w:val="none"/>
              </w:rPr>
            </w:pPr>
          </w:p>
        </w:tc>
        <w:tc>
          <w:tcPr>
            <w:tcW w:w="1020" w:type="dxa"/>
            <w:noWrap w:val="0"/>
            <w:vAlign w:val="center"/>
          </w:tcPr>
          <w:p w14:paraId="7B83DADB">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年龄</w:t>
            </w:r>
          </w:p>
        </w:tc>
        <w:tc>
          <w:tcPr>
            <w:tcW w:w="1175" w:type="dxa"/>
            <w:noWrap w:val="0"/>
            <w:vAlign w:val="center"/>
          </w:tcPr>
          <w:p w14:paraId="086DC678">
            <w:pPr>
              <w:autoSpaceDE w:val="0"/>
              <w:autoSpaceDN w:val="0"/>
              <w:adjustRightInd w:val="0"/>
              <w:snapToGrid w:val="0"/>
              <w:jc w:val="center"/>
              <w:rPr>
                <w:rFonts w:ascii="宋体" w:hAnsi="宋体"/>
                <w:color w:val="auto"/>
                <w:kern w:val="0"/>
                <w:szCs w:val="21"/>
                <w:highlight w:val="none"/>
              </w:rPr>
            </w:pPr>
          </w:p>
        </w:tc>
        <w:tc>
          <w:tcPr>
            <w:tcW w:w="2346" w:type="dxa"/>
            <w:gridSpan w:val="3"/>
            <w:noWrap w:val="0"/>
            <w:vAlign w:val="center"/>
          </w:tcPr>
          <w:p w14:paraId="1E3C2818">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学历</w:t>
            </w:r>
          </w:p>
        </w:tc>
        <w:tc>
          <w:tcPr>
            <w:tcW w:w="2528" w:type="dxa"/>
            <w:noWrap w:val="0"/>
            <w:vAlign w:val="center"/>
          </w:tcPr>
          <w:p w14:paraId="0A0450DA">
            <w:pPr>
              <w:autoSpaceDE w:val="0"/>
              <w:autoSpaceDN w:val="0"/>
              <w:adjustRightInd w:val="0"/>
              <w:snapToGrid w:val="0"/>
              <w:jc w:val="center"/>
              <w:rPr>
                <w:rFonts w:ascii="宋体" w:hAnsi="宋体"/>
                <w:color w:val="auto"/>
                <w:kern w:val="0"/>
                <w:szCs w:val="21"/>
                <w:highlight w:val="none"/>
              </w:rPr>
            </w:pPr>
          </w:p>
        </w:tc>
      </w:tr>
      <w:tr w14:paraId="5A3562F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noWrap w:val="0"/>
            <w:vAlign w:val="center"/>
          </w:tcPr>
          <w:p w14:paraId="49C0DBDC">
            <w:pPr>
              <w:tabs>
                <w:tab w:val="left" w:pos="520"/>
              </w:tabs>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职称</w:t>
            </w:r>
          </w:p>
        </w:tc>
        <w:tc>
          <w:tcPr>
            <w:tcW w:w="1190" w:type="dxa"/>
            <w:gridSpan w:val="2"/>
            <w:noWrap w:val="0"/>
            <w:vAlign w:val="center"/>
          </w:tcPr>
          <w:p w14:paraId="682874CC">
            <w:pPr>
              <w:autoSpaceDE w:val="0"/>
              <w:autoSpaceDN w:val="0"/>
              <w:adjustRightInd w:val="0"/>
              <w:snapToGrid w:val="0"/>
              <w:jc w:val="center"/>
              <w:rPr>
                <w:rFonts w:ascii="宋体" w:hAnsi="宋体"/>
                <w:color w:val="auto"/>
                <w:kern w:val="0"/>
                <w:szCs w:val="21"/>
                <w:highlight w:val="none"/>
              </w:rPr>
            </w:pPr>
          </w:p>
        </w:tc>
        <w:tc>
          <w:tcPr>
            <w:tcW w:w="1020" w:type="dxa"/>
            <w:noWrap w:val="0"/>
            <w:vAlign w:val="center"/>
          </w:tcPr>
          <w:p w14:paraId="09C7DCD4">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职务</w:t>
            </w:r>
          </w:p>
        </w:tc>
        <w:tc>
          <w:tcPr>
            <w:tcW w:w="1175" w:type="dxa"/>
            <w:noWrap w:val="0"/>
            <w:vAlign w:val="center"/>
          </w:tcPr>
          <w:p w14:paraId="4C2E38E0">
            <w:pPr>
              <w:autoSpaceDE w:val="0"/>
              <w:autoSpaceDN w:val="0"/>
              <w:adjustRightInd w:val="0"/>
              <w:snapToGrid w:val="0"/>
              <w:jc w:val="center"/>
              <w:rPr>
                <w:rFonts w:ascii="宋体" w:hAnsi="宋体"/>
                <w:color w:val="auto"/>
                <w:kern w:val="0"/>
                <w:szCs w:val="21"/>
                <w:highlight w:val="none"/>
              </w:rPr>
            </w:pPr>
          </w:p>
        </w:tc>
        <w:tc>
          <w:tcPr>
            <w:tcW w:w="2346" w:type="dxa"/>
            <w:gridSpan w:val="3"/>
            <w:noWrap w:val="0"/>
            <w:vAlign w:val="center"/>
          </w:tcPr>
          <w:p w14:paraId="110DD3AC">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拟在本合同任职</w:t>
            </w:r>
          </w:p>
        </w:tc>
        <w:tc>
          <w:tcPr>
            <w:tcW w:w="2528" w:type="dxa"/>
            <w:noWrap w:val="0"/>
            <w:vAlign w:val="center"/>
          </w:tcPr>
          <w:p w14:paraId="01210278">
            <w:pPr>
              <w:autoSpaceDE w:val="0"/>
              <w:autoSpaceDN w:val="0"/>
              <w:adjustRightInd w:val="0"/>
              <w:snapToGrid w:val="0"/>
              <w:jc w:val="center"/>
              <w:rPr>
                <w:rFonts w:ascii="宋体" w:hAnsi="宋体"/>
                <w:color w:val="auto"/>
                <w:kern w:val="0"/>
                <w:szCs w:val="21"/>
                <w:highlight w:val="none"/>
              </w:rPr>
            </w:pPr>
          </w:p>
        </w:tc>
      </w:tr>
      <w:tr w14:paraId="5E47A9B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noWrap w:val="0"/>
            <w:vAlign w:val="center"/>
          </w:tcPr>
          <w:p w14:paraId="4950C333">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毕业学校</w:t>
            </w:r>
          </w:p>
        </w:tc>
        <w:tc>
          <w:tcPr>
            <w:tcW w:w="8259" w:type="dxa"/>
            <w:gridSpan w:val="8"/>
            <w:noWrap w:val="0"/>
            <w:vAlign w:val="center"/>
          </w:tcPr>
          <w:p w14:paraId="161D806D">
            <w:pPr>
              <w:tabs>
                <w:tab w:val="left" w:pos="2820"/>
                <w:tab w:val="left" w:pos="4080"/>
              </w:tabs>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年</w:t>
            </w:r>
            <w:r>
              <w:rPr>
                <w:rFonts w:ascii="宋体" w:hAnsi="宋体"/>
                <w:color w:val="auto"/>
                <w:spacing w:val="-1"/>
                <w:kern w:val="0"/>
                <w:szCs w:val="21"/>
                <w:highlight w:val="none"/>
              </w:rPr>
              <w:t>毕</w:t>
            </w:r>
            <w:r>
              <w:rPr>
                <w:rFonts w:ascii="宋体" w:hAnsi="宋体"/>
                <w:color w:val="auto"/>
                <w:kern w:val="0"/>
                <w:szCs w:val="21"/>
                <w:highlight w:val="none"/>
              </w:rPr>
              <w:t>业于</w:t>
            </w:r>
            <w:r>
              <w:rPr>
                <w:rFonts w:ascii="宋体" w:hAnsi="宋体"/>
                <w:color w:val="auto"/>
                <w:kern w:val="0"/>
                <w:szCs w:val="21"/>
                <w:highlight w:val="none"/>
              </w:rPr>
              <w:tab/>
            </w:r>
            <w:r>
              <w:rPr>
                <w:rFonts w:ascii="宋体" w:hAnsi="宋体"/>
                <w:color w:val="auto"/>
                <w:kern w:val="0"/>
                <w:szCs w:val="21"/>
                <w:highlight w:val="none"/>
              </w:rPr>
              <w:t>学校</w:t>
            </w:r>
            <w:r>
              <w:rPr>
                <w:rFonts w:ascii="宋体" w:hAnsi="宋体"/>
                <w:color w:val="auto"/>
                <w:kern w:val="0"/>
                <w:szCs w:val="21"/>
                <w:highlight w:val="none"/>
              </w:rPr>
              <w:tab/>
            </w:r>
            <w:r>
              <w:rPr>
                <w:rFonts w:ascii="宋体" w:hAnsi="宋体"/>
                <w:color w:val="auto"/>
                <w:kern w:val="0"/>
                <w:szCs w:val="21"/>
                <w:highlight w:val="none"/>
              </w:rPr>
              <w:t>专业</w:t>
            </w:r>
          </w:p>
        </w:tc>
      </w:tr>
      <w:tr w14:paraId="2E5C70B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9565" w:type="dxa"/>
            <w:gridSpan w:val="9"/>
            <w:noWrap w:val="0"/>
            <w:vAlign w:val="center"/>
          </w:tcPr>
          <w:p w14:paraId="73136D03">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主要工作经历</w:t>
            </w:r>
          </w:p>
        </w:tc>
      </w:tr>
      <w:tr w14:paraId="6E1773E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46808812">
            <w:pPr>
              <w:tabs>
                <w:tab w:val="left" w:pos="520"/>
              </w:tabs>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时间</w:t>
            </w:r>
          </w:p>
        </w:tc>
        <w:tc>
          <w:tcPr>
            <w:tcW w:w="3768" w:type="dxa"/>
            <w:gridSpan w:val="4"/>
            <w:noWrap w:val="0"/>
            <w:vAlign w:val="center"/>
          </w:tcPr>
          <w:p w14:paraId="601A29F1">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参加过的类似项目</w:t>
            </w:r>
          </w:p>
        </w:tc>
        <w:tc>
          <w:tcPr>
            <w:tcW w:w="1388" w:type="dxa"/>
            <w:noWrap w:val="0"/>
            <w:vAlign w:val="center"/>
          </w:tcPr>
          <w:p w14:paraId="6F50BAD0">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担任职务</w:t>
            </w:r>
          </w:p>
        </w:tc>
        <w:tc>
          <w:tcPr>
            <w:tcW w:w="2706" w:type="dxa"/>
            <w:gridSpan w:val="2"/>
            <w:noWrap w:val="0"/>
            <w:vAlign w:val="center"/>
          </w:tcPr>
          <w:p w14:paraId="331B4F56">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发包人及联系电话</w:t>
            </w:r>
          </w:p>
        </w:tc>
      </w:tr>
      <w:tr w14:paraId="1527FA0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285B5ADA">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2546FCB7">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04C4ABA5">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00BAA3CA">
            <w:pPr>
              <w:autoSpaceDE w:val="0"/>
              <w:autoSpaceDN w:val="0"/>
              <w:adjustRightInd w:val="0"/>
              <w:snapToGrid w:val="0"/>
              <w:jc w:val="center"/>
              <w:rPr>
                <w:rFonts w:ascii="宋体" w:hAnsi="宋体"/>
                <w:color w:val="auto"/>
                <w:kern w:val="0"/>
                <w:szCs w:val="21"/>
                <w:highlight w:val="none"/>
              </w:rPr>
            </w:pPr>
          </w:p>
        </w:tc>
      </w:tr>
      <w:tr w14:paraId="7015B11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64329212">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13DFD481">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71735888">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0EA0FF2C">
            <w:pPr>
              <w:autoSpaceDE w:val="0"/>
              <w:autoSpaceDN w:val="0"/>
              <w:adjustRightInd w:val="0"/>
              <w:snapToGrid w:val="0"/>
              <w:jc w:val="center"/>
              <w:rPr>
                <w:rFonts w:ascii="宋体" w:hAnsi="宋体"/>
                <w:color w:val="auto"/>
                <w:kern w:val="0"/>
                <w:szCs w:val="21"/>
                <w:highlight w:val="none"/>
              </w:rPr>
            </w:pPr>
          </w:p>
        </w:tc>
      </w:tr>
      <w:tr w14:paraId="294364C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400A9E24">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598A0DFD">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751AF746">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24F3EC0A">
            <w:pPr>
              <w:autoSpaceDE w:val="0"/>
              <w:autoSpaceDN w:val="0"/>
              <w:adjustRightInd w:val="0"/>
              <w:snapToGrid w:val="0"/>
              <w:jc w:val="center"/>
              <w:rPr>
                <w:rFonts w:ascii="宋体" w:hAnsi="宋体"/>
                <w:color w:val="auto"/>
                <w:kern w:val="0"/>
                <w:szCs w:val="21"/>
                <w:highlight w:val="none"/>
              </w:rPr>
            </w:pPr>
          </w:p>
        </w:tc>
      </w:tr>
      <w:tr w14:paraId="213C102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78B64007">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04DF2A23">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18BA058A">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61F8EC23">
            <w:pPr>
              <w:autoSpaceDE w:val="0"/>
              <w:autoSpaceDN w:val="0"/>
              <w:adjustRightInd w:val="0"/>
              <w:snapToGrid w:val="0"/>
              <w:jc w:val="center"/>
              <w:rPr>
                <w:rFonts w:ascii="宋体" w:hAnsi="宋体"/>
                <w:color w:val="auto"/>
                <w:kern w:val="0"/>
                <w:szCs w:val="21"/>
                <w:highlight w:val="none"/>
              </w:rPr>
            </w:pPr>
          </w:p>
        </w:tc>
      </w:tr>
      <w:tr w14:paraId="306D0EC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6711592B">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3FA7EECE">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5CCD83CA">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3E40A578">
            <w:pPr>
              <w:autoSpaceDE w:val="0"/>
              <w:autoSpaceDN w:val="0"/>
              <w:adjustRightInd w:val="0"/>
              <w:snapToGrid w:val="0"/>
              <w:jc w:val="center"/>
              <w:rPr>
                <w:rFonts w:ascii="宋体" w:hAnsi="宋体"/>
                <w:color w:val="auto"/>
                <w:kern w:val="0"/>
                <w:szCs w:val="21"/>
                <w:highlight w:val="none"/>
              </w:rPr>
            </w:pPr>
          </w:p>
        </w:tc>
      </w:tr>
      <w:tr w14:paraId="626C791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2806DEDB">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32715CBD">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6A63FD3E">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0E6A5956">
            <w:pPr>
              <w:autoSpaceDE w:val="0"/>
              <w:autoSpaceDN w:val="0"/>
              <w:adjustRightInd w:val="0"/>
              <w:snapToGrid w:val="0"/>
              <w:jc w:val="center"/>
              <w:rPr>
                <w:rFonts w:ascii="宋体" w:hAnsi="宋体"/>
                <w:color w:val="auto"/>
                <w:kern w:val="0"/>
                <w:szCs w:val="21"/>
                <w:highlight w:val="none"/>
              </w:rPr>
            </w:pPr>
          </w:p>
        </w:tc>
      </w:tr>
      <w:tr w14:paraId="4E7B7E2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75BF9C5C">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1D012F09">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7423C6E8">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03DCF014">
            <w:pPr>
              <w:autoSpaceDE w:val="0"/>
              <w:autoSpaceDN w:val="0"/>
              <w:adjustRightInd w:val="0"/>
              <w:snapToGrid w:val="0"/>
              <w:jc w:val="center"/>
              <w:rPr>
                <w:rFonts w:ascii="宋体" w:hAnsi="宋体"/>
                <w:color w:val="auto"/>
                <w:kern w:val="0"/>
                <w:szCs w:val="21"/>
                <w:highlight w:val="none"/>
              </w:rPr>
            </w:pPr>
          </w:p>
        </w:tc>
      </w:tr>
      <w:tr w14:paraId="19E3B48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01562756">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7F898F8D">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617BFC0E">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44186691">
            <w:pPr>
              <w:autoSpaceDE w:val="0"/>
              <w:autoSpaceDN w:val="0"/>
              <w:adjustRightInd w:val="0"/>
              <w:snapToGrid w:val="0"/>
              <w:jc w:val="center"/>
              <w:rPr>
                <w:rFonts w:ascii="宋体" w:hAnsi="宋体"/>
                <w:color w:val="auto"/>
                <w:kern w:val="0"/>
                <w:szCs w:val="21"/>
                <w:highlight w:val="none"/>
              </w:rPr>
            </w:pPr>
          </w:p>
        </w:tc>
      </w:tr>
      <w:tr w14:paraId="6068D0A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7BDC0AAB">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43A06F9F">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1F0B1923">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7EBA902D">
            <w:pPr>
              <w:autoSpaceDE w:val="0"/>
              <w:autoSpaceDN w:val="0"/>
              <w:adjustRightInd w:val="0"/>
              <w:snapToGrid w:val="0"/>
              <w:jc w:val="center"/>
              <w:rPr>
                <w:rFonts w:ascii="宋体" w:hAnsi="宋体"/>
                <w:color w:val="auto"/>
                <w:kern w:val="0"/>
                <w:szCs w:val="21"/>
                <w:highlight w:val="none"/>
              </w:rPr>
            </w:pPr>
          </w:p>
        </w:tc>
      </w:tr>
      <w:tr w14:paraId="07006A6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4242131B">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36E776A7">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2E3CFE42">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75B5075C">
            <w:pPr>
              <w:autoSpaceDE w:val="0"/>
              <w:autoSpaceDN w:val="0"/>
              <w:adjustRightInd w:val="0"/>
              <w:snapToGrid w:val="0"/>
              <w:jc w:val="center"/>
              <w:rPr>
                <w:rFonts w:ascii="宋体" w:hAnsi="宋体"/>
                <w:color w:val="auto"/>
                <w:kern w:val="0"/>
                <w:szCs w:val="21"/>
                <w:highlight w:val="none"/>
              </w:rPr>
            </w:pPr>
          </w:p>
        </w:tc>
      </w:tr>
      <w:tr w14:paraId="30ED4EE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682DDF76">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6516A31B">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501D27B5">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6924E575">
            <w:pPr>
              <w:autoSpaceDE w:val="0"/>
              <w:autoSpaceDN w:val="0"/>
              <w:adjustRightInd w:val="0"/>
              <w:snapToGrid w:val="0"/>
              <w:jc w:val="center"/>
              <w:rPr>
                <w:rFonts w:ascii="宋体" w:hAnsi="宋体"/>
                <w:color w:val="auto"/>
                <w:kern w:val="0"/>
                <w:szCs w:val="21"/>
                <w:highlight w:val="none"/>
              </w:rPr>
            </w:pPr>
          </w:p>
        </w:tc>
      </w:tr>
      <w:tr w14:paraId="4636823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47ACC286">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61FA0234">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2B933538">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31DF3049">
            <w:pPr>
              <w:autoSpaceDE w:val="0"/>
              <w:autoSpaceDN w:val="0"/>
              <w:adjustRightInd w:val="0"/>
              <w:snapToGrid w:val="0"/>
              <w:jc w:val="center"/>
              <w:rPr>
                <w:rFonts w:ascii="宋体" w:hAnsi="宋体"/>
                <w:color w:val="auto"/>
                <w:kern w:val="0"/>
                <w:szCs w:val="21"/>
                <w:highlight w:val="none"/>
              </w:rPr>
            </w:pPr>
          </w:p>
        </w:tc>
      </w:tr>
      <w:tr w14:paraId="357F979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46D3DE50">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79290408">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7600A7F5">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6513C94D">
            <w:pPr>
              <w:autoSpaceDE w:val="0"/>
              <w:autoSpaceDN w:val="0"/>
              <w:adjustRightInd w:val="0"/>
              <w:snapToGrid w:val="0"/>
              <w:jc w:val="center"/>
              <w:rPr>
                <w:rFonts w:ascii="宋体" w:hAnsi="宋体"/>
                <w:color w:val="auto"/>
                <w:kern w:val="0"/>
                <w:szCs w:val="21"/>
                <w:highlight w:val="none"/>
              </w:rPr>
            </w:pPr>
          </w:p>
        </w:tc>
      </w:tr>
    </w:tbl>
    <w:p w14:paraId="295B27CF">
      <w:pPr>
        <w:spacing w:line="360" w:lineRule="auto"/>
        <w:rPr>
          <w:rFonts w:ascii="宋体" w:hAnsi="宋体"/>
          <w:color w:val="auto"/>
          <w:highlight w:val="none"/>
        </w:rPr>
      </w:pPr>
      <w:bookmarkStart w:id="2376" w:name="_Toc224103515"/>
    </w:p>
    <w:p w14:paraId="269C585D">
      <w:pPr>
        <w:pStyle w:val="5"/>
        <w:spacing w:before="0" w:line="240" w:lineRule="auto"/>
        <w:jc w:val="center"/>
        <w:rPr>
          <w:rFonts w:ascii="宋体" w:hAnsi="宋体"/>
          <w:b w:val="0"/>
          <w:color w:val="auto"/>
          <w:highlight w:val="none"/>
        </w:rPr>
      </w:pPr>
      <w:bookmarkStart w:id="2377" w:name="_Toc277082660"/>
      <w:bookmarkStart w:id="2378" w:name="_Toc509218864"/>
      <w:bookmarkStart w:id="2379" w:name="_Toc534185841"/>
      <w:bookmarkStart w:id="2380" w:name="_Toc287607888"/>
      <w:bookmarkStart w:id="2381" w:name="_Toc287620834"/>
      <w:bookmarkStart w:id="2382" w:name="_Toc57820662"/>
      <w:bookmarkStart w:id="2383" w:name="_Toc430530550"/>
      <w:r>
        <w:rPr>
          <w:rFonts w:hint="eastAsia" w:ascii="宋体" w:hAnsi="宋体"/>
          <w:b w:val="0"/>
          <w:color w:val="auto"/>
          <w:highlight w:val="none"/>
        </w:rPr>
        <w:t>（五）近年财务状况表</w:t>
      </w:r>
      <w:bookmarkEnd w:id="2376"/>
      <w:bookmarkEnd w:id="2377"/>
      <w:bookmarkEnd w:id="2378"/>
      <w:bookmarkEnd w:id="2379"/>
      <w:bookmarkEnd w:id="2380"/>
      <w:bookmarkEnd w:id="2381"/>
      <w:bookmarkEnd w:id="2382"/>
      <w:bookmarkEnd w:id="2383"/>
    </w:p>
    <w:p w14:paraId="4B1578F2">
      <w:pPr>
        <w:adjustRightInd w:val="0"/>
        <w:snapToGrid w:val="0"/>
        <w:spacing w:line="360" w:lineRule="auto"/>
        <w:rPr>
          <w:rFonts w:ascii="宋体" w:hAnsi="宋体"/>
          <w:color w:val="auto"/>
          <w:highlight w:val="none"/>
        </w:rPr>
      </w:pPr>
      <w:r>
        <w:rPr>
          <w:rFonts w:ascii="宋体" w:hAnsi="宋体"/>
          <w:color w:val="auto"/>
          <w:highlight w:val="none"/>
        </w:rPr>
        <w:br w:type="page"/>
      </w:r>
    </w:p>
    <w:p w14:paraId="20945361">
      <w:pPr>
        <w:pStyle w:val="5"/>
        <w:spacing w:before="0" w:line="240" w:lineRule="auto"/>
        <w:jc w:val="center"/>
        <w:rPr>
          <w:rFonts w:ascii="宋体" w:hAnsi="宋体"/>
          <w:b w:val="0"/>
          <w:color w:val="auto"/>
          <w:highlight w:val="none"/>
        </w:rPr>
      </w:pPr>
      <w:bookmarkStart w:id="2384" w:name="_Toc277082661"/>
      <w:bookmarkStart w:id="2385" w:name="_Toc287607889"/>
      <w:bookmarkStart w:id="2386" w:name="_Toc287620835"/>
      <w:bookmarkStart w:id="2387" w:name="_Toc224103516"/>
      <w:bookmarkStart w:id="2388" w:name="_Toc534185842"/>
      <w:bookmarkStart w:id="2389" w:name="_Toc57820663"/>
      <w:bookmarkStart w:id="2390" w:name="_Toc509218865"/>
      <w:bookmarkStart w:id="2391" w:name="_Toc430530551"/>
      <w:r>
        <w:rPr>
          <w:rFonts w:ascii="宋体" w:hAnsi="宋体"/>
          <w:b w:val="0"/>
          <w:color w:val="auto"/>
          <w:highlight w:val="none"/>
        </w:rPr>
        <w:t>（六）类似项目情况表</w:t>
      </w:r>
      <w:bookmarkEnd w:id="2384"/>
      <w:bookmarkEnd w:id="2385"/>
      <w:bookmarkEnd w:id="2386"/>
      <w:bookmarkEnd w:id="2387"/>
      <w:bookmarkEnd w:id="2388"/>
      <w:bookmarkEnd w:id="2389"/>
      <w:bookmarkEnd w:id="2390"/>
      <w:bookmarkEnd w:id="2391"/>
    </w:p>
    <w:tbl>
      <w:tblPr>
        <w:tblStyle w:val="45"/>
        <w:tblW w:w="0" w:type="auto"/>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456"/>
        <w:gridCol w:w="8027"/>
      </w:tblGrid>
      <w:tr w14:paraId="2026DD0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43" w:hRule="exact"/>
          <w:jc w:val="center"/>
        </w:trPr>
        <w:tc>
          <w:tcPr>
            <w:tcW w:w="1456" w:type="dxa"/>
            <w:noWrap w:val="0"/>
            <w:vAlign w:val="center"/>
          </w:tcPr>
          <w:p w14:paraId="1FDA69F4">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项目名称</w:t>
            </w:r>
          </w:p>
        </w:tc>
        <w:tc>
          <w:tcPr>
            <w:tcW w:w="8027" w:type="dxa"/>
            <w:noWrap w:val="0"/>
            <w:vAlign w:val="center"/>
          </w:tcPr>
          <w:p w14:paraId="355B3B3A">
            <w:pPr>
              <w:autoSpaceDE w:val="0"/>
              <w:autoSpaceDN w:val="0"/>
              <w:adjustRightInd w:val="0"/>
              <w:snapToGrid w:val="0"/>
              <w:jc w:val="center"/>
              <w:rPr>
                <w:rFonts w:ascii="宋体" w:hAnsi="宋体"/>
                <w:color w:val="auto"/>
                <w:kern w:val="0"/>
                <w:szCs w:val="21"/>
                <w:highlight w:val="none"/>
              </w:rPr>
            </w:pPr>
          </w:p>
        </w:tc>
      </w:tr>
      <w:tr w14:paraId="504D70E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1456" w:type="dxa"/>
            <w:noWrap w:val="0"/>
            <w:vAlign w:val="center"/>
          </w:tcPr>
          <w:p w14:paraId="1E16F80C">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项目所在地</w:t>
            </w:r>
          </w:p>
        </w:tc>
        <w:tc>
          <w:tcPr>
            <w:tcW w:w="8027" w:type="dxa"/>
            <w:noWrap w:val="0"/>
            <w:vAlign w:val="center"/>
          </w:tcPr>
          <w:p w14:paraId="465410D5">
            <w:pPr>
              <w:autoSpaceDE w:val="0"/>
              <w:autoSpaceDN w:val="0"/>
              <w:adjustRightInd w:val="0"/>
              <w:snapToGrid w:val="0"/>
              <w:jc w:val="center"/>
              <w:rPr>
                <w:rFonts w:ascii="宋体" w:hAnsi="宋体"/>
                <w:color w:val="auto"/>
                <w:kern w:val="0"/>
                <w:szCs w:val="21"/>
                <w:highlight w:val="none"/>
              </w:rPr>
            </w:pPr>
          </w:p>
        </w:tc>
      </w:tr>
      <w:tr w14:paraId="4297E95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6" w:hRule="exact"/>
          <w:jc w:val="center"/>
        </w:trPr>
        <w:tc>
          <w:tcPr>
            <w:tcW w:w="1456" w:type="dxa"/>
            <w:noWrap w:val="0"/>
            <w:vAlign w:val="center"/>
          </w:tcPr>
          <w:p w14:paraId="010D3EBD">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发包人名称</w:t>
            </w:r>
          </w:p>
        </w:tc>
        <w:tc>
          <w:tcPr>
            <w:tcW w:w="8027" w:type="dxa"/>
            <w:noWrap w:val="0"/>
            <w:vAlign w:val="center"/>
          </w:tcPr>
          <w:p w14:paraId="49281916">
            <w:pPr>
              <w:autoSpaceDE w:val="0"/>
              <w:autoSpaceDN w:val="0"/>
              <w:adjustRightInd w:val="0"/>
              <w:snapToGrid w:val="0"/>
              <w:jc w:val="center"/>
              <w:rPr>
                <w:rFonts w:ascii="宋体" w:hAnsi="宋体"/>
                <w:color w:val="auto"/>
                <w:kern w:val="0"/>
                <w:szCs w:val="21"/>
                <w:highlight w:val="none"/>
              </w:rPr>
            </w:pPr>
          </w:p>
        </w:tc>
      </w:tr>
      <w:tr w14:paraId="481C233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1456" w:type="dxa"/>
            <w:noWrap w:val="0"/>
            <w:vAlign w:val="center"/>
          </w:tcPr>
          <w:p w14:paraId="0CC86BA0">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发包人地址</w:t>
            </w:r>
          </w:p>
        </w:tc>
        <w:tc>
          <w:tcPr>
            <w:tcW w:w="8027" w:type="dxa"/>
            <w:noWrap w:val="0"/>
            <w:vAlign w:val="center"/>
          </w:tcPr>
          <w:p w14:paraId="7A57EDAD">
            <w:pPr>
              <w:autoSpaceDE w:val="0"/>
              <w:autoSpaceDN w:val="0"/>
              <w:adjustRightInd w:val="0"/>
              <w:snapToGrid w:val="0"/>
              <w:jc w:val="center"/>
              <w:rPr>
                <w:rFonts w:ascii="宋体" w:hAnsi="宋体"/>
                <w:color w:val="auto"/>
                <w:kern w:val="0"/>
                <w:szCs w:val="21"/>
                <w:highlight w:val="none"/>
              </w:rPr>
            </w:pPr>
          </w:p>
        </w:tc>
      </w:tr>
      <w:tr w14:paraId="24D51F4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1456" w:type="dxa"/>
            <w:noWrap w:val="0"/>
            <w:vAlign w:val="center"/>
          </w:tcPr>
          <w:p w14:paraId="49215DF7">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发包人电话</w:t>
            </w:r>
          </w:p>
        </w:tc>
        <w:tc>
          <w:tcPr>
            <w:tcW w:w="8027" w:type="dxa"/>
            <w:noWrap w:val="0"/>
            <w:vAlign w:val="center"/>
          </w:tcPr>
          <w:p w14:paraId="2B0824F8">
            <w:pPr>
              <w:autoSpaceDE w:val="0"/>
              <w:autoSpaceDN w:val="0"/>
              <w:adjustRightInd w:val="0"/>
              <w:snapToGrid w:val="0"/>
              <w:jc w:val="center"/>
              <w:rPr>
                <w:rFonts w:ascii="宋体" w:hAnsi="宋体"/>
                <w:color w:val="auto"/>
                <w:kern w:val="0"/>
                <w:szCs w:val="21"/>
                <w:highlight w:val="none"/>
              </w:rPr>
            </w:pPr>
          </w:p>
        </w:tc>
      </w:tr>
      <w:tr w14:paraId="2F35AAB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1" w:hRule="exact"/>
          <w:jc w:val="center"/>
        </w:trPr>
        <w:tc>
          <w:tcPr>
            <w:tcW w:w="1456" w:type="dxa"/>
            <w:noWrap w:val="0"/>
            <w:vAlign w:val="center"/>
          </w:tcPr>
          <w:p w14:paraId="3FD7C72E">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合同价格</w:t>
            </w:r>
          </w:p>
        </w:tc>
        <w:tc>
          <w:tcPr>
            <w:tcW w:w="8027" w:type="dxa"/>
            <w:noWrap w:val="0"/>
            <w:vAlign w:val="center"/>
          </w:tcPr>
          <w:p w14:paraId="16FF5DC9">
            <w:pPr>
              <w:autoSpaceDE w:val="0"/>
              <w:autoSpaceDN w:val="0"/>
              <w:adjustRightInd w:val="0"/>
              <w:snapToGrid w:val="0"/>
              <w:jc w:val="center"/>
              <w:rPr>
                <w:rFonts w:ascii="宋体" w:hAnsi="宋体"/>
                <w:color w:val="auto"/>
                <w:kern w:val="0"/>
                <w:szCs w:val="21"/>
                <w:highlight w:val="none"/>
              </w:rPr>
            </w:pPr>
          </w:p>
        </w:tc>
      </w:tr>
      <w:tr w14:paraId="286D578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5" w:hRule="exact"/>
          <w:jc w:val="center"/>
        </w:trPr>
        <w:tc>
          <w:tcPr>
            <w:tcW w:w="1456" w:type="dxa"/>
            <w:noWrap w:val="0"/>
            <w:vAlign w:val="center"/>
          </w:tcPr>
          <w:p w14:paraId="1DB61CFE">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开工日期</w:t>
            </w:r>
          </w:p>
        </w:tc>
        <w:tc>
          <w:tcPr>
            <w:tcW w:w="8027" w:type="dxa"/>
            <w:noWrap w:val="0"/>
            <w:vAlign w:val="center"/>
          </w:tcPr>
          <w:p w14:paraId="7E81F728">
            <w:pPr>
              <w:autoSpaceDE w:val="0"/>
              <w:autoSpaceDN w:val="0"/>
              <w:adjustRightInd w:val="0"/>
              <w:snapToGrid w:val="0"/>
              <w:jc w:val="center"/>
              <w:rPr>
                <w:rFonts w:ascii="宋体" w:hAnsi="宋体"/>
                <w:color w:val="auto"/>
                <w:kern w:val="0"/>
                <w:szCs w:val="21"/>
                <w:highlight w:val="none"/>
              </w:rPr>
            </w:pPr>
          </w:p>
        </w:tc>
      </w:tr>
      <w:tr w14:paraId="06C65FF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9" w:hRule="exact"/>
          <w:jc w:val="center"/>
        </w:trPr>
        <w:tc>
          <w:tcPr>
            <w:tcW w:w="1456" w:type="dxa"/>
            <w:noWrap w:val="0"/>
            <w:vAlign w:val="center"/>
          </w:tcPr>
          <w:p w14:paraId="29C494B7">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竣工日期</w:t>
            </w:r>
          </w:p>
        </w:tc>
        <w:tc>
          <w:tcPr>
            <w:tcW w:w="8027" w:type="dxa"/>
            <w:noWrap w:val="0"/>
            <w:vAlign w:val="center"/>
          </w:tcPr>
          <w:p w14:paraId="5FAA0045">
            <w:pPr>
              <w:autoSpaceDE w:val="0"/>
              <w:autoSpaceDN w:val="0"/>
              <w:adjustRightInd w:val="0"/>
              <w:snapToGrid w:val="0"/>
              <w:jc w:val="center"/>
              <w:rPr>
                <w:rFonts w:ascii="宋体" w:hAnsi="宋体"/>
                <w:color w:val="auto"/>
                <w:kern w:val="0"/>
                <w:szCs w:val="21"/>
                <w:highlight w:val="none"/>
              </w:rPr>
            </w:pPr>
          </w:p>
        </w:tc>
      </w:tr>
      <w:tr w14:paraId="1B717F8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1456" w:type="dxa"/>
            <w:noWrap w:val="0"/>
            <w:vAlign w:val="center"/>
          </w:tcPr>
          <w:p w14:paraId="04B7BB61">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承担的工作</w:t>
            </w:r>
          </w:p>
        </w:tc>
        <w:tc>
          <w:tcPr>
            <w:tcW w:w="8027" w:type="dxa"/>
            <w:noWrap w:val="0"/>
            <w:vAlign w:val="center"/>
          </w:tcPr>
          <w:p w14:paraId="61E7164B">
            <w:pPr>
              <w:autoSpaceDE w:val="0"/>
              <w:autoSpaceDN w:val="0"/>
              <w:adjustRightInd w:val="0"/>
              <w:snapToGrid w:val="0"/>
              <w:jc w:val="center"/>
              <w:rPr>
                <w:rFonts w:ascii="宋体" w:hAnsi="宋体"/>
                <w:color w:val="auto"/>
                <w:kern w:val="0"/>
                <w:szCs w:val="21"/>
                <w:highlight w:val="none"/>
              </w:rPr>
            </w:pPr>
          </w:p>
        </w:tc>
      </w:tr>
      <w:tr w14:paraId="1CCB916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1456" w:type="dxa"/>
            <w:noWrap w:val="0"/>
            <w:vAlign w:val="center"/>
          </w:tcPr>
          <w:p w14:paraId="7BD56197">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工程质量</w:t>
            </w:r>
          </w:p>
        </w:tc>
        <w:tc>
          <w:tcPr>
            <w:tcW w:w="8027" w:type="dxa"/>
            <w:noWrap w:val="0"/>
            <w:vAlign w:val="center"/>
          </w:tcPr>
          <w:p w14:paraId="2141AB84">
            <w:pPr>
              <w:autoSpaceDE w:val="0"/>
              <w:autoSpaceDN w:val="0"/>
              <w:adjustRightInd w:val="0"/>
              <w:snapToGrid w:val="0"/>
              <w:jc w:val="center"/>
              <w:rPr>
                <w:rFonts w:ascii="宋体" w:hAnsi="宋体"/>
                <w:color w:val="auto"/>
                <w:kern w:val="0"/>
                <w:szCs w:val="21"/>
                <w:highlight w:val="none"/>
              </w:rPr>
            </w:pPr>
          </w:p>
        </w:tc>
      </w:tr>
      <w:tr w14:paraId="7604F2C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1456" w:type="dxa"/>
            <w:noWrap w:val="0"/>
            <w:vAlign w:val="center"/>
          </w:tcPr>
          <w:p w14:paraId="41C298D9">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项目经理</w:t>
            </w:r>
          </w:p>
        </w:tc>
        <w:tc>
          <w:tcPr>
            <w:tcW w:w="8027" w:type="dxa"/>
            <w:noWrap w:val="0"/>
            <w:vAlign w:val="center"/>
          </w:tcPr>
          <w:p w14:paraId="2B1544BC">
            <w:pPr>
              <w:autoSpaceDE w:val="0"/>
              <w:autoSpaceDN w:val="0"/>
              <w:adjustRightInd w:val="0"/>
              <w:snapToGrid w:val="0"/>
              <w:jc w:val="center"/>
              <w:rPr>
                <w:rFonts w:ascii="宋体" w:hAnsi="宋体"/>
                <w:color w:val="auto"/>
                <w:kern w:val="0"/>
                <w:szCs w:val="21"/>
                <w:highlight w:val="none"/>
              </w:rPr>
            </w:pPr>
          </w:p>
        </w:tc>
      </w:tr>
      <w:tr w14:paraId="6FE1A6B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0" w:hRule="exact"/>
          <w:jc w:val="center"/>
        </w:trPr>
        <w:tc>
          <w:tcPr>
            <w:tcW w:w="1456" w:type="dxa"/>
            <w:noWrap w:val="0"/>
            <w:vAlign w:val="center"/>
          </w:tcPr>
          <w:p w14:paraId="76D3F4CF">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技术负责人</w:t>
            </w:r>
          </w:p>
        </w:tc>
        <w:tc>
          <w:tcPr>
            <w:tcW w:w="8027" w:type="dxa"/>
            <w:noWrap w:val="0"/>
            <w:vAlign w:val="center"/>
          </w:tcPr>
          <w:p w14:paraId="4A12405D">
            <w:pPr>
              <w:autoSpaceDE w:val="0"/>
              <w:autoSpaceDN w:val="0"/>
              <w:adjustRightInd w:val="0"/>
              <w:snapToGrid w:val="0"/>
              <w:jc w:val="center"/>
              <w:rPr>
                <w:rFonts w:ascii="宋体" w:hAnsi="宋体"/>
                <w:color w:val="auto"/>
                <w:kern w:val="0"/>
                <w:szCs w:val="21"/>
                <w:highlight w:val="none"/>
              </w:rPr>
            </w:pPr>
          </w:p>
        </w:tc>
      </w:tr>
      <w:tr w14:paraId="36C3257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63" w:hRule="exact"/>
          <w:jc w:val="center"/>
        </w:trPr>
        <w:tc>
          <w:tcPr>
            <w:tcW w:w="1456" w:type="dxa"/>
            <w:noWrap w:val="0"/>
            <w:vAlign w:val="center"/>
          </w:tcPr>
          <w:p w14:paraId="4DB5E0F4">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总监理工程师及电话</w:t>
            </w:r>
          </w:p>
        </w:tc>
        <w:tc>
          <w:tcPr>
            <w:tcW w:w="8027" w:type="dxa"/>
            <w:noWrap w:val="0"/>
            <w:vAlign w:val="center"/>
          </w:tcPr>
          <w:p w14:paraId="61C894FB">
            <w:pPr>
              <w:autoSpaceDE w:val="0"/>
              <w:autoSpaceDN w:val="0"/>
              <w:adjustRightInd w:val="0"/>
              <w:snapToGrid w:val="0"/>
              <w:jc w:val="center"/>
              <w:rPr>
                <w:rFonts w:ascii="宋体" w:hAnsi="宋体"/>
                <w:color w:val="auto"/>
                <w:kern w:val="0"/>
                <w:szCs w:val="21"/>
                <w:highlight w:val="none"/>
              </w:rPr>
            </w:pPr>
          </w:p>
        </w:tc>
      </w:tr>
      <w:tr w14:paraId="28381C4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67" w:hRule="exact"/>
          <w:jc w:val="center"/>
        </w:trPr>
        <w:tc>
          <w:tcPr>
            <w:tcW w:w="1456" w:type="dxa"/>
            <w:noWrap w:val="0"/>
            <w:vAlign w:val="center"/>
          </w:tcPr>
          <w:p w14:paraId="2BB7E5DB">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项目描述</w:t>
            </w:r>
          </w:p>
        </w:tc>
        <w:tc>
          <w:tcPr>
            <w:tcW w:w="8027" w:type="dxa"/>
            <w:noWrap w:val="0"/>
            <w:vAlign w:val="center"/>
          </w:tcPr>
          <w:p w14:paraId="5CFCD6A1">
            <w:pPr>
              <w:autoSpaceDE w:val="0"/>
              <w:autoSpaceDN w:val="0"/>
              <w:adjustRightInd w:val="0"/>
              <w:snapToGrid w:val="0"/>
              <w:jc w:val="center"/>
              <w:rPr>
                <w:rFonts w:ascii="宋体" w:hAnsi="宋体"/>
                <w:color w:val="auto"/>
                <w:kern w:val="0"/>
                <w:szCs w:val="21"/>
                <w:highlight w:val="none"/>
              </w:rPr>
            </w:pPr>
          </w:p>
        </w:tc>
      </w:tr>
      <w:tr w14:paraId="167DF30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48" w:hRule="exact"/>
          <w:jc w:val="center"/>
        </w:trPr>
        <w:tc>
          <w:tcPr>
            <w:tcW w:w="1456" w:type="dxa"/>
            <w:noWrap w:val="0"/>
            <w:vAlign w:val="center"/>
          </w:tcPr>
          <w:p w14:paraId="5D26B93C">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备注</w:t>
            </w:r>
          </w:p>
        </w:tc>
        <w:tc>
          <w:tcPr>
            <w:tcW w:w="8027" w:type="dxa"/>
            <w:noWrap w:val="0"/>
            <w:vAlign w:val="center"/>
          </w:tcPr>
          <w:p w14:paraId="1BE41E83">
            <w:pPr>
              <w:autoSpaceDE w:val="0"/>
              <w:autoSpaceDN w:val="0"/>
              <w:adjustRightInd w:val="0"/>
              <w:snapToGrid w:val="0"/>
              <w:jc w:val="center"/>
              <w:rPr>
                <w:rFonts w:ascii="宋体" w:hAnsi="宋体"/>
                <w:color w:val="auto"/>
                <w:kern w:val="0"/>
                <w:szCs w:val="21"/>
                <w:highlight w:val="none"/>
              </w:rPr>
            </w:pPr>
          </w:p>
        </w:tc>
      </w:tr>
    </w:tbl>
    <w:p w14:paraId="213EF4A3">
      <w:pPr>
        <w:pStyle w:val="5"/>
        <w:spacing w:before="0" w:line="360" w:lineRule="auto"/>
        <w:jc w:val="center"/>
        <w:rPr>
          <w:rFonts w:hint="eastAsia" w:ascii="宋体" w:hAnsi="宋体"/>
          <w:b w:val="0"/>
          <w:color w:val="auto"/>
          <w:highlight w:val="none"/>
        </w:rPr>
      </w:pPr>
      <w:bookmarkStart w:id="2392" w:name="_Toc430530552"/>
      <w:bookmarkStart w:id="2393" w:name="_Toc287620839"/>
      <w:bookmarkStart w:id="2394" w:name="_Toc534185843"/>
      <w:bookmarkStart w:id="2395" w:name="_Toc277082663"/>
      <w:bookmarkStart w:id="2396" w:name="_Toc224103520"/>
      <w:bookmarkStart w:id="2397" w:name="_Toc509218866"/>
      <w:bookmarkStart w:id="2398" w:name="_Toc287607893"/>
      <w:bookmarkStart w:id="2399" w:name="_Toc57820664"/>
      <w:r>
        <w:rPr>
          <w:rFonts w:ascii="宋体" w:hAnsi="宋体"/>
          <w:b w:val="0"/>
          <w:color w:val="auto"/>
          <w:highlight w:val="none"/>
        </w:rPr>
        <w:t>（七）</w:t>
      </w:r>
      <w:bookmarkEnd w:id="2392"/>
      <w:bookmarkEnd w:id="2393"/>
      <w:bookmarkEnd w:id="2394"/>
      <w:bookmarkEnd w:id="2395"/>
      <w:bookmarkEnd w:id="2396"/>
      <w:bookmarkEnd w:id="2397"/>
      <w:bookmarkEnd w:id="2398"/>
      <w:r>
        <w:rPr>
          <w:rFonts w:hint="eastAsia" w:ascii="宋体" w:hAnsi="宋体"/>
          <w:b w:val="0"/>
          <w:color w:val="auto"/>
          <w:highlight w:val="none"/>
        </w:rPr>
        <w:t>承诺</w:t>
      </w:r>
      <w:bookmarkEnd w:id="2399"/>
    </w:p>
    <w:p w14:paraId="698DC63D">
      <w:pPr>
        <w:snapToGrid w:val="0"/>
        <w:spacing w:line="400" w:lineRule="exact"/>
        <w:rPr>
          <w:rFonts w:hint="eastAsia" w:ascii="宋体" w:hAnsi="宋体"/>
          <w:color w:val="auto"/>
          <w:szCs w:val="21"/>
          <w:highlight w:val="none"/>
          <w:u w:val="single"/>
        </w:rPr>
      </w:pPr>
      <w:r>
        <w:rPr>
          <w:rFonts w:hint="eastAsia" w:ascii="宋体" w:hAnsi="宋体"/>
          <w:color w:val="auto"/>
          <w:szCs w:val="21"/>
          <w:highlight w:val="none"/>
          <w:u w:val="single"/>
        </w:rPr>
        <w:t xml:space="preserve">        （招标人名称）</w:t>
      </w:r>
      <w:r>
        <w:rPr>
          <w:rFonts w:hint="eastAsia" w:ascii="宋体" w:hAnsi="宋体"/>
          <w:color w:val="auto"/>
          <w:szCs w:val="21"/>
          <w:highlight w:val="none"/>
        </w:rPr>
        <w:t>：</w:t>
      </w:r>
    </w:p>
    <w:p w14:paraId="62F18B8C">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我公司</w:t>
      </w:r>
      <w:r>
        <w:rPr>
          <w:rFonts w:hint="eastAsia" w:ascii="宋体" w:hAnsi="宋体"/>
          <w:color w:val="auto"/>
          <w:szCs w:val="21"/>
          <w:highlight w:val="none"/>
          <w:u w:val="single"/>
        </w:rPr>
        <w:t xml:space="preserve">        （投标人名称）</w:t>
      </w:r>
      <w:r>
        <w:rPr>
          <w:rFonts w:hint="eastAsia" w:ascii="宋体" w:hAnsi="宋体"/>
          <w:color w:val="auto"/>
          <w:szCs w:val="21"/>
          <w:highlight w:val="none"/>
        </w:rPr>
        <w:t>参加了贵单位</w:t>
      </w:r>
      <w:r>
        <w:rPr>
          <w:rFonts w:hint="eastAsia" w:ascii="宋体" w:hAnsi="宋体"/>
          <w:color w:val="auto"/>
          <w:szCs w:val="21"/>
          <w:highlight w:val="none"/>
          <w:u w:val="single"/>
        </w:rPr>
        <w:t xml:space="preserve">        （项目名称）</w:t>
      </w:r>
      <w:r>
        <w:rPr>
          <w:rFonts w:hint="eastAsia" w:ascii="宋体" w:hAnsi="宋体"/>
          <w:color w:val="auto"/>
          <w:szCs w:val="21"/>
          <w:highlight w:val="none"/>
        </w:rPr>
        <w:t>的投标，自愿作出以下承诺：</w:t>
      </w:r>
    </w:p>
    <w:p w14:paraId="6A8F3A3C">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1、我公司投标截止日投标资格情况不存在下列情形之一：</w:t>
      </w:r>
    </w:p>
    <w:p w14:paraId="77B80E04">
      <w:pPr>
        <w:snapToGrid w:val="0"/>
        <w:spacing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（1）被人民法院在“信用中国”网站（www.creditchina.gov.cn）列入失信被执行人名单且在被执行期内；</w:t>
      </w:r>
    </w:p>
    <w:p w14:paraId="5620EC34">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（2）被列入《重庆市工程建设领域招标投标信用管理暂行办法》规定的重点关注名单且记分达到12分且在记分有效期内；</w:t>
      </w:r>
    </w:p>
    <w:p w14:paraId="52F5D0CD">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（3）被列入《重庆市工程建设领域招标投标信用管理暂行办法》规定的黑名单且在记分有效期内；</w:t>
      </w:r>
    </w:p>
    <w:p w14:paraId="0B7F3719">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（4）被国家、重庆市（含市或任意区县）有关行政部门处以暂停投标资格行政处罚，且在处罚期限内；</w:t>
      </w:r>
    </w:p>
    <w:p w14:paraId="062BC489">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（5）被重庆市住房和城乡建设主管部门暂停在渝承揽新业务且在暂停期内。</w:t>
      </w:r>
    </w:p>
    <w:p w14:paraId="320C4426">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我公司拟派的项目经理中标后只能在本项目任职，签订合同时拟派的项目经理必须与投标文件中的项目经理一致，并满足办理施工许可手续的相关要求。不能按承诺到岗履约的，按合同相关条款处罚并上报行政主管部门，给招标人造成损失的，我公司依法承担违约赔偿责任。</w:t>
      </w:r>
    </w:p>
    <w:p w14:paraId="3ABA34B2">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我公司拟派的项目经理未被我市住房和城乡建设主管部门暂停在渝承揽新业务，若被暂停且参加投标的投标将被否决；已取得中标候选人资格或中标资格的，招标人有权取消其中标候选人资格或中标资格；给招标人造成损失的，我公司依法承担违约赔偿责任。</w:t>
      </w:r>
    </w:p>
    <w:p w14:paraId="3414664C">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我公司若中标，在签订合同之前，将按照建设行政主管部门的要求组建施工项目部，配置项目管理班子，出具任命文件。任命文件应当明确施工项目部的职责、岗位设置、人员配备，并书面通知招标人。相关岗位管理人员应持有建设行政主管部门要求的岗位证书，并提供我公司为其缴纳的养老保险证明材料。中标后不能满足该要求的，取消我公司中标资格，给招标人造成损失的，我公司依法承担违约赔偿责任。</w:t>
      </w:r>
    </w:p>
    <w:p w14:paraId="06CD20B1">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4、我公司在资格审查部分中提供的相关证明材料真实有效，不存在弄虚作假情形。招标人在合同签订前均有权对我司提供的资料（如业绩截图信息等相关证明材料）进行核实，若发现弄虚作假，取消中标资格，并按相关法律法规报招标投标监督部门处理，投标保证金不予退还，我司自愿承担因此造成的相关责任并赔偿相应损失。</w:t>
      </w:r>
    </w:p>
    <w:p w14:paraId="4197722F">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5、我公司的投标文件符合第四章 合同条款及格式规定，投标文件中没有招标人不能接受的条件。</w:t>
      </w:r>
    </w:p>
    <w:p w14:paraId="43C3A0A4">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6、我公司的投标文件符合第七章 技术标准和要求（如有）。</w:t>
      </w:r>
    </w:p>
    <w:p w14:paraId="38E9116F">
      <w:pPr>
        <w:snapToGrid w:val="0"/>
        <w:spacing w:line="400" w:lineRule="exact"/>
        <w:ind w:firstLine="420" w:firstLineChars="200"/>
        <w:rPr>
          <w:rFonts w:hint="eastAsia" w:ascii="宋体" w:hAnsi="宋体"/>
          <w:color w:val="auto"/>
          <w:szCs w:val="21"/>
          <w:highlight w:val="none"/>
        </w:rPr>
      </w:pPr>
    </w:p>
    <w:p w14:paraId="7D452BCC">
      <w:pPr>
        <w:tabs>
          <w:tab w:val="left" w:pos="4200"/>
          <w:tab w:val="left" w:pos="4620"/>
        </w:tabs>
        <w:autoSpaceDE w:val="0"/>
        <w:autoSpaceDN w:val="0"/>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14:paraId="61706F1A">
      <w:pPr>
        <w:tabs>
          <w:tab w:val="left" w:pos="6300"/>
        </w:tabs>
        <w:autoSpaceDE w:val="0"/>
        <w:autoSpaceDN w:val="0"/>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（签字或盖章）</w:t>
      </w:r>
    </w:p>
    <w:p w14:paraId="0D02ABF3">
      <w:pPr>
        <w:snapToGrid w:val="0"/>
        <w:spacing w:line="400" w:lineRule="exact"/>
        <w:ind w:firstLine="420" w:firstLineChars="200"/>
        <w:jc w:val="right"/>
        <w:rPr>
          <w:rFonts w:hint="eastAsia" w:ascii="宋体" w:hAnsi="宋体"/>
          <w:color w:val="auto"/>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280350E4">
      <w:pPr>
        <w:rPr>
          <w:rFonts w:hint="eastAsia"/>
          <w:color w:val="auto"/>
          <w:highlight w:val="none"/>
        </w:rPr>
      </w:pPr>
    </w:p>
    <w:p w14:paraId="0D185E38">
      <w:pPr>
        <w:rPr>
          <w:color w:val="auto"/>
          <w:highlight w:val="none"/>
        </w:rPr>
      </w:pPr>
      <w:r>
        <w:rPr>
          <w:color w:val="auto"/>
          <w:highlight w:val="none"/>
        </w:rPr>
        <w:br w:type="page"/>
      </w:r>
    </w:p>
    <w:p w14:paraId="4D610299">
      <w:pPr>
        <w:pStyle w:val="5"/>
        <w:spacing w:before="0" w:line="360" w:lineRule="auto"/>
        <w:jc w:val="center"/>
        <w:rPr>
          <w:rFonts w:ascii="宋体" w:hAnsi="宋体"/>
          <w:color w:val="auto"/>
          <w:highlight w:val="none"/>
        </w:rPr>
      </w:pPr>
      <w:bookmarkStart w:id="2400" w:name="_Toc57820665"/>
      <w:r>
        <w:rPr>
          <w:rFonts w:hint="eastAsia" w:ascii="宋体" w:hAnsi="宋体"/>
          <w:b w:val="0"/>
          <w:color w:val="auto"/>
          <w:highlight w:val="none"/>
        </w:rPr>
        <w:t>（八）其他资料</w:t>
      </w:r>
      <w:bookmarkEnd w:id="2400"/>
    </w:p>
    <w:bookmarkEnd w:id="681"/>
    <w:bookmarkEnd w:id="682"/>
    <w:bookmarkEnd w:id="683"/>
    <w:p w14:paraId="4A31646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 投标保证金</w:t>
      </w:r>
    </w:p>
    <w:p w14:paraId="0EF960B6">
      <w:pPr>
        <w:spacing w:line="360" w:lineRule="auto"/>
        <w:ind w:firstLine="420" w:firstLineChars="200"/>
        <w:rPr>
          <w:rFonts w:hint="eastAsia" w:ascii="宋体" w:hAnsi="宋体"/>
          <w:i/>
          <w:color w:val="auto"/>
          <w:szCs w:val="21"/>
          <w:highlight w:val="none"/>
        </w:rPr>
      </w:pPr>
      <w:r>
        <w:rPr>
          <w:rFonts w:hint="eastAsia" w:ascii="宋体" w:hAnsi="宋体"/>
          <w:i/>
          <w:color w:val="auto"/>
          <w:szCs w:val="21"/>
          <w:highlight w:val="none"/>
        </w:rPr>
        <w:t>[提示：以转账支票或电汇形式交纳投标保证金的提供以下资料]</w:t>
      </w:r>
    </w:p>
    <w:p w14:paraId="244B15C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（1）企业基本账户开户证明文件。</w:t>
      </w:r>
    </w:p>
    <w:p w14:paraId="16AB8708">
      <w:pPr>
        <w:spacing w:line="360" w:lineRule="auto"/>
        <w:ind w:firstLine="420" w:firstLineChars="200"/>
        <w:rPr>
          <w:rFonts w:hint="eastAsia" w:ascii="宋体" w:hAnsi="宋体"/>
          <w:i/>
          <w:color w:val="auto"/>
          <w:szCs w:val="21"/>
          <w:highlight w:val="none"/>
        </w:rPr>
      </w:pPr>
      <w:r>
        <w:rPr>
          <w:rFonts w:hint="eastAsia" w:ascii="宋体" w:hAnsi="宋体"/>
          <w:i/>
          <w:color w:val="auto"/>
          <w:szCs w:val="21"/>
          <w:highlight w:val="none"/>
        </w:rPr>
        <w:t>[提示：以纸质投标保函形式交纳投标保证金的提供以下资料]</w:t>
      </w:r>
    </w:p>
    <w:p w14:paraId="4B737C5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（1）纸质保函正本；</w:t>
      </w:r>
    </w:p>
    <w:p w14:paraId="7D52425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（2）纸质投标保函的核验地点、方式和联系人。</w:t>
      </w:r>
    </w:p>
    <w:p w14:paraId="3094F7C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2. </w:t>
      </w:r>
    </w:p>
    <w:p w14:paraId="4C1F3A90">
      <w:pPr>
        <w:spacing w:line="360" w:lineRule="auto"/>
        <w:ind w:firstLine="420" w:firstLineChars="200"/>
        <w:rPr>
          <w:rFonts w:ascii="宋体" w:hAnsi="宋体"/>
          <w:color w:val="auto"/>
          <w:szCs w:val="21"/>
          <w:highlight w:val="none"/>
        </w:rPr>
      </w:pPr>
      <w:r>
        <w:rPr>
          <w:rFonts w:ascii="宋体" w:hAnsi="宋体"/>
          <w:color w:val="auto"/>
          <w:szCs w:val="21"/>
          <w:highlight w:val="none"/>
        </w:rPr>
        <w:t>……</w:t>
      </w:r>
    </w:p>
    <w:sectPr>
      <w:pgSz w:w="11906" w:h="16838"/>
      <w:pgMar w:top="1304" w:right="1134" w:bottom="1304" w:left="130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简体">
    <w:panose1 w:val="02010601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小标宋简体">
    <w:panose1 w:val="02010601030101010101"/>
    <w:charset w:val="86"/>
    <w:family w:val="script"/>
    <w:pitch w:val="default"/>
    <w:sig w:usb0="00000001" w:usb1="080E0000" w:usb2="00000000" w:usb3="00000000" w:csb0="00040000" w:csb1="00000000"/>
  </w:font>
  <w:font w:name="ˎ̥">
    <w:altName w:val="Times New Roman"/>
    <w:panose1 w:val="00000000000000000000"/>
    <w:charset w:val="00"/>
    <w:family w:val="auto"/>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方正仿宋简体">
    <w:panose1 w:val="02010601030101010101"/>
    <w:charset w:val="86"/>
    <w:family w:val="auto"/>
    <w:pitch w:val="default"/>
    <w:sig w:usb0="00000001" w:usb1="080E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Microsoft Sans Serif">
    <w:panose1 w:val="020B0604020202020204"/>
    <w:charset w:val="00"/>
    <w:family w:val="swiss"/>
    <w:pitch w:val="default"/>
    <w:sig w:usb0="E5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3DF25">
    <w:pPr>
      <w:pStyle w:val="29"/>
      <w:framePr w:wrap="around" w:vAnchor="text" w:hAnchor="margin" w:xAlign="center" w:y="1"/>
      <w:rPr>
        <w:rStyle w:val="50"/>
      </w:rPr>
    </w:pPr>
    <w:r>
      <w:fldChar w:fldCharType="begin"/>
    </w:r>
    <w:r>
      <w:rPr>
        <w:rStyle w:val="50"/>
      </w:rPr>
      <w:instrText xml:space="preserve">PAGE  </w:instrText>
    </w:r>
    <w:r>
      <w:fldChar w:fldCharType="end"/>
    </w:r>
  </w:p>
  <w:p w14:paraId="280ED011">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889C1">
    <w:pPr>
      <w:pStyle w:val="29"/>
      <w:jc w:val="center"/>
    </w:pPr>
    <w:r>
      <w:t xml:space="preserve">- </w:t>
    </w:r>
    <w:r>
      <w:fldChar w:fldCharType="begin"/>
    </w:r>
    <w:r>
      <w:instrText xml:space="preserve"> PAGE </w:instrText>
    </w:r>
    <w:r>
      <w:fldChar w:fldCharType="separate"/>
    </w:r>
    <w:r>
      <w:t>1</w:t>
    </w:r>
    <w:r>
      <w:fldChar w:fldCharType="end"/>
    </w:r>
    <w:r>
      <w:t xml:space="preserve"> -</w:t>
    </w:r>
  </w:p>
  <w:p w14:paraId="551C0357">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4C147">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- 2 -</w:t>
    </w:r>
    <w:r>
      <w:fldChar w:fldCharType="end"/>
    </w:r>
  </w:p>
  <w:p w14:paraId="72C3CB68">
    <w:pPr>
      <w:pStyle w:val="2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F742C">
    <w:pPr>
      <w:pStyle w:val="2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74094">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- 3 -</w:t>
    </w:r>
    <w:r>
      <w:fldChar w:fldCharType="end"/>
    </w:r>
  </w:p>
  <w:p w14:paraId="04D5E3DE">
    <w:pPr>
      <w:pStyle w:val="2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5719F">
    <w:pPr>
      <w:pStyle w:val="29"/>
      <w:jc w:val="center"/>
    </w:pPr>
    <w:r>
      <w:t xml:space="preserve">- </w:t>
    </w:r>
    <w:r>
      <w:fldChar w:fldCharType="begin"/>
    </w:r>
    <w:r>
      <w:instrText xml:space="preserve"> PAGE </w:instrText>
    </w:r>
    <w:r>
      <w:fldChar w:fldCharType="separate"/>
    </w:r>
    <w:r>
      <w:t>63</w:t>
    </w:r>
    <w:r>
      <w:fldChar w:fldCharType="end"/>
    </w:r>
    <w: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5FF54B">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264</w:t>
    </w:r>
    <w:r>
      <w:fldChar w:fldCharType="end"/>
    </w:r>
  </w:p>
  <w:p w14:paraId="23C633ED">
    <w:pPr>
      <w:pStyle w:val="2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246FE537">
      <w:pPr>
        <w:pStyle w:val="34"/>
        <w:ind w:firstLine="360" w:firstLineChars="200"/>
        <w:rPr>
          <w:rFonts w:ascii="Times New Roman" w:hAnsi="Times New Roman" w:cs="Times New Roman"/>
          <w:lang w:eastAsia="zh-CN"/>
        </w:rPr>
      </w:pPr>
      <w:r>
        <w:rPr>
          <w:rStyle w:val="55"/>
        </w:rPr>
        <w:footnoteRef/>
      </w:r>
      <w:r>
        <w:rPr>
          <w:rFonts w:ascii="Times New Roman" w:hAnsi="Times New Roman" w:cs="Times New Roman"/>
          <w:lang w:eastAsia="zh-CN"/>
        </w:rPr>
        <w:t>“</w:t>
      </w:r>
      <w:r>
        <w:rPr>
          <w:rFonts w:ascii="Times New Roman" w:cs="Times New Roman"/>
          <w:lang w:eastAsia="zh-CN"/>
        </w:rPr>
        <w:t>总价</w:t>
      </w:r>
      <w:r>
        <w:rPr>
          <w:rFonts w:ascii="Times New Roman" w:hAnsi="Times New Roman" w:cs="Times New Roman"/>
          <w:lang w:eastAsia="zh-CN"/>
        </w:rPr>
        <w:t>”</w:t>
      </w:r>
      <w:r>
        <w:rPr>
          <w:rFonts w:ascii="Times New Roman" w:cs="Times New Roman"/>
          <w:lang w:eastAsia="zh-CN"/>
        </w:rPr>
        <w:t>是指</w:t>
      </w:r>
      <w:r>
        <w:rPr>
          <w:rFonts w:ascii="Times New Roman" w:hAnsi="Times New Roman" w:cs="Times New Roman"/>
          <w:lang w:eastAsia="zh-CN"/>
        </w:rPr>
        <w:t>在工程量清单中以“项”或“总额”为计量单位、以总价计价的子目，一般用于不能按照约定的工程量计算规则确定数量的子目。总价子目一般按照分期、完成合同价的百分比或完成进度计划的形象进度节点等方式予以分解支付。总价子目的计量方法由发包人在专用合同条款12.3.1中明</w:t>
      </w:r>
      <w:r>
        <w:rPr>
          <w:rFonts w:ascii="Times New Roman" w:cs="Times New Roman"/>
          <w:lang w:eastAsia="zh-CN"/>
        </w:rPr>
        <w:t>确。</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6B371D">
    <w:pPr>
      <w:pStyle w:val="3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mirrorMargin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2"/>
  <w:displayVerticalDrawingGridEvery w:val="2"/>
  <w:noPunctuationKerning w:val="1"/>
  <w:characterSpacingControl w:val="compressPunctuation"/>
  <w:doNotValidateAgainstSchema/>
  <w:doNotDemarcateInvalidXml/>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45"/>
    <w:rsid w:val="00001A09"/>
    <w:rsid w:val="00001B1E"/>
    <w:rsid w:val="000027C8"/>
    <w:rsid w:val="0000285A"/>
    <w:rsid w:val="00002D86"/>
    <w:rsid w:val="00003A3F"/>
    <w:rsid w:val="00005443"/>
    <w:rsid w:val="00005E79"/>
    <w:rsid w:val="000067A3"/>
    <w:rsid w:val="00014531"/>
    <w:rsid w:val="00014DF1"/>
    <w:rsid w:val="00015333"/>
    <w:rsid w:val="00015C9C"/>
    <w:rsid w:val="0001647D"/>
    <w:rsid w:val="0001650A"/>
    <w:rsid w:val="000165A8"/>
    <w:rsid w:val="0001665A"/>
    <w:rsid w:val="00017F2D"/>
    <w:rsid w:val="00020EB1"/>
    <w:rsid w:val="00021228"/>
    <w:rsid w:val="000215EB"/>
    <w:rsid w:val="00022747"/>
    <w:rsid w:val="00022F4C"/>
    <w:rsid w:val="00023AD6"/>
    <w:rsid w:val="00023B7F"/>
    <w:rsid w:val="00024492"/>
    <w:rsid w:val="00025644"/>
    <w:rsid w:val="00025750"/>
    <w:rsid w:val="0002592F"/>
    <w:rsid w:val="00025DD0"/>
    <w:rsid w:val="0002735F"/>
    <w:rsid w:val="000301A4"/>
    <w:rsid w:val="000316FE"/>
    <w:rsid w:val="00031F42"/>
    <w:rsid w:val="00032255"/>
    <w:rsid w:val="0003256A"/>
    <w:rsid w:val="00032B15"/>
    <w:rsid w:val="00033076"/>
    <w:rsid w:val="00033847"/>
    <w:rsid w:val="000347EB"/>
    <w:rsid w:val="00034B81"/>
    <w:rsid w:val="00035320"/>
    <w:rsid w:val="0003558C"/>
    <w:rsid w:val="000355D8"/>
    <w:rsid w:val="00035E2F"/>
    <w:rsid w:val="000365B0"/>
    <w:rsid w:val="0003673D"/>
    <w:rsid w:val="00037549"/>
    <w:rsid w:val="00037672"/>
    <w:rsid w:val="000407E9"/>
    <w:rsid w:val="000415C5"/>
    <w:rsid w:val="000418B4"/>
    <w:rsid w:val="000426A8"/>
    <w:rsid w:val="000426EA"/>
    <w:rsid w:val="000434B1"/>
    <w:rsid w:val="000437CD"/>
    <w:rsid w:val="00044029"/>
    <w:rsid w:val="00046EAC"/>
    <w:rsid w:val="000477EA"/>
    <w:rsid w:val="00050329"/>
    <w:rsid w:val="00050A2B"/>
    <w:rsid w:val="00050F21"/>
    <w:rsid w:val="00053B37"/>
    <w:rsid w:val="00053DC4"/>
    <w:rsid w:val="00054784"/>
    <w:rsid w:val="00054C30"/>
    <w:rsid w:val="00054D78"/>
    <w:rsid w:val="00054F64"/>
    <w:rsid w:val="0005572F"/>
    <w:rsid w:val="00057103"/>
    <w:rsid w:val="000578DC"/>
    <w:rsid w:val="00057D13"/>
    <w:rsid w:val="00061927"/>
    <w:rsid w:val="00061B42"/>
    <w:rsid w:val="0006245E"/>
    <w:rsid w:val="00062D58"/>
    <w:rsid w:val="00063C01"/>
    <w:rsid w:val="000640B5"/>
    <w:rsid w:val="000654D9"/>
    <w:rsid w:val="00065C93"/>
    <w:rsid w:val="00065F0A"/>
    <w:rsid w:val="000677BF"/>
    <w:rsid w:val="00067885"/>
    <w:rsid w:val="00067E50"/>
    <w:rsid w:val="0007009B"/>
    <w:rsid w:val="000703E1"/>
    <w:rsid w:val="00070444"/>
    <w:rsid w:val="0007082A"/>
    <w:rsid w:val="00070DB4"/>
    <w:rsid w:val="00072AEF"/>
    <w:rsid w:val="00072C40"/>
    <w:rsid w:val="0007377C"/>
    <w:rsid w:val="00073E89"/>
    <w:rsid w:val="00074445"/>
    <w:rsid w:val="00074926"/>
    <w:rsid w:val="000753AE"/>
    <w:rsid w:val="0007662F"/>
    <w:rsid w:val="00077788"/>
    <w:rsid w:val="000777DB"/>
    <w:rsid w:val="00080479"/>
    <w:rsid w:val="00080C91"/>
    <w:rsid w:val="00081E58"/>
    <w:rsid w:val="00084056"/>
    <w:rsid w:val="00084085"/>
    <w:rsid w:val="000843AE"/>
    <w:rsid w:val="00084AD3"/>
    <w:rsid w:val="00085720"/>
    <w:rsid w:val="00085DDD"/>
    <w:rsid w:val="00086F23"/>
    <w:rsid w:val="000874F6"/>
    <w:rsid w:val="00090828"/>
    <w:rsid w:val="0009083C"/>
    <w:rsid w:val="00090A07"/>
    <w:rsid w:val="00090FA6"/>
    <w:rsid w:val="00090FD7"/>
    <w:rsid w:val="000925AC"/>
    <w:rsid w:val="000927A3"/>
    <w:rsid w:val="00092F8F"/>
    <w:rsid w:val="0009358F"/>
    <w:rsid w:val="00094007"/>
    <w:rsid w:val="00095189"/>
    <w:rsid w:val="0009559A"/>
    <w:rsid w:val="00095DEF"/>
    <w:rsid w:val="000967E2"/>
    <w:rsid w:val="00096C42"/>
    <w:rsid w:val="00097C86"/>
    <w:rsid w:val="000A0398"/>
    <w:rsid w:val="000A0D3C"/>
    <w:rsid w:val="000A2AF4"/>
    <w:rsid w:val="000A2CA5"/>
    <w:rsid w:val="000A3817"/>
    <w:rsid w:val="000A41FD"/>
    <w:rsid w:val="000A4A55"/>
    <w:rsid w:val="000A569B"/>
    <w:rsid w:val="000A7403"/>
    <w:rsid w:val="000A7D07"/>
    <w:rsid w:val="000B0A2E"/>
    <w:rsid w:val="000B0F51"/>
    <w:rsid w:val="000B1596"/>
    <w:rsid w:val="000B1B81"/>
    <w:rsid w:val="000B1DE8"/>
    <w:rsid w:val="000B283B"/>
    <w:rsid w:val="000B3303"/>
    <w:rsid w:val="000B3431"/>
    <w:rsid w:val="000B489F"/>
    <w:rsid w:val="000B4C5B"/>
    <w:rsid w:val="000B5039"/>
    <w:rsid w:val="000B55BE"/>
    <w:rsid w:val="000B5C3A"/>
    <w:rsid w:val="000B5E88"/>
    <w:rsid w:val="000B6027"/>
    <w:rsid w:val="000B6648"/>
    <w:rsid w:val="000B786B"/>
    <w:rsid w:val="000C079C"/>
    <w:rsid w:val="000C0EE5"/>
    <w:rsid w:val="000C13A1"/>
    <w:rsid w:val="000C260D"/>
    <w:rsid w:val="000C30AC"/>
    <w:rsid w:val="000C4579"/>
    <w:rsid w:val="000C463E"/>
    <w:rsid w:val="000C4E06"/>
    <w:rsid w:val="000C5056"/>
    <w:rsid w:val="000C52AB"/>
    <w:rsid w:val="000C5AA2"/>
    <w:rsid w:val="000C5C93"/>
    <w:rsid w:val="000C5D12"/>
    <w:rsid w:val="000C6F15"/>
    <w:rsid w:val="000C6F2A"/>
    <w:rsid w:val="000D1F8D"/>
    <w:rsid w:val="000D21F1"/>
    <w:rsid w:val="000D252E"/>
    <w:rsid w:val="000D2ED1"/>
    <w:rsid w:val="000D3548"/>
    <w:rsid w:val="000D3551"/>
    <w:rsid w:val="000D35B5"/>
    <w:rsid w:val="000D42D0"/>
    <w:rsid w:val="000D5211"/>
    <w:rsid w:val="000D5B51"/>
    <w:rsid w:val="000D65FC"/>
    <w:rsid w:val="000D6B45"/>
    <w:rsid w:val="000D6FB3"/>
    <w:rsid w:val="000D7254"/>
    <w:rsid w:val="000D753D"/>
    <w:rsid w:val="000D76E1"/>
    <w:rsid w:val="000D7823"/>
    <w:rsid w:val="000E0DB3"/>
    <w:rsid w:val="000E10A5"/>
    <w:rsid w:val="000E1407"/>
    <w:rsid w:val="000E1A63"/>
    <w:rsid w:val="000E33CF"/>
    <w:rsid w:val="000E4C3D"/>
    <w:rsid w:val="000E6849"/>
    <w:rsid w:val="000E72B9"/>
    <w:rsid w:val="000F05AB"/>
    <w:rsid w:val="000F091D"/>
    <w:rsid w:val="000F1B68"/>
    <w:rsid w:val="000F2179"/>
    <w:rsid w:val="000F278B"/>
    <w:rsid w:val="000F2955"/>
    <w:rsid w:val="000F2C67"/>
    <w:rsid w:val="000F40C0"/>
    <w:rsid w:val="000F45C8"/>
    <w:rsid w:val="000F4BBE"/>
    <w:rsid w:val="000F50C6"/>
    <w:rsid w:val="000F51EA"/>
    <w:rsid w:val="000F5AD4"/>
    <w:rsid w:val="000F7CF5"/>
    <w:rsid w:val="00100471"/>
    <w:rsid w:val="001019D6"/>
    <w:rsid w:val="00101E5F"/>
    <w:rsid w:val="001025D9"/>
    <w:rsid w:val="00102EBB"/>
    <w:rsid w:val="00104353"/>
    <w:rsid w:val="00105F22"/>
    <w:rsid w:val="001062D4"/>
    <w:rsid w:val="00106436"/>
    <w:rsid w:val="001066B1"/>
    <w:rsid w:val="00107DA6"/>
    <w:rsid w:val="001108D6"/>
    <w:rsid w:val="001109ED"/>
    <w:rsid w:val="00111268"/>
    <w:rsid w:val="00111C02"/>
    <w:rsid w:val="00111FF3"/>
    <w:rsid w:val="001128C3"/>
    <w:rsid w:val="00112A83"/>
    <w:rsid w:val="00113E49"/>
    <w:rsid w:val="00113E95"/>
    <w:rsid w:val="00114A01"/>
    <w:rsid w:val="00114CF3"/>
    <w:rsid w:val="00115CA3"/>
    <w:rsid w:val="00116F55"/>
    <w:rsid w:val="00116F93"/>
    <w:rsid w:val="00117445"/>
    <w:rsid w:val="00117B2C"/>
    <w:rsid w:val="0012046B"/>
    <w:rsid w:val="001209B5"/>
    <w:rsid w:val="00120E02"/>
    <w:rsid w:val="001214C7"/>
    <w:rsid w:val="00121F6B"/>
    <w:rsid w:val="00122362"/>
    <w:rsid w:val="0012259E"/>
    <w:rsid w:val="001228C8"/>
    <w:rsid w:val="00122C0D"/>
    <w:rsid w:val="00122D4D"/>
    <w:rsid w:val="0012481C"/>
    <w:rsid w:val="001269FF"/>
    <w:rsid w:val="001303A1"/>
    <w:rsid w:val="001303B7"/>
    <w:rsid w:val="00131D1B"/>
    <w:rsid w:val="00132B99"/>
    <w:rsid w:val="00132BF1"/>
    <w:rsid w:val="001330BB"/>
    <w:rsid w:val="001339C6"/>
    <w:rsid w:val="00134327"/>
    <w:rsid w:val="001347A9"/>
    <w:rsid w:val="00135872"/>
    <w:rsid w:val="00136173"/>
    <w:rsid w:val="00136D1E"/>
    <w:rsid w:val="001377F8"/>
    <w:rsid w:val="00137F99"/>
    <w:rsid w:val="0014084B"/>
    <w:rsid w:val="001440F2"/>
    <w:rsid w:val="00145318"/>
    <w:rsid w:val="001455A1"/>
    <w:rsid w:val="00145AE6"/>
    <w:rsid w:val="00145F46"/>
    <w:rsid w:val="001460D9"/>
    <w:rsid w:val="001466BF"/>
    <w:rsid w:val="00146976"/>
    <w:rsid w:val="00146C44"/>
    <w:rsid w:val="001477E7"/>
    <w:rsid w:val="00147FD9"/>
    <w:rsid w:val="00150025"/>
    <w:rsid w:val="00150964"/>
    <w:rsid w:val="00150A27"/>
    <w:rsid w:val="00150F2A"/>
    <w:rsid w:val="00152078"/>
    <w:rsid w:val="00154963"/>
    <w:rsid w:val="0015596B"/>
    <w:rsid w:val="00155D1F"/>
    <w:rsid w:val="001561B1"/>
    <w:rsid w:val="00157A5C"/>
    <w:rsid w:val="001600A3"/>
    <w:rsid w:val="0016132F"/>
    <w:rsid w:val="0016174D"/>
    <w:rsid w:val="00162B36"/>
    <w:rsid w:val="0016317C"/>
    <w:rsid w:val="00164DCB"/>
    <w:rsid w:val="00165642"/>
    <w:rsid w:val="00165B64"/>
    <w:rsid w:val="00165D82"/>
    <w:rsid w:val="00166C40"/>
    <w:rsid w:val="00166F24"/>
    <w:rsid w:val="00167BBE"/>
    <w:rsid w:val="00171489"/>
    <w:rsid w:val="001721A5"/>
    <w:rsid w:val="0017293A"/>
    <w:rsid w:val="00172DEA"/>
    <w:rsid w:val="00172F37"/>
    <w:rsid w:val="00174134"/>
    <w:rsid w:val="001745A8"/>
    <w:rsid w:val="00175461"/>
    <w:rsid w:val="00176A64"/>
    <w:rsid w:val="00176B11"/>
    <w:rsid w:val="00176C6C"/>
    <w:rsid w:val="00177E29"/>
    <w:rsid w:val="00177F0D"/>
    <w:rsid w:val="00177F8E"/>
    <w:rsid w:val="001806AD"/>
    <w:rsid w:val="00181796"/>
    <w:rsid w:val="001818BD"/>
    <w:rsid w:val="0018204B"/>
    <w:rsid w:val="00182F9F"/>
    <w:rsid w:val="00184528"/>
    <w:rsid w:val="00184AF6"/>
    <w:rsid w:val="001862DC"/>
    <w:rsid w:val="00186401"/>
    <w:rsid w:val="00186442"/>
    <w:rsid w:val="001866A1"/>
    <w:rsid w:val="001923EA"/>
    <w:rsid w:val="00192735"/>
    <w:rsid w:val="00192FBA"/>
    <w:rsid w:val="00193696"/>
    <w:rsid w:val="00193EC6"/>
    <w:rsid w:val="0019411E"/>
    <w:rsid w:val="001947FB"/>
    <w:rsid w:val="00195720"/>
    <w:rsid w:val="001958B9"/>
    <w:rsid w:val="00196CDD"/>
    <w:rsid w:val="001975C9"/>
    <w:rsid w:val="001A065E"/>
    <w:rsid w:val="001A189F"/>
    <w:rsid w:val="001A293D"/>
    <w:rsid w:val="001A2A77"/>
    <w:rsid w:val="001A3908"/>
    <w:rsid w:val="001A3A5A"/>
    <w:rsid w:val="001A4457"/>
    <w:rsid w:val="001A5133"/>
    <w:rsid w:val="001A6DCB"/>
    <w:rsid w:val="001A773A"/>
    <w:rsid w:val="001A77C4"/>
    <w:rsid w:val="001A7BE0"/>
    <w:rsid w:val="001B15C6"/>
    <w:rsid w:val="001B17D1"/>
    <w:rsid w:val="001B229E"/>
    <w:rsid w:val="001B2B2F"/>
    <w:rsid w:val="001B2DEF"/>
    <w:rsid w:val="001B412E"/>
    <w:rsid w:val="001B4136"/>
    <w:rsid w:val="001B45EF"/>
    <w:rsid w:val="001B48E0"/>
    <w:rsid w:val="001B4D7D"/>
    <w:rsid w:val="001B5125"/>
    <w:rsid w:val="001B5B97"/>
    <w:rsid w:val="001B6AA4"/>
    <w:rsid w:val="001C023F"/>
    <w:rsid w:val="001C02D5"/>
    <w:rsid w:val="001C0500"/>
    <w:rsid w:val="001C059B"/>
    <w:rsid w:val="001C0B84"/>
    <w:rsid w:val="001C1192"/>
    <w:rsid w:val="001C1E56"/>
    <w:rsid w:val="001C28B3"/>
    <w:rsid w:val="001C2CF6"/>
    <w:rsid w:val="001C4064"/>
    <w:rsid w:val="001C49F4"/>
    <w:rsid w:val="001C71D7"/>
    <w:rsid w:val="001D0F66"/>
    <w:rsid w:val="001D125F"/>
    <w:rsid w:val="001D16DA"/>
    <w:rsid w:val="001D17FB"/>
    <w:rsid w:val="001D2271"/>
    <w:rsid w:val="001D23D8"/>
    <w:rsid w:val="001D251C"/>
    <w:rsid w:val="001D3B3D"/>
    <w:rsid w:val="001D42FF"/>
    <w:rsid w:val="001D4381"/>
    <w:rsid w:val="001D47CF"/>
    <w:rsid w:val="001D4A3E"/>
    <w:rsid w:val="001D4B38"/>
    <w:rsid w:val="001D6225"/>
    <w:rsid w:val="001D6439"/>
    <w:rsid w:val="001D6D8C"/>
    <w:rsid w:val="001D7E9C"/>
    <w:rsid w:val="001E054D"/>
    <w:rsid w:val="001E0FAD"/>
    <w:rsid w:val="001E1308"/>
    <w:rsid w:val="001E1520"/>
    <w:rsid w:val="001E19DD"/>
    <w:rsid w:val="001E19F9"/>
    <w:rsid w:val="001E2C16"/>
    <w:rsid w:val="001E394D"/>
    <w:rsid w:val="001E39AA"/>
    <w:rsid w:val="001E3AAF"/>
    <w:rsid w:val="001E3D84"/>
    <w:rsid w:val="001E4F0E"/>
    <w:rsid w:val="001E594C"/>
    <w:rsid w:val="001E6BFA"/>
    <w:rsid w:val="001E6F59"/>
    <w:rsid w:val="001F07E9"/>
    <w:rsid w:val="001F0D0C"/>
    <w:rsid w:val="001F11F5"/>
    <w:rsid w:val="001F12EE"/>
    <w:rsid w:val="001F24B9"/>
    <w:rsid w:val="001F31AC"/>
    <w:rsid w:val="001F3815"/>
    <w:rsid w:val="001F3DB0"/>
    <w:rsid w:val="001F3E77"/>
    <w:rsid w:val="001F57A7"/>
    <w:rsid w:val="001F5A67"/>
    <w:rsid w:val="001F6B1B"/>
    <w:rsid w:val="001F7FF6"/>
    <w:rsid w:val="00200EBF"/>
    <w:rsid w:val="00204651"/>
    <w:rsid w:val="00204D75"/>
    <w:rsid w:val="002050D7"/>
    <w:rsid w:val="002051B0"/>
    <w:rsid w:val="00205225"/>
    <w:rsid w:val="00205413"/>
    <w:rsid w:val="00205AEF"/>
    <w:rsid w:val="00205D72"/>
    <w:rsid w:val="0020686F"/>
    <w:rsid w:val="002076AA"/>
    <w:rsid w:val="0021027A"/>
    <w:rsid w:val="00212A14"/>
    <w:rsid w:val="00214D7A"/>
    <w:rsid w:val="00214D88"/>
    <w:rsid w:val="00215286"/>
    <w:rsid w:val="00215906"/>
    <w:rsid w:val="002159C6"/>
    <w:rsid w:val="00215A2A"/>
    <w:rsid w:val="00215CE0"/>
    <w:rsid w:val="00215DA1"/>
    <w:rsid w:val="00216156"/>
    <w:rsid w:val="0021687E"/>
    <w:rsid w:val="002168E9"/>
    <w:rsid w:val="0021733C"/>
    <w:rsid w:val="002207FA"/>
    <w:rsid w:val="00221627"/>
    <w:rsid w:val="00221E51"/>
    <w:rsid w:val="00221F8E"/>
    <w:rsid w:val="00221FE1"/>
    <w:rsid w:val="002220C5"/>
    <w:rsid w:val="00222689"/>
    <w:rsid w:val="00223852"/>
    <w:rsid w:val="00223ADA"/>
    <w:rsid w:val="002245B9"/>
    <w:rsid w:val="00224A21"/>
    <w:rsid w:val="00225099"/>
    <w:rsid w:val="002250CA"/>
    <w:rsid w:val="0022607A"/>
    <w:rsid w:val="00226152"/>
    <w:rsid w:val="00226456"/>
    <w:rsid w:val="002264D0"/>
    <w:rsid w:val="002270BE"/>
    <w:rsid w:val="00232211"/>
    <w:rsid w:val="002329B7"/>
    <w:rsid w:val="00232AD2"/>
    <w:rsid w:val="002330FC"/>
    <w:rsid w:val="002343A7"/>
    <w:rsid w:val="0023462F"/>
    <w:rsid w:val="00234BF0"/>
    <w:rsid w:val="00235CE8"/>
    <w:rsid w:val="002369E6"/>
    <w:rsid w:val="00237DCC"/>
    <w:rsid w:val="00237DD3"/>
    <w:rsid w:val="00237F17"/>
    <w:rsid w:val="0024052C"/>
    <w:rsid w:val="002410BB"/>
    <w:rsid w:val="0024122A"/>
    <w:rsid w:val="00241889"/>
    <w:rsid w:val="00243253"/>
    <w:rsid w:val="002432CD"/>
    <w:rsid w:val="002476F0"/>
    <w:rsid w:val="00247DA6"/>
    <w:rsid w:val="00251F81"/>
    <w:rsid w:val="0025253B"/>
    <w:rsid w:val="002526AC"/>
    <w:rsid w:val="00252997"/>
    <w:rsid w:val="002534E3"/>
    <w:rsid w:val="00253DE9"/>
    <w:rsid w:val="00254512"/>
    <w:rsid w:val="00254725"/>
    <w:rsid w:val="002555DD"/>
    <w:rsid w:val="002555E1"/>
    <w:rsid w:val="00255C94"/>
    <w:rsid w:val="00257031"/>
    <w:rsid w:val="00257CB4"/>
    <w:rsid w:val="002603C8"/>
    <w:rsid w:val="0026138C"/>
    <w:rsid w:val="00262012"/>
    <w:rsid w:val="00263DE8"/>
    <w:rsid w:val="0026466E"/>
    <w:rsid w:val="00264D7B"/>
    <w:rsid w:val="00264EBF"/>
    <w:rsid w:val="00265DD9"/>
    <w:rsid w:val="002667EA"/>
    <w:rsid w:val="00266C56"/>
    <w:rsid w:val="00267A99"/>
    <w:rsid w:val="002702C1"/>
    <w:rsid w:val="0027264B"/>
    <w:rsid w:val="002736CE"/>
    <w:rsid w:val="002742E2"/>
    <w:rsid w:val="00274CFD"/>
    <w:rsid w:val="00274ED6"/>
    <w:rsid w:val="002752C6"/>
    <w:rsid w:val="002755EF"/>
    <w:rsid w:val="0027586B"/>
    <w:rsid w:val="00276BC6"/>
    <w:rsid w:val="00276C59"/>
    <w:rsid w:val="0027792D"/>
    <w:rsid w:val="00281357"/>
    <w:rsid w:val="00282A25"/>
    <w:rsid w:val="00282F72"/>
    <w:rsid w:val="002830A8"/>
    <w:rsid w:val="00283515"/>
    <w:rsid w:val="00283721"/>
    <w:rsid w:val="00283BAD"/>
    <w:rsid w:val="0028466A"/>
    <w:rsid w:val="002846E8"/>
    <w:rsid w:val="002849BD"/>
    <w:rsid w:val="00284F98"/>
    <w:rsid w:val="0028561D"/>
    <w:rsid w:val="00285FF7"/>
    <w:rsid w:val="002860F1"/>
    <w:rsid w:val="002907E7"/>
    <w:rsid w:val="00291148"/>
    <w:rsid w:val="00292278"/>
    <w:rsid w:val="00295263"/>
    <w:rsid w:val="0029555F"/>
    <w:rsid w:val="00295590"/>
    <w:rsid w:val="0029631A"/>
    <w:rsid w:val="00297BEE"/>
    <w:rsid w:val="002A05DC"/>
    <w:rsid w:val="002A0F20"/>
    <w:rsid w:val="002A104F"/>
    <w:rsid w:val="002A13A2"/>
    <w:rsid w:val="002A3274"/>
    <w:rsid w:val="002A32D9"/>
    <w:rsid w:val="002A3CF1"/>
    <w:rsid w:val="002A59B9"/>
    <w:rsid w:val="002A5E8D"/>
    <w:rsid w:val="002A68CD"/>
    <w:rsid w:val="002B13CB"/>
    <w:rsid w:val="002B14EA"/>
    <w:rsid w:val="002B1854"/>
    <w:rsid w:val="002B1A51"/>
    <w:rsid w:val="002B2AE1"/>
    <w:rsid w:val="002B3159"/>
    <w:rsid w:val="002B3A8F"/>
    <w:rsid w:val="002B3E1F"/>
    <w:rsid w:val="002B4646"/>
    <w:rsid w:val="002B5324"/>
    <w:rsid w:val="002B5C76"/>
    <w:rsid w:val="002B5C91"/>
    <w:rsid w:val="002B5F4B"/>
    <w:rsid w:val="002B6603"/>
    <w:rsid w:val="002B6F5F"/>
    <w:rsid w:val="002C0828"/>
    <w:rsid w:val="002C124B"/>
    <w:rsid w:val="002C1A0B"/>
    <w:rsid w:val="002C33AF"/>
    <w:rsid w:val="002C370D"/>
    <w:rsid w:val="002C3B75"/>
    <w:rsid w:val="002C450A"/>
    <w:rsid w:val="002C47E9"/>
    <w:rsid w:val="002C4E26"/>
    <w:rsid w:val="002C4E6C"/>
    <w:rsid w:val="002C5092"/>
    <w:rsid w:val="002C54BF"/>
    <w:rsid w:val="002C5519"/>
    <w:rsid w:val="002C59CD"/>
    <w:rsid w:val="002C67E5"/>
    <w:rsid w:val="002C6D0D"/>
    <w:rsid w:val="002C6F5D"/>
    <w:rsid w:val="002D0639"/>
    <w:rsid w:val="002D08F4"/>
    <w:rsid w:val="002D097F"/>
    <w:rsid w:val="002D0D0C"/>
    <w:rsid w:val="002D1258"/>
    <w:rsid w:val="002D13E8"/>
    <w:rsid w:val="002D2807"/>
    <w:rsid w:val="002D2D97"/>
    <w:rsid w:val="002D3BDF"/>
    <w:rsid w:val="002D426C"/>
    <w:rsid w:val="002D4721"/>
    <w:rsid w:val="002D472F"/>
    <w:rsid w:val="002D4803"/>
    <w:rsid w:val="002D6CDA"/>
    <w:rsid w:val="002D6EFD"/>
    <w:rsid w:val="002E0D86"/>
    <w:rsid w:val="002E16AE"/>
    <w:rsid w:val="002E1795"/>
    <w:rsid w:val="002E1871"/>
    <w:rsid w:val="002E1A25"/>
    <w:rsid w:val="002E1C38"/>
    <w:rsid w:val="002E3521"/>
    <w:rsid w:val="002E37F4"/>
    <w:rsid w:val="002E43A5"/>
    <w:rsid w:val="002E5665"/>
    <w:rsid w:val="002E7318"/>
    <w:rsid w:val="002E7617"/>
    <w:rsid w:val="002E7C56"/>
    <w:rsid w:val="002E7D8E"/>
    <w:rsid w:val="002F0408"/>
    <w:rsid w:val="002F06FF"/>
    <w:rsid w:val="002F210E"/>
    <w:rsid w:val="002F27B6"/>
    <w:rsid w:val="002F2B50"/>
    <w:rsid w:val="002F3CDE"/>
    <w:rsid w:val="002F405F"/>
    <w:rsid w:val="002F491B"/>
    <w:rsid w:val="002F4953"/>
    <w:rsid w:val="002F4ACB"/>
    <w:rsid w:val="002F7430"/>
    <w:rsid w:val="002F777B"/>
    <w:rsid w:val="00300191"/>
    <w:rsid w:val="00300414"/>
    <w:rsid w:val="00300578"/>
    <w:rsid w:val="00300AAF"/>
    <w:rsid w:val="00300F8D"/>
    <w:rsid w:val="00304FC4"/>
    <w:rsid w:val="003059F4"/>
    <w:rsid w:val="0030689E"/>
    <w:rsid w:val="003068D7"/>
    <w:rsid w:val="003071B2"/>
    <w:rsid w:val="00307599"/>
    <w:rsid w:val="003075B8"/>
    <w:rsid w:val="00310399"/>
    <w:rsid w:val="00310D8D"/>
    <w:rsid w:val="0031445A"/>
    <w:rsid w:val="003149F6"/>
    <w:rsid w:val="00315977"/>
    <w:rsid w:val="00316368"/>
    <w:rsid w:val="003174B4"/>
    <w:rsid w:val="0032047A"/>
    <w:rsid w:val="00320939"/>
    <w:rsid w:val="00320F9D"/>
    <w:rsid w:val="00321B76"/>
    <w:rsid w:val="00321BBE"/>
    <w:rsid w:val="00323813"/>
    <w:rsid w:val="00325077"/>
    <w:rsid w:val="0032515F"/>
    <w:rsid w:val="003253BE"/>
    <w:rsid w:val="00325C89"/>
    <w:rsid w:val="0032679D"/>
    <w:rsid w:val="00326D1D"/>
    <w:rsid w:val="00327D78"/>
    <w:rsid w:val="00327D80"/>
    <w:rsid w:val="00327DF9"/>
    <w:rsid w:val="00327E48"/>
    <w:rsid w:val="003302F7"/>
    <w:rsid w:val="00332437"/>
    <w:rsid w:val="00332A1C"/>
    <w:rsid w:val="00332A90"/>
    <w:rsid w:val="00332AB7"/>
    <w:rsid w:val="00332B68"/>
    <w:rsid w:val="00333E90"/>
    <w:rsid w:val="00334C69"/>
    <w:rsid w:val="00334E81"/>
    <w:rsid w:val="00335E6A"/>
    <w:rsid w:val="00337322"/>
    <w:rsid w:val="00340CDE"/>
    <w:rsid w:val="0034133E"/>
    <w:rsid w:val="003415A1"/>
    <w:rsid w:val="00342048"/>
    <w:rsid w:val="00342994"/>
    <w:rsid w:val="00342F54"/>
    <w:rsid w:val="00343735"/>
    <w:rsid w:val="00343F87"/>
    <w:rsid w:val="00345DCC"/>
    <w:rsid w:val="00346101"/>
    <w:rsid w:val="00346CAB"/>
    <w:rsid w:val="00347C24"/>
    <w:rsid w:val="00347EB1"/>
    <w:rsid w:val="003508F6"/>
    <w:rsid w:val="00351DDB"/>
    <w:rsid w:val="00351FF3"/>
    <w:rsid w:val="00352B90"/>
    <w:rsid w:val="00353231"/>
    <w:rsid w:val="00353F39"/>
    <w:rsid w:val="00354D6E"/>
    <w:rsid w:val="0035514C"/>
    <w:rsid w:val="00356084"/>
    <w:rsid w:val="003568C0"/>
    <w:rsid w:val="00356E07"/>
    <w:rsid w:val="0036056A"/>
    <w:rsid w:val="003642D2"/>
    <w:rsid w:val="0036450C"/>
    <w:rsid w:val="00364574"/>
    <w:rsid w:val="0036468B"/>
    <w:rsid w:val="0036546D"/>
    <w:rsid w:val="003664C3"/>
    <w:rsid w:val="003675A1"/>
    <w:rsid w:val="0036773D"/>
    <w:rsid w:val="00367FEB"/>
    <w:rsid w:val="003711C1"/>
    <w:rsid w:val="00371BC3"/>
    <w:rsid w:val="00371CBE"/>
    <w:rsid w:val="00372C24"/>
    <w:rsid w:val="00372C38"/>
    <w:rsid w:val="00372C9E"/>
    <w:rsid w:val="0037332F"/>
    <w:rsid w:val="00373AD4"/>
    <w:rsid w:val="0037428F"/>
    <w:rsid w:val="00374539"/>
    <w:rsid w:val="003747BD"/>
    <w:rsid w:val="00374DD5"/>
    <w:rsid w:val="0037591D"/>
    <w:rsid w:val="00376E05"/>
    <w:rsid w:val="0037720A"/>
    <w:rsid w:val="003774FC"/>
    <w:rsid w:val="00377F5B"/>
    <w:rsid w:val="0038006D"/>
    <w:rsid w:val="00381EB9"/>
    <w:rsid w:val="0038206D"/>
    <w:rsid w:val="00383A81"/>
    <w:rsid w:val="00383D6A"/>
    <w:rsid w:val="00384693"/>
    <w:rsid w:val="00385DC1"/>
    <w:rsid w:val="00385F02"/>
    <w:rsid w:val="0038641A"/>
    <w:rsid w:val="00386DED"/>
    <w:rsid w:val="0038719C"/>
    <w:rsid w:val="00390E97"/>
    <w:rsid w:val="003924AE"/>
    <w:rsid w:val="00392E76"/>
    <w:rsid w:val="00393BF6"/>
    <w:rsid w:val="00393F1C"/>
    <w:rsid w:val="00393F6E"/>
    <w:rsid w:val="00394276"/>
    <w:rsid w:val="00394BA4"/>
    <w:rsid w:val="0039597A"/>
    <w:rsid w:val="0039697D"/>
    <w:rsid w:val="00396DAE"/>
    <w:rsid w:val="0039750E"/>
    <w:rsid w:val="00397618"/>
    <w:rsid w:val="00397731"/>
    <w:rsid w:val="00397EA7"/>
    <w:rsid w:val="003A1350"/>
    <w:rsid w:val="003A17CE"/>
    <w:rsid w:val="003A1920"/>
    <w:rsid w:val="003A1A61"/>
    <w:rsid w:val="003A2C3E"/>
    <w:rsid w:val="003A2D49"/>
    <w:rsid w:val="003A3487"/>
    <w:rsid w:val="003A5228"/>
    <w:rsid w:val="003A583A"/>
    <w:rsid w:val="003A591A"/>
    <w:rsid w:val="003A5F2B"/>
    <w:rsid w:val="003A722D"/>
    <w:rsid w:val="003B01FB"/>
    <w:rsid w:val="003B0557"/>
    <w:rsid w:val="003B0E02"/>
    <w:rsid w:val="003B0FDA"/>
    <w:rsid w:val="003B1656"/>
    <w:rsid w:val="003B231B"/>
    <w:rsid w:val="003B3157"/>
    <w:rsid w:val="003B3FC0"/>
    <w:rsid w:val="003B4786"/>
    <w:rsid w:val="003B56E2"/>
    <w:rsid w:val="003B5926"/>
    <w:rsid w:val="003B602A"/>
    <w:rsid w:val="003B71D0"/>
    <w:rsid w:val="003B7450"/>
    <w:rsid w:val="003C2C74"/>
    <w:rsid w:val="003C3055"/>
    <w:rsid w:val="003C3EAC"/>
    <w:rsid w:val="003C4015"/>
    <w:rsid w:val="003C45E6"/>
    <w:rsid w:val="003C4A67"/>
    <w:rsid w:val="003C568C"/>
    <w:rsid w:val="003C56E9"/>
    <w:rsid w:val="003C63A8"/>
    <w:rsid w:val="003C6725"/>
    <w:rsid w:val="003C6F78"/>
    <w:rsid w:val="003C703E"/>
    <w:rsid w:val="003C7107"/>
    <w:rsid w:val="003D0D2D"/>
    <w:rsid w:val="003D16A1"/>
    <w:rsid w:val="003D16F1"/>
    <w:rsid w:val="003D1778"/>
    <w:rsid w:val="003D1B5E"/>
    <w:rsid w:val="003D28A5"/>
    <w:rsid w:val="003D30C9"/>
    <w:rsid w:val="003D472B"/>
    <w:rsid w:val="003D4F91"/>
    <w:rsid w:val="003D5092"/>
    <w:rsid w:val="003D6240"/>
    <w:rsid w:val="003D7A99"/>
    <w:rsid w:val="003D7D65"/>
    <w:rsid w:val="003E007A"/>
    <w:rsid w:val="003E09C9"/>
    <w:rsid w:val="003E0CFA"/>
    <w:rsid w:val="003E0D77"/>
    <w:rsid w:val="003E0DA2"/>
    <w:rsid w:val="003E11B1"/>
    <w:rsid w:val="003E11D8"/>
    <w:rsid w:val="003E1873"/>
    <w:rsid w:val="003E25CD"/>
    <w:rsid w:val="003E25DA"/>
    <w:rsid w:val="003E2BDE"/>
    <w:rsid w:val="003E2F13"/>
    <w:rsid w:val="003E3005"/>
    <w:rsid w:val="003E3092"/>
    <w:rsid w:val="003E386C"/>
    <w:rsid w:val="003E44BC"/>
    <w:rsid w:val="003E509B"/>
    <w:rsid w:val="003E60A8"/>
    <w:rsid w:val="003E6141"/>
    <w:rsid w:val="003E620D"/>
    <w:rsid w:val="003E6F86"/>
    <w:rsid w:val="003F111F"/>
    <w:rsid w:val="003F1441"/>
    <w:rsid w:val="003F1A7F"/>
    <w:rsid w:val="003F330F"/>
    <w:rsid w:val="003F36C9"/>
    <w:rsid w:val="003F43BB"/>
    <w:rsid w:val="003F441E"/>
    <w:rsid w:val="003F4A7C"/>
    <w:rsid w:val="003F5144"/>
    <w:rsid w:val="003F584D"/>
    <w:rsid w:val="003F5DC0"/>
    <w:rsid w:val="003F73B2"/>
    <w:rsid w:val="00400538"/>
    <w:rsid w:val="0040067C"/>
    <w:rsid w:val="004012CF"/>
    <w:rsid w:val="0040177F"/>
    <w:rsid w:val="00401801"/>
    <w:rsid w:val="00402034"/>
    <w:rsid w:val="00402AC1"/>
    <w:rsid w:val="00402FB4"/>
    <w:rsid w:val="004032FE"/>
    <w:rsid w:val="00403576"/>
    <w:rsid w:val="00403A5F"/>
    <w:rsid w:val="00404A4F"/>
    <w:rsid w:val="00405414"/>
    <w:rsid w:val="004058F1"/>
    <w:rsid w:val="00405B47"/>
    <w:rsid w:val="00406172"/>
    <w:rsid w:val="004061C3"/>
    <w:rsid w:val="0040716B"/>
    <w:rsid w:val="00407301"/>
    <w:rsid w:val="00407985"/>
    <w:rsid w:val="00410BE9"/>
    <w:rsid w:val="004117D4"/>
    <w:rsid w:val="00411C6C"/>
    <w:rsid w:val="004133BA"/>
    <w:rsid w:val="00413638"/>
    <w:rsid w:val="00413B4D"/>
    <w:rsid w:val="00413ED4"/>
    <w:rsid w:val="00414B0A"/>
    <w:rsid w:val="00414B6F"/>
    <w:rsid w:val="00414DD6"/>
    <w:rsid w:val="004159EE"/>
    <w:rsid w:val="0041663C"/>
    <w:rsid w:val="00417D6B"/>
    <w:rsid w:val="00422EB1"/>
    <w:rsid w:val="00422F2E"/>
    <w:rsid w:val="0042336B"/>
    <w:rsid w:val="004237E6"/>
    <w:rsid w:val="00424573"/>
    <w:rsid w:val="00425258"/>
    <w:rsid w:val="0042547A"/>
    <w:rsid w:val="0042551A"/>
    <w:rsid w:val="00425FAD"/>
    <w:rsid w:val="00426C16"/>
    <w:rsid w:val="00426CCD"/>
    <w:rsid w:val="00426F2C"/>
    <w:rsid w:val="00426F58"/>
    <w:rsid w:val="0042720C"/>
    <w:rsid w:val="004307C5"/>
    <w:rsid w:val="00430AD8"/>
    <w:rsid w:val="00430E04"/>
    <w:rsid w:val="00433728"/>
    <w:rsid w:val="004338FB"/>
    <w:rsid w:val="00433CB6"/>
    <w:rsid w:val="00434569"/>
    <w:rsid w:val="00434775"/>
    <w:rsid w:val="00436264"/>
    <w:rsid w:val="0043688D"/>
    <w:rsid w:val="0044016F"/>
    <w:rsid w:val="004403BC"/>
    <w:rsid w:val="00440C8E"/>
    <w:rsid w:val="004411B0"/>
    <w:rsid w:val="0044183D"/>
    <w:rsid w:val="00441862"/>
    <w:rsid w:val="004422F3"/>
    <w:rsid w:val="004424D6"/>
    <w:rsid w:val="004426D5"/>
    <w:rsid w:val="00442B64"/>
    <w:rsid w:val="00443AA8"/>
    <w:rsid w:val="00444AFB"/>
    <w:rsid w:val="00444F38"/>
    <w:rsid w:val="00445781"/>
    <w:rsid w:val="004468EF"/>
    <w:rsid w:val="00446F78"/>
    <w:rsid w:val="00450535"/>
    <w:rsid w:val="00450551"/>
    <w:rsid w:val="00450E73"/>
    <w:rsid w:val="00451333"/>
    <w:rsid w:val="00451AD8"/>
    <w:rsid w:val="00452BA8"/>
    <w:rsid w:val="00452C04"/>
    <w:rsid w:val="00452C3B"/>
    <w:rsid w:val="00453AEE"/>
    <w:rsid w:val="0045516B"/>
    <w:rsid w:val="00455783"/>
    <w:rsid w:val="00455C4E"/>
    <w:rsid w:val="00456C7D"/>
    <w:rsid w:val="00457C26"/>
    <w:rsid w:val="004607DA"/>
    <w:rsid w:val="00460A63"/>
    <w:rsid w:val="004611AB"/>
    <w:rsid w:val="00461886"/>
    <w:rsid w:val="004628A4"/>
    <w:rsid w:val="00462A0F"/>
    <w:rsid w:val="004645C9"/>
    <w:rsid w:val="00464BDB"/>
    <w:rsid w:val="00464FEE"/>
    <w:rsid w:val="004657E9"/>
    <w:rsid w:val="00465B8F"/>
    <w:rsid w:val="00465BC5"/>
    <w:rsid w:val="00467813"/>
    <w:rsid w:val="004704EB"/>
    <w:rsid w:val="00470B02"/>
    <w:rsid w:val="00470D29"/>
    <w:rsid w:val="004738CC"/>
    <w:rsid w:val="00473922"/>
    <w:rsid w:val="00473BE0"/>
    <w:rsid w:val="004742F2"/>
    <w:rsid w:val="004749A9"/>
    <w:rsid w:val="00474B56"/>
    <w:rsid w:val="00474B70"/>
    <w:rsid w:val="004750DD"/>
    <w:rsid w:val="0047645E"/>
    <w:rsid w:val="004779E1"/>
    <w:rsid w:val="00477CA6"/>
    <w:rsid w:val="00477F89"/>
    <w:rsid w:val="0048030D"/>
    <w:rsid w:val="004806FB"/>
    <w:rsid w:val="004807F6"/>
    <w:rsid w:val="00480C5C"/>
    <w:rsid w:val="00480F9B"/>
    <w:rsid w:val="004815B3"/>
    <w:rsid w:val="004815E1"/>
    <w:rsid w:val="004824CC"/>
    <w:rsid w:val="00482F64"/>
    <w:rsid w:val="00482FF5"/>
    <w:rsid w:val="0048533A"/>
    <w:rsid w:val="004861E3"/>
    <w:rsid w:val="004864EC"/>
    <w:rsid w:val="00486E1F"/>
    <w:rsid w:val="00487255"/>
    <w:rsid w:val="004877A9"/>
    <w:rsid w:val="00491E53"/>
    <w:rsid w:val="0049221E"/>
    <w:rsid w:val="0049286D"/>
    <w:rsid w:val="00492C5B"/>
    <w:rsid w:val="0049312E"/>
    <w:rsid w:val="004933BA"/>
    <w:rsid w:val="00493CD1"/>
    <w:rsid w:val="00494084"/>
    <w:rsid w:val="004944CE"/>
    <w:rsid w:val="00494BCE"/>
    <w:rsid w:val="0049512D"/>
    <w:rsid w:val="0049547D"/>
    <w:rsid w:val="004956F3"/>
    <w:rsid w:val="00496A42"/>
    <w:rsid w:val="00497B07"/>
    <w:rsid w:val="00497F32"/>
    <w:rsid w:val="004A0046"/>
    <w:rsid w:val="004A14A9"/>
    <w:rsid w:val="004A195A"/>
    <w:rsid w:val="004A2078"/>
    <w:rsid w:val="004A2959"/>
    <w:rsid w:val="004A3BE1"/>
    <w:rsid w:val="004A45C0"/>
    <w:rsid w:val="004A46D2"/>
    <w:rsid w:val="004A4B79"/>
    <w:rsid w:val="004A5051"/>
    <w:rsid w:val="004A7153"/>
    <w:rsid w:val="004A7948"/>
    <w:rsid w:val="004A7ADA"/>
    <w:rsid w:val="004B04F6"/>
    <w:rsid w:val="004B0657"/>
    <w:rsid w:val="004B134A"/>
    <w:rsid w:val="004B147C"/>
    <w:rsid w:val="004B256E"/>
    <w:rsid w:val="004B2D58"/>
    <w:rsid w:val="004B53F7"/>
    <w:rsid w:val="004B709E"/>
    <w:rsid w:val="004C0B6B"/>
    <w:rsid w:val="004C0FA9"/>
    <w:rsid w:val="004C1884"/>
    <w:rsid w:val="004C1AFC"/>
    <w:rsid w:val="004C3A86"/>
    <w:rsid w:val="004C52F8"/>
    <w:rsid w:val="004C552D"/>
    <w:rsid w:val="004C5E6B"/>
    <w:rsid w:val="004C6663"/>
    <w:rsid w:val="004C70BF"/>
    <w:rsid w:val="004D011B"/>
    <w:rsid w:val="004D0B12"/>
    <w:rsid w:val="004D0F84"/>
    <w:rsid w:val="004D1CA0"/>
    <w:rsid w:val="004D23CC"/>
    <w:rsid w:val="004D3D5B"/>
    <w:rsid w:val="004D51D6"/>
    <w:rsid w:val="004D62A4"/>
    <w:rsid w:val="004D646A"/>
    <w:rsid w:val="004D6CB7"/>
    <w:rsid w:val="004D7170"/>
    <w:rsid w:val="004D786D"/>
    <w:rsid w:val="004D79D7"/>
    <w:rsid w:val="004E104C"/>
    <w:rsid w:val="004E20A4"/>
    <w:rsid w:val="004E25EB"/>
    <w:rsid w:val="004E2FF4"/>
    <w:rsid w:val="004E37B5"/>
    <w:rsid w:val="004E3C1F"/>
    <w:rsid w:val="004E42F1"/>
    <w:rsid w:val="004E4817"/>
    <w:rsid w:val="004E5189"/>
    <w:rsid w:val="004E5C08"/>
    <w:rsid w:val="004E61F6"/>
    <w:rsid w:val="004E6478"/>
    <w:rsid w:val="004E670B"/>
    <w:rsid w:val="004E6B0B"/>
    <w:rsid w:val="004E755F"/>
    <w:rsid w:val="004E79D0"/>
    <w:rsid w:val="004F18EA"/>
    <w:rsid w:val="004F210D"/>
    <w:rsid w:val="004F22A2"/>
    <w:rsid w:val="004F2678"/>
    <w:rsid w:val="004F2D46"/>
    <w:rsid w:val="004F2DD9"/>
    <w:rsid w:val="004F4D07"/>
    <w:rsid w:val="004F58BD"/>
    <w:rsid w:val="004F6936"/>
    <w:rsid w:val="004F6BD5"/>
    <w:rsid w:val="004F74C3"/>
    <w:rsid w:val="004F7829"/>
    <w:rsid w:val="004F7B94"/>
    <w:rsid w:val="00500041"/>
    <w:rsid w:val="00500514"/>
    <w:rsid w:val="005005B7"/>
    <w:rsid w:val="0050073E"/>
    <w:rsid w:val="0050188D"/>
    <w:rsid w:val="0050241E"/>
    <w:rsid w:val="0050246E"/>
    <w:rsid w:val="005024B2"/>
    <w:rsid w:val="005041DF"/>
    <w:rsid w:val="00504207"/>
    <w:rsid w:val="005049DE"/>
    <w:rsid w:val="00504DDF"/>
    <w:rsid w:val="0050543E"/>
    <w:rsid w:val="00505AFF"/>
    <w:rsid w:val="00505C40"/>
    <w:rsid w:val="00506BCC"/>
    <w:rsid w:val="00506D93"/>
    <w:rsid w:val="0050725D"/>
    <w:rsid w:val="00507D2E"/>
    <w:rsid w:val="005105D0"/>
    <w:rsid w:val="00510C3C"/>
    <w:rsid w:val="00510F3D"/>
    <w:rsid w:val="0051174F"/>
    <w:rsid w:val="00511B7C"/>
    <w:rsid w:val="005121F6"/>
    <w:rsid w:val="005124E1"/>
    <w:rsid w:val="005126A3"/>
    <w:rsid w:val="00512791"/>
    <w:rsid w:val="00512A0B"/>
    <w:rsid w:val="00513FA7"/>
    <w:rsid w:val="00513FCB"/>
    <w:rsid w:val="005145EB"/>
    <w:rsid w:val="005149CC"/>
    <w:rsid w:val="00514D8B"/>
    <w:rsid w:val="00515025"/>
    <w:rsid w:val="00515A9C"/>
    <w:rsid w:val="00516A7C"/>
    <w:rsid w:val="00516B9F"/>
    <w:rsid w:val="00517675"/>
    <w:rsid w:val="0052022B"/>
    <w:rsid w:val="005202FC"/>
    <w:rsid w:val="0052138F"/>
    <w:rsid w:val="0052139B"/>
    <w:rsid w:val="00522BC7"/>
    <w:rsid w:val="00523E65"/>
    <w:rsid w:val="00523F75"/>
    <w:rsid w:val="00524397"/>
    <w:rsid w:val="00524716"/>
    <w:rsid w:val="0052524B"/>
    <w:rsid w:val="00525557"/>
    <w:rsid w:val="00525833"/>
    <w:rsid w:val="00526131"/>
    <w:rsid w:val="00526E2B"/>
    <w:rsid w:val="00527756"/>
    <w:rsid w:val="00527C26"/>
    <w:rsid w:val="0053229A"/>
    <w:rsid w:val="0053293B"/>
    <w:rsid w:val="005333D5"/>
    <w:rsid w:val="00533882"/>
    <w:rsid w:val="00533A0E"/>
    <w:rsid w:val="005341E3"/>
    <w:rsid w:val="0053428F"/>
    <w:rsid w:val="005348C6"/>
    <w:rsid w:val="00536682"/>
    <w:rsid w:val="005369A9"/>
    <w:rsid w:val="005374EA"/>
    <w:rsid w:val="00537BE1"/>
    <w:rsid w:val="005405A8"/>
    <w:rsid w:val="00540675"/>
    <w:rsid w:val="005413F9"/>
    <w:rsid w:val="005417DF"/>
    <w:rsid w:val="00541A86"/>
    <w:rsid w:val="0054235C"/>
    <w:rsid w:val="0054329C"/>
    <w:rsid w:val="00543AC4"/>
    <w:rsid w:val="00545811"/>
    <w:rsid w:val="00545BF2"/>
    <w:rsid w:val="0054791B"/>
    <w:rsid w:val="00550520"/>
    <w:rsid w:val="00551A81"/>
    <w:rsid w:val="0055250D"/>
    <w:rsid w:val="00552BFC"/>
    <w:rsid w:val="00554298"/>
    <w:rsid w:val="00555BE1"/>
    <w:rsid w:val="0055676A"/>
    <w:rsid w:val="005567C4"/>
    <w:rsid w:val="00557913"/>
    <w:rsid w:val="00560AC2"/>
    <w:rsid w:val="00560BB3"/>
    <w:rsid w:val="00561FA5"/>
    <w:rsid w:val="00562C60"/>
    <w:rsid w:val="00563644"/>
    <w:rsid w:val="00563773"/>
    <w:rsid w:val="00563AEA"/>
    <w:rsid w:val="00564141"/>
    <w:rsid w:val="005644A8"/>
    <w:rsid w:val="00564947"/>
    <w:rsid w:val="00564E1B"/>
    <w:rsid w:val="00564F4F"/>
    <w:rsid w:val="005652C8"/>
    <w:rsid w:val="0056698E"/>
    <w:rsid w:val="005676F1"/>
    <w:rsid w:val="00567723"/>
    <w:rsid w:val="00571233"/>
    <w:rsid w:val="0057130A"/>
    <w:rsid w:val="00571907"/>
    <w:rsid w:val="0057274D"/>
    <w:rsid w:val="00572924"/>
    <w:rsid w:val="00573BDF"/>
    <w:rsid w:val="00573CC6"/>
    <w:rsid w:val="00573E1E"/>
    <w:rsid w:val="005744A4"/>
    <w:rsid w:val="0057597C"/>
    <w:rsid w:val="0057633C"/>
    <w:rsid w:val="005766A1"/>
    <w:rsid w:val="0057676F"/>
    <w:rsid w:val="005769A2"/>
    <w:rsid w:val="00576C7A"/>
    <w:rsid w:val="005815B7"/>
    <w:rsid w:val="00581682"/>
    <w:rsid w:val="00581B14"/>
    <w:rsid w:val="00582382"/>
    <w:rsid w:val="00582527"/>
    <w:rsid w:val="00582D77"/>
    <w:rsid w:val="00582DFB"/>
    <w:rsid w:val="00583203"/>
    <w:rsid w:val="0058364F"/>
    <w:rsid w:val="005842AD"/>
    <w:rsid w:val="005849EA"/>
    <w:rsid w:val="00585B55"/>
    <w:rsid w:val="00586CF4"/>
    <w:rsid w:val="005877E5"/>
    <w:rsid w:val="0058790A"/>
    <w:rsid w:val="00590842"/>
    <w:rsid w:val="00590CDB"/>
    <w:rsid w:val="00591928"/>
    <w:rsid w:val="00591A75"/>
    <w:rsid w:val="00591D65"/>
    <w:rsid w:val="00592A43"/>
    <w:rsid w:val="00592E82"/>
    <w:rsid w:val="00593DC3"/>
    <w:rsid w:val="00593E6C"/>
    <w:rsid w:val="0059433A"/>
    <w:rsid w:val="00594ADE"/>
    <w:rsid w:val="00594ECA"/>
    <w:rsid w:val="00595505"/>
    <w:rsid w:val="005964EC"/>
    <w:rsid w:val="00596AB7"/>
    <w:rsid w:val="00596D1F"/>
    <w:rsid w:val="00597CA5"/>
    <w:rsid w:val="005A1261"/>
    <w:rsid w:val="005A1DB5"/>
    <w:rsid w:val="005A4C07"/>
    <w:rsid w:val="005A5DA5"/>
    <w:rsid w:val="005A5F3A"/>
    <w:rsid w:val="005A7422"/>
    <w:rsid w:val="005A76AD"/>
    <w:rsid w:val="005A79D6"/>
    <w:rsid w:val="005A7A28"/>
    <w:rsid w:val="005B1893"/>
    <w:rsid w:val="005B1C4C"/>
    <w:rsid w:val="005B1ECD"/>
    <w:rsid w:val="005B1FEB"/>
    <w:rsid w:val="005B32A0"/>
    <w:rsid w:val="005B3807"/>
    <w:rsid w:val="005B43D5"/>
    <w:rsid w:val="005B4F87"/>
    <w:rsid w:val="005B542D"/>
    <w:rsid w:val="005B5D9A"/>
    <w:rsid w:val="005B677B"/>
    <w:rsid w:val="005B7D9A"/>
    <w:rsid w:val="005C1A57"/>
    <w:rsid w:val="005C1C8B"/>
    <w:rsid w:val="005C2504"/>
    <w:rsid w:val="005C41C5"/>
    <w:rsid w:val="005C5B5C"/>
    <w:rsid w:val="005D1036"/>
    <w:rsid w:val="005D1A4D"/>
    <w:rsid w:val="005D213D"/>
    <w:rsid w:val="005D22BA"/>
    <w:rsid w:val="005D2E9B"/>
    <w:rsid w:val="005D35F9"/>
    <w:rsid w:val="005D4D8B"/>
    <w:rsid w:val="005D5BBA"/>
    <w:rsid w:val="005D629A"/>
    <w:rsid w:val="005D7183"/>
    <w:rsid w:val="005E0730"/>
    <w:rsid w:val="005E0759"/>
    <w:rsid w:val="005E0A8E"/>
    <w:rsid w:val="005E124F"/>
    <w:rsid w:val="005E16C5"/>
    <w:rsid w:val="005E1D48"/>
    <w:rsid w:val="005E1FF0"/>
    <w:rsid w:val="005E26FB"/>
    <w:rsid w:val="005E2B27"/>
    <w:rsid w:val="005E2F31"/>
    <w:rsid w:val="005E4400"/>
    <w:rsid w:val="005E46B3"/>
    <w:rsid w:val="005E5BDB"/>
    <w:rsid w:val="005E681E"/>
    <w:rsid w:val="005E776F"/>
    <w:rsid w:val="005F023F"/>
    <w:rsid w:val="005F089F"/>
    <w:rsid w:val="005F0A40"/>
    <w:rsid w:val="005F0A77"/>
    <w:rsid w:val="005F0C3A"/>
    <w:rsid w:val="005F133C"/>
    <w:rsid w:val="005F1E3B"/>
    <w:rsid w:val="005F2C7A"/>
    <w:rsid w:val="005F30C1"/>
    <w:rsid w:val="005F3260"/>
    <w:rsid w:val="005F4B8E"/>
    <w:rsid w:val="005F5DE4"/>
    <w:rsid w:val="006002F0"/>
    <w:rsid w:val="0060077C"/>
    <w:rsid w:val="00600CD2"/>
    <w:rsid w:val="00600F4E"/>
    <w:rsid w:val="00601949"/>
    <w:rsid w:val="00602468"/>
    <w:rsid w:val="006028D2"/>
    <w:rsid w:val="006042C2"/>
    <w:rsid w:val="00605D03"/>
    <w:rsid w:val="00605DDB"/>
    <w:rsid w:val="006061FB"/>
    <w:rsid w:val="00606EC0"/>
    <w:rsid w:val="00607AE9"/>
    <w:rsid w:val="00607B18"/>
    <w:rsid w:val="00610ED1"/>
    <w:rsid w:val="006112E4"/>
    <w:rsid w:val="006132AB"/>
    <w:rsid w:val="00613EE3"/>
    <w:rsid w:val="00613FE1"/>
    <w:rsid w:val="006140DF"/>
    <w:rsid w:val="00614799"/>
    <w:rsid w:val="00615DDA"/>
    <w:rsid w:val="006167A3"/>
    <w:rsid w:val="00616DC1"/>
    <w:rsid w:val="00616DC5"/>
    <w:rsid w:val="006176A7"/>
    <w:rsid w:val="00621192"/>
    <w:rsid w:val="0062208C"/>
    <w:rsid w:val="0062287B"/>
    <w:rsid w:val="00623C2F"/>
    <w:rsid w:val="006242A7"/>
    <w:rsid w:val="0062464B"/>
    <w:rsid w:val="00624C04"/>
    <w:rsid w:val="00625243"/>
    <w:rsid w:val="00626A94"/>
    <w:rsid w:val="0062773D"/>
    <w:rsid w:val="0062794E"/>
    <w:rsid w:val="00627EF5"/>
    <w:rsid w:val="006303C8"/>
    <w:rsid w:val="0063110A"/>
    <w:rsid w:val="006313F2"/>
    <w:rsid w:val="006317AC"/>
    <w:rsid w:val="0063297F"/>
    <w:rsid w:val="0063688A"/>
    <w:rsid w:val="00637C91"/>
    <w:rsid w:val="00640A23"/>
    <w:rsid w:val="00641343"/>
    <w:rsid w:val="0064225F"/>
    <w:rsid w:val="00642829"/>
    <w:rsid w:val="00643351"/>
    <w:rsid w:val="0064392A"/>
    <w:rsid w:val="00643B9A"/>
    <w:rsid w:val="006443D9"/>
    <w:rsid w:val="00645167"/>
    <w:rsid w:val="0064565A"/>
    <w:rsid w:val="0064598C"/>
    <w:rsid w:val="00645DD1"/>
    <w:rsid w:val="006467D5"/>
    <w:rsid w:val="00646A04"/>
    <w:rsid w:val="00646E99"/>
    <w:rsid w:val="0064702D"/>
    <w:rsid w:val="006474D1"/>
    <w:rsid w:val="0065141B"/>
    <w:rsid w:val="00651C3D"/>
    <w:rsid w:val="00651CC5"/>
    <w:rsid w:val="00651DFD"/>
    <w:rsid w:val="00652286"/>
    <w:rsid w:val="006527CC"/>
    <w:rsid w:val="00652B48"/>
    <w:rsid w:val="00653B6F"/>
    <w:rsid w:val="006549EA"/>
    <w:rsid w:val="00654A45"/>
    <w:rsid w:val="00654D9A"/>
    <w:rsid w:val="0065537B"/>
    <w:rsid w:val="006555FB"/>
    <w:rsid w:val="0065672C"/>
    <w:rsid w:val="0065683F"/>
    <w:rsid w:val="00656D03"/>
    <w:rsid w:val="0066042B"/>
    <w:rsid w:val="00660879"/>
    <w:rsid w:val="00661519"/>
    <w:rsid w:val="0066358C"/>
    <w:rsid w:val="006650EA"/>
    <w:rsid w:val="0066562C"/>
    <w:rsid w:val="00666821"/>
    <w:rsid w:val="00670350"/>
    <w:rsid w:val="00670441"/>
    <w:rsid w:val="006718E5"/>
    <w:rsid w:val="00671A10"/>
    <w:rsid w:val="00672CE5"/>
    <w:rsid w:val="00673818"/>
    <w:rsid w:val="00674103"/>
    <w:rsid w:val="00674F36"/>
    <w:rsid w:val="00674FDB"/>
    <w:rsid w:val="006753A4"/>
    <w:rsid w:val="00675DD9"/>
    <w:rsid w:val="006760D5"/>
    <w:rsid w:val="0067643C"/>
    <w:rsid w:val="00676C1D"/>
    <w:rsid w:val="00677D27"/>
    <w:rsid w:val="006800ED"/>
    <w:rsid w:val="0068077A"/>
    <w:rsid w:val="006809F0"/>
    <w:rsid w:val="006811ED"/>
    <w:rsid w:val="00682E75"/>
    <w:rsid w:val="006839A4"/>
    <w:rsid w:val="00683D0B"/>
    <w:rsid w:val="00683F5A"/>
    <w:rsid w:val="00685501"/>
    <w:rsid w:val="0068641B"/>
    <w:rsid w:val="006869E5"/>
    <w:rsid w:val="0068752F"/>
    <w:rsid w:val="00691169"/>
    <w:rsid w:val="00691E55"/>
    <w:rsid w:val="006926BE"/>
    <w:rsid w:val="006940C2"/>
    <w:rsid w:val="00694876"/>
    <w:rsid w:val="00694A8B"/>
    <w:rsid w:val="00695AB4"/>
    <w:rsid w:val="00696FBE"/>
    <w:rsid w:val="00697459"/>
    <w:rsid w:val="006A00F4"/>
    <w:rsid w:val="006A06AA"/>
    <w:rsid w:val="006A096B"/>
    <w:rsid w:val="006A0E29"/>
    <w:rsid w:val="006A17EA"/>
    <w:rsid w:val="006A1A5D"/>
    <w:rsid w:val="006A2A92"/>
    <w:rsid w:val="006A3519"/>
    <w:rsid w:val="006A3DB7"/>
    <w:rsid w:val="006A47CB"/>
    <w:rsid w:val="006A4B16"/>
    <w:rsid w:val="006A6079"/>
    <w:rsid w:val="006A635E"/>
    <w:rsid w:val="006A731A"/>
    <w:rsid w:val="006A7A44"/>
    <w:rsid w:val="006B01AE"/>
    <w:rsid w:val="006B03ED"/>
    <w:rsid w:val="006B0C7E"/>
    <w:rsid w:val="006B107F"/>
    <w:rsid w:val="006B1EE4"/>
    <w:rsid w:val="006B21C1"/>
    <w:rsid w:val="006B228B"/>
    <w:rsid w:val="006B33D4"/>
    <w:rsid w:val="006B348A"/>
    <w:rsid w:val="006B3D38"/>
    <w:rsid w:val="006B4003"/>
    <w:rsid w:val="006B4F96"/>
    <w:rsid w:val="006B5455"/>
    <w:rsid w:val="006B5BD6"/>
    <w:rsid w:val="006B5EB2"/>
    <w:rsid w:val="006B6FB8"/>
    <w:rsid w:val="006C19F2"/>
    <w:rsid w:val="006C358C"/>
    <w:rsid w:val="006C67A1"/>
    <w:rsid w:val="006C6A2A"/>
    <w:rsid w:val="006C7369"/>
    <w:rsid w:val="006C7791"/>
    <w:rsid w:val="006D09F4"/>
    <w:rsid w:val="006D0F43"/>
    <w:rsid w:val="006D1589"/>
    <w:rsid w:val="006D1920"/>
    <w:rsid w:val="006D1D2D"/>
    <w:rsid w:val="006D1E11"/>
    <w:rsid w:val="006D28F9"/>
    <w:rsid w:val="006D397D"/>
    <w:rsid w:val="006D4276"/>
    <w:rsid w:val="006D56C0"/>
    <w:rsid w:val="006D5950"/>
    <w:rsid w:val="006D59D2"/>
    <w:rsid w:val="006D5B0B"/>
    <w:rsid w:val="006D60CB"/>
    <w:rsid w:val="006D63F3"/>
    <w:rsid w:val="006D65DB"/>
    <w:rsid w:val="006D660E"/>
    <w:rsid w:val="006D6652"/>
    <w:rsid w:val="006D69E1"/>
    <w:rsid w:val="006E11DD"/>
    <w:rsid w:val="006E247D"/>
    <w:rsid w:val="006E3AB9"/>
    <w:rsid w:val="006E4199"/>
    <w:rsid w:val="006E437C"/>
    <w:rsid w:val="006E471D"/>
    <w:rsid w:val="006E4760"/>
    <w:rsid w:val="006E4B23"/>
    <w:rsid w:val="006E5E47"/>
    <w:rsid w:val="006E6CD5"/>
    <w:rsid w:val="006E736B"/>
    <w:rsid w:val="006E7915"/>
    <w:rsid w:val="006F1775"/>
    <w:rsid w:val="006F21DF"/>
    <w:rsid w:val="006F22B4"/>
    <w:rsid w:val="006F37F6"/>
    <w:rsid w:val="006F453E"/>
    <w:rsid w:val="006F5759"/>
    <w:rsid w:val="006F5A07"/>
    <w:rsid w:val="006F5B3E"/>
    <w:rsid w:val="006F6BA4"/>
    <w:rsid w:val="006F7FC3"/>
    <w:rsid w:val="0070125B"/>
    <w:rsid w:val="0070154F"/>
    <w:rsid w:val="007017D0"/>
    <w:rsid w:val="00701BA5"/>
    <w:rsid w:val="00704820"/>
    <w:rsid w:val="00705B58"/>
    <w:rsid w:val="00705FD1"/>
    <w:rsid w:val="0071018D"/>
    <w:rsid w:val="00710221"/>
    <w:rsid w:val="007115CF"/>
    <w:rsid w:val="00711643"/>
    <w:rsid w:val="00713B15"/>
    <w:rsid w:val="00713B1F"/>
    <w:rsid w:val="007141D0"/>
    <w:rsid w:val="0071475A"/>
    <w:rsid w:val="007148D1"/>
    <w:rsid w:val="00714A05"/>
    <w:rsid w:val="00715E70"/>
    <w:rsid w:val="0071655A"/>
    <w:rsid w:val="0071695D"/>
    <w:rsid w:val="00716CC1"/>
    <w:rsid w:val="00720F38"/>
    <w:rsid w:val="00721ECB"/>
    <w:rsid w:val="007229DE"/>
    <w:rsid w:val="00722B44"/>
    <w:rsid w:val="00722C6D"/>
    <w:rsid w:val="00722D39"/>
    <w:rsid w:val="00723857"/>
    <w:rsid w:val="00723AA7"/>
    <w:rsid w:val="00724BD6"/>
    <w:rsid w:val="007251B2"/>
    <w:rsid w:val="0072575D"/>
    <w:rsid w:val="007273C5"/>
    <w:rsid w:val="00727695"/>
    <w:rsid w:val="00727D4F"/>
    <w:rsid w:val="00730C6C"/>
    <w:rsid w:val="007323BE"/>
    <w:rsid w:val="0073255F"/>
    <w:rsid w:val="0073274E"/>
    <w:rsid w:val="007335DB"/>
    <w:rsid w:val="0073384E"/>
    <w:rsid w:val="0073499B"/>
    <w:rsid w:val="007355ED"/>
    <w:rsid w:val="007365F0"/>
    <w:rsid w:val="00736977"/>
    <w:rsid w:val="00737307"/>
    <w:rsid w:val="00737C7A"/>
    <w:rsid w:val="00740015"/>
    <w:rsid w:val="0074049E"/>
    <w:rsid w:val="00740B05"/>
    <w:rsid w:val="00741AF0"/>
    <w:rsid w:val="00742860"/>
    <w:rsid w:val="0074408D"/>
    <w:rsid w:val="007447A5"/>
    <w:rsid w:val="007455C8"/>
    <w:rsid w:val="00745C76"/>
    <w:rsid w:val="00745DEE"/>
    <w:rsid w:val="0074667D"/>
    <w:rsid w:val="0074697F"/>
    <w:rsid w:val="007469D3"/>
    <w:rsid w:val="00747DC1"/>
    <w:rsid w:val="00747E7D"/>
    <w:rsid w:val="007507CF"/>
    <w:rsid w:val="00751DDE"/>
    <w:rsid w:val="007523B9"/>
    <w:rsid w:val="00752749"/>
    <w:rsid w:val="00753B60"/>
    <w:rsid w:val="007542C5"/>
    <w:rsid w:val="0075437C"/>
    <w:rsid w:val="00754686"/>
    <w:rsid w:val="007546CD"/>
    <w:rsid w:val="00754F5E"/>
    <w:rsid w:val="007550FE"/>
    <w:rsid w:val="00755721"/>
    <w:rsid w:val="00755CE8"/>
    <w:rsid w:val="00756C7E"/>
    <w:rsid w:val="00757755"/>
    <w:rsid w:val="007604FB"/>
    <w:rsid w:val="007615EF"/>
    <w:rsid w:val="00761B67"/>
    <w:rsid w:val="00763440"/>
    <w:rsid w:val="0076352C"/>
    <w:rsid w:val="00763A24"/>
    <w:rsid w:val="00763A72"/>
    <w:rsid w:val="00764005"/>
    <w:rsid w:val="00764085"/>
    <w:rsid w:val="0076426C"/>
    <w:rsid w:val="00767B35"/>
    <w:rsid w:val="00767DCD"/>
    <w:rsid w:val="007709C0"/>
    <w:rsid w:val="00770D17"/>
    <w:rsid w:val="00771293"/>
    <w:rsid w:val="00771628"/>
    <w:rsid w:val="00771A5F"/>
    <w:rsid w:val="00771BA2"/>
    <w:rsid w:val="00771DA3"/>
    <w:rsid w:val="00771EA2"/>
    <w:rsid w:val="00772D14"/>
    <w:rsid w:val="0077354E"/>
    <w:rsid w:val="00773F60"/>
    <w:rsid w:val="007741CD"/>
    <w:rsid w:val="0077429A"/>
    <w:rsid w:val="0077524C"/>
    <w:rsid w:val="00776715"/>
    <w:rsid w:val="007769F4"/>
    <w:rsid w:val="0077768C"/>
    <w:rsid w:val="0078006D"/>
    <w:rsid w:val="0078014D"/>
    <w:rsid w:val="00780869"/>
    <w:rsid w:val="00780CCE"/>
    <w:rsid w:val="00781B0F"/>
    <w:rsid w:val="00781EF3"/>
    <w:rsid w:val="00781F85"/>
    <w:rsid w:val="007838FC"/>
    <w:rsid w:val="00784124"/>
    <w:rsid w:val="00784656"/>
    <w:rsid w:val="00785BF3"/>
    <w:rsid w:val="0078684A"/>
    <w:rsid w:val="007900FE"/>
    <w:rsid w:val="00792302"/>
    <w:rsid w:val="007927E7"/>
    <w:rsid w:val="00792AA5"/>
    <w:rsid w:val="0079367B"/>
    <w:rsid w:val="00793EF6"/>
    <w:rsid w:val="00794924"/>
    <w:rsid w:val="00794CA6"/>
    <w:rsid w:val="00794E88"/>
    <w:rsid w:val="00795DD9"/>
    <w:rsid w:val="007971B7"/>
    <w:rsid w:val="007976FB"/>
    <w:rsid w:val="007A0946"/>
    <w:rsid w:val="007A127B"/>
    <w:rsid w:val="007A1D72"/>
    <w:rsid w:val="007A26FC"/>
    <w:rsid w:val="007A27C0"/>
    <w:rsid w:val="007A4182"/>
    <w:rsid w:val="007A41E1"/>
    <w:rsid w:val="007A5158"/>
    <w:rsid w:val="007A5201"/>
    <w:rsid w:val="007A5774"/>
    <w:rsid w:val="007A6735"/>
    <w:rsid w:val="007A68F1"/>
    <w:rsid w:val="007A7185"/>
    <w:rsid w:val="007A7788"/>
    <w:rsid w:val="007A7C4D"/>
    <w:rsid w:val="007B0214"/>
    <w:rsid w:val="007B130C"/>
    <w:rsid w:val="007B1B5B"/>
    <w:rsid w:val="007B1BAB"/>
    <w:rsid w:val="007B1CD2"/>
    <w:rsid w:val="007B2DB4"/>
    <w:rsid w:val="007B2F45"/>
    <w:rsid w:val="007B361F"/>
    <w:rsid w:val="007B4EDE"/>
    <w:rsid w:val="007B70C3"/>
    <w:rsid w:val="007B75D5"/>
    <w:rsid w:val="007B773F"/>
    <w:rsid w:val="007B7D6F"/>
    <w:rsid w:val="007C0323"/>
    <w:rsid w:val="007C0459"/>
    <w:rsid w:val="007C04BC"/>
    <w:rsid w:val="007C285A"/>
    <w:rsid w:val="007C3562"/>
    <w:rsid w:val="007C359F"/>
    <w:rsid w:val="007C3F2A"/>
    <w:rsid w:val="007C3F4B"/>
    <w:rsid w:val="007C4164"/>
    <w:rsid w:val="007C4426"/>
    <w:rsid w:val="007C4F86"/>
    <w:rsid w:val="007C52EA"/>
    <w:rsid w:val="007C5BDF"/>
    <w:rsid w:val="007C6F61"/>
    <w:rsid w:val="007C798B"/>
    <w:rsid w:val="007D05E5"/>
    <w:rsid w:val="007D0FAC"/>
    <w:rsid w:val="007D1168"/>
    <w:rsid w:val="007D1CD7"/>
    <w:rsid w:val="007D1DF1"/>
    <w:rsid w:val="007D1FEE"/>
    <w:rsid w:val="007D20DA"/>
    <w:rsid w:val="007D2FD3"/>
    <w:rsid w:val="007D3E26"/>
    <w:rsid w:val="007D4408"/>
    <w:rsid w:val="007D4C7D"/>
    <w:rsid w:val="007D642C"/>
    <w:rsid w:val="007D7C6D"/>
    <w:rsid w:val="007E05AE"/>
    <w:rsid w:val="007E0641"/>
    <w:rsid w:val="007E06CE"/>
    <w:rsid w:val="007E07F2"/>
    <w:rsid w:val="007E167D"/>
    <w:rsid w:val="007E1889"/>
    <w:rsid w:val="007E1E2C"/>
    <w:rsid w:val="007E39CD"/>
    <w:rsid w:val="007E4F78"/>
    <w:rsid w:val="007E543C"/>
    <w:rsid w:val="007E5C7A"/>
    <w:rsid w:val="007E5E39"/>
    <w:rsid w:val="007E5E79"/>
    <w:rsid w:val="007E5F69"/>
    <w:rsid w:val="007E62E4"/>
    <w:rsid w:val="007E6EA8"/>
    <w:rsid w:val="007F0040"/>
    <w:rsid w:val="007F03F4"/>
    <w:rsid w:val="007F0C1B"/>
    <w:rsid w:val="007F2B15"/>
    <w:rsid w:val="007F2E3D"/>
    <w:rsid w:val="007F40B6"/>
    <w:rsid w:val="007F452E"/>
    <w:rsid w:val="007F4693"/>
    <w:rsid w:val="007F4D6C"/>
    <w:rsid w:val="007F4DE0"/>
    <w:rsid w:val="007F5766"/>
    <w:rsid w:val="007F5E0C"/>
    <w:rsid w:val="007F6734"/>
    <w:rsid w:val="007F67A4"/>
    <w:rsid w:val="007F7A1B"/>
    <w:rsid w:val="007F7F4F"/>
    <w:rsid w:val="008002AC"/>
    <w:rsid w:val="00801475"/>
    <w:rsid w:val="00802911"/>
    <w:rsid w:val="00802A8E"/>
    <w:rsid w:val="00804EE8"/>
    <w:rsid w:val="008051E8"/>
    <w:rsid w:val="00805A06"/>
    <w:rsid w:val="00805FEB"/>
    <w:rsid w:val="00806091"/>
    <w:rsid w:val="008063C5"/>
    <w:rsid w:val="00806654"/>
    <w:rsid w:val="008066D8"/>
    <w:rsid w:val="00806F52"/>
    <w:rsid w:val="008073AD"/>
    <w:rsid w:val="00807A31"/>
    <w:rsid w:val="00807F1F"/>
    <w:rsid w:val="0081099F"/>
    <w:rsid w:val="008115E4"/>
    <w:rsid w:val="008118B2"/>
    <w:rsid w:val="00812040"/>
    <w:rsid w:val="008124E6"/>
    <w:rsid w:val="00812E21"/>
    <w:rsid w:val="00813374"/>
    <w:rsid w:val="008136A3"/>
    <w:rsid w:val="008140D1"/>
    <w:rsid w:val="00814A2E"/>
    <w:rsid w:val="00814AD7"/>
    <w:rsid w:val="00814B26"/>
    <w:rsid w:val="00815897"/>
    <w:rsid w:val="00815F0A"/>
    <w:rsid w:val="00816752"/>
    <w:rsid w:val="00817191"/>
    <w:rsid w:val="00817CC9"/>
    <w:rsid w:val="00817D58"/>
    <w:rsid w:val="008201A2"/>
    <w:rsid w:val="008204D1"/>
    <w:rsid w:val="0082072D"/>
    <w:rsid w:val="0082081D"/>
    <w:rsid w:val="00820F5A"/>
    <w:rsid w:val="008217AF"/>
    <w:rsid w:val="008228F2"/>
    <w:rsid w:val="00822D67"/>
    <w:rsid w:val="00824092"/>
    <w:rsid w:val="00824CA2"/>
    <w:rsid w:val="008254D6"/>
    <w:rsid w:val="00826C9F"/>
    <w:rsid w:val="008275BB"/>
    <w:rsid w:val="00827796"/>
    <w:rsid w:val="00827CA0"/>
    <w:rsid w:val="00827EE3"/>
    <w:rsid w:val="00830143"/>
    <w:rsid w:val="00830720"/>
    <w:rsid w:val="00830881"/>
    <w:rsid w:val="0083108D"/>
    <w:rsid w:val="008311E8"/>
    <w:rsid w:val="008314F9"/>
    <w:rsid w:val="0083198D"/>
    <w:rsid w:val="00833CAA"/>
    <w:rsid w:val="0083432A"/>
    <w:rsid w:val="00835326"/>
    <w:rsid w:val="008353C5"/>
    <w:rsid w:val="008367B9"/>
    <w:rsid w:val="00836AC6"/>
    <w:rsid w:val="00836E15"/>
    <w:rsid w:val="00842F85"/>
    <w:rsid w:val="008431C6"/>
    <w:rsid w:val="008433BB"/>
    <w:rsid w:val="0084589D"/>
    <w:rsid w:val="00845BB4"/>
    <w:rsid w:val="008462EA"/>
    <w:rsid w:val="00846FD1"/>
    <w:rsid w:val="00847C0F"/>
    <w:rsid w:val="00847F2D"/>
    <w:rsid w:val="008508B0"/>
    <w:rsid w:val="00850CDE"/>
    <w:rsid w:val="008512D0"/>
    <w:rsid w:val="00851DA3"/>
    <w:rsid w:val="00851EC3"/>
    <w:rsid w:val="00851EFD"/>
    <w:rsid w:val="00852749"/>
    <w:rsid w:val="00854127"/>
    <w:rsid w:val="008541BD"/>
    <w:rsid w:val="008545CF"/>
    <w:rsid w:val="00854CE0"/>
    <w:rsid w:val="00855467"/>
    <w:rsid w:val="008558F4"/>
    <w:rsid w:val="00855C82"/>
    <w:rsid w:val="008569D1"/>
    <w:rsid w:val="00857C40"/>
    <w:rsid w:val="00857D66"/>
    <w:rsid w:val="008604B3"/>
    <w:rsid w:val="0086065E"/>
    <w:rsid w:val="00860D44"/>
    <w:rsid w:val="00861777"/>
    <w:rsid w:val="008618BC"/>
    <w:rsid w:val="008625CF"/>
    <w:rsid w:val="008631A9"/>
    <w:rsid w:val="00863B1E"/>
    <w:rsid w:val="008644AA"/>
    <w:rsid w:val="00870412"/>
    <w:rsid w:val="00870EBE"/>
    <w:rsid w:val="00871286"/>
    <w:rsid w:val="0087150C"/>
    <w:rsid w:val="008726C1"/>
    <w:rsid w:val="0087317F"/>
    <w:rsid w:val="00873244"/>
    <w:rsid w:val="00873488"/>
    <w:rsid w:val="00873586"/>
    <w:rsid w:val="00873B3D"/>
    <w:rsid w:val="008746CF"/>
    <w:rsid w:val="008747AD"/>
    <w:rsid w:val="00874831"/>
    <w:rsid w:val="00874861"/>
    <w:rsid w:val="00874E4B"/>
    <w:rsid w:val="00876C60"/>
    <w:rsid w:val="008771F7"/>
    <w:rsid w:val="00877736"/>
    <w:rsid w:val="00880506"/>
    <w:rsid w:val="0088114A"/>
    <w:rsid w:val="00881758"/>
    <w:rsid w:val="0088237B"/>
    <w:rsid w:val="00882739"/>
    <w:rsid w:val="00882863"/>
    <w:rsid w:val="00882DFA"/>
    <w:rsid w:val="0088455D"/>
    <w:rsid w:val="008854F6"/>
    <w:rsid w:val="0088566E"/>
    <w:rsid w:val="00887615"/>
    <w:rsid w:val="00890576"/>
    <w:rsid w:val="00890A11"/>
    <w:rsid w:val="008917C1"/>
    <w:rsid w:val="008919D8"/>
    <w:rsid w:val="00891C32"/>
    <w:rsid w:val="00891D81"/>
    <w:rsid w:val="00892F7A"/>
    <w:rsid w:val="0089332E"/>
    <w:rsid w:val="00893463"/>
    <w:rsid w:val="00893902"/>
    <w:rsid w:val="0089431F"/>
    <w:rsid w:val="00894DCB"/>
    <w:rsid w:val="00894FBE"/>
    <w:rsid w:val="00895B32"/>
    <w:rsid w:val="00896169"/>
    <w:rsid w:val="00896671"/>
    <w:rsid w:val="00897794"/>
    <w:rsid w:val="008A01F2"/>
    <w:rsid w:val="008A040A"/>
    <w:rsid w:val="008A059F"/>
    <w:rsid w:val="008A08FF"/>
    <w:rsid w:val="008A0B95"/>
    <w:rsid w:val="008A1712"/>
    <w:rsid w:val="008A1CF2"/>
    <w:rsid w:val="008A2622"/>
    <w:rsid w:val="008A2CAD"/>
    <w:rsid w:val="008A3788"/>
    <w:rsid w:val="008A4912"/>
    <w:rsid w:val="008A5076"/>
    <w:rsid w:val="008A5662"/>
    <w:rsid w:val="008A599D"/>
    <w:rsid w:val="008A5FF2"/>
    <w:rsid w:val="008A6976"/>
    <w:rsid w:val="008A6CBE"/>
    <w:rsid w:val="008A7EE8"/>
    <w:rsid w:val="008B0DE7"/>
    <w:rsid w:val="008B1D38"/>
    <w:rsid w:val="008B280C"/>
    <w:rsid w:val="008B304A"/>
    <w:rsid w:val="008B32A3"/>
    <w:rsid w:val="008B3F1E"/>
    <w:rsid w:val="008B3FF9"/>
    <w:rsid w:val="008B4641"/>
    <w:rsid w:val="008B5D25"/>
    <w:rsid w:val="008B6294"/>
    <w:rsid w:val="008B66EC"/>
    <w:rsid w:val="008B6D7A"/>
    <w:rsid w:val="008C0197"/>
    <w:rsid w:val="008C07D0"/>
    <w:rsid w:val="008C0B7B"/>
    <w:rsid w:val="008C0BCA"/>
    <w:rsid w:val="008C1FAE"/>
    <w:rsid w:val="008C2336"/>
    <w:rsid w:val="008C26A4"/>
    <w:rsid w:val="008C29B2"/>
    <w:rsid w:val="008C34A9"/>
    <w:rsid w:val="008C466B"/>
    <w:rsid w:val="008C5F6D"/>
    <w:rsid w:val="008C6044"/>
    <w:rsid w:val="008C69AD"/>
    <w:rsid w:val="008C69BC"/>
    <w:rsid w:val="008C741E"/>
    <w:rsid w:val="008D081C"/>
    <w:rsid w:val="008D08A4"/>
    <w:rsid w:val="008D0F5E"/>
    <w:rsid w:val="008D17DD"/>
    <w:rsid w:val="008D1D11"/>
    <w:rsid w:val="008D5278"/>
    <w:rsid w:val="008D556A"/>
    <w:rsid w:val="008D5696"/>
    <w:rsid w:val="008D619E"/>
    <w:rsid w:val="008D6BAE"/>
    <w:rsid w:val="008E0D8F"/>
    <w:rsid w:val="008E128C"/>
    <w:rsid w:val="008E1C9B"/>
    <w:rsid w:val="008E3B40"/>
    <w:rsid w:val="008E55CE"/>
    <w:rsid w:val="008E582E"/>
    <w:rsid w:val="008E5B5E"/>
    <w:rsid w:val="008E5CC0"/>
    <w:rsid w:val="008E601C"/>
    <w:rsid w:val="008E626D"/>
    <w:rsid w:val="008E7CA7"/>
    <w:rsid w:val="008F156B"/>
    <w:rsid w:val="008F191F"/>
    <w:rsid w:val="008F2F0A"/>
    <w:rsid w:val="008F55C0"/>
    <w:rsid w:val="008F5751"/>
    <w:rsid w:val="008F5B0A"/>
    <w:rsid w:val="008F5EA9"/>
    <w:rsid w:val="008F7C2F"/>
    <w:rsid w:val="00900130"/>
    <w:rsid w:val="00901034"/>
    <w:rsid w:val="00901911"/>
    <w:rsid w:val="009024D7"/>
    <w:rsid w:val="00902520"/>
    <w:rsid w:val="0090254C"/>
    <w:rsid w:val="00902D20"/>
    <w:rsid w:val="0090353E"/>
    <w:rsid w:val="0090392D"/>
    <w:rsid w:val="00904D25"/>
    <w:rsid w:val="00904E04"/>
    <w:rsid w:val="00906450"/>
    <w:rsid w:val="009067E6"/>
    <w:rsid w:val="0090683B"/>
    <w:rsid w:val="009076C9"/>
    <w:rsid w:val="00907B80"/>
    <w:rsid w:val="00910CA5"/>
    <w:rsid w:val="00911600"/>
    <w:rsid w:val="00912854"/>
    <w:rsid w:val="0091461A"/>
    <w:rsid w:val="00915CE8"/>
    <w:rsid w:val="00916EA1"/>
    <w:rsid w:val="00916F91"/>
    <w:rsid w:val="00917CA5"/>
    <w:rsid w:val="00920A83"/>
    <w:rsid w:val="009211E9"/>
    <w:rsid w:val="00922085"/>
    <w:rsid w:val="0092319C"/>
    <w:rsid w:val="00923573"/>
    <w:rsid w:val="00923DBC"/>
    <w:rsid w:val="00924D5F"/>
    <w:rsid w:val="00925380"/>
    <w:rsid w:val="0092582C"/>
    <w:rsid w:val="00925B41"/>
    <w:rsid w:val="00925F6E"/>
    <w:rsid w:val="00926535"/>
    <w:rsid w:val="00926FCA"/>
    <w:rsid w:val="00927160"/>
    <w:rsid w:val="00927A54"/>
    <w:rsid w:val="00930568"/>
    <w:rsid w:val="0093094E"/>
    <w:rsid w:val="00931BB4"/>
    <w:rsid w:val="00932284"/>
    <w:rsid w:val="00933AF5"/>
    <w:rsid w:val="009340F4"/>
    <w:rsid w:val="00934291"/>
    <w:rsid w:val="00935AF5"/>
    <w:rsid w:val="00935B3A"/>
    <w:rsid w:val="00935EDE"/>
    <w:rsid w:val="00940C05"/>
    <w:rsid w:val="00943C7C"/>
    <w:rsid w:val="00944CB1"/>
    <w:rsid w:val="00944D93"/>
    <w:rsid w:val="00945B2A"/>
    <w:rsid w:val="00945B4F"/>
    <w:rsid w:val="00945CD7"/>
    <w:rsid w:val="00947CCD"/>
    <w:rsid w:val="00951737"/>
    <w:rsid w:val="009518B9"/>
    <w:rsid w:val="00952047"/>
    <w:rsid w:val="0095238C"/>
    <w:rsid w:val="00953021"/>
    <w:rsid w:val="009539D5"/>
    <w:rsid w:val="00954802"/>
    <w:rsid w:val="00954D23"/>
    <w:rsid w:val="00954E10"/>
    <w:rsid w:val="00955131"/>
    <w:rsid w:val="0095513A"/>
    <w:rsid w:val="00955DC9"/>
    <w:rsid w:val="00956987"/>
    <w:rsid w:val="00956C0F"/>
    <w:rsid w:val="00957CE3"/>
    <w:rsid w:val="009615C0"/>
    <w:rsid w:val="009619FB"/>
    <w:rsid w:val="00961F6F"/>
    <w:rsid w:val="00963200"/>
    <w:rsid w:val="009634A8"/>
    <w:rsid w:val="00963865"/>
    <w:rsid w:val="009647DE"/>
    <w:rsid w:val="00965BE5"/>
    <w:rsid w:val="00965D6D"/>
    <w:rsid w:val="0096721E"/>
    <w:rsid w:val="00967499"/>
    <w:rsid w:val="009678C6"/>
    <w:rsid w:val="009678CB"/>
    <w:rsid w:val="00967A83"/>
    <w:rsid w:val="009700F7"/>
    <w:rsid w:val="00970D15"/>
    <w:rsid w:val="009717E4"/>
    <w:rsid w:val="00971861"/>
    <w:rsid w:val="00972C4F"/>
    <w:rsid w:val="00972FF8"/>
    <w:rsid w:val="00973B22"/>
    <w:rsid w:val="00974B5C"/>
    <w:rsid w:val="009763A2"/>
    <w:rsid w:val="009768B0"/>
    <w:rsid w:val="00980C1A"/>
    <w:rsid w:val="0098119B"/>
    <w:rsid w:val="0098352A"/>
    <w:rsid w:val="00983D97"/>
    <w:rsid w:val="0098535F"/>
    <w:rsid w:val="00985785"/>
    <w:rsid w:val="0098653C"/>
    <w:rsid w:val="009865D9"/>
    <w:rsid w:val="00986D20"/>
    <w:rsid w:val="00986D76"/>
    <w:rsid w:val="00987FCC"/>
    <w:rsid w:val="0099002E"/>
    <w:rsid w:val="00990FCB"/>
    <w:rsid w:val="00992ADB"/>
    <w:rsid w:val="009937FC"/>
    <w:rsid w:val="00995784"/>
    <w:rsid w:val="009957F2"/>
    <w:rsid w:val="0099634D"/>
    <w:rsid w:val="00997714"/>
    <w:rsid w:val="009A0F2E"/>
    <w:rsid w:val="009A23D1"/>
    <w:rsid w:val="009A2623"/>
    <w:rsid w:val="009A26B4"/>
    <w:rsid w:val="009A2CA5"/>
    <w:rsid w:val="009A36C9"/>
    <w:rsid w:val="009A3F4F"/>
    <w:rsid w:val="009A41E9"/>
    <w:rsid w:val="009A4CB1"/>
    <w:rsid w:val="009A5014"/>
    <w:rsid w:val="009A58D9"/>
    <w:rsid w:val="009A66B4"/>
    <w:rsid w:val="009A6F18"/>
    <w:rsid w:val="009B0EBD"/>
    <w:rsid w:val="009B1893"/>
    <w:rsid w:val="009B24A4"/>
    <w:rsid w:val="009B2621"/>
    <w:rsid w:val="009B34E3"/>
    <w:rsid w:val="009B38A3"/>
    <w:rsid w:val="009B44FE"/>
    <w:rsid w:val="009B50F1"/>
    <w:rsid w:val="009B5107"/>
    <w:rsid w:val="009B6D2B"/>
    <w:rsid w:val="009C0007"/>
    <w:rsid w:val="009C0924"/>
    <w:rsid w:val="009C2A4C"/>
    <w:rsid w:val="009C2CB0"/>
    <w:rsid w:val="009C3B75"/>
    <w:rsid w:val="009C3E28"/>
    <w:rsid w:val="009C4064"/>
    <w:rsid w:val="009C434F"/>
    <w:rsid w:val="009C43F3"/>
    <w:rsid w:val="009C4AC7"/>
    <w:rsid w:val="009C4CE2"/>
    <w:rsid w:val="009C4FC4"/>
    <w:rsid w:val="009C6373"/>
    <w:rsid w:val="009C7251"/>
    <w:rsid w:val="009C7D4B"/>
    <w:rsid w:val="009D037F"/>
    <w:rsid w:val="009D076A"/>
    <w:rsid w:val="009D108B"/>
    <w:rsid w:val="009D194F"/>
    <w:rsid w:val="009D1F58"/>
    <w:rsid w:val="009D24BE"/>
    <w:rsid w:val="009D2930"/>
    <w:rsid w:val="009D2AE5"/>
    <w:rsid w:val="009D2CF3"/>
    <w:rsid w:val="009D37F9"/>
    <w:rsid w:val="009D3921"/>
    <w:rsid w:val="009D3AE8"/>
    <w:rsid w:val="009D3CBC"/>
    <w:rsid w:val="009D47EF"/>
    <w:rsid w:val="009D4AD8"/>
    <w:rsid w:val="009D4B56"/>
    <w:rsid w:val="009D4C64"/>
    <w:rsid w:val="009D5C59"/>
    <w:rsid w:val="009D6C33"/>
    <w:rsid w:val="009D7108"/>
    <w:rsid w:val="009D7273"/>
    <w:rsid w:val="009D773E"/>
    <w:rsid w:val="009D7C39"/>
    <w:rsid w:val="009E0981"/>
    <w:rsid w:val="009E0D44"/>
    <w:rsid w:val="009E114C"/>
    <w:rsid w:val="009E230A"/>
    <w:rsid w:val="009E30CC"/>
    <w:rsid w:val="009E3C16"/>
    <w:rsid w:val="009E4D7C"/>
    <w:rsid w:val="009E4DD0"/>
    <w:rsid w:val="009E5F04"/>
    <w:rsid w:val="009E7B97"/>
    <w:rsid w:val="009F00F6"/>
    <w:rsid w:val="009F09F3"/>
    <w:rsid w:val="009F0E84"/>
    <w:rsid w:val="009F130C"/>
    <w:rsid w:val="009F2D54"/>
    <w:rsid w:val="009F2F92"/>
    <w:rsid w:val="009F3395"/>
    <w:rsid w:val="009F4163"/>
    <w:rsid w:val="009F50DD"/>
    <w:rsid w:val="009F6DDF"/>
    <w:rsid w:val="009F70B8"/>
    <w:rsid w:val="00A009B3"/>
    <w:rsid w:val="00A00C92"/>
    <w:rsid w:val="00A02691"/>
    <w:rsid w:val="00A03272"/>
    <w:rsid w:val="00A06AAB"/>
    <w:rsid w:val="00A0758E"/>
    <w:rsid w:val="00A0783C"/>
    <w:rsid w:val="00A078F5"/>
    <w:rsid w:val="00A07E1C"/>
    <w:rsid w:val="00A11238"/>
    <w:rsid w:val="00A11F67"/>
    <w:rsid w:val="00A11FCC"/>
    <w:rsid w:val="00A12825"/>
    <w:rsid w:val="00A12B21"/>
    <w:rsid w:val="00A12E36"/>
    <w:rsid w:val="00A13146"/>
    <w:rsid w:val="00A132BF"/>
    <w:rsid w:val="00A1481C"/>
    <w:rsid w:val="00A14FA1"/>
    <w:rsid w:val="00A15384"/>
    <w:rsid w:val="00A157A3"/>
    <w:rsid w:val="00A16207"/>
    <w:rsid w:val="00A163EA"/>
    <w:rsid w:val="00A1667D"/>
    <w:rsid w:val="00A16E2A"/>
    <w:rsid w:val="00A16F5C"/>
    <w:rsid w:val="00A174BA"/>
    <w:rsid w:val="00A174EE"/>
    <w:rsid w:val="00A17AD1"/>
    <w:rsid w:val="00A17E5E"/>
    <w:rsid w:val="00A200BF"/>
    <w:rsid w:val="00A202E6"/>
    <w:rsid w:val="00A2039D"/>
    <w:rsid w:val="00A20D9D"/>
    <w:rsid w:val="00A20EE7"/>
    <w:rsid w:val="00A2144C"/>
    <w:rsid w:val="00A21F65"/>
    <w:rsid w:val="00A2227D"/>
    <w:rsid w:val="00A2279E"/>
    <w:rsid w:val="00A23769"/>
    <w:rsid w:val="00A24EAE"/>
    <w:rsid w:val="00A25699"/>
    <w:rsid w:val="00A25723"/>
    <w:rsid w:val="00A25A39"/>
    <w:rsid w:val="00A25A8C"/>
    <w:rsid w:val="00A27BCB"/>
    <w:rsid w:val="00A304D0"/>
    <w:rsid w:val="00A30D97"/>
    <w:rsid w:val="00A30ED2"/>
    <w:rsid w:val="00A333A6"/>
    <w:rsid w:val="00A33719"/>
    <w:rsid w:val="00A345A7"/>
    <w:rsid w:val="00A34D0F"/>
    <w:rsid w:val="00A35B59"/>
    <w:rsid w:val="00A368B3"/>
    <w:rsid w:val="00A371EB"/>
    <w:rsid w:val="00A37219"/>
    <w:rsid w:val="00A37D42"/>
    <w:rsid w:val="00A40544"/>
    <w:rsid w:val="00A4170D"/>
    <w:rsid w:val="00A41E6F"/>
    <w:rsid w:val="00A425C1"/>
    <w:rsid w:val="00A431C0"/>
    <w:rsid w:val="00A43902"/>
    <w:rsid w:val="00A4422F"/>
    <w:rsid w:val="00A4426D"/>
    <w:rsid w:val="00A44B7E"/>
    <w:rsid w:val="00A44FDF"/>
    <w:rsid w:val="00A450A8"/>
    <w:rsid w:val="00A479D5"/>
    <w:rsid w:val="00A51227"/>
    <w:rsid w:val="00A517BD"/>
    <w:rsid w:val="00A52410"/>
    <w:rsid w:val="00A5330A"/>
    <w:rsid w:val="00A533C0"/>
    <w:rsid w:val="00A53BE0"/>
    <w:rsid w:val="00A55075"/>
    <w:rsid w:val="00A55120"/>
    <w:rsid w:val="00A55398"/>
    <w:rsid w:val="00A553A4"/>
    <w:rsid w:val="00A56520"/>
    <w:rsid w:val="00A567CB"/>
    <w:rsid w:val="00A6117A"/>
    <w:rsid w:val="00A6177D"/>
    <w:rsid w:val="00A61C04"/>
    <w:rsid w:val="00A6310C"/>
    <w:rsid w:val="00A63A13"/>
    <w:rsid w:val="00A643F8"/>
    <w:rsid w:val="00A65DD1"/>
    <w:rsid w:val="00A663EC"/>
    <w:rsid w:val="00A66E0B"/>
    <w:rsid w:val="00A6760C"/>
    <w:rsid w:val="00A70557"/>
    <w:rsid w:val="00A70C31"/>
    <w:rsid w:val="00A7104B"/>
    <w:rsid w:val="00A712CE"/>
    <w:rsid w:val="00A71DB5"/>
    <w:rsid w:val="00A729A6"/>
    <w:rsid w:val="00A7346F"/>
    <w:rsid w:val="00A74A86"/>
    <w:rsid w:val="00A74C39"/>
    <w:rsid w:val="00A75C0F"/>
    <w:rsid w:val="00A760F3"/>
    <w:rsid w:val="00A7624A"/>
    <w:rsid w:val="00A776C2"/>
    <w:rsid w:val="00A776D1"/>
    <w:rsid w:val="00A77E09"/>
    <w:rsid w:val="00A816AF"/>
    <w:rsid w:val="00A81720"/>
    <w:rsid w:val="00A818E4"/>
    <w:rsid w:val="00A82B19"/>
    <w:rsid w:val="00A83C04"/>
    <w:rsid w:val="00A83ED1"/>
    <w:rsid w:val="00A84DE6"/>
    <w:rsid w:val="00A87111"/>
    <w:rsid w:val="00A87CA6"/>
    <w:rsid w:val="00A9066E"/>
    <w:rsid w:val="00A90D15"/>
    <w:rsid w:val="00A90F3D"/>
    <w:rsid w:val="00A920A7"/>
    <w:rsid w:val="00A92878"/>
    <w:rsid w:val="00A929A2"/>
    <w:rsid w:val="00A92FE9"/>
    <w:rsid w:val="00A93DF7"/>
    <w:rsid w:val="00A94383"/>
    <w:rsid w:val="00A9448C"/>
    <w:rsid w:val="00A94545"/>
    <w:rsid w:val="00A95A20"/>
    <w:rsid w:val="00A96F32"/>
    <w:rsid w:val="00A9721B"/>
    <w:rsid w:val="00AA0635"/>
    <w:rsid w:val="00AA068C"/>
    <w:rsid w:val="00AA1412"/>
    <w:rsid w:val="00AA162D"/>
    <w:rsid w:val="00AA21C4"/>
    <w:rsid w:val="00AA2A40"/>
    <w:rsid w:val="00AA36ED"/>
    <w:rsid w:val="00AA37B5"/>
    <w:rsid w:val="00AA4737"/>
    <w:rsid w:val="00AA4899"/>
    <w:rsid w:val="00AA48B5"/>
    <w:rsid w:val="00AA5262"/>
    <w:rsid w:val="00AA5AB7"/>
    <w:rsid w:val="00AA5BE3"/>
    <w:rsid w:val="00AA77EF"/>
    <w:rsid w:val="00AB019A"/>
    <w:rsid w:val="00AB22B2"/>
    <w:rsid w:val="00AB2877"/>
    <w:rsid w:val="00AB2F06"/>
    <w:rsid w:val="00AB315D"/>
    <w:rsid w:val="00AB3E95"/>
    <w:rsid w:val="00AB54CB"/>
    <w:rsid w:val="00AB661C"/>
    <w:rsid w:val="00AB689D"/>
    <w:rsid w:val="00AB7491"/>
    <w:rsid w:val="00AB7519"/>
    <w:rsid w:val="00AB79CA"/>
    <w:rsid w:val="00AB7A7D"/>
    <w:rsid w:val="00AC0487"/>
    <w:rsid w:val="00AC1797"/>
    <w:rsid w:val="00AC1E7A"/>
    <w:rsid w:val="00AC2E6C"/>
    <w:rsid w:val="00AC4151"/>
    <w:rsid w:val="00AC5372"/>
    <w:rsid w:val="00AC656E"/>
    <w:rsid w:val="00AC6B32"/>
    <w:rsid w:val="00AC6CEC"/>
    <w:rsid w:val="00AC6EAD"/>
    <w:rsid w:val="00AC7C73"/>
    <w:rsid w:val="00AD0375"/>
    <w:rsid w:val="00AD26BD"/>
    <w:rsid w:val="00AD3A05"/>
    <w:rsid w:val="00AD3AEF"/>
    <w:rsid w:val="00AD3E0E"/>
    <w:rsid w:val="00AD50F5"/>
    <w:rsid w:val="00AD554D"/>
    <w:rsid w:val="00AD59DD"/>
    <w:rsid w:val="00AD6676"/>
    <w:rsid w:val="00AD67B3"/>
    <w:rsid w:val="00AD68C8"/>
    <w:rsid w:val="00AD6C4D"/>
    <w:rsid w:val="00AE0021"/>
    <w:rsid w:val="00AE0E2E"/>
    <w:rsid w:val="00AE1841"/>
    <w:rsid w:val="00AE2231"/>
    <w:rsid w:val="00AE2348"/>
    <w:rsid w:val="00AE24DA"/>
    <w:rsid w:val="00AE25A2"/>
    <w:rsid w:val="00AE283B"/>
    <w:rsid w:val="00AE3E0B"/>
    <w:rsid w:val="00AE4C8C"/>
    <w:rsid w:val="00AE5231"/>
    <w:rsid w:val="00AE588D"/>
    <w:rsid w:val="00AE5D50"/>
    <w:rsid w:val="00AE624F"/>
    <w:rsid w:val="00AE63E4"/>
    <w:rsid w:val="00AE7A44"/>
    <w:rsid w:val="00AE7B48"/>
    <w:rsid w:val="00AF007F"/>
    <w:rsid w:val="00AF1536"/>
    <w:rsid w:val="00AF1A4C"/>
    <w:rsid w:val="00AF2B90"/>
    <w:rsid w:val="00AF4A9F"/>
    <w:rsid w:val="00AF4BC0"/>
    <w:rsid w:val="00AF4CF2"/>
    <w:rsid w:val="00AF4F99"/>
    <w:rsid w:val="00AF501B"/>
    <w:rsid w:val="00AF56ED"/>
    <w:rsid w:val="00AF62F4"/>
    <w:rsid w:val="00AF6473"/>
    <w:rsid w:val="00AF7CBB"/>
    <w:rsid w:val="00AF7F4D"/>
    <w:rsid w:val="00B00065"/>
    <w:rsid w:val="00B01DF9"/>
    <w:rsid w:val="00B01EDB"/>
    <w:rsid w:val="00B028FA"/>
    <w:rsid w:val="00B03C25"/>
    <w:rsid w:val="00B04490"/>
    <w:rsid w:val="00B0491A"/>
    <w:rsid w:val="00B05ECB"/>
    <w:rsid w:val="00B067AF"/>
    <w:rsid w:val="00B10129"/>
    <w:rsid w:val="00B1026B"/>
    <w:rsid w:val="00B10F2A"/>
    <w:rsid w:val="00B11B90"/>
    <w:rsid w:val="00B11D89"/>
    <w:rsid w:val="00B121C0"/>
    <w:rsid w:val="00B1252E"/>
    <w:rsid w:val="00B12FBB"/>
    <w:rsid w:val="00B13044"/>
    <w:rsid w:val="00B14455"/>
    <w:rsid w:val="00B14699"/>
    <w:rsid w:val="00B14D9F"/>
    <w:rsid w:val="00B14DB1"/>
    <w:rsid w:val="00B156B7"/>
    <w:rsid w:val="00B1585A"/>
    <w:rsid w:val="00B15F1B"/>
    <w:rsid w:val="00B16181"/>
    <w:rsid w:val="00B16D73"/>
    <w:rsid w:val="00B17BE7"/>
    <w:rsid w:val="00B204F6"/>
    <w:rsid w:val="00B21A74"/>
    <w:rsid w:val="00B21F71"/>
    <w:rsid w:val="00B22797"/>
    <w:rsid w:val="00B22D45"/>
    <w:rsid w:val="00B232E1"/>
    <w:rsid w:val="00B238C9"/>
    <w:rsid w:val="00B248C2"/>
    <w:rsid w:val="00B27178"/>
    <w:rsid w:val="00B2717C"/>
    <w:rsid w:val="00B27414"/>
    <w:rsid w:val="00B3092D"/>
    <w:rsid w:val="00B30A4B"/>
    <w:rsid w:val="00B30B15"/>
    <w:rsid w:val="00B31853"/>
    <w:rsid w:val="00B3191E"/>
    <w:rsid w:val="00B31E1E"/>
    <w:rsid w:val="00B32204"/>
    <w:rsid w:val="00B330B8"/>
    <w:rsid w:val="00B333E1"/>
    <w:rsid w:val="00B33DB2"/>
    <w:rsid w:val="00B33F8E"/>
    <w:rsid w:val="00B3407F"/>
    <w:rsid w:val="00B345D2"/>
    <w:rsid w:val="00B35148"/>
    <w:rsid w:val="00B3569F"/>
    <w:rsid w:val="00B364AD"/>
    <w:rsid w:val="00B36740"/>
    <w:rsid w:val="00B3716B"/>
    <w:rsid w:val="00B37DE4"/>
    <w:rsid w:val="00B40765"/>
    <w:rsid w:val="00B40FE7"/>
    <w:rsid w:val="00B41E4B"/>
    <w:rsid w:val="00B4365F"/>
    <w:rsid w:val="00B44A73"/>
    <w:rsid w:val="00B46EFE"/>
    <w:rsid w:val="00B473B8"/>
    <w:rsid w:val="00B5187F"/>
    <w:rsid w:val="00B52206"/>
    <w:rsid w:val="00B53D03"/>
    <w:rsid w:val="00B55359"/>
    <w:rsid w:val="00B557E1"/>
    <w:rsid w:val="00B558D1"/>
    <w:rsid w:val="00B56207"/>
    <w:rsid w:val="00B56D7A"/>
    <w:rsid w:val="00B61369"/>
    <w:rsid w:val="00B64716"/>
    <w:rsid w:val="00B649ED"/>
    <w:rsid w:val="00B64E56"/>
    <w:rsid w:val="00B64FA6"/>
    <w:rsid w:val="00B66C2B"/>
    <w:rsid w:val="00B70A6C"/>
    <w:rsid w:val="00B712BB"/>
    <w:rsid w:val="00B7175B"/>
    <w:rsid w:val="00B718C5"/>
    <w:rsid w:val="00B71ECC"/>
    <w:rsid w:val="00B72CBC"/>
    <w:rsid w:val="00B730D5"/>
    <w:rsid w:val="00B73D09"/>
    <w:rsid w:val="00B7416C"/>
    <w:rsid w:val="00B74604"/>
    <w:rsid w:val="00B757BB"/>
    <w:rsid w:val="00B75904"/>
    <w:rsid w:val="00B760E3"/>
    <w:rsid w:val="00B76FFC"/>
    <w:rsid w:val="00B7782C"/>
    <w:rsid w:val="00B80280"/>
    <w:rsid w:val="00B80B44"/>
    <w:rsid w:val="00B81F41"/>
    <w:rsid w:val="00B81FED"/>
    <w:rsid w:val="00B82263"/>
    <w:rsid w:val="00B829A2"/>
    <w:rsid w:val="00B82BD0"/>
    <w:rsid w:val="00B82C93"/>
    <w:rsid w:val="00B82F8E"/>
    <w:rsid w:val="00B84396"/>
    <w:rsid w:val="00B845A2"/>
    <w:rsid w:val="00B84611"/>
    <w:rsid w:val="00B84E0E"/>
    <w:rsid w:val="00B84FB9"/>
    <w:rsid w:val="00B85493"/>
    <w:rsid w:val="00B85D6B"/>
    <w:rsid w:val="00B8726C"/>
    <w:rsid w:val="00B87793"/>
    <w:rsid w:val="00B879AD"/>
    <w:rsid w:val="00B91324"/>
    <w:rsid w:val="00B915B7"/>
    <w:rsid w:val="00B91C34"/>
    <w:rsid w:val="00B9224A"/>
    <w:rsid w:val="00B9228D"/>
    <w:rsid w:val="00B9249D"/>
    <w:rsid w:val="00B928A6"/>
    <w:rsid w:val="00B92B28"/>
    <w:rsid w:val="00B9378D"/>
    <w:rsid w:val="00B937CE"/>
    <w:rsid w:val="00B94C5B"/>
    <w:rsid w:val="00B94C69"/>
    <w:rsid w:val="00B966D0"/>
    <w:rsid w:val="00B97E0C"/>
    <w:rsid w:val="00BA03D4"/>
    <w:rsid w:val="00BA0EF1"/>
    <w:rsid w:val="00BA29C7"/>
    <w:rsid w:val="00BA2CE6"/>
    <w:rsid w:val="00BA3BF9"/>
    <w:rsid w:val="00BA3F9C"/>
    <w:rsid w:val="00BA5C2F"/>
    <w:rsid w:val="00BA6488"/>
    <w:rsid w:val="00BA6830"/>
    <w:rsid w:val="00BA6CA3"/>
    <w:rsid w:val="00BA6E26"/>
    <w:rsid w:val="00BA74AB"/>
    <w:rsid w:val="00BA789B"/>
    <w:rsid w:val="00BA7F0D"/>
    <w:rsid w:val="00BB0786"/>
    <w:rsid w:val="00BB0EB1"/>
    <w:rsid w:val="00BB101A"/>
    <w:rsid w:val="00BB2296"/>
    <w:rsid w:val="00BB3443"/>
    <w:rsid w:val="00BB43C3"/>
    <w:rsid w:val="00BB45B4"/>
    <w:rsid w:val="00BB53C1"/>
    <w:rsid w:val="00BB639A"/>
    <w:rsid w:val="00BB6CDC"/>
    <w:rsid w:val="00BB713F"/>
    <w:rsid w:val="00BC03DE"/>
    <w:rsid w:val="00BC2790"/>
    <w:rsid w:val="00BC3892"/>
    <w:rsid w:val="00BC4BD9"/>
    <w:rsid w:val="00BC4E9C"/>
    <w:rsid w:val="00BC58C9"/>
    <w:rsid w:val="00BC5BCB"/>
    <w:rsid w:val="00BC5F7D"/>
    <w:rsid w:val="00BC746F"/>
    <w:rsid w:val="00BD0221"/>
    <w:rsid w:val="00BD0B37"/>
    <w:rsid w:val="00BD0E48"/>
    <w:rsid w:val="00BD1225"/>
    <w:rsid w:val="00BD1CD8"/>
    <w:rsid w:val="00BD2F8E"/>
    <w:rsid w:val="00BD30D5"/>
    <w:rsid w:val="00BD3281"/>
    <w:rsid w:val="00BD538C"/>
    <w:rsid w:val="00BD59D4"/>
    <w:rsid w:val="00BD6083"/>
    <w:rsid w:val="00BD608A"/>
    <w:rsid w:val="00BD60D9"/>
    <w:rsid w:val="00BD68E0"/>
    <w:rsid w:val="00BD79ED"/>
    <w:rsid w:val="00BE04D0"/>
    <w:rsid w:val="00BE0DE5"/>
    <w:rsid w:val="00BE0F85"/>
    <w:rsid w:val="00BE16CE"/>
    <w:rsid w:val="00BE1D2C"/>
    <w:rsid w:val="00BE1F84"/>
    <w:rsid w:val="00BE270B"/>
    <w:rsid w:val="00BE4A5B"/>
    <w:rsid w:val="00BE5B39"/>
    <w:rsid w:val="00BE6456"/>
    <w:rsid w:val="00BE6784"/>
    <w:rsid w:val="00BE7CF6"/>
    <w:rsid w:val="00BF26D7"/>
    <w:rsid w:val="00BF3228"/>
    <w:rsid w:val="00BF3260"/>
    <w:rsid w:val="00BF3B1C"/>
    <w:rsid w:val="00BF4BDF"/>
    <w:rsid w:val="00BF7B0F"/>
    <w:rsid w:val="00C00816"/>
    <w:rsid w:val="00C014BE"/>
    <w:rsid w:val="00C014D1"/>
    <w:rsid w:val="00C01702"/>
    <w:rsid w:val="00C0174D"/>
    <w:rsid w:val="00C0190A"/>
    <w:rsid w:val="00C01ABD"/>
    <w:rsid w:val="00C021A4"/>
    <w:rsid w:val="00C0335F"/>
    <w:rsid w:val="00C03999"/>
    <w:rsid w:val="00C04E1F"/>
    <w:rsid w:val="00C05505"/>
    <w:rsid w:val="00C05E35"/>
    <w:rsid w:val="00C06A89"/>
    <w:rsid w:val="00C06CFB"/>
    <w:rsid w:val="00C07044"/>
    <w:rsid w:val="00C112EE"/>
    <w:rsid w:val="00C11313"/>
    <w:rsid w:val="00C11FA6"/>
    <w:rsid w:val="00C121EC"/>
    <w:rsid w:val="00C126AC"/>
    <w:rsid w:val="00C129A2"/>
    <w:rsid w:val="00C12D8D"/>
    <w:rsid w:val="00C14070"/>
    <w:rsid w:val="00C147DD"/>
    <w:rsid w:val="00C149B9"/>
    <w:rsid w:val="00C1548D"/>
    <w:rsid w:val="00C166FB"/>
    <w:rsid w:val="00C167EF"/>
    <w:rsid w:val="00C16869"/>
    <w:rsid w:val="00C16F23"/>
    <w:rsid w:val="00C17337"/>
    <w:rsid w:val="00C20444"/>
    <w:rsid w:val="00C20EBB"/>
    <w:rsid w:val="00C21065"/>
    <w:rsid w:val="00C21185"/>
    <w:rsid w:val="00C21EBC"/>
    <w:rsid w:val="00C2206E"/>
    <w:rsid w:val="00C22477"/>
    <w:rsid w:val="00C22C1A"/>
    <w:rsid w:val="00C22C27"/>
    <w:rsid w:val="00C234D3"/>
    <w:rsid w:val="00C23C53"/>
    <w:rsid w:val="00C24157"/>
    <w:rsid w:val="00C241C7"/>
    <w:rsid w:val="00C2526D"/>
    <w:rsid w:val="00C25332"/>
    <w:rsid w:val="00C2543D"/>
    <w:rsid w:val="00C26316"/>
    <w:rsid w:val="00C266D1"/>
    <w:rsid w:val="00C26F54"/>
    <w:rsid w:val="00C31B96"/>
    <w:rsid w:val="00C32BB7"/>
    <w:rsid w:val="00C33E4C"/>
    <w:rsid w:val="00C3487F"/>
    <w:rsid w:val="00C34FAA"/>
    <w:rsid w:val="00C35245"/>
    <w:rsid w:val="00C35655"/>
    <w:rsid w:val="00C357DB"/>
    <w:rsid w:val="00C37A26"/>
    <w:rsid w:val="00C41C76"/>
    <w:rsid w:val="00C41D75"/>
    <w:rsid w:val="00C4221D"/>
    <w:rsid w:val="00C426EF"/>
    <w:rsid w:val="00C427EA"/>
    <w:rsid w:val="00C4297A"/>
    <w:rsid w:val="00C432D2"/>
    <w:rsid w:val="00C43980"/>
    <w:rsid w:val="00C43A62"/>
    <w:rsid w:val="00C44A54"/>
    <w:rsid w:val="00C44B2A"/>
    <w:rsid w:val="00C44EDC"/>
    <w:rsid w:val="00C4526C"/>
    <w:rsid w:val="00C46FB0"/>
    <w:rsid w:val="00C47DE7"/>
    <w:rsid w:val="00C5095B"/>
    <w:rsid w:val="00C50AF2"/>
    <w:rsid w:val="00C51006"/>
    <w:rsid w:val="00C51B9A"/>
    <w:rsid w:val="00C520E6"/>
    <w:rsid w:val="00C521ED"/>
    <w:rsid w:val="00C522F3"/>
    <w:rsid w:val="00C536ED"/>
    <w:rsid w:val="00C539DD"/>
    <w:rsid w:val="00C541F9"/>
    <w:rsid w:val="00C543EE"/>
    <w:rsid w:val="00C543F3"/>
    <w:rsid w:val="00C55D19"/>
    <w:rsid w:val="00C56429"/>
    <w:rsid w:val="00C5693C"/>
    <w:rsid w:val="00C5783C"/>
    <w:rsid w:val="00C602AF"/>
    <w:rsid w:val="00C63703"/>
    <w:rsid w:val="00C647A6"/>
    <w:rsid w:val="00C64C37"/>
    <w:rsid w:val="00C655BE"/>
    <w:rsid w:val="00C65D0E"/>
    <w:rsid w:val="00C66156"/>
    <w:rsid w:val="00C666CD"/>
    <w:rsid w:val="00C67684"/>
    <w:rsid w:val="00C679A1"/>
    <w:rsid w:val="00C67F18"/>
    <w:rsid w:val="00C7080B"/>
    <w:rsid w:val="00C70F8D"/>
    <w:rsid w:val="00C72031"/>
    <w:rsid w:val="00C725A3"/>
    <w:rsid w:val="00C7270D"/>
    <w:rsid w:val="00C72C20"/>
    <w:rsid w:val="00C730F9"/>
    <w:rsid w:val="00C74557"/>
    <w:rsid w:val="00C75B0A"/>
    <w:rsid w:val="00C75D10"/>
    <w:rsid w:val="00C76834"/>
    <w:rsid w:val="00C76FEB"/>
    <w:rsid w:val="00C8000E"/>
    <w:rsid w:val="00C8093C"/>
    <w:rsid w:val="00C80A8B"/>
    <w:rsid w:val="00C8118D"/>
    <w:rsid w:val="00C82108"/>
    <w:rsid w:val="00C8314F"/>
    <w:rsid w:val="00C8376F"/>
    <w:rsid w:val="00C83C87"/>
    <w:rsid w:val="00C8449B"/>
    <w:rsid w:val="00C8642F"/>
    <w:rsid w:val="00C86596"/>
    <w:rsid w:val="00C876E4"/>
    <w:rsid w:val="00C87CDF"/>
    <w:rsid w:val="00C90B07"/>
    <w:rsid w:val="00C9124D"/>
    <w:rsid w:val="00C9228D"/>
    <w:rsid w:val="00C92A40"/>
    <w:rsid w:val="00C92A53"/>
    <w:rsid w:val="00C92B48"/>
    <w:rsid w:val="00C960EB"/>
    <w:rsid w:val="00C964D5"/>
    <w:rsid w:val="00CA213B"/>
    <w:rsid w:val="00CA2D27"/>
    <w:rsid w:val="00CA42C9"/>
    <w:rsid w:val="00CA4458"/>
    <w:rsid w:val="00CA4800"/>
    <w:rsid w:val="00CA48E7"/>
    <w:rsid w:val="00CA4EF5"/>
    <w:rsid w:val="00CA51B9"/>
    <w:rsid w:val="00CA5B37"/>
    <w:rsid w:val="00CA5B85"/>
    <w:rsid w:val="00CB0BC4"/>
    <w:rsid w:val="00CB1407"/>
    <w:rsid w:val="00CB2195"/>
    <w:rsid w:val="00CB2EAC"/>
    <w:rsid w:val="00CB3118"/>
    <w:rsid w:val="00CB3617"/>
    <w:rsid w:val="00CB3A12"/>
    <w:rsid w:val="00CB44DA"/>
    <w:rsid w:val="00CB495D"/>
    <w:rsid w:val="00CB5035"/>
    <w:rsid w:val="00CB512B"/>
    <w:rsid w:val="00CB52B2"/>
    <w:rsid w:val="00CB5359"/>
    <w:rsid w:val="00CB55F0"/>
    <w:rsid w:val="00CB68D8"/>
    <w:rsid w:val="00CB7DD3"/>
    <w:rsid w:val="00CC0967"/>
    <w:rsid w:val="00CC0ACB"/>
    <w:rsid w:val="00CC0CDD"/>
    <w:rsid w:val="00CC1FF4"/>
    <w:rsid w:val="00CC2777"/>
    <w:rsid w:val="00CC30B6"/>
    <w:rsid w:val="00CC4280"/>
    <w:rsid w:val="00CC552B"/>
    <w:rsid w:val="00CC642C"/>
    <w:rsid w:val="00CC65DB"/>
    <w:rsid w:val="00CC6931"/>
    <w:rsid w:val="00CC6AD5"/>
    <w:rsid w:val="00CC71B4"/>
    <w:rsid w:val="00CD00A5"/>
    <w:rsid w:val="00CD00EF"/>
    <w:rsid w:val="00CD1331"/>
    <w:rsid w:val="00CD16A3"/>
    <w:rsid w:val="00CD2D67"/>
    <w:rsid w:val="00CD31D8"/>
    <w:rsid w:val="00CD3DBB"/>
    <w:rsid w:val="00CD455C"/>
    <w:rsid w:val="00CD4E3E"/>
    <w:rsid w:val="00CD5373"/>
    <w:rsid w:val="00CD57CE"/>
    <w:rsid w:val="00CD5C53"/>
    <w:rsid w:val="00CD6005"/>
    <w:rsid w:val="00CD603B"/>
    <w:rsid w:val="00CD6131"/>
    <w:rsid w:val="00CD65CC"/>
    <w:rsid w:val="00CD686F"/>
    <w:rsid w:val="00CD6B27"/>
    <w:rsid w:val="00CD6B44"/>
    <w:rsid w:val="00CD6C7A"/>
    <w:rsid w:val="00CD728A"/>
    <w:rsid w:val="00CD75FB"/>
    <w:rsid w:val="00CE02DE"/>
    <w:rsid w:val="00CE1295"/>
    <w:rsid w:val="00CE1838"/>
    <w:rsid w:val="00CE1A55"/>
    <w:rsid w:val="00CE33C6"/>
    <w:rsid w:val="00CE3862"/>
    <w:rsid w:val="00CE393F"/>
    <w:rsid w:val="00CE41E1"/>
    <w:rsid w:val="00CE47CA"/>
    <w:rsid w:val="00CE5294"/>
    <w:rsid w:val="00CE5E7A"/>
    <w:rsid w:val="00CE6071"/>
    <w:rsid w:val="00CE7253"/>
    <w:rsid w:val="00CE7D13"/>
    <w:rsid w:val="00CF0B5D"/>
    <w:rsid w:val="00CF2621"/>
    <w:rsid w:val="00CF2EA3"/>
    <w:rsid w:val="00CF2ED6"/>
    <w:rsid w:val="00CF3926"/>
    <w:rsid w:val="00CF3DF7"/>
    <w:rsid w:val="00CF5476"/>
    <w:rsid w:val="00CF5A08"/>
    <w:rsid w:val="00CF5FCD"/>
    <w:rsid w:val="00CF6C04"/>
    <w:rsid w:val="00CF7883"/>
    <w:rsid w:val="00CF7F9F"/>
    <w:rsid w:val="00D0085C"/>
    <w:rsid w:val="00D00DCF"/>
    <w:rsid w:val="00D0139A"/>
    <w:rsid w:val="00D01AB1"/>
    <w:rsid w:val="00D02201"/>
    <w:rsid w:val="00D02643"/>
    <w:rsid w:val="00D03E5E"/>
    <w:rsid w:val="00D04DA6"/>
    <w:rsid w:val="00D05B8C"/>
    <w:rsid w:val="00D06725"/>
    <w:rsid w:val="00D071F2"/>
    <w:rsid w:val="00D073F9"/>
    <w:rsid w:val="00D10337"/>
    <w:rsid w:val="00D10859"/>
    <w:rsid w:val="00D10EC5"/>
    <w:rsid w:val="00D11784"/>
    <w:rsid w:val="00D1221F"/>
    <w:rsid w:val="00D126B1"/>
    <w:rsid w:val="00D13B4B"/>
    <w:rsid w:val="00D160D4"/>
    <w:rsid w:val="00D161D3"/>
    <w:rsid w:val="00D1654C"/>
    <w:rsid w:val="00D1657E"/>
    <w:rsid w:val="00D16E24"/>
    <w:rsid w:val="00D2013B"/>
    <w:rsid w:val="00D207F5"/>
    <w:rsid w:val="00D20DE3"/>
    <w:rsid w:val="00D21072"/>
    <w:rsid w:val="00D21526"/>
    <w:rsid w:val="00D2153B"/>
    <w:rsid w:val="00D21691"/>
    <w:rsid w:val="00D2187E"/>
    <w:rsid w:val="00D21F51"/>
    <w:rsid w:val="00D226A5"/>
    <w:rsid w:val="00D22BCC"/>
    <w:rsid w:val="00D25868"/>
    <w:rsid w:val="00D25AD0"/>
    <w:rsid w:val="00D25B75"/>
    <w:rsid w:val="00D25EBB"/>
    <w:rsid w:val="00D26B05"/>
    <w:rsid w:val="00D26BE3"/>
    <w:rsid w:val="00D26FC1"/>
    <w:rsid w:val="00D27A2D"/>
    <w:rsid w:val="00D31956"/>
    <w:rsid w:val="00D31B91"/>
    <w:rsid w:val="00D32B06"/>
    <w:rsid w:val="00D32D41"/>
    <w:rsid w:val="00D335DA"/>
    <w:rsid w:val="00D33766"/>
    <w:rsid w:val="00D33996"/>
    <w:rsid w:val="00D34711"/>
    <w:rsid w:val="00D34779"/>
    <w:rsid w:val="00D35050"/>
    <w:rsid w:val="00D352DB"/>
    <w:rsid w:val="00D3534A"/>
    <w:rsid w:val="00D35B32"/>
    <w:rsid w:val="00D36556"/>
    <w:rsid w:val="00D36B7F"/>
    <w:rsid w:val="00D36C82"/>
    <w:rsid w:val="00D372E1"/>
    <w:rsid w:val="00D40100"/>
    <w:rsid w:val="00D40C39"/>
    <w:rsid w:val="00D41F92"/>
    <w:rsid w:val="00D429F0"/>
    <w:rsid w:val="00D42C8C"/>
    <w:rsid w:val="00D45057"/>
    <w:rsid w:val="00D45EFC"/>
    <w:rsid w:val="00D4654F"/>
    <w:rsid w:val="00D467EF"/>
    <w:rsid w:val="00D51B97"/>
    <w:rsid w:val="00D523B3"/>
    <w:rsid w:val="00D52DA8"/>
    <w:rsid w:val="00D54942"/>
    <w:rsid w:val="00D54F7E"/>
    <w:rsid w:val="00D56336"/>
    <w:rsid w:val="00D56FAE"/>
    <w:rsid w:val="00D5718E"/>
    <w:rsid w:val="00D5771F"/>
    <w:rsid w:val="00D577B2"/>
    <w:rsid w:val="00D604ED"/>
    <w:rsid w:val="00D60F10"/>
    <w:rsid w:val="00D62BF4"/>
    <w:rsid w:val="00D634FD"/>
    <w:rsid w:val="00D64314"/>
    <w:rsid w:val="00D64567"/>
    <w:rsid w:val="00D646D8"/>
    <w:rsid w:val="00D659FA"/>
    <w:rsid w:val="00D65D3B"/>
    <w:rsid w:val="00D665F6"/>
    <w:rsid w:val="00D67EBE"/>
    <w:rsid w:val="00D7039D"/>
    <w:rsid w:val="00D704B0"/>
    <w:rsid w:val="00D7100F"/>
    <w:rsid w:val="00D7161A"/>
    <w:rsid w:val="00D72EF0"/>
    <w:rsid w:val="00D73215"/>
    <w:rsid w:val="00D744BC"/>
    <w:rsid w:val="00D74D73"/>
    <w:rsid w:val="00D75C55"/>
    <w:rsid w:val="00D76B29"/>
    <w:rsid w:val="00D76D98"/>
    <w:rsid w:val="00D77AFA"/>
    <w:rsid w:val="00D77FB1"/>
    <w:rsid w:val="00D8046D"/>
    <w:rsid w:val="00D80A35"/>
    <w:rsid w:val="00D81ADE"/>
    <w:rsid w:val="00D81D7C"/>
    <w:rsid w:val="00D821D2"/>
    <w:rsid w:val="00D83CCD"/>
    <w:rsid w:val="00D83D28"/>
    <w:rsid w:val="00D83E8F"/>
    <w:rsid w:val="00D83FF1"/>
    <w:rsid w:val="00D84F9E"/>
    <w:rsid w:val="00D870A5"/>
    <w:rsid w:val="00D87136"/>
    <w:rsid w:val="00D907F5"/>
    <w:rsid w:val="00D917FD"/>
    <w:rsid w:val="00D9264F"/>
    <w:rsid w:val="00D92F8A"/>
    <w:rsid w:val="00D93379"/>
    <w:rsid w:val="00D969D1"/>
    <w:rsid w:val="00DA0302"/>
    <w:rsid w:val="00DA0369"/>
    <w:rsid w:val="00DA0496"/>
    <w:rsid w:val="00DA07DE"/>
    <w:rsid w:val="00DA0BED"/>
    <w:rsid w:val="00DA1E08"/>
    <w:rsid w:val="00DA2047"/>
    <w:rsid w:val="00DA26AA"/>
    <w:rsid w:val="00DA326C"/>
    <w:rsid w:val="00DA36FD"/>
    <w:rsid w:val="00DA3EC7"/>
    <w:rsid w:val="00DA5430"/>
    <w:rsid w:val="00DA5854"/>
    <w:rsid w:val="00DA62D6"/>
    <w:rsid w:val="00DA64AB"/>
    <w:rsid w:val="00DA675A"/>
    <w:rsid w:val="00DA6C90"/>
    <w:rsid w:val="00DA73A2"/>
    <w:rsid w:val="00DB0865"/>
    <w:rsid w:val="00DB119D"/>
    <w:rsid w:val="00DB1B65"/>
    <w:rsid w:val="00DB1CDB"/>
    <w:rsid w:val="00DB2DF4"/>
    <w:rsid w:val="00DB4D7C"/>
    <w:rsid w:val="00DB5213"/>
    <w:rsid w:val="00DB5749"/>
    <w:rsid w:val="00DB5BB9"/>
    <w:rsid w:val="00DB6038"/>
    <w:rsid w:val="00DB60AF"/>
    <w:rsid w:val="00DB64AD"/>
    <w:rsid w:val="00DB6BD9"/>
    <w:rsid w:val="00DB6C95"/>
    <w:rsid w:val="00DB6C9F"/>
    <w:rsid w:val="00DB7AD6"/>
    <w:rsid w:val="00DB7B8B"/>
    <w:rsid w:val="00DC157B"/>
    <w:rsid w:val="00DC287C"/>
    <w:rsid w:val="00DC2B68"/>
    <w:rsid w:val="00DC34D4"/>
    <w:rsid w:val="00DC3674"/>
    <w:rsid w:val="00DC5581"/>
    <w:rsid w:val="00DC674C"/>
    <w:rsid w:val="00DC7452"/>
    <w:rsid w:val="00DD05FF"/>
    <w:rsid w:val="00DD06EF"/>
    <w:rsid w:val="00DD0B9D"/>
    <w:rsid w:val="00DD0D00"/>
    <w:rsid w:val="00DD0DCA"/>
    <w:rsid w:val="00DD2CAD"/>
    <w:rsid w:val="00DD2CE7"/>
    <w:rsid w:val="00DD3370"/>
    <w:rsid w:val="00DD376D"/>
    <w:rsid w:val="00DD4286"/>
    <w:rsid w:val="00DD4383"/>
    <w:rsid w:val="00DD43B9"/>
    <w:rsid w:val="00DD4F6F"/>
    <w:rsid w:val="00DD7853"/>
    <w:rsid w:val="00DE1399"/>
    <w:rsid w:val="00DE1CDF"/>
    <w:rsid w:val="00DE1EBB"/>
    <w:rsid w:val="00DE2F78"/>
    <w:rsid w:val="00DE2FA9"/>
    <w:rsid w:val="00DE35EE"/>
    <w:rsid w:val="00DE39C4"/>
    <w:rsid w:val="00DE3C25"/>
    <w:rsid w:val="00DE3CF2"/>
    <w:rsid w:val="00DE419F"/>
    <w:rsid w:val="00DE44F7"/>
    <w:rsid w:val="00DE462E"/>
    <w:rsid w:val="00DE5652"/>
    <w:rsid w:val="00DE66F2"/>
    <w:rsid w:val="00DF0D48"/>
    <w:rsid w:val="00DF1FD2"/>
    <w:rsid w:val="00DF2C55"/>
    <w:rsid w:val="00DF3D68"/>
    <w:rsid w:val="00DF4C1E"/>
    <w:rsid w:val="00DF5151"/>
    <w:rsid w:val="00DF5373"/>
    <w:rsid w:val="00DF5BE1"/>
    <w:rsid w:val="00DF64FF"/>
    <w:rsid w:val="00E00F29"/>
    <w:rsid w:val="00E01129"/>
    <w:rsid w:val="00E01201"/>
    <w:rsid w:val="00E01C52"/>
    <w:rsid w:val="00E024A7"/>
    <w:rsid w:val="00E02E63"/>
    <w:rsid w:val="00E05F28"/>
    <w:rsid w:val="00E06D35"/>
    <w:rsid w:val="00E07F5E"/>
    <w:rsid w:val="00E1018C"/>
    <w:rsid w:val="00E118CC"/>
    <w:rsid w:val="00E12149"/>
    <w:rsid w:val="00E132AD"/>
    <w:rsid w:val="00E13809"/>
    <w:rsid w:val="00E1431C"/>
    <w:rsid w:val="00E14521"/>
    <w:rsid w:val="00E14850"/>
    <w:rsid w:val="00E171E9"/>
    <w:rsid w:val="00E171F6"/>
    <w:rsid w:val="00E20BCE"/>
    <w:rsid w:val="00E20F38"/>
    <w:rsid w:val="00E2104A"/>
    <w:rsid w:val="00E22CE6"/>
    <w:rsid w:val="00E233DE"/>
    <w:rsid w:val="00E2443B"/>
    <w:rsid w:val="00E2487A"/>
    <w:rsid w:val="00E25255"/>
    <w:rsid w:val="00E252B2"/>
    <w:rsid w:val="00E25481"/>
    <w:rsid w:val="00E25483"/>
    <w:rsid w:val="00E256F5"/>
    <w:rsid w:val="00E259B8"/>
    <w:rsid w:val="00E261EE"/>
    <w:rsid w:val="00E27141"/>
    <w:rsid w:val="00E27F67"/>
    <w:rsid w:val="00E316DD"/>
    <w:rsid w:val="00E318EE"/>
    <w:rsid w:val="00E3316D"/>
    <w:rsid w:val="00E36A5F"/>
    <w:rsid w:val="00E404D3"/>
    <w:rsid w:val="00E410BA"/>
    <w:rsid w:val="00E4118B"/>
    <w:rsid w:val="00E41762"/>
    <w:rsid w:val="00E41A8B"/>
    <w:rsid w:val="00E42601"/>
    <w:rsid w:val="00E45359"/>
    <w:rsid w:val="00E45626"/>
    <w:rsid w:val="00E45EEA"/>
    <w:rsid w:val="00E4631A"/>
    <w:rsid w:val="00E46AEE"/>
    <w:rsid w:val="00E46C04"/>
    <w:rsid w:val="00E4769F"/>
    <w:rsid w:val="00E47A93"/>
    <w:rsid w:val="00E50C5D"/>
    <w:rsid w:val="00E50EBA"/>
    <w:rsid w:val="00E51114"/>
    <w:rsid w:val="00E512ED"/>
    <w:rsid w:val="00E51558"/>
    <w:rsid w:val="00E51595"/>
    <w:rsid w:val="00E534C8"/>
    <w:rsid w:val="00E541A0"/>
    <w:rsid w:val="00E56602"/>
    <w:rsid w:val="00E56D48"/>
    <w:rsid w:val="00E5799C"/>
    <w:rsid w:val="00E60F41"/>
    <w:rsid w:val="00E61F35"/>
    <w:rsid w:val="00E61FB6"/>
    <w:rsid w:val="00E62B88"/>
    <w:rsid w:val="00E6329E"/>
    <w:rsid w:val="00E63861"/>
    <w:rsid w:val="00E63881"/>
    <w:rsid w:val="00E6464E"/>
    <w:rsid w:val="00E6512C"/>
    <w:rsid w:val="00E663B5"/>
    <w:rsid w:val="00E66EE1"/>
    <w:rsid w:val="00E675A2"/>
    <w:rsid w:val="00E67E41"/>
    <w:rsid w:val="00E70007"/>
    <w:rsid w:val="00E70552"/>
    <w:rsid w:val="00E70838"/>
    <w:rsid w:val="00E7161A"/>
    <w:rsid w:val="00E71681"/>
    <w:rsid w:val="00E71AE5"/>
    <w:rsid w:val="00E72586"/>
    <w:rsid w:val="00E72682"/>
    <w:rsid w:val="00E734C9"/>
    <w:rsid w:val="00E73D82"/>
    <w:rsid w:val="00E73FD9"/>
    <w:rsid w:val="00E801B6"/>
    <w:rsid w:val="00E80CF8"/>
    <w:rsid w:val="00E816C9"/>
    <w:rsid w:val="00E817DA"/>
    <w:rsid w:val="00E81D4B"/>
    <w:rsid w:val="00E83271"/>
    <w:rsid w:val="00E83AEE"/>
    <w:rsid w:val="00E84406"/>
    <w:rsid w:val="00E8473D"/>
    <w:rsid w:val="00E8484E"/>
    <w:rsid w:val="00E849E3"/>
    <w:rsid w:val="00E84A78"/>
    <w:rsid w:val="00E86053"/>
    <w:rsid w:val="00E86097"/>
    <w:rsid w:val="00E86566"/>
    <w:rsid w:val="00E867CC"/>
    <w:rsid w:val="00E86987"/>
    <w:rsid w:val="00E86E65"/>
    <w:rsid w:val="00E87129"/>
    <w:rsid w:val="00E87130"/>
    <w:rsid w:val="00E91EBC"/>
    <w:rsid w:val="00E92D94"/>
    <w:rsid w:val="00E9398B"/>
    <w:rsid w:val="00E93AA4"/>
    <w:rsid w:val="00E942B7"/>
    <w:rsid w:val="00E94F81"/>
    <w:rsid w:val="00E952F3"/>
    <w:rsid w:val="00E95A72"/>
    <w:rsid w:val="00E95A93"/>
    <w:rsid w:val="00E965B8"/>
    <w:rsid w:val="00E96746"/>
    <w:rsid w:val="00E975FC"/>
    <w:rsid w:val="00EA02C5"/>
    <w:rsid w:val="00EA06C2"/>
    <w:rsid w:val="00EA0800"/>
    <w:rsid w:val="00EA0B57"/>
    <w:rsid w:val="00EA1072"/>
    <w:rsid w:val="00EA2AE8"/>
    <w:rsid w:val="00EA415F"/>
    <w:rsid w:val="00EA46E3"/>
    <w:rsid w:val="00EA4999"/>
    <w:rsid w:val="00EA513C"/>
    <w:rsid w:val="00EA576B"/>
    <w:rsid w:val="00EA5D05"/>
    <w:rsid w:val="00EA7670"/>
    <w:rsid w:val="00EB083C"/>
    <w:rsid w:val="00EB20D2"/>
    <w:rsid w:val="00EB2305"/>
    <w:rsid w:val="00EB3DE4"/>
    <w:rsid w:val="00EB4580"/>
    <w:rsid w:val="00EB4DDB"/>
    <w:rsid w:val="00EB6C2E"/>
    <w:rsid w:val="00EB79C7"/>
    <w:rsid w:val="00EB7E92"/>
    <w:rsid w:val="00EC09D7"/>
    <w:rsid w:val="00EC0A46"/>
    <w:rsid w:val="00EC1EEF"/>
    <w:rsid w:val="00EC220B"/>
    <w:rsid w:val="00EC27C1"/>
    <w:rsid w:val="00EC287D"/>
    <w:rsid w:val="00EC36C5"/>
    <w:rsid w:val="00EC3BF9"/>
    <w:rsid w:val="00EC433E"/>
    <w:rsid w:val="00EC4755"/>
    <w:rsid w:val="00EC5363"/>
    <w:rsid w:val="00EC5D20"/>
    <w:rsid w:val="00EC5DFE"/>
    <w:rsid w:val="00EC63A1"/>
    <w:rsid w:val="00EC66C4"/>
    <w:rsid w:val="00EC72AE"/>
    <w:rsid w:val="00EC7BA5"/>
    <w:rsid w:val="00EC7EB4"/>
    <w:rsid w:val="00ED0C88"/>
    <w:rsid w:val="00ED11CC"/>
    <w:rsid w:val="00ED1414"/>
    <w:rsid w:val="00ED19AB"/>
    <w:rsid w:val="00ED1EB8"/>
    <w:rsid w:val="00ED2D76"/>
    <w:rsid w:val="00ED3919"/>
    <w:rsid w:val="00ED438A"/>
    <w:rsid w:val="00ED43AC"/>
    <w:rsid w:val="00ED4DFA"/>
    <w:rsid w:val="00ED54F5"/>
    <w:rsid w:val="00ED5C9D"/>
    <w:rsid w:val="00ED78C1"/>
    <w:rsid w:val="00ED7A70"/>
    <w:rsid w:val="00ED7DA5"/>
    <w:rsid w:val="00EE0A05"/>
    <w:rsid w:val="00EE0E28"/>
    <w:rsid w:val="00EE145D"/>
    <w:rsid w:val="00EE5BEF"/>
    <w:rsid w:val="00EE646B"/>
    <w:rsid w:val="00EE6962"/>
    <w:rsid w:val="00EE6D18"/>
    <w:rsid w:val="00EE7234"/>
    <w:rsid w:val="00EE78F6"/>
    <w:rsid w:val="00EE7A29"/>
    <w:rsid w:val="00EF0D9F"/>
    <w:rsid w:val="00EF1ECC"/>
    <w:rsid w:val="00EF2B3F"/>
    <w:rsid w:val="00EF30BD"/>
    <w:rsid w:val="00EF3E73"/>
    <w:rsid w:val="00EF4F08"/>
    <w:rsid w:val="00EF5801"/>
    <w:rsid w:val="00EF63A9"/>
    <w:rsid w:val="00EF657C"/>
    <w:rsid w:val="00EF6DB2"/>
    <w:rsid w:val="00EF6F37"/>
    <w:rsid w:val="00F003BF"/>
    <w:rsid w:val="00F02DBA"/>
    <w:rsid w:val="00F0315C"/>
    <w:rsid w:val="00F0389C"/>
    <w:rsid w:val="00F04313"/>
    <w:rsid w:val="00F06086"/>
    <w:rsid w:val="00F0726F"/>
    <w:rsid w:val="00F07B12"/>
    <w:rsid w:val="00F07D69"/>
    <w:rsid w:val="00F1034D"/>
    <w:rsid w:val="00F1079F"/>
    <w:rsid w:val="00F117ED"/>
    <w:rsid w:val="00F11876"/>
    <w:rsid w:val="00F1193D"/>
    <w:rsid w:val="00F12A31"/>
    <w:rsid w:val="00F132B1"/>
    <w:rsid w:val="00F148C3"/>
    <w:rsid w:val="00F15A83"/>
    <w:rsid w:val="00F15D66"/>
    <w:rsid w:val="00F15DEB"/>
    <w:rsid w:val="00F21D22"/>
    <w:rsid w:val="00F223DB"/>
    <w:rsid w:val="00F229E1"/>
    <w:rsid w:val="00F23AB2"/>
    <w:rsid w:val="00F24BC9"/>
    <w:rsid w:val="00F25A5C"/>
    <w:rsid w:val="00F27375"/>
    <w:rsid w:val="00F27CDB"/>
    <w:rsid w:val="00F30B77"/>
    <w:rsid w:val="00F31036"/>
    <w:rsid w:val="00F311E3"/>
    <w:rsid w:val="00F33F9D"/>
    <w:rsid w:val="00F34B11"/>
    <w:rsid w:val="00F35399"/>
    <w:rsid w:val="00F37298"/>
    <w:rsid w:val="00F373EB"/>
    <w:rsid w:val="00F37BD3"/>
    <w:rsid w:val="00F4040B"/>
    <w:rsid w:val="00F420A1"/>
    <w:rsid w:val="00F4354F"/>
    <w:rsid w:val="00F43732"/>
    <w:rsid w:val="00F4397B"/>
    <w:rsid w:val="00F439B0"/>
    <w:rsid w:val="00F43E2A"/>
    <w:rsid w:val="00F45152"/>
    <w:rsid w:val="00F45668"/>
    <w:rsid w:val="00F45BAE"/>
    <w:rsid w:val="00F460E0"/>
    <w:rsid w:val="00F46E79"/>
    <w:rsid w:val="00F47254"/>
    <w:rsid w:val="00F47378"/>
    <w:rsid w:val="00F47678"/>
    <w:rsid w:val="00F50CDA"/>
    <w:rsid w:val="00F50D4E"/>
    <w:rsid w:val="00F50E87"/>
    <w:rsid w:val="00F52610"/>
    <w:rsid w:val="00F52876"/>
    <w:rsid w:val="00F52B6A"/>
    <w:rsid w:val="00F52CA0"/>
    <w:rsid w:val="00F52FA7"/>
    <w:rsid w:val="00F5316C"/>
    <w:rsid w:val="00F53389"/>
    <w:rsid w:val="00F542C1"/>
    <w:rsid w:val="00F5457A"/>
    <w:rsid w:val="00F547D0"/>
    <w:rsid w:val="00F557D6"/>
    <w:rsid w:val="00F558AF"/>
    <w:rsid w:val="00F558F7"/>
    <w:rsid w:val="00F559D8"/>
    <w:rsid w:val="00F55A60"/>
    <w:rsid w:val="00F56354"/>
    <w:rsid w:val="00F57267"/>
    <w:rsid w:val="00F57E43"/>
    <w:rsid w:val="00F61966"/>
    <w:rsid w:val="00F621E0"/>
    <w:rsid w:val="00F623EA"/>
    <w:rsid w:val="00F628A5"/>
    <w:rsid w:val="00F62992"/>
    <w:rsid w:val="00F63194"/>
    <w:rsid w:val="00F636F2"/>
    <w:rsid w:val="00F6382A"/>
    <w:rsid w:val="00F6395E"/>
    <w:rsid w:val="00F640AA"/>
    <w:rsid w:val="00F64BD2"/>
    <w:rsid w:val="00F64DCE"/>
    <w:rsid w:val="00F6516C"/>
    <w:rsid w:val="00F654ED"/>
    <w:rsid w:val="00F65F9E"/>
    <w:rsid w:val="00F6618C"/>
    <w:rsid w:val="00F66653"/>
    <w:rsid w:val="00F6725A"/>
    <w:rsid w:val="00F67A29"/>
    <w:rsid w:val="00F67DA6"/>
    <w:rsid w:val="00F702EB"/>
    <w:rsid w:val="00F70380"/>
    <w:rsid w:val="00F708ED"/>
    <w:rsid w:val="00F710D6"/>
    <w:rsid w:val="00F717E1"/>
    <w:rsid w:val="00F71D7D"/>
    <w:rsid w:val="00F72BDF"/>
    <w:rsid w:val="00F72EB3"/>
    <w:rsid w:val="00F73321"/>
    <w:rsid w:val="00F735A7"/>
    <w:rsid w:val="00F74441"/>
    <w:rsid w:val="00F745D9"/>
    <w:rsid w:val="00F75D17"/>
    <w:rsid w:val="00F76BB3"/>
    <w:rsid w:val="00F76D4E"/>
    <w:rsid w:val="00F772DA"/>
    <w:rsid w:val="00F7781E"/>
    <w:rsid w:val="00F81708"/>
    <w:rsid w:val="00F81F1D"/>
    <w:rsid w:val="00F82D68"/>
    <w:rsid w:val="00F8304F"/>
    <w:rsid w:val="00F847B5"/>
    <w:rsid w:val="00F85DFD"/>
    <w:rsid w:val="00F868BC"/>
    <w:rsid w:val="00F871F5"/>
    <w:rsid w:val="00F875DE"/>
    <w:rsid w:val="00F879B1"/>
    <w:rsid w:val="00F90D95"/>
    <w:rsid w:val="00F90F9D"/>
    <w:rsid w:val="00F91054"/>
    <w:rsid w:val="00F92653"/>
    <w:rsid w:val="00F92C69"/>
    <w:rsid w:val="00F9332E"/>
    <w:rsid w:val="00F94962"/>
    <w:rsid w:val="00F9521E"/>
    <w:rsid w:val="00F95E15"/>
    <w:rsid w:val="00F961DD"/>
    <w:rsid w:val="00F97015"/>
    <w:rsid w:val="00F9746E"/>
    <w:rsid w:val="00F974A9"/>
    <w:rsid w:val="00FA03B6"/>
    <w:rsid w:val="00FA1144"/>
    <w:rsid w:val="00FA1629"/>
    <w:rsid w:val="00FA226B"/>
    <w:rsid w:val="00FA2DC5"/>
    <w:rsid w:val="00FA33D9"/>
    <w:rsid w:val="00FA3486"/>
    <w:rsid w:val="00FA36DB"/>
    <w:rsid w:val="00FA429A"/>
    <w:rsid w:val="00FA4D82"/>
    <w:rsid w:val="00FA528E"/>
    <w:rsid w:val="00FA52E7"/>
    <w:rsid w:val="00FA5DD2"/>
    <w:rsid w:val="00FA63FC"/>
    <w:rsid w:val="00FA70D4"/>
    <w:rsid w:val="00FB092A"/>
    <w:rsid w:val="00FB0BC2"/>
    <w:rsid w:val="00FB2F90"/>
    <w:rsid w:val="00FB308E"/>
    <w:rsid w:val="00FB32D4"/>
    <w:rsid w:val="00FB3461"/>
    <w:rsid w:val="00FB48FD"/>
    <w:rsid w:val="00FB5CA3"/>
    <w:rsid w:val="00FC006A"/>
    <w:rsid w:val="00FC12B5"/>
    <w:rsid w:val="00FC1882"/>
    <w:rsid w:val="00FC1AD6"/>
    <w:rsid w:val="00FC1C2D"/>
    <w:rsid w:val="00FC27E6"/>
    <w:rsid w:val="00FC2803"/>
    <w:rsid w:val="00FC2B2D"/>
    <w:rsid w:val="00FC2CDB"/>
    <w:rsid w:val="00FC3263"/>
    <w:rsid w:val="00FC3633"/>
    <w:rsid w:val="00FC3A48"/>
    <w:rsid w:val="00FC49C1"/>
    <w:rsid w:val="00FC5058"/>
    <w:rsid w:val="00FC54B8"/>
    <w:rsid w:val="00FC735E"/>
    <w:rsid w:val="00FC7F42"/>
    <w:rsid w:val="00FD0883"/>
    <w:rsid w:val="00FD0CEF"/>
    <w:rsid w:val="00FD1263"/>
    <w:rsid w:val="00FD1EA4"/>
    <w:rsid w:val="00FD273B"/>
    <w:rsid w:val="00FD2B18"/>
    <w:rsid w:val="00FD34B2"/>
    <w:rsid w:val="00FD350C"/>
    <w:rsid w:val="00FD4A4B"/>
    <w:rsid w:val="00FD4B1F"/>
    <w:rsid w:val="00FD4ED0"/>
    <w:rsid w:val="00FD5D94"/>
    <w:rsid w:val="00FD65DE"/>
    <w:rsid w:val="00FD6DF2"/>
    <w:rsid w:val="00FE0D70"/>
    <w:rsid w:val="00FE1A06"/>
    <w:rsid w:val="00FE2E8D"/>
    <w:rsid w:val="00FE3738"/>
    <w:rsid w:val="00FE3ACE"/>
    <w:rsid w:val="00FE3DF9"/>
    <w:rsid w:val="00FE4F1F"/>
    <w:rsid w:val="00FE513E"/>
    <w:rsid w:val="00FE531F"/>
    <w:rsid w:val="00FE5F67"/>
    <w:rsid w:val="00FE65F9"/>
    <w:rsid w:val="00FE7764"/>
    <w:rsid w:val="00FF047B"/>
    <w:rsid w:val="00FF0F14"/>
    <w:rsid w:val="00FF177B"/>
    <w:rsid w:val="00FF249C"/>
    <w:rsid w:val="00FF2551"/>
    <w:rsid w:val="00FF2EA1"/>
    <w:rsid w:val="00FF35F6"/>
    <w:rsid w:val="00FF5C39"/>
    <w:rsid w:val="00FF5D67"/>
    <w:rsid w:val="00FF6321"/>
    <w:rsid w:val="00FF7622"/>
    <w:rsid w:val="02E0504F"/>
    <w:rsid w:val="02E97045"/>
    <w:rsid w:val="02FB6E41"/>
    <w:rsid w:val="03FB06D5"/>
    <w:rsid w:val="047A1299"/>
    <w:rsid w:val="048B07CE"/>
    <w:rsid w:val="073A04FC"/>
    <w:rsid w:val="0772543B"/>
    <w:rsid w:val="077305E3"/>
    <w:rsid w:val="079F4F94"/>
    <w:rsid w:val="07CD0531"/>
    <w:rsid w:val="0B242CDB"/>
    <w:rsid w:val="0B2D534F"/>
    <w:rsid w:val="0BF12592"/>
    <w:rsid w:val="0C7809C1"/>
    <w:rsid w:val="0DE054C8"/>
    <w:rsid w:val="10D4508F"/>
    <w:rsid w:val="11402131"/>
    <w:rsid w:val="174940E7"/>
    <w:rsid w:val="17A66650"/>
    <w:rsid w:val="17EA48C1"/>
    <w:rsid w:val="188F2709"/>
    <w:rsid w:val="18A0023E"/>
    <w:rsid w:val="19D67B1E"/>
    <w:rsid w:val="1B5E62E3"/>
    <w:rsid w:val="1B8A18C6"/>
    <w:rsid w:val="1C620459"/>
    <w:rsid w:val="1C9B1BC8"/>
    <w:rsid w:val="1DC00253"/>
    <w:rsid w:val="1E8E78CB"/>
    <w:rsid w:val="21D05464"/>
    <w:rsid w:val="25F00525"/>
    <w:rsid w:val="260236E8"/>
    <w:rsid w:val="26D24959"/>
    <w:rsid w:val="272B2C33"/>
    <w:rsid w:val="278E1A78"/>
    <w:rsid w:val="29AC3D11"/>
    <w:rsid w:val="2A092AB2"/>
    <w:rsid w:val="2A7E2845"/>
    <w:rsid w:val="2C37731C"/>
    <w:rsid w:val="2C982A9C"/>
    <w:rsid w:val="2E2547BF"/>
    <w:rsid w:val="2F37683A"/>
    <w:rsid w:val="31EE26C8"/>
    <w:rsid w:val="32C7765E"/>
    <w:rsid w:val="32CA2532"/>
    <w:rsid w:val="33EB3CEE"/>
    <w:rsid w:val="34C9605D"/>
    <w:rsid w:val="36F529A6"/>
    <w:rsid w:val="3AB73588"/>
    <w:rsid w:val="3ABF338F"/>
    <w:rsid w:val="3B11419E"/>
    <w:rsid w:val="41650F9C"/>
    <w:rsid w:val="426C0506"/>
    <w:rsid w:val="43232629"/>
    <w:rsid w:val="480C5B3E"/>
    <w:rsid w:val="4DB92B07"/>
    <w:rsid w:val="4EAC070E"/>
    <w:rsid w:val="4F837F80"/>
    <w:rsid w:val="51185ECD"/>
    <w:rsid w:val="51AE5717"/>
    <w:rsid w:val="52627DAB"/>
    <w:rsid w:val="53287732"/>
    <w:rsid w:val="547406A5"/>
    <w:rsid w:val="54CA0AEC"/>
    <w:rsid w:val="56B2378D"/>
    <w:rsid w:val="587D13BE"/>
    <w:rsid w:val="589658F5"/>
    <w:rsid w:val="5A7D1893"/>
    <w:rsid w:val="5AD9194A"/>
    <w:rsid w:val="5AF65560"/>
    <w:rsid w:val="5D431218"/>
    <w:rsid w:val="5D4361AE"/>
    <w:rsid w:val="5FF655F4"/>
    <w:rsid w:val="62251304"/>
    <w:rsid w:val="64AA535B"/>
    <w:rsid w:val="654939E3"/>
    <w:rsid w:val="65A82464"/>
    <w:rsid w:val="65CC201A"/>
    <w:rsid w:val="68A77392"/>
    <w:rsid w:val="6A6A6FEF"/>
    <w:rsid w:val="6EA02F2B"/>
    <w:rsid w:val="6EB428FB"/>
    <w:rsid w:val="6EFC09F4"/>
    <w:rsid w:val="6FA678F9"/>
    <w:rsid w:val="72DB02EA"/>
    <w:rsid w:val="74FE30D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85"/>
    <w:qFormat/>
    <w:uiPriority w:val="0"/>
    <w:pPr>
      <w:keepNext/>
      <w:keepLines/>
      <w:spacing w:before="340" w:beforeLines="0" w:after="330" w:afterLines="0" w:line="578" w:lineRule="auto"/>
      <w:outlineLvl w:val="0"/>
    </w:pPr>
    <w:rPr>
      <w:b/>
      <w:bCs/>
      <w:kern w:val="44"/>
      <w:sz w:val="44"/>
      <w:szCs w:val="44"/>
    </w:rPr>
  </w:style>
  <w:style w:type="paragraph" w:styleId="4">
    <w:name w:val="heading 2"/>
    <w:basedOn w:val="1"/>
    <w:next w:val="1"/>
    <w:link w:val="190"/>
    <w:qFormat/>
    <w:uiPriority w:val="0"/>
    <w:pPr>
      <w:keepNext/>
      <w:keepLines/>
      <w:spacing w:before="260" w:beforeLines="0" w:after="260" w:afterLines="0" w:line="416" w:lineRule="auto"/>
      <w:outlineLvl w:val="1"/>
    </w:pPr>
    <w:rPr>
      <w:rFonts w:ascii="Cambria" w:hAnsi="Cambria"/>
      <w:b/>
      <w:bCs/>
      <w:sz w:val="32"/>
      <w:szCs w:val="32"/>
    </w:rPr>
  </w:style>
  <w:style w:type="paragraph" w:styleId="5">
    <w:name w:val="heading 3"/>
    <w:basedOn w:val="1"/>
    <w:next w:val="1"/>
    <w:link w:val="299"/>
    <w:qFormat/>
    <w:uiPriority w:val="0"/>
    <w:pPr>
      <w:keepNext/>
      <w:keepLines/>
      <w:spacing w:before="260" w:beforeLines="0" w:after="260" w:afterLines="0" w:line="416" w:lineRule="auto"/>
      <w:outlineLvl w:val="2"/>
    </w:pPr>
    <w:rPr>
      <w:b/>
      <w:bCs/>
      <w:sz w:val="32"/>
      <w:szCs w:val="32"/>
    </w:rPr>
  </w:style>
  <w:style w:type="paragraph" w:styleId="6">
    <w:name w:val="heading 4"/>
    <w:basedOn w:val="1"/>
    <w:link w:val="158"/>
    <w:qFormat/>
    <w:uiPriority w:val="0"/>
    <w:pPr>
      <w:widowControl/>
      <w:spacing w:before="100" w:beforeLines="0" w:beforeAutospacing="1" w:after="100" w:afterLines="0" w:afterAutospacing="1"/>
      <w:jc w:val="left"/>
      <w:outlineLvl w:val="3"/>
    </w:pPr>
    <w:rPr>
      <w:rFonts w:ascii="宋体" w:hAnsi="宋体" w:cs="宋体"/>
      <w:b/>
      <w:bCs/>
      <w:kern w:val="0"/>
      <w:sz w:val="24"/>
    </w:rPr>
  </w:style>
  <w:style w:type="paragraph" w:styleId="7">
    <w:name w:val="heading 5"/>
    <w:basedOn w:val="1"/>
    <w:link w:val="272"/>
    <w:qFormat/>
    <w:uiPriority w:val="0"/>
    <w:pPr>
      <w:widowControl/>
      <w:spacing w:before="100" w:beforeLines="0" w:beforeAutospacing="1" w:after="100" w:afterLines="0" w:afterAutospacing="1"/>
      <w:jc w:val="left"/>
      <w:outlineLvl w:val="4"/>
    </w:pPr>
    <w:rPr>
      <w:rFonts w:ascii="宋体" w:hAnsi="宋体" w:cs="宋体"/>
      <w:b/>
      <w:bCs/>
      <w:kern w:val="0"/>
      <w:sz w:val="20"/>
      <w:szCs w:val="20"/>
    </w:rPr>
  </w:style>
  <w:style w:type="paragraph" w:styleId="8">
    <w:name w:val="heading 6"/>
    <w:basedOn w:val="9"/>
    <w:next w:val="1"/>
    <w:link w:val="228"/>
    <w:qFormat/>
    <w:uiPriority w:val="0"/>
    <w:pPr>
      <w:keepNext/>
      <w:keepLines/>
      <w:ind w:firstLine="200" w:firstLineChars="200"/>
      <w:outlineLvl w:val="5"/>
    </w:pPr>
    <w:rPr>
      <w:rFonts w:hAnsi="Arial"/>
    </w:rPr>
  </w:style>
  <w:style w:type="paragraph" w:styleId="10">
    <w:name w:val="heading 7"/>
    <w:basedOn w:val="1"/>
    <w:next w:val="1"/>
    <w:link w:val="283"/>
    <w:qFormat/>
    <w:uiPriority w:val="0"/>
    <w:pPr>
      <w:keepNext/>
      <w:keepLines/>
      <w:adjustRightInd w:val="0"/>
      <w:spacing w:line="480" w:lineRule="atLeast"/>
      <w:ind w:left="1425" w:leftChars="175" w:hanging="900" w:hangingChars="300"/>
      <w:textAlignment w:val="baseline"/>
      <w:outlineLvl w:val="6"/>
    </w:pPr>
    <w:rPr>
      <w:rFonts w:eastAsia="仿宋_GB2312"/>
      <w:kern w:val="0"/>
      <w:sz w:val="30"/>
      <w:szCs w:val="20"/>
    </w:rPr>
  </w:style>
  <w:style w:type="paragraph" w:styleId="11">
    <w:name w:val="heading 8"/>
    <w:basedOn w:val="1"/>
    <w:next w:val="1"/>
    <w:link w:val="242"/>
    <w:qFormat/>
    <w:uiPriority w:val="0"/>
    <w:pPr>
      <w:adjustRightInd w:val="0"/>
      <w:spacing w:line="480" w:lineRule="atLeast"/>
      <w:ind w:left="2232" w:leftChars="450" w:hanging="882" w:hangingChars="294"/>
      <w:textAlignment w:val="baseline"/>
      <w:outlineLvl w:val="7"/>
    </w:pPr>
    <w:rPr>
      <w:rFonts w:hAnsi="Arial" w:eastAsia="仿宋_GB2312"/>
      <w:kern w:val="0"/>
      <w:sz w:val="30"/>
      <w:szCs w:val="20"/>
    </w:rPr>
  </w:style>
  <w:style w:type="paragraph" w:styleId="12">
    <w:name w:val="heading 9"/>
    <w:basedOn w:val="1"/>
    <w:next w:val="1"/>
    <w:link w:val="241"/>
    <w:qFormat/>
    <w:uiPriority w:val="0"/>
    <w:pPr>
      <w:keepNext/>
      <w:keepLines/>
      <w:adjustRightInd w:val="0"/>
      <w:spacing w:line="480" w:lineRule="atLeast"/>
      <w:ind w:left="2979" w:leftChars="715" w:hanging="834" w:hangingChars="278"/>
      <w:textAlignment w:val="baseline"/>
      <w:outlineLvl w:val="8"/>
    </w:pPr>
    <w:rPr>
      <w:rFonts w:eastAsia="仿宋_GB2312"/>
      <w:kern w:val="0"/>
      <w:sz w:val="30"/>
      <w:szCs w:val="20"/>
    </w:rPr>
  </w:style>
  <w:style w:type="character" w:default="1" w:styleId="47">
    <w:name w:val="Default Paragraph Font"/>
    <w:semiHidden/>
    <w:qFormat/>
    <w:uiPriority w:val="0"/>
  </w:style>
  <w:style w:type="table" w:default="1" w:styleId="45">
    <w:name w:val="Normal Table"/>
    <w:unhideWhenUsed/>
    <w:qFormat/>
    <w:uiPriority w:val="99"/>
    <w:tblPr>
      <w:tblCellMar>
        <w:top w:w="0" w:type="dxa"/>
        <w:left w:w="108" w:type="dxa"/>
        <w:bottom w:w="0" w:type="dxa"/>
        <w:right w:w="108" w:type="dxa"/>
      </w:tblCellMar>
    </w:tblPr>
  </w:style>
  <w:style w:type="paragraph" w:styleId="2">
    <w:name w:val="Body Text"/>
    <w:basedOn w:val="1"/>
    <w:link w:val="225"/>
    <w:qFormat/>
    <w:uiPriority w:val="0"/>
    <w:pPr>
      <w:spacing w:after="120" w:afterLines="0"/>
    </w:pPr>
  </w:style>
  <w:style w:type="paragraph" w:styleId="9">
    <w:name w:val="Normal Indent"/>
    <w:basedOn w:val="1"/>
    <w:qFormat/>
    <w:uiPriority w:val="0"/>
    <w:pPr>
      <w:adjustRightInd w:val="0"/>
      <w:spacing w:line="480" w:lineRule="atLeast"/>
      <w:ind w:firstLine="600"/>
      <w:textAlignment w:val="baseline"/>
    </w:pPr>
    <w:rPr>
      <w:rFonts w:eastAsia="仿宋_GB2312"/>
      <w:kern w:val="0"/>
      <w:sz w:val="30"/>
      <w:szCs w:val="20"/>
    </w:rPr>
  </w:style>
  <w:style w:type="paragraph" w:styleId="13">
    <w:name w:val="toc 7"/>
    <w:basedOn w:val="1"/>
    <w:next w:val="1"/>
    <w:qFormat/>
    <w:uiPriority w:val="39"/>
    <w:pPr>
      <w:ind w:left="1260"/>
      <w:jc w:val="left"/>
    </w:pPr>
    <w:rPr>
      <w:sz w:val="18"/>
      <w:szCs w:val="18"/>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162"/>
    <w:qFormat/>
    <w:uiPriority w:val="0"/>
    <w:pPr>
      <w:shd w:val="clear" w:color="auto" w:fill="000080"/>
    </w:pPr>
  </w:style>
  <w:style w:type="paragraph" w:styleId="16">
    <w:name w:val="annotation text"/>
    <w:basedOn w:val="1"/>
    <w:link w:val="305"/>
    <w:qFormat/>
    <w:uiPriority w:val="99"/>
    <w:pPr>
      <w:jc w:val="left"/>
    </w:pPr>
  </w:style>
  <w:style w:type="paragraph" w:styleId="17">
    <w:name w:val="Body Text 3"/>
    <w:basedOn w:val="1"/>
    <w:link w:val="257"/>
    <w:qFormat/>
    <w:uiPriority w:val="0"/>
    <w:pPr>
      <w:spacing w:after="120" w:afterLines="0"/>
    </w:pPr>
    <w:rPr>
      <w:sz w:val="16"/>
      <w:szCs w:val="16"/>
    </w:rPr>
  </w:style>
  <w:style w:type="paragraph" w:styleId="18">
    <w:name w:val="Body Text Indent"/>
    <w:basedOn w:val="1"/>
    <w:link w:val="240"/>
    <w:qFormat/>
    <w:uiPriority w:val="0"/>
    <w:pPr>
      <w:ind w:firstLine="407" w:firstLineChars="200"/>
    </w:p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index 4"/>
    <w:basedOn w:val="1"/>
    <w:next w:val="1"/>
    <w:qFormat/>
    <w:uiPriority w:val="0"/>
    <w:pPr>
      <w:ind w:left="600" w:leftChars="600"/>
    </w:pPr>
  </w:style>
  <w:style w:type="paragraph" w:styleId="21">
    <w:name w:val="toc 5"/>
    <w:basedOn w:val="1"/>
    <w:next w:val="1"/>
    <w:qFormat/>
    <w:uiPriority w:val="39"/>
    <w:pPr>
      <w:ind w:left="840"/>
      <w:jc w:val="left"/>
    </w:pPr>
    <w:rPr>
      <w:sz w:val="18"/>
      <w:szCs w:val="18"/>
    </w:rPr>
  </w:style>
  <w:style w:type="paragraph" w:styleId="22">
    <w:name w:val="toc 3"/>
    <w:basedOn w:val="5"/>
    <w:next w:val="1"/>
    <w:qFormat/>
    <w:uiPriority w:val="39"/>
    <w:pPr>
      <w:keepNext w:val="0"/>
      <w:keepLines w:val="0"/>
      <w:spacing w:before="0" w:after="0" w:line="240" w:lineRule="auto"/>
      <w:ind w:left="420"/>
      <w:jc w:val="left"/>
      <w:outlineLvl w:val="9"/>
    </w:pPr>
    <w:rPr>
      <w:b w:val="0"/>
      <w:bCs w:val="0"/>
      <w:i/>
      <w:iCs/>
      <w:sz w:val="20"/>
      <w:szCs w:val="20"/>
    </w:rPr>
  </w:style>
  <w:style w:type="paragraph" w:styleId="23">
    <w:name w:val="Plain Text"/>
    <w:basedOn w:val="1"/>
    <w:link w:val="202"/>
    <w:qFormat/>
    <w:uiPriority w:val="0"/>
    <w:rPr>
      <w:rFonts w:ascii="宋体" w:hAnsi="Courier New" w:cs="Courier New"/>
      <w:szCs w:val="21"/>
    </w:rPr>
  </w:style>
  <w:style w:type="paragraph" w:styleId="24">
    <w:name w:val="toc 8"/>
    <w:basedOn w:val="1"/>
    <w:next w:val="1"/>
    <w:qFormat/>
    <w:uiPriority w:val="39"/>
    <w:pPr>
      <w:ind w:left="1470"/>
      <w:jc w:val="left"/>
    </w:pPr>
    <w:rPr>
      <w:sz w:val="18"/>
      <w:szCs w:val="18"/>
    </w:rPr>
  </w:style>
  <w:style w:type="paragraph" w:styleId="25">
    <w:name w:val="Date"/>
    <w:basedOn w:val="1"/>
    <w:next w:val="1"/>
    <w:link w:val="166"/>
    <w:qFormat/>
    <w:uiPriority w:val="0"/>
    <w:pPr>
      <w:ind w:left="100" w:leftChars="2500"/>
    </w:pPr>
  </w:style>
  <w:style w:type="paragraph" w:styleId="26">
    <w:name w:val="Body Text Indent 2"/>
    <w:basedOn w:val="1"/>
    <w:link w:val="237"/>
    <w:qFormat/>
    <w:uiPriority w:val="0"/>
    <w:pPr>
      <w:widowControl/>
      <w:spacing w:line="480" w:lineRule="auto"/>
      <w:ind w:firstLine="560"/>
      <w:jc w:val="left"/>
    </w:pPr>
    <w:rPr>
      <w:kern w:val="0"/>
      <w:sz w:val="28"/>
    </w:rPr>
  </w:style>
  <w:style w:type="paragraph" w:styleId="27">
    <w:name w:val="endnote text"/>
    <w:basedOn w:val="1"/>
    <w:link w:val="210"/>
    <w:qFormat/>
    <w:uiPriority w:val="0"/>
    <w:pPr>
      <w:widowControl/>
      <w:snapToGrid w:val="0"/>
      <w:jc w:val="left"/>
    </w:pPr>
    <w:rPr>
      <w:rFonts w:ascii="Arial" w:hAnsi="Arial" w:cs="Arial"/>
      <w:kern w:val="0"/>
      <w:sz w:val="20"/>
      <w:lang w:eastAsia="en-US"/>
    </w:rPr>
  </w:style>
  <w:style w:type="paragraph" w:styleId="28">
    <w:name w:val="Balloon Text"/>
    <w:basedOn w:val="1"/>
    <w:link w:val="205"/>
    <w:qFormat/>
    <w:uiPriority w:val="0"/>
    <w:rPr>
      <w:sz w:val="18"/>
      <w:szCs w:val="18"/>
    </w:rPr>
  </w:style>
  <w:style w:type="paragraph" w:styleId="29">
    <w:name w:val="footer"/>
    <w:basedOn w:val="1"/>
    <w:link w:val="197"/>
    <w:qFormat/>
    <w:uiPriority w:val="0"/>
    <w:pPr>
      <w:tabs>
        <w:tab w:val="center" w:pos="4153"/>
        <w:tab w:val="right" w:pos="8306"/>
      </w:tabs>
      <w:snapToGrid w:val="0"/>
      <w:jc w:val="left"/>
    </w:pPr>
    <w:rPr>
      <w:sz w:val="18"/>
      <w:szCs w:val="18"/>
    </w:rPr>
  </w:style>
  <w:style w:type="paragraph" w:styleId="30">
    <w:name w:val="header"/>
    <w:basedOn w:val="1"/>
    <w:link w:val="291"/>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3"/>
    <w:next w:val="1"/>
    <w:qFormat/>
    <w:uiPriority w:val="39"/>
    <w:pPr>
      <w:keepNext w:val="0"/>
      <w:keepLines w:val="0"/>
      <w:spacing w:before="120" w:after="120" w:line="240" w:lineRule="auto"/>
      <w:jc w:val="left"/>
      <w:outlineLvl w:val="9"/>
    </w:pPr>
    <w:rPr>
      <w:caps/>
      <w:kern w:val="2"/>
      <w:sz w:val="20"/>
      <w:szCs w:val="20"/>
    </w:rPr>
  </w:style>
  <w:style w:type="paragraph" w:styleId="32">
    <w:name w:val="toc 4"/>
    <w:basedOn w:val="6"/>
    <w:next w:val="1"/>
    <w:qFormat/>
    <w:uiPriority w:val="39"/>
    <w:pPr>
      <w:widowControl w:val="0"/>
      <w:spacing w:before="0" w:beforeAutospacing="0" w:after="0" w:afterAutospacing="0"/>
      <w:ind w:left="630"/>
      <w:outlineLvl w:val="9"/>
    </w:pPr>
    <w:rPr>
      <w:rFonts w:ascii="Times New Roman" w:hAnsi="Times New Roman" w:cs="Times New Roman"/>
      <w:b w:val="0"/>
      <w:bCs w:val="0"/>
      <w:kern w:val="2"/>
      <w:sz w:val="18"/>
      <w:szCs w:val="18"/>
    </w:rPr>
  </w:style>
  <w:style w:type="paragraph" w:styleId="33">
    <w:name w:val="Subtitle"/>
    <w:basedOn w:val="1"/>
    <w:link w:val="307"/>
    <w:qFormat/>
    <w:uiPriority w:val="0"/>
    <w:pPr>
      <w:widowControl/>
      <w:jc w:val="center"/>
    </w:pPr>
    <w:rPr>
      <w:kern w:val="0"/>
      <w:sz w:val="20"/>
      <w:u w:val="single"/>
      <w:lang w:eastAsia="en-US"/>
    </w:rPr>
  </w:style>
  <w:style w:type="paragraph" w:styleId="34">
    <w:name w:val="footnote text"/>
    <w:basedOn w:val="1"/>
    <w:link w:val="285"/>
    <w:qFormat/>
    <w:uiPriority w:val="0"/>
    <w:pPr>
      <w:widowControl/>
      <w:snapToGrid w:val="0"/>
      <w:jc w:val="left"/>
    </w:pPr>
    <w:rPr>
      <w:rFonts w:ascii="Arial" w:hAnsi="Arial" w:cs="Arial"/>
      <w:kern w:val="0"/>
      <w:sz w:val="18"/>
      <w:szCs w:val="18"/>
      <w:lang w:eastAsia="en-US"/>
    </w:rPr>
  </w:style>
  <w:style w:type="paragraph" w:styleId="35">
    <w:name w:val="toc 6"/>
    <w:basedOn w:val="1"/>
    <w:next w:val="1"/>
    <w:qFormat/>
    <w:uiPriority w:val="39"/>
    <w:pPr>
      <w:ind w:left="1050"/>
      <w:jc w:val="left"/>
    </w:pPr>
    <w:rPr>
      <w:sz w:val="18"/>
      <w:szCs w:val="18"/>
    </w:rPr>
  </w:style>
  <w:style w:type="paragraph" w:styleId="36">
    <w:name w:val="Body Text Indent 3"/>
    <w:basedOn w:val="1"/>
    <w:link w:val="244"/>
    <w:qFormat/>
    <w:uiPriority w:val="0"/>
    <w:pPr>
      <w:spacing w:line="360" w:lineRule="auto"/>
      <w:ind w:firstLine="280" w:firstLineChars="100"/>
    </w:pPr>
    <w:rPr>
      <w:rFonts w:ascii="宋体" w:hAnsi="宋体"/>
      <w:sz w:val="28"/>
      <w:szCs w:val="28"/>
    </w:rPr>
  </w:style>
  <w:style w:type="paragraph" w:styleId="37">
    <w:name w:val="toc 2"/>
    <w:basedOn w:val="4"/>
    <w:next w:val="1"/>
    <w:qFormat/>
    <w:uiPriority w:val="39"/>
    <w:pPr>
      <w:keepNext w:val="0"/>
      <w:keepLines w:val="0"/>
      <w:spacing w:before="0" w:after="0" w:line="240" w:lineRule="auto"/>
      <w:ind w:left="210"/>
      <w:jc w:val="left"/>
      <w:outlineLvl w:val="9"/>
    </w:pPr>
    <w:rPr>
      <w:rFonts w:ascii="Times New Roman" w:hAnsi="Times New Roman"/>
      <w:b w:val="0"/>
      <w:bCs w:val="0"/>
      <w:smallCaps/>
      <w:sz w:val="20"/>
      <w:szCs w:val="20"/>
    </w:rPr>
  </w:style>
  <w:style w:type="paragraph" w:styleId="38">
    <w:name w:val="toc 9"/>
    <w:basedOn w:val="1"/>
    <w:next w:val="1"/>
    <w:qFormat/>
    <w:uiPriority w:val="39"/>
    <w:pPr>
      <w:ind w:left="1680"/>
      <w:jc w:val="left"/>
    </w:pPr>
    <w:rPr>
      <w:sz w:val="18"/>
      <w:szCs w:val="18"/>
    </w:rPr>
  </w:style>
  <w:style w:type="paragraph" w:styleId="39">
    <w:name w:val="Body Text 2"/>
    <w:basedOn w:val="1"/>
    <w:link w:val="231"/>
    <w:qFormat/>
    <w:uiPriority w:val="0"/>
    <w:rPr>
      <w:i/>
      <w:iCs/>
      <w:sz w:val="26"/>
    </w:rPr>
  </w:style>
  <w:style w:type="paragraph" w:styleId="40">
    <w:name w:val="HTML Preformatted"/>
    <w:basedOn w:val="1"/>
    <w:link w:val="161"/>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rPr>
  </w:style>
  <w:style w:type="paragraph" w:styleId="41">
    <w:name w:val="Normal (Web)"/>
    <w:basedOn w:val="1"/>
    <w:unhideWhenUsed/>
    <w:qFormat/>
    <w:uiPriority w:val="0"/>
    <w:pPr>
      <w:widowControl/>
      <w:spacing w:before="100" w:beforeLines="0" w:beforeAutospacing="1" w:after="100" w:afterLines="0" w:afterAutospacing="1"/>
      <w:jc w:val="left"/>
    </w:pPr>
    <w:rPr>
      <w:rFonts w:ascii="宋体" w:hAnsi="宋体" w:cs="宋体"/>
      <w:kern w:val="0"/>
      <w:sz w:val="24"/>
    </w:rPr>
  </w:style>
  <w:style w:type="paragraph" w:styleId="42">
    <w:name w:val="index 1"/>
    <w:basedOn w:val="1"/>
    <w:next w:val="1"/>
    <w:qFormat/>
    <w:uiPriority w:val="0"/>
    <w:pPr>
      <w:spacing w:line="220" w:lineRule="exact"/>
      <w:jc w:val="center"/>
    </w:pPr>
    <w:rPr>
      <w:rFonts w:ascii="仿宋_GB2312" w:eastAsia="仿宋_GB2312"/>
      <w:szCs w:val="21"/>
    </w:rPr>
  </w:style>
  <w:style w:type="paragraph" w:styleId="43">
    <w:name w:val="Title"/>
    <w:basedOn w:val="1"/>
    <w:link w:val="236"/>
    <w:qFormat/>
    <w:uiPriority w:val="0"/>
    <w:pPr>
      <w:widowControl/>
      <w:jc w:val="center"/>
    </w:pPr>
    <w:rPr>
      <w:kern w:val="0"/>
      <w:sz w:val="20"/>
      <w:u w:val="single"/>
      <w:lang w:eastAsia="en-US"/>
    </w:rPr>
  </w:style>
  <w:style w:type="paragraph" w:styleId="44">
    <w:name w:val="annotation subject"/>
    <w:basedOn w:val="16"/>
    <w:next w:val="16"/>
    <w:link w:val="280"/>
    <w:qFormat/>
    <w:uiPriority w:val="0"/>
    <w:rPr>
      <w:b/>
      <w:bCs/>
    </w:rPr>
  </w:style>
  <w:style w:type="table" w:styleId="46">
    <w:name w:val="Table Grid"/>
    <w:basedOn w:val="45"/>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8">
    <w:name w:val="Strong"/>
    <w:qFormat/>
    <w:uiPriority w:val="0"/>
    <w:rPr>
      <w:b/>
      <w:bCs/>
    </w:rPr>
  </w:style>
  <w:style w:type="character" w:styleId="49">
    <w:name w:val="endnote reference"/>
    <w:qFormat/>
    <w:uiPriority w:val="0"/>
    <w:rPr>
      <w:vertAlign w:val="superscript"/>
    </w:rPr>
  </w:style>
  <w:style w:type="character" w:styleId="50">
    <w:name w:val="page number"/>
    <w:basedOn w:val="47"/>
    <w:qFormat/>
    <w:uiPriority w:val="0"/>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99"/>
    <w:rPr>
      <w:color w:val="0000FF"/>
      <w:u w:val="single"/>
    </w:rPr>
  </w:style>
  <w:style w:type="character" w:styleId="54">
    <w:name w:val="annotation reference"/>
    <w:qFormat/>
    <w:uiPriority w:val="0"/>
    <w:rPr>
      <w:sz w:val="21"/>
      <w:szCs w:val="21"/>
    </w:rPr>
  </w:style>
  <w:style w:type="character" w:styleId="55">
    <w:name w:val="footnote reference"/>
    <w:qFormat/>
    <w:uiPriority w:val="0"/>
    <w:rPr>
      <w:vertAlign w:val="superscript"/>
    </w:rPr>
  </w:style>
  <w:style w:type="paragraph" w:styleId="56">
    <w:name w:val="List Paragraph"/>
    <w:basedOn w:val="1"/>
    <w:qFormat/>
    <w:uiPriority w:val="99"/>
    <w:pPr>
      <w:ind w:firstLine="420" w:firstLineChars="200"/>
    </w:pPr>
    <w:rPr>
      <w:sz w:val="28"/>
      <w:szCs w:val="28"/>
    </w:rPr>
  </w:style>
  <w:style w:type="paragraph" w:customStyle="1" w:styleId="57">
    <w:name w:val="_Style 56"/>
    <w:basedOn w:val="3"/>
    <w:next w:val="1"/>
    <w:qFormat/>
    <w:uiPriority w:val="39"/>
    <w:pPr>
      <w:widowControl/>
      <w:spacing w:before="480" w:beforeLines="0" w:after="0" w:afterLines="0" w:line="276" w:lineRule="auto"/>
      <w:jc w:val="left"/>
      <w:outlineLvl w:val="9"/>
    </w:pPr>
    <w:rPr>
      <w:rFonts w:ascii="Cambria" w:hAnsi="Cambria"/>
      <w:color w:val="365F91"/>
      <w:kern w:val="0"/>
      <w:sz w:val="28"/>
      <w:szCs w:val="28"/>
    </w:rPr>
  </w:style>
  <w:style w:type="paragraph" w:customStyle="1" w:styleId="58">
    <w:name w:val="zz"/>
    <w:basedOn w:val="1"/>
    <w:qFormat/>
    <w:uiPriority w:val="0"/>
    <w:pPr>
      <w:widowControl/>
      <w:spacing w:before="30" w:beforeLines="0"/>
      <w:jc w:val="right"/>
    </w:pPr>
    <w:rPr>
      <w:rFonts w:ascii="方正书宋简体" w:hAnsi="宋体" w:eastAsia="方正书宋简体"/>
      <w:color w:val="000000"/>
      <w:kern w:val="0"/>
      <w:szCs w:val="21"/>
    </w:rPr>
  </w:style>
  <w:style w:type="paragraph" w:customStyle="1" w:styleId="59">
    <w:name w:val="Char Char Char Char Char Char Char Char Char Char Char Char Char Char Char Char"/>
    <w:basedOn w:val="15"/>
    <w:qFormat/>
    <w:uiPriority w:val="0"/>
    <w:pPr>
      <w:spacing w:line="360" w:lineRule="auto"/>
      <w:ind w:firstLine="200" w:firstLineChars="200"/>
    </w:pPr>
    <w:rPr>
      <w:rFonts w:ascii="Tahoma" w:hAnsi="Tahoma" w:eastAsia="宋体" w:cs="Times New Roman"/>
      <w:sz w:val="24"/>
    </w:rPr>
  </w:style>
  <w:style w:type="paragraph" w:customStyle="1" w:styleId="60">
    <w:name w:val="mtitle"/>
    <w:basedOn w:val="1"/>
    <w:qFormat/>
    <w:uiPriority w:val="0"/>
    <w:pPr>
      <w:widowControl/>
      <w:spacing w:before="30" w:beforeLines="0"/>
      <w:jc w:val="center"/>
    </w:pPr>
    <w:rPr>
      <w:rFonts w:ascii="方正小标宋简体" w:hAnsi="宋体" w:eastAsia="方正小标宋简体"/>
      <w:color w:val="000000"/>
      <w:kern w:val="0"/>
      <w:sz w:val="44"/>
      <w:szCs w:val="44"/>
    </w:rPr>
  </w:style>
  <w:style w:type="paragraph" w:customStyle="1" w:styleId="61">
    <w:name w:val="zw"/>
    <w:basedOn w:val="1"/>
    <w:qFormat/>
    <w:uiPriority w:val="0"/>
    <w:pPr>
      <w:widowControl/>
      <w:spacing w:before="30" w:beforeLines="0"/>
      <w:ind w:left="100" w:right="100"/>
    </w:pPr>
    <w:rPr>
      <w:rFonts w:ascii="方正书宋简体" w:hAnsi="宋体" w:eastAsia="方正书宋简体"/>
      <w:color w:val="000000"/>
      <w:kern w:val="0"/>
      <w:szCs w:val="21"/>
    </w:rPr>
  </w:style>
  <w:style w:type="paragraph" w:customStyle="1" w:styleId="62">
    <w:name w:val="1 Char"/>
    <w:basedOn w:val="1"/>
    <w:qFormat/>
    <w:uiPriority w:val="0"/>
    <w:pPr>
      <w:widowControl/>
      <w:spacing w:after="160" w:line="240" w:lineRule="exact"/>
      <w:jc w:val="left"/>
    </w:pPr>
    <w:rPr>
      <w:rFonts w:ascii="Calibri" w:hAnsi="Calibri"/>
      <w:szCs w:val="20"/>
    </w:rPr>
  </w:style>
  <w:style w:type="paragraph" w:customStyle="1" w:styleId="63">
    <w:name w:val="列表段落1"/>
    <w:basedOn w:val="1"/>
    <w:qFormat/>
    <w:uiPriority w:val="34"/>
    <w:pPr>
      <w:ind w:firstLine="420" w:firstLineChars="200"/>
    </w:pPr>
    <w:rPr>
      <w:rFonts w:ascii="Calibri" w:hAnsi="Calibri"/>
    </w:rPr>
  </w:style>
  <w:style w:type="paragraph" w:customStyle="1" w:styleId="64">
    <w:name w:val="Char Char Char Char Char Char Char Char Char Char"/>
    <w:basedOn w:val="15"/>
    <w:qFormat/>
    <w:uiPriority w:val="0"/>
    <w:pPr>
      <w:spacing w:line="360" w:lineRule="auto"/>
      <w:ind w:firstLine="200" w:firstLineChars="200"/>
    </w:pPr>
    <w:rPr>
      <w:rFonts w:ascii="Tahoma" w:hAnsi="Tahoma" w:eastAsia="宋体" w:cs="Times New Roman"/>
      <w:sz w:val="24"/>
    </w:rPr>
  </w:style>
  <w:style w:type="paragraph" w:customStyle="1" w:styleId="65">
    <w:name w:val="样式 标题 3 + (中文) 黑体 小四 非加粗 段前: 7.8 磅 段后: 0 磅 行距: 固定值 20 磅"/>
    <w:basedOn w:val="5"/>
    <w:next w:val="1"/>
    <w:qFormat/>
    <w:uiPriority w:val="0"/>
    <w:pPr>
      <w:spacing w:before="0" w:beforeLines="0" w:after="0" w:afterLines="0" w:line="400" w:lineRule="exact"/>
    </w:pPr>
    <w:rPr>
      <w:rFonts w:eastAsia="黑体" w:cs="宋体"/>
      <w:b w:val="0"/>
      <w:bCs w:val="0"/>
      <w:sz w:val="24"/>
      <w:szCs w:val="20"/>
    </w:rPr>
  </w:style>
  <w:style w:type="paragraph" w:customStyle="1" w:styleId="66">
    <w:name w:val="正文 New New New New New New New New New New New New New New New"/>
    <w:qFormat/>
    <w:uiPriority w:val="0"/>
    <w:pPr>
      <w:widowControl w:val="0"/>
      <w:jc w:val="both"/>
    </w:pPr>
    <w:rPr>
      <w:rFonts w:ascii="Calibri" w:hAnsi="Calibri" w:eastAsia="宋体" w:cs="Times New Roman"/>
      <w:kern w:val="2"/>
      <w:sz w:val="21"/>
      <w:lang w:val="en-US" w:eastAsia="zh-CN" w:bidi="ar-SA"/>
    </w:rPr>
  </w:style>
  <w:style w:type="paragraph" w:customStyle="1" w:styleId="67">
    <w:name w:val="TOC 标题2"/>
    <w:basedOn w:val="3"/>
    <w:next w:val="1"/>
    <w:unhideWhenUsed/>
    <w:qFormat/>
    <w:uiPriority w:val="0"/>
    <w:pPr>
      <w:outlineLvl w:val="9"/>
    </w:pPr>
    <w:rPr>
      <w:rFonts w:ascii="Calibri" w:hAnsi="Calibri"/>
    </w:rPr>
  </w:style>
  <w:style w:type="paragraph" w:customStyle="1" w:styleId="68">
    <w:name w:val="样式1"/>
    <w:basedOn w:val="1"/>
    <w:next w:val="6"/>
    <w:qFormat/>
    <w:uiPriority w:val="0"/>
    <w:pPr>
      <w:spacing w:line="360" w:lineRule="auto"/>
      <w:ind w:firstLine="420" w:firstLineChars="200"/>
    </w:pPr>
    <w:rPr>
      <w:rFonts w:ascii="宋体" w:hAnsi="宋体"/>
      <w:szCs w:val="21"/>
    </w:rPr>
  </w:style>
  <w:style w:type="paragraph" w:customStyle="1" w:styleId="69">
    <w:name w:val="列出段落1"/>
    <w:basedOn w:val="1"/>
    <w:qFormat/>
    <w:uiPriority w:val="0"/>
    <w:pPr>
      <w:ind w:firstLine="420" w:firstLineChars="200"/>
    </w:pPr>
    <w:rPr>
      <w:sz w:val="28"/>
      <w:szCs w:val="28"/>
    </w:rPr>
  </w:style>
  <w:style w:type="paragraph" w:customStyle="1" w:styleId="70">
    <w:name w:val="g2"/>
    <w:basedOn w:val="1"/>
    <w:qFormat/>
    <w:uiPriority w:val="0"/>
    <w:pPr>
      <w:widowControl/>
      <w:spacing w:before="100" w:beforeLines="0" w:beforeAutospacing="1" w:after="100" w:afterLines="0" w:afterAutospacing="1"/>
      <w:jc w:val="left"/>
    </w:pPr>
    <w:rPr>
      <w:rFonts w:ascii="仿宋_GB2312" w:hAnsi="宋体" w:eastAsia="仿宋_GB2312" w:cs="宋体"/>
      <w:kern w:val="0"/>
      <w:sz w:val="17"/>
      <w:szCs w:val="17"/>
    </w:rPr>
  </w:style>
  <w:style w:type="paragraph" w:customStyle="1" w:styleId="71">
    <w:name w:val="pa-27"/>
    <w:basedOn w:val="1"/>
    <w:qFormat/>
    <w:uiPriority w:val="0"/>
    <w:pPr>
      <w:widowControl/>
      <w:spacing w:line="360" w:lineRule="atLeast"/>
      <w:ind w:firstLine="420"/>
    </w:pPr>
    <w:rPr>
      <w:rFonts w:ascii="宋体" w:hAnsi="宋体" w:cs="宋体"/>
      <w:kern w:val="0"/>
      <w:sz w:val="24"/>
    </w:rPr>
  </w:style>
  <w:style w:type="paragraph" w:customStyle="1" w:styleId="72">
    <w:name w:val="标题1"/>
    <w:basedOn w:val="1"/>
    <w:qFormat/>
    <w:uiPriority w:val="0"/>
    <w:pPr>
      <w:widowControl/>
      <w:spacing w:before="100" w:beforeAutospacing="1" w:after="100" w:afterAutospacing="1"/>
      <w:jc w:val="left"/>
    </w:pPr>
    <w:rPr>
      <w:rFonts w:ascii="宋体" w:hAnsi="宋体" w:cs="宋体"/>
      <w:kern w:val="0"/>
      <w:sz w:val="24"/>
    </w:rPr>
  </w:style>
  <w:style w:type="paragraph" w:customStyle="1" w:styleId="73">
    <w:name w:val="_Style 72"/>
    <w:qFormat/>
    <w:uiPriority w:val="0"/>
    <w:rPr>
      <w:rFonts w:ascii="Times New Roman" w:hAnsi="Times New Roman" w:eastAsia="宋体" w:cs="Times New Roman"/>
      <w:kern w:val="2"/>
      <w:sz w:val="21"/>
      <w:szCs w:val="24"/>
      <w:lang w:val="en-US" w:eastAsia="zh-CN" w:bidi="ar-SA"/>
    </w:rPr>
  </w:style>
  <w:style w:type="paragraph" w:customStyle="1" w:styleId="74">
    <w:name w:val="Char Char1 Char Char Char Char Char Char Char Char Char Char"/>
    <w:basedOn w:val="1"/>
    <w:qFormat/>
    <w:uiPriority w:val="0"/>
    <w:pPr>
      <w:autoSpaceDE w:val="0"/>
      <w:autoSpaceDN w:val="0"/>
      <w:adjustRightInd w:val="0"/>
      <w:ind w:firstLine="482"/>
    </w:pPr>
    <w:rPr>
      <w:rFonts w:ascii="Calibri" w:hAnsi="Calibri"/>
      <w:szCs w:val="20"/>
    </w:rPr>
  </w:style>
  <w:style w:type="paragraph" w:customStyle="1" w:styleId="75">
    <w:name w:val="_Style 3"/>
    <w:qFormat/>
    <w:uiPriority w:val="0"/>
    <w:pPr>
      <w:widowControl w:val="0"/>
      <w:snapToGrid w:val="0"/>
      <w:spacing w:line="360" w:lineRule="auto"/>
    </w:pPr>
    <w:rPr>
      <w:rFonts w:ascii="Calibri" w:hAnsi="Calibri" w:eastAsia="宋体" w:cs="Times New Roman"/>
      <w:snapToGrid w:val="0"/>
      <w:sz w:val="21"/>
      <w:szCs w:val="24"/>
      <w:lang w:val="en-US" w:eastAsia="zh-CN" w:bidi="ar-SA"/>
    </w:rPr>
  </w:style>
  <w:style w:type="paragraph" w:customStyle="1" w:styleId="76">
    <w:name w:val="Char Char Char Char"/>
    <w:basedOn w:val="15"/>
    <w:qFormat/>
    <w:uiPriority w:val="0"/>
    <w:pPr>
      <w:spacing w:line="360" w:lineRule="auto"/>
      <w:ind w:firstLine="200" w:firstLineChars="200"/>
    </w:pPr>
    <w:rPr>
      <w:rFonts w:ascii="Tahoma" w:hAnsi="Tahoma" w:eastAsia="宋体" w:cs="Times New Roman"/>
      <w:sz w:val="24"/>
    </w:rPr>
  </w:style>
  <w:style w:type="paragraph" w:customStyle="1" w:styleId="77">
    <w:name w:val="表格内容"/>
    <w:basedOn w:val="1"/>
    <w:qFormat/>
    <w:uiPriority w:val="0"/>
    <w:pPr>
      <w:suppressLineNumbers/>
      <w:suppressAutoHyphens/>
    </w:pPr>
  </w:style>
  <w:style w:type="paragraph" w:customStyle="1" w:styleId="78">
    <w:name w:val="_Style 90"/>
    <w:next w:val="1"/>
    <w:qFormat/>
    <w:uiPriority w:val="0"/>
    <w:pPr>
      <w:widowControl w:val="0"/>
      <w:jc w:val="both"/>
    </w:pPr>
    <w:rPr>
      <w:rFonts w:ascii="Calibri" w:hAnsi="Calibri" w:eastAsia="宋体" w:cs="Times New Roman"/>
      <w:kern w:val="2"/>
      <w:sz w:val="21"/>
      <w:szCs w:val="24"/>
      <w:lang w:val="en-US" w:eastAsia="zh-CN" w:bidi="ar-SA"/>
    </w:rPr>
  </w:style>
  <w:style w:type="paragraph" w:customStyle="1" w:styleId="79">
    <w:name w:val="标准样式（文件）"/>
    <w:qFormat/>
    <w:uiPriority w:val="0"/>
    <w:pPr>
      <w:widowControl w:val="0"/>
      <w:spacing w:line="600" w:lineRule="exact"/>
      <w:ind w:firstLine="567"/>
    </w:pPr>
    <w:rPr>
      <w:rFonts w:ascii="Calibri" w:hAnsi="Calibri" w:eastAsia="宋体" w:cs="Times New Roman"/>
      <w:sz w:val="28"/>
      <w:lang w:val="en-US" w:eastAsia="zh-CN" w:bidi="ar-SA"/>
    </w:rPr>
  </w:style>
  <w:style w:type="paragraph" w:customStyle="1" w:styleId="80">
    <w:name w:val="_Style 105"/>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styleId="81">
    <w:name w:val="Intense Quote"/>
    <w:basedOn w:val="1"/>
    <w:next w:val="1"/>
    <w:link w:val="275"/>
    <w:qFormat/>
    <w:uiPriority w:val="0"/>
    <w:pPr>
      <w:pBdr>
        <w:bottom w:val="single" w:color="4F81BD" w:sz="4" w:space="4"/>
      </w:pBdr>
      <w:spacing w:before="200" w:beforeLines="0" w:after="280" w:afterLines="0"/>
      <w:ind w:left="936" w:right="936"/>
    </w:pPr>
    <w:rPr>
      <w:b/>
      <w:bCs/>
      <w:i/>
      <w:iCs/>
      <w:color w:val="4F81BD"/>
      <w:szCs w:val="22"/>
    </w:rPr>
  </w:style>
  <w:style w:type="paragraph" w:customStyle="1" w:styleId="82">
    <w:name w:val="表体"/>
    <w:basedOn w:val="1"/>
    <w:next w:val="1"/>
    <w:qFormat/>
    <w:uiPriority w:val="0"/>
    <w:pPr>
      <w:spacing w:line="0" w:lineRule="atLeast"/>
    </w:pPr>
    <w:rPr>
      <w:rFonts w:ascii="Calibri" w:hAnsi="Calibri"/>
      <w:b/>
      <w:snapToGrid w:val="0"/>
      <w:szCs w:val="20"/>
    </w:rPr>
  </w:style>
  <w:style w:type="paragraph" w:customStyle="1" w:styleId="83">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lang w:val="en-US" w:eastAsia="zh-CN" w:bidi="ar-SA"/>
    </w:rPr>
  </w:style>
  <w:style w:type="paragraph" w:customStyle="1" w:styleId="84">
    <w:name w:val="pa-34"/>
    <w:basedOn w:val="1"/>
    <w:qFormat/>
    <w:uiPriority w:val="0"/>
    <w:pPr>
      <w:widowControl/>
      <w:spacing w:line="360" w:lineRule="atLeast"/>
      <w:ind w:firstLine="420"/>
      <w:jc w:val="left"/>
    </w:pPr>
    <w:rPr>
      <w:rFonts w:ascii="宋体" w:hAnsi="宋体" w:cs="宋体"/>
      <w:kern w:val="0"/>
      <w:sz w:val="24"/>
    </w:rPr>
  </w:style>
  <w:style w:type="paragraph" w:customStyle="1" w:styleId="85">
    <w:name w:val="g3"/>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86">
    <w:name w:val="1"/>
    <w:basedOn w:val="1"/>
    <w:qFormat/>
    <w:uiPriority w:val="0"/>
    <w:pPr>
      <w:widowControl/>
      <w:spacing w:before="100" w:beforeLines="0" w:beforeAutospacing="1" w:after="100" w:afterLines="0" w:afterAutospacing="1"/>
      <w:jc w:val="left"/>
    </w:pPr>
    <w:rPr>
      <w:rFonts w:ascii="ˎ̥" w:hAnsi="ˎ̥" w:cs="宋体"/>
      <w:kern w:val="0"/>
      <w:sz w:val="24"/>
    </w:rPr>
  </w:style>
  <w:style w:type="paragraph" w:customStyle="1" w:styleId="87">
    <w:name w:val="p16"/>
    <w:basedOn w:val="1"/>
    <w:qFormat/>
    <w:uiPriority w:val="0"/>
    <w:pPr>
      <w:widowControl/>
    </w:pPr>
    <w:rPr>
      <w:rFonts w:ascii="Calibri" w:hAnsi="Calibri" w:cs="宋体"/>
      <w:kern w:val="0"/>
      <w:szCs w:val="21"/>
    </w:rPr>
  </w:style>
  <w:style w:type="paragraph" w:customStyle="1" w:styleId="88">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89">
    <w:name w:val="l-2"/>
    <w:basedOn w:val="1"/>
    <w:qFormat/>
    <w:uiPriority w:val="0"/>
    <w:pPr>
      <w:widowControl/>
      <w:spacing w:before="100" w:beforeLines="0" w:beforeAutospacing="1" w:after="100" w:afterLines="0" w:afterAutospacing="1"/>
      <w:jc w:val="left"/>
    </w:pPr>
    <w:rPr>
      <w:rFonts w:ascii="宋体" w:hAnsi="宋体" w:cs="宋体"/>
      <w:b/>
      <w:bCs/>
      <w:color w:val="000000"/>
      <w:kern w:val="0"/>
      <w:sz w:val="13"/>
      <w:szCs w:val="13"/>
    </w:rPr>
  </w:style>
  <w:style w:type="paragraph" w:customStyle="1" w:styleId="90">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91">
    <w:name w:val="标题4"/>
    <w:basedOn w:val="4"/>
    <w:next w:val="20"/>
    <w:link w:val="286"/>
    <w:qFormat/>
    <w:uiPriority w:val="0"/>
    <w:pPr>
      <w:spacing w:line="413" w:lineRule="auto"/>
    </w:pPr>
    <w:rPr>
      <w:rFonts w:ascii="Arial" w:hAnsi="Arial"/>
      <w:kern w:val="0"/>
      <w:sz w:val="24"/>
    </w:rPr>
  </w:style>
  <w:style w:type="paragraph" w:customStyle="1" w:styleId="92">
    <w:name w:val="Char Char"/>
    <w:basedOn w:val="1"/>
    <w:qFormat/>
    <w:uiPriority w:val="0"/>
    <w:pPr>
      <w:widowControl/>
      <w:jc w:val="left"/>
    </w:pPr>
    <w:rPr>
      <w:rFonts w:ascii="Verdana" w:hAnsi="Verdana" w:eastAsia="Times New Roman"/>
      <w:kern w:val="0"/>
      <w:sz w:val="16"/>
      <w:szCs w:val="20"/>
      <w:lang w:eastAsia="en-US"/>
    </w:rPr>
  </w:style>
  <w:style w:type="paragraph" w:customStyle="1" w:styleId="93">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94">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95">
    <w:name w:val="WW-表格内容"/>
    <w:basedOn w:val="1"/>
    <w:qFormat/>
    <w:uiPriority w:val="0"/>
    <w:pPr>
      <w:suppressLineNumbers/>
      <w:suppressAutoHyphens/>
    </w:pPr>
  </w:style>
  <w:style w:type="paragraph" w:customStyle="1" w:styleId="96">
    <w:name w:val="Char"/>
    <w:basedOn w:val="1"/>
    <w:qFormat/>
    <w:uiPriority w:val="0"/>
  </w:style>
  <w:style w:type="paragraph" w:customStyle="1" w:styleId="97">
    <w:name w:val="明显引用11"/>
    <w:basedOn w:val="1"/>
    <w:next w:val="1"/>
    <w:qFormat/>
    <w:uiPriority w:val="30"/>
    <w:pPr>
      <w:pBdr>
        <w:bottom w:val="single" w:color="4F81BD" w:sz="4" w:space="4"/>
      </w:pBdr>
      <w:spacing w:before="200" w:after="280"/>
      <w:ind w:left="936" w:right="936"/>
    </w:pPr>
    <w:rPr>
      <w:rFonts w:ascii="Calibri" w:hAnsi="Calibri" w:eastAsia="宋体" w:cs="Times New Roman"/>
      <w:b/>
      <w:bCs/>
      <w:i/>
      <w:iCs/>
      <w:color w:val="4F81BD"/>
      <w:szCs w:val="22"/>
    </w:rPr>
  </w:style>
  <w:style w:type="paragraph" w:customStyle="1" w:styleId="98">
    <w:name w:val="Normal_47"/>
    <w:qFormat/>
    <w:uiPriority w:val="0"/>
    <w:pPr>
      <w:spacing w:before="120" w:after="240"/>
      <w:jc w:val="both"/>
    </w:pPr>
    <w:rPr>
      <w:rFonts w:ascii="Calibri" w:hAnsi="Calibri" w:eastAsia="Calibri" w:cs="Times New Roman"/>
      <w:sz w:val="22"/>
      <w:szCs w:val="22"/>
      <w:lang w:val="ru-RU" w:eastAsia="en-US" w:bidi="ar-SA"/>
    </w:rPr>
  </w:style>
  <w:style w:type="paragraph" w:customStyle="1" w:styleId="99">
    <w:name w:val="样式15"/>
    <w:basedOn w:val="5"/>
    <w:qFormat/>
    <w:uiPriority w:val="0"/>
    <w:pPr>
      <w:keepNext w:val="0"/>
      <w:keepLines w:val="0"/>
      <w:tabs>
        <w:tab w:val="left" w:pos="0"/>
        <w:tab w:val="left" w:pos="210"/>
        <w:tab w:val="left" w:pos="420"/>
        <w:tab w:val="left" w:pos="1260"/>
      </w:tabs>
      <w:adjustRightInd w:val="0"/>
      <w:spacing w:before="0" w:after="0" w:line="240" w:lineRule="auto"/>
      <w:jc w:val="left"/>
    </w:pPr>
    <w:rPr>
      <w:rFonts w:ascii="仿宋_GB2312" w:hAnsi="Calibri" w:eastAsia="仿宋_GB2312"/>
      <w:bCs w:val="0"/>
      <w:szCs w:val="24"/>
    </w:rPr>
  </w:style>
  <w:style w:type="paragraph" w:customStyle="1" w:styleId="100">
    <w:name w:val="rr"/>
    <w:basedOn w:val="1"/>
    <w:qFormat/>
    <w:uiPriority w:val="0"/>
    <w:pPr>
      <w:widowControl/>
      <w:spacing w:before="100" w:beforeLines="0" w:beforeAutospacing="1" w:after="100" w:afterLines="0" w:afterAutospacing="1"/>
      <w:jc w:val="left"/>
    </w:pPr>
    <w:rPr>
      <w:rFonts w:hint="eastAsia" w:ascii="宋体" w:hAnsi="宋体"/>
      <w:kern w:val="0"/>
      <w:szCs w:val="21"/>
    </w:rPr>
  </w:style>
  <w:style w:type="paragraph" w:customStyle="1" w:styleId="101">
    <w:name w:val="Char9 Char Char Char Char Char Char"/>
    <w:basedOn w:val="15"/>
    <w:qFormat/>
    <w:uiPriority w:val="0"/>
    <w:pPr>
      <w:spacing w:line="360" w:lineRule="auto"/>
      <w:ind w:firstLine="200" w:firstLineChars="200"/>
    </w:pPr>
    <w:rPr>
      <w:rFonts w:ascii="Tahoma" w:hAnsi="Tahoma" w:eastAsia="宋体" w:cs="Times New Roman"/>
      <w:sz w:val="24"/>
    </w:rPr>
  </w:style>
  <w:style w:type="paragraph" w:customStyle="1" w:styleId="102">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03">
    <w:name w:val="Default"/>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104">
    <w:name w:val="p15"/>
    <w:basedOn w:val="1"/>
    <w:qFormat/>
    <w:uiPriority w:val="0"/>
    <w:pPr>
      <w:widowControl/>
      <w:spacing w:after="120" w:afterLines="0"/>
    </w:pPr>
    <w:rPr>
      <w:kern w:val="0"/>
      <w:szCs w:val="21"/>
    </w:rPr>
  </w:style>
  <w:style w:type="paragraph" w:customStyle="1" w:styleId="105">
    <w:name w:val="rw"/>
    <w:basedOn w:val="1"/>
    <w:qFormat/>
    <w:uiPriority w:val="0"/>
    <w:pPr>
      <w:widowControl/>
      <w:spacing w:before="30" w:beforeLines="0"/>
      <w:ind w:left="100" w:right="100"/>
      <w:jc w:val="right"/>
    </w:pPr>
    <w:rPr>
      <w:rFonts w:ascii="方正仿宋简体" w:hAnsi="宋体" w:eastAsia="方正仿宋简体"/>
      <w:color w:val="000000"/>
      <w:kern w:val="0"/>
      <w:szCs w:val="21"/>
    </w:rPr>
  </w:style>
  <w:style w:type="paragraph" w:customStyle="1" w:styleId="106">
    <w:name w:val="正  文"/>
    <w:basedOn w:val="1"/>
    <w:qFormat/>
    <w:uiPriority w:val="0"/>
    <w:pPr>
      <w:spacing w:line="360" w:lineRule="auto"/>
      <w:ind w:firstLine="200" w:firstLineChars="200"/>
    </w:pPr>
    <w:rPr>
      <w:rFonts w:ascii="宋体" w:hAnsi="Calibri"/>
      <w:sz w:val="24"/>
    </w:rPr>
  </w:style>
  <w:style w:type="paragraph" w:customStyle="1" w:styleId="107">
    <w:name w:val="列出段落11"/>
    <w:basedOn w:val="1"/>
    <w:qFormat/>
    <w:uiPriority w:val="0"/>
    <w:pPr>
      <w:ind w:firstLine="420" w:firstLineChars="200"/>
    </w:pPr>
    <w:rPr>
      <w:sz w:val="28"/>
      <w:szCs w:val="28"/>
    </w:rPr>
  </w:style>
  <w:style w:type="paragraph" w:customStyle="1" w:styleId="108">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09">
    <w:name w:val="样式 标题 1 + 黑体 三号 非加粗 居中 段前: 6 磅 段后: 6 磅 行距: 固定值 20 磅"/>
    <w:basedOn w:val="3"/>
    <w:qFormat/>
    <w:uiPriority w:val="0"/>
    <w:pPr>
      <w:spacing w:before="120" w:beforeLines="0" w:after="120" w:afterLines="0" w:line="400" w:lineRule="exact"/>
      <w:jc w:val="center"/>
    </w:pPr>
    <w:rPr>
      <w:rFonts w:ascii="黑体" w:hAnsi="黑体" w:eastAsia="黑体" w:cs="宋体"/>
      <w:b w:val="0"/>
      <w:bCs w:val="0"/>
      <w:sz w:val="32"/>
      <w:szCs w:val="20"/>
    </w:rPr>
  </w:style>
  <w:style w:type="paragraph" w:customStyle="1" w:styleId="110">
    <w:name w:val="_Style 96"/>
    <w:semiHidden/>
    <w:qFormat/>
    <w:uiPriority w:val="99"/>
    <w:rPr>
      <w:rFonts w:ascii="Calibri" w:hAnsi="Calibri" w:eastAsia="宋体" w:cs="Times New Roman"/>
      <w:kern w:val="2"/>
      <w:sz w:val="21"/>
      <w:szCs w:val="24"/>
      <w:lang w:val="en-US" w:eastAsia="zh-CN" w:bidi="ar-SA"/>
    </w:rPr>
  </w:style>
  <w:style w:type="paragraph" w:customStyle="1" w:styleId="111">
    <w:name w:val="表格文字"/>
    <w:basedOn w:val="1"/>
    <w:qFormat/>
    <w:uiPriority w:val="0"/>
    <w:pPr>
      <w:adjustRightInd w:val="0"/>
      <w:spacing w:line="420" w:lineRule="atLeast"/>
      <w:jc w:val="left"/>
      <w:textAlignment w:val="baseline"/>
    </w:pPr>
    <w:rPr>
      <w:kern w:val="0"/>
      <w:szCs w:val="20"/>
    </w:rPr>
  </w:style>
  <w:style w:type="paragraph" w:customStyle="1" w:styleId="112">
    <w:name w:val="表格"/>
    <w:basedOn w:val="1"/>
    <w:qFormat/>
    <w:uiPriority w:val="0"/>
    <w:pPr>
      <w:jc w:val="center"/>
      <w:textAlignment w:val="center"/>
    </w:pPr>
    <w:rPr>
      <w:rFonts w:ascii="华文细黑" w:hAnsi="华文细黑"/>
      <w:kern w:val="0"/>
      <w:szCs w:val="20"/>
    </w:rPr>
  </w:style>
  <w:style w:type="paragraph" w:customStyle="1" w:styleId="113">
    <w:name w:val="Char1"/>
    <w:basedOn w:val="1"/>
    <w:qFormat/>
    <w:uiPriority w:val="0"/>
  </w:style>
  <w:style w:type="paragraph" w:customStyle="1" w:styleId="114">
    <w:name w:val="TOC 标题1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15">
    <w:name w:val="引用2"/>
    <w:basedOn w:val="1"/>
    <w:next w:val="1"/>
    <w:link w:val="238"/>
    <w:qFormat/>
    <w:uiPriority w:val="0"/>
    <w:rPr>
      <w:i/>
      <w:iCs/>
      <w:color w:val="000000"/>
    </w:rPr>
  </w:style>
  <w:style w:type="paragraph" w:customStyle="1" w:styleId="116">
    <w:name w:val="链接"/>
    <w:qFormat/>
    <w:uiPriority w:val="0"/>
    <w:pPr>
      <w:widowControl w:val="0"/>
      <w:autoSpaceDE w:val="0"/>
      <w:autoSpaceDN w:val="0"/>
      <w:adjustRightInd w:val="0"/>
      <w:ind w:left="720"/>
    </w:pPr>
    <w:rPr>
      <w:rFonts w:ascii="Calibri" w:hAnsi="Calibri" w:eastAsia="宋体" w:cs="Times New Roman"/>
      <w:color w:val="0000FF"/>
      <w:sz w:val="21"/>
      <w:szCs w:val="21"/>
      <w:u w:val="single"/>
      <w:lang w:val="en-US" w:eastAsia="zh-CN" w:bidi="ar-SA"/>
    </w:rPr>
  </w:style>
  <w:style w:type="paragraph" w:styleId="117">
    <w:name w:val="Quote"/>
    <w:basedOn w:val="1"/>
    <w:next w:val="1"/>
    <w:link w:val="188"/>
    <w:qFormat/>
    <w:uiPriority w:val="0"/>
    <w:rPr>
      <w:i/>
      <w:iCs/>
      <w:color w:val="000000"/>
      <w:szCs w:val="22"/>
    </w:rPr>
  </w:style>
  <w:style w:type="paragraph" w:customStyle="1" w:styleId="118">
    <w:name w:val="修订1"/>
    <w:qFormat/>
    <w:uiPriority w:val="0"/>
    <w:rPr>
      <w:rFonts w:ascii="Times New Roman" w:hAnsi="Times New Roman" w:eastAsia="宋体" w:cs="Times New Roman"/>
      <w:kern w:val="2"/>
      <w:sz w:val="21"/>
      <w:szCs w:val="24"/>
      <w:lang w:val="en-US" w:eastAsia="zh-CN" w:bidi="ar-SA"/>
    </w:rPr>
  </w:style>
  <w:style w:type="paragraph" w:customStyle="1" w:styleId="119">
    <w:name w:val="xl65"/>
    <w:basedOn w:val="1"/>
    <w:qFormat/>
    <w:uiPriority w:val="0"/>
    <w:pPr>
      <w:widowControl/>
      <w:spacing w:before="100" w:beforeAutospacing="1" w:after="100" w:afterAutospacing="1"/>
      <w:jc w:val="center"/>
    </w:pPr>
    <w:rPr>
      <w:rFonts w:ascii="黑体" w:hAnsi="宋体" w:eastAsia="黑体"/>
      <w:b/>
      <w:kern w:val="0"/>
      <w:sz w:val="36"/>
      <w:szCs w:val="20"/>
    </w:rPr>
  </w:style>
  <w:style w:type="paragraph" w:customStyle="1" w:styleId="120">
    <w:name w:val="Char2"/>
    <w:basedOn w:val="1"/>
    <w:qFormat/>
    <w:uiPriority w:val="0"/>
    <w:rPr>
      <w:rFonts w:ascii="Calibri" w:hAnsi="Calibri"/>
    </w:rPr>
  </w:style>
  <w:style w:type="paragraph" w:customStyle="1" w:styleId="121">
    <w:name w:val="标题5"/>
    <w:basedOn w:val="5"/>
    <w:link w:val="284"/>
    <w:qFormat/>
    <w:uiPriority w:val="0"/>
    <w:pPr>
      <w:spacing w:line="413" w:lineRule="auto"/>
    </w:pPr>
    <w:rPr>
      <w:rFonts w:ascii="Arial" w:hAnsi="Arial"/>
      <w:kern w:val="0"/>
      <w:sz w:val="24"/>
    </w:rPr>
  </w:style>
  <w:style w:type="paragraph" w:styleId="122">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3">
    <w:name w:val="TOC 标题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24">
    <w:name w:val="表格标题"/>
    <w:basedOn w:val="77"/>
    <w:qFormat/>
    <w:uiPriority w:val="0"/>
  </w:style>
  <w:style w:type="paragraph" w:customStyle="1" w:styleId="125">
    <w:name w:val="g11"/>
    <w:basedOn w:val="1"/>
    <w:qFormat/>
    <w:uiPriority w:val="0"/>
    <w:pPr>
      <w:widowControl/>
      <w:spacing w:before="100" w:beforeLines="0" w:beforeAutospacing="1" w:after="100" w:afterLines="0" w:afterAutospacing="1" w:line="465" w:lineRule="atLeast"/>
      <w:jc w:val="left"/>
    </w:pPr>
    <w:rPr>
      <w:rFonts w:ascii="华文中宋" w:hAnsi="华文中宋" w:eastAsia="华文中宋" w:cs="宋体"/>
      <w:b/>
      <w:bCs/>
      <w:color w:val="FF0000"/>
      <w:kern w:val="0"/>
      <w:sz w:val="31"/>
      <w:szCs w:val="31"/>
    </w:rPr>
  </w:style>
  <w:style w:type="paragraph" w:customStyle="1" w:styleId="126">
    <w:name w:val="2"/>
    <w:next w:val="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27">
    <w:name w:val="intel1"/>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128">
    <w:name w:val="style12"/>
    <w:basedOn w:val="1"/>
    <w:qFormat/>
    <w:uiPriority w:val="0"/>
    <w:pPr>
      <w:widowControl/>
      <w:spacing w:before="100" w:beforeLines="0" w:beforeAutospacing="1" w:after="100" w:afterLines="0" w:afterAutospacing="1"/>
      <w:jc w:val="left"/>
    </w:pPr>
    <w:rPr>
      <w:rFonts w:ascii="宋体" w:hAnsi="宋体" w:cs="宋体"/>
      <w:kern w:val="0"/>
      <w:sz w:val="18"/>
      <w:szCs w:val="18"/>
    </w:rPr>
  </w:style>
  <w:style w:type="paragraph" w:customStyle="1" w:styleId="129">
    <w:name w:val="title"/>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130">
    <w:name w:val="WW-表格标题"/>
    <w:basedOn w:val="95"/>
    <w:qFormat/>
    <w:uiPriority w:val="0"/>
  </w:style>
  <w:style w:type="paragraph" w:customStyle="1" w:styleId="131">
    <w:name w:val="ly"/>
    <w:basedOn w:val="1"/>
    <w:qFormat/>
    <w:uiPriority w:val="0"/>
    <w:pPr>
      <w:widowControl/>
      <w:spacing w:before="30" w:beforeLines="0"/>
      <w:jc w:val="right"/>
    </w:pPr>
    <w:rPr>
      <w:rFonts w:ascii="方正书宋简体" w:hAnsi="宋体" w:eastAsia="方正书宋简体"/>
      <w:color w:val="000000"/>
      <w:kern w:val="0"/>
      <w:szCs w:val="21"/>
    </w:rPr>
  </w:style>
  <w:style w:type="paragraph" w:customStyle="1" w:styleId="132">
    <w:name w:val="明显引用1"/>
    <w:basedOn w:val="1"/>
    <w:next w:val="1"/>
    <w:link w:val="248"/>
    <w:qFormat/>
    <w:uiPriority w:val="30"/>
    <w:pPr>
      <w:pBdr>
        <w:bottom w:val="single" w:color="4F81BD" w:sz="4" w:space="4"/>
      </w:pBdr>
      <w:spacing w:before="200" w:after="280"/>
      <w:ind w:left="936" w:right="936"/>
    </w:pPr>
    <w:rPr>
      <w:b/>
      <w:bCs/>
      <w:i/>
      <w:iCs/>
      <w:color w:val="4F81BD"/>
      <w:szCs w:val="20"/>
    </w:rPr>
  </w:style>
  <w:style w:type="paragraph" w:customStyle="1" w:styleId="133">
    <w:name w:val="标准样式1"/>
    <w:basedOn w:val="1"/>
    <w:qFormat/>
    <w:uiPriority w:val="0"/>
    <w:pPr>
      <w:spacing w:line="600" w:lineRule="exact"/>
      <w:ind w:firstLine="567"/>
    </w:pPr>
    <w:rPr>
      <w:rFonts w:ascii="Calibri" w:hAnsi="Calibri"/>
      <w:sz w:val="28"/>
    </w:rPr>
  </w:style>
  <w:style w:type="paragraph" w:customStyle="1" w:styleId="134">
    <w:name w:val=" Char"/>
    <w:basedOn w:val="1"/>
    <w:qFormat/>
    <w:uiPriority w:val="0"/>
  </w:style>
  <w:style w:type="paragraph" w:customStyle="1" w:styleId="135">
    <w:name w:val="p17"/>
    <w:basedOn w:val="1"/>
    <w:qFormat/>
    <w:uiPriority w:val="0"/>
    <w:pPr>
      <w:widowControl/>
      <w:spacing w:before="120" w:after="120"/>
      <w:jc w:val="left"/>
    </w:pPr>
    <w:rPr>
      <w:rFonts w:ascii="Calibri" w:hAnsi="Calibri" w:cs="宋体"/>
      <w:b/>
      <w:bCs/>
      <w:caps/>
      <w:kern w:val="0"/>
      <w:sz w:val="28"/>
      <w:szCs w:val="28"/>
    </w:rPr>
  </w:style>
  <w:style w:type="paragraph" w:customStyle="1" w:styleId="136">
    <w:name w:val="Char Char1 Char Char"/>
    <w:basedOn w:val="15"/>
    <w:qFormat/>
    <w:uiPriority w:val="0"/>
    <w:pPr>
      <w:shd w:val="clear" w:color="auto" w:fill="auto"/>
      <w:tabs>
        <w:tab w:val="left" w:pos="630"/>
      </w:tabs>
      <w:adjustRightInd w:val="0"/>
      <w:spacing w:line="436" w:lineRule="exact"/>
      <w:ind w:left="357"/>
      <w:jc w:val="left"/>
      <w:outlineLvl w:val="3"/>
    </w:pPr>
    <w:rPr>
      <w:rFonts w:ascii="Calibri" w:hAnsi="Calibri" w:eastAsia="Times New Roman" w:cs="Times New Roman"/>
      <w:sz w:val="18"/>
      <w:szCs w:val="20"/>
    </w:rPr>
  </w:style>
  <w:style w:type="paragraph" w:customStyle="1" w:styleId="137">
    <w:name w:val="引用1"/>
    <w:basedOn w:val="1"/>
    <w:next w:val="1"/>
    <w:link w:val="262"/>
    <w:qFormat/>
    <w:uiPriority w:val="29"/>
    <w:rPr>
      <w:i/>
      <w:iCs/>
      <w:color w:val="000000"/>
      <w:szCs w:val="20"/>
    </w:rPr>
  </w:style>
  <w:style w:type="paragraph" w:customStyle="1" w:styleId="138">
    <w:name w:val="_Style 87"/>
    <w:basedOn w:val="1"/>
    <w:qFormat/>
    <w:uiPriority w:val="99"/>
    <w:pPr>
      <w:ind w:firstLine="420" w:firstLineChars="200"/>
    </w:pPr>
    <w:rPr>
      <w:rFonts w:ascii="Calibri" w:hAnsi="Calibri"/>
      <w:sz w:val="28"/>
      <w:szCs w:val="28"/>
    </w:rPr>
  </w:style>
  <w:style w:type="paragraph" w:customStyle="1" w:styleId="139">
    <w:name w:val="自定样式1"/>
    <w:basedOn w:val="1"/>
    <w:qFormat/>
    <w:uiPriority w:val="0"/>
    <w:pPr>
      <w:suppressAutoHyphens/>
      <w:jc w:val="center"/>
    </w:pPr>
    <w:rPr>
      <w:rFonts w:ascii="宋体" w:hAnsi="宋体"/>
      <w:color w:val="000000"/>
      <w:sz w:val="18"/>
    </w:rPr>
  </w:style>
  <w:style w:type="paragraph" w:customStyle="1" w:styleId="140">
    <w:name w:val="p0"/>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141">
    <w:name w:val="样式 标题 2 + Times New Roman 四号 非加粗 段前: 5 磅 段后: 0 磅 行距: 固定值 20..."/>
    <w:basedOn w:val="4"/>
    <w:qFormat/>
    <w:uiPriority w:val="0"/>
    <w:pPr>
      <w:spacing w:before="100" w:beforeLines="0" w:after="0" w:afterLines="0" w:line="400" w:lineRule="exact"/>
    </w:pPr>
    <w:rPr>
      <w:rFonts w:ascii="Times New Roman" w:hAnsi="Times New Roman" w:eastAsia="黑体" w:cs="宋体"/>
      <w:b w:val="0"/>
      <w:bCs w:val="0"/>
      <w:sz w:val="28"/>
      <w:szCs w:val="20"/>
    </w:rPr>
  </w:style>
  <w:style w:type="character" w:customStyle="1" w:styleId="142">
    <w:name w:val="未处理的提及"/>
    <w:unhideWhenUsed/>
    <w:qFormat/>
    <w:uiPriority w:val="99"/>
    <w:rPr>
      <w:color w:val="808080"/>
      <w:shd w:val="clear" w:color="auto" w:fill="E6E6E6"/>
    </w:rPr>
  </w:style>
  <w:style w:type="character" w:customStyle="1" w:styleId="143">
    <w:name w:val="正文文本 3 Char"/>
    <w:qFormat/>
    <w:uiPriority w:val="0"/>
    <w:rPr>
      <w:kern w:val="2"/>
      <w:sz w:val="16"/>
      <w:szCs w:val="16"/>
    </w:rPr>
  </w:style>
  <w:style w:type="character" w:customStyle="1" w:styleId="144">
    <w:name w:val="正文文本缩进 Char2"/>
    <w:semiHidden/>
    <w:qFormat/>
    <w:uiPriority w:val="99"/>
    <w:rPr>
      <w:rFonts w:ascii="Calibri" w:hAnsi="Calibri" w:eastAsia="宋体" w:cs="Times New Roman"/>
      <w:szCs w:val="24"/>
    </w:rPr>
  </w:style>
  <w:style w:type="character" w:customStyle="1" w:styleId="145">
    <w:name w:val="标题 3 Char"/>
    <w:qFormat/>
    <w:uiPriority w:val="0"/>
    <w:rPr>
      <w:rFonts w:ascii="仿宋_GB2312" w:hAnsi="Calibri" w:eastAsia="仿宋_GB2312" w:cs="Times New Roman"/>
      <w:b/>
      <w:kern w:val="0"/>
      <w:sz w:val="24"/>
      <w:szCs w:val="28"/>
    </w:rPr>
  </w:style>
  <w:style w:type="character" w:customStyle="1" w:styleId="146">
    <w:name w:val="批注框文本 Char2"/>
    <w:qFormat/>
    <w:uiPriority w:val="99"/>
    <w:rPr>
      <w:kern w:val="2"/>
      <w:sz w:val="18"/>
      <w:szCs w:val="18"/>
    </w:rPr>
  </w:style>
  <w:style w:type="character" w:customStyle="1" w:styleId="147">
    <w:name w:val="textcontents"/>
    <w:qFormat/>
    <w:uiPriority w:val="0"/>
    <w:rPr>
      <w:rFonts w:cs="Times New Roman"/>
    </w:rPr>
  </w:style>
  <w:style w:type="character" w:customStyle="1" w:styleId="148">
    <w:name w:val="ht1"/>
    <w:qFormat/>
    <w:uiPriority w:val="0"/>
    <w:rPr>
      <w:rFonts w:ascii="黑体" w:eastAsia="黑体"/>
      <w:b/>
      <w:bCs/>
    </w:rPr>
  </w:style>
  <w:style w:type="character" w:customStyle="1" w:styleId="149">
    <w:name w:val="标题 Char"/>
    <w:qFormat/>
    <w:uiPriority w:val="0"/>
    <w:rPr>
      <w:rFonts w:ascii="Cambria" w:hAnsi="Cambria" w:eastAsia="宋体" w:cs="Times New Roman"/>
      <w:b/>
      <w:bCs/>
      <w:kern w:val="2"/>
      <w:sz w:val="32"/>
      <w:szCs w:val="32"/>
    </w:rPr>
  </w:style>
  <w:style w:type="character" w:customStyle="1" w:styleId="150">
    <w:name w:val="14t1"/>
    <w:qFormat/>
    <w:uiPriority w:val="0"/>
    <w:rPr>
      <w:rFonts w:hint="eastAsia" w:ascii="宋体" w:hAnsi="宋体" w:eastAsia="宋体"/>
      <w:sz w:val="11"/>
      <w:szCs w:val="11"/>
    </w:rPr>
  </w:style>
  <w:style w:type="character" w:customStyle="1" w:styleId="151">
    <w:name w:val="Char Char36"/>
    <w:qFormat/>
    <w:uiPriority w:val="0"/>
    <w:rPr>
      <w:rFonts w:ascii="仿宋_GB2312" w:eastAsia="仿宋_GB2312" w:cs="MingLiU"/>
      <w:b/>
      <w:sz w:val="24"/>
      <w:szCs w:val="28"/>
    </w:rPr>
  </w:style>
  <w:style w:type="character" w:customStyle="1" w:styleId="152">
    <w:name w:val="文档结构图 Char"/>
    <w:qFormat/>
    <w:uiPriority w:val="0"/>
    <w:rPr>
      <w:rFonts w:ascii="宋体"/>
      <w:kern w:val="2"/>
      <w:sz w:val="18"/>
      <w:szCs w:val="18"/>
    </w:rPr>
  </w:style>
  <w:style w:type="character" w:customStyle="1" w:styleId="153">
    <w:name w:val="普通文字 Char Char2"/>
    <w:qFormat/>
    <w:uiPriority w:val="0"/>
    <w:rPr>
      <w:rFonts w:ascii="宋体" w:hAnsi="Courier New"/>
      <w:kern w:val="2"/>
      <w:sz w:val="28"/>
      <w:szCs w:val="28"/>
    </w:rPr>
  </w:style>
  <w:style w:type="character" w:customStyle="1" w:styleId="154">
    <w:name w:val="HTML 预设格式 Char"/>
    <w:qFormat/>
    <w:uiPriority w:val="0"/>
    <w:rPr>
      <w:rFonts w:ascii="宋体" w:hAnsi="宋体" w:eastAsia="宋体" w:cs="宋体"/>
      <w:color w:val="000000"/>
      <w:sz w:val="24"/>
      <w:szCs w:val="24"/>
    </w:rPr>
  </w:style>
  <w:style w:type="character" w:customStyle="1" w:styleId="155">
    <w:name w:val="纯文本 Char"/>
    <w:qFormat/>
    <w:uiPriority w:val="0"/>
    <w:rPr>
      <w:rFonts w:ascii="宋体" w:hAnsi="Courier New"/>
      <w:sz w:val="28"/>
      <w:szCs w:val="28"/>
    </w:rPr>
  </w:style>
  <w:style w:type="character" w:customStyle="1" w:styleId="156">
    <w:name w:val="批注框文本 Char"/>
    <w:qFormat/>
    <w:uiPriority w:val="0"/>
    <w:rPr>
      <w:sz w:val="18"/>
      <w:szCs w:val="18"/>
    </w:rPr>
  </w:style>
  <w:style w:type="character" w:customStyle="1" w:styleId="157">
    <w:name w:val="页脚 Char"/>
    <w:qFormat/>
    <w:uiPriority w:val="0"/>
    <w:rPr>
      <w:sz w:val="18"/>
      <w:szCs w:val="18"/>
    </w:rPr>
  </w:style>
  <w:style w:type="character" w:customStyle="1" w:styleId="158">
    <w:name w:val="标题 4 Char2"/>
    <w:link w:val="6"/>
    <w:qFormat/>
    <w:uiPriority w:val="0"/>
    <w:rPr>
      <w:rFonts w:ascii="宋体" w:hAnsi="宋体" w:eastAsia="宋体" w:cs="宋体"/>
      <w:b/>
      <w:bCs/>
      <w:sz w:val="24"/>
      <w:szCs w:val="24"/>
      <w:lang w:val="en-US" w:eastAsia="zh-CN" w:bidi="ar-SA"/>
    </w:rPr>
  </w:style>
  <w:style w:type="character" w:customStyle="1" w:styleId="159">
    <w:name w:val="正文文本缩进 3 Char"/>
    <w:qFormat/>
    <w:uiPriority w:val="0"/>
    <w:rPr>
      <w:kern w:val="2"/>
      <w:sz w:val="16"/>
      <w:szCs w:val="16"/>
    </w:rPr>
  </w:style>
  <w:style w:type="character" w:customStyle="1" w:styleId="160">
    <w:name w:val="标题 8 Char"/>
    <w:qFormat/>
    <w:uiPriority w:val="0"/>
    <w:rPr>
      <w:rFonts w:ascii="Arial" w:hAnsi="Arial" w:eastAsia="黑体" w:cs="Times New Roman"/>
      <w:sz w:val="24"/>
      <w:szCs w:val="24"/>
    </w:rPr>
  </w:style>
  <w:style w:type="character" w:customStyle="1" w:styleId="161">
    <w:name w:val="HTML 预设格式 Char3"/>
    <w:link w:val="40"/>
    <w:qFormat/>
    <w:uiPriority w:val="0"/>
    <w:rPr>
      <w:rFonts w:ascii="宋体" w:hAnsi="宋体" w:eastAsia="宋体" w:cs="宋体"/>
      <w:color w:val="000000"/>
      <w:sz w:val="24"/>
      <w:szCs w:val="24"/>
      <w:lang w:val="en-US" w:eastAsia="zh-CN" w:bidi="ar-SA"/>
    </w:rPr>
  </w:style>
  <w:style w:type="character" w:customStyle="1" w:styleId="162">
    <w:name w:val="文档结构图 Char4"/>
    <w:link w:val="15"/>
    <w:qFormat/>
    <w:uiPriority w:val="0"/>
    <w:rPr>
      <w:rFonts w:eastAsia="宋体"/>
      <w:kern w:val="2"/>
      <w:sz w:val="21"/>
      <w:szCs w:val="24"/>
      <w:lang w:val="en-US" w:eastAsia="zh-CN" w:bidi="ar-SA"/>
    </w:rPr>
  </w:style>
  <w:style w:type="character" w:customStyle="1" w:styleId="163">
    <w:name w:val="正文文本缩进 2 Char1"/>
    <w:qFormat/>
    <w:uiPriority w:val="0"/>
    <w:rPr>
      <w:sz w:val="28"/>
      <w:szCs w:val="24"/>
    </w:rPr>
  </w:style>
  <w:style w:type="character" w:customStyle="1" w:styleId="164">
    <w:name w:val="标题 5 Char1"/>
    <w:qFormat/>
    <w:uiPriority w:val="0"/>
    <w:rPr>
      <w:rFonts w:ascii="宋体" w:hAnsi="宋体" w:eastAsia="宋体" w:cs="宋体"/>
      <w:b/>
      <w:bCs/>
      <w:sz w:val="20"/>
      <w:szCs w:val="20"/>
    </w:rPr>
  </w:style>
  <w:style w:type="character" w:customStyle="1" w:styleId="165">
    <w:name w:val="批注文字 Char"/>
    <w:qFormat/>
    <w:uiPriority w:val="0"/>
    <w:rPr>
      <w:rFonts w:ascii="Times New Roman" w:hAnsi="Times New Roman" w:eastAsia="宋体" w:cs="Times New Roman"/>
      <w:kern w:val="2"/>
      <w:sz w:val="21"/>
      <w:szCs w:val="24"/>
    </w:rPr>
  </w:style>
  <w:style w:type="character" w:customStyle="1" w:styleId="166">
    <w:name w:val="日期 Char4"/>
    <w:link w:val="25"/>
    <w:qFormat/>
    <w:uiPriority w:val="0"/>
    <w:rPr>
      <w:rFonts w:eastAsia="宋体"/>
      <w:kern w:val="2"/>
      <w:sz w:val="21"/>
      <w:szCs w:val="24"/>
      <w:lang w:val="en-US" w:eastAsia="zh-CN" w:bidi="ar-SA"/>
    </w:rPr>
  </w:style>
  <w:style w:type="character" w:customStyle="1" w:styleId="167">
    <w:name w:val="style121"/>
    <w:qFormat/>
    <w:uiPriority w:val="0"/>
    <w:rPr>
      <w:rFonts w:hint="eastAsia" w:ascii="宋体" w:hAnsi="宋体" w:eastAsia="宋体"/>
      <w:sz w:val="18"/>
      <w:szCs w:val="18"/>
    </w:rPr>
  </w:style>
  <w:style w:type="character" w:customStyle="1" w:styleId="168">
    <w:name w:val="Section Char"/>
    <w:qFormat/>
    <w:uiPriority w:val="0"/>
    <w:rPr>
      <w:rFonts w:ascii="仿宋_GB2312" w:eastAsia="仿宋_GB2312" w:cs="MingLiU"/>
      <w:b/>
      <w:sz w:val="24"/>
      <w:szCs w:val="28"/>
      <w:lang w:val="en-US" w:eastAsia="zh-CN" w:bidi="ar-SA"/>
    </w:rPr>
  </w:style>
  <w:style w:type="character" w:customStyle="1" w:styleId="169">
    <w:name w:val="正文文本 3 Char1"/>
    <w:qFormat/>
    <w:uiPriority w:val="0"/>
    <w:rPr>
      <w:kern w:val="2"/>
      <w:sz w:val="16"/>
      <w:szCs w:val="16"/>
    </w:rPr>
  </w:style>
  <w:style w:type="character" w:customStyle="1" w:styleId="170">
    <w:name w:val="文档结构图 Char1"/>
    <w:qFormat/>
    <w:uiPriority w:val="0"/>
    <w:rPr>
      <w:rFonts w:ascii="宋体"/>
      <w:kern w:val="2"/>
      <w:sz w:val="18"/>
      <w:szCs w:val="18"/>
    </w:rPr>
  </w:style>
  <w:style w:type="character" w:customStyle="1" w:styleId="171">
    <w:name w:val="_Style 170"/>
    <w:qFormat/>
    <w:uiPriority w:val="0"/>
    <w:rPr>
      <w:i/>
      <w:iCs/>
      <w:color w:val="808080"/>
    </w:rPr>
  </w:style>
  <w:style w:type="character" w:customStyle="1" w:styleId="172">
    <w:name w:val="_Style 171"/>
    <w:qFormat/>
    <w:uiPriority w:val="0"/>
    <w:rPr>
      <w:b/>
      <w:bCs/>
      <w:smallCaps/>
      <w:color w:val="C0504D"/>
      <w:spacing w:val="5"/>
      <w:u w:val="single"/>
    </w:rPr>
  </w:style>
  <w:style w:type="character" w:customStyle="1" w:styleId="173">
    <w:name w:val="标题 9 Char"/>
    <w:qFormat/>
    <w:uiPriority w:val="0"/>
    <w:rPr>
      <w:rFonts w:ascii="Arial" w:hAnsi="Arial" w:eastAsia="黑体" w:cs="Times New Roman"/>
      <w:szCs w:val="21"/>
    </w:rPr>
  </w:style>
  <w:style w:type="character" w:customStyle="1" w:styleId="174">
    <w:name w:val="页眉 Char1"/>
    <w:semiHidden/>
    <w:qFormat/>
    <w:uiPriority w:val="99"/>
    <w:rPr>
      <w:kern w:val="2"/>
      <w:sz w:val="18"/>
      <w:szCs w:val="18"/>
    </w:rPr>
  </w:style>
  <w:style w:type="character" w:customStyle="1" w:styleId="175">
    <w:name w:val="_Style 174"/>
    <w:qFormat/>
    <w:uiPriority w:val="0"/>
    <w:rPr>
      <w:b/>
      <w:bCs/>
      <w:i/>
      <w:iCs/>
      <w:color w:val="4F81BD"/>
    </w:rPr>
  </w:style>
  <w:style w:type="character" w:customStyle="1" w:styleId="176">
    <w:name w:val="Char Char35"/>
    <w:qFormat/>
    <w:uiPriority w:val="0"/>
    <w:rPr>
      <w:rFonts w:ascii="仿宋_GB2312" w:eastAsia="仿宋_GB2312" w:cs="MingLiU"/>
      <w:b/>
      <w:sz w:val="24"/>
      <w:szCs w:val="28"/>
    </w:rPr>
  </w:style>
  <w:style w:type="character" w:customStyle="1" w:styleId="177">
    <w:name w:val="日期 Char2"/>
    <w:qFormat/>
    <w:uiPriority w:val="99"/>
    <w:rPr>
      <w:kern w:val="2"/>
      <w:sz w:val="21"/>
      <w:szCs w:val="24"/>
    </w:rPr>
  </w:style>
  <w:style w:type="character" w:customStyle="1" w:styleId="178">
    <w:name w:val="Char Char22"/>
    <w:qFormat/>
    <w:uiPriority w:val="0"/>
    <w:rPr>
      <w:b/>
      <w:bCs/>
      <w:kern w:val="2"/>
      <w:sz w:val="32"/>
      <w:szCs w:val="32"/>
    </w:rPr>
  </w:style>
  <w:style w:type="character" w:customStyle="1" w:styleId="179">
    <w:name w:val="正文文本缩进 2 Char2"/>
    <w:semiHidden/>
    <w:qFormat/>
    <w:uiPriority w:val="99"/>
    <w:rPr>
      <w:rFonts w:ascii="Calibri" w:hAnsi="Calibri" w:eastAsia="宋体" w:cs="Times New Roman"/>
      <w:szCs w:val="24"/>
    </w:rPr>
  </w:style>
  <w:style w:type="character" w:customStyle="1" w:styleId="180">
    <w:name w:val="明显强调1"/>
    <w:qFormat/>
    <w:uiPriority w:val="0"/>
    <w:rPr>
      <w:b/>
      <w:bCs/>
      <w:i/>
      <w:iCs/>
      <w:color w:val="4F81BD"/>
    </w:rPr>
  </w:style>
  <w:style w:type="character" w:customStyle="1" w:styleId="181">
    <w:name w:val="Char Char14"/>
    <w:qFormat/>
    <w:uiPriority w:val="0"/>
    <w:rPr>
      <w:kern w:val="2"/>
      <w:sz w:val="18"/>
      <w:szCs w:val="18"/>
    </w:rPr>
  </w:style>
  <w:style w:type="character" w:customStyle="1" w:styleId="182">
    <w:name w:val="s3"/>
    <w:qFormat/>
    <w:uiPriority w:val="0"/>
  </w:style>
  <w:style w:type="character" w:customStyle="1" w:styleId="183">
    <w:name w:val="标题 1 Char"/>
    <w:qFormat/>
    <w:uiPriority w:val="0"/>
    <w:rPr>
      <w:rFonts w:ascii="Times New Roman" w:hAnsi="Times New Roman" w:eastAsia="宋体" w:cs="Times New Roman"/>
      <w:b/>
      <w:bCs/>
      <w:kern w:val="44"/>
      <w:sz w:val="44"/>
      <w:szCs w:val="44"/>
    </w:rPr>
  </w:style>
  <w:style w:type="character" w:customStyle="1" w:styleId="184">
    <w:name w:val="日期 Char3"/>
    <w:semiHidden/>
    <w:qFormat/>
    <w:uiPriority w:val="99"/>
    <w:rPr>
      <w:rFonts w:ascii="Calibri" w:hAnsi="Calibri" w:eastAsia="宋体" w:cs="Times New Roman"/>
      <w:szCs w:val="24"/>
    </w:rPr>
  </w:style>
  <w:style w:type="character" w:customStyle="1" w:styleId="185">
    <w:name w:val="标题 1 Char2"/>
    <w:link w:val="3"/>
    <w:qFormat/>
    <w:uiPriority w:val="0"/>
    <w:rPr>
      <w:rFonts w:eastAsia="宋体"/>
      <w:b/>
      <w:bCs/>
      <w:kern w:val="44"/>
      <w:sz w:val="44"/>
      <w:szCs w:val="44"/>
      <w:lang w:val="en-US" w:eastAsia="zh-CN" w:bidi="ar-SA"/>
    </w:rPr>
  </w:style>
  <w:style w:type="character" w:customStyle="1" w:styleId="186">
    <w:name w:val="title11"/>
    <w:qFormat/>
    <w:uiPriority w:val="0"/>
    <w:rPr>
      <w:b/>
      <w:bCs/>
      <w:color w:val="FFFFFF"/>
      <w:sz w:val="11"/>
      <w:szCs w:val="11"/>
    </w:rPr>
  </w:style>
  <w:style w:type="character" w:customStyle="1" w:styleId="187">
    <w:name w:val="明显引用 Char2"/>
    <w:qFormat/>
    <w:uiPriority w:val="99"/>
    <w:rPr>
      <w:b/>
      <w:bCs/>
      <w:i/>
      <w:iCs/>
      <w:color w:val="4F81BD"/>
      <w:kern w:val="2"/>
      <w:sz w:val="21"/>
      <w:szCs w:val="24"/>
    </w:rPr>
  </w:style>
  <w:style w:type="character" w:customStyle="1" w:styleId="188">
    <w:name w:val="引用 Char4"/>
    <w:link w:val="117"/>
    <w:qFormat/>
    <w:uiPriority w:val="0"/>
    <w:rPr>
      <w:i/>
      <w:iCs/>
      <w:color w:val="000000"/>
      <w:kern w:val="2"/>
      <w:sz w:val="21"/>
      <w:szCs w:val="22"/>
      <w:lang w:bidi="ar-SA"/>
    </w:rPr>
  </w:style>
  <w:style w:type="character" w:customStyle="1" w:styleId="189">
    <w:name w:val="批注框文本 Char3"/>
    <w:semiHidden/>
    <w:qFormat/>
    <w:uiPriority w:val="99"/>
    <w:rPr>
      <w:rFonts w:ascii="Calibri" w:hAnsi="Calibri" w:eastAsia="宋体" w:cs="Times New Roman"/>
      <w:sz w:val="18"/>
      <w:szCs w:val="18"/>
    </w:rPr>
  </w:style>
  <w:style w:type="character" w:customStyle="1" w:styleId="190">
    <w:name w:val="标题 2 Char2"/>
    <w:link w:val="4"/>
    <w:qFormat/>
    <w:uiPriority w:val="0"/>
    <w:rPr>
      <w:rFonts w:ascii="Cambria" w:hAnsi="Cambria" w:eastAsia="宋体"/>
      <w:b/>
      <w:bCs/>
      <w:kern w:val="2"/>
      <w:sz w:val="32"/>
      <w:szCs w:val="32"/>
      <w:lang w:val="en-US" w:eastAsia="zh-CN" w:bidi="ar-SA"/>
    </w:rPr>
  </w:style>
  <w:style w:type="character" w:customStyle="1" w:styleId="191">
    <w:name w:val="Char Char33"/>
    <w:qFormat/>
    <w:uiPriority w:val="0"/>
    <w:rPr>
      <w:rFonts w:ascii="仿宋_GB2312" w:eastAsia="仿宋_GB2312" w:cs="MingLiU"/>
      <w:b/>
      <w:sz w:val="24"/>
      <w:szCs w:val="28"/>
    </w:rPr>
  </w:style>
  <w:style w:type="character" w:customStyle="1" w:styleId="192">
    <w:name w:val="标题 2 Char"/>
    <w:qFormat/>
    <w:uiPriority w:val="0"/>
    <w:rPr>
      <w:rFonts w:ascii="仿宋_GB2312" w:hAnsi="Calibri" w:eastAsia="仿宋_GB2312" w:cs="Times New Roman"/>
      <w:b/>
      <w:spacing w:val="1"/>
      <w:w w:val="99"/>
      <w:kern w:val="0"/>
      <w:sz w:val="28"/>
      <w:szCs w:val="32"/>
    </w:rPr>
  </w:style>
  <w:style w:type="character" w:customStyle="1" w:styleId="193">
    <w:name w:val="l1"/>
    <w:basedOn w:val="47"/>
    <w:qFormat/>
    <w:uiPriority w:val="0"/>
  </w:style>
  <w:style w:type="character" w:customStyle="1" w:styleId="194">
    <w:name w:val="手改 Char Char"/>
    <w:qFormat/>
    <w:uiPriority w:val="0"/>
    <w:rPr>
      <w:kern w:val="2"/>
      <w:sz w:val="21"/>
      <w:szCs w:val="24"/>
    </w:rPr>
  </w:style>
  <w:style w:type="character" w:customStyle="1" w:styleId="195">
    <w:name w:val="style21"/>
    <w:qFormat/>
    <w:uiPriority w:val="0"/>
    <w:rPr>
      <w:b/>
      <w:bCs/>
      <w:sz w:val="28"/>
      <w:szCs w:val="28"/>
    </w:rPr>
  </w:style>
  <w:style w:type="character" w:customStyle="1" w:styleId="196">
    <w:name w:val="Char Char24"/>
    <w:qFormat/>
    <w:uiPriority w:val="0"/>
    <w:rPr>
      <w:b/>
      <w:bCs/>
      <w:kern w:val="44"/>
      <w:sz w:val="44"/>
      <w:szCs w:val="44"/>
    </w:rPr>
  </w:style>
  <w:style w:type="character" w:customStyle="1" w:styleId="197">
    <w:name w:val="页脚 Char2"/>
    <w:link w:val="29"/>
    <w:qFormat/>
    <w:uiPriority w:val="0"/>
    <w:rPr>
      <w:rFonts w:eastAsia="宋体"/>
      <w:kern w:val="2"/>
      <w:sz w:val="18"/>
      <w:szCs w:val="18"/>
      <w:lang w:val="en-US" w:eastAsia="zh-CN" w:bidi="ar-SA"/>
    </w:rPr>
  </w:style>
  <w:style w:type="character" w:customStyle="1" w:styleId="198">
    <w:name w:val="_Style 197"/>
    <w:qFormat/>
    <w:uiPriority w:val="0"/>
    <w:rPr>
      <w:b/>
      <w:bCs/>
      <w:smallCaps/>
      <w:spacing w:val="5"/>
    </w:rPr>
  </w:style>
  <w:style w:type="character" w:customStyle="1" w:styleId="199">
    <w:name w:val="纯文本 Char1"/>
    <w:qFormat/>
    <w:uiPriority w:val="0"/>
    <w:rPr>
      <w:rFonts w:ascii="宋体" w:hAnsi="Courier New" w:cs="Courier New"/>
      <w:kern w:val="2"/>
      <w:sz w:val="21"/>
      <w:szCs w:val="21"/>
    </w:rPr>
  </w:style>
  <w:style w:type="character" w:customStyle="1" w:styleId="200">
    <w:name w:val="尾注文本 Char"/>
    <w:qFormat/>
    <w:uiPriority w:val="0"/>
    <w:rPr>
      <w:kern w:val="2"/>
      <w:sz w:val="21"/>
      <w:szCs w:val="24"/>
    </w:rPr>
  </w:style>
  <w:style w:type="character" w:customStyle="1" w:styleId="201">
    <w:name w:val="日期 Char1"/>
    <w:qFormat/>
    <w:uiPriority w:val="0"/>
    <w:rPr>
      <w:kern w:val="2"/>
      <w:sz w:val="21"/>
      <w:szCs w:val="22"/>
    </w:rPr>
  </w:style>
  <w:style w:type="character" w:customStyle="1" w:styleId="202">
    <w:name w:val="纯文本 Char3"/>
    <w:link w:val="23"/>
    <w:qFormat/>
    <w:uiPriority w:val="0"/>
    <w:rPr>
      <w:rFonts w:ascii="宋体" w:hAnsi="Courier New" w:eastAsia="宋体" w:cs="Courier New"/>
      <w:kern w:val="2"/>
      <w:sz w:val="21"/>
      <w:szCs w:val="21"/>
      <w:lang w:val="en-US" w:eastAsia="zh-CN" w:bidi="ar-SA"/>
    </w:rPr>
  </w:style>
  <w:style w:type="character" w:customStyle="1" w:styleId="203">
    <w:name w:val="正文文本 Char1"/>
    <w:qFormat/>
    <w:uiPriority w:val="0"/>
    <w:rPr>
      <w:kern w:val="2"/>
      <w:sz w:val="21"/>
      <w:szCs w:val="22"/>
    </w:rPr>
  </w:style>
  <w:style w:type="character" w:customStyle="1" w:styleId="204">
    <w:name w:val="标题 9 Char1"/>
    <w:qFormat/>
    <w:uiPriority w:val="0"/>
    <w:rPr>
      <w:rFonts w:ascii="Times New Roman" w:hAnsi="Times New Roman" w:eastAsia="仿宋_GB2312" w:cs="Times New Roman"/>
      <w:sz w:val="30"/>
      <w:szCs w:val="20"/>
    </w:rPr>
  </w:style>
  <w:style w:type="character" w:customStyle="1" w:styleId="205">
    <w:name w:val="批注框文本 Char4"/>
    <w:link w:val="28"/>
    <w:qFormat/>
    <w:uiPriority w:val="0"/>
    <w:rPr>
      <w:rFonts w:eastAsia="宋体"/>
      <w:kern w:val="2"/>
      <w:sz w:val="18"/>
      <w:szCs w:val="18"/>
      <w:lang w:val="en-US" w:eastAsia="zh-CN" w:bidi="ar-SA"/>
    </w:rPr>
  </w:style>
  <w:style w:type="character" w:customStyle="1" w:styleId="206">
    <w:name w:val="脚注文本 Char1"/>
    <w:qFormat/>
    <w:uiPriority w:val="0"/>
    <w:rPr>
      <w:rFonts w:ascii="Arial" w:hAnsi="Arial" w:cs="Arial"/>
      <w:sz w:val="18"/>
      <w:szCs w:val="18"/>
      <w:lang w:eastAsia="en-US"/>
    </w:rPr>
  </w:style>
  <w:style w:type="character" w:customStyle="1" w:styleId="207">
    <w:name w:val="正文文本缩进 Char"/>
    <w:qFormat/>
    <w:uiPriority w:val="0"/>
    <w:rPr>
      <w:rFonts w:ascii="黑体" w:hAnsi="宋体" w:eastAsia="黑体"/>
      <w:color w:val="000000"/>
      <w:sz w:val="28"/>
      <w:szCs w:val="32"/>
    </w:rPr>
  </w:style>
  <w:style w:type="character" w:customStyle="1" w:styleId="208">
    <w:name w:val="HTML 预设格式 Char1"/>
    <w:qFormat/>
    <w:uiPriority w:val="0"/>
    <w:rPr>
      <w:rFonts w:ascii="宋体" w:hAnsi="宋体" w:cs="宋体"/>
      <w:color w:val="000000"/>
      <w:sz w:val="24"/>
      <w:szCs w:val="24"/>
    </w:rPr>
  </w:style>
  <w:style w:type="character" w:customStyle="1" w:styleId="209">
    <w:name w:val="引用 Char3"/>
    <w:qFormat/>
    <w:uiPriority w:val="29"/>
    <w:rPr>
      <w:rFonts w:ascii="Calibri" w:hAnsi="Calibri" w:eastAsia="宋体" w:cs="Times New Roman"/>
      <w:i/>
      <w:iCs/>
      <w:color w:val="000000"/>
      <w:szCs w:val="24"/>
    </w:rPr>
  </w:style>
  <w:style w:type="character" w:customStyle="1" w:styleId="210">
    <w:name w:val="尾注文本 Char3"/>
    <w:link w:val="27"/>
    <w:qFormat/>
    <w:uiPriority w:val="0"/>
    <w:rPr>
      <w:rFonts w:ascii="Arial" w:hAnsi="Arial" w:eastAsia="宋体" w:cs="Arial"/>
      <w:szCs w:val="24"/>
      <w:lang w:val="en-US" w:eastAsia="en-US" w:bidi="ar-SA"/>
    </w:rPr>
  </w:style>
  <w:style w:type="character" w:customStyle="1" w:styleId="211">
    <w:name w:val="标题 7 Char1"/>
    <w:qFormat/>
    <w:uiPriority w:val="0"/>
    <w:rPr>
      <w:rFonts w:ascii="Times New Roman" w:hAnsi="Times New Roman" w:eastAsia="仿宋_GB2312" w:cs="Times New Roman"/>
      <w:sz w:val="30"/>
      <w:szCs w:val="20"/>
    </w:rPr>
  </w:style>
  <w:style w:type="character" w:customStyle="1" w:styleId="212">
    <w:name w:val="普通文字 Char Char1"/>
    <w:qFormat/>
    <w:uiPriority w:val="0"/>
    <w:rPr>
      <w:rFonts w:ascii="宋体" w:hAnsi="Courier New"/>
      <w:kern w:val="2"/>
      <w:sz w:val="28"/>
      <w:szCs w:val="28"/>
    </w:rPr>
  </w:style>
  <w:style w:type="character" w:customStyle="1" w:styleId="213">
    <w:name w:val="明显参考1"/>
    <w:qFormat/>
    <w:uiPriority w:val="0"/>
    <w:rPr>
      <w:b/>
      <w:bCs/>
      <w:smallCaps/>
      <w:color w:val="C0504D"/>
      <w:spacing w:val="5"/>
      <w:u w:val="single"/>
    </w:rPr>
  </w:style>
  <w:style w:type="character" w:customStyle="1" w:styleId="214">
    <w:name w:val="正文文本缩进 Char1"/>
    <w:qFormat/>
    <w:uiPriority w:val="0"/>
    <w:rPr>
      <w:kern w:val="2"/>
      <w:sz w:val="21"/>
      <w:szCs w:val="24"/>
    </w:rPr>
  </w:style>
  <w:style w:type="character" w:customStyle="1" w:styleId="215">
    <w:name w:val="页眉 Char"/>
    <w:qFormat/>
    <w:uiPriority w:val="0"/>
    <w:rPr>
      <w:sz w:val="18"/>
      <w:szCs w:val="18"/>
    </w:rPr>
  </w:style>
  <w:style w:type="character" w:customStyle="1" w:styleId="216">
    <w:name w:val="style31"/>
    <w:qFormat/>
    <w:uiPriority w:val="0"/>
    <w:rPr>
      <w:sz w:val="10"/>
      <w:szCs w:val="10"/>
    </w:rPr>
  </w:style>
  <w:style w:type="character" w:customStyle="1" w:styleId="217">
    <w:name w:val="日期 Char"/>
    <w:qFormat/>
    <w:uiPriority w:val="0"/>
    <w:rPr>
      <w:rFonts w:eastAsia="宋体"/>
      <w:szCs w:val="24"/>
    </w:rPr>
  </w:style>
  <w:style w:type="character" w:customStyle="1" w:styleId="218">
    <w:name w:val="标题 1 Char1"/>
    <w:qFormat/>
    <w:uiPriority w:val="0"/>
    <w:rPr>
      <w:rFonts w:ascii="Times New Roman" w:hAnsi="Times New Roman" w:eastAsia="宋体" w:cs="Times New Roman"/>
      <w:b/>
      <w:bCs/>
      <w:kern w:val="44"/>
      <w:sz w:val="44"/>
      <w:szCs w:val="44"/>
    </w:rPr>
  </w:style>
  <w:style w:type="character" w:customStyle="1" w:styleId="219">
    <w:name w:val="main_tdbg_7601"/>
    <w:qFormat/>
    <w:uiPriority w:val="0"/>
    <w:rPr>
      <w:sz w:val="14"/>
      <w:szCs w:val="14"/>
    </w:rPr>
  </w:style>
  <w:style w:type="character" w:customStyle="1" w:styleId="220">
    <w:name w:val="尾注文本 Char1"/>
    <w:qFormat/>
    <w:uiPriority w:val="0"/>
    <w:rPr>
      <w:rFonts w:ascii="Arial" w:hAnsi="Arial" w:cs="Arial"/>
      <w:szCs w:val="24"/>
      <w:lang w:eastAsia="en-US"/>
    </w:rPr>
  </w:style>
  <w:style w:type="character" w:customStyle="1" w:styleId="221">
    <w:name w:val="副标题 Char2"/>
    <w:qFormat/>
    <w:uiPriority w:val="11"/>
    <w:rPr>
      <w:rFonts w:ascii="Cambria" w:hAnsi="Cambria" w:eastAsia="宋体" w:cs="Times New Roman"/>
      <w:b/>
      <w:bCs/>
      <w:kern w:val="28"/>
      <w:sz w:val="32"/>
      <w:szCs w:val="32"/>
    </w:rPr>
  </w:style>
  <w:style w:type="character" w:customStyle="1" w:styleId="222">
    <w:name w:val="正文文本缩进 3 Char2"/>
    <w:semiHidden/>
    <w:qFormat/>
    <w:uiPriority w:val="99"/>
    <w:rPr>
      <w:rFonts w:ascii="Calibri" w:hAnsi="Calibri" w:eastAsia="宋体" w:cs="Times New Roman"/>
      <w:sz w:val="16"/>
      <w:szCs w:val="16"/>
    </w:rPr>
  </w:style>
  <w:style w:type="character" w:customStyle="1" w:styleId="223">
    <w:name w:val="Char Char34"/>
    <w:qFormat/>
    <w:uiPriority w:val="0"/>
    <w:rPr>
      <w:rFonts w:ascii="仿宋_GB2312" w:eastAsia="仿宋_GB2312" w:cs="MingLiU"/>
      <w:b/>
      <w:spacing w:val="1"/>
      <w:w w:val="99"/>
      <w:sz w:val="28"/>
      <w:szCs w:val="32"/>
    </w:rPr>
  </w:style>
  <w:style w:type="character" w:customStyle="1" w:styleId="224">
    <w:name w:val="docpro"/>
    <w:basedOn w:val="47"/>
    <w:qFormat/>
    <w:uiPriority w:val="0"/>
  </w:style>
  <w:style w:type="character" w:customStyle="1" w:styleId="225">
    <w:name w:val="正文文本 Char4"/>
    <w:link w:val="2"/>
    <w:qFormat/>
    <w:uiPriority w:val="0"/>
    <w:rPr>
      <w:rFonts w:eastAsia="宋体"/>
      <w:kern w:val="2"/>
      <w:sz w:val="21"/>
      <w:szCs w:val="24"/>
      <w:lang w:val="en-US" w:eastAsia="zh-CN" w:bidi="ar-SA"/>
    </w:rPr>
  </w:style>
  <w:style w:type="character" w:customStyle="1" w:styleId="226">
    <w:name w:val="ITTHEADER1 Char"/>
    <w:qFormat/>
    <w:uiPriority w:val="0"/>
    <w:rPr>
      <w:rFonts w:eastAsia="黑体"/>
      <w:kern w:val="2"/>
      <w:sz w:val="44"/>
      <w:szCs w:val="44"/>
      <w:lang w:val="en-US" w:eastAsia="zh-CN" w:bidi="ar-SA"/>
    </w:rPr>
  </w:style>
  <w:style w:type="character" w:customStyle="1" w:styleId="227">
    <w:name w:val="副标题 Char"/>
    <w:qFormat/>
    <w:uiPriority w:val="0"/>
    <w:rPr>
      <w:rFonts w:ascii="Cambria" w:hAnsi="Cambria" w:eastAsia="宋体" w:cs="Times New Roman"/>
      <w:b/>
      <w:bCs/>
      <w:kern w:val="28"/>
      <w:sz w:val="32"/>
      <w:szCs w:val="32"/>
    </w:rPr>
  </w:style>
  <w:style w:type="character" w:customStyle="1" w:styleId="228">
    <w:name w:val="标题 6 Char2"/>
    <w:link w:val="8"/>
    <w:uiPriority w:val="0"/>
    <w:rPr>
      <w:rFonts w:hAnsi="Arial" w:eastAsia="仿宋_GB2312"/>
      <w:sz w:val="30"/>
      <w:lang w:val="en-US" w:eastAsia="zh-CN" w:bidi="ar-SA"/>
    </w:rPr>
  </w:style>
  <w:style w:type="character" w:customStyle="1" w:styleId="229">
    <w:name w:val="标题 Char2"/>
    <w:uiPriority w:val="10"/>
    <w:rPr>
      <w:rFonts w:ascii="Cambria" w:hAnsi="Cambria" w:eastAsia="宋体" w:cs="Times New Roman"/>
      <w:b/>
      <w:bCs/>
      <w:sz w:val="32"/>
      <w:szCs w:val="32"/>
    </w:rPr>
  </w:style>
  <w:style w:type="character" w:customStyle="1" w:styleId="230">
    <w:name w:val="正文文本 Char2"/>
    <w:qFormat/>
    <w:uiPriority w:val="99"/>
    <w:rPr>
      <w:kern w:val="2"/>
      <w:sz w:val="21"/>
      <w:szCs w:val="24"/>
    </w:rPr>
  </w:style>
  <w:style w:type="character" w:customStyle="1" w:styleId="231">
    <w:name w:val="正文文本 2 Char"/>
    <w:link w:val="39"/>
    <w:qFormat/>
    <w:uiPriority w:val="0"/>
    <w:rPr>
      <w:i/>
      <w:iCs/>
      <w:kern w:val="2"/>
      <w:sz w:val="26"/>
      <w:szCs w:val="24"/>
    </w:rPr>
  </w:style>
  <w:style w:type="character" w:customStyle="1" w:styleId="232">
    <w:name w:val="0d1471"/>
    <w:qFormat/>
    <w:uiPriority w:val="0"/>
    <w:rPr>
      <w:color w:val="000000"/>
      <w:sz w:val="11"/>
      <w:szCs w:val="11"/>
      <w:u w:val="none"/>
    </w:rPr>
  </w:style>
  <w:style w:type="character" w:customStyle="1" w:styleId="233">
    <w:name w:val="批注主题 Char"/>
    <w:qFormat/>
    <w:uiPriority w:val="0"/>
    <w:rPr>
      <w:rFonts w:ascii="宋体" w:hAnsi="宋体" w:eastAsia="宋体"/>
      <w:kern w:val="2"/>
      <w:sz w:val="24"/>
      <w:szCs w:val="28"/>
      <w:lang w:val="en-US" w:eastAsia="zh-CN" w:bidi="ar-SA"/>
    </w:rPr>
  </w:style>
  <w:style w:type="character" w:customStyle="1" w:styleId="234">
    <w:name w:val="正文文本 2 Char1"/>
    <w:semiHidden/>
    <w:qFormat/>
    <w:uiPriority w:val="99"/>
    <w:rPr>
      <w:rFonts w:ascii="Calibri" w:hAnsi="Calibri" w:eastAsia="宋体" w:cs="Times New Roman"/>
      <w:szCs w:val="24"/>
    </w:rPr>
  </w:style>
  <w:style w:type="character" w:customStyle="1" w:styleId="235">
    <w:name w:val="批注框文本 Char1"/>
    <w:qFormat/>
    <w:uiPriority w:val="0"/>
    <w:rPr>
      <w:kern w:val="2"/>
      <w:sz w:val="18"/>
      <w:szCs w:val="18"/>
    </w:rPr>
  </w:style>
  <w:style w:type="character" w:customStyle="1" w:styleId="236">
    <w:name w:val="标题 Char3"/>
    <w:link w:val="43"/>
    <w:qFormat/>
    <w:uiPriority w:val="0"/>
    <w:rPr>
      <w:rFonts w:eastAsia="宋体"/>
      <w:szCs w:val="24"/>
      <w:u w:val="single"/>
      <w:lang w:val="en-US" w:eastAsia="en-US" w:bidi="ar-SA"/>
    </w:rPr>
  </w:style>
  <w:style w:type="character" w:customStyle="1" w:styleId="237">
    <w:name w:val="正文文本缩进 2 Char3"/>
    <w:link w:val="26"/>
    <w:qFormat/>
    <w:uiPriority w:val="0"/>
    <w:rPr>
      <w:rFonts w:eastAsia="宋体"/>
      <w:sz w:val="28"/>
      <w:szCs w:val="24"/>
      <w:lang w:val="en-US" w:eastAsia="zh-CN" w:bidi="ar-SA"/>
    </w:rPr>
  </w:style>
  <w:style w:type="character" w:customStyle="1" w:styleId="238">
    <w:name w:val="引用 Char"/>
    <w:link w:val="115"/>
    <w:qFormat/>
    <w:uiPriority w:val="0"/>
    <w:rPr>
      <w:rFonts w:ascii="Times New Roman" w:hAnsi="Times New Roman" w:eastAsia="宋体" w:cs="Times New Roman"/>
      <w:i/>
      <w:iCs/>
      <w:color w:val="000000"/>
      <w:kern w:val="2"/>
      <w:sz w:val="21"/>
      <w:szCs w:val="24"/>
    </w:rPr>
  </w:style>
  <w:style w:type="character" w:customStyle="1" w:styleId="239">
    <w:name w:val="font161"/>
    <w:qFormat/>
    <w:uiPriority w:val="0"/>
    <w:rPr>
      <w:b/>
      <w:bCs/>
      <w:sz w:val="32"/>
      <w:szCs w:val="32"/>
    </w:rPr>
  </w:style>
  <w:style w:type="character" w:customStyle="1" w:styleId="240">
    <w:name w:val="正文文本缩进 Char3"/>
    <w:link w:val="18"/>
    <w:qFormat/>
    <w:uiPriority w:val="0"/>
    <w:rPr>
      <w:rFonts w:eastAsia="宋体"/>
      <w:kern w:val="2"/>
      <w:sz w:val="21"/>
      <w:szCs w:val="24"/>
      <w:lang w:val="en-US" w:eastAsia="zh-CN" w:bidi="ar-SA"/>
    </w:rPr>
  </w:style>
  <w:style w:type="character" w:customStyle="1" w:styleId="241">
    <w:name w:val="标题 9 Char2"/>
    <w:link w:val="12"/>
    <w:qFormat/>
    <w:uiPriority w:val="0"/>
    <w:rPr>
      <w:rFonts w:eastAsia="仿宋_GB2312"/>
      <w:sz w:val="30"/>
      <w:lang w:val="en-US" w:eastAsia="zh-CN" w:bidi="ar-SA"/>
    </w:rPr>
  </w:style>
  <w:style w:type="character" w:customStyle="1" w:styleId="242">
    <w:name w:val="标题 8 Char2"/>
    <w:link w:val="11"/>
    <w:qFormat/>
    <w:uiPriority w:val="0"/>
    <w:rPr>
      <w:rFonts w:hAnsi="Arial" w:eastAsia="仿宋_GB2312"/>
      <w:sz w:val="30"/>
      <w:lang w:val="en-US" w:eastAsia="zh-CN" w:bidi="ar-SA"/>
    </w:rPr>
  </w:style>
  <w:style w:type="character" w:customStyle="1" w:styleId="243">
    <w:name w:val="Char Char32"/>
    <w:qFormat/>
    <w:uiPriority w:val="0"/>
    <w:rPr>
      <w:rFonts w:ascii="仿宋_GB2312" w:eastAsia="仿宋_GB2312" w:cs="MingLiU"/>
      <w:b/>
      <w:spacing w:val="1"/>
      <w:w w:val="99"/>
      <w:sz w:val="28"/>
      <w:szCs w:val="32"/>
    </w:rPr>
  </w:style>
  <w:style w:type="character" w:customStyle="1" w:styleId="244">
    <w:name w:val="正文文本缩进 3 Char3"/>
    <w:link w:val="36"/>
    <w:uiPriority w:val="0"/>
    <w:rPr>
      <w:rFonts w:ascii="宋体" w:hAnsi="宋体" w:eastAsia="宋体"/>
      <w:kern w:val="2"/>
      <w:sz w:val="28"/>
      <w:szCs w:val="28"/>
      <w:lang w:val="en-US" w:eastAsia="zh-CN" w:bidi="ar-SA"/>
    </w:rPr>
  </w:style>
  <w:style w:type="character" w:customStyle="1" w:styleId="245">
    <w:name w:val="标题 2 Char1"/>
    <w:qFormat/>
    <w:uiPriority w:val="0"/>
    <w:rPr>
      <w:rFonts w:ascii="Cambria" w:hAnsi="Cambria" w:eastAsia="宋体" w:cs="Times New Roman"/>
      <w:b/>
      <w:bCs/>
      <w:kern w:val="2"/>
      <w:sz w:val="32"/>
      <w:szCs w:val="32"/>
    </w:rPr>
  </w:style>
  <w:style w:type="character" w:customStyle="1" w:styleId="246">
    <w:name w:val="ss16"/>
    <w:qFormat/>
    <w:uiPriority w:val="0"/>
    <w:rPr>
      <w:rFonts w:hint="eastAsia" w:ascii="宋体" w:hAnsi="宋体" w:eastAsia="宋体"/>
      <w:color w:val="000000"/>
      <w:sz w:val="9"/>
      <w:szCs w:val="9"/>
    </w:rPr>
  </w:style>
  <w:style w:type="character" w:customStyle="1" w:styleId="247">
    <w:name w:val="批注主题 Char3"/>
    <w:semiHidden/>
    <w:qFormat/>
    <w:uiPriority w:val="99"/>
    <w:rPr>
      <w:rFonts w:ascii="Calibri" w:hAnsi="Calibri" w:eastAsia="宋体" w:cs="Times New Roman"/>
      <w:b/>
      <w:bCs/>
      <w:szCs w:val="24"/>
    </w:rPr>
  </w:style>
  <w:style w:type="character" w:customStyle="1" w:styleId="248">
    <w:name w:val="明显引用 Char1"/>
    <w:link w:val="132"/>
    <w:qFormat/>
    <w:uiPriority w:val="30"/>
    <w:rPr>
      <w:b/>
      <w:bCs/>
      <w:i/>
      <w:iCs/>
      <w:color w:val="4F81BD"/>
      <w:kern w:val="2"/>
      <w:sz w:val="21"/>
    </w:rPr>
  </w:style>
  <w:style w:type="character" w:customStyle="1" w:styleId="249">
    <w:name w:val="HTML 预设格式 Char2"/>
    <w:semiHidden/>
    <w:qFormat/>
    <w:uiPriority w:val="99"/>
    <w:rPr>
      <w:rFonts w:ascii="Courier New" w:hAnsi="Courier New" w:eastAsia="宋体" w:cs="Courier New"/>
      <w:sz w:val="20"/>
      <w:szCs w:val="20"/>
    </w:rPr>
  </w:style>
  <w:style w:type="character" w:customStyle="1" w:styleId="250">
    <w:name w:val="Char Char17"/>
    <w:qFormat/>
    <w:uiPriority w:val="0"/>
    <w:rPr>
      <w:kern w:val="2"/>
      <w:sz w:val="26"/>
      <w:szCs w:val="24"/>
    </w:rPr>
  </w:style>
  <w:style w:type="character" w:customStyle="1" w:styleId="251">
    <w:name w:val="标题 3 Char1"/>
    <w:qFormat/>
    <w:uiPriority w:val="0"/>
    <w:rPr>
      <w:rFonts w:ascii="Times New Roman" w:hAnsi="Times New Roman" w:eastAsia="宋体" w:cs="Times New Roman"/>
      <w:b/>
      <w:bCs/>
      <w:kern w:val="2"/>
      <w:sz w:val="32"/>
      <w:szCs w:val="32"/>
    </w:rPr>
  </w:style>
  <w:style w:type="character" w:customStyle="1" w:styleId="252">
    <w:name w:val="标题 5 Char"/>
    <w:qFormat/>
    <w:uiPriority w:val="0"/>
    <w:rPr>
      <w:rFonts w:ascii="Calibri" w:hAnsi="Calibri" w:eastAsia="宋体" w:cs="Times New Roman"/>
      <w:b/>
      <w:bCs/>
      <w:sz w:val="28"/>
      <w:szCs w:val="28"/>
    </w:rPr>
  </w:style>
  <w:style w:type="character" w:customStyle="1" w:styleId="253">
    <w:name w:val="页脚 Char1"/>
    <w:semiHidden/>
    <w:qFormat/>
    <w:uiPriority w:val="99"/>
    <w:rPr>
      <w:kern w:val="2"/>
      <w:sz w:val="18"/>
      <w:szCs w:val="18"/>
    </w:rPr>
  </w:style>
  <w:style w:type="character" w:customStyle="1" w:styleId="254">
    <w:name w:val="unnamed1"/>
    <w:basedOn w:val="47"/>
    <w:qFormat/>
    <w:uiPriority w:val="0"/>
  </w:style>
  <w:style w:type="character" w:customStyle="1" w:styleId="255">
    <w:name w:val="Char Char9"/>
    <w:qFormat/>
    <w:locked/>
    <w:uiPriority w:val="0"/>
    <w:rPr>
      <w:rFonts w:ascii="仿宋_GB2312" w:eastAsia="仿宋_GB2312" w:cs="MingLiU"/>
      <w:b/>
      <w:sz w:val="24"/>
      <w:szCs w:val="28"/>
      <w:lang w:val="en-US" w:eastAsia="zh-CN" w:bidi="ar-SA"/>
    </w:rPr>
  </w:style>
  <w:style w:type="character" w:customStyle="1" w:styleId="256">
    <w:name w:val="批注主题 Char1"/>
    <w:qFormat/>
    <w:uiPriority w:val="0"/>
    <w:rPr>
      <w:b/>
      <w:bCs/>
      <w:kern w:val="2"/>
      <w:sz w:val="21"/>
      <w:szCs w:val="22"/>
    </w:rPr>
  </w:style>
  <w:style w:type="character" w:customStyle="1" w:styleId="257">
    <w:name w:val="正文文本 3 Char3"/>
    <w:link w:val="17"/>
    <w:qFormat/>
    <w:uiPriority w:val="0"/>
    <w:rPr>
      <w:rFonts w:eastAsia="宋体"/>
      <w:kern w:val="2"/>
      <w:sz w:val="16"/>
      <w:szCs w:val="16"/>
      <w:lang w:val="en-US" w:eastAsia="zh-CN" w:bidi="ar-SA"/>
    </w:rPr>
  </w:style>
  <w:style w:type="character" w:customStyle="1" w:styleId="258">
    <w:name w:val="纯文本 Char2"/>
    <w:semiHidden/>
    <w:uiPriority w:val="99"/>
    <w:rPr>
      <w:rFonts w:ascii="宋体" w:hAnsi="Courier New" w:eastAsia="宋体" w:cs="Courier New"/>
      <w:szCs w:val="21"/>
    </w:rPr>
  </w:style>
  <w:style w:type="character" w:customStyle="1" w:styleId="259">
    <w:name w:val="intel3"/>
    <w:basedOn w:val="47"/>
    <w:qFormat/>
    <w:uiPriority w:val="0"/>
  </w:style>
  <w:style w:type="character" w:customStyle="1" w:styleId="260">
    <w:name w:val="subhead1"/>
    <w:qFormat/>
    <w:uiPriority w:val="0"/>
    <w:rPr>
      <w:rFonts w:hint="default" w:ascii="Tahoma" w:hAnsi="Tahoma" w:cs="Tahoma"/>
      <w:color w:val="000000"/>
      <w:sz w:val="18"/>
      <w:szCs w:val="18"/>
      <w:u w:val="none"/>
      <w:shd w:val="clear" w:color="auto" w:fill="FFFFFF"/>
    </w:rPr>
  </w:style>
  <w:style w:type="character" w:customStyle="1" w:styleId="261">
    <w:name w:val="脚注文本 Char"/>
    <w:qFormat/>
    <w:uiPriority w:val="0"/>
    <w:rPr>
      <w:rFonts w:ascii="Arial" w:hAnsi="Arial" w:eastAsia="宋体" w:cs="Arial"/>
      <w:sz w:val="18"/>
      <w:szCs w:val="18"/>
      <w:lang w:eastAsia="en-US"/>
    </w:rPr>
  </w:style>
  <w:style w:type="character" w:customStyle="1" w:styleId="262">
    <w:name w:val="引用 Char1"/>
    <w:link w:val="137"/>
    <w:qFormat/>
    <w:uiPriority w:val="29"/>
    <w:rPr>
      <w:i/>
      <w:iCs/>
      <w:color w:val="000000"/>
      <w:kern w:val="2"/>
      <w:sz w:val="21"/>
    </w:rPr>
  </w:style>
  <w:style w:type="character" w:customStyle="1" w:styleId="263">
    <w:name w:val="正文文本缩进 2 Char"/>
    <w:qFormat/>
    <w:uiPriority w:val="0"/>
    <w:rPr>
      <w:kern w:val="2"/>
      <w:sz w:val="21"/>
      <w:szCs w:val="24"/>
    </w:rPr>
  </w:style>
  <w:style w:type="character" w:customStyle="1" w:styleId="264">
    <w:name w:val="脚注文本 Char2"/>
    <w:semiHidden/>
    <w:uiPriority w:val="99"/>
    <w:rPr>
      <w:rFonts w:ascii="Calibri" w:hAnsi="Calibri" w:eastAsia="宋体" w:cs="Times New Roman"/>
      <w:sz w:val="18"/>
      <w:szCs w:val="18"/>
    </w:rPr>
  </w:style>
  <w:style w:type="character" w:customStyle="1" w:styleId="265">
    <w:name w:val="ca-141"/>
    <w:qFormat/>
    <w:uiPriority w:val="0"/>
    <w:rPr>
      <w:rFonts w:hint="eastAsia" w:ascii="仿宋_GB2312" w:eastAsia="仿宋_GB2312"/>
      <w:sz w:val="21"/>
      <w:szCs w:val="21"/>
    </w:rPr>
  </w:style>
  <w:style w:type="character" w:customStyle="1" w:styleId="266">
    <w:name w:val="标题 Char1"/>
    <w:qFormat/>
    <w:uiPriority w:val="10"/>
    <w:rPr>
      <w:szCs w:val="24"/>
      <w:u w:val="single"/>
      <w:lang w:eastAsia="en-US"/>
    </w:rPr>
  </w:style>
  <w:style w:type="character" w:customStyle="1" w:styleId="267">
    <w:name w:val="style161"/>
    <w:qFormat/>
    <w:uiPriority w:val="0"/>
    <w:rPr>
      <w:b/>
      <w:bCs/>
      <w:color w:val="333333"/>
    </w:rPr>
  </w:style>
  <w:style w:type="character" w:customStyle="1" w:styleId="268">
    <w:name w:val="Char Char11"/>
    <w:qFormat/>
    <w:locked/>
    <w:uiPriority w:val="0"/>
    <w:rPr>
      <w:rFonts w:eastAsia="黑体"/>
      <w:kern w:val="2"/>
      <w:sz w:val="44"/>
      <w:szCs w:val="44"/>
      <w:lang w:val="en-US" w:eastAsia="zh-CN" w:bidi="ar-SA"/>
    </w:rPr>
  </w:style>
  <w:style w:type="character" w:customStyle="1" w:styleId="269">
    <w:name w:val="标题 7 Char"/>
    <w:qFormat/>
    <w:uiPriority w:val="0"/>
    <w:rPr>
      <w:rFonts w:ascii="Calibri" w:hAnsi="Calibri" w:eastAsia="宋体" w:cs="Times New Roman"/>
      <w:b/>
      <w:bCs/>
      <w:sz w:val="24"/>
      <w:szCs w:val="24"/>
    </w:rPr>
  </w:style>
  <w:style w:type="character" w:customStyle="1" w:styleId="270">
    <w:name w:val="批注文字 Char1"/>
    <w:qFormat/>
    <w:uiPriority w:val="99"/>
    <w:rPr>
      <w:rFonts w:ascii="Times New Roman" w:hAnsi="Times New Roman" w:eastAsia="宋体" w:cs="Times New Roman"/>
      <w:szCs w:val="24"/>
    </w:rPr>
  </w:style>
  <w:style w:type="character" w:customStyle="1" w:styleId="271">
    <w:name w:val="明显引用 Char"/>
    <w:qFormat/>
    <w:uiPriority w:val="0"/>
    <w:rPr>
      <w:rFonts w:ascii="Times New Roman" w:hAnsi="Times New Roman" w:eastAsia="宋体" w:cs="Times New Roman"/>
      <w:b/>
      <w:bCs/>
      <w:i/>
      <w:iCs/>
      <w:color w:val="4F81BD"/>
      <w:kern w:val="2"/>
      <w:sz w:val="21"/>
      <w:szCs w:val="24"/>
    </w:rPr>
  </w:style>
  <w:style w:type="character" w:customStyle="1" w:styleId="272">
    <w:name w:val="标题 5 Char2"/>
    <w:link w:val="7"/>
    <w:uiPriority w:val="0"/>
    <w:rPr>
      <w:rFonts w:ascii="宋体" w:hAnsi="宋体" w:eastAsia="宋体" w:cs="宋体"/>
      <w:b/>
      <w:bCs/>
      <w:lang w:val="en-US" w:eastAsia="zh-CN" w:bidi="ar-SA"/>
    </w:rPr>
  </w:style>
  <w:style w:type="character" w:customStyle="1" w:styleId="273">
    <w:name w:val="正文文本缩进 3 Char1"/>
    <w:qFormat/>
    <w:uiPriority w:val="0"/>
    <w:rPr>
      <w:rFonts w:ascii="宋体" w:hAnsi="宋体"/>
      <w:kern w:val="2"/>
      <w:sz w:val="28"/>
      <w:szCs w:val="28"/>
    </w:rPr>
  </w:style>
  <w:style w:type="character" w:customStyle="1" w:styleId="274">
    <w:name w:val="正文文本 Char"/>
    <w:qFormat/>
    <w:uiPriority w:val="0"/>
    <w:rPr>
      <w:sz w:val="26"/>
      <w:szCs w:val="24"/>
    </w:rPr>
  </w:style>
  <w:style w:type="character" w:customStyle="1" w:styleId="275">
    <w:name w:val="明显引用 Char4"/>
    <w:link w:val="81"/>
    <w:qFormat/>
    <w:uiPriority w:val="0"/>
    <w:rPr>
      <w:b/>
      <w:bCs/>
      <w:i/>
      <w:iCs/>
      <w:color w:val="4F81BD"/>
      <w:kern w:val="2"/>
      <w:sz w:val="21"/>
      <w:szCs w:val="22"/>
      <w:lang w:bidi="ar-SA"/>
    </w:rPr>
  </w:style>
  <w:style w:type="character" w:customStyle="1" w:styleId="276">
    <w:name w:val="Char Char12"/>
    <w:qFormat/>
    <w:uiPriority w:val="0"/>
    <w:rPr>
      <w:rFonts w:eastAsia="黑体"/>
      <w:kern w:val="2"/>
      <w:sz w:val="44"/>
      <w:szCs w:val="44"/>
      <w:lang w:val="en-US" w:eastAsia="zh-CN" w:bidi="ar-SA"/>
    </w:rPr>
  </w:style>
  <w:style w:type="character" w:customStyle="1" w:styleId="277">
    <w:name w:val="标题 4 Char"/>
    <w:qFormat/>
    <w:uiPriority w:val="0"/>
    <w:rPr>
      <w:rFonts w:ascii="仿宋_GB2312" w:hAnsi="Calibri" w:eastAsia="仿宋_GB2312" w:cs="Times New Roman"/>
      <w:b/>
      <w:kern w:val="0"/>
      <w:sz w:val="24"/>
      <w:szCs w:val="28"/>
    </w:rPr>
  </w:style>
  <w:style w:type="character" w:customStyle="1" w:styleId="278">
    <w:name w:val="明显引用 Char3"/>
    <w:qFormat/>
    <w:uiPriority w:val="30"/>
    <w:rPr>
      <w:rFonts w:ascii="Calibri" w:hAnsi="Calibri" w:eastAsia="宋体" w:cs="Times New Roman"/>
      <w:b/>
      <w:bCs/>
      <w:i/>
      <w:iCs/>
      <w:color w:val="4F81BD"/>
      <w:szCs w:val="24"/>
    </w:rPr>
  </w:style>
  <w:style w:type="character" w:customStyle="1" w:styleId="279">
    <w:name w:val="引用 Char2"/>
    <w:qFormat/>
    <w:uiPriority w:val="99"/>
    <w:rPr>
      <w:i/>
      <w:iCs/>
      <w:color w:val="000000"/>
      <w:kern w:val="2"/>
      <w:sz w:val="21"/>
      <w:szCs w:val="24"/>
    </w:rPr>
  </w:style>
  <w:style w:type="character" w:customStyle="1" w:styleId="280">
    <w:name w:val="批注主题 Char4"/>
    <w:link w:val="44"/>
    <w:uiPriority w:val="0"/>
    <w:rPr>
      <w:rFonts w:eastAsia="宋体"/>
      <w:b/>
      <w:bCs/>
      <w:kern w:val="2"/>
      <w:sz w:val="21"/>
      <w:szCs w:val="24"/>
      <w:lang w:val="en-US" w:eastAsia="zh-CN" w:bidi="ar-SA"/>
    </w:rPr>
  </w:style>
  <w:style w:type="character" w:customStyle="1" w:styleId="281">
    <w:name w:val="不明显强调1"/>
    <w:qFormat/>
    <w:uiPriority w:val="0"/>
    <w:rPr>
      <w:i/>
      <w:iCs/>
      <w:color w:val="808080"/>
    </w:rPr>
  </w:style>
  <w:style w:type="character" w:customStyle="1" w:styleId="282">
    <w:name w:val="color_red1"/>
    <w:qFormat/>
    <w:uiPriority w:val="0"/>
    <w:rPr>
      <w:color w:val="FA0004"/>
    </w:rPr>
  </w:style>
  <w:style w:type="character" w:customStyle="1" w:styleId="283">
    <w:name w:val="标题 7 Char2"/>
    <w:link w:val="10"/>
    <w:qFormat/>
    <w:uiPriority w:val="0"/>
    <w:rPr>
      <w:rFonts w:eastAsia="仿宋_GB2312"/>
      <w:sz w:val="30"/>
      <w:lang w:val="en-US" w:eastAsia="zh-CN" w:bidi="ar-SA"/>
    </w:rPr>
  </w:style>
  <w:style w:type="character" w:customStyle="1" w:styleId="284">
    <w:name w:val="标题5 Char Char"/>
    <w:link w:val="121"/>
    <w:qFormat/>
    <w:uiPriority w:val="0"/>
    <w:rPr>
      <w:rFonts w:ascii="Arial" w:hAnsi="Arial"/>
      <w:b/>
      <w:bCs/>
      <w:sz w:val="24"/>
      <w:szCs w:val="32"/>
      <w:lang w:bidi="ar-SA"/>
    </w:rPr>
  </w:style>
  <w:style w:type="character" w:customStyle="1" w:styleId="285">
    <w:name w:val="脚注文本 Char3"/>
    <w:link w:val="34"/>
    <w:uiPriority w:val="0"/>
    <w:rPr>
      <w:rFonts w:ascii="Arial" w:hAnsi="Arial" w:eastAsia="宋体" w:cs="Arial"/>
      <w:sz w:val="18"/>
      <w:szCs w:val="18"/>
      <w:lang w:val="en-US" w:eastAsia="en-US" w:bidi="ar-SA"/>
    </w:rPr>
  </w:style>
  <w:style w:type="character" w:customStyle="1" w:styleId="286">
    <w:name w:val="标题4 Char Char"/>
    <w:link w:val="91"/>
    <w:qFormat/>
    <w:uiPriority w:val="0"/>
    <w:rPr>
      <w:rFonts w:ascii="Arial" w:hAnsi="Arial"/>
      <w:b/>
      <w:bCs/>
      <w:sz w:val="24"/>
      <w:szCs w:val="32"/>
      <w:lang w:bidi="ar-SA"/>
    </w:rPr>
  </w:style>
  <w:style w:type="character" w:customStyle="1" w:styleId="287">
    <w:name w:val="Char Char13"/>
    <w:qFormat/>
    <w:uiPriority w:val="0"/>
    <w:rPr>
      <w:kern w:val="2"/>
      <w:sz w:val="18"/>
      <w:szCs w:val="18"/>
    </w:rPr>
  </w:style>
  <w:style w:type="character" w:customStyle="1" w:styleId="288">
    <w:name w:val="文档结构图 Char2"/>
    <w:qFormat/>
    <w:uiPriority w:val="99"/>
    <w:rPr>
      <w:kern w:val="2"/>
      <w:sz w:val="21"/>
      <w:szCs w:val="24"/>
      <w:shd w:val="clear" w:color="auto" w:fill="000080"/>
    </w:rPr>
  </w:style>
  <w:style w:type="character" w:customStyle="1" w:styleId="289">
    <w:name w:val="批注文字 Char2"/>
    <w:qFormat/>
    <w:uiPriority w:val="0"/>
    <w:rPr>
      <w:rFonts w:ascii="Calibri" w:hAnsi="Calibri" w:eastAsia="宋体" w:cs="Times New Roman"/>
      <w:szCs w:val="24"/>
    </w:rPr>
  </w:style>
  <w:style w:type="character" w:customStyle="1" w:styleId="290">
    <w:name w:val="标题 8 Char1"/>
    <w:qFormat/>
    <w:uiPriority w:val="0"/>
    <w:rPr>
      <w:rFonts w:ascii="Times New Roman" w:hAnsi="Arial" w:eastAsia="仿宋_GB2312" w:cs="Times New Roman"/>
      <w:sz w:val="30"/>
      <w:szCs w:val="20"/>
    </w:rPr>
  </w:style>
  <w:style w:type="character" w:customStyle="1" w:styleId="291">
    <w:name w:val="页眉 Char2"/>
    <w:link w:val="30"/>
    <w:qFormat/>
    <w:uiPriority w:val="0"/>
    <w:rPr>
      <w:rFonts w:eastAsia="宋体"/>
      <w:kern w:val="2"/>
      <w:sz w:val="18"/>
      <w:szCs w:val="18"/>
      <w:lang w:val="en-US" w:eastAsia="zh-CN" w:bidi="ar-SA"/>
    </w:rPr>
  </w:style>
  <w:style w:type="character" w:customStyle="1" w:styleId="292">
    <w:name w:val="Char Char21"/>
    <w:qFormat/>
    <w:uiPriority w:val="0"/>
    <w:rPr>
      <w:rFonts w:ascii="宋体" w:hAnsi="宋体" w:cs="宋体"/>
      <w:b/>
      <w:bCs/>
      <w:sz w:val="24"/>
      <w:szCs w:val="24"/>
    </w:rPr>
  </w:style>
  <w:style w:type="character" w:customStyle="1" w:styleId="293">
    <w:name w:val="标题 6 Char1"/>
    <w:qFormat/>
    <w:uiPriority w:val="0"/>
    <w:rPr>
      <w:rFonts w:ascii="Times New Roman" w:hAnsi="Arial" w:eastAsia="仿宋_GB2312" w:cs="Times New Roman"/>
      <w:sz w:val="30"/>
      <w:szCs w:val="20"/>
    </w:rPr>
  </w:style>
  <w:style w:type="character" w:customStyle="1" w:styleId="294">
    <w:name w:val="_Style 293"/>
    <w:qFormat/>
    <w:uiPriority w:val="0"/>
    <w:rPr>
      <w:smallCaps/>
      <w:color w:val="C0504D"/>
      <w:u w:val="single"/>
    </w:rPr>
  </w:style>
  <w:style w:type="character" w:customStyle="1" w:styleId="295">
    <w:name w:val="副标题 Char1"/>
    <w:qFormat/>
    <w:uiPriority w:val="0"/>
    <w:rPr>
      <w:szCs w:val="24"/>
      <w:u w:val="single"/>
      <w:lang w:eastAsia="en-US"/>
    </w:rPr>
  </w:style>
  <w:style w:type="character" w:customStyle="1" w:styleId="296">
    <w:name w:val="正文文本 Char3"/>
    <w:semiHidden/>
    <w:qFormat/>
    <w:uiPriority w:val="99"/>
    <w:rPr>
      <w:rFonts w:ascii="Calibri" w:hAnsi="Calibri" w:eastAsia="宋体" w:cs="Times New Roman"/>
      <w:szCs w:val="24"/>
    </w:rPr>
  </w:style>
  <w:style w:type="character" w:customStyle="1" w:styleId="297">
    <w:name w:val="标题 4 Char1"/>
    <w:qFormat/>
    <w:uiPriority w:val="0"/>
    <w:rPr>
      <w:rFonts w:ascii="宋体" w:hAnsi="宋体" w:eastAsia="宋体" w:cs="宋体"/>
      <w:b/>
      <w:bCs/>
      <w:sz w:val="24"/>
      <w:szCs w:val="24"/>
    </w:rPr>
  </w:style>
  <w:style w:type="character" w:customStyle="1" w:styleId="298">
    <w:name w:val="文档结构图 Char3"/>
    <w:semiHidden/>
    <w:qFormat/>
    <w:uiPriority w:val="99"/>
    <w:rPr>
      <w:rFonts w:ascii="宋体" w:hAnsi="Calibri" w:eastAsia="宋体" w:cs="Times New Roman"/>
      <w:sz w:val="18"/>
      <w:szCs w:val="18"/>
    </w:rPr>
  </w:style>
  <w:style w:type="character" w:customStyle="1" w:styleId="299">
    <w:name w:val="标题 3 Char2"/>
    <w:link w:val="5"/>
    <w:qFormat/>
    <w:uiPriority w:val="0"/>
    <w:rPr>
      <w:rFonts w:eastAsia="宋体"/>
      <w:b/>
      <w:bCs/>
      <w:kern w:val="2"/>
      <w:sz w:val="32"/>
      <w:szCs w:val="32"/>
      <w:lang w:val="en-US" w:eastAsia="zh-CN" w:bidi="ar-SA"/>
    </w:rPr>
  </w:style>
  <w:style w:type="character" w:customStyle="1" w:styleId="300">
    <w:name w:val="正文文本 3 Char2"/>
    <w:semiHidden/>
    <w:qFormat/>
    <w:uiPriority w:val="99"/>
    <w:rPr>
      <w:rFonts w:ascii="Calibri" w:hAnsi="Calibri" w:eastAsia="宋体" w:cs="Times New Roman"/>
      <w:sz w:val="16"/>
      <w:szCs w:val="16"/>
    </w:rPr>
  </w:style>
  <w:style w:type="character" w:customStyle="1" w:styleId="301">
    <w:name w:val="Char Char23"/>
    <w:qFormat/>
    <w:uiPriority w:val="0"/>
    <w:rPr>
      <w:rFonts w:ascii="Cambria" w:hAnsi="Cambria" w:eastAsia="宋体" w:cs="Times New Roman"/>
      <w:b/>
      <w:bCs/>
      <w:kern w:val="2"/>
      <w:sz w:val="32"/>
      <w:szCs w:val="32"/>
    </w:rPr>
  </w:style>
  <w:style w:type="character" w:customStyle="1" w:styleId="302">
    <w:name w:val="尾注文本 Char2"/>
    <w:semiHidden/>
    <w:qFormat/>
    <w:uiPriority w:val="99"/>
    <w:rPr>
      <w:rFonts w:ascii="Calibri" w:hAnsi="Calibri" w:eastAsia="宋体" w:cs="Times New Roman"/>
      <w:szCs w:val="24"/>
    </w:rPr>
  </w:style>
  <w:style w:type="character" w:customStyle="1" w:styleId="303">
    <w:name w:val="书籍标题1"/>
    <w:qFormat/>
    <w:uiPriority w:val="0"/>
    <w:rPr>
      <w:b/>
      <w:bCs/>
      <w:smallCaps/>
      <w:spacing w:val="5"/>
    </w:rPr>
  </w:style>
  <w:style w:type="character" w:customStyle="1" w:styleId="304">
    <w:name w:val="ITTHEADER2 Char"/>
    <w:qFormat/>
    <w:uiPriority w:val="0"/>
    <w:rPr>
      <w:rFonts w:ascii="仿宋_GB2312" w:eastAsia="仿宋_GB2312" w:cs="MingLiU"/>
      <w:b/>
      <w:spacing w:val="1"/>
      <w:w w:val="99"/>
      <w:sz w:val="28"/>
      <w:szCs w:val="32"/>
      <w:lang w:val="en-US" w:eastAsia="zh-CN" w:bidi="ar-SA"/>
    </w:rPr>
  </w:style>
  <w:style w:type="character" w:customStyle="1" w:styleId="305">
    <w:name w:val="批注文字 Char3"/>
    <w:link w:val="16"/>
    <w:qFormat/>
    <w:uiPriority w:val="99"/>
    <w:rPr>
      <w:rFonts w:eastAsia="宋体"/>
      <w:kern w:val="2"/>
      <w:sz w:val="21"/>
      <w:szCs w:val="24"/>
      <w:lang w:val="en-US" w:eastAsia="zh-CN" w:bidi="ar-SA"/>
    </w:rPr>
  </w:style>
  <w:style w:type="character" w:customStyle="1" w:styleId="306">
    <w:name w:val="批注文字 Char Char"/>
    <w:qFormat/>
    <w:uiPriority w:val="0"/>
    <w:rPr>
      <w:rFonts w:ascii="宋体" w:hAnsi="Times New Roman" w:eastAsia="宋体" w:cs="Times New Roman"/>
      <w:sz w:val="28"/>
      <w:szCs w:val="20"/>
    </w:rPr>
  </w:style>
  <w:style w:type="character" w:customStyle="1" w:styleId="307">
    <w:name w:val="副标题 Char3"/>
    <w:link w:val="33"/>
    <w:qFormat/>
    <w:uiPriority w:val="0"/>
    <w:rPr>
      <w:rFonts w:eastAsia="宋体"/>
      <w:szCs w:val="24"/>
      <w:u w:val="single"/>
      <w:lang w:val="en-US" w:eastAsia="en-US" w:bidi="ar-SA"/>
    </w:rPr>
  </w:style>
  <w:style w:type="character" w:customStyle="1" w:styleId="308">
    <w:name w:val="批注主题 Char2"/>
    <w:qFormat/>
    <w:uiPriority w:val="99"/>
    <w:rPr>
      <w:b/>
      <w:bCs/>
      <w:kern w:val="2"/>
      <w:sz w:val="21"/>
      <w:szCs w:val="24"/>
    </w:rPr>
  </w:style>
  <w:style w:type="character" w:customStyle="1" w:styleId="309">
    <w:name w:val="normaltext1"/>
    <w:qFormat/>
    <w:uiPriority w:val="0"/>
    <w:rPr>
      <w:rFonts w:hint="default" w:ascii="ˎ̥" w:hAnsi="ˎ̥"/>
      <w:sz w:val="9"/>
      <w:szCs w:val="9"/>
    </w:rPr>
  </w:style>
  <w:style w:type="character" w:customStyle="1" w:styleId="310">
    <w:name w:val="不明显参考1"/>
    <w:qFormat/>
    <w:uiPriority w:val="0"/>
    <w:rPr>
      <w:smallCaps/>
      <w:color w:val="C0504D"/>
      <w:u w:val="single"/>
    </w:rPr>
  </w:style>
  <w:style w:type="character" w:customStyle="1" w:styleId="311">
    <w:name w:val="标题 6 Char"/>
    <w:qFormat/>
    <w:uiPriority w:val="0"/>
    <w:rPr>
      <w:rFonts w:ascii="Arial" w:hAnsi="Arial" w:eastAsia="黑体" w:cs="Times New Roman"/>
      <w:b/>
      <w:bCs/>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5.wmf"/><Relationship Id="rId21" Type="http://schemas.openxmlformats.org/officeDocument/2006/relationships/oleObject" Target="embeddings/oleObject5.bin"/><Relationship Id="rId20" Type="http://schemas.openxmlformats.org/officeDocument/2006/relationships/image" Target="media/image4.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3.wmf"/><Relationship Id="rId17" Type="http://schemas.openxmlformats.org/officeDocument/2006/relationships/oleObject" Target="embeddings/oleObject3.bin"/><Relationship Id="rId16" Type="http://schemas.openxmlformats.org/officeDocument/2006/relationships/image" Target="media/image2.wmf"/><Relationship Id="rId15" Type="http://schemas.openxmlformats.org/officeDocument/2006/relationships/oleObject" Target="embeddings/oleObject2.bin"/><Relationship Id="rId14" Type="http://schemas.openxmlformats.org/officeDocument/2006/relationships/image" Target="media/image1.wmf"/><Relationship Id="rId13" Type="http://schemas.openxmlformats.org/officeDocument/2006/relationships/oleObject" Target="embeddings/oleObject1.bin"/><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249</Pages>
  <Words>6031</Words>
  <Characters>6643</Characters>
  <Lines>1316</Lines>
  <Paragraphs>370</Paragraphs>
  <TotalTime>6</TotalTime>
  <ScaleCrop>false</ScaleCrop>
  <LinksUpToDate>false</LinksUpToDate>
  <CharactersWithSpaces>8405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2020-12-28T01:24:00Z</dcterms:created>
  <dc:creator>USER</dc:creator>
  <cp:lastModifiedBy>温星星</cp:lastModifiedBy>
  <cp:lastPrinted>2019-02-01T08:39:00Z</cp:lastPrinted>
  <dcterms:modified xsi:type="dcterms:W3CDTF">2025-04-21T07:02:52Z</dcterms:modified>
  <dc:title>第一卷</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eyJoZGlkIjoiZDRlMTI0ZmZkNWVkNDk2ZTg4NWYwOTQyMjQxMmY4NGEiLCJ1c2VySWQiOiIxMzIzODcwMDMzIn0=</vt:lpwstr>
  </property>
  <property fmtid="{D5CDD505-2E9C-101B-9397-08002B2CF9AE}" pid="4" name="ICV">
    <vt:lpwstr>95AB1DB2D56E44C9AF2A9DD08195FF65_12</vt:lpwstr>
  </property>
</Properties>
</file>