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50" w:rsidRDefault="005F7650">
      <w:pPr>
        <w:spacing w:line="500" w:lineRule="exact"/>
        <w:ind w:firstLine="400"/>
        <w:rPr>
          <w:rFonts w:ascii="Times New Roman" w:eastAsia="Times New Roman" w:hAnsi="Times New Roman"/>
          <w:color w:val="000000"/>
        </w:rPr>
      </w:pPr>
    </w:p>
    <w:p w:rsidR="005F7650" w:rsidRDefault="005F46F4">
      <w:pPr>
        <w:spacing w:line="500" w:lineRule="exact"/>
        <w:ind w:firstLine="400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3" o:spid="_x0000_s1026" type="#_x0000_t136" style="position:absolute;left:0;text-align:left;margin-left:0;margin-top:99.25pt;width:411pt;height:53.85pt;z-index:251661312;mso-position-horizontal:center;mso-position-horizontal-relative:page;mso-position-vertical-relative:margin;mso-width-relative:page;mso-height-relative:page" fillcolor="red" stroked="f">
            <v:textpath style="font-family:&quot;方正小标宋_GBK&quot;;font-weight:bold" trim="t" fitpath="t" string="丰都县财政局文件"/>
            <w10:wrap anchorx="page" anchory="margin"/>
          </v:shape>
        </w:pict>
      </w:r>
    </w:p>
    <w:p w:rsidR="005F7650" w:rsidRDefault="005F7650">
      <w:pPr>
        <w:spacing w:line="500" w:lineRule="exact"/>
        <w:ind w:firstLine="400"/>
        <w:rPr>
          <w:rFonts w:ascii="Times New Roman" w:eastAsia="Times New Roman" w:hAnsi="Times New Roman"/>
          <w:color w:val="000000"/>
        </w:rPr>
      </w:pPr>
    </w:p>
    <w:p w:rsidR="005F7650" w:rsidRDefault="005F7650">
      <w:pPr>
        <w:spacing w:line="500" w:lineRule="exact"/>
        <w:ind w:firstLine="880"/>
        <w:jc w:val="center"/>
        <w:rPr>
          <w:rFonts w:ascii="Times New Roman" w:eastAsia="方正小标宋_GBK" w:hAnsi="Times New Roman"/>
          <w:color w:val="000000"/>
          <w:sz w:val="44"/>
        </w:rPr>
      </w:pPr>
    </w:p>
    <w:p w:rsidR="005F7650" w:rsidRDefault="005F7650">
      <w:pPr>
        <w:spacing w:line="500" w:lineRule="exact"/>
        <w:ind w:firstLine="880"/>
        <w:jc w:val="center"/>
        <w:rPr>
          <w:rFonts w:ascii="Times New Roman" w:eastAsia="方正小标宋_GBK" w:hAnsi="Times New Roman"/>
          <w:color w:val="000000"/>
          <w:sz w:val="44"/>
        </w:rPr>
      </w:pPr>
    </w:p>
    <w:p w:rsidR="005F7650" w:rsidRDefault="005F7650">
      <w:pPr>
        <w:spacing w:line="500" w:lineRule="exact"/>
        <w:ind w:firstLine="400"/>
        <w:jc w:val="center"/>
        <w:rPr>
          <w:rFonts w:ascii="Times New Roman" w:eastAsia="方正楷体_GBK" w:hAnsi="Times New Roman"/>
          <w:color w:val="000000"/>
        </w:rPr>
      </w:pPr>
    </w:p>
    <w:p w:rsidR="005F7650" w:rsidRDefault="005F7650">
      <w:pPr>
        <w:spacing w:line="500" w:lineRule="exact"/>
        <w:ind w:firstLine="400"/>
        <w:jc w:val="center"/>
        <w:rPr>
          <w:rFonts w:ascii="Times New Roman" w:eastAsia="方正楷体_GBK" w:hAnsi="Times New Roman"/>
          <w:color w:val="000000"/>
        </w:rPr>
      </w:pPr>
    </w:p>
    <w:p w:rsidR="005F7650" w:rsidRDefault="005F7650">
      <w:pPr>
        <w:spacing w:line="500" w:lineRule="exact"/>
        <w:ind w:firstLine="400"/>
        <w:rPr>
          <w:rFonts w:ascii="Times New Roman" w:eastAsia="Times New Roman" w:hAnsi="Times New Roman"/>
          <w:color w:val="000000"/>
        </w:rPr>
      </w:pPr>
    </w:p>
    <w:p w:rsidR="005F7650" w:rsidRDefault="005F46F4">
      <w:pPr>
        <w:tabs>
          <w:tab w:val="left" w:pos="4680"/>
        </w:tabs>
        <w:spacing w:line="540" w:lineRule="exact"/>
        <w:jc w:val="center"/>
        <w:rPr>
          <w:rFonts w:ascii="Times New Roman" w:eastAsia="方正仿宋_GBK" w:hAnsi="Times New Roman"/>
          <w:color w:val="000000"/>
          <w:sz w:val="32"/>
        </w:rPr>
      </w:pPr>
      <w:proofErr w:type="gramStart"/>
      <w:r>
        <w:rPr>
          <w:rFonts w:ascii="Times New Roman" w:eastAsia="方正仿宋_GBK" w:hAnsi="Times New Roman"/>
          <w:color w:val="000000"/>
          <w:sz w:val="32"/>
        </w:rPr>
        <w:t>丰财农〔</w:t>
      </w:r>
      <w:r>
        <w:rPr>
          <w:rFonts w:ascii="Times New Roman" w:eastAsia="方正仿宋_GBK" w:hAnsi="Times New Roman"/>
          <w:color w:val="000000"/>
          <w:sz w:val="32"/>
        </w:rPr>
        <w:t>2023</w:t>
      </w:r>
      <w:r>
        <w:rPr>
          <w:rFonts w:ascii="Times New Roman" w:eastAsia="方正仿宋_GBK" w:hAnsi="Times New Roman"/>
          <w:color w:val="000000"/>
          <w:sz w:val="32"/>
        </w:rPr>
        <w:t>〕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</w:rPr>
        <w:t>59</w:t>
      </w:r>
      <w:r>
        <w:rPr>
          <w:rFonts w:ascii="Times New Roman" w:eastAsia="方正仿宋_GBK" w:hAnsi="Times New Roman"/>
          <w:color w:val="000000"/>
          <w:sz w:val="32"/>
        </w:rPr>
        <w:t>号</w:t>
      </w:r>
    </w:p>
    <w:p w:rsidR="005F7650" w:rsidRDefault="005F7650">
      <w:pPr>
        <w:tabs>
          <w:tab w:val="left" w:pos="4680"/>
        </w:tabs>
        <w:spacing w:line="480" w:lineRule="exact"/>
        <w:jc w:val="center"/>
        <w:rPr>
          <w:rFonts w:ascii="Times New Roman" w:eastAsia="方正小标宋_GBK" w:hAnsi="Times New Roman"/>
          <w:color w:val="000000"/>
          <w:sz w:val="44"/>
        </w:rPr>
      </w:pPr>
    </w:p>
    <w:p w:rsidR="005F7650" w:rsidRDefault="005F46F4">
      <w:pPr>
        <w:tabs>
          <w:tab w:val="left" w:pos="4680"/>
        </w:tabs>
        <w:spacing w:line="480" w:lineRule="exact"/>
        <w:jc w:val="center"/>
        <w:rPr>
          <w:rFonts w:ascii="Times New Roman" w:eastAsia="方正小标宋_GBK" w:hAnsi="Times New Roman"/>
          <w:color w:val="000000"/>
          <w:sz w:val="4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margin">
                  <wp:posOffset>2971800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9.4pt;margin-top:234pt;height:0pt;width:442.2pt;mso-position-horizontal-relative:page;mso-position-vertical-relative:margin;z-index:251662336;mso-width-relative:page;mso-height-relative:page;" filled="f" stroked="t" coordsize="21600,21600" o:gfxdata="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MfbpNgAAAAMAQAADwAAAAAAAAABACAAAAAiAAAAZHJzL2Rvd25yZXYu&#10;eG1sUEsBAhQAFAAAAAgAh07iQA6Z4vL7AQAA8wMAAA4AAAAAAAAAAQAgAAAAJwEAAGRycy9lMm9E&#10;b2MueG1sUEsFBgAAAAAGAAYAWQEAAJQ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5F7650" w:rsidRDefault="005F46F4">
      <w:pPr>
        <w:spacing w:line="560" w:lineRule="exact"/>
        <w:jc w:val="center"/>
        <w:rPr>
          <w:rFonts w:ascii="Times New Roman" w:eastAsia="方正小标宋_GBK" w:hAnsi="Times New Roman"/>
          <w:spacing w:val="32"/>
          <w:sz w:val="44"/>
          <w:szCs w:val="44"/>
        </w:rPr>
      </w:pPr>
      <w:r>
        <w:rPr>
          <w:rFonts w:ascii="Times New Roman" w:eastAsia="方正小标宋_GBK" w:hAnsi="Times New Roman"/>
          <w:spacing w:val="32"/>
          <w:sz w:val="44"/>
          <w:szCs w:val="44"/>
        </w:rPr>
        <w:t>丰</w:t>
      </w:r>
      <w:r>
        <w:rPr>
          <w:rFonts w:ascii="Times New Roman" w:eastAsia="方正小标宋_GBK" w:hAnsi="Times New Roman"/>
          <w:spacing w:val="32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pacing w:val="32"/>
          <w:sz w:val="44"/>
          <w:szCs w:val="44"/>
        </w:rPr>
        <w:t>都</w:t>
      </w:r>
      <w:r>
        <w:rPr>
          <w:rFonts w:ascii="Times New Roman" w:eastAsia="方正小标宋_GBK" w:hAnsi="Times New Roman"/>
          <w:spacing w:val="32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pacing w:val="32"/>
          <w:sz w:val="44"/>
          <w:szCs w:val="44"/>
        </w:rPr>
        <w:t>县</w:t>
      </w:r>
      <w:r>
        <w:rPr>
          <w:rFonts w:ascii="Times New Roman" w:eastAsia="方正小标宋_GBK" w:hAnsi="Times New Roman"/>
          <w:spacing w:val="32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pacing w:val="32"/>
          <w:sz w:val="44"/>
          <w:szCs w:val="44"/>
        </w:rPr>
        <w:t>财</w:t>
      </w:r>
      <w:r>
        <w:rPr>
          <w:rFonts w:ascii="Times New Roman" w:eastAsia="方正小标宋_GBK" w:hAnsi="Times New Roman"/>
          <w:spacing w:val="32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pacing w:val="32"/>
          <w:sz w:val="44"/>
          <w:szCs w:val="44"/>
        </w:rPr>
        <w:t>政</w:t>
      </w:r>
      <w:r>
        <w:rPr>
          <w:rFonts w:ascii="Times New Roman" w:eastAsia="方正小标宋_GBK" w:hAnsi="Times New Roman"/>
          <w:spacing w:val="32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pacing w:val="32"/>
          <w:sz w:val="44"/>
          <w:szCs w:val="44"/>
        </w:rPr>
        <w:t>局</w:t>
      </w:r>
    </w:p>
    <w:p w:rsidR="005F7650" w:rsidRDefault="005F46F4">
      <w:pPr>
        <w:spacing w:line="560" w:lineRule="exact"/>
        <w:jc w:val="center"/>
        <w:rPr>
          <w:rFonts w:ascii="Times New Roman" w:eastAsia="方正小标宋_GBK" w:hAnsi="Times New Roman"/>
          <w:spacing w:val="32"/>
          <w:sz w:val="44"/>
          <w:szCs w:val="44"/>
        </w:rPr>
      </w:pPr>
      <w:r>
        <w:rPr>
          <w:rFonts w:ascii="Times New Roman" w:eastAsia="方正小标宋_GBK" w:hAnsi="Times New Roman"/>
          <w:spacing w:val="62"/>
          <w:sz w:val="44"/>
          <w:szCs w:val="44"/>
        </w:rPr>
        <w:t>丰都县乡村振兴局</w:t>
      </w:r>
    </w:p>
    <w:p w:rsidR="005F7650" w:rsidRDefault="005F46F4">
      <w:pPr>
        <w:spacing w:line="560" w:lineRule="exact"/>
        <w:jc w:val="center"/>
        <w:rPr>
          <w:rFonts w:ascii="Times New Roman" w:eastAsia="方正仿宋_GBK" w:hAnsi="Times New Roman"/>
          <w:sz w:val="32"/>
          <w:szCs w:val="24"/>
        </w:rPr>
      </w:pPr>
      <w:r>
        <w:rPr>
          <w:rFonts w:ascii="Times New Roman" w:eastAsia="方正小标宋_GBK" w:hAnsi="Times New Roman"/>
          <w:sz w:val="44"/>
          <w:szCs w:val="24"/>
        </w:rPr>
        <w:t>关于</w:t>
      </w:r>
      <w:r>
        <w:rPr>
          <w:rFonts w:ascii="Times New Roman" w:eastAsia="方正小标宋_GBK" w:hAnsi="Times New Roman"/>
          <w:sz w:val="44"/>
          <w:szCs w:val="24"/>
        </w:rPr>
        <w:t>下达高家</w:t>
      </w:r>
      <w:proofErr w:type="gramStart"/>
      <w:r>
        <w:rPr>
          <w:rFonts w:ascii="Times New Roman" w:eastAsia="方正小标宋_GBK" w:hAnsi="Times New Roman"/>
          <w:sz w:val="44"/>
          <w:szCs w:val="24"/>
        </w:rPr>
        <w:t>镇汶溪</w:t>
      </w:r>
      <w:proofErr w:type="gramEnd"/>
      <w:r>
        <w:rPr>
          <w:rFonts w:ascii="Times New Roman" w:eastAsia="方正小标宋_GBK" w:hAnsi="Times New Roman"/>
          <w:sz w:val="44"/>
          <w:szCs w:val="24"/>
        </w:rPr>
        <w:t>社区人居环境整治等</w:t>
      </w:r>
      <w:r>
        <w:rPr>
          <w:rFonts w:ascii="Times New Roman" w:eastAsia="方正小标宋_GBK" w:hAnsi="Times New Roman"/>
          <w:sz w:val="44"/>
          <w:szCs w:val="24"/>
        </w:rPr>
        <w:t>2</w:t>
      </w:r>
      <w:r>
        <w:rPr>
          <w:rFonts w:ascii="Times New Roman" w:eastAsia="方正小标宋_GBK" w:hAnsi="Times New Roman"/>
          <w:sz w:val="44"/>
          <w:szCs w:val="24"/>
        </w:rPr>
        <w:t>个项目资金计划</w:t>
      </w:r>
      <w:r>
        <w:rPr>
          <w:rFonts w:ascii="Times New Roman" w:eastAsia="方正小标宋_GBK" w:hAnsi="Times New Roman" w:hint="eastAsia"/>
          <w:sz w:val="44"/>
          <w:szCs w:val="24"/>
        </w:rPr>
        <w:t>的</w:t>
      </w:r>
      <w:r>
        <w:rPr>
          <w:rFonts w:ascii="Times New Roman" w:eastAsia="方正小标宋_GBK" w:hAnsi="Times New Roman"/>
          <w:sz w:val="44"/>
          <w:szCs w:val="24"/>
        </w:rPr>
        <w:t>通知</w:t>
      </w:r>
    </w:p>
    <w:p w:rsidR="005F7650" w:rsidRDefault="005F7650">
      <w:pPr>
        <w:spacing w:line="540" w:lineRule="exact"/>
        <w:rPr>
          <w:rFonts w:ascii="Times New Roman" w:eastAsia="方正仿宋_GBK" w:hAnsi="Times New Roman"/>
          <w:bCs/>
          <w:sz w:val="32"/>
          <w:szCs w:val="32"/>
        </w:rPr>
      </w:pPr>
    </w:p>
    <w:p w:rsidR="005F7650" w:rsidRDefault="005F46F4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高家镇人民政府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5F7650" w:rsidRDefault="005F46F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为推动宜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居宜业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和美乡村建设，改善农村人居环境，加快创建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清廉村居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，现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将汶溪</w:t>
      </w:r>
      <w:proofErr w:type="gramEnd"/>
      <w:r>
        <w:rPr>
          <w:rFonts w:ascii="Times New Roman" w:eastAsia="方正仿宋_GBK" w:hAnsi="Times New Roman"/>
          <w:sz w:val="32"/>
          <w:szCs w:val="32"/>
        </w:rPr>
        <w:t>社区人居环境整治等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个</w:t>
      </w:r>
      <w:r>
        <w:rPr>
          <w:rFonts w:ascii="Times New Roman" w:eastAsia="方正仿宋_GBK" w:hAnsi="Times New Roman" w:hint="eastAsia"/>
          <w:sz w:val="32"/>
          <w:szCs w:val="32"/>
        </w:rPr>
        <w:t>项目资金计划下达给你们</w:t>
      </w:r>
      <w:r>
        <w:rPr>
          <w:rFonts w:ascii="Times New Roman" w:eastAsia="方正仿宋_GBK" w:hAnsi="Times New Roman"/>
          <w:sz w:val="32"/>
          <w:szCs w:val="32"/>
        </w:rPr>
        <w:t>，请抓紧组织实施。</w:t>
      </w:r>
    </w:p>
    <w:p w:rsidR="005F7650" w:rsidRDefault="005F46F4">
      <w:pPr>
        <w:widowControl/>
        <w:snapToGrid w:val="0"/>
        <w:spacing w:line="600" w:lineRule="exact"/>
        <w:ind w:firstLineChars="200" w:firstLine="616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pacing w:val="-6"/>
          <w:sz w:val="32"/>
          <w:szCs w:val="32"/>
          <w:lang w:bidi="he-IL"/>
        </w:rPr>
        <w:t>一、</w:t>
      </w:r>
      <w:r>
        <w:rPr>
          <w:rFonts w:ascii="Times New Roman" w:eastAsia="方正黑体_GBK" w:hAnsi="Times New Roman"/>
          <w:sz w:val="32"/>
          <w:szCs w:val="32"/>
        </w:rPr>
        <w:t>下达资金</w:t>
      </w:r>
    </w:p>
    <w:p w:rsidR="005F7650" w:rsidRDefault="005F46F4">
      <w:pPr>
        <w:pStyle w:val="a5"/>
        <w:tabs>
          <w:tab w:val="left" w:pos="2592"/>
          <w:tab w:val="center" w:pos="4450"/>
        </w:tabs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本次下达资金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100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万元，资金来源为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渝财农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60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13.33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万元，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渝财农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86.67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万元，安排项目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个，具体分配详见附件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。</w:t>
      </w:r>
    </w:p>
    <w:p w:rsidR="005F7650" w:rsidRDefault="005F46F4">
      <w:pPr>
        <w:pStyle w:val="a5"/>
        <w:tabs>
          <w:tab w:val="left" w:pos="2592"/>
          <w:tab w:val="center" w:pos="4450"/>
        </w:tabs>
        <w:spacing w:before="0" w:beforeAutospacing="0" w:after="0" w:afterAutospacing="0" w:line="550" w:lineRule="exact"/>
        <w:ind w:firstLineChars="200" w:firstLine="616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pacing w:val="-6"/>
          <w:kern w:val="2"/>
          <w:sz w:val="32"/>
          <w:szCs w:val="32"/>
          <w:lang w:bidi="he-IL"/>
        </w:rPr>
        <w:lastRenderedPageBreak/>
        <w:t>二、工作要求</w:t>
      </w:r>
    </w:p>
    <w:p w:rsidR="005F7650" w:rsidRDefault="005F46F4">
      <w:pPr>
        <w:pStyle w:val="a5"/>
        <w:tabs>
          <w:tab w:val="left" w:pos="2592"/>
          <w:tab w:val="center" w:pos="4450"/>
        </w:tabs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1.</w:t>
      </w:r>
      <w:r>
        <w:rPr>
          <w:rFonts w:eastAsia="方正仿宋_GBK" w:cs="Times New Roman" w:hint="eastAsia"/>
          <w:sz w:val="32"/>
          <w:szCs w:val="32"/>
        </w:rPr>
        <w:t>你单位要结合实际情况，实地核实建设内容和资金概算，制定切实可行的项目实施方案于</w:t>
      </w:r>
      <w:r>
        <w:rPr>
          <w:rFonts w:eastAsia="方正仿宋_GBK" w:cs="Times New Roman" w:hint="eastAsia"/>
          <w:sz w:val="32"/>
          <w:szCs w:val="32"/>
        </w:rPr>
        <w:t>9</w:t>
      </w:r>
      <w:r>
        <w:rPr>
          <w:rFonts w:eastAsia="方正仿宋_GBK" w:cs="Times New Roman" w:hint="eastAsia"/>
          <w:sz w:val="32"/>
          <w:szCs w:val="32"/>
        </w:rPr>
        <w:t>月</w:t>
      </w:r>
      <w:r>
        <w:rPr>
          <w:rFonts w:eastAsia="方正仿宋_GBK" w:cs="Times New Roman" w:hint="eastAsia"/>
          <w:sz w:val="32"/>
          <w:szCs w:val="32"/>
        </w:rPr>
        <w:t>26</w:t>
      </w:r>
      <w:r>
        <w:rPr>
          <w:rFonts w:eastAsia="方正仿宋_GBK" w:cs="Times New Roman" w:hint="eastAsia"/>
          <w:sz w:val="32"/>
          <w:szCs w:val="32"/>
        </w:rPr>
        <w:t>日前报县乡村振兴局，具体建设内容及补助资金以批复实施方案为准。并按照预算审核、招标投标等政策规定，及时启动项目实施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F7650" w:rsidRDefault="005F46F4">
      <w:pPr>
        <w:pStyle w:val="a5"/>
        <w:tabs>
          <w:tab w:val="left" w:pos="2592"/>
          <w:tab w:val="center" w:pos="4450"/>
        </w:tabs>
        <w:spacing w:before="0" w:beforeAutospacing="0" w:after="0" w:afterAutospacing="0" w:line="55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2.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你单位要按照资金拨付相关规定，结合项目进度和质量，及时拨付项目资金，杜绝拖欠民工工资现象发生。</w:t>
      </w:r>
    </w:p>
    <w:p w:rsidR="005F7650" w:rsidRDefault="005F46F4">
      <w:pPr>
        <w:pStyle w:val="a5"/>
        <w:tabs>
          <w:tab w:val="left" w:pos="2592"/>
          <w:tab w:val="center" w:pos="4450"/>
        </w:tabs>
        <w:spacing w:before="0" w:beforeAutospacing="0" w:after="0" w:afterAutospacing="0" w:line="55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3.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你单位</w:t>
      </w:r>
      <w:r>
        <w:rPr>
          <w:rFonts w:ascii="Times New Roman" w:eastAsia="方正仿宋_GBK" w:hAnsi="Times New Roman" w:cs="Times New Roman"/>
          <w:sz w:val="32"/>
          <w:szCs w:val="32"/>
        </w:rPr>
        <w:t>要认真落实资金项目公告公示等制度规定，加强财政衔接资金项目常态化监管，引导群众参与项目决策、实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施、管理，切实履行资金项目监管主体责任。严格执行资金项目公告公示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两个一律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的要求，全面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落实资金分配结果公告和县乡村三级公告公示制度，主动接受群众和社会监督</w:t>
      </w:r>
      <w:r>
        <w:rPr>
          <w:rFonts w:ascii="Times New Roman" w:eastAsia="方正仿宋_GBK" w:hAnsi="Times New Roman" w:cs="Times New Roman" w:hint="eastAsia"/>
          <w:spacing w:val="-6"/>
          <w:sz w:val="32"/>
          <w:szCs w:val="32"/>
        </w:rPr>
        <w:t>。</w:t>
      </w:r>
    </w:p>
    <w:p w:rsidR="005F7650" w:rsidRDefault="005F7650">
      <w:pPr>
        <w:pStyle w:val="a5"/>
        <w:tabs>
          <w:tab w:val="left" w:pos="2592"/>
          <w:tab w:val="center" w:pos="4450"/>
        </w:tabs>
        <w:spacing w:before="0" w:beforeAutospacing="0" w:after="0" w:afterAutospacing="0" w:line="55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5F7650" w:rsidRDefault="005F46F4">
      <w:pPr>
        <w:spacing w:line="600" w:lineRule="exact"/>
        <w:ind w:firstLineChars="200" w:firstLine="616"/>
        <w:jc w:val="left"/>
        <w:rPr>
          <w:rFonts w:ascii="Times New Roman" w:eastAsia="方正仿宋_GBK" w:hAnsi="Times New Roman"/>
          <w:spacing w:val="-6"/>
          <w:sz w:val="32"/>
          <w:szCs w:val="32"/>
          <w:lang w:bidi="he-IL"/>
        </w:rPr>
      </w:pP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附件：</w:t>
      </w: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1</w:t>
      </w: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.</w:t>
      </w: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高家</w:t>
      </w:r>
      <w:proofErr w:type="gramStart"/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镇汶溪</w:t>
      </w:r>
      <w:proofErr w:type="gramEnd"/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社区人居环境整治等</w:t>
      </w:r>
      <w:r>
        <w:rPr>
          <w:rFonts w:ascii="Times New Roman" w:eastAsia="方正仿宋_GBK" w:hAnsi="Times New Roman" w:hint="eastAsia"/>
          <w:spacing w:val="-6"/>
          <w:sz w:val="32"/>
          <w:szCs w:val="32"/>
          <w:lang w:bidi="he-IL"/>
        </w:rPr>
        <w:t>2</w:t>
      </w: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个项目资金计划表</w:t>
      </w:r>
    </w:p>
    <w:p w:rsidR="005F7650" w:rsidRDefault="005F46F4">
      <w:pPr>
        <w:spacing w:line="600" w:lineRule="exact"/>
        <w:ind w:firstLineChars="500" w:firstLine="1540"/>
        <w:jc w:val="left"/>
        <w:rPr>
          <w:rFonts w:ascii="Times New Roman" w:eastAsia="方正仿宋_GBK" w:hAnsi="Times New Roman"/>
          <w:spacing w:val="-6"/>
          <w:sz w:val="32"/>
          <w:szCs w:val="32"/>
          <w:lang w:bidi="he-IL"/>
        </w:rPr>
      </w:pP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2.</w:t>
      </w: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绩效目标申报表</w:t>
      </w:r>
    </w:p>
    <w:p w:rsidR="00BB4F04" w:rsidRDefault="00BB4F04" w:rsidP="00BB4F04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县财政局监督举报电话：</w:t>
      </w:r>
      <w:r>
        <w:rPr>
          <w:rFonts w:ascii="Times New Roman" w:eastAsia="方正仿宋_GBK" w:hAnsi="Times New Roman"/>
          <w:sz w:val="32"/>
          <w:szCs w:val="32"/>
        </w:rPr>
        <w:t>70606610</w:t>
      </w:r>
    </w:p>
    <w:p w:rsidR="00BB4F04" w:rsidRDefault="00BB4F04" w:rsidP="00BB4F04">
      <w:pPr>
        <w:tabs>
          <w:tab w:val="left" w:pos="6243"/>
        </w:tabs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县纪委监委监督举报电话：</w:t>
      </w:r>
      <w:r>
        <w:rPr>
          <w:rFonts w:ascii="Times New Roman" w:eastAsia="方正仿宋_GBK" w:hAnsi="Times New Roman"/>
          <w:sz w:val="32"/>
          <w:szCs w:val="32"/>
        </w:rPr>
        <w:t>12388</w:t>
      </w:r>
    </w:p>
    <w:p w:rsidR="005F7650" w:rsidRDefault="00BB4F04" w:rsidP="00BB4F04">
      <w:pPr>
        <w:spacing w:line="600" w:lineRule="exact"/>
        <w:jc w:val="left"/>
        <w:rPr>
          <w:rFonts w:ascii="Times New Roman" w:eastAsia="方正仿宋_GBK" w:hAnsi="Times New Roman"/>
          <w:spacing w:val="-6"/>
          <w:sz w:val="32"/>
          <w:szCs w:val="32"/>
          <w:lang w:bidi="he-IL"/>
        </w:rPr>
      </w:pPr>
      <w:r>
        <w:rPr>
          <w:rFonts w:ascii="Times New Roman" w:eastAsia="方正仿宋_GBK" w:hAnsi="Times New Roman" w:hint="eastAsia"/>
          <w:sz w:val="32"/>
          <w:szCs w:val="32"/>
        </w:rPr>
        <w:t>监督举报电话：</w:t>
      </w:r>
      <w:r>
        <w:rPr>
          <w:rFonts w:ascii="Times New Roman" w:eastAsia="方正仿宋_GBK" w:hAnsi="Times New Roman"/>
          <w:sz w:val="32"/>
          <w:szCs w:val="32"/>
        </w:rPr>
        <w:t>12345</w:t>
      </w:r>
      <w:bookmarkStart w:id="0" w:name="_GoBack"/>
      <w:bookmarkEnd w:id="0"/>
    </w:p>
    <w:p w:rsidR="005F7650" w:rsidRDefault="005F46F4">
      <w:pPr>
        <w:tabs>
          <w:tab w:val="left" w:pos="6151"/>
        </w:tabs>
        <w:spacing w:line="550" w:lineRule="exact"/>
        <w:ind w:firstLineChars="820" w:firstLine="2624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丰都县财政局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丰都县乡村振兴局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5F7650" w:rsidRDefault="005F46F4">
      <w:pPr>
        <w:tabs>
          <w:tab w:val="left" w:pos="6243"/>
        </w:tabs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/>
          <w:sz w:val="32"/>
          <w:szCs w:val="32"/>
        </w:rPr>
        <w:t xml:space="preserve">  202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25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5F7650" w:rsidRDefault="005F7650">
      <w:pP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sectPr w:rsidR="005F7650">
          <w:footerReference w:type="default" r:id="rId8"/>
          <w:footerReference w:type="first" r:id="rId9"/>
          <w:pgSz w:w="11906" w:h="16838"/>
          <w:pgMar w:top="2098" w:right="1531" w:bottom="1985" w:left="1531" w:header="851" w:footer="1418" w:gutter="0"/>
          <w:cols w:space="425"/>
          <w:titlePg/>
          <w:rtlGutter/>
          <w:docGrid w:type="lines" w:linePitch="312"/>
        </w:sectPr>
      </w:pPr>
    </w:p>
    <w:p w:rsidR="005F7650" w:rsidRDefault="005F46F4">
      <w:pPr>
        <w:rPr>
          <w:rFonts w:ascii="Times New Roman" w:eastAsia="方正仿宋_GBK" w:hAnsi="Times New Roman"/>
          <w:color w:val="000000"/>
          <w:szCs w:val="24"/>
        </w:rPr>
      </w:pPr>
      <w:r>
        <w:rPr>
          <w:rFonts w:ascii="Times New Roman" w:eastAsia="方正仿宋_GBK" w:hAnsi="Times New Roman" w:hint="eastAsia"/>
          <w:spacing w:val="-6"/>
          <w:sz w:val="32"/>
          <w:szCs w:val="32"/>
          <w:lang w:bidi="he-IL"/>
        </w:rPr>
        <w:lastRenderedPageBreak/>
        <w:t>附件</w:t>
      </w:r>
      <w:r>
        <w:rPr>
          <w:rFonts w:ascii="Times New Roman" w:eastAsia="方正仿宋_GBK" w:hAnsi="Times New Roman" w:hint="eastAsia"/>
          <w:spacing w:val="-6"/>
          <w:sz w:val="32"/>
          <w:szCs w:val="32"/>
          <w:lang w:bidi="he-IL"/>
        </w:rPr>
        <w:t>1</w:t>
      </w:r>
      <w:r>
        <w:rPr>
          <w:rFonts w:ascii="Times New Roman" w:eastAsia="方正仿宋_GBK" w:hAnsi="Times New Roman" w:hint="eastAsia"/>
          <w:spacing w:val="-6"/>
          <w:sz w:val="32"/>
          <w:szCs w:val="32"/>
          <w:lang w:bidi="he-IL"/>
        </w:rPr>
        <w:t>：</w:t>
      </w:r>
    </w:p>
    <w:p w:rsidR="005F7650" w:rsidRDefault="005F46F4">
      <w:pPr>
        <w:tabs>
          <w:tab w:val="left" w:pos="6243"/>
        </w:tabs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高家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镇汶溪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社区人居环境整治等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个项目资金计划表</w:t>
      </w:r>
    </w:p>
    <w:tbl>
      <w:tblPr>
        <w:tblpPr w:leftFromText="180" w:rightFromText="180" w:vertAnchor="text" w:horzAnchor="page" w:tblpX="1240" w:tblpY="200"/>
        <w:tblOverlap w:val="never"/>
        <w:tblW w:w="14864" w:type="dxa"/>
        <w:tblLayout w:type="fixed"/>
        <w:tblLook w:val="04A0" w:firstRow="1" w:lastRow="0" w:firstColumn="1" w:lastColumn="0" w:noHBand="0" w:noVBand="1"/>
      </w:tblPr>
      <w:tblGrid>
        <w:gridCol w:w="675"/>
        <w:gridCol w:w="1219"/>
        <w:gridCol w:w="1801"/>
        <w:gridCol w:w="3402"/>
        <w:gridCol w:w="1355"/>
        <w:gridCol w:w="1500"/>
        <w:gridCol w:w="2100"/>
        <w:gridCol w:w="1420"/>
        <w:gridCol w:w="1392"/>
      </w:tblGrid>
      <w:tr w:rsidR="005F7650">
        <w:trPr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ind w:rightChars="-50" w:right="-105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项目法人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主要建设内容及规模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项目总投资</w:t>
            </w:r>
          </w:p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本次下达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补助资金</w:t>
            </w:r>
          </w:p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资金文号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资金类型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F7650">
        <w:trPr>
          <w:trHeight w:val="8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高家镇人民政府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丰都县高家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镇汶溪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社区人居环境整治项目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对汶溪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大桥至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老洞岩沿线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公共区域及农户房前屋后、院坝柴草、圈舍菜园开展环境整治。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60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13.33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；</w:t>
            </w:r>
          </w:p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88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6.67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中央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资金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13.33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万元；</w:t>
            </w:r>
          </w:p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市级衔接资金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6.67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765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5F7650">
        <w:trPr>
          <w:trHeight w:val="11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高家镇人民政府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丰都县高家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镇汶溪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社区农产品交易点建设项目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新建农产品交易点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处，配套座椅、排水沟等设施。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88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市级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衔接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765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5F7650">
        <w:trPr>
          <w:trHeight w:val="117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50" w:rsidRDefault="005F765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50" w:rsidRDefault="005F765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50" w:rsidRDefault="005F765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50" w:rsidRDefault="005F46F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765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765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50" w:rsidRDefault="005F765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</w:tbl>
    <w:p w:rsidR="005F7650" w:rsidRDefault="005F7650">
      <w:pPr>
        <w:tabs>
          <w:tab w:val="left" w:pos="6243"/>
        </w:tabs>
        <w:spacing w:line="300" w:lineRule="exact"/>
        <w:jc w:val="left"/>
        <w:rPr>
          <w:rFonts w:ascii="Times New Roman" w:eastAsia="方正仿宋_GBK" w:hAnsi="Times New Roman"/>
        </w:rPr>
        <w:sectPr w:rsidR="005F7650">
          <w:pgSz w:w="16838" w:h="11906" w:orient="landscape"/>
          <w:pgMar w:top="1531" w:right="2098" w:bottom="1531" w:left="1985" w:header="851" w:footer="1418" w:gutter="0"/>
          <w:cols w:space="425"/>
          <w:titlePg/>
          <w:rtlGutter/>
          <w:docGrid w:type="lines" w:linePitch="312"/>
        </w:sectPr>
      </w:pPr>
    </w:p>
    <w:p w:rsidR="005F7650" w:rsidRDefault="005F46F4">
      <w:pPr>
        <w:tabs>
          <w:tab w:val="left" w:pos="6243"/>
        </w:tabs>
        <w:jc w:val="left"/>
        <w:rPr>
          <w:rFonts w:ascii="Times New Roman" w:eastAsia="方正仿宋_GBK" w:hAnsi="Times New Roman"/>
          <w:spacing w:val="-6"/>
          <w:sz w:val="32"/>
          <w:szCs w:val="32"/>
          <w:lang w:bidi="he-IL"/>
        </w:rPr>
      </w:pPr>
      <w:r>
        <w:rPr>
          <w:rFonts w:ascii="Times New Roman" w:eastAsia="方正仿宋_GBK" w:hAnsi="Times New Roman" w:hint="eastAsia"/>
          <w:spacing w:val="-6"/>
          <w:sz w:val="32"/>
          <w:szCs w:val="32"/>
          <w:lang w:bidi="he-IL"/>
        </w:rPr>
        <w:lastRenderedPageBreak/>
        <w:t>附件</w:t>
      </w:r>
      <w:r>
        <w:rPr>
          <w:rFonts w:ascii="Times New Roman" w:eastAsia="方正仿宋_GBK" w:hAnsi="Times New Roman" w:hint="eastAsia"/>
          <w:spacing w:val="-6"/>
          <w:sz w:val="32"/>
          <w:szCs w:val="32"/>
          <w:lang w:bidi="he-IL"/>
        </w:rPr>
        <w:t>2-1</w:t>
      </w:r>
      <w:r>
        <w:rPr>
          <w:rFonts w:ascii="Times New Roman" w:eastAsia="方正仿宋_GBK" w:hAnsi="Times New Roman" w:hint="eastAsia"/>
          <w:spacing w:val="-6"/>
          <w:sz w:val="32"/>
          <w:szCs w:val="32"/>
          <w:lang w:bidi="he-IL"/>
        </w:rPr>
        <w:t>：</w:t>
      </w:r>
    </w:p>
    <w:p w:rsidR="005F7650" w:rsidRDefault="005F46F4">
      <w:pPr>
        <w:tabs>
          <w:tab w:val="left" w:pos="6243"/>
        </w:tabs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 w:bidi="ar"/>
        </w:rPr>
        <w:t>丰都县项目预算绩效目标表</w:t>
      </w:r>
    </w:p>
    <w:tbl>
      <w:tblPr>
        <w:tblW w:w="8685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2205"/>
      </w:tblGrid>
      <w:tr w:rsidR="005F7650">
        <w:trPr>
          <w:trHeight w:val="300"/>
        </w:trPr>
        <w:tc>
          <w:tcPr>
            <w:tcW w:w="8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年度）</w:t>
            </w:r>
          </w:p>
        </w:tc>
      </w:tr>
      <w:tr w:rsidR="005F7650">
        <w:trPr>
          <w:trHeight w:val="4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丰都县高家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镇汶溪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社区人居环境整治项目</w:t>
            </w:r>
          </w:p>
        </w:tc>
      </w:tr>
      <w:tr w:rsidR="005F7650">
        <w:trPr>
          <w:trHeight w:val="4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丰都县乡村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振兴局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高家镇</w:t>
            </w:r>
          </w:p>
        </w:tc>
      </w:tr>
      <w:tr w:rsidR="005F7650">
        <w:trPr>
          <w:trHeight w:val="4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一次性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2023.9-1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5F7650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项目资金（万元）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5F7650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5F7650">
        <w:trPr>
          <w:trHeight w:val="4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   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F7650">
        <w:trPr>
          <w:trHeight w:val="8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7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650" w:rsidRDefault="005F46F4">
            <w:pPr>
              <w:widowControl/>
              <w:jc w:val="left"/>
              <w:textAlignment w:val="top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整治汶溪大桥至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老洞岩沿线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，全长约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3.5km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。其中：</w:t>
            </w:r>
          </w:p>
          <w:p w:rsidR="005F7650" w:rsidRDefault="005F46F4">
            <w:pPr>
              <w:widowControl/>
              <w:jc w:val="left"/>
              <w:textAlignment w:val="top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（一）到户整治：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对汶溪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大桥至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老洞岩沿线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135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户农户开展房前屋后、院坝柴屋、圈舍菜园、花池花台等人居环境整治。</w:t>
            </w:r>
          </w:p>
          <w:p w:rsidR="005F7650" w:rsidRDefault="005F46F4">
            <w:pPr>
              <w:widowControl/>
              <w:jc w:val="left"/>
              <w:textAlignment w:val="top"/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（二）公共区域整治：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对汶溪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大桥至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老洞岩沿线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和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汶溪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社区活动室等公共区域的老旧破损进行整治。</w:t>
            </w:r>
          </w:p>
        </w:tc>
      </w:tr>
      <w:tr w:rsidR="005F7650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绩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效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:rsidR="005F7650">
        <w:trPr>
          <w:trHeight w:val="4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到户整治农户数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≥135</w:t>
            </w:r>
          </w:p>
        </w:tc>
      </w:tr>
      <w:tr w:rsidR="005F7650">
        <w:trPr>
          <w:trHeight w:val="4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整治沿线长度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千米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3.5</w:t>
            </w:r>
          </w:p>
        </w:tc>
      </w:tr>
      <w:tr w:rsidR="005F7650">
        <w:trPr>
          <w:trHeight w:val="4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项目验收合格率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F7650">
        <w:trPr>
          <w:trHeight w:val="4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完成时限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年</w:t>
            </w:r>
            <w:r>
              <w:rPr>
                <w:rStyle w:val="font31"/>
                <w:rFonts w:eastAsia="方正仿宋_GBK"/>
                <w:color w:val="auto"/>
                <w:lang w:bidi="ar"/>
              </w:rPr>
              <w:t>/</w:t>
            </w: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月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2023.11</w:t>
            </w:r>
          </w:p>
        </w:tc>
      </w:tr>
      <w:tr w:rsidR="005F7650">
        <w:trPr>
          <w:trHeight w:val="87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减少农户开支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≥5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00</w:t>
            </w:r>
          </w:p>
        </w:tc>
      </w:tr>
      <w:tr w:rsidR="005F7650">
        <w:trPr>
          <w:trHeight w:val="5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直接或间接受益农户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≥135</w:t>
            </w:r>
          </w:p>
        </w:tc>
      </w:tr>
      <w:tr w:rsidR="005F7650">
        <w:trPr>
          <w:trHeight w:val="5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有无环境影响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有利于环境</w:t>
            </w:r>
          </w:p>
        </w:tc>
      </w:tr>
      <w:tr w:rsidR="005F7650">
        <w:trPr>
          <w:trHeight w:val="5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项目可持续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5F7650">
        <w:trPr>
          <w:trHeight w:val="76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受益农户满意度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≥96%</w:t>
            </w:r>
          </w:p>
        </w:tc>
      </w:tr>
    </w:tbl>
    <w:p w:rsidR="005F7650" w:rsidRDefault="005F7650">
      <w:pPr>
        <w:tabs>
          <w:tab w:val="left" w:pos="6243"/>
        </w:tabs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 w:bidi="ar"/>
        </w:rPr>
      </w:pPr>
    </w:p>
    <w:p w:rsidR="005F7650" w:rsidRDefault="005F7650">
      <w:pPr>
        <w:pStyle w:val="2"/>
        <w:sectPr w:rsidR="005F7650">
          <w:pgSz w:w="11906" w:h="16838"/>
          <w:pgMar w:top="2098" w:right="1531" w:bottom="1985" w:left="1531" w:header="851" w:footer="1418" w:gutter="0"/>
          <w:cols w:space="425"/>
          <w:titlePg/>
          <w:rtlGutter/>
          <w:docGrid w:type="lines" w:linePitch="312"/>
        </w:sectPr>
      </w:pPr>
    </w:p>
    <w:p w:rsidR="005F7650" w:rsidRDefault="005F46F4">
      <w:pPr>
        <w:tabs>
          <w:tab w:val="left" w:pos="6243"/>
        </w:tabs>
        <w:jc w:val="left"/>
        <w:rPr>
          <w:rFonts w:ascii="Times New Roman" w:eastAsia="方正仿宋_GBK" w:hAnsi="Times New Roman"/>
          <w:spacing w:val="-6"/>
          <w:sz w:val="32"/>
          <w:szCs w:val="32"/>
          <w:lang w:bidi="he-IL"/>
        </w:rPr>
      </w:pPr>
      <w:r>
        <w:rPr>
          <w:rFonts w:ascii="Times New Roman" w:eastAsia="方正仿宋_GBK" w:hAnsi="Times New Roman" w:hint="eastAsia"/>
          <w:spacing w:val="-6"/>
          <w:sz w:val="32"/>
          <w:szCs w:val="32"/>
          <w:lang w:bidi="he-IL"/>
        </w:rPr>
        <w:lastRenderedPageBreak/>
        <w:t>附件</w:t>
      </w:r>
      <w:r>
        <w:rPr>
          <w:rFonts w:ascii="Times New Roman" w:eastAsia="方正仿宋_GBK" w:hAnsi="Times New Roman" w:hint="eastAsia"/>
          <w:spacing w:val="-6"/>
          <w:sz w:val="32"/>
          <w:szCs w:val="32"/>
          <w:lang w:bidi="he-IL"/>
        </w:rPr>
        <w:t>2-2</w:t>
      </w:r>
      <w:r>
        <w:rPr>
          <w:rFonts w:ascii="Times New Roman" w:eastAsia="方正仿宋_GBK" w:hAnsi="Times New Roman" w:hint="eastAsia"/>
          <w:spacing w:val="-6"/>
          <w:sz w:val="32"/>
          <w:szCs w:val="32"/>
          <w:lang w:bidi="he-IL"/>
        </w:rPr>
        <w:t>：</w:t>
      </w:r>
    </w:p>
    <w:p w:rsidR="005F7650" w:rsidRDefault="005F46F4">
      <w:pPr>
        <w:tabs>
          <w:tab w:val="left" w:pos="6243"/>
        </w:tabs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 w:bidi="ar"/>
        </w:rPr>
        <w:t>丰都县项目预算绩效目标表</w:t>
      </w: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1530"/>
        <w:gridCol w:w="1080"/>
        <w:gridCol w:w="1455"/>
        <w:gridCol w:w="1080"/>
        <w:gridCol w:w="1350"/>
        <w:gridCol w:w="1080"/>
        <w:gridCol w:w="1440"/>
      </w:tblGrid>
      <w:tr w:rsidR="005F7650">
        <w:trPr>
          <w:trHeight w:val="435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年度）</w:t>
            </w:r>
          </w:p>
        </w:tc>
      </w:tr>
      <w:tr w:rsidR="005F7650">
        <w:trPr>
          <w:trHeight w:val="500"/>
        </w:trPr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丰都县高家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镇汶溪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社区农产品交易点建设项目</w:t>
            </w:r>
          </w:p>
        </w:tc>
      </w:tr>
      <w:tr w:rsidR="005F7650">
        <w:trPr>
          <w:trHeight w:val="500"/>
        </w:trPr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丰都县乡村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振兴局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高家镇</w:t>
            </w:r>
          </w:p>
        </w:tc>
      </w:tr>
      <w:tr w:rsidR="005F7650">
        <w:trPr>
          <w:trHeight w:val="500"/>
        </w:trPr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一次性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2023.9-12</w:t>
            </w:r>
          </w:p>
        </w:tc>
      </w:tr>
      <w:tr w:rsidR="005F7650">
        <w:trPr>
          <w:trHeight w:val="50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项目资金（万元）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80</w:t>
            </w:r>
          </w:p>
        </w:tc>
      </w:tr>
      <w:tr w:rsidR="005F7650">
        <w:trPr>
          <w:trHeight w:val="50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80</w:t>
            </w:r>
          </w:p>
        </w:tc>
      </w:tr>
      <w:tr w:rsidR="005F7650">
        <w:trPr>
          <w:trHeight w:val="50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 xml:space="preserve">         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5F7650">
        <w:trPr>
          <w:trHeight w:val="50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7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textAlignment w:val="top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新建农产品交易点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处，配套座椅、排水沟等设施。</w:t>
            </w:r>
          </w:p>
        </w:tc>
      </w:tr>
      <w:tr w:rsidR="005F7650">
        <w:trPr>
          <w:trHeight w:val="50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绩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效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:rsidR="005F7650">
        <w:trPr>
          <w:trHeight w:val="50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新建农产品交易点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≥1</w:t>
            </w:r>
          </w:p>
        </w:tc>
      </w:tr>
      <w:tr w:rsidR="005F7650">
        <w:trPr>
          <w:trHeight w:val="50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项目验收合格率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F7650">
        <w:trPr>
          <w:trHeight w:val="50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完成时限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650" w:rsidRDefault="005F46F4">
            <w:pPr>
              <w:widowControl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2023.1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5F7650">
        <w:trPr>
          <w:trHeight w:val="50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减少农户开支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5F7650">
        <w:trPr>
          <w:trHeight w:val="50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直接或间接受益农户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≥2110</w:t>
            </w:r>
          </w:p>
        </w:tc>
      </w:tr>
      <w:tr w:rsidR="005F7650">
        <w:trPr>
          <w:trHeight w:val="50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有无环境影响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5F7650">
        <w:trPr>
          <w:trHeight w:val="50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项目可持续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5F7650">
        <w:trPr>
          <w:trHeight w:val="60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7650">
            <w:pPr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受益农户满意度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50" w:rsidRDefault="005F46F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  <w:lang w:bidi="ar"/>
              </w:rPr>
              <w:t>≥96%</w:t>
            </w:r>
          </w:p>
        </w:tc>
      </w:tr>
    </w:tbl>
    <w:p w:rsidR="005F7650" w:rsidRDefault="005F7650">
      <w:pPr>
        <w:tabs>
          <w:tab w:val="left" w:pos="6243"/>
        </w:tabs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 w:bidi="ar"/>
        </w:rPr>
      </w:pPr>
    </w:p>
    <w:p w:rsidR="005F7650" w:rsidRDefault="005F7650">
      <w:pPr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765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F7650" w:rsidRDefault="005F46F4">
      <w:pPr>
        <w:pBdr>
          <w:top w:val="single" w:sz="6" w:space="1" w:color="auto"/>
          <w:bottom w:val="single" w:sz="6" w:space="3" w:color="auto"/>
        </w:pBdr>
        <w:spacing w:line="460" w:lineRule="exact"/>
        <w:ind w:firstLineChars="64" w:firstLine="179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28"/>
          <w:szCs w:val="28"/>
        </w:rPr>
        <w:t>丰都县财政局办公室</w:t>
      </w:r>
      <w:r>
        <w:rPr>
          <w:rFonts w:ascii="Times New Roman" w:eastAsia="方正仿宋_GBK" w:hAnsi="Times New Roman"/>
          <w:sz w:val="28"/>
          <w:szCs w:val="28"/>
        </w:rPr>
        <w:t xml:space="preserve">               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</w:rPr>
        <w:t>2023</w:t>
      </w:r>
      <w:r>
        <w:rPr>
          <w:rFonts w:ascii="Times New Roman" w:eastAsia="方正仿宋_GBK" w:hAnsi="Times New Roman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>9</w:t>
      </w:r>
      <w:r>
        <w:rPr>
          <w:rFonts w:ascii="Times New Roman" w:eastAsia="方正仿宋_GBK" w:hAnsi="Times New Roman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25</w:t>
      </w:r>
      <w:r>
        <w:rPr>
          <w:rFonts w:ascii="Times New Roman" w:eastAsia="方正仿宋_GBK" w:hAnsi="Times New Roman"/>
          <w:sz w:val="28"/>
          <w:szCs w:val="28"/>
        </w:rPr>
        <w:t>日印发</w:t>
      </w:r>
    </w:p>
    <w:sectPr w:rsidR="005F7650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F4" w:rsidRDefault="005F46F4">
      <w:r>
        <w:separator/>
      </w:r>
    </w:p>
  </w:endnote>
  <w:endnote w:type="continuationSeparator" w:id="0">
    <w:p w:rsidR="005F46F4" w:rsidRDefault="005F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50" w:rsidRDefault="005F46F4">
    <w:pPr>
      <w:snapToGrid w:val="0"/>
      <w:ind w:firstLineChars="200" w:firstLine="560"/>
      <w:jc w:val="right"/>
      <w:rPr>
        <w:rFonts w:ascii="宋体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650" w:rsidRDefault="005F46F4">
                          <w:pPr>
                            <w:snapToGrid w:val="0"/>
                            <w:ind w:firstLineChars="200" w:firstLine="560"/>
                            <w:jc w:val="right"/>
                          </w:pP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4F04">
                            <w:rPr>
                              <w:rFonts w:ascii="宋体" w:hAnsi="宋体"/>
                              <w:noProof/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F7650" w:rsidRDefault="005F46F4">
                    <w:pPr>
                      <w:snapToGrid w:val="0"/>
                      <w:ind w:firstLineChars="200" w:firstLine="560"/>
                      <w:jc w:val="right"/>
                    </w:pP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 w:rsidR="00BB4F04">
                      <w:rPr>
                        <w:rFonts w:ascii="宋体" w:hAnsi="宋体"/>
                        <w:noProof/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F7650" w:rsidRDefault="005F46F4">
    <w:pPr>
      <w:pStyle w:val="a3"/>
      <w:tabs>
        <w:tab w:val="clear" w:pos="4153"/>
        <w:tab w:val="left" w:pos="639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50" w:rsidRDefault="005F46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650" w:rsidRDefault="005F46F4">
                          <w:pPr>
                            <w:pStyle w:val="a3"/>
                          </w:pP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4F04">
                            <w:rPr>
                              <w:rFonts w:ascii="宋体" w:hAnsi="宋体"/>
                              <w:noProof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5F7650" w:rsidRDefault="005F46F4">
                    <w:pPr>
                      <w:pStyle w:val="a3"/>
                    </w:pP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 w:rsidR="00BB4F04">
                      <w:rPr>
                        <w:rFonts w:ascii="宋体" w:hAnsi="宋体"/>
                        <w:noProof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F4" w:rsidRDefault="005F46F4">
      <w:r>
        <w:separator/>
      </w:r>
    </w:p>
  </w:footnote>
  <w:footnote w:type="continuationSeparator" w:id="0">
    <w:p w:rsidR="005F46F4" w:rsidRDefault="005F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mIxNzJhMDhjZmM4MjBkOTRhYjljYTYzZTE2MTgifQ=="/>
  </w:docVars>
  <w:rsids>
    <w:rsidRoot w:val="071E1F85"/>
    <w:rsid w:val="005F46F4"/>
    <w:rsid w:val="005F7650"/>
    <w:rsid w:val="00BB4F04"/>
    <w:rsid w:val="071E1F85"/>
    <w:rsid w:val="441D6CE8"/>
    <w:rsid w:val="669342FE"/>
    <w:rsid w:val="7B13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ascii="Tahoma" w:hAnsi="Tahoma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ascii="Tahoma" w:hAnsi="Tahoma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ZzzSy</dc:creator>
  <cp:lastModifiedBy>秦美玲</cp:lastModifiedBy>
  <cp:revision>2</cp:revision>
  <dcterms:created xsi:type="dcterms:W3CDTF">2023-09-23T06:07:00Z</dcterms:created>
  <dcterms:modified xsi:type="dcterms:W3CDTF">2023-09-28T08:22:00Z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5BD956FB6C9A4674BBE043ED9F5A5AEB_11</vt:lpwstr>
  </property>
</Properties>
</file>