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丰都县财政局（本级）</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一、单位基本情况</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（一）职能职责</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1.</w:t>
      </w:r>
      <w:r>
        <w:rPr>
          <w:rFonts w:ascii="方正仿宋_GBK" w:hAnsi="Times New Roman" w:eastAsia="方正仿宋_GBK"/>
          <w:bCs/>
          <w:sz w:val="32"/>
          <w:szCs w:val="32"/>
        </w:rPr>
        <w:t>全面贯彻执行财税法律、法规、规章和方针政策。</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2.</w:t>
      </w:r>
      <w:r>
        <w:rPr>
          <w:rFonts w:ascii="方正仿宋_GBK" w:hAnsi="Times New Roman" w:eastAsia="方正仿宋_GBK"/>
          <w:bCs/>
          <w:sz w:val="32"/>
          <w:szCs w:val="32"/>
        </w:rPr>
        <w:t>起草全县财政、税收、国有资产、财务、会计和非贸易外币收支管理方面的规范性文件，制定有关政策和管理制度并组织实施。</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3.</w:t>
      </w:r>
      <w:r>
        <w:rPr>
          <w:rFonts w:ascii="方正仿宋_GBK" w:hAnsi="Times New Roman" w:eastAsia="方正仿宋_GBK"/>
          <w:bCs/>
          <w:sz w:val="32"/>
          <w:szCs w:val="32"/>
        </w:rPr>
        <w:t>分析预测宏观经济形势，参与拟定全县宏观经济政策。</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4.</w:t>
      </w:r>
      <w:r>
        <w:rPr>
          <w:rFonts w:ascii="方正仿宋_GBK" w:hAnsi="Times New Roman" w:eastAsia="方正仿宋_GBK"/>
          <w:bCs/>
          <w:sz w:val="32"/>
          <w:szCs w:val="32"/>
        </w:rPr>
        <w:t>参与研究拟定全县地方金融和融资政策，建立完善融资体系。</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5.</w:t>
      </w:r>
      <w:r>
        <w:rPr>
          <w:rFonts w:ascii="方正仿宋_GBK" w:hAnsi="Times New Roman" w:eastAsia="方正仿宋_GBK"/>
          <w:bCs/>
          <w:sz w:val="32"/>
          <w:szCs w:val="32"/>
        </w:rPr>
        <w:t>推进预算管理制度改革、负责推进预算绩效管理。</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6.</w:t>
      </w:r>
      <w:r>
        <w:rPr>
          <w:rFonts w:ascii="方正仿宋_GBK" w:hAnsi="Times New Roman" w:eastAsia="方正仿宋_GBK"/>
          <w:bCs/>
          <w:sz w:val="32"/>
          <w:szCs w:val="32"/>
        </w:rPr>
        <w:t>负责政府非税收入管理和政府基金管理，按规定管理行政事业性收费和财政票据。</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7.</w:t>
      </w:r>
      <w:r>
        <w:rPr>
          <w:rFonts w:ascii="方正仿宋_GBK" w:hAnsi="Times New Roman" w:eastAsia="方正仿宋_GBK"/>
          <w:bCs/>
          <w:sz w:val="32"/>
          <w:szCs w:val="32"/>
        </w:rPr>
        <w:t>组织执行国库管理制度、国库集中收付制度，并制定具体管理办法，指导和监督县级国库业务。</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8.</w:t>
      </w:r>
      <w:r>
        <w:rPr>
          <w:rFonts w:ascii="方正仿宋_GBK" w:hAnsi="Times New Roman" w:eastAsia="方正仿宋_GBK"/>
          <w:bCs/>
          <w:sz w:val="32"/>
          <w:szCs w:val="32"/>
        </w:rPr>
        <w:t>组织实施政府采购制度和管理办法，监督管理政府采购活动。</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9.</w:t>
      </w:r>
      <w:r>
        <w:rPr>
          <w:rFonts w:ascii="方正仿宋_GBK" w:hAnsi="Times New Roman" w:eastAsia="方正仿宋_GBK"/>
          <w:bCs/>
          <w:sz w:val="32"/>
          <w:szCs w:val="32"/>
        </w:rPr>
        <w:t>贯彻执行有关国有资本经营预算管理的相关政策，制定具体管理办法和收取国有资本收益。</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10.</w:t>
      </w:r>
      <w:r>
        <w:rPr>
          <w:rFonts w:ascii="方正仿宋_GBK" w:hAnsi="Times New Roman" w:eastAsia="方正仿宋_GBK"/>
          <w:bCs/>
          <w:sz w:val="32"/>
          <w:szCs w:val="32"/>
        </w:rPr>
        <w:t>贯彻执行政府债务管理的制度和政策，统一管理政府债务，防范财政风险。</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11.</w:t>
      </w:r>
      <w:r>
        <w:rPr>
          <w:rFonts w:ascii="方正仿宋_GBK" w:hAnsi="Times New Roman" w:eastAsia="方正仿宋_GBK"/>
          <w:bCs/>
          <w:sz w:val="32"/>
          <w:szCs w:val="32"/>
        </w:rPr>
        <w:t>负责管理全县会计工作贯彻执行会计法律法规和具体会计管理制度，审批和管理中介机构从事会计记账业务，监督和规范会计行为，组织、指导和管理社会审计。</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12.</w:t>
      </w:r>
      <w:r>
        <w:rPr>
          <w:rFonts w:ascii="方正仿宋_GBK" w:hAnsi="Times New Roman" w:eastAsia="方正仿宋_GBK"/>
          <w:bCs/>
          <w:sz w:val="32"/>
          <w:szCs w:val="32"/>
        </w:rPr>
        <w:t>负责执行“乡财县管”相关规定，加强乡镇（街道）财政运行工作。</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13.</w:t>
      </w:r>
      <w:r>
        <w:rPr>
          <w:rFonts w:ascii="方正仿宋_GBK" w:hAnsi="Times New Roman" w:eastAsia="方正仿宋_GBK"/>
          <w:bCs/>
          <w:sz w:val="32"/>
          <w:szCs w:val="32"/>
        </w:rPr>
        <w:t>负责财政法治</w:t>
      </w:r>
      <w:r>
        <w:rPr>
          <w:rFonts w:ascii="方正仿宋_GBK" w:hAnsi="Times New Roman" w:eastAsia="方正仿宋_GBK"/>
          <w:bCs/>
          <w:sz w:val="32"/>
          <w:szCs w:val="32"/>
        </w:rPr>
        <w:t>宣传、信息报道、干部教育培训工作，管理财政队伍等主要职能职责。</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14.</w:t>
      </w:r>
      <w:r>
        <w:rPr>
          <w:rFonts w:ascii="方正仿宋_GBK" w:hAnsi="Times New Roman" w:eastAsia="方正仿宋_GBK"/>
          <w:bCs/>
          <w:sz w:val="32"/>
          <w:szCs w:val="32"/>
        </w:rPr>
        <w:t>负责制定政府性债务管理政策、规章制度；实施全县政府性债务规模控制和限额管理；负责地方政府债券申报与分配管理工作；加强地方政府债券资金监督管理。</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15.</w:t>
      </w:r>
      <w:r>
        <w:rPr>
          <w:rFonts w:ascii="方正仿宋_GBK" w:hAnsi="Times New Roman" w:eastAsia="方正仿宋_GBK"/>
          <w:bCs/>
          <w:sz w:val="32"/>
          <w:szCs w:val="32"/>
        </w:rPr>
        <w:t>负责制定全县国有资本经营预算管理制度和办法，审核并汇总编制全县国有资本经营预决算草案，组织征收本级国有资本经营预算收入；负责对国有企业资产配置、处置、调剂、出租、出借、产权变动、产权登记、产权界定、产权年检、资产清查、产权纠纷调处、资产评估、对外投资和担保事项的监督管理，配合办理审批事宜；负责建立和完善国有资产保值增值指标体。</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16.</w:t>
      </w:r>
      <w:r>
        <w:rPr>
          <w:rFonts w:ascii="方正仿宋_GBK" w:hAnsi="Times New Roman" w:eastAsia="方正仿宋_GBK"/>
          <w:bCs/>
          <w:sz w:val="32"/>
          <w:szCs w:val="32"/>
        </w:rPr>
        <w:t>遵照《中华人民共和国预算法》、《重庆市预算外资金管理办法》，按照县政府、县财政局确定的编制原则，制定县级当年财政预算编制方案；组织县级预算单位编制财政综合预算草案，批复县级预算单位财政预算方案；协助县财政局监督检查县级财政综合预算执行情况；指导乡镇财政综合预算管理工作。</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17.</w:t>
      </w:r>
      <w:r>
        <w:rPr>
          <w:rFonts w:ascii="方正仿宋_GBK" w:hAnsi="Times New Roman" w:eastAsia="方正仿宋_GBK"/>
          <w:bCs/>
          <w:sz w:val="32"/>
          <w:szCs w:val="32"/>
        </w:rPr>
        <w:t>负责对财政性资金使用情况进行绩效评价和投资效果评价。</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18.</w:t>
      </w:r>
      <w:r>
        <w:rPr>
          <w:rFonts w:ascii="方正仿宋_GBK" w:hAnsi="Times New Roman" w:eastAsia="方正仿宋_GBK"/>
          <w:bCs/>
          <w:sz w:val="32"/>
          <w:szCs w:val="32"/>
        </w:rPr>
        <w:t>承担全县各行政事业单位非税收入管理与收支核算工作。</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19.</w:t>
      </w:r>
      <w:r>
        <w:rPr>
          <w:rFonts w:ascii="方正仿宋_GBK" w:hAnsi="Times New Roman" w:eastAsia="方正仿宋_GBK"/>
          <w:bCs/>
          <w:sz w:val="32"/>
          <w:szCs w:val="32"/>
        </w:rPr>
        <w:t>建立非税收入基础数据库、分析资料库，为各单位提供非税收入相关的政策法规咨询。</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20.</w:t>
      </w:r>
      <w:r>
        <w:rPr>
          <w:rFonts w:ascii="方正仿宋_GBK" w:hAnsi="Times New Roman" w:eastAsia="方正仿宋_GBK"/>
          <w:bCs/>
          <w:sz w:val="32"/>
          <w:szCs w:val="32"/>
        </w:rPr>
        <w:t>加强收费、基金管理，加强对乱收费行为的监督检查。</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21.</w:t>
      </w:r>
      <w:r>
        <w:rPr>
          <w:rFonts w:ascii="方正仿宋_GBK" w:hAnsi="Times New Roman" w:eastAsia="方正仿宋_GBK"/>
          <w:bCs/>
          <w:sz w:val="32"/>
          <w:szCs w:val="32"/>
        </w:rPr>
        <w:t>加强预算内、外资金管理，认真执行集中支付管理办法。</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22.</w:t>
      </w:r>
      <w:r>
        <w:rPr>
          <w:rFonts w:ascii="方正仿宋_GBK" w:hAnsi="Times New Roman" w:eastAsia="方正仿宋_GBK"/>
          <w:bCs/>
          <w:sz w:val="32"/>
          <w:szCs w:val="32"/>
        </w:rPr>
        <w:t>审核、汇总各行政事业单位非税收入的征收、支付、结存的合规性与合法性。</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23.</w:t>
      </w:r>
      <w:r>
        <w:rPr>
          <w:rFonts w:ascii="方正仿宋_GBK" w:hAnsi="Times New Roman" w:eastAsia="方正仿宋_GBK"/>
          <w:bCs/>
          <w:sz w:val="32"/>
          <w:szCs w:val="32"/>
        </w:rPr>
        <w:t>负责政府非税收入管理和政府基金管理，按规定管理行政事业性收费和财政票据。</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24.</w:t>
      </w:r>
      <w:r>
        <w:rPr>
          <w:rFonts w:ascii="方正仿宋_GBK" w:hAnsi="Times New Roman" w:eastAsia="方正仿宋_GBK"/>
          <w:bCs/>
          <w:sz w:val="32"/>
          <w:szCs w:val="32"/>
        </w:rPr>
        <w:t>对各预算单位财务收支实行“集中管理、统一开户、分户核算”，指导预算单位执行国家统一的会计制度，规范会计核算，全面落实会计电算化，真实、完整、准确、及时反映各单位的财务状况，做好各项会计事务工作。</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25.</w:t>
      </w:r>
      <w:r>
        <w:rPr>
          <w:rFonts w:ascii="方正仿宋_GBK" w:hAnsi="Times New Roman" w:eastAsia="方正仿宋_GBK"/>
          <w:bCs/>
          <w:sz w:val="32"/>
          <w:szCs w:val="32"/>
        </w:rPr>
        <w:t>负责对县级预算单位的用款申请进行审核，根据预算单位的规模和具体情况，对预算单位核定合理的备用金，实行报账补款。</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26.</w:t>
      </w:r>
      <w:r>
        <w:rPr>
          <w:rFonts w:ascii="方正仿宋_GBK" w:hAnsi="Times New Roman" w:eastAsia="方正仿宋_GBK"/>
          <w:bCs/>
          <w:sz w:val="32"/>
          <w:szCs w:val="32"/>
        </w:rPr>
        <w:t>办理财政资金拨付，监督代理银行办理财政资金直接支付与财政资金授权支付业务。</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27.</w:t>
      </w:r>
      <w:r>
        <w:rPr>
          <w:rFonts w:ascii="方正仿宋_GBK" w:hAnsi="Times New Roman" w:eastAsia="方正仿宋_GBK"/>
          <w:bCs/>
          <w:sz w:val="32"/>
          <w:szCs w:val="32"/>
        </w:rPr>
        <w:t>按照财政部门核定的单位年度预算，对预算单位资金使用情况进行监督控制。分析预算单位财务收支执行情况，按要求及时报送财务会计报表及有关的会计信息资料。</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28.</w:t>
      </w:r>
      <w:r>
        <w:rPr>
          <w:rFonts w:ascii="方正仿宋_GBK" w:hAnsi="Times New Roman" w:eastAsia="方正仿宋_GBK"/>
          <w:bCs/>
          <w:sz w:val="32"/>
          <w:szCs w:val="32"/>
        </w:rPr>
        <w:t>按照政府收支分类和会计核算的要求，建立账册管理体系；办理预算单位账户的设立、变更和核销等事宜。</w:t>
      </w:r>
    </w:p>
    <w:p>
      <w:pPr>
        <w:spacing w:line="594" w:lineRule="exact"/>
        <w:ind w:firstLine="640" w:firstLineChars="200"/>
        <w:rPr>
          <w:rFonts w:hint="default" w:ascii="方正仿宋_GBK" w:hAnsi="Times New Roman" w:eastAsia="方正仿宋_GBK"/>
          <w:bCs/>
          <w:sz w:val="32"/>
          <w:szCs w:val="32"/>
        </w:rPr>
      </w:pPr>
      <w:r>
        <w:rPr>
          <w:rFonts w:ascii="Times New Roman" w:hAnsi="Times New Roman" w:eastAsia="方正仿宋_GBK"/>
          <w:sz w:val="32"/>
          <w:szCs w:val="32"/>
        </w:rPr>
        <w:t>29.</w:t>
      </w:r>
      <w:r>
        <w:rPr>
          <w:rFonts w:ascii="方正仿宋_GBK" w:hAnsi="Times New Roman" w:eastAsia="方正仿宋_GBK"/>
          <w:bCs/>
          <w:sz w:val="32"/>
          <w:szCs w:val="32"/>
        </w:rPr>
        <w:t>认真贯彻《中华人民共和国会计法</w:t>
      </w:r>
      <w:r>
        <w:rPr>
          <w:rFonts w:ascii="方正仿宋_GBK" w:hAnsi="Times New Roman" w:eastAsia="方正仿宋_GBK"/>
          <w:bCs/>
          <w:sz w:val="32"/>
          <w:szCs w:val="32"/>
        </w:rPr>
        <w:t>》、《中华人民共和国预算法</w:t>
      </w:r>
      <w:r>
        <w:rPr>
          <w:rFonts w:ascii="方正仿宋_GBK" w:hAnsi="Times New Roman" w:eastAsia="方正仿宋_GBK"/>
          <w:bCs/>
          <w:sz w:val="32"/>
          <w:szCs w:val="32"/>
        </w:rPr>
        <w:t>》及国家有关财经法律法规、制度和政策；制止、纠正财政违法行为；向财政、审计、监察等部门报告预算单位的重大财务事项或违法违纪行为。</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（二）机构设置</w:t>
      </w:r>
    </w:p>
    <w:p>
      <w:pPr>
        <w:spacing w:line="594" w:lineRule="exact"/>
        <w:ind w:firstLine="640" w:firstLineChars="200"/>
        <w:rPr>
          <w:rFonts w:hint="default" w:ascii="Times New Roman" w:hAnsi="Times New Roman" w:eastAsia="方正仿宋_GBK"/>
          <w:b/>
          <w:bCs/>
          <w:sz w:val="32"/>
          <w:szCs w:val="32"/>
        </w:rPr>
      </w:pPr>
      <w:r>
        <w:rPr>
          <w:rFonts w:ascii="方正仿宋_GBK" w:hAnsi="方正仿宋_GBK" w:eastAsia="方正仿宋_GBK" w:cs="方正仿宋_GBK"/>
          <w:sz w:val="32"/>
          <w:szCs w:val="32"/>
          <w:lang w:bidi="ar"/>
        </w:rPr>
        <w:t>本单位内设</w:t>
      </w:r>
      <w:r>
        <w:rPr>
          <w:rFonts w:ascii="Times New Roman" w:hAnsi="Times New Roman" w:eastAsia="方正仿宋_GBK"/>
          <w:kern w:val="2"/>
          <w:sz w:val="32"/>
          <w:szCs w:val="32"/>
        </w:rPr>
        <w:t>15</w:t>
      </w:r>
      <w:r>
        <w:rPr>
          <w:rFonts w:ascii="方正仿宋_GBK" w:hAnsi="方正仿宋_GBK" w:eastAsia="方正仿宋_GBK" w:cs="方正仿宋_GBK"/>
          <w:sz w:val="32"/>
          <w:szCs w:val="32"/>
          <w:lang w:bidi="ar"/>
        </w:rPr>
        <w:t>个职能科室，分别为办公室、综合科、预算科、国库科、基层财政科、行政政法科、教科文科、社会保障科、农业科、经济建设科、产业发展科、政府采购科、金融债务科、会计监督科、国有资产管理科，</w:t>
      </w:r>
      <w:r>
        <w:rPr>
          <w:rFonts w:ascii="Times New Roman" w:hAnsi="Times New Roman" w:eastAsia="方正仿宋_GBK"/>
          <w:kern w:val="2"/>
          <w:sz w:val="32"/>
          <w:szCs w:val="32"/>
        </w:rPr>
        <w:t>3</w:t>
      </w:r>
      <w:r>
        <w:rPr>
          <w:rFonts w:ascii="方正仿宋_GBK" w:hAnsi="方正仿宋_GBK" w:eastAsia="方正仿宋_GBK" w:cs="方正仿宋_GBK"/>
          <w:sz w:val="32"/>
          <w:szCs w:val="32"/>
          <w:lang w:bidi="ar"/>
        </w:rPr>
        <w:t>个直属事业单位，分别为丰都县国库集中支付中心、丰都县财政预算绩效管理中心、丰都县非税收入管理中心。</w:t>
      </w:r>
    </w:p>
    <w:p>
      <w:pPr>
        <w:spacing w:line="594" w:lineRule="exact"/>
        <w:ind w:firstLine="640" w:firstLineChars="200"/>
        <w:rPr>
          <w:rFonts w:hint="default" w:ascii="Times New Roman" w:hAnsi="Times New Roman" w:eastAsia="方正黑体_GBK"/>
          <w:sz w:val="32"/>
          <w:szCs w:val="32"/>
          <w:highlight w:val="yellow"/>
        </w:rPr>
      </w:pPr>
      <w:r>
        <w:rPr>
          <w:rFonts w:ascii="Times New Roman" w:hAnsi="Times New Roman" w:eastAsia="方正黑体_GBK"/>
          <w:sz w:val="32"/>
          <w:szCs w:val="32"/>
        </w:rPr>
        <w:t>二、单位决算收支情况说明</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（一）收入支出决算总体情况说明。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2024年度收、支总计均为2157.78万元。收、支与2023年度相比，减少71.42万元，下降3.2%，主要原因是人员调动、信息系统建设及运维费用等减少。</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收入情况。2024年度收入合计2120.21万元，与2023年度相比，减少69.14万元，下降3.2%，主要原因是人员调动、信息系统建设及运维费用等减少。其中：财政拨款收入2120.21万元，占100.0%；事业收入0.00万元，占0.0%；经营收入0.00万元，占0.0%；其他收入0.00万元，占0.0%。此外，使用非财政拨款结余（含专用结余）0.00万元，年初结转和结余37.57万元。</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支出情况。2024年度支出合计2099.83万元，与2023年度相比，减少91.80万元，下降4.2%，主要原因是人员调动、办公经费、信息系统建设及运维费用等减少。其中：基本支出1846.15万元，占87.9%；项目支出253.68万元，占12.1%；经营支出0.00万元，占0.0%。此外，结余分配0.00万元。</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3．结转结余情况。2024年度年末结转和结余57.95万元，与2023年度相比，增加20.38万元，增长54.3%，主要原因是退休人员社保退款及收回借款等。</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(二)财政拨款收入支出决算总体情况说明。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 xml:space="preserve">2024年度财政拨款收、支总计均为2155.53万元。与2023年度相比，财政拨款收、支总计各减少71.42万元，下降3.2%。主要原因是人员调动、办公经费等减少。  </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（三）一般公共预算财政拨款收入支出决算情况说明。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收入情况。2024年度一般公共预算财政拨款收入2120.21万元，与2023年度相比，减少69.14万元，下降3.2%。主要原因是人员调动、办公经费等减少。较年初预算数增加266.18万元，增长14.4%。主要原因是一般公共服务支出、社会保障和就业支出等增加。此外，年初财政拨款结转和结余35.32万元。</w:t>
      </w:r>
    </w:p>
    <w:p>
      <w:pPr>
        <w:spacing w:line="594"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2．支出情况。</w:t>
      </w:r>
      <w:r>
        <w:rPr>
          <w:rFonts w:ascii="Times New Roman" w:hAnsi="Times New Roman" w:eastAsia="方正仿宋_GBK"/>
          <w:sz w:val="32"/>
          <w:szCs w:val="32"/>
        </w:rPr>
        <w:t>2024年度一般公共预算财政拨款支出2099.83万元，与2023年度相比，减少91.80万元，下降4.2%。主要原因是人员调动、办公经费等减少。较年初预算数增加245.80万元，增长13.3%。主要原因是一般公共服务支出、社会保障和就业支出等增加。</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 xml:space="preserve">一般公共预算财政拨款支出主要用途如下： </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（1）一般公共服务支出1585.65万元，占75.5%，较年初预算数增加200.84万元，增长14.5%，主要原因是其他财政事务支出、行政运行等增加。</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（2）社会保障和就业支出318.56万元，占15.2%，较年初预算数增加49.45万元，增长18.4%，主要原因是人员调动、行政事业单位养老支出等增加。</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（3）卫生健康支出99.34万元，占4.7%，较年初预算数增加1.91万元，增长2.0%，主要原因是人员调动、行政事业单位医疗支出等增加。</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（4）住房保障支出96.28万元，占4.6%，较年初预算数减少6.41万元，下降6.2%，主要原因是人员调动、住房公积金等减少。</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 xml:space="preserve">3. 结转结余情况。2024年度年末一般公共预算财政拨款结转和结余55.70万元，与2023年度相比，增加20.38万元，增长57.7%，主要原因是当期确认为预算支出但没有确认为费用、当期确认为费用但没有确认为预算支出。  </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（四）一般公共预算财政拨款基本支出决算情况说明。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2024年度一般公共财政拨款基本支出1846.15万元。其中：</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人员经费1457.20万元，与2023年度相比，减少95.49万元，下降6.2%，主要原因是人员变动导致基本工资、退休“中人”一次性补贴等减少。人员经费用途主要包括基本工资、津贴补贴、奖金、社会保障缴费、住房公积金、其他工资福利支出、健康休养费、抚恤金、生活补助、医疗费补助、奖励金、其他对个人和家庭的补助支出等。</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公用经费388.95万元，与2023年度相比，增加15.16万元，增长4.1%，主要原因是财税征收工作经费等增加。公用经费用途主要包括办公费、印刷费、咨询费、水费、电费、邮电费、物管费、差旅费、维修（护）费、会议费、培训费、公务接待费、劳务费、委托业务费、工会经费、其他交通费用和其他商品服务支出、办公设备购置等。</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（五）政府性基金预算收支决算情况说明。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本单位2024年度无政府性基金预算财政拨款收支</w:t>
      </w:r>
      <w:r>
        <w:rPr>
          <w:rFonts w:ascii="Times New Roman" w:hAnsi="Times New Roman" w:eastAsia="方正楷体_GBK"/>
          <w:sz w:val="32"/>
          <w:szCs w:val="32"/>
        </w:rPr>
        <w:t>。</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（六）国有资本经营预算财政拨款支出决算情况说明</w:t>
      </w:r>
    </w:p>
    <w:p>
      <w:pPr>
        <w:pStyle w:val="9"/>
        <w:shd w:val="clear" w:color="auto" w:fill="FFFFFF"/>
        <w:spacing w:before="0" w:beforeAutospacing="0" w:after="0" w:afterAutospacing="0" w:line="594" w:lineRule="exact"/>
        <w:rPr>
          <w:rFonts w:hint="default" w:ascii="Times New Roman" w:hAnsi="Times New Roman" w:eastAsia="方正仿宋_GBK"/>
          <w:kern w:val="2"/>
          <w:sz w:val="32"/>
          <w:szCs w:val="32"/>
        </w:rPr>
      </w:pPr>
      <w:r>
        <w:rPr>
          <w:rFonts w:ascii="Times New Roman" w:hAnsi="Times New Roman"/>
          <w:sz w:val="27"/>
          <w:szCs w:val="27"/>
        </w:rPr>
        <w:t xml:space="preserve">     </w:t>
      </w:r>
      <w:r>
        <w:rPr>
          <w:rFonts w:ascii="Times New Roman" w:hAnsi="Times New Roman" w:eastAsia="方正仿宋_GBK"/>
          <w:kern w:val="2"/>
          <w:sz w:val="32"/>
          <w:szCs w:val="32"/>
        </w:rPr>
        <w:t>本单位2024年度无国有资本经营预算财政拨款支出。</w:t>
      </w:r>
    </w:p>
    <w:p>
      <w:pPr>
        <w:pStyle w:val="9"/>
        <w:shd w:val="clear" w:color="auto" w:fill="FFFFFF"/>
        <w:spacing w:before="0" w:beforeAutospacing="0" w:after="0" w:afterAutospacing="0"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三、财政拨款“三公”经费情况说明</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（一）“三公”经费支出总体情况说明。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三公”经费支出共计0.76万元，较年初预算数减少1.74万元，下降69.6%，主要原因是贯彻落实过“紧日子”政策，严控公务接待，厉行节约。较上年支出数增加0.65万元，增长590.9%，主要原因是其他区县来丰交流学习座谈开支、会计职称考场机器测试技术人员餐费、上级单位来丰监督检查营养午餐专项餐费等。</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（二）“三公”经费分项支出情况。</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本单位2024年度未发生因公出国（境）费用支出，与上年决算数持平。</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本单位2024年度未发生公务车购置费用支出，与上年决算数持平。</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本单位2024年度未发生公务车运行维护费支出，与上年决算数持平。</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公务接待费0.76万元，主要用于接待其他区县来丰交流学习座谈开支、会计职称考场机器测试技术人员餐费、上级单位来丰监督检查营养午餐专项餐费等。费用支出较年初预算数减少1.74万元，下降69.6%，主要原因</w:t>
      </w:r>
      <w:bookmarkStart w:id="0" w:name="_GoBack"/>
      <w:bookmarkEnd w:id="0"/>
      <w:r>
        <w:rPr>
          <w:rFonts w:ascii="Times New Roman" w:hAnsi="Times New Roman" w:eastAsia="方正仿宋_GBK"/>
          <w:sz w:val="32"/>
          <w:szCs w:val="32"/>
        </w:rPr>
        <w:t>是贯彻落实过“紧日子”政策，严控公务接待，厉行节约。较上年支出数增加0.65万元，增长590.9%，主要原因是其他区县来丰交流学习座谈开支、会计职称考场机器测试技术人员餐费、上级单位来丰监督检查营养午餐专项餐费等。</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（三）“三公”经费实物量情况。</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本单位因公出国（境）共计0个团组，0人；公务用车购置0辆，公务车保有量为0辆；国内公务接待7批次80人，其中：国内外事接待0批次，0人；国（境）外公务接待0批次，0人。2024年本单位人均接待费95.46元，车均购置费0万元，车均维护费0万元。</w:t>
      </w:r>
    </w:p>
    <w:p>
      <w:pPr>
        <w:spacing w:line="594"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四、其他需要说明的事项</w:t>
      </w:r>
    </w:p>
    <w:p>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（一）财政拨款会议费、培训费和差旅费情况说明。</w:t>
      </w:r>
    </w:p>
    <w:p>
      <w:pPr>
        <w:pStyle w:val="9"/>
        <w:shd w:val="clear" w:color="auto" w:fill="FFFFFF"/>
        <w:spacing w:before="0" w:beforeAutospacing="0" w:after="0" w:afterAutospacing="0" w:line="594" w:lineRule="exact"/>
        <w:ind w:firstLine="640" w:firstLineChars="200"/>
        <w:rPr>
          <w:rFonts w:hint="default" w:ascii="Times New Roman" w:hAnsi="Times New Roman" w:eastAsia="方正仿宋_GBK"/>
          <w:kern w:val="2"/>
          <w:sz w:val="32"/>
          <w:szCs w:val="32"/>
        </w:rPr>
      </w:pPr>
      <w:r>
        <w:rPr>
          <w:rFonts w:ascii="Times New Roman" w:hAnsi="Times New Roman" w:eastAsia="方正仿宋_GBK"/>
          <w:kern w:val="2"/>
          <w:sz w:val="32"/>
          <w:szCs w:val="32"/>
        </w:rPr>
        <w:t>本年度会议费支出2.34万元，与2023年度相比，增加1.22万元，增长108.9%，主要原因是决算财报及绩效评价等会议开支增加。本年度培训费支出20.60万元，与2023年度相比，增加20.17万元，增长4690.7%，主要原因是会计业务专题培训及外出培训等增加。本年度差旅费支出22.04万元，与2023年度相比，增加5.26万元，增长31.4%，主要原因是职工培训差旅费等增加。</w:t>
      </w:r>
    </w:p>
    <w:p>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（二）机关运行经费情况说明。</w:t>
      </w:r>
    </w:p>
    <w:p>
      <w:pPr>
        <w:pStyle w:val="9"/>
        <w:shd w:val="clear" w:color="auto" w:fill="FFFFFF"/>
        <w:spacing w:before="0" w:beforeAutospacing="0" w:after="0" w:afterAutospacing="0" w:line="594" w:lineRule="exact"/>
        <w:ind w:firstLine="640" w:firstLineChars="200"/>
        <w:rPr>
          <w:rFonts w:hint="default" w:ascii="Times New Roman" w:hAnsi="Times New Roman" w:eastAsia="方正仿宋_GBK"/>
          <w:b/>
          <w:bCs/>
          <w:kern w:val="2"/>
          <w:sz w:val="32"/>
          <w:szCs w:val="32"/>
        </w:rPr>
      </w:pPr>
      <w:r>
        <w:rPr>
          <w:rFonts w:ascii="Times New Roman" w:hAnsi="Times New Roman" w:eastAsia="方正仿宋_GBK"/>
          <w:kern w:val="2"/>
          <w:sz w:val="32"/>
          <w:szCs w:val="32"/>
        </w:rPr>
        <w:t>2024年度本单位机关运行经费支出388.95万元，机关运行经费主要用于开支办公费、印刷费、咨询费、水费、电费、邮电费、物管费、差旅费、维修（护）费、会议费、培训费、公务接待费、劳务费、委托业务费、工会经费、其他交通费用和其他商品服务支出、办公设备购置等。机关运行经费较上年支出数增加15.16万元，增长4.1%，主要原因是公务接待费、培训费等增加。</w:t>
      </w:r>
    </w:p>
    <w:p>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（三）国有资产占用情况说明。</w:t>
      </w:r>
    </w:p>
    <w:p>
      <w:pPr>
        <w:pStyle w:val="9"/>
        <w:shd w:val="clear" w:color="auto" w:fill="FFFFFF"/>
        <w:spacing w:before="0" w:beforeAutospacing="0" w:after="0" w:afterAutospacing="0" w:line="594" w:lineRule="exact"/>
        <w:ind w:firstLine="640" w:firstLineChars="200"/>
        <w:rPr>
          <w:rFonts w:hint="default" w:ascii="Times New Roman" w:hAnsi="Times New Roman" w:eastAsia="方正仿宋_GBK"/>
          <w:b/>
          <w:bCs/>
          <w:sz w:val="32"/>
          <w:szCs w:val="32"/>
        </w:rPr>
      </w:pPr>
      <w:r>
        <w:rPr>
          <w:rFonts w:ascii="Times New Roman" w:hAnsi="Times New Roman" w:eastAsia="方正仿宋_GBK"/>
          <w:sz w:val="32"/>
          <w:szCs w:val="32"/>
        </w:rPr>
        <w:t>截至2024年12月31日，本</w:t>
      </w:r>
      <w:r>
        <w:rPr>
          <w:rFonts w:ascii="Times New Roman" w:hAnsi="Times New Roman" w:eastAsia="方正仿宋_GBK"/>
          <w:kern w:val="2"/>
          <w:sz w:val="32"/>
          <w:szCs w:val="32"/>
        </w:rPr>
        <w:t>单位</w:t>
      </w:r>
      <w:r>
        <w:rPr>
          <w:rFonts w:ascii="Times New Roman" w:hAnsi="Times New Roman" w:eastAsia="方正仿宋_GBK"/>
          <w:sz w:val="32"/>
          <w:szCs w:val="32"/>
        </w:rPr>
        <w:t>共有车辆0辆，其中，副部（省）级及以上领导用车0辆、主要负责人用车0辆、机要通信用车0辆、应急保障用车0辆、执法执勤用车0辆，特种专业技术用车0辆，离退休干部用车0辆。单价100万元（含）以上专用设备0台（套）。</w:t>
      </w:r>
    </w:p>
    <w:p>
      <w:pPr>
        <w:spacing w:line="594" w:lineRule="exact"/>
        <w:ind w:firstLine="640" w:firstLineChars="200"/>
        <w:rPr>
          <w:rFonts w:hint="default" w:ascii="方正楷体_GBK" w:hAnsi="Times New Roman" w:eastAsia="方正楷体_GBK"/>
          <w:sz w:val="32"/>
          <w:szCs w:val="32"/>
        </w:rPr>
      </w:pPr>
      <w:r>
        <w:rPr>
          <w:rFonts w:ascii="方正楷体_GBK" w:hAnsi="Times New Roman" w:eastAsia="方正楷体_GBK"/>
          <w:sz w:val="32"/>
          <w:szCs w:val="32"/>
        </w:rPr>
        <w:t>（四）政府采购支出情况说明。</w:t>
      </w:r>
    </w:p>
    <w:p>
      <w:pPr>
        <w:spacing w:line="594"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2024年度本</w:t>
      </w:r>
      <w:r>
        <w:rPr>
          <w:rFonts w:ascii="Times New Roman" w:hAnsi="Times New Roman" w:eastAsia="方正仿宋_GBK"/>
          <w:kern w:val="2"/>
          <w:sz w:val="32"/>
          <w:szCs w:val="32"/>
        </w:rPr>
        <w:t>单位</w:t>
      </w:r>
      <w:r>
        <w:rPr>
          <w:rFonts w:ascii="Times New Roman" w:hAnsi="Times New Roman" w:eastAsia="方正仿宋_GBK"/>
          <w:sz w:val="32"/>
          <w:szCs w:val="32"/>
        </w:rPr>
        <w:t>政府采购支出总额1.07万元，其中：政府采购货物支出1.07万元、政府采购工程支出0.00万元、政府采购服务支出0.00万元。授予中小企业合同金额1.07万元，占政府采购支出总额的100.0%，其中：授予小微企业合同金额1.07万元，占政府采购支出总额的100.0 %。主要用于采购办公笔记本及台式电脑等。</w:t>
      </w:r>
    </w:p>
    <w:p>
      <w:pPr>
        <w:spacing w:line="594" w:lineRule="exact"/>
        <w:ind w:firstLine="640" w:firstLineChars="200"/>
        <w:rPr>
          <w:rFonts w:hint="default" w:ascii="Times New Roman" w:hAnsi="Times New Roman" w:eastAsia="方正黑体_GBK"/>
          <w:sz w:val="32"/>
          <w:szCs w:val="32"/>
        </w:rPr>
      </w:pPr>
      <w:r>
        <w:rPr>
          <w:rFonts w:ascii="Times New Roman" w:hAnsi="Times New Roman" w:eastAsia="方正仿宋_GBK"/>
          <w:sz w:val="32"/>
          <w:szCs w:val="32"/>
        </w:rPr>
        <w:t xml:space="preserve">  </w:t>
      </w:r>
      <w:r>
        <w:rPr>
          <w:rFonts w:ascii="Times New Roman" w:hAnsi="Times New Roman" w:eastAsia="方正黑体_GBK"/>
          <w:sz w:val="32"/>
          <w:szCs w:val="32"/>
        </w:rPr>
        <w:t>五、2024年度预算绩效管理情况说明</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（一）单位自评情况</w:t>
      </w:r>
    </w:p>
    <w:p>
      <w:pPr>
        <w:pStyle w:val="15"/>
        <w:autoSpaceDE w:val="0"/>
        <w:spacing w:before="0" w:beforeAutospacing="0" w:after="0" w:afterAutospacing="0" w:line="594"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根据预算绩效管理要求，我单位对6个项目开展了绩效自评，涉及财政拨款项目支出资金459.12万元。</w:t>
      </w:r>
      <w:r>
        <w:rPr>
          <w:rFonts w:hint="eastAsia" w:ascii="方正仿宋_GBK" w:hAnsi="方正仿宋_GBK" w:eastAsia="方正仿宋_GBK" w:cs="方正仿宋_GBK"/>
          <w:sz w:val="32"/>
          <w:szCs w:val="32"/>
          <w:shd w:val="clear" w:color="auto" w:fill="FFFFFF"/>
        </w:rPr>
        <w:t>（见附件）</w:t>
      </w:r>
    </w:p>
    <w:p>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（二）单位绩效评价情况</w:t>
      </w:r>
    </w:p>
    <w:p>
      <w:pPr>
        <w:widowControl w:val="0"/>
        <w:spacing w:line="594" w:lineRule="exact"/>
        <w:ind w:firstLine="640" w:firstLineChars="200"/>
        <w:rPr>
          <w:rFonts w:hint="default" w:ascii="Times New Roman" w:hAnsi="Times New Roman" w:eastAsia="方正楷体_GBK"/>
          <w:sz w:val="32"/>
          <w:szCs w:val="32"/>
        </w:rPr>
      </w:pPr>
      <w:r>
        <w:rPr>
          <w:rFonts w:ascii="方正仿宋_GBK" w:hAnsi="方正仿宋_GBK" w:eastAsia="方正仿宋_GBK" w:cs="方正仿宋_GBK"/>
          <w:sz w:val="32"/>
          <w:szCs w:val="32"/>
          <w:shd w:val="clear" w:color="auto" w:fill="FFFFFF"/>
        </w:rPr>
        <w:t xml:space="preserve">我单位未组织开展绩效评价。 </w:t>
      </w:r>
    </w:p>
    <w:p>
      <w:pPr>
        <w:pStyle w:val="17"/>
        <w:autoSpaceDE w:val="0"/>
        <w:ind w:firstLine="640"/>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pPr>
        <w:spacing w:line="570" w:lineRule="exact"/>
        <w:ind w:firstLine="640" w:firstLineChars="200"/>
        <w:rPr>
          <w:rFonts w:hint="default" w:ascii="Times New Roman" w:hAnsi="Times New Roman" w:eastAsia="方正仿宋_GBK"/>
          <w:b/>
          <w:bCs/>
          <w:sz w:val="32"/>
          <w:szCs w:val="32"/>
        </w:rPr>
      </w:pPr>
      <w:r>
        <w:rPr>
          <w:rFonts w:ascii="方正仿宋_GBK" w:hAnsi="方正仿宋_GBK" w:eastAsia="方正仿宋_GBK" w:cs="方正仿宋_GBK"/>
          <w:sz w:val="32"/>
          <w:szCs w:val="32"/>
          <w:shd w:val="clear" w:color="auto" w:fill="FFFFFF"/>
        </w:rPr>
        <w:t>县财政局未委托第三方对我单位开展绩效评价。</w:t>
      </w:r>
    </w:p>
    <w:p>
      <w:pPr>
        <w:spacing w:line="57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六、专有名词解释</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（二）其他收入：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（三）使用非财政拨款结余：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（四）年初结转和结余：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（五）结余分配：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（六）年末结转和结余：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（七）基本支出：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（八）项目支出：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（九）“三公”经费：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（十）机关运行经费：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（十一）工资福利支出（支出经济分类科目类级）：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（十二）商品和服务支出（支出经济分类科目类级）：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（十三）对个人和家庭的补助（支出经济分类科目类级）：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spacing w:line="570" w:lineRule="exact"/>
        <w:ind w:firstLine="640" w:firstLineChars="200"/>
        <w:rPr>
          <w:rFonts w:hint="default" w:ascii="方正仿宋_GBK" w:hAnsi="方正仿宋_GBK" w:eastAsia="方正仿宋_GBK" w:cs="方正仿宋_GBK"/>
          <w:sz w:val="32"/>
          <w:szCs w:val="32"/>
          <w:shd w:val="clear" w:color="auto" w:fill="FFFFFF"/>
        </w:rPr>
      </w:pPr>
      <w:r>
        <w:rPr>
          <w:rStyle w:val="13"/>
          <w:rFonts w:ascii="方正楷体_GBK" w:hAnsi="楷体" w:eastAsia="方正楷体_GBK" w:cs="楷体"/>
          <w:b w:val="0"/>
          <w:bCs/>
          <w:sz w:val="32"/>
          <w:szCs w:val="32"/>
          <w:shd w:val="clear" w:color="auto" w:fill="FFFFFF"/>
        </w:rPr>
        <w:t>（十四）其他资本性支出（支出经济分类科目类级）：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57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七、决算公开联系方式及信息反馈渠道</w:t>
      </w:r>
    </w:p>
    <w:p>
      <w:pPr>
        <w:spacing w:line="57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本单位决算公开信息反馈和联系方式：</w:t>
      </w:r>
    </w:p>
    <w:p>
      <w:pPr>
        <w:spacing w:line="57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贺琳杰   023-70606947</w:t>
      </w:r>
    </w:p>
    <w:p>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丰都县财政局（本级）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2,120.21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1,585.65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99.34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2,120.21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2,099.83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2,157.78</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2,157.78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丰都县财政局（本级）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2,120.21</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2,120.21</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1,606.03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1,606.03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1,606.03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1,606.03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1,129.76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1,129.76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357.77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357.77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129.41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129.41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96.28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96.28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丰都县财政局（本级）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2,099.83</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1,846.15</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253.68</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1,585.65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1,331.97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253.68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1,585.65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1,331.97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253.68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1,128.98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1,128.98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338.18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202.99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135.18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129.41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129.41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96.28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96.28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丰都县财政局（本级）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2,120.21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1,585.65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1,585.65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2,120.21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2,099.83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2,099.83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2,155.53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2,155.53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2,155.53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丰都县财政局（本级）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2,099.83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1,846.15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253.68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1,585.65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1,331.97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253.68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1,585.65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1,331.97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253.68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1,128.98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1,128.98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338.18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202.99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135.18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129.41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69.56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69.56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99.34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96.28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96.28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丰都县财政局（本级）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1,287.57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11.95</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11.95</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1,457.20</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388.95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丰都县财政局（本级）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丰都县财政局（本级）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丰都县财政局（本级）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388.95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388.95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20.60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22.04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1F2CA3"/>
    <w:rsid w:val="002B254B"/>
    <w:rsid w:val="0034050A"/>
    <w:rsid w:val="0044504F"/>
    <w:rsid w:val="00466C9B"/>
    <w:rsid w:val="00486CFC"/>
    <w:rsid w:val="00491DDD"/>
    <w:rsid w:val="004E3EEF"/>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94CBB"/>
    <w:rsid w:val="00AF2751"/>
    <w:rsid w:val="00B03CCD"/>
    <w:rsid w:val="00BE2B89"/>
    <w:rsid w:val="00BF0D89"/>
    <w:rsid w:val="00C10E9E"/>
    <w:rsid w:val="00C20C3E"/>
    <w:rsid w:val="00C5163E"/>
    <w:rsid w:val="00CE4907"/>
    <w:rsid w:val="00CF2ACF"/>
    <w:rsid w:val="00D03AAF"/>
    <w:rsid w:val="00DD0539"/>
    <w:rsid w:val="00E07662"/>
    <w:rsid w:val="00E368E9"/>
    <w:rsid w:val="00EE1E33"/>
    <w:rsid w:val="00F12AAA"/>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8D4E24"/>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BF6DE2"/>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844BF8"/>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DE1099"/>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26</Pages>
  <Words>2361</Words>
  <Characters>13460</Characters>
  <Lines>112</Lines>
  <Paragraphs>31</Paragraphs>
  <TotalTime>37</TotalTime>
  <ScaleCrop>false</ScaleCrop>
  <LinksUpToDate>false</LinksUpToDate>
  <CharactersWithSpaces>15790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2025-09-15T06:51:03Z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BB46EABDBB2749749395447164B066B3_12</vt:lpwstr>
  </property>
</Properties>
</file>