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4CC79">
      <w:pPr>
        <w:spacing w:line="520" w:lineRule="exact"/>
        <w:rPr>
          <w:rFonts w:eastAsia="方正小标宋_GBK"/>
          <w:sz w:val="44"/>
          <w:szCs w:val="44"/>
        </w:rPr>
      </w:pPr>
    </w:p>
    <w:p w14:paraId="23081DEF">
      <w:pPr>
        <w:spacing w:line="520" w:lineRule="exact"/>
        <w:jc w:val="center"/>
        <w:rPr>
          <w:rFonts w:eastAsia="方正小标宋_GBK"/>
          <w:spacing w:val="20"/>
          <w:sz w:val="44"/>
          <w:szCs w:val="44"/>
        </w:rPr>
      </w:pPr>
      <w:r>
        <w:rPr>
          <w:rFonts w:eastAsia="方正小标宋_GBK"/>
          <w:spacing w:val="20"/>
          <w:sz w:val="44"/>
          <w:szCs w:val="44"/>
        </w:rPr>
        <w:t>丰都县规划和自然资源局</w:t>
      </w:r>
    </w:p>
    <w:p w14:paraId="4C53AE84">
      <w:pPr>
        <w:spacing w:line="520" w:lineRule="exact"/>
        <w:jc w:val="center"/>
        <w:rPr>
          <w:rFonts w:eastAsia="方正小标宋_GBK"/>
          <w:sz w:val="44"/>
          <w:szCs w:val="44"/>
        </w:rPr>
      </w:pPr>
      <w:r>
        <w:rPr>
          <w:rFonts w:hAnsi="方正小标宋_GBK" w:eastAsia="方正小标宋_GBK"/>
          <w:sz w:val="44"/>
          <w:szCs w:val="44"/>
        </w:rPr>
        <w:t>关于</w:t>
      </w:r>
      <w:r>
        <w:rPr>
          <w:rFonts w:eastAsia="方正小标宋_GBK"/>
          <w:sz w:val="44"/>
          <w:szCs w:val="44"/>
        </w:rPr>
        <w:t>202</w:t>
      </w:r>
      <w:r>
        <w:rPr>
          <w:rFonts w:hint="eastAsia" w:eastAsia="方正小标宋_GBK"/>
          <w:sz w:val="44"/>
          <w:szCs w:val="44"/>
        </w:rPr>
        <w:t>3</w:t>
      </w:r>
      <w:r>
        <w:rPr>
          <w:rFonts w:hAnsi="方正小标宋_GBK" w:eastAsia="方正小标宋_GBK"/>
          <w:sz w:val="44"/>
          <w:szCs w:val="44"/>
        </w:rPr>
        <w:t>年度法治政府建设情况的</w:t>
      </w:r>
    </w:p>
    <w:p w14:paraId="405C7EFF">
      <w:pPr>
        <w:spacing w:line="520" w:lineRule="exact"/>
        <w:jc w:val="center"/>
        <w:rPr>
          <w:rFonts w:eastAsia="方正小标宋_GBK"/>
          <w:snapToGrid w:val="0"/>
          <w:sz w:val="44"/>
          <w:szCs w:val="44"/>
        </w:rPr>
      </w:pPr>
      <w:r>
        <w:rPr>
          <w:rFonts w:hAnsi="方正小标宋_GBK" w:eastAsia="方正小标宋_GBK"/>
          <w:sz w:val="44"/>
          <w:szCs w:val="44"/>
        </w:rPr>
        <w:t>报告</w:t>
      </w:r>
    </w:p>
    <w:p w14:paraId="007916BE">
      <w:pPr>
        <w:spacing w:line="520" w:lineRule="exact"/>
        <w:rPr>
          <w:rFonts w:hAnsi="方正仿宋_GBK"/>
          <w:szCs w:val="32"/>
        </w:rPr>
      </w:pPr>
    </w:p>
    <w:p w14:paraId="747939D1">
      <w:pPr>
        <w:spacing w:line="520" w:lineRule="exact"/>
        <w:ind w:firstLine="632" w:firstLineChars="200"/>
        <w:rPr>
          <w:rFonts w:hAnsi="方正仿宋_GBK"/>
          <w:szCs w:val="32"/>
        </w:rPr>
      </w:pPr>
      <w:r>
        <w:rPr>
          <w:rFonts w:hint="eastAsia" w:hAnsi="方正仿宋_GBK"/>
          <w:szCs w:val="32"/>
        </w:rPr>
        <w:t>按照《中共丰都县委全面依法治县委员会办公室</w:t>
      </w:r>
      <w:r>
        <w:rPr>
          <w:rFonts w:hint="eastAsia" w:ascii="方正仿宋_GBK" w:hAnsi="方正仿宋_GBK" w:cs="方正仿宋_GBK"/>
          <w:color w:val="000000"/>
          <w:sz w:val="31"/>
          <w:szCs w:val="31"/>
        </w:rPr>
        <w:t>关于做好</w:t>
      </w:r>
      <w:r>
        <w:rPr>
          <w:rFonts w:eastAsia="sans-serif"/>
          <w:color w:val="000000"/>
          <w:sz w:val="31"/>
          <w:szCs w:val="31"/>
        </w:rPr>
        <w:t>2023</w:t>
      </w:r>
      <w:r>
        <w:rPr>
          <w:rFonts w:hint="eastAsia" w:ascii="方正仿宋_GBK" w:hAnsi="方正仿宋_GBK" w:cs="方正仿宋_GBK"/>
          <w:color w:val="000000"/>
          <w:sz w:val="31"/>
          <w:szCs w:val="31"/>
        </w:rPr>
        <w:t>年度法治政府建设情况报告工作的通知</w:t>
      </w:r>
      <w:r>
        <w:rPr>
          <w:rFonts w:hint="eastAsia" w:hAnsi="方正仿宋_GBK"/>
          <w:szCs w:val="32"/>
        </w:rPr>
        <w:t>》要求，我局认真总结梳理法治政府建设情况，</w:t>
      </w:r>
      <w:r>
        <w:rPr>
          <w:rFonts w:hAnsi="方正仿宋_GBK"/>
          <w:szCs w:val="32"/>
        </w:rPr>
        <w:t>现报告如下。</w:t>
      </w:r>
    </w:p>
    <w:p w14:paraId="6FFBB14E">
      <w:pPr>
        <w:spacing w:line="520" w:lineRule="exact"/>
        <w:ind w:firstLine="632" w:firstLineChars="200"/>
        <w:rPr>
          <w:rFonts w:hAnsi="方正黑体_GBK" w:eastAsia="方正黑体_GBK"/>
          <w:szCs w:val="32"/>
        </w:rPr>
      </w:pPr>
      <w:r>
        <w:rPr>
          <w:rFonts w:hint="eastAsia" w:hAnsi="方正黑体_GBK" w:eastAsia="方正黑体_GBK"/>
          <w:szCs w:val="32"/>
        </w:rPr>
        <w:t>一、</w:t>
      </w:r>
      <w:r>
        <w:rPr>
          <w:rFonts w:hAnsi="方正黑体_GBK" w:eastAsia="方正黑体_GBK"/>
          <w:szCs w:val="32"/>
        </w:rPr>
        <w:t>202</w:t>
      </w:r>
      <w:r>
        <w:rPr>
          <w:rFonts w:hint="eastAsia" w:hAnsi="方正黑体_GBK" w:eastAsia="方正黑体_GBK"/>
          <w:szCs w:val="32"/>
        </w:rPr>
        <w:t>3</w:t>
      </w:r>
      <w:r>
        <w:rPr>
          <w:rFonts w:hAnsi="方正黑体_GBK" w:eastAsia="方正黑体_GBK"/>
          <w:szCs w:val="32"/>
        </w:rPr>
        <w:t>年推进法治政府建设的主要举措和成效</w:t>
      </w:r>
    </w:p>
    <w:p w14:paraId="7D8961C8">
      <w:pPr>
        <w:spacing w:line="520" w:lineRule="exact"/>
        <w:ind w:firstLine="640"/>
        <w:rPr>
          <w:rFonts w:hAnsi="方正仿宋_GBK"/>
          <w:szCs w:val="32"/>
        </w:rPr>
      </w:pPr>
      <w:r>
        <w:rPr>
          <w:rFonts w:hint="eastAsia" w:ascii="方正楷体_GBK" w:hAnsi="方正楷体_GBK" w:eastAsia="方正楷体_GBK" w:cs="方正楷体_GBK"/>
          <w:szCs w:val="32"/>
        </w:rPr>
        <w:t>（一）大力推进数字赋能法治化，优化法治化营商环境。</w:t>
      </w:r>
      <w:r>
        <w:rPr>
          <w:rFonts w:hint="eastAsia" w:hAnsi="方正仿宋_GBK"/>
          <w:szCs w:val="32"/>
        </w:rPr>
        <w:t>一是</w:t>
      </w:r>
      <w:r>
        <w:rPr>
          <w:rFonts w:hAnsi="方正仿宋_GBK"/>
          <w:szCs w:val="32"/>
        </w:rPr>
        <w:t>大力推进不动产登记减环节、减时限、优化流程等工作，登记质量和效率不断提升。</w:t>
      </w:r>
      <w:r>
        <w:rPr>
          <w:rFonts w:hint="eastAsia" w:hAnsi="方正仿宋_GBK"/>
          <w:szCs w:val="32"/>
        </w:rPr>
        <w:t>完成</w:t>
      </w:r>
      <w:r>
        <w:rPr>
          <w:rFonts w:hAnsi="方正仿宋_GBK"/>
          <w:szCs w:val="32"/>
        </w:rPr>
        <w:t>“不动产+水电气过户”</w:t>
      </w:r>
      <w:r>
        <w:rPr>
          <w:rFonts w:hint="eastAsia" w:hAnsi="方正仿宋_GBK"/>
          <w:szCs w:val="32"/>
        </w:rPr>
        <w:t>108件、</w:t>
      </w:r>
      <w:r>
        <w:rPr>
          <w:rFonts w:hAnsi="方正仿宋_GBK"/>
          <w:szCs w:val="32"/>
        </w:rPr>
        <w:t>“带押过户”</w:t>
      </w:r>
      <w:r>
        <w:rPr>
          <w:rFonts w:hint="eastAsia" w:hAnsi="方正仿宋_GBK"/>
          <w:szCs w:val="32"/>
        </w:rPr>
        <w:t>登记31件</w:t>
      </w:r>
      <w:r>
        <w:rPr>
          <w:rFonts w:hAnsi="方正仿宋_GBK"/>
          <w:szCs w:val="32"/>
        </w:rPr>
        <w:t>、</w:t>
      </w:r>
      <w:r>
        <w:rPr>
          <w:rFonts w:hint="eastAsia" w:hAnsi="方正仿宋_GBK"/>
          <w:szCs w:val="32"/>
        </w:rPr>
        <w:t>非公证继承登记12件，</w:t>
      </w:r>
      <w:r>
        <w:rPr>
          <w:rFonts w:hAnsi="方正仿宋_GBK"/>
          <w:szCs w:val="32"/>
        </w:rPr>
        <w:t>抵押专网业务办结时限</w:t>
      </w:r>
      <w:r>
        <w:rPr>
          <w:rFonts w:hint="eastAsia" w:hAnsi="方正仿宋_GBK"/>
          <w:szCs w:val="32"/>
        </w:rPr>
        <w:t>从</w:t>
      </w:r>
      <w:r>
        <w:rPr>
          <w:rFonts w:hAnsi="方正仿宋_GBK"/>
          <w:szCs w:val="32"/>
        </w:rPr>
        <w:t>2022年</w:t>
      </w:r>
      <w:r>
        <w:rPr>
          <w:rFonts w:hint="eastAsia" w:hAnsi="方正仿宋_GBK"/>
          <w:szCs w:val="32"/>
        </w:rPr>
        <w:t>的</w:t>
      </w:r>
      <w:r>
        <w:rPr>
          <w:rFonts w:hAnsi="方正仿宋_GBK"/>
          <w:szCs w:val="32"/>
        </w:rPr>
        <w:t>平均每件180分钟缩短至49分钟，提速高达270%</w:t>
      </w:r>
      <w:r>
        <w:rPr>
          <w:rFonts w:hint="eastAsia" w:hAnsi="方正仿宋_GBK"/>
          <w:szCs w:val="32"/>
        </w:rPr>
        <w:t>；二是针对年迈老人、肢体残疾、行动不便和因病住院的特殊困难群众，积极开展免费上门服务及邮寄服务，对于工作中确有困难的企业，组织服务队伍深入企业开展咨询和技术指导，解决不动产登记难问题。2023年累计开展上门服务40余次，开展咨询服务300余次，开展入企服务7次；三是提高其他政务服务工作效率。全年共</w:t>
      </w:r>
      <w:r>
        <w:rPr>
          <w:rFonts w:hAnsi="方正仿宋_GBK"/>
          <w:szCs w:val="32"/>
        </w:rPr>
        <w:t>受理不动产权属登记</w:t>
      </w:r>
      <w:r>
        <w:rPr>
          <w:rFonts w:hint="eastAsia" w:hAnsi="方正仿宋_GBK"/>
          <w:szCs w:val="32"/>
        </w:rPr>
        <w:t>51345</w:t>
      </w:r>
      <w:r>
        <w:rPr>
          <w:rFonts w:hAnsi="方正仿宋_GBK"/>
          <w:szCs w:val="32"/>
        </w:rPr>
        <w:t>件，其中</w:t>
      </w:r>
      <w:r>
        <w:rPr>
          <w:rFonts w:hint="eastAsia" w:hAnsi="方正仿宋_GBK"/>
          <w:szCs w:val="32"/>
        </w:rPr>
        <w:t>：</w:t>
      </w:r>
      <w:r>
        <w:rPr>
          <w:rFonts w:hAnsi="方正仿宋_GBK"/>
          <w:szCs w:val="32"/>
        </w:rPr>
        <w:t>城镇不动产登记</w:t>
      </w:r>
      <w:r>
        <w:rPr>
          <w:rFonts w:hint="eastAsia" w:hAnsi="方正仿宋_GBK"/>
          <w:szCs w:val="32"/>
        </w:rPr>
        <w:t>46875</w:t>
      </w:r>
      <w:r>
        <w:rPr>
          <w:rFonts w:hAnsi="方正仿宋_GBK"/>
          <w:szCs w:val="32"/>
        </w:rPr>
        <w:t>件，农房登记办证</w:t>
      </w:r>
      <w:r>
        <w:rPr>
          <w:rFonts w:hint="eastAsia" w:hAnsi="方正仿宋_GBK"/>
          <w:szCs w:val="32"/>
        </w:rPr>
        <w:t>4470</w:t>
      </w:r>
      <w:r>
        <w:rPr>
          <w:rFonts w:hAnsi="方正仿宋_GBK"/>
          <w:szCs w:val="32"/>
        </w:rPr>
        <w:t>件</w:t>
      </w:r>
      <w:r>
        <w:rPr>
          <w:rFonts w:hint="eastAsia" w:hAnsi="方正仿宋_GBK"/>
          <w:szCs w:val="32"/>
        </w:rPr>
        <w:t>，</w:t>
      </w:r>
      <w:r>
        <w:rPr>
          <w:rFonts w:hAnsi="方正仿宋_GBK"/>
          <w:szCs w:val="32"/>
        </w:rPr>
        <w:t>登记办结率达到100%</w:t>
      </w:r>
      <w:r>
        <w:rPr>
          <w:rFonts w:hint="eastAsia" w:hAnsi="方正仿宋_GBK"/>
          <w:szCs w:val="32"/>
        </w:rPr>
        <w:t>，</w:t>
      </w:r>
      <w:r>
        <w:rPr>
          <w:rFonts w:hAnsi="方正仿宋_GBK"/>
          <w:szCs w:val="32"/>
        </w:rPr>
        <w:t>完成新增</w:t>
      </w:r>
      <w:r>
        <w:rPr>
          <w:rFonts w:hint="eastAsia" w:hAnsi="方正仿宋_GBK"/>
          <w:szCs w:val="32"/>
        </w:rPr>
        <w:t>51345</w:t>
      </w:r>
      <w:r>
        <w:rPr>
          <w:rFonts w:hAnsi="方正仿宋_GBK"/>
          <w:szCs w:val="32"/>
        </w:rPr>
        <w:t>宗档案的数字化处理</w:t>
      </w:r>
      <w:r>
        <w:rPr>
          <w:rFonts w:hint="eastAsia" w:hAnsi="方正仿宋_GBK"/>
          <w:szCs w:val="32"/>
        </w:rPr>
        <w:t>，</w:t>
      </w:r>
      <w:r>
        <w:rPr>
          <w:rFonts w:hAnsi="方正仿宋_GBK"/>
          <w:szCs w:val="32"/>
        </w:rPr>
        <w:t>受理企事业单位、个人档案查询、利用达</w:t>
      </w:r>
      <w:r>
        <w:rPr>
          <w:rFonts w:hint="eastAsia" w:hAnsi="方正仿宋_GBK"/>
          <w:szCs w:val="32"/>
        </w:rPr>
        <w:t>81673</w:t>
      </w:r>
      <w:r>
        <w:rPr>
          <w:rFonts w:hAnsi="方正仿宋_GBK"/>
          <w:szCs w:val="32"/>
        </w:rPr>
        <w:t>人次。</w:t>
      </w:r>
    </w:p>
    <w:p w14:paraId="5203DCAA">
      <w:pPr>
        <w:spacing w:line="520" w:lineRule="exact"/>
        <w:ind w:firstLine="632" w:firstLineChars="200"/>
      </w:pPr>
      <w:r>
        <w:rPr>
          <w:rFonts w:hint="eastAsia" w:ascii="方正楷体_GBK" w:hAnsi="方正楷体_GBK" w:eastAsia="方正楷体_GBK" w:cs="方正楷体_GBK"/>
          <w:szCs w:val="32"/>
        </w:rPr>
        <w:t>（二）加强和改进规范性文件管理。</w:t>
      </w:r>
      <w:r>
        <w:rPr>
          <w:rFonts w:hint="eastAsia" w:hAnsi="方正仿宋_GBK"/>
          <w:szCs w:val="32"/>
        </w:rPr>
        <w:t>按照</w:t>
      </w:r>
      <w:r>
        <w:rPr>
          <w:rFonts w:hAnsi="方正仿宋_GBK"/>
          <w:szCs w:val="32"/>
        </w:rPr>
        <w:t>《重庆市行政规范性文件管理办法》要求，印发《关于规范性文件合法性审查的通知》，严格控制行政规范性文件制发程序、质量标准、审查备案标准及时限要求，严控发文数量。采取定期清理和专项清理相结合的方式开展规范性文件清理工作，结合机构改革和行政审批制度改革，及时组织开展规划自然资源领域规范性文件清理，规范和确定需要由法制机构进行合法性审查的事项。</w:t>
      </w:r>
    </w:p>
    <w:p w14:paraId="267AB60D">
      <w:pPr>
        <w:spacing w:line="520" w:lineRule="exact"/>
        <w:ind w:firstLine="646"/>
        <w:rPr>
          <w:rFonts w:ascii="方正仿宋_GBK" w:hAnsi="方正仿宋_GBK" w:cs="方正仿宋_GBK"/>
          <w:szCs w:val="32"/>
        </w:rPr>
      </w:pPr>
      <w:r>
        <w:rPr>
          <w:rFonts w:hint="eastAsia" w:ascii="方正楷体_GBK" w:hAnsi="方正楷体_GBK" w:eastAsia="方正楷体_GBK" w:cs="方正楷体_GBK"/>
          <w:szCs w:val="32"/>
        </w:rPr>
        <w:t>（三）深化综合行政执法改革，严格规范执法行为。</w:t>
      </w:r>
      <w:r>
        <w:rPr>
          <w:rFonts w:hAnsi="方正仿宋_GBK"/>
          <w:szCs w:val="32"/>
        </w:rPr>
        <w:t>一是</w:t>
      </w:r>
      <w:r>
        <w:rPr>
          <w:rFonts w:hint="eastAsia" w:ascii="方正仿宋_GBK" w:hAnsi="方正仿宋_GBK" w:cs="方正仿宋_GBK"/>
          <w:color w:val="000000"/>
          <w:sz w:val="31"/>
          <w:szCs w:val="31"/>
        </w:rPr>
        <w:t>严格推行行政执法公示制度、执法全过程记录制度、重大执法决定法制审核制度，对重大执法决定均进行了法制审核；二是</w:t>
      </w:r>
      <w:r>
        <w:rPr>
          <w:rFonts w:hint="eastAsia" w:hAnsi="方正仿宋_GBK"/>
          <w:szCs w:val="32"/>
        </w:rPr>
        <w:t>围绕“明确执法职责、分解执法责任、强化考核评议、严肃责任追究”四个环节，认真梳理执法依据，明确执法权限，落实执法责任，推进规范执法；三</w:t>
      </w:r>
      <w:r>
        <w:rPr>
          <w:rFonts w:hAnsi="方正仿宋_GBK"/>
          <w:szCs w:val="32"/>
        </w:rPr>
        <w:t>是落实行政执法</w:t>
      </w:r>
      <w:r>
        <w:rPr>
          <w:szCs w:val="32"/>
        </w:rPr>
        <w:t>“</w:t>
      </w:r>
      <w:r>
        <w:rPr>
          <w:rFonts w:hAnsi="方正仿宋_GBK"/>
          <w:szCs w:val="32"/>
        </w:rPr>
        <w:t>三项制度</w:t>
      </w:r>
      <w:r>
        <w:rPr>
          <w:szCs w:val="32"/>
        </w:rPr>
        <w:t>”</w:t>
      </w:r>
      <w:r>
        <w:rPr>
          <w:rFonts w:hAnsi="方正仿宋_GBK"/>
          <w:szCs w:val="32"/>
        </w:rPr>
        <w:t>，规范行政执法程序。将执法事项、职责、权限、依据、程序、救济渠道通过政府公众信息网进行公示，接受社会监督。</w:t>
      </w:r>
      <w:r>
        <w:rPr>
          <w:rFonts w:hint="eastAsia"/>
          <w:szCs w:val="32"/>
        </w:rPr>
        <w:t>全年</w:t>
      </w:r>
      <w:r>
        <w:rPr>
          <w:szCs w:val="32"/>
        </w:rPr>
        <w:t>共处理违法线索</w:t>
      </w:r>
      <w:r>
        <w:rPr>
          <w:rFonts w:hint="eastAsia"/>
          <w:szCs w:val="32"/>
        </w:rPr>
        <w:t>107</w:t>
      </w:r>
      <w:r>
        <w:rPr>
          <w:szCs w:val="32"/>
        </w:rPr>
        <w:t>条，立案查处违法行为</w:t>
      </w:r>
      <w:r>
        <w:rPr>
          <w:rFonts w:hint="eastAsia"/>
          <w:szCs w:val="32"/>
        </w:rPr>
        <w:t>19</w:t>
      </w:r>
      <w:r>
        <w:rPr>
          <w:szCs w:val="32"/>
        </w:rPr>
        <w:t>起，没收建构筑物</w:t>
      </w:r>
      <w:r>
        <w:rPr>
          <w:rFonts w:hint="eastAsia"/>
          <w:szCs w:val="32"/>
        </w:rPr>
        <w:t>2.99</w:t>
      </w:r>
      <w:r>
        <w:rPr>
          <w:szCs w:val="32"/>
        </w:rPr>
        <w:t>万㎡，没收违法所得313万元，罚款</w:t>
      </w:r>
      <w:r>
        <w:rPr>
          <w:rFonts w:hint="eastAsia"/>
          <w:szCs w:val="32"/>
        </w:rPr>
        <w:t>765.76</w:t>
      </w:r>
      <w:r>
        <w:rPr>
          <w:szCs w:val="32"/>
        </w:rPr>
        <w:t>万元。</w:t>
      </w:r>
    </w:p>
    <w:p w14:paraId="66595B31">
      <w:pPr>
        <w:spacing w:line="520" w:lineRule="exact"/>
        <w:ind w:firstLine="632" w:firstLineChars="200"/>
        <w:rPr>
          <w:szCs w:val="32"/>
        </w:rPr>
      </w:pPr>
      <w:r>
        <w:rPr>
          <w:rFonts w:hint="eastAsia" w:hAnsi="方正楷体_GBK" w:eastAsia="方正楷体_GBK"/>
          <w:szCs w:val="32"/>
        </w:rPr>
        <w:t>（四）</w:t>
      </w:r>
      <w:r>
        <w:rPr>
          <w:rFonts w:hAnsi="方正楷体_GBK" w:eastAsia="方正楷体_GBK"/>
          <w:szCs w:val="32"/>
        </w:rPr>
        <w:t>全面推进基层政务公开标准化规范化</w:t>
      </w:r>
      <w:r>
        <w:rPr>
          <w:rFonts w:hAnsi="方正仿宋_GBK"/>
          <w:szCs w:val="32"/>
        </w:rPr>
        <w:t>。</w:t>
      </w:r>
      <w:r>
        <w:rPr>
          <w:rFonts w:hint="eastAsia"/>
          <w:szCs w:val="32"/>
        </w:rPr>
        <w:t>2023年不断加大政务公开力度和范围，政务工作的透明度，及时公开了局领导信息、机关简介及机构职能、规划自然资源领域基层政务公开栏目等方面的信息。2023年在丰都县规划和自然资源局门户网上主动公开政府信息115项；在市级征地信息公开网上主动公开征地信息15项；在土地市场动态监测与监管系统网站主动公开招投标公示、公开土地出让及地价公示信息13项。在政务服务网上大厅公开行政许可事项33个、行政权力事项办事指南244个。2023年我局共办结行政权力事项259个，其中行政处罚20个、行政许可143个、行政确认25个、公共服务10个、其他行政权力61个。</w:t>
      </w:r>
    </w:p>
    <w:p w14:paraId="0BE900B2">
      <w:pPr>
        <w:spacing w:line="520" w:lineRule="exact"/>
        <w:ind w:firstLine="632" w:firstLineChars="200"/>
        <w:rPr>
          <w:szCs w:val="32"/>
        </w:rPr>
      </w:pPr>
      <w:r>
        <w:rPr>
          <w:rFonts w:hint="eastAsia" w:hAnsi="方正楷体_GBK" w:eastAsia="方正楷体_GBK"/>
          <w:szCs w:val="32"/>
        </w:rPr>
        <w:t>（五）深入开展扫黑除恶斗争常态化工作。</w:t>
      </w:r>
      <w:r>
        <w:rPr>
          <w:rFonts w:hint="eastAsia"/>
          <w:szCs w:val="32"/>
        </w:rPr>
        <w:t>一是建立由局主要领导任组长，分管领导任副组长，下属机构科室及事业单位负责人为成员的专项工作领导小组，领导小组下设办公室于政策法规科负责日常工作；二是畅通涉黑涉恶举报渠道，发动群众举报，在局机关显目位置设置举报信箱，建立涉黑涉恶问题线索管理台账，并指定专人负责，确保件件有着落；三是通过中心组学习、职工大会等多种形式组织广大职工深入学习各级关于扫黑除恶专项斗争的精神，全面提高职工对扫黑除恶斗争的认识，全年共制作宣传展板3块、横幅9条，发放宣传资料500余份，滚动播放视频1万余次。</w:t>
      </w:r>
    </w:p>
    <w:p w14:paraId="55B9E68C">
      <w:pPr>
        <w:spacing w:line="520" w:lineRule="exact"/>
        <w:ind w:firstLine="632" w:firstLineChars="200"/>
        <w:rPr>
          <w:rFonts w:hAnsi="方正仿宋_GBK"/>
          <w:szCs w:val="32"/>
        </w:rPr>
      </w:pPr>
      <w:r>
        <w:rPr>
          <w:rFonts w:hint="eastAsia" w:hAnsi="方正楷体_GBK" w:eastAsia="方正楷体_GBK"/>
          <w:szCs w:val="32"/>
        </w:rPr>
        <w:t>（六）进一步加强行政应诉和行政复议工作。</w:t>
      </w:r>
      <w:r>
        <w:rPr>
          <w:rFonts w:hAnsi="方正仿宋_GBK"/>
          <w:szCs w:val="32"/>
        </w:rPr>
        <w:t>一是</w:t>
      </w:r>
      <w:r>
        <w:rPr>
          <w:rFonts w:hint="eastAsia" w:hAnsi="方正仿宋_GBK"/>
          <w:szCs w:val="32"/>
        </w:rPr>
        <w:t>积极落实</w:t>
      </w:r>
      <w:r>
        <w:rPr>
          <w:rFonts w:hAnsi="方正仿宋_GBK"/>
          <w:szCs w:val="32"/>
        </w:rPr>
        <w:t>《最高人民法院关于行政机关负责人出庭应诉若干问题的规定》</w:t>
      </w:r>
      <w:r>
        <w:rPr>
          <w:rFonts w:hint="eastAsia" w:hAnsi="方正仿宋_GBK"/>
          <w:szCs w:val="32"/>
        </w:rPr>
        <w:t>、</w:t>
      </w:r>
      <w:r>
        <w:rPr>
          <w:rFonts w:hAnsi="方正仿宋_GBK"/>
          <w:szCs w:val="32"/>
        </w:rPr>
        <w:t>《重庆市高级人民法院关于落实行政机关负责人出庭应诉制度的暂行规定的通知》</w:t>
      </w:r>
      <w:r>
        <w:rPr>
          <w:rFonts w:hint="eastAsia" w:hAnsi="方正仿宋_GBK"/>
          <w:szCs w:val="32"/>
        </w:rPr>
        <w:t>文件精神，严格规范行政机关负责人行政诉讼出庭应诉行为，行政机关负责人出庭率达到100％的工作要求；二是</w:t>
      </w:r>
      <w:r>
        <w:rPr>
          <w:rFonts w:hAnsi="方正仿宋_GBK"/>
          <w:szCs w:val="32"/>
        </w:rPr>
        <w:t>充分发挥法律顾问的作用，聘用3名法律顾问积极参与规划自然资源领域改革政策研究、重大疑难执法决定的研究并提供相关法律意见</w:t>
      </w:r>
      <w:r>
        <w:rPr>
          <w:rFonts w:hint="eastAsia" w:hAnsi="方正仿宋_GBK"/>
          <w:szCs w:val="32"/>
        </w:rPr>
        <w:t>；三</w:t>
      </w:r>
      <w:r>
        <w:rPr>
          <w:rFonts w:hAnsi="方正仿宋_GBK"/>
          <w:szCs w:val="32"/>
        </w:rPr>
        <w:t>是强化证据意识，确保收集证据合法有效，能够相互印证，形成完整证据链条，提高行政复议和行政诉讼当中的证明力，减少复议被纠错和行政诉讼败诉案件，202</w:t>
      </w:r>
      <w:r>
        <w:rPr>
          <w:rFonts w:hint="eastAsia" w:hAnsi="方正仿宋_GBK"/>
          <w:szCs w:val="32"/>
        </w:rPr>
        <w:t>3</w:t>
      </w:r>
      <w:r>
        <w:rPr>
          <w:rFonts w:hAnsi="方正仿宋_GBK"/>
          <w:szCs w:val="32"/>
        </w:rPr>
        <w:t>年</w:t>
      </w:r>
      <w:r>
        <w:rPr>
          <w:rFonts w:hint="eastAsia" w:hAnsi="方正仿宋_GBK"/>
          <w:szCs w:val="32"/>
        </w:rPr>
        <w:t>，</w:t>
      </w:r>
      <w:r>
        <w:rPr>
          <w:rFonts w:hAnsi="方正仿宋_GBK"/>
          <w:szCs w:val="32"/>
        </w:rPr>
        <w:t>我局行政诉讼应诉</w:t>
      </w:r>
      <w:r>
        <w:rPr>
          <w:rFonts w:hint="eastAsia" w:hAnsi="方正仿宋_GBK"/>
          <w:szCs w:val="32"/>
        </w:rPr>
        <w:t>24</w:t>
      </w:r>
      <w:r>
        <w:rPr>
          <w:rFonts w:hAnsi="方正仿宋_GBK"/>
          <w:szCs w:val="32"/>
        </w:rPr>
        <w:t>件，行政复议</w:t>
      </w:r>
      <w:r>
        <w:rPr>
          <w:rFonts w:hint="eastAsia" w:hAnsi="方正仿宋_GBK"/>
          <w:szCs w:val="32"/>
        </w:rPr>
        <w:t>8</w:t>
      </w:r>
      <w:r>
        <w:rPr>
          <w:rFonts w:hAnsi="方正仿宋_GBK"/>
          <w:szCs w:val="32"/>
        </w:rPr>
        <w:t>件。</w:t>
      </w:r>
    </w:p>
    <w:p w14:paraId="23B75D3C">
      <w:pPr>
        <w:spacing w:line="520" w:lineRule="exact"/>
        <w:ind w:firstLine="632" w:firstLineChars="200"/>
        <w:rPr>
          <w:szCs w:val="32"/>
          <w:highlight w:val="red"/>
        </w:rPr>
      </w:pPr>
      <w:r>
        <w:rPr>
          <w:rFonts w:hint="eastAsia" w:hAnsi="方正楷体_GBK" w:eastAsia="方正楷体_GBK"/>
          <w:szCs w:val="32"/>
        </w:rPr>
        <w:t>（七）扎实开展矛盾纠纷调解工作。</w:t>
      </w:r>
      <w:r>
        <w:rPr>
          <w:rFonts w:hint="eastAsia" w:hAnsi="方正仿宋_GBK"/>
          <w:szCs w:val="32"/>
        </w:rPr>
        <w:t>2023年，我局以信访工作法治化试点为契机，进一步提升办理质效。一是成立丰都县规划和自然资源局行政调解室、丰都县征收拆迁纠纷人民调解委员会，有效预防和妥善处理集体土地征地拆迁矛盾纠纷；二是制定并印发《2023年矛盾纠纷“大排查大起底大化解”专项行动工作方案》、《2023年关于仙女湖镇金竹苑项目退房退款事项的整改方案》、《2023年信访重点案件集中攻坚工作方案》等文件，将调解工作与重大风险防范、信访稳定和扫黑除恶专项斗争和单位业务工作进行同研究、同安排、同部署、同落实；三是严格</w:t>
      </w:r>
      <w:r>
        <w:rPr>
          <w:rFonts w:hint="eastAsia" w:ascii="方正仿宋_GBK" w:hAnsi="方正仿宋_GBK" w:cs="方正仿宋_GBK"/>
          <w:color w:val="000000"/>
          <w:sz w:val="31"/>
          <w:szCs w:val="31"/>
        </w:rPr>
        <w:t>落实诉访分离制度，对不属于信访解决事项积极引导走司法程序。同时</w:t>
      </w:r>
      <w:r>
        <w:rPr>
          <w:rFonts w:hint="eastAsia" w:hAnsi="方正仿宋_GBK"/>
          <w:szCs w:val="32"/>
        </w:rPr>
        <w:t>着力防范化解信访积案、陈年老案等“疑难杂症”调解工作，全年共化解信访积案3件。</w:t>
      </w:r>
    </w:p>
    <w:p w14:paraId="1F2F4497">
      <w:pPr>
        <w:spacing w:line="520" w:lineRule="exact"/>
        <w:ind w:firstLine="632" w:firstLineChars="200"/>
        <w:rPr>
          <w:szCs w:val="32"/>
        </w:rPr>
      </w:pPr>
      <w:r>
        <w:rPr>
          <w:rFonts w:hAnsi="方正楷体_GBK" w:eastAsia="方正楷体_GBK"/>
          <w:szCs w:val="32"/>
        </w:rPr>
        <w:t>（</w:t>
      </w:r>
      <w:r>
        <w:rPr>
          <w:rFonts w:hint="eastAsia" w:hAnsi="方正楷体_GBK" w:eastAsia="方正楷体_GBK"/>
          <w:szCs w:val="32"/>
        </w:rPr>
        <w:t>八</w:t>
      </w:r>
      <w:r>
        <w:rPr>
          <w:rFonts w:hAnsi="方正楷体_GBK" w:eastAsia="方正楷体_GBK"/>
          <w:szCs w:val="32"/>
        </w:rPr>
        <w:t>）</w:t>
      </w:r>
      <w:r>
        <w:rPr>
          <w:rFonts w:hint="eastAsia" w:hAnsi="方正楷体_GBK" w:eastAsia="方正楷体_GBK"/>
          <w:szCs w:val="32"/>
        </w:rPr>
        <w:t>深入</w:t>
      </w:r>
      <w:r>
        <w:rPr>
          <w:rFonts w:hAnsi="方正楷体_GBK" w:eastAsia="方正楷体_GBK"/>
          <w:szCs w:val="32"/>
        </w:rPr>
        <w:t>开展法治宣传教育。</w:t>
      </w:r>
      <w:r>
        <w:rPr>
          <w:rFonts w:hint="eastAsia" w:hAnsi="方正楷体_GBK" w:eastAsia="方正楷体_GBK"/>
          <w:szCs w:val="32"/>
        </w:rPr>
        <w:t>一是</w:t>
      </w:r>
      <w:r>
        <w:rPr>
          <w:rFonts w:hint="eastAsia"/>
          <w:szCs w:val="32"/>
        </w:rPr>
        <w:t>印发《集中开展解债服务类非法金融风险专项排查整治行动工作方案》《防范处置非法集资工作方案》《全民反诈工作方案的通知》《2023年“4</w:t>
      </w:r>
      <w:r>
        <w:rPr>
          <w:rFonts w:hint="eastAsia"/>
          <w:color w:val="000000"/>
        </w:rPr>
        <w:t>·</w:t>
      </w:r>
      <w:r>
        <w:rPr>
          <w:rFonts w:hint="eastAsia"/>
          <w:szCs w:val="32"/>
        </w:rPr>
        <w:t>15国家安全教育日宣传活动方案》《第54个世界地球日宣传方案》等文件；二</w:t>
      </w:r>
      <w:r>
        <w:rPr>
          <w:rFonts w:hint="eastAsia" w:hAnsi="方正楷体_GBK" w:eastAsia="方正楷体_GBK"/>
          <w:szCs w:val="32"/>
        </w:rPr>
        <w:t>是</w:t>
      </w:r>
      <w:r>
        <w:rPr>
          <w:rFonts w:hint="eastAsia"/>
          <w:szCs w:val="32"/>
        </w:rPr>
        <w:t>针对当前自然资源工作特点，土地基本国情、国策等内容制定《2023年普法工作计划》，并在“4</w:t>
      </w:r>
      <w:r>
        <w:rPr>
          <w:rFonts w:hint="eastAsia"/>
          <w:color w:val="000000"/>
        </w:rPr>
        <w:t>·</w:t>
      </w:r>
      <w:r>
        <w:rPr>
          <w:rFonts w:hint="eastAsia"/>
          <w:szCs w:val="32"/>
        </w:rPr>
        <w:t>22”世界地球日、“6</w:t>
      </w:r>
      <w:r>
        <w:rPr>
          <w:rFonts w:hint="eastAsia"/>
          <w:color w:val="000000"/>
        </w:rPr>
        <w:t>·</w:t>
      </w:r>
      <w:r>
        <w:rPr>
          <w:rFonts w:hint="eastAsia"/>
          <w:szCs w:val="32"/>
        </w:rPr>
        <w:t>25”全国土地日、</w:t>
      </w:r>
      <w:r>
        <w:rPr>
          <w:rFonts w:hint="eastAsia"/>
          <w:color w:val="000000"/>
        </w:rPr>
        <w:t>“12·4”</w:t>
      </w:r>
      <w:r>
        <w:rPr>
          <w:rFonts w:hint="eastAsia"/>
          <w:szCs w:val="32"/>
        </w:rPr>
        <w:t>国家宪法日组织普法宣传，</w:t>
      </w:r>
      <w:r>
        <w:rPr>
          <w:szCs w:val="32"/>
        </w:rPr>
        <w:t>全年共计制作宣传海报</w:t>
      </w:r>
      <w:r>
        <w:rPr>
          <w:rFonts w:hint="eastAsia"/>
          <w:szCs w:val="32"/>
        </w:rPr>
        <w:t>30</w:t>
      </w:r>
      <w:r>
        <w:rPr>
          <w:szCs w:val="32"/>
        </w:rPr>
        <w:t>幅</w:t>
      </w:r>
      <w:r>
        <w:rPr>
          <w:rFonts w:hint="eastAsia"/>
          <w:szCs w:val="32"/>
        </w:rPr>
        <w:t>，</w:t>
      </w:r>
      <w:r>
        <w:rPr>
          <w:szCs w:val="32"/>
        </w:rPr>
        <w:t>制作宣传横幅</w:t>
      </w:r>
      <w:r>
        <w:rPr>
          <w:rFonts w:hint="eastAsia"/>
          <w:szCs w:val="32"/>
        </w:rPr>
        <w:t>10</w:t>
      </w:r>
      <w:r>
        <w:rPr>
          <w:szCs w:val="32"/>
        </w:rPr>
        <w:t>幅，印发宣传传单</w:t>
      </w:r>
      <w:r>
        <w:rPr>
          <w:rFonts w:hint="eastAsia"/>
          <w:szCs w:val="32"/>
        </w:rPr>
        <w:t>5</w:t>
      </w:r>
      <w:r>
        <w:rPr>
          <w:szCs w:val="32"/>
        </w:rPr>
        <w:t>000份（涉及耕地保护、全民反诈骗、非法集资、国家安全等）</w:t>
      </w:r>
      <w:r>
        <w:rPr>
          <w:rFonts w:hint="eastAsia"/>
          <w:szCs w:val="32"/>
        </w:rPr>
        <w:t>；三是在局大厅LED显示屏滚动播放宣传国家安全、全民反诈、民法典、非法集资、宪法、非法集资等普法宣传视频，累计滚动播放5万余次。</w:t>
      </w:r>
    </w:p>
    <w:p w14:paraId="2C344D47">
      <w:pPr>
        <w:pStyle w:val="8"/>
        <w:widowControl/>
        <w:spacing w:line="600" w:lineRule="atLeast"/>
        <w:ind w:firstLine="630"/>
        <w:textAlignment w:val="baseline"/>
        <w:rPr>
          <w:rFonts w:ascii="Times New Roman" w:hAnsi="方正黑体_GBK" w:eastAsia="方正黑体_GBK"/>
          <w:sz w:val="32"/>
          <w:szCs w:val="32"/>
        </w:rPr>
      </w:pPr>
      <w:r>
        <w:rPr>
          <w:rFonts w:hint="eastAsia" w:ascii="Times New Roman" w:hAnsi="方正黑体_GBK" w:eastAsia="方正黑体_GBK"/>
          <w:sz w:val="32"/>
          <w:szCs w:val="32"/>
        </w:rPr>
        <w:t>二、</w:t>
      </w:r>
      <w:r>
        <w:rPr>
          <w:rFonts w:ascii="Times New Roman" w:hAnsi="方正黑体_GBK" w:eastAsia="方正黑体_GBK"/>
          <w:sz w:val="32"/>
          <w:szCs w:val="32"/>
        </w:rPr>
        <w:t>2023</w:t>
      </w:r>
      <w:r>
        <w:rPr>
          <w:rFonts w:hint="eastAsia" w:ascii="Times New Roman" w:hAnsi="方正黑体_GBK" w:eastAsia="方正黑体_GBK"/>
          <w:sz w:val="32"/>
          <w:szCs w:val="32"/>
        </w:rPr>
        <w:t>年党政主要负责人履行推进法治建设第一责任人职责，加强法治政府建设的有关情况</w:t>
      </w:r>
    </w:p>
    <w:p w14:paraId="587CADE9">
      <w:pPr>
        <w:adjustRightInd w:val="0"/>
        <w:spacing w:line="520" w:lineRule="exact"/>
        <w:ind w:firstLine="632" w:firstLineChars="200"/>
        <w:rPr>
          <w:rFonts w:hAnsi="方正仿宋_GBK"/>
          <w:szCs w:val="32"/>
        </w:rPr>
      </w:pPr>
      <w:r>
        <w:rPr>
          <w:rFonts w:hint="eastAsia" w:hAnsi="方正仿宋_GBK"/>
          <w:szCs w:val="32"/>
        </w:rPr>
        <w:t>一是加强组织领导，提升法治思维和法治能力。严格按文件要求执行法治政府建设第一责任人制度，坚持依法行政、依法履职。把法治政府建设工作列入重要议事日程，成立了丰都县规划和自然资源局法治政府建设工作领导小组。建立依法行政工作一把手亲自抓、分管领导具体抓、业务科室协同抓，全局干部职工积极参与的工作格局。</w:t>
      </w:r>
    </w:p>
    <w:p w14:paraId="26092D6C">
      <w:pPr>
        <w:adjustRightInd w:val="0"/>
        <w:spacing w:line="520" w:lineRule="exact"/>
        <w:ind w:firstLine="632" w:firstLineChars="200"/>
        <w:rPr>
          <w:rFonts w:hAnsi="方正仿宋_GBK"/>
          <w:szCs w:val="32"/>
        </w:rPr>
      </w:pPr>
      <w:r>
        <w:rPr>
          <w:rFonts w:hint="eastAsia" w:hAnsi="方正仿宋_GBK"/>
          <w:szCs w:val="32"/>
        </w:rPr>
        <w:t>二是深入学习贯彻党的二十大精神，扎实开展理论知识学习培训。局主要领导带领班子成员认真学习领会法治建设相关文件精神，把</w:t>
      </w:r>
      <w:r>
        <w:rPr>
          <w:rFonts w:hint="eastAsia" w:hAnsi="方正仿宋_GBK"/>
          <w:szCs w:val="32"/>
          <w:lang w:eastAsia="zh-CN"/>
        </w:rPr>
        <w:t>学习习近平法治思想</w:t>
      </w:r>
      <w:r>
        <w:rPr>
          <w:rFonts w:hint="eastAsia" w:hAnsi="方正仿宋_GBK"/>
          <w:szCs w:val="32"/>
        </w:rPr>
        <w:t>、《信访工作条例》《中华人民共和国宪法》、《中华人民共和国民法典》、党章及党内法规等纳入党组理论学习中心组学习内容，全年开展党组理论学习</w:t>
      </w:r>
      <w:r>
        <w:rPr>
          <w:rFonts w:hAnsi="方正仿宋_GBK"/>
          <w:szCs w:val="32"/>
        </w:rPr>
        <w:t>中心组</w:t>
      </w:r>
      <w:bookmarkStart w:id="0" w:name="_GoBack"/>
      <w:bookmarkEnd w:id="0"/>
      <w:r>
        <w:rPr>
          <w:rFonts w:hAnsi="方正仿宋_GBK"/>
          <w:szCs w:val="32"/>
        </w:rPr>
        <w:t>学习</w:t>
      </w:r>
      <w:r>
        <w:rPr>
          <w:rFonts w:hint="eastAsia"/>
          <w:szCs w:val="32"/>
        </w:rPr>
        <w:t>11</w:t>
      </w:r>
      <w:r>
        <w:rPr>
          <w:rFonts w:hAnsi="方正仿宋_GBK"/>
          <w:szCs w:val="32"/>
        </w:rPr>
        <w:t>次</w:t>
      </w:r>
      <w:r>
        <w:rPr>
          <w:rFonts w:hint="eastAsia" w:hAnsi="方正仿宋_GBK"/>
          <w:szCs w:val="32"/>
        </w:rPr>
        <w:t>。</w:t>
      </w:r>
    </w:p>
    <w:p w14:paraId="342F700B">
      <w:pPr>
        <w:adjustRightInd w:val="0"/>
        <w:spacing w:line="520" w:lineRule="exact"/>
        <w:ind w:firstLine="632" w:firstLineChars="200"/>
        <w:rPr>
          <w:rFonts w:hAnsi="方正仿宋_GBK"/>
          <w:szCs w:val="32"/>
        </w:rPr>
      </w:pPr>
      <w:r>
        <w:rPr>
          <w:rFonts w:hint="eastAsia" w:hAnsi="方正仿宋_GBK"/>
          <w:szCs w:val="32"/>
        </w:rPr>
        <w:t>三是认真贯彻执行党的民主集中制原则。提</w:t>
      </w:r>
      <w:r>
        <w:rPr>
          <w:rFonts w:hAnsi="方正仿宋_GBK"/>
          <w:szCs w:val="32"/>
        </w:rPr>
        <w:t>高决策规范化、制度化水平，</w:t>
      </w:r>
      <w:r>
        <w:rPr>
          <w:rFonts w:hint="eastAsia" w:hAnsi="方正仿宋_GBK"/>
          <w:szCs w:val="32"/>
        </w:rPr>
        <w:t>履行</w:t>
      </w:r>
      <w:r>
        <w:rPr>
          <w:rFonts w:hAnsi="方正仿宋_GBK"/>
          <w:szCs w:val="32"/>
        </w:rPr>
        <w:t>重大疑难问题集体讨论机制，坚持依法、民主、集体讨论决定重大决策</w:t>
      </w:r>
      <w:r>
        <w:rPr>
          <w:rFonts w:hint="eastAsia" w:hAnsi="方正仿宋_GBK"/>
          <w:szCs w:val="32"/>
        </w:rPr>
        <w:t>，</w:t>
      </w:r>
      <w:r>
        <w:rPr>
          <w:rFonts w:hAnsi="方正仿宋_GBK"/>
          <w:szCs w:val="32"/>
        </w:rPr>
        <w:t>传达、学习贯彻中市县重要会议、文件精神，集体讨论决定本单位重大事项决策、大额度资金使用等，</w:t>
      </w:r>
      <w:r>
        <w:rPr>
          <w:rFonts w:hint="eastAsia" w:hAnsi="方正仿宋_GBK"/>
          <w:szCs w:val="32"/>
        </w:rPr>
        <w:t>全年召开</w:t>
      </w:r>
      <w:r>
        <w:rPr>
          <w:rFonts w:hAnsi="方正仿宋_GBK"/>
          <w:szCs w:val="32"/>
        </w:rPr>
        <w:t>党组会议</w:t>
      </w:r>
      <w:r>
        <w:rPr>
          <w:rFonts w:hint="eastAsia"/>
          <w:szCs w:val="32"/>
        </w:rPr>
        <w:t>25</w:t>
      </w:r>
      <w:r>
        <w:rPr>
          <w:rFonts w:hAnsi="方正仿宋_GBK"/>
          <w:szCs w:val="32"/>
        </w:rPr>
        <w:t>次</w:t>
      </w:r>
      <w:r>
        <w:rPr>
          <w:rFonts w:hint="eastAsia" w:hAnsi="方正仿宋_GBK"/>
          <w:szCs w:val="32"/>
        </w:rPr>
        <w:t>、</w:t>
      </w:r>
      <w:r>
        <w:rPr>
          <w:rFonts w:hAnsi="方正仿宋_GBK"/>
          <w:szCs w:val="32"/>
        </w:rPr>
        <w:t>行政办公会</w:t>
      </w:r>
      <w:r>
        <w:rPr>
          <w:rFonts w:hint="eastAsia" w:hAnsi="方正仿宋_GBK"/>
          <w:szCs w:val="32"/>
        </w:rPr>
        <w:t>2次。</w:t>
      </w:r>
    </w:p>
    <w:p w14:paraId="15930BF8">
      <w:pPr>
        <w:pStyle w:val="3"/>
        <w:spacing w:line="520" w:lineRule="exact"/>
        <w:ind w:firstLine="632"/>
        <w:rPr>
          <w:rFonts w:ascii="Times New Roman" w:hAnsi="Times New Roman" w:eastAsia="方正黑体_GBK"/>
          <w:szCs w:val="32"/>
        </w:rPr>
      </w:pPr>
      <w:r>
        <w:rPr>
          <w:rFonts w:hint="eastAsia" w:ascii="Times New Roman" w:hAnsi="方正黑体_GBK" w:eastAsia="方正黑体_GBK"/>
          <w:sz w:val="32"/>
          <w:szCs w:val="32"/>
        </w:rPr>
        <w:t>三、</w:t>
      </w:r>
      <w:r>
        <w:rPr>
          <w:rFonts w:ascii="Times New Roman" w:hAnsi="方正黑体_GBK" w:eastAsia="方正黑体_GBK"/>
          <w:sz w:val="32"/>
          <w:szCs w:val="32"/>
        </w:rPr>
        <w:t>推进法治政府建设工作中存在的不足和原因</w:t>
      </w:r>
    </w:p>
    <w:p w14:paraId="74C09502">
      <w:pPr>
        <w:spacing w:line="520" w:lineRule="exact"/>
        <w:ind w:firstLine="632" w:firstLineChars="200"/>
        <w:rPr>
          <w:szCs w:val="32"/>
        </w:rPr>
      </w:pPr>
      <w:r>
        <w:rPr>
          <w:rFonts w:hint="eastAsia"/>
          <w:szCs w:val="32"/>
        </w:rPr>
        <w:t>一是法治宣传教育的形式仍然较为单一，常态化学法普法措施还需进一步加强；二是干部职工法治思维解决问题的能力参差不齐，部分干部职工运用法治思维和法治方式解决矛盾和问题的能力还需进一步提升；三是单位间的协调配合能力还需进一步加强，部门间还存在信息壁垒，信息成果未实现全面共享。</w:t>
      </w:r>
    </w:p>
    <w:p w14:paraId="2C4667D6">
      <w:pPr>
        <w:pStyle w:val="8"/>
        <w:widowControl/>
        <w:spacing w:line="600" w:lineRule="atLeast"/>
        <w:ind w:firstLine="630"/>
        <w:textAlignment w:val="baseline"/>
        <w:rPr>
          <w:rFonts w:ascii="sans-serif" w:hAnsi="sans-serif" w:eastAsia="sans-serif" w:cs="sans-serif"/>
          <w:color w:val="000000"/>
          <w:sz w:val="27"/>
          <w:szCs w:val="27"/>
        </w:rPr>
      </w:pPr>
      <w:r>
        <w:rPr>
          <w:rFonts w:hint="eastAsia" w:ascii="方正黑体_GBK" w:hAnsi="方正黑体_GBK" w:eastAsia="方正黑体_GBK" w:cs="方正黑体_GBK"/>
          <w:color w:val="000000"/>
          <w:sz w:val="31"/>
          <w:szCs w:val="31"/>
        </w:rPr>
        <w:t>四、</w:t>
      </w:r>
      <w:r>
        <w:rPr>
          <w:rFonts w:ascii="Times New Roman" w:hAnsi="Times New Roman" w:eastAsia="sans-serif"/>
          <w:color w:val="000000"/>
          <w:sz w:val="31"/>
          <w:szCs w:val="31"/>
        </w:rPr>
        <w:t>2024</w:t>
      </w:r>
      <w:r>
        <w:rPr>
          <w:rFonts w:hint="eastAsia" w:ascii="方正黑体_GBK" w:hAnsi="方正黑体_GBK" w:eastAsia="方正黑体_GBK" w:cs="方正黑体_GBK"/>
          <w:color w:val="000000"/>
          <w:sz w:val="31"/>
          <w:szCs w:val="31"/>
        </w:rPr>
        <w:t>年推进法治政府建设的工作思路、目标举措</w:t>
      </w:r>
    </w:p>
    <w:p w14:paraId="49EBEC2A">
      <w:pPr>
        <w:spacing w:line="520" w:lineRule="exact"/>
        <w:ind w:firstLine="632" w:firstLineChars="200"/>
        <w:rPr>
          <w:szCs w:val="32"/>
        </w:rPr>
      </w:pPr>
      <w:r>
        <w:rPr>
          <w:rFonts w:hint="eastAsia"/>
          <w:szCs w:val="32"/>
        </w:rPr>
        <w:t>（一）深入学习宣传贯彻习近平总书记全面依法治国新理念新思想新战略。以习近平新时代中国特色社会主义思想为指导，全面贯彻落实市委六届二次、三次、四次全会和市委经济工作会议及县委十五届七次全会和县委经济工作会等会议精神，强化尊法学法用法意识，提高运用法治思维和法治方式深化改革、推动发展、化解矛盾、维护稳定、应对风险能力。</w:t>
      </w:r>
    </w:p>
    <w:p w14:paraId="45169921">
      <w:pPr>
        <w:spacing w:line="520" w:lineRule="exact"/>
        <w:ind w:firstLine="632" w:firstLineChars="200"/>
        <w:rPr>
          <w:szCs w:val="32"/>
        </w:rPr>
      </w:pPr>
      <w:r>
        <w:rPr>
          <w:rFonts w:hint="eastAsia"/>
          <w:szCs w:val="32"/>
        </w:rPr>
        <w:t>（二）深入开展法治宣传教育。建立健全普法工作宣传常态化机制，全面落实“谁执法谁普法”普法责任制，深入开展以案释法活动，加强法治宣传教育和法律服务。</w:t>
      </w:r>
    </w:p>
    <w:p w14:paraId="4D2A0299">
      <w:pPr>
        <w:spacing w:line="520" w:lineRule="exact"/>
        <w:ind w:firstLine="632" w:firstLineChars="200"/>
        <w:rPr>
          <w:szCs w:val="32"/>
        </w:rPr>
      </w:pPr>
      <w:r>
        <w:rPr>
          <w:rFonts w:hint="eastAsia"/>
          <w:szCs w:val="32"/>
        </w:rPr>
        <w:t>（三）坚持严格规范公正文明执法。全面推行行政执法公示制度、执法全过程记录制度、重大执法决定法制审核制度，改进和创新执法方式，建立健全行政执法风险防控机制，依法实施应急处置措施。</w:t>
      </w:r>
    </w:p>
    <w:p w14:paraId="1C5EB1AD">
      <w:pPr>
        <w:spacing w:line="520" w:lineRule="exact"/>
        <w:ind w:firstLine="632" w:firstLineChars="200"/>
        <w:rPr>
          <w:szCs w:val="32"/>
        </w:rPr>
      </w:pPr>
      <w:r>
        <w:rPr>
          <w:rFonts w:hint="eastAsia"/>
          <w:szCs w:val="32"/>
        </w:rPr>
        <w:t>（四）扎实推进依法执政。加强执法监督体系和能力建设，结合我局职能职责，深入推进重要领域和关键环节改革，深入实施“八五”普法规划，弘扬社会主义法治精神，充分发挥领导干部的示范带动作用，全面提升社会治理的法治化水平。</w:t>
      </w:r>
    </w:p>
    <w:p w14:paraId="70FA9F29">
      <w:pPr>
        <w:spacing w:line="520" w:lineRule="exact"/>
        <w:jc w:val="left"/>
        <w:rPr>
          <w:rFonts w:ascii="方正仿宋_GBK"/>
        </w:rPr>
      </w:pPr>
    </w:p>
    <w:p w14:paraId="29EB1E5E">
      <w:pPr>
        <w:spacing w:line="520" w:lineRule="exact"/>
        <w:ind w:firstLine="4740" w:firstLineChars="1500"/>
        <w:jc w:val="left"/>
        <w:rPr>
          <w:rFonts w:ascii="方正仿宋_GBK"/>
        </w:rPr>
      </w:pPr>
      <w:r>
        <w:rPr>
          <w:rFonts w:hint="eastAsia" w:ascii="方正仿宋_GBK"/>
        </w:rPr>
        <w:t xml:space="preserve">   丰都县规划和自然资源局</w:t>
      </w:r>
    </w:p>
    <w:p w14:paraId="0262C1F1">
      <w:pPr>
        <w:spacing w:line="520" w:lineRule="exact"/>
        <w:ind w:firstLine="5989" w:firstLineChars="1895"/>
        <w:jc w:val="left"/>
      </w:pPr>
      <w:r>
        <w:t>202</w:t>
      </w:r>
      <w:r>
        <w:rPr>
          <w:rFonts w:hint="eastAsia"/>
        </w:rPr>
        <w:t>4</w:t>
      </w:r>
      <w:r>
        <w:t>年</w:t>
      </w:r>
      <w:r>
        <w:rPr>
          <w:rFonts w:hint="eastAsia"/>
        </w:rPr>
        <w:t>1</w:t>
      </w:r>
      <w:r>
        <w:t>月</w:t>
      </w:r>
      <w:r>
        <w:rPr>
          <w:rFonts w:hint="eastAsia"/>
        </w:rPr>
        <w:t>22</w:t>
      </w:r>
      <w:r>
        <w:t>日</w:t>
      </w:r>
    </w:p>
    <w:sectPr>
      <w:footerReference r:id="rId3" w:type="default"/>
      <w:footerReference r:id="rId4"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C64F5">
    <w:pPr>
      <w:pStyle w:val="6"/>
      <w:ind w:right="360" w:firstLine="360"/>
      <w:jc w:val="right"/>
      <w:rPr>
        <w:sz w:val="28"/>
      </w:rPr>
    </w:pPr>
    <w:r>
      <w:rPr>
        <w:rStyle w:val="13"/>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rStyle w:val="13"/>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4E8F">
    <w:pPr>
      <w:pStyle w:val="6"/>
      <w:ind w:right="360" w:firstLine="360"/>
      <w:rPr>
        <w:sz w:val="28"/>
      </w:rPr>
    </w:pPr>
    <w:r>
      <w:rPr>
        <w:rStyle w:val="13"/>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rStyle w:val="13"/>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5"/>
  <w:evenAndOddHeaders w:val="1"/>
  <w:drawingGridHorizontalSpacing w:val="315"/>
  <w:drawingGridVerticalSpacing w:val="57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YjhiN2E3OWI5NWZiYzk3YzljMzZlNzFmNGYzOWZlNjcifQ=="/>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48C"/>
    <w:rsid w:val="00013BC2"/>
    <w:rsid w:val="00013FC5"/>
    <w:rsid w:val="000143FD"/>
    <w:rsid w:val="00014B91"/>
    <w:rsid w:val="000157AF"/>
    <w:rsid w:val="00015E64"/>
    <w:rsid w:val="00015EBA"/>
    <w:rsid w:val="00017121"/>
    <w:rsid w:val="000177C5"/>
    <w:rsid w:val="000208E0"/>
    <w:rsid w:val="00021D35"/>
    <w:rsid w:val="0002225C"/>
    <w:rsid w:val="000231D1"/>
    <w:rsid w:val="0002331B"/>
    <w:rsid w:val="000239A5"/>
    <w:rsid w:val="00023E38"/>
    <w:rsid w:val="0002417D"/>
    <w:rsid w:val="0002493A"/>
    <w:rsid w:val="00024B01"/>
    <w:rsid w:val="00025490"/>
    <w:rsid w:val="00026491"/>
    <w:rsid w:val="00026F0E"/>
    <w:rsid w:val="00026F90"/>
    <w:rsid w:val="000274E9"/>
    <w:rsid w:val="00030168"/>
    <w:rsid w:val="00030299"/>
    <w:rsid w:val="000308DB"/>
    <w:rsid w:val="00031173"/>
    <w:rsid w:val="00031C22"/>
    <w:rsid w:val="000325D8"/>
    <w:rsid w:val="00032977"/>
    <w:rsid w:val="00032ADA"/>
    <w:rsid w:val="00032B25"/>
    <w:rsid w:val="00032FAF"/>
    <w:rsid w:val="00033BC7"/>
    <w:rsid w:val="00035E05"/>
    <w:rsid w:val="00036140"/>
    <w:rsid w:val="00036CA4"/>
    <w:rsid w:val="00037023"/>
    <w:rsid w:val="00037166"/>
    <w:rsid w:val="00037262"/>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309"/>
    <w:rsid w:val="0005288B"/>
    <w:rsid w:val="000542B3"/>
    <w:rsid w:val="0005445F"/>
    <w:rsid w:val="000545F0"/>
    <w:rsid w:val="00055746"/>
    <w:rsid w:val="00056283"/>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5CF1"/>
    <w:rsid w:val="000761F2"/>
    <w:rsid w:val="000767F3"/>
    <w:rsid w:val="00080EFD"/>
    <w:rsid w:val="00084781"/>
    <w:rsid w:val="00085172"/>
    <w:rsid w:val="000858A8"/>
    <w:rsid w:val="00087844"/>
    <w:rsid w:val="000878C1"/>
    <w:rsid w:val="00091529"/>
    <w:rsid w:val="000917C2"/>
    <w:rsid w:val="00091AF4"/>
    <w:rsid w:val="00092641"/>
    <w:rsid w:val="00092DCC"/>
    <w:rsid w:val="00092FED"/>
    <w:rsid w:val="00094549"/>
    <w:rsid w:val="00094E26"/>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0E26"/>
    <w:rsid w:val="000C1C8F"/>
    <w:rsid w:val="000C2038"/>
    <w:rsid w:val="000C2609"/>
    <w:rsid w:val="000C34BC"/>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6804"/>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049D"/>
    <w:rsid w:val="000F2923"/>
    <w:rsid w:val="000F2FF3"/>
    <w:rsid w:val="000F34E2"/>
    <w:rsid w:val="000F510D"/>
    <w:rsid w:val="000F51C7"/>
    <w:rsid w:val="000F54A2"/>
    <w:rsid w:val="000F5AB1"/>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3B1F"/>
    <w:rsid w:val="00125E3B"/>
    <w:rsid w:val="0012609C"/>
    <w:rsid w:val="00126520"/>
    <w:rsid w:val="00126991"/>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02C"/>
    <w:rsid w:val="00145242"/>
    <w:rsid w:val="00145DF4"/>
    <w:rsid w:val="00145E1D"/>
    <w:rsid w:val="00145F70"/>
    <w:rsid w:val="00146709"/>
    <w:rsid w:val="00147138"/>
    <w:rsid w:val="0014789A"/>
    <w:rsid w:val="001508A5"/>
    <w:rsid w:val="001509A5"/>
    <w:rsid w:val="001524F0"/>
    <w:rsid w:val="00153246"/>
    <w:rsid w:val="0015389A"/>
    <w:rsid w:val="00153A3D"/>
    <w:rsid w:val="00154DD1"/>
    <w:rsid w:val="00155095"/>
    <w:rsid w:val="00155775"/>
    <w:rsid w:val="0015694C"/>
    <w:rsid w:val="00156A61"/>
    <w:rsid w:val="001578D5"/>
    <w:rsid w:val="00160456"/>
    <w:rsid w:val="00160E8A"/>
    <w:rsid w:val="00160F7A"/>
    <w:rsid w:val="00162C80"/>
    <w:rsid w:val="001644EB"/>
    <w:rsid w:val="00165C65"/>
    <w:rsid w:val="00165E94"/>
    <w:rsid w:val="00166911"/>
    <w:rsid w:val="00166EAB"/>
    <w:rsid w:val="00170182"/>
    <w:rsid w:val="00170523"/>
    <w:rsid w:val="00170B82"/>
    <w:rsid w:val="00171FC6"/>
    <w:rsid w:val="0017419F"/>
    <w:rsid w:val="001759DE"/>
    <w:rsid w:val="00175C23"/>
    <w:rsid w:val="0017638A"/>
    <w:rsid w:val="0017677B"/>
    <w:rsid w:val="0018041E"/>
    <w:rsid w:val="00180B55"/>
    <w:rsid w:val="00181320"/>
    <w:rsid w:val="00182365"/>
    <w:rsid w:val="001829CF"/>
    <w:rsid w:val="0018388A"/>
    <w:rsid w:val="00184836"/>
    <w:rsid w:val="00184880"/>
    <w:rsid w:val="001853F2"/>
    <w:rsid w:val="001866B9"/>
    <w:rsid w:val="001868F9"/>
    <w:rsid w:val="00190637"/>
    <w:rsid w:val="00190910"/>
    <w:rsid w:val="00190941"/>
    <w:rsid w:val="00190B5C"/>
    <w:rsid w:val="00192BD7"/>
    <w:rsid w:val="00192F3A"/>
    <w:rsid w:val="00194A52"/>
    <w:rsid w:val="00194B5C"/>
    <w:rsid w:val="00195D86"/>
    <w:rsid w:val="0019633C"/>
    <w:rsid w:val="00196D00"/>
    <w:rsid w:val="00197446"/>
    <w:rsid w:val="001A0CE8"/>
    <w:rsid w:val="001A20B9"/>
    <w:rsid w:val="001A355E"/>
    <w:rsid w:val="001A35F7"/>
    <w:rsid w:val="001A368C"/>
    <w:rsid w:val="001A3C53"/>
    <w:rsid w:val="001A3EB5"/>
    <w:rsid w:val="001A3EDE"/>
    <w:rsid w:val="001A5147"/>
    <w:rsid w:val="001A65A2"/>
    <w:rsid w:val="001A65A6"/>
    <w:rsid w:val="001A7BC4"/>
    <w:rsid w:val="001B01D0"/>
    <w:rsid w:val="001B03F0"/>
    <w:rsid w:val="001B1681"/>
    <w:rsid w:val="001B1E84"/>
    <w:rsid w:val="001B20BA"/>
    <w:rsid w:val="001B20DA"/>
    <w:rsid w:val="001B232E"/>
    <w:rsid w:val="001B236F"/>
    <w:rsid w:val="001B29D0"/>
    <w:rsid w:val="001B3A3F"/>
    <w:rsid w:val="001B4DA8"/>
    <w:rsid w:val="001B5281"/>
    <w:rsid w:val="001B5FA3"/>
    <w:rsid w:val="001B6981"/>
    <w:rsid w:val="001B6C61"/>
    <w:rsid w:val="001B6D91"/>
    <w:rsid w:val="001B6F66"/>
    <w:rsid w:val="001B74AE"/>
    <w:rsid w:val="001B796D"/>
    <w:rsid w:val="001B7CB0"/>
    <w:rsid w:val="001B7FB2"/>
    <w:rsid w:val="001C0AE4"/>
    <w:rsid w:val="001C12ED"/>
    <w:rsid w:val="001C2525"/>
    <w:rsid w:val="001C38EA"/>
    <w:rsid w:val="001C3D33"/>
    <w:rsid w:val="001C436D"/>
    <w:rsid w:val="001C43B5"/>
    <w:rsid w:val="001C586A"/>
    <w:rsid w:val="001C69ED"/>
    <w:rsid w:val="001C6D8F"/>
    <w:rsid w:val="001C7AA8"/>
    <w:rsid w:val="001C7F40"/>
    <w:rsid w:val="001D01DF"/>
    <w:rsid w:val="001D02B7"/>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1660"/>
    <w:rsid w:val="001E3E01"/>
    <w:rsid w:val="001E5DD4"/>
    <w:rsid w:val="001E6849"/>
    <w:rsid w:val="001E76B1"/>
    <w:rsid w:val="001E7EA3"/>
    <w:rsid w:val="001F07FD"/>
    <w:rsid w:val="001F0B0A"/>
    <w:rsid w:val="001F188B"/>
    <w:rsid w:val="001F1E53"/>
    <w:rsid w:val="001F345D"/>
    <w:rsid w:val="001F3CFF"/>
    <w:rsid w:val="001F44FA"/>
    <w:rsid w:val="001F4EFA"/>
    <w:rsid w:val="001F5290"/>
    <w:rsid w:val="001F5A35"/>
    <w:rsid w:val="001F5D80"/>
    <w:rsid w:val="001F6064"/>
    <w:rsid w:val="001F6855"/>
    <w:rsid w:val="001F6DA4"/>
    <w:rsid w:val="001F76DB"/>
    <w:rsid w:val="001F7943"/>
    <w:rsid w:val="00200800"/>
    <w:rsid w:val="00200EFD"/>
    <w:rsid w:val="00201000"/>
    <w:rsid w:val="002010BC"/>
    <w:rsid w:val="00201295"/>
    <w:rsid w:val="0020136C"/>
    <w:rsid w:val="00202F85"/>
    <w:rsid w:val="002033C9"/>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19B0"/>
    <w:rsid w:val="002220F6"/>
    <w:rsid w:val="00222EB0"/>
    <w:rsid w:val="0022355D"/>
    <w:rsid w:val="00224040"/>
    <w:rsid w:val="00224147"/>
    <w:rsid w:val="0022439F"/>
    <w:rsid w:val="002246D8"/>
    <w:rsid w:val="00225013"/>
    <w:rsid w:val="002258D9"/>
    <w:rsid w:val="0022621C"/>
    <w:rsid w:val="00226F12"/>
    <w:rsid w:val="00227095"/>
    <w:rsid w:val="0023028B"/>
    <w:rsid w:val="002316B7"/>
    <w:rsid w:val="00231F10"/>
    <w:rsid w:val="00232D70"/>
    <w:rsid w:val="00233FB8"/>
    <w:rsid w:val="002345F9"/>
    <w:rsid w:val="00235010"/>
    <w:rsid w:val="00235A9E"/>
    <w:rsid w:val="0023699F"/>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2F90"/>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67E00"/>
    <w:rsid w:val="00270AF8"/>
    <w:rsid w:val="002712E5"/>
    <w:rsid w:val="0027139B"/>
    <w:rsid w:val="00271879"/>
    <w:rsid w:val="00271B86"/>
    <w:rsid w:val="002721CE"/>
    <w:rsid w:val="002729B5"/>
    <w:rsid w:val="00275090"/>
    <w:rsid w:val="002753B4"/>
    <w:rsid w:val="00276BED"/>
    <w:rsid w:val="002802D2"/>
    <w:rsid w:val="00280EB5"/>
    <w:rsid w:val="00281675"/>
    <w:rsid w:val="00281BD8"/>
    <w:rsid w:val="00281BDD"/>
    <w:rsid w:val="00282903"/>
    <w:rsid w:val="0028300F"/>
    <w:rsid w:val="00283AD9"/>
    <w:rsid w:val="00284F27"/>
    <w:rsid w:val="0028529E"/>
    <w:rsid w:val="00286A81"/>
    <w:rsid w:val="00290369"/>
    <w:rsid w:val="00290500"/>
    <w:rsid w:val="0029229C"/>
    <w:rsid w:val="00292AD6"/>
    <w:rsid w:val="00292F3F"/>
    <w:rsid w:val="00294488"/>
    <w:rsid w:val="00294F1E"/>
    <w:rsid w:val="00295286"/>
    <w:rsid w:val="00295FDC"/>
    <w:rsid w:val="0029604E"/>
    <w:rsid w:val="002963BC"/>
    <w:rsid w:val="002965E4"/>
    <w:rsid w:val="0029667C"/>
    <w:rsid w:val="0029692F"/>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549"/>
    <w:rsid w:val="002B2777"/>
    <w:rsid w:val="002B2EE3"/>
    <w:rsid w:val="002B5135"/>
    <w:rsid w:val="002B7A47"/>
    <w:rsid w:val="002C1542"/>
    <w:rsid w:val="002C1AA8"/>
    <w:rsid w:val="002C20A7"/>
    <w:rsid w:val="002C293B"/>
    <w:rsid w:val="002C2F71"/>
    <w:rsid w:val="002C3B2A"/>
    <w:rsid w:val="002C5979"/>
    <w:rsid w:val="002C6013"/>
    <w:rsid w:val="002C667B"/>
    <w:rsid w:val="002C776E"/>
    <w:rsid w:val="002C79F6"/>
    <w:rsid w:val="002D00D5"/>
    <w:rsid w:val="002D1241"/>
    <w:rsid w:val="002D162B"/>
    <w:rsid w:val="002D2B3B"/>
    <w:rsid w:val="002D3A61"/>
    <w:rsid w:val="002D3AF1"/>
    <w:rsid w:val="002D3E81"/>
    <w:rsid w:val="002D479B"/>
    <w:rsid w:val="002D605E"/>
    <w:rsid w:val="002D66DF"/>
    <w:rsid w:val="002D698C"/>
    <w:rsid w:val="002D71D3"/>
    <w:rsid w:val="002E0141"/>
    <w:rsid w:val="002E1618"/>
    <w:rsid w:val="002E3E9F"/>
    <w:rsid w:val="002E5373"/>
    <w:rsid w:val="002E5E4E"/>
    <w:rsid w:val="002E792F"/>
    <w:rsid w:val="002F050A"/>
    <w:rsid w:val="002F05E5"/>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4966"/>
    <w:rsid w:val="00306347"/>
    <w:rsid w:val="00306AA4"/>
    <w:rsid w:val="0030749E"/>
    <w:rsid w:val="003076E2"/>
    <w:rsid w:val="003102BA"/>
    <w:rsid w:val="003112FF"/>
    <w:rsid w:val="00312B2A"/>
    <w:rsid w:val="00313459"/>
    <w:rsid w:val="00313EEA"/>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293"/>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87E"/>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1CD"/>
    <w:rsid w:val="00364A64"/>
    <w:rsid w:val="00364AC0"/>
    <w:rsid w:val="00365C22"/>
    <w:rsid w:val="0036617C"/>
    <w:rsid w:val="003670A0"/>
    <w:rsid w:val="00371599"/>
    <w:rsid w:val="00371B13"/>
    <w:rsid w:val="00372810"/>
    <w:rsid w:val="003728F2"/>
    <w:rsid w:val="00372E40"/>
    <w:rsid w:val="003759D3"/>
    <w:rsid w:val="00375A01"/>
    <w:rsid w:val="00376738"/>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199"/>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2AE6"/>
    <w:rsid w:val="003C30A5"/>
    <w:rsid w:val="003C36BD"/>
    <w:rsid w:val="003C3C7B"/>
    <w:rsid w:val="003C4A62"/>
    <w:rsid w:val="003C5963"/>
    <w:rsid w:val="003C5DAC"/>
    <w:rsid w:val="003C6F5B"/>
    <w:rsid w:val="003C730F"/>
    <w:rsid w:val="003C77A7"/>
    <w:rsid w:val="003C7E16"/>
    <w:rsid w:val="003D010F"/>
    <w:rsid w:val="003D0509"/>
    <w:rsid w:val="003D09EA"/>
    <w:rsid w:val="003D14CB"/>
    <w:rsid w:val="003D3543"/>
    <w:rsid w:val="003D3ABF"/>
    <w:rsid w:val="003D4493"/>
    <w:rsid w:val="003D5597"/>
    <w:rsid w:val="003D5CA0"/>
    <w:rsid w:val="003D61DD"/>
    <w:rsid w:val="003D74A3"/>
    <w:rsid w:val="003D760A"/>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144"/>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276"/>
    <w:rsid w:val="004148F8"/>
    <w:rsid w:val="00415354"/>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277"/>
    <w:rsid w:val="004414F7"/>
    <w:rsid w:val="0044204E"/>
    <w:rsid w:val="004422E1"/>
    <w:rsid w:val="00442BEA"/>
    <w:rsid w:val="00443407"/>
    <w:rsid w:val="00443E83"/>
    <w:rsid w:val="00444980"/>
    <w:rsid w:val="00445B10"/>
    <w:rsid w:val="00445FC8"/>
    <w:rsid w:val="00446F3A"/>
    <w:rsid w:val="004512C8"/>
    <w:rsid w:val="00451491"/>
    <w:rsid w:val="00452A7D"/>
    <w:rsid w:val="00455E90"/>
    <w:rsid w:val="0045639A"/>
    <w:rsid w:val="004563B2"/>
    <w:rsid w:val="00456A7A"/>
    <w:rsid w:val="00456F24"/>
    <w:rsid w:val="00456FE6"/>
    <w:rsid w:val="00457450"/>
    <w:rsid w:val="0045784F"/>
    <w:rsid w:val="004600BA"/>
    <w:rsid w:val="004603B7"/>
    <w:rsid w:val="00462D4A"/>
    <w:rsid w:val="00462E26"/>
    <w:rsid w:val="004634D9"/>
    <w:rsid w:val="004648E5"/>
    <w:rsid w:val="00464C6C"/>
    <w:rsid w:val="00464EEA"/>
    <w:rsid w:val="00466CDC"/>
    <w:rsid w:val="004670BA"/>
    <w:rsid w:val="004678D3"/>
    <w:rsid w:val="00467CB8"/>
    <w:rsid w:val="00467E5B"/>
    <w:rsid w:val="0047035B"/>
    <w:rsid w:val="004707C9"/>
    <w:rsid w:val="00470B85"/>
    <w:rsid w:val="004723E9"/>
    <w:rsid w:val="004726E6"/>
    <w:rsid w:val="00472AA6"/>
    <w:rsid w:val="004730AE"/>
    <w:rsid w:val="0047344A"/>
    <w:rsid w:val="004735E9"/>
    <w:rsid w:val="00473DA3"/>
    <w:rsid w:val="004748A5"/>
    <w:rsid w:val="004756FE"/>
    <w:rsid w:val="004757F9"/>
    <w:rsid w:val="00475856"/>
    <w:rsid w:val="0047618E"/>
    <w:rsid w:val="00476FEC"/>
    <w:rsid w:val="00477E99"/>
    <w:rsid w:val="00480ADB"/>
    <w:rsid w:val="00480F15"/>
    <w:rsid w:val="00480FB1"/>
    <w:rsid w:val="004813F7"/>
    <w:rsid w:val="00482441"/>
    <w:rsid w:val="00482F6C"/>
    <w:rsid w:val="00483044"/>
    <w:rsid w:val="004831A7"/>
    <w:rsid w:val="00484300"/>
    <w:rsid w:val="00484A69"/>
    <w:rsid w:val="0048528E"/>
    <w:rsid w:val="0048562D"/>
    <w:rsid w:val="004856BC"/>
    <w:rsid w:val="0048664A"/>
    <w:rsid w:val="00486B4A"/>
    <w:rsid w:val="00487B8D"/>
    <w:rsid w:val="00490890"/>
    <w:rsid w:val="0049102C"/>
    <w:rsid w:val="00491353"/>
    <w:rsid w:val="004918FD"/>
    <w:rsid w:val="00492BFD"/>
    <w:rsid w:val="00493354"/>
    <w:rsid w:val="00495974"/>
    <w:rsid w:val="004959C9"/>
    <w:rsid w:val="00497655"/>
    <w:rsid w:val="00497BEF"/>
    <w:rsid w:val="00497F64"/>
    <w:rsid w:val="004A04B3"/>
    <w:rsid w:val="004A1704"/>
    <w:rsid w:val="004A1974"/>
    <w:rsid w:val="004A1B93"/>
    <w:rsid w:val="004A1BD9"/>
    <w:rsid w:val="004A22B3"/>
    <w:rsid w:val="004A276A"/>
    <w:rsid w:val="004A27F8"/>
    <w:rsid w:val="004A3342"/>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5E91"/>
    <w:rsid w:val="004C602E"/>
    <w:rsid w:val="004C6C3F"/>
    <w:rsid w:val="004C7F48"/>
    <w:rsid w:val="004C7F91"/>
    <w:rsid w:val="004D0001"/>
    <w:rsid w:val="004D05A4"/>
    <w:rsid w:val="004D0BB4"/>
    <w:rsid w:val="004D2B5A"/>
    <w:rsid w:val="004D2FAE"/>
    <w:rsid w:val="004D371C"/>
    <w:rsid w:val="004D37D9"/>
    <w:rsid w:val="004D53E2"/>
    <w:rsid w:val="004D774B"/>
    <w:rsid w:val="004D7821"/>
    <w:rsid w:val="004E045E"/>
    <w:rsid w:val="004E0D71"/>
    <w:rsid w:val="004E2003"/>
    <w:rsid w:val="004E29B3"/>
    <w:rsid w:val="004E2FBC"/>
    <w:rsid w:val="004E34B5"/>
    <w:rsid w:val="004E4451"/>
    <w:rsid w:val="004E4AB6"/>
    <w:rsid w:val="004E5739"/>
    <w:rsid w:val="004E5B19"/>
    <w:rsid w:val="004E6476"/>
    <w:rsid w:val="004E6D38"/>
    <w:rsid w:val="004F03FB"/>
    <w:rsid w:val="004F075A"/>
    <w:rsid w:val="004F2856"/>
    <w:rsid w:val="004F2EF7"/>
    <w:rsid w:val="004F4E03"/>
    <w:rsid w:val="004F4E3A"/>
    <w:rsid w:val="004F4E6A"/>
    <w:rsid w:val="004F5572"/>
    <w:rsid w:val="004F632C"/>
    <w:rsid w:val="005009EA"/>
    <w:rsid w:val="00501FED"/>
    <w:rsid w:val="005037C9"/>
    <w:rsid w:val="0050495F"/>
    <w:rsid w:val="00504D06"/>
    <w:rsid w:val="00505A67"/>
    <w:rsid w:val="00505CF1"/>
    <w:rsid w:val="00506344"/>
    <w:rsid w:val="005063E2"/>
    <w:rsid w:val="005075C4"/>
    <w:rsid w:val="00510FD6"/>
    <w:rsid w:val="00511739"/>
    <w:rsid w:val="00511CF8"/>
    <w:rsid w:val="005124CF"/>
    <w:rsid w:val="00514E28"/>
    <w:rsid w:val="005154E5"/>
    <w:rsid w:val="00516A23"/>
    <w:rsid w:val="00517738"/>
    <w:rsid w:val="005177EA"/>
    <w:rsid w:val="00517C76"/>
    <w:rsid w:val="00521D36"/>
    <w:rsid w:val="00523D39"/>
    <w:rsid w:val="00525073"/>
    <w:rsid w:val="0052522F"/>
    <w:rsid w:val="005256B7"/>
    <w:rsid w:val="00526832"/>
    <w:rsid w:val="00527BE2"/>
    <w:rsid w:val="00527C67"/>
    <w:rsid w:val="0053213C"/>
    <w:rsid w:val="0053403E"/>
    <w:rsid w:val="0053488A"/>
    <w:rsid w:val="00534AB0"/>
    <w:rsid w:val="00535563"/>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5752C"/>
    <w:rsid w:val="00557F91"/>
    <w:rsid w:val="0056204C"/>
    <w:rsid w:val="005633B2"/>
    <w:rsid w:val="00563D11"/>
    <w:rsid w:val="005645AA"/>
    <w:rsid w:val="00564F93"/>
    <w:rsid w:val="005654E8"/>
    <w:rsid w:val="00565A09"/>
    <w:rsid w:val="00566C60"/>
    <w:rsid w:val="0056734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0C19"/>
    <w:rsid w:val="00580FEC"/>
    <w:rsid w:val="005813FC"/>
    <w:rsid w:val="00582583"/>
    <w:rsid w:val="00582E9D"/>
    <w:rsid w:val="00584AFF"/>
    <w:rsid w:val="005855AE"/>
    <w:rsid w:val="00585E8F"/>
    <w:rsid w:val="00586EDE"/>
    <w:rsid w:val="00586EE6"/>
    <w:rsid w:val="00587AC1"/>
    <w:rsid w:val="00587BE3"/>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398"/>
    <w:rsid w:val="005A36D7"/>
    <w:rsid w:val="005A64F6"/>
    <w:rsid w:val="005A65C7"/>
    <w:rsid w:val="005A7AE0"/>
    <w:rsid w:val="005B030E"/>
    <w:rsid w:val="005B0576"/>
    <w:rsid w:val="005B0E4B"/>
    <w:rsid w:val="005B0E89"/>
    <w:rsid w:val="005B1B9C"/>
    <w:rsid w:val="005B23DB"/>
    <w:rsid w:val="005B2CD4"/>
    <w:rsid w:val="005B3681"/>
    <w:rsid w:val="005B4012"/>
    <w:rsid w:val="005B43AD"/>
    <w:rsid w:val="005B4C06"/>
    <w:rsid w:val="005B52D5"/>
    <w:rsid w:val="005B5388"/>
    <w:rsid w:val="005B7211"/>
    <w:rsid w:val="005C14B2"/>
    <w:rsid w:val="005C176B"/>
    <w:rsid w:val="005C31F3"/>
    <w:rsid w:val="005C361D"/>
    <w:rsid w:val="005C3DA5"/>
    <w:rsid w:val="005C4015"/>
    <w:rsid w:val="005C447E"/>
    <w:rsid w:val="005C49FE"/>
    <w:rsid w:val="005C4EC9"/>
    <w:rsid w:val="005C5515"/>
    <w:rsid w:val="005C7682"/>
    <w:rsid w:val="005C771F"/>
    <w:rsid w:val="005C79A7"/>
    <w:rsid w:val="005D06DD"/>
    <w:rsid w:val="005D0807"/>
    <w:rsid w:val="005D1A43"/>
    <w:rsid w:val="005D1DDF"/>
    <w:rsid w:val="005D714F"/>
    <w:rsid w:val="005D765C"/>
    <w:rsid w:val="005D77DF"/>
    <w:rsid w:val="005D78D1"/>
    <w:rsid w:val="005E00F3"/>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5DA"/>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2F79"/>
    <w:rsid w:val="00613EE2"/>
    <w:rsid w:val="00615CA2"/>
    <w:rsid w:val="006162DD"/>
    <w:rsid w:val="006167E1"/>
    <w:rsid w:val="00616B00"/>
    <w:rsid w:val="00617191"/>
    <w:rsid w:val="00617226"/>
    <w:rsid w:val="006175F8"/>
    <w:rsid w:val="00617CF7"/>
    <w:rsid w:val="00620400"/>
    <w:rsid w:val="00621730"/>
    <w:rsid w:val="006218CE"/>
    <w:rsid w:val="0062280C"/>
    <w:rsid w:val="00622A18"/>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6DEE"/>
    <w:rsid w:val="00637E34"/>
    <w:rsid w:val="006400EF"/>
    <w:rsid w:val="00640C9E"/>
    <w:rsid w:val="00640E01"/>
    <w:rsid w:val="00640FC0"/>
    <w:rsid w:val="00641C93"/>
    <w:rsid w:val="00642FD9"/>
    <w:rsid w:val="00643053"/>
    <w:rsid w:val="006453EF"/>
    <w:rsid w:val="0064557C"/>
    <w:rsid w:val="0064596F"/>
    <w:rsid w:val="006461FA"/>
    <w:rsid w:val="00646FA8"/>
    <w:rsid w:val="00647779"/>
    <w:rsid w:val="006477CA"/>
    <w:rsid w:val="006507D1"/>
    <w:rsid w:val="006507E5"/>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0B88"/>
    <w:rsid w:val="00662C3F"/>
    <w:rsid w:val="006631DA"/>
    <w:rsid w:val="00663278"/>
    <w:rsid w:val="006635D1"/>
    <w:rsid w:val="006637B3"/>
    <w:rsid w:val="006638C6"/>
    <w:rsid w:val="006643D7"/>
    <w:rsid w:val="00665338"/>
    <w:rsid w:val="0066656F"/>
    <w:rsid w:val="0066777D"/>
    <w:rsid w:val="006718B7"/>
    <w:rsid w:val="006732E0"/>
    <w:rsid w:val="006734B4"/>
    <w:rsid w:val="006736EF"/>
    <w:rsid w:val="00673B7D"/>
    <w:rsid w:val="00674A9B"/>
    <w:rsid w:val="00674AF6"/>
    <w:rsid w:val="00674C3A"/>
    <w:rsid w:val="00674F34"/>
    <w:rsid w:val="006750A8"/>
    <w:rsid w:val="00675249"/>
    <w:rsid w:val="00675B7A"/>
    <w:rsid w:val="006763D9"/>
    <w:rsid w:val="00677696"/>
    <w:rsid w:val="0067776D"/>
    <w:rsid w:val="006800F6"/>
    <w:rsid w:val="00680191"/>
    <w:rsid w:val="00680F35"/>
    <w:rsid w:val="00681106"/>
    <w:rsid w:val="006812CB"/>
    <w:rsid w:val="00681C8C"/>
    <w:rsid w:val="0068243F"/>
    <w:rsid w:val="00683589"/>
    <w:rsid w:val="00683A38"/>
    <w:rsid w:val="00685C1D"/>
    <w:rsid w:val="00687663"/>
    <w:rsid w:val="00687CBB"/>
    <w:rsid w:val="00687CE1"/>
    <w:rsid w:val="0069086D"/>
    <w:rsid w:val="00690DE5"/>
    <w:rsid w:val="00690E75"/>
    <w:rsid w:val="0069107E"/>
    <w:rsid w:val="006912AB"/>
    <w:rsid w:val="0069192D"/>
    <w:rsid w:val="0069284B"/>
    <w:rsid w:val="0069322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9F4"/>
    <w:rsid w:val="006B7E9A"/>
    <w:rsid w:val="006C06B1"/>
    <w:rsid w:val="006C10DA"/>
    <w:rsid w:val="006C2387"/>
    <w:rsid w:val="006C36C2"/>
    <w:rsid w:val="006C585A"/>
    <w:rsid w:val="006C6213"/>
    <w:rsid w:val="006C65B9"/>
    <w:rsid w:val="006C6C44"/>
    <w:rsid w:val="006C7961"/>
    <w:rsid w:val="006D0F74"/>
    <w:rsid w:val="006D1279"/>
    <w:rsid w:val="006D210F"/>
    <w:rsid w:val="006D2A94"/>
    <w:rsid w:val="006D31DC"/>
    <w:rsid w:val="006D3640"/>
    <w:rsid w:val="006D366D"/>
    <w:rsid w:val="006D3E0D"/>
    <w:rsid w:val="006D3FE7"/>
    <w:rsid w:val="006D4CBB"/>
    <w:rsid w:val="006D5F44"/>
    <w:rsid w:val="006D6265"/>
    <w:rsid w:val="006D7E39"/>
    <w:rsid w:val="006E0400"/>
    <w:rsid w:val="006E22A9"/>
    <w:rsid w:val="006E26FE"/>
    <w:rsid w:val="006E35BD"/>
    <w:rsid w:val="006E3745"/>
    <w:rsid w:val="006E4498"/>
    <w:rsid w:val="006E57C1"/>
    <w:rsid w:val="006E644B"/>
    <w:rsid w:val="006E64E0"/>
    <w:rsid w:val="006E65FF"/>
    <w:rsid w:val="006E75A6"/>
    <w:rsid w:val="006E794F"/>
    <w:rsid w:val="006E7C51"/>
    <w:rsid w:val="006E7C5B"/>
    <w:rsid w:val="006F0D41"/>
    <w:rsid w:val="006F0ECC"/>
    <w:rsid w:val="006F1165"/>
    <w:rsid w:val="006F1A59"/>
    <w:rsid w:val="006F2093"/>
    <w:rsid w:val="006F292D"/>
    <w:rsid w:val="006F3169"/>
    <w:rsid w:val="006F42C2"/>
    <w:rsid w:val="006F42D5"/>
    <w:rsid w:val="006F44E9"/>
    <w:rsid w:val="006F4D63"/>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07D8C"/>
    <w:rsid w:val="00711FF0"/>
    <w:rsid w:val="00712141"/>
    <w:rsid w:val="0071303F"/>
    <w:rsid w:val="00713BDA"/>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AD4"/>
    <w:rsid w:val="00727DED"/>
    <w:rsid w:val="007303B8"/>
    <w:rsid w:val="007310BE"/>
    <w:rsid w:val="00733008"/>
    <w:rsid w:val="007332DE"/>
    <w:rsid w:val="00733AD5"/>
    <w:rsid w:val="007341A2"/>
    <w:rsid w:val="00734E28"/>
    <w:rsid w:val="00736286"/>
    <w:rsid w:val="0073685D"/>
    <w:rsid w:val="00736C5B"/>
    <w:rsid w:val="007371CB"/>
    <w:rsid w:val="00737AE4"/>
    <w:rsid w:val="00740AAD"/>
    <w:rsid w:val="00742098"/>
    <w:rsid w:val="00742385"/>
    <w:rsid w:val="00745ADA"/>
    <w:rsid w:val="00745D17"/>
    <w:rsid w:val="00746629"/>
    <w:rsid w:val="00746BE5"/>
    <w:rsid w:val="00747577"/>
    <w:rsid w:val="00750A5F"/>
    <w:rsid w:val="007517B2"/>
    <w:rsid w:val="0075192A"/>
    <w:rsid w:val="0075193E"/>
    <w:rsid w:val="00752483"/>
    <w:rsid w:val="007527F6"/>
    <w:rsid w:val="007534DB"/>
    <w:rsid w:val="00753CF7"/>
    <w:rsid w:val="007540BF"/>
    <w:rsid w:val="00754968"/>
    <w:rsid w:val="00754ECE"/>
    <w:rsid w:val="007554B0"/>
    <w:rsid w:val="007555EE"/>
    <w:rsid w:val="00757405"/>
    <w:rsid w:val="007606B6"/>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76782"/>
    <w:rsid w:val="0078108E"/>
    <w:rsid w:val="0078109F"/>
    <w:rsid w:val="007820B0"/>
    <w:rsid w:val="00782A04"/>
    <w:rsid w:val="00783418"/>
    <w:rsid w:val="007835AD"/>
    <w:rsid w:val="00783CD4"/>
    <w:rsid w:val="00783DF7"/>
    <w:rsid w:val="00784D0D"/>
    <w:rsid w:val="00786D1C"/>
    <w:rsid w:val="00787B1F"/>
    <w:rsid w:val="00790466"/>
    <w:rsid w:val="00790C68"/>
    <w:rsid w:val="007916DF"/>
    <w:rsid w:val="0079195B"/>
    <w:rsid w:val="007919A3"/>
    <w:rsid w:val="00791C06"/>
    <w:rsid w:val="00794742"/>
    <w:rsid w:val="0079556B"/>
    <w:rsid w:val="007959AF"/>
    <w:rsid w:val="00796335"/>
    <w:rsid w:val="007963A1"/>
    <w:rsid w:val="007A00C5"/>
    <w:rsid w:val="007A0E2B"/>
    <w:rsid w:val="007A1B95"/>
    <w:rsid w:val="007A243D"/>
    <w:rsid w:val="007A2700"/>
    <w:rsid w:val="007A3691"/>
    <w:rsid w:val="007A46C8"/>
    <w:rsid w:val="007A493E"/>
    <w:rsid w:val="007A4D7E"/>
    <w:rsid w:val="007A5D88"/>
    <w:rsid w:val="007A61AE"/>
    <w:rsid w:val="007A6CE0"/>
    <w:rsid w:val="007A73F1"/>
    <w:rsid w:val="007A7771"/>
    <w:rsid w:val="007A7B33"/>
    <w:rsid w:val="007A7E11"/>
    <w:rsid w:val="007B0A9C"/>
    <w:rsid w:val="007B0B79"/>
    <w:rsid w:val="007B174C"/>
    <w:rsid w:val="007B1F4F"/>
    <w:rsid w:val="007B244B"/>
    <w:rsid w:val="007B3344"/>
    <w:rsid w:val="007B3DE8"/>
    <w:rsid w:val="007B407E"/>
    <w:rsid w:val="007B4F58"/>
    <w:rsid w:val="007B6E70"/>
    <w:rsid w:val="007B7770"/>
    <w:rsid w:val="007C09A6"/>
    <w:rsid w:val="007C0A63"/>
    <w:rsid w:val="007C1885"/>
    <w:rsid w:val="007C1B38"/>
    <w:rsid w:val="007C1BA0"/>
    <w:rsid w:val="007C1C0A"/>
    <w:rsid w:val="007C2446"/>
    <w:rsid w:val="007C3278"/>
    <w:rsid w:val="007C3A3B"/>
    <w:rsid w:val="007C3A75"/>
    <w:rsid w:val="007C41E1"/>
    <w:rsid w:val="007C4A27"/>
    <w:rsid w:val="007C63C4"/>
    <w:rsid w:val="007C67A8"/>
    <w:rsid w:val="007C69B1"/>
    <w:rsid w:val="007C6A57"/>
    <w:rsid w:val="007C7D67"/>
    <w:rsid w:val="007D05ED"/>
    <w:rsid w:val="007D38C1"/>
    <w:rsid w:val="007D4241"/>
    <w:rsid w:val="007D493E"/>
    <w:rsid w:val="007D49BB"/>
    <w:rsid w:val="007D4A66"/>
    <w:rsid w:val="007D50E5"/>
    <w:rsid w:val="007D5AE9"/>
    <w:rsid w:val="007D6215"/>
    <w:rsid w:val="007D7B9C"/>
    <w:rsid w:val="007E01E1"/>
    <w:rsid w:val="007E04A2"/>
    <w:rsid w:val="007E0528"/>
    <w:rsid w:val="007E086A"/>
    <w:rsid w:val="007E091D"/>
    <w:rsid w:val="007E0C02"/>
    <w:rsid w:val="007E0DD6"/>
    <w:rsid w:val="007E21C4"/>
    <w:rsid w:val="007E25A3"/>
    <w:rsid w:val="007E2840"/>
    <w:rsid w:val="007E434E"/>
    <w:rsid w:val="007E4AD3"/>
    <w:rsid w:val="007E7945"/>
    <w:rsid w:val="007F049E"/>
    <w:rsid w:val="007F1982"/>
    <w:rsid w:val="007F2486"/>
    <w:rsid w:val="007F3591"/>
    <w:rsid w:val="007F4CA2"/>
    <w:rsid w:val="007F6B4F"/>
    <w:rsid w:val="007F7679"/>
    <w:rsid w:val="007F796B"/>
    <w:rsid w:val="00800978"/>
    <w:rsid w:val="00802B46"/>
    <w:rsid w:val="0080486D"/>
    <w:rsid w:val="00805493"/>
    <w:rsid w:val="00805AA8"/>
    <w:rsid w:val="00806C2A"/>
    <w:rsid w:val="008073F7"/>
    <w:rsid w:val="0081097F"/>
    <w:rsid w:val="00810C2A"/>
    <w:rsid w:val="00810D07"/>
    <w:rsid w:val="00812A0E"/>
    <w:rsid w:val="008149ED"/>
    <w:rsid w:val="00816F46"/>
    <w:rsid w:val="008203D2"/>
    <w:rsid w:val="00820AB7"/>
    <w:rsid w:val="00820CE1"/>
    <w:rsid w:val="00820E34"/>
    <w:rsid w:val="0082111A"/>
    <w:rsid w:val="00821D6E"/>
    <w:rsid w:val="00821FBB"/>
    <w:rsid w:val="008221B8"/>
    <w:rsid w:val="008226C2"/>
    <w:rsid w:val="0082278E"/>
    <w:rsid w:val="00823BB0"/>
    <w:rsid w:val="00824FE2"/>
    <w:rsid w:val="008251D5"/>
    <w:rsid w:val="00825544"/>
    <w:rsid w:val="00826C16"/>
    <w:rsid w:val="00827CC4"/>
    <w:rsid w:val="00827E2E"/>
    <w:rsid w:val="00827FCE"/>
    <w:rsid w:val="00830245"/>
    <w:rsid w:val="0083061C"/>
    <w:rsid w:val="00830995"/>
    <w:rsid w:val="008310EE"/>
    <w:rsid w:val="00831676"/>
    <w:rsid w:val="008319C7"/>
    <w:rsid w:val="00831D4E"/>
    <w:rsid w:val="008322B8"/>
    <w:rsid w:val="00832878"/>
    <w:rsid w:val="00832B54"/>
    <w:rsid w:val="00832ECA"/>
    <w:rsid w:val="00833443"/>
    <w:rsid w:val="008339C6"/>
    <w:rsid w:val="00834251"/>
    <w:rsid w:val="00834411"/>
    <w:rsid w:val="008361FB"/>
    <w:rsid w:val="00836356"/>
    <w:rsid w:val="00836375"/>
    <w:rsid w:val="008365DD"/>
    <w:rsid w:val="00836DD7"/>
    <w:rsid w:val="008374B1"/>
    <w:rsid w:val="00837A0C"/>
    <w:rsid w:val="008400B8"/>
    <w:rsid w:val="00840B80"/>
    <w:rsid w:val="00841C7D"/>
    <w:rsid w:val="00842651"/>
    <w:rsid w:val="00842860"/>
    <w:rsid w:val="00843D0D"/>
    <w:rsid w:val="0084475D"/>
    <w:rsid w:val="00845950"/>
    <w:rsid w:val="00845D16"/>
    <w:rsid w:val="008517AE"/>
    <w:rsid w:val="00851896"/>
    <w:rsid w:val="0085205A"/>
    <w:rsid w:val="00852839"/>
    <w:rsid w:val="00853632"/>
    <w:rsid w:val="00854165"/>
    <w:rsid w:val="008563FD"/>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09C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2EFF"/>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5C7"/>
    <w:rsid w:val="00895701"/>
    <w:rsid w:val="00897AE2"/>
    <w:rsid w:val="008A1198"/>
    <w:rsid w:val="008A16C7"/>
    <w:rsid w:val="008A1FC1"/>
    <w:rsid w:val="008A2069"/>
    <w:rsid w:val="008A2164"/>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3E5F"/>
    <w:rsid w:val="008C4429"/>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042"/>
    <w:rsid w:val="008E525D"/>
    <w:rsid w:val="008E5D86"/>
    <w:rsid w:val="008E6156"/>
    <w:rsid w:val="008E6565"/>
    <w:rsid w:val="008E6A2D"/>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145F"/>
    <w:rsid w:val="009220AD"/>
    <w:rsid w:val="00923EAB"/>
    <w:rsid w:val="00924F1A"/>
    <w:rsid w:val="00924FA4"/>
    <w:rsid w:val="00925447"/>
    <w:rsid w:val="00925476"/>
    <w:rsid w:val="00925D10"/>
    <w:rsid w:val="00925FAE"/>
    <w:rsid w:val="00926E8A"/>
    <w:rsid w:val="009275E5"/>
    <w:rsid w:val="00930079"/>
    <w:rsid w:val="00930871"/>
    <w:rsid w:val="0093094B"/>
    <w:rsid w:val="00930C85"/>
    <w:rsid w:val="009312AE"/>
    <w:rsid w:val="00932605"/>
    <w:rsid w:val="00933362"/>
    <w:rsid w:val="009343FB"/>
    <w:rsid w:val="0093537D"/>
    <w:rsid w:val="00935F67"/>
    <w:rsid w:val="00935FDB"/>
    <w:rsid w:val="0093693A"/>
    <w:rsid w:val="0093721F"/>
    <w:rsid w:val="00937477"/>
    <w:rsid w:val="0093755A"/>
    <w:rsid w:val="00937A22"/>
    <w:rsid w:val="00937FFE"/>
    <w:rsid w:val="00940C90"/>
    <w:rsid w:val="00940D13"/>
    <w:rsid w:val="00940D14"/>
    <w:rsid w:val="00941542"/>
    <w:rsid w:val="0094338D"/>
    <w:rsid w:val="0094342A"/>
    <w:rsid w:val="00944753"/>
    <w:rsid w:val="00944A1B"/>
    <w:rsid w:val="009455EA"/>
    <w:rsid w:val="00945690"/>
    <w:rsid w:val="00946776"/>
    <w:rsid w:val="00947AA8"/>
    <w:rsid w:val="00951F1E"/>
    <w:rsid w:val="009522B8"/>
    <w:rsid w:val="00952FF8"/>
    <w:rsid w:val="0095359D"/>
    <w:rsid w:val="009544FD"/>
    <w:rsid w:val="009551A5"/>
    <w:rsid w:val="009565C1"/>
    <w:rsid w:val="00957145"/>
    <w:rsid w:val="009579E5"/>
    <w:rsid w:val="00960693"/>
    <w:rsid w:val="00960845"/>
    <w:rsid w:val="009608AB"/>
    <w:rsid w:val="00960A48"/>
    <w:rsid w:val="00960CBA"/>
    <w:rsid w:val="009622A2"/>
    <w:rsid w:val="00962346"/>
    <w:rsid w:val="009624FD"/>
    <w:rsid w:val="0096324B"/>
    <w:rsid w:val="009636F2"/>
    <w:rsid w:val="00963F82"/>
    <w:rsid w:val="009645A2"/>
    <w:rsid w:val="009645DB"/>
    <w:rsid w:val="0096558A"/>
    <w:rsid w:val="009659E2"/>
    <w:rsid w:val="00965A7F"/>
    <w:rsid w:val="009671F5"/>
    <w:rsid w:val="009677B5"/>
    <w:rsid w:val="00967A48"/>
    <w:rsid w:val="00967B4F"/>
    <w:rsid w:val="00971B4F"/>
    <w:rsid w:val="00972DD6"/>
    <w:rsid w:val="00972E2F"/>
    <w:rsid w:val="009730AD"/>
    <w:rsid w:val="009738C6"/>
    <w:rsid w:val="00973BB5"/>
    <w:rsid w:val="00974996"/>
    <w:rsid w:val="00975EC0"/>
    <w:rsid w:val="009766D9"/>
    <w:rsid w:val="00976D3F"/>
    <w:rsid w:val="009778FB"/>
    <w:rsid w:val="00980A97"/>
    <w:rsid w:val="00980CC6"/>
    <w:rsid w:val="00981222"/>
    <w:rsid w:val="00982557"/>
    <w:rsid w:val="0098264B"/>
    <w:rsid w:val="00983BC1"/>
    <w:rsid w:val="0098484C"/>
    <w:rsid w:val="00984B39"/>
    <w:rsid w:val="00986157"/>
    <w:rsid w:val="0098753F"/>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2B6F"/>
    <w:rsid w:val="009A2EF4"/>
    <w:rsid w:val="009A3102"/>
    <w:rsid w:val="009A326B"/>
    <w:rsid w:val="009A441F"/>
    <w:rsid w:val="009A4E30"/>
    <w:rsid w:val="009A551C"/>
    <w:rsid w:val="009A5FAA"/>
    <w:rsid w:val="009A674D"/>
    <w:rsid w:val="009A7387"/>
    <w:rsid w:val="009A7452"/>
    <w:rsid w:val="009A78B3"/>
    <w:rsid w:val="009B0912"/>
    <w:rsid w:val="009B29EB"/>
    <w:rsid w:val="009B2B5C"/>
    <w:rsid w:val="009B3011"/>
    <w:rsid w:val="009B372A"/>
    <w:rsid w:val="009B3F6C"/>
    <w:rsid w:val="009B4213"/>
    <w:rsid w:val="009B51B7"/>
    <w:rsid w:val="009B5ABC"/>
    <w:rsid w:val="009B78B7"/>
    <w:rsid w:val="009C1085"/>
    <w:rsid w:val="009C3494"/>
    <w:rsid w:val="009C3FB9"/>
    <w:rsid w:val="009C48DC"/>
    <w:rsid w:val="009C4B78"/>
    <w:rsid w:val="009C5580"/>
    <w:rsid w:val="009C6FCC"/>
    <w:rsid w:val="009C7AC7"/>
    <w:rsid w:val="009C7F74"/>
    <w:rsid w:val="009D00E4"/>
    <w:rsid w:val="009D07B0"/>
    <w:rsid w:val="009D089F"/>
    <w:rsid w:val="009D15D5"/>
    <w:rsid w:val="009D1802"/>
    <w:rsid w:val="009D2082"/>
    <w:rsid w:val="009D267A"/>
    <w:rsid w:val="009D34F6"/>
    <w:rsid w:val="009D3705"/>
    <w:rsid w:val="009D3DCE"/>
    <w:rsid w:val="009D549E"/>
    <w:rsid w:val="009D55C8"/>
    <w:rsid w:val="009D62E0"/>
    <w:rsid w:val="009E12CA"/>
    <w:rsid w:val="009E1DFA"/>
    <w:rsid w:val="009E1FEE"/>
    <w:rsid w:val="009E21A7"/>
    <w:rsid w:val="009E2692"/>
    <w:rsid w:val="009E2A91"/>
    <w:rsid w:val="009E2FCF"/>
    <w:rsid w:val="009E30FF"/>
    <w:rsid w:val="009E32E7"/>
    <w:rsid w:val="009E3676"/>
    <w:rsid w:val="009E3C29"/>
    <w:rsid w:val="009E58F0"/>
    <w:rsid w:val="009E5BFB"/>
    <w:rsid w:val="009E6997"/>
    <w:rsid w:val="009E7151"/>
    <w:rsid w:val="009E7DBD"/>
    <w:rsid w:val="009F4DE8"/>
    <w:rsid w:val="009F52B4"/>
    <w:rsid w:val="009F5BAE"/>
    <w:rsid w:val="009F6A95"/>
    <w:rsid w:val="00A00825"/>
    <w:rsid w:val="00A01204"/>
    <w:rsid w:val="00A01691"/>
    <w:rsid w:val="00A01C86"/>
    <w:rsid w:val="00A03A5F"/>
    <w:rsid w:val="00A03D46"/>
    <w:rsid w:val="00A04E80"/>
    <w:rsid w:val="00A0508B"/>
    <w:rsid w:val="00A05B28"/>
    <w:rsid w:val="00A06A61"/>
    <w:rsid w:val="00A10C08"/>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37ACF"/>
    <w:rsid w:val="00A40506"/>
    <w:rsid w:val="00A42819"/>
    <w:rsid w:val="00A43770"/>
    <w:rsid w:val="00A440B8"/>
    <w:rsid w:val="00A475F1"/>
    <w:rsid w:val="00A47AAA"/>
    <w:rsid w:val="00A47F23"/>
    <w:rsid w:val="00A51176"/>
    <w:rsid w:val="00A51228"/>
    <w:rsid w:val="00A5130D"/>
    <w:rsid w:val="00A51AA8"/>
    <w:rsid w:val="00A51FC0"/>
    <w:rsid w:val="00A5248A"/>
    <w:rsid w:val="00A55473"/>
    <w:rsid w:val="00A55603"/>
    <w:rsid w:val="00A56F21"/>
    <w:rsid w:val="00A607D0"/>
    <w:rsid w:val="00A60EDC"/>
    <w:rsid w:val="00A621AE"/>
    <w:rsid w:val="00A62796"/>
    <w:rsid w:val="00A62E0E"/>
    <w:rsid w:val="00A63E56"/>
    <w:rsid w:val="00A64F69"/>
    <w:rsid w:val="00A657E3"/>
    <w:rsid w:val="00A65D57"/>
    <w:rsid w:val="00A65FE0"/>
    <w:rsid w:val="00A67198"/>
    <w:rsid w:val="00A7000C"/>
    <w:rsid w:val="00A70862"/>
    <w:rsid w:val="00A70D5A"/>
    <w:rsid w:val="00A71A6C"/>
    <w:rsid w:val="00A72ACD"/>
    <w:rsid w:val="00A72C3A"/>
    <w:rsid w:val="00A72FB9"/>
    <w:rsid w:val="00A741DC"/>
    <w:rsid w:val="00A7426E"/>
    <w:rsid w:val="00A74D00"/>
    <w:rsid w:val="00A7557A"/>
    <w:rsid w:val="00A76F43"/>
    <w:rsid w:val="00A80907"/>
    <w:rsid w:val="00A81210"/>
    <w:rsid w:val="00A81B04"/>
    <w:rsid w:val="00A8279C"/>
    <w:rsid w:val="00A82ACC"/>
    <w:rsid w:val="00A8323A"/>
    <w:rsid w:val="00A83667"/>
    <w:rsid w:val="00A83961"/>
    <w:rsid w:val="00A86D2B"/>
    <w:rsid w:val="00A86D5A"/>
    <w:rsid w:val="00A87709"/>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C6B1F"/>
    <w:rsid w:val="00AD083B"/>
    <w:rsid w:val="00AD1BBA"/>
    <w:rsid w:val="00AD384E"/>
    <w:rsid w:val="00AD387D"/>
    <w:rsid w:val="00AD4150"/>
    <w:rsid w:val="00AD4AE4"/>
    <w:rsid w:val="00AD5CCB"/>
    <w:rsid w:val="00AD644C"/>
    <w:rsid w:val="00AD6A35"/>
    <w:rsid w:val="00AD6B03"/>
    <w:rsid w:val="00AD7445"/>
    <w:rsid w:val="00AD75A8"/>
    <w:rsid w:val="00AD7ED1"/>
    <w:rsid w:val="00AE085C"/>
    <w:rsid w:val="00AE1125"/>
    <w:rsid w:val="00AE165D"/>
    <w:rsid w:val="00AE1C2B"/>
    <w:rsid w:val="00AE2BA1"/>
    <w:rsid w:val="00AE34B5"/>
    <w:rsid w:val="00AE37B5"/>
    <w:rsid w:val="00AE4491"/>
    <w:rsid w:val="00AE44A6"/>
    <w:rsid w:val="00AE48FF"/>
    <w:rsid w:val="00AE4AE8"/>
    <w:rsid w:val="00AE593A"/>
    <w:rsid w:val="00AE695F"/>
    <w:rsid w:val="00AE73E5"/>
    <w:rsid w:val="00AE7473"/>
    <w:rsid w:val="00AE7CE5"/>
    <w:rsid w:val="00AF0302"/>
    <w:rsid w:val="00AF05BC"/>
    <w:rsid w:val="00AF1F6F"/>
    <w:rsid w:val="00AF241B"/>
    <w:rsid w:val="00AF2AB5"/>
    <w:rsid w:val="00AF3879"/>
    <w:rsid w:val="00AF3B5C"/>
    <w:rsid w:val="00AF4B25"/>
    <w:rsid w:val="00AF515F"/>
    <w:rsid w:val="00AF7369"/>
    <w:rsid w:val="00B005D1"/>
    <w:rsid w:val="00B010DC"/>
    <w:rsid w:val="00B01C7B"/>
    <w:rsid w:val="00B02A28"/>
    <w:rsid w:val="00B04492"/>
    <w:rsid w:val="00B04DDC"/>
    <w:rsid w:val="00B1012C"/>
    <w:rsid w:val="00B106B3"/>
    <w:rsid w:val="00B1150A"/>
    <w:rsid w:val="00B136A1"/>
    <w:rsid w:val="00B14F02"/>
    <w:rsid w:val="00B1562F"/>
    <w:rsid w:val="00B15AFB"/>
    <w:rsid w:val="00B16869"/>
    <w:rsid w:val="00B21660"/>
    <w:rsid w:val="00B21F0D"/>
    <w:rsid w:val="00B2418F"/>
    <w:rsid w:val="00B25152"/>
    <w:rsid w:val="00B25D7F"/>
    <w:rsid w:val="00B25DA1"/>
    <w:rsid w:val="00B26309"/>
    <w:rsid w:val="00B30F2C"/>
    <w:rsid w:val="00B31AEC"/>
    <w:rsid w:val="00B31F9B"/>
    <w:rsid w:val="00B32B74"/>
    <w:rsid w:val="00B33937"/>
    <w:rsid w:val="00B34162"/>
    <w:rsid w:val="00B363E3"/>
    <w:rsid w:val="00B365FE"/>
    <w:rsid w:val="00B370B3"/>
    <w:rsid w:val="00B37873"/>
    <w:rsid w:val="00B378C8"/>
    <w:rsid w:val="00B4020C"/>
    <w:rsid w:val="00B4088F"/>
    <w:rsid w:val="00B40CF7"/>
    <w:rsid w:val="00B40EC6"/>
    <w:rsid w:val="00B4168A"/>
    <w:rsid w:val="00B428FA"/>
    <w:rsid w:val="00B430E2"/>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69E5"/>
    <w:rsid w:val="00B67720"/>
    <w:rsid w:val="00B67B40"/>
    <w:rsid w:val="00B67BCA"/>
    <w:rsid w:val="00B72031"/>
    <w:rsid w:val="00B7293A"/>
    <w:rsid w:val="00B72FA8"/>
    <w:rsid w:val="00B7536B"/>
    <w:rsid w:val="00B763A1"/>
    <w:rsid w:val="00B76F64"/>
    <w:rsid w:val="00B7777C"/>
    <w:rsid w:val="00B77A5C"/>
    <w:rsid w:val="00B77F72"/>
    <w:rsid w:val="00B81367"/>
    <w:rsid w:val="00B81F29"/>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42EC"/>
    <w:rsid w:val="00BA50C6"/>
    <w:rsid w:val="00BA5CCF"/>
    <w:rsid w:val="00BA60DC"/>
    <w:rsid w:val="00BA6B34"/>
    <w:rsid w:val="00BB04EE"/>
    <w:rsid w:val="00BB0804"/>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8EF"/>
    <w:rsid w:val="00BD2C23"/>
    <w:rsid w:val="00BD32EC"/>
    <w:rsid w:val="00BD376E"/>
    <w:rsid w:val="00BD4003"/>
    <w:rsid w:val="00BD5308"/>
    <w:rsid w:val="00BD585E"/>
    <w:rsid w:val="00BD6FF8"/>
    <w:rsid w:val="00BE0E24"/>
    <w:rsid w:val="00BE1DF0"/>
    <w:rsid w:val="00BE20E6"/>
    <w:rsid w:val="00BE2B93"/>
    <w:rsid w:val="00BE3107"/>
    <w:rsid w:val="00BE4897"/>
    <w:rsid w:val="00BE5F12"/>
    <w:rsid w:val="00BE5F7A"/>
    <w:rsid w:val="00BE6370"/>
    <w:rsid w:val="00BE7394"/>
    <w:rsid w:val="00BE73AC"/>
    <w:rsid w:val="00BE74D2"/>
    <w:rsid w:val="00BF2957"/>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06B"/>
    <w:rsid w:val="00BF7610"/>
    <w:rsid w:val="00C01B49"/>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17AFF"/>
    <w:rsid w:val="00C20921"/>
    <w:rsid w:val="00C2092F"/>
    <w:rsid w:val="00C21446"/>
    <w:rsid w:val="00C21743"/>
    <w:rsid w:val="00C219A6"/>
    <w:rsid w:val="00C22CAC"/>
    <w:rsid w:val="00C2344D"/>
    <w:rsid w:val="00C24086"/>
    <w:rsid w:val="00C24571"/>
    <w:rsid w:val="00C259E3"/>
    <w:rsid w:val="00C25D06"/>
    <w:rsid w:val="00C26481"/>
    <w:rsid w:val="00C2776C"/>
    <w:rsid w:val="00C27DDB"/>
    <w:rsid w:val="00C317BF"/>
    <w:rsid w:val="00C3194E"/>
    <w:rsid w:val="00C332C7"/>
    <w:rsid w:val="00C33CAD"/>
    <w:rsid w:val="00C348F2"/>
    <w:rsid w:val="00C3502E"/>
    <w:rsid w:val="00C36567"/>
    <w:rsid w:val="00C36D28"/>
    <w:rsid w:val="00C37B63"/>
    <w:rsid w:val="00C40144"/>
    <w:rsid w:val="00C40344"/>
    <w:rsid w:val="00C4048E"/>
    <w:rsid w:val="00C4121F"/>
    <w:rsid w:val="00C41547"/>
    <w:rsid w:val="00C41F3F"/>
    <w:rsid w:val="00C436F3"/>
    <w:rsid w:val="00C43737"/>
    <w:rsid w:val="00C43896"/>
    <w:rsid w:val="00C4446E"/>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514B"/>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5439"/>
    <w:rsid w:val="00C760EF"/>
    <w:rsid w:val="00C767DF"/>
    <w:rsid w:val="00C76B8E"/>
    <w:rsid w:val="00C77A00"/>
    <w:rsid w:val="00C80254"/>
    <w:rsid w:val="00C8085A"/>
    <w:rsid w:val="00C81540"/>
    <w:rsid w:val="00C81BA6"/>
    <w:rsid w:val="00C820D0"/>
    <w:rsid w:val="00C83598"/>
    <w:rsid w:val="00C83EE6"/>
    <w:rsid w:val="00C84710"/>
    <w:rsid w:val="00C84857"/>
    <w:rsid w:val="00C8501A"/>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C94"/>
    <w:rsid w:val="00CA6D37"/>
    <w:rsid w:val="00CB271C"/>
    <w:rsid w:val="00CB2D6D"/>
    <w:rsid w:val="00CB3144"/>
    <w:rsid w:val="00CB3596"/>
    <w:rsid w:val="00CB36CF"/>
    <w:rsid w:val="00CB3B67"/>
    <w:rsid w:val="00CB40FF"/>
    <w:rsid w:val="00CB4639"/>
    <w:rsid w:val="00CB4FA8"/>
    <w:rsid w:val="00CB6512"/>
    <w:rsid w:val="00CB7034"/>
    <w:rsid w:val="00CC14CA"/>
    <w:rsid w:val="00CC1892"/>
    <w:rsid w:val="00CC28B5"/>
    <w:rsid w:val="00CC2B6F"/>
    <w:rsid w:val="00CC3AD1"/>
    <w:rsid w:val="00CC3C57"/>
    <w:rsid w:val="00CC41B9"/>
    <w:rsid w:val="00CC5AA6"/>
    <w:rsid w:val="00CC6BF9"/>
    <w:rsid w:val="00CD05B6"/>
    <w:rsid w:val="00CD0A6D"/>
    <w:rsid w:val="00CD1289"/>
    <w:rsid w:val="00CD1563"/>
    <w:rsid w:val="00CD215C"/>
    <w:rsid w:val="00CD27CF"/>
    <w:rsid w:val="00CD2B45"/>
    <w:rsid w:val="00CD2DAF"/>
    <w:rsid w:val="00CD30CA"/>
    <w:rsid w:val="00CD4031"/>
    <w:rsid w:val="00CD4365"/>
    <w:rsid w:val="00CD4451"/>
    <w:rsid w:val="00CD4BA4"/>
    <w:rsid w:val="00CD5149"/>
    <w:rsid w:val="00CD5423"/>
    <w:rsid w:val="00CD580E"/>
    <w:rsid w:val="00CD61B2"/>
    <w:rsid w:val="00CD6589"/>
    <w:rsid w:val="00CD766D"/>
    <w:rsid w:val="00CD7D8D"/>
    <w:rsid w:val="00CE0943"/>
    <w:rsid w:val="00CE0F21"/>
    <w:rsid w:val="00CE21FB"/>
    <w:rsid w:val="00CE2B5C"/>
    <w:rsid w:val="00CE2DB9"/>
    <w:rsid w:val="00CE39F8"/>
    <w:rsid w:val="00CE4C45"/>
    <w:rsid w:val="00CE57EE"/>
    <w:rsid w:val="00CE5A1E"/>
    <w:rsid w:val="00CE682F"/>
    <w:rsid w:val="00CE70F4"/>
    <w:rsid w:val="00CE78C5"/>
    <w:rsid w:val="00CF143A"/>
    <w:rsid w:val="00CF32A7"/>
    <w:rsid w:val="00CF3694"/>
    <w:rsid w:val="00CF4BFB"/>
    <w:rsid w:val="00CF57C3"/>
    <w:rsid w:val="00CF623B"/>
    <w:rsid w:val="00CF64DE"/>
    <w:rsid w:val="00CF6C89"/>
    <w:rsid w:val="00D003A7"/>
    <w:rsid w:val="00D00A8E"/>
    <w:rsid w:val="00D01BBC"/>
    <w:rsid w:val="00D01E2C"/>
    <w:rsid w:val="00D01FE0"/>
    <w:rsid w:val="00D02A7B"/>
    <w:rsid w:val="00D02AE1"/>
    <w:rsid w:val="00D03C68"/>
    <w:rsid w:val="00D04A3B"/>
    <w:rsid w:val="00D0591C"/>
    <w:rsid w:val="00D059C4"/>
    <w:rsid w:val="00D060EB"/>
    <w:rsid w:val="00D067F1"/>
    <w:rsid w:val="00D06CD4"/>
    <w:rsid w:val="00D0703E"/>
    <w:rsid w:val="00D10662"/>
    <w:rsid w:val="00D11563"/>
    <w:rsid w:val="00D13088"/>
    <w:rsid w:val="00D136AB"/>
    <w:rsid w:val="00D149EA"/>
    <w:rsid w:val="00D164CA"/>
    <w:rsid w:val="00D17447"/>
    <w:rsid w:val="00D17BCF"/>
    <w:rsid w:val="00D2106F"/>
    <w:rsid w:val="00D21CFD"/>
    <w:rsid w:val="00D2484F"/>
    <w:rsid w:val="00D2586E"/>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AC7"/>
    <w:rsid w:val="00D41C0A"/>
    <w:rsid w:val="00D41D00"/>
    <w:rsid w:val="00D424F9"/>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1EC"/>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70E"/>
    <w:rsid w:val="00D82C34"/>
    <w:rsid w:val="00D838A0"/>
    <w:rsid w:val="00D83BBD"/>
    <w:rsid w:val="00D83C6D"/>
    <w:rsid w:val="00D83E69"/>
    <w:rsid w:val="00D84DE4"/>
    <w:rsid w:val="00D852CF"/>
    <w:rsid w:val="00D856F4"/>
    <w:rsid w:val="00D856F8"/>
    <w:rsid w:val="00D86677"/>
    <w:rsid w:val="00D87654"/>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B7D9E"/>
    <w:rsid w:val="00DC13F6"/>
    <w:rsid w:val="00DC1759"/>
    <w:rsid w:val="00DC2092"/>
    <w:rsid w:val="00DC31EF"/>
    <w:rsid w:val="00DC3452"/>
    <w:rsid w:val="00DC5096"/>
    <w:rsid w:val="00DC50FC"/>
    <w:rsid w:val="00DC5A62"/>
    <w:rsid w:val="00DC69E4"/>
    <w:rsid w:val="00DC71D3"/>
    <w:rsid w:val="00DD19A5"/>
    <w:rsid w:val="00DD2A1C"/>
    <w:rsid w:val="00DD307B"/>
    <w:rsid w:val="00DD3D7D"/>
    <w:rsid w:val="00DD3F19"/>
    <w:rsid w:val="00DD5039"/>
    <w:rsid w:val="00DD517B"/>
    <w:rsid w:val="00DD59B6"/>
    <w:rsid w:val="00DD5BEF"/>
    <w:rsid w:val="00DD5EBE"/>
    <w:rsid w:val="00DD614D"/>
    <w:rsid w:val="00DD7A11"/>
    <w:rsid w:val="00DD7E21"/>
    <w:rsid w:val="00DE0422"/>
    <w:rsid w:val="00DE0530"/>
    <w:rsid w:val="00DE05A3"/>
    <w:rsid w:val="00DE0DF8"/>
    <w:rsid w:val="00DE117A"/>
    <w:rsid w:val="00DE2422"/>
    <w:rsid w:val="00DE43AF"/>
    <w:rsid w:val="00DE49AD"/>
    <w:rsid w:val="00DE4C9C"/>
    <w:rsid w:val="00DE5B92"/>
    <w:rsid w:val="00DE664A"/>
    <w:rsid w:val="00DF055E"/>
    <w:rsid w:val="00DF0E0A"/>
    <w:rsid w:val="00DF1864"/>
    <w:rsid w:val="00DF4789"/>
    <w:rsid w:val="00DF4C16"/>
    <w:rsid w:val="00DF4DD1"/>
    <w:rsid w:val="00DF66B4"/>
    <w:rsid w:val="00DF7206"/>
    <w:rsid w:val="00DF7467"/>
    <w:rsid w:val="00DF78D4"/>
    <w:rsid w:val="00E020B5"/>
    <w:rsid w:val="00E024B3"/>
    <w:rsid w:val="00E0443C"/>
    <w:rsid w:val="00E0583B"/>
    <w:rsid w:val="00E06582"/>
    <w:rsid w:val="00E076A9"/>
    <w:rsid w:val="00E076FC"/>
    <w:rsid w:val="00E1094D"/>
    <w:rsid w:val="00E10F9F"/>
    <w:rsid w:val="00E11DDD"/>
    <w:rsid w:val="00E131EE"/>
    <w:rsid w:val="00E13489"/>
    <w:rsid w:val="00E1440F"/>
    <w:rsid w:val="00E14E9B"/>
    <w:rsid w:val="00E1594E"/>
    <w:rsid w:val="00E15DFA"/>
    <w:rsid w:val="00E16AD2"/>
    <w:rsid w:val="00E20280"/>
    <w:rsid w:val="00E20B9F"/>
    <w:rsid w:val="00E2137D"/>
    <w:rsid w:val="00E22566"/>
    <w:rsid w:val="00E23ABB"/>
    <w:rsid w:val="00E23FF4"/>
    <w:rsid w:val="00E244E1"/>
    <w:rsid w:val="00E25346"/>
    <w:rsid w:val="00E27033"/>
    <w:rsid w:val="00E2769A"/>
    <w:rsid w:val="00E277B6"/>
    <w:rsid w:val="00E30C6E"/>
    <w:rsid w:val="00E31876"/>
    <w:rsid w:val="00E31A4F"/>
    <w:rsid w:val="00E32E74"/>
    <w:rsid w:val="00E34F01"/>
    <w:rsid w:val="00E356F8"/>
    <w:rsid w:val="00E35D74"/>
    <w:rsid w:val="00E35F5F"/>
    <w:rsid w:val="00E3733F"/>
    <w:rsid w:val="00E375C2"/>
    <w:rsid w:val="00E4144F"/>
    <w:rsid w:val="00E41CC3"/>
    <w:rsid w:val="00E42400"/>
    <w:rsid w:val="00E430E2"/>
    <w:rsid w:val="00E435D2"/>
    <w:rsid w:val="00E44203"/>
    <w:rsid w:val="00E44F19"/>
    <w:rsid w:val="00E4513F"/>
    <w:rsid w:val="00E45902"/>
    <w:rsid w:val="00E45A56"/>
    <w:rsid w:val="00E460EF"/>
    <w:rsid w:val="00E46AC7"/>
    <w:rsid w:val="00E46C01"/>
    <w:rsid w:val="00E47A65"/>
    <w:rsid w:val="00E47ED6"/>
    <w:rsid w:val="00E5004F"/>
    <w:rsid w:val="00E507B7"/>
    <w:rsid w:val="00E51F52"/>
    <w:rsid w:val="00E529E1"/>
    <w:rsid w:val="00E52F3D"/>
    <w:rsid w:val="00E538A5"/>
    <w:rsid w:val="00E5414E"/>
    <w:rsid w:val="00E54C31"/>
    <w:rsid w:val="00E54ED2"/>
    <w:rsid w:val="00E55ECD"/>
    <w:rsid w:val="00E56B85"/>
    <w:rsid w:val="00E60815"/>
    <w:rsid w:val="00E60C18"/>
    <w:rsid w:val="00E60DFC"/>
    <w:rsid w:val="00E6122D"/>
    <w:rsid w:val="00E630FE"/>
    <w:rsid w:val="00E635BE"/>
    <w:rsid w:val="00E6378F"/>
    <w:rsid w:val="00E64996"/>
    <w:rsid w:val="00E67216"/>
    <w:rsid w:val="00E67469"/>
    <w:rsid w:val="00E70704"/>
    <w:rsid w:val="00E724A3"/>
    <w:rsid w:val="00E72D46"/>
    <w:rsid w:val="00E72EB9"/>
    <w:rsid w:val="00E734CA"/>
    <w:rsid w:val="00E745BE"/>
    <w:rsid w:val="00E75662"/>
    <w:rsid w:val="00E76ACB"/>
    <w:rsid w:val="00E76B34"/>
    <w:rsid w:val="00E7720F"/>
    <w:rsid w:val="00E804E2"/>
    <w:rsid w:val="00E81D50"/>
    <w:rsid w:val="00E8212B"/>
    <w:rsid w:val="00E834CC"/>
    <w:rsid w:val="00E84742"/>
    <w:rsid w:val="00E8643F"/>
    <w:rsid w:val="00E87FCA"/>
    <w:rsid w:val="00E90435"/>
    <w:rsid w:val="00E9074D"/>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87"/>
    <w:rsid w:val="00EB79E0"/>
    <w:rsid w:val="00EC0064"/>
    <w:rsid w:val="00EC00A4"/>
    <w:rsid w:val="00EC2B8B"/>
    <w:rsid w:val="00EC3225"/>
    <w:rsid w:val="00EC33C3"/>
    <w:rsid w:val="00EC35AD"/>
    <w:rsid w:val="00EC48F5"/>
    <w:rsid w:val="00EC4F9D"/>
    <w:rsid w:val="00EC50A3"/>
    <w:rsid w:val="00EC551F"/>
    <w:rsid w:val="00EC5956"/>
    <w:rsid w:val="00EC5EFB"/>
    <w:rsid w:val="00EC6654"/>
    <w:rsid w:val="00EC766B"/>
    <w:rsid w:val="00ED0537"/>
    <w:rsid w:val="00ED0C25"/>
    <w:rsid w:val="00ED0E35"/>
    <w:rsid w:val="00ED13D8"/>
    <w:rsid w:val="00ED180C"/>
    <w:rsid w:val="00ED18EA"/>
    <w:rsid w:val="00ED1B63"/>
    <w:rsid w:val="00ED2697"/>
    <w:rsid w:val="00ED31D4"/>
    <w:rsid w:val="00ED3B7D"/>
    <w:rsid w:val="00ED4623"/>
    <w:rsid w:val="00ED54DA"/>
    <w:rsid w:val="00ED579A"/>
    <w:rsid w:val="00ED59ED"/>
    <w:rsid w:val="00ED5A2D"/>
    <w:rsid w:val="00ED6047"/>
    <w:rsid w:val="00ED6163"/>
    <w:rsid w:val="00ED6286"/>
    <w:rsid w:val="00ED6509"/>
    <w:rsid w:val="00ED6521"/>
    <w:rsid w:val="00ED65C3"/>
    <w:rsid w:val="00ED673B"/>
    <w:rsid w:val="00ED6CFE"/>
    <w:rsid w:val="00ED6FD1"/>
    <w:rsid w:val="00ED735F"/>
    <w:rsid w:val="00ED7795"/>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AFE"/>
    <w:rsid w:val="00EF5DC7"/>
    <w:rsid w:val="00EF63AC"/>
    <w:rsid w:val="00EF7852"/>
    <w:rsid w:val="00EF7CA6"/>
    <w:rsid w:val="00F010BE"/>
    <w:rsid w:val="00F016F6"/>
    <w:rsid w:val="00F0406C"/>
    <w:rsid w:val="00F051E3"/>
    <w:rsid w:val="00F06612"/>
    <w:rsid w:val="00F079C8"/>
    <w:rsid w:val="00F1051B"/>
    <w:rsid w:val="00F11B1B"/>
    <w:rsid w:val="00F121C4"/>
    <w:rsid w:val="00F1262F"/>
    <w:rsid w:val="00F12DF4"/>
    <w:rsid w:val="00F13AC8"/>
    <w:rsid w:val="00F14A53"/>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731"/>
    <w:rsid w:val="00F31D4D"/>
    <w:rsid w:val="00F31FE9"/>
    <w:rsid w:val="00F32897"/>
    <w:rsid w:val="00F32D25"/>
    <w:rsid w:val="00F32EFE"/>
    <w:rsid w:val="00F341A9"/>
    <w:rsid w:val="00F351BC"/>
    <w:rsid w:val="00F351C2"/>
    <w:rsid w:val="00F35F8E"/>
    <w:rsid w:val="00F36050"/>
    <w:rsid w:val="00F36B44"/>
    <w:rsid w:val="00F37EA8"/>
    <w:rsid w:val="00F40561"/>
    <w:rsid w:val="00F4375B"/>
    <w:rsid w:val="00F44659"/>
    <w:rsid w:val="00F44932"/>
    <w:rsid w:val="00F4630A"/>
    <w:rsid w:val="00F46CA7"/>
    <w:rsid w:val="00F47D50"/>
    <w:rsid w:val="00F51D9C"/>
    <w:rsid w:val="00F52CC4"/>
    <w:rsid w:val="00F52D2E"/>
    <w:rsid w:val="00F53B51"/>
    <w:rsid w:val="00F54212"/>
    <w:rsid w:val="00F60282"/>
    <w:rsid w:val="00F60300"/>
    <w:rsid w:val="00F62008"/>
    <w:rsid w:val="00F6301F"/>
    <w:rsid w:val="00F64380"/>
    <w:rsid w:val="00F644AF"/>
    <w:rsid w:val="00F653AE"/>
    <w:rsid w:val="00F654FA"/>
    <w:rsid w:val="00F66E71"/>
    <w:rsid w:val="00F67769"/>
    <w:rsid w:val="00F67AF9"/>
    <w:rsid w:val="00F7023B"/>
    <w:rsid w:val="00F71CA5"/>
    <w:rsid w:val="00F71EEC"/>
    <w:rsid w:val="00F721BB"/>
    <w:rsid w:val="00F731BF"/>
    <w:rsid w:val="00F7348A"/>
    <w:rsid w:val="00F73653"/>
    <w:rsid w:val="00F758DF"/>
    <w:rsid w:val="00F76302"/>
    <w:rsid w:val="00F76322"/>
    <w:rsid w:val="00F76898"/>
    <w:rsid w:val="00F76A37"/>
    <w:rsid w:val="00F76C91"/>
    <w:rsid w:val="00F76DF5"/>
    <w:rsid w:val="00F7733F"/>
    <w:rsid w:val="00F77C09"/>
    <w:rsid w:val="00F80424"/>
    <w:rsid w:val="00F81A1F"/>
    <w:rsid w:val="00F81BCD"/>
    <w:rsid w:val="00F82061"/>
    <w:rsid w:val="00F82436"/>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04DA"/>
    <w:rsid w:val="00FA1E25"/>
    <w:rsid w:val="00FA1F6D"/>
    <w:rsid w:val="00FA2046"/>
    <w:rsid w:val="00FA352C"/>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6CE1"/>
    <w:rsid w:val="00FB7547"/>
    <w:rsid w:val="00FC02B1"/>
    <w:rsid w:val="00FC02D5"/>
    <w:rsid w:val="00FC086F"/>
    <w:rsid w:val="00FC0A73"/>
    <w:rsid w:val="00FC0C49"/>
    <w:rsid w:val="00FC12A9"/>
    <w:rsid w:val="00FC246C"/>
    <w:rsid w:val="00FC2E38"/>
    <w:rsid w:val="00FC3414"/>
    <w:rsid w:val="00FC3662"/>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90B"/>
    <w:rsid w:val="00FD0DA5"/>
    <w:rsid w:val="00FD0E83"/>
    <w:rsid w:val="00FD18F1"/>
    <w:rsid w:val="00FD1F6A"/>
    <w:rsid w:val="00FD2509"/>
    <w:rsid w:val="00FD25F5"/>
    <w:rsid w:val="00FD32E2"/>
    <w:rsid w:val="00FD371D"/>
    <w:rsid w:val="00FD3A28"/>
    <w:rsid w:val="00FD423B"/>
    <w:rsid w:val="00FD4B7B"/>
    <w:rsid w:val="00FD4E2E"/>
    <w:rsid w:val="00FD5F7F"/>
    <w:rsid w:val="00FD617C"/>
    <w:rsid w:val="00FD67EC"/>
    <w:rsid w:val="00FD7501"/>
    <w:rsid w:val="00FE0C99"/>
    <w:rsid w:val="00FE0E3B"/>
    <w:rsid w:val="00FE0FC6"/>
    <w:rsid w:val="00FE1683"/>
    <w:rsid w:val="00FE2963"/>
    <w:rsid w:val="00FE3E76"/>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1AF470A"/>
    <w:rsid w:val="031E451D"/>
    <w:rsid w:val="0324297D"/>
    <w:rsid w:val="03AF33C7"/>
    <w:rsid w:val="04DD5D12"/>
    <w:rsid w:val="06016502"/>
    <w:rsid w:val="064A1471"/>
    <w:rsid w:val="07207B4F"/>
    <w:rsid w:val="07CC279A"/>
    <w:rsid w:val="082425D6"/>
    <w:rsid w:val="08A810C0"/>
    <w:rsid w:val="0B444D3D"/>
    <w:rsid w:val="0B9A2BAF"/>
    <w:rsid w:val="0D054058"/>
    <w:rsid w:val="0D1063D9"/>
    <w:rsid w:val="0F7F71EF"/>
    <w:rsid w:val="0FA97864"/>
    <w:rsid w:val="0FAE4DC5"/>
    <w:rsid w:val="10B4760D"/>
    <w:rsid w:val="110864A9"/>
    <w:rsid w:val="115D4462"/>
    <w:rsid w:val="14397409"/>
    <w:rsid w:val="145D29CB"/>
    <w:rsid w:val="14BB3CB3"/>
    <w:rsid w:val="160550C9"/>
    <w:rsid w:val="16161084"/>
    <w:rsid w:val="17B063C1"/>
    <w:rsid w:val="17F7B770"/>
    <w:rsid w:val="190B66EE"/>
    <w:rsid w:val="190F4FF3"/>
    <w:rsid w:val="19BA3865"/>
    <w:rsid w:val="1BA12817"/>
    <w:rsid w:val="1CBB4733"/>
    <w:rsid w:val="1D444728"/>
    <w:rsid w:val="1E4F7829"/>
    <w:rsid w:val="1E5543EF"/>
    <w:rsid w:val="1FCA360B"/>
    <w:rsid w:val="21025026"/>
    <w:rsid w:val="216E4EBF"/>
    <w:rsid w:val="22E76D6C"/>
    <w:rsid w:val="23DC56BB"/>
    <w:rsid w:val="25214D21"/>
    <w:rsid w:val="258E2EC9"/>
    <w:rsid w:val="264659B5"/>
    <w:rsid w:val="268362C1"/>
    <w:rsid w:val="276D4AE9"/>
    <w:rsid w:val="281E3468"/>
    <w:rsid w:val="29A417D9"/>
    <w:rsid w:val="2A9D36CA"/>
    <w:rsid w:val="2B3B360F"/>
    <w:rsid w:val="2B990335"/>
    <w:rsid w:val="2C532BDA"/>
    <w:rsid w:val="2CBF3DCB"/>
    <w:rsid w:val="2DEA131C"/>
    <w:rsid w:val="2E975000"/>
    <w:rsid w:val="2EFE6E2D"/>
    <w:rsid w:val="2F300FB0"/>
    <w:rsid w:val="2F68699C"/>
    <w:rsid w:val="2FBFA91C"/>
    <w:rsid w:val="2FFE619D"/>
    <w:rsid w:val="30633C00"/>
    <w:rsid w:val="3078676B"/>
    <w:rsid w:val="307F7677"/>
    <w:rsid w:val="319D38E2"/>
    <w:rsid w:val="3252216F"/>
    <w:rsid w:val="333472C1"/>
    <w:rsid w:val="334E7C57"/>
    <w:rsid w:val="349B3370"/>
    <w:rsid w:val="35054965"/>
    <w:rsid w:val="358C1A11"/>
    <w:rsid w:val="366A04C8"/>
    <w:rsid w:val="366F39FF"/>
    <w:rsid w:val="393E18D8"/>
    <w:rsid w:val="39A131D7"/>
    <w:rsid w:val="3A551032"/>
    <w:rsid w:val="3A9C574C"/>
    <w:rsid w:val="3B7D732B"/>
    <w:rsid w:val="3C092149"/>
    <w:rsid w:val="3C30439E"/>
    <w:rsid w:val="3C4C2633"/>
    <w:rsid w:val="3D3FCC11"/>
    <w:rsid w:val="3D42082D"/>
    <w:rsid w:val="3DFA1107"/>
    <w:rsid w:val="3E281B32"/>
    <w:rsid w:val="3EF95A0F"/>
    <w:rsid w:val="41BB0BAE"/>
    <w:rsid w:val="42894808"/>
    <w:rsid w:val="43877C23"/>
    <w:rsid w:val="43BD0C0D"/>
    <w:rsid w:val="43C81360"/>
    <w:rsid w:val="45435142"/>
    <w:rsid w:val="45EF922E"/>
    <w:rsid w:val="45F621B4"/>
    <w:rsid w:val="46B1257F"/>
    <w:rsid w:val="471843AC"/>
    <w:rsid w:val="47D94C06"/>
    <w:rsid w:val="48133F67"/>
    <w:rsid w:val="4A5C286E"/>
    <w:rsid w:val="4B0557AD"/>
    <w:rsid w:val="4BB8391B"/>
    <w:rsid w:val="4C177328"/>
    <w:rsid w:val="4DE65204"/>
    <w:rsid w:val="4EA24A0B"/>
    <w:rsid w:val="4ECFE20B"/>
    <w:rsid w:val="4F5877BA"/>
    <w:rsid w:val="4F7F1E43"/>
    <w:rsid w:val="510B49FC"/>
    <w:rsid w:val="51D75590"/>
    <w:rsid w:val="528F5E6A"/>
    <w:rsid w:val="53226CDE"/>
    <w:rsid w:val="53256E3A"/>
    <w:rsid w:val="533BA034"/>
    <w:rsid w:val="53407165"/>
    <w:rsid w:val="54210D44"/>
    <w:rsid w:val="54817A35"/>
    <w:rsid w:val="559E63C4"/>
    <w:rsid w:val="56987CD9"/>
    <w:rsid w:val="56ABEAFD"/>
    <w:rsid w:val="584C64D4"/>
    <w:rsid w:val="58DC16DE"/>
    <w:rsid w:val="59FB3DE5"/>
    <w:rsid w:val="5AF745AD"/>
    <w:rsid w:val="5AFAA8A7"/>
    <w:rsid w:val="5BA8303B"/>
    <w:rsid w:val="5BEFF08E"/>
    <w:rsid w:val="5C052CF9"/>
    <w:rsid w:val="5CB14C2F"/>
    <w:rsid w:val="5D005D02"/>
    <w:rsid w:val="5D0A74FB"/>
    <w:rsid w:val="5ECE7D1A"/>
    <w:rsid w:val="5F2D2C93"/>
    <w:rsid w:val="5F520AB8"/>
    <w:rsid w:val="5FBF4A7D"/>
    <w:rsid w:val="60397415"/>
    <w:rsid w:val="60D333C6"/>
    <w:rsid w:val="61287FB3"/>
    <w:rsid w:val="61342808"/>
    <w:rsid w:val="631303F2"/>
    <w:rsid w:val="65836819"/>
    <w:rsid w:val="65FDFE34"/>
    <w:rsid w:val="66776087"/>
    <w:rsid w:val="677B47B7"/>
    <w:rsid w:val="67DB7004"/>
    <w:rsid w:val="68B24209"/>
    <w:rsid w:val="68E5638C"/>
    <w:rsid w:val="6AA638F9"/>
    <w:rsid w:val="6ACC112A"/>
    <w:rsid w:val="6D885538"/>
    <w:rsid w:val="6DDE15FC"/>
    <w:rsid w:val="6DFF1C9E"/>
    <w:rsid w:val="6E7F8A81"/>
    <w:rsid w:val="6EFD1D09"/>
    <w:rsid w:val="6FDF6C5B"/>
    <w:rsid w:val="70864E24"/>
    <w:rsid w:val="70BD374B"/>
    <w:rsid w:val="717209D9"/>
    <w:rsid w:val="72556331"/>
    <w:rsid w:val="726FF845"/>
    <w:rsid w:val="72D059B7"/>
    <w:rsid w:val="731F06ED"/>
    <w:rsid w:val="732D399A"/>
    <w:rsid w:val="73605B94"/>
    <w:rsid w:val="73C61C18"/>
    <w:rsid w:val="73DB133F"/>
    <w:rsid w:val="74510D7A"/>
    <w:rsid w:val="74FB1F55"/>
    <w:rsid w:val="752B3379"/>
    <w:rsid w:val="75F95225"/>
    <w:rsid w:val="77843A34"/>
    <w:rsid w:val="77BA20A0"/>
    <w:rsid w:val="782E1286"/>
    <w:rsid w:val="785715FC"/>
    <w:rsid w:val="78591FAB"/>
    <w:rsid w:val="79376736"/>
    <w:rsid w:val="79A73F5B"/>
    <w:rsid w:val="79D00993"/>
    <w:rsid w:val="79DD6C0C"/>
    <w:rsid w:val="7A3E27F5"/>
    <w:rsid w:val="7A9F25EF"/>
    <w:rsid w:val="7AF26810"/>
    <w:rsid w:val="7AFF14C8"/>
    <w:rsid w:val="7B12399A"/>
    <w:rsid w:val="7B6E3FBF"/>
    <w:rsid w:val="7BB22BED"/>
    <w:rsid w:val="7BD5A5C5"/>
    <w:rsid w:val="7BEF4EDA"/>
    <w:rsid w:val="7BEF71CB"/>
    <w:rsid w:val="7BF7C6AF"/>
    <w:rsid w:val="7C02295A"/>
    <w:rsid w:val="7D450D50"/>
    <w:rsid w:val="7D9B3066"/>
    <w:rsid w:val="7DA448B4"/>
    <w:rsid w:val="7DFF8703"/>
    <w:rsid w:val="7F455AEC"/>
    <w:rsid w:val="7FBF9F48"/>
    <w:rsid w:val="7FEF2168"/>
    <w:rsid w:val="7FFCA91F"/>
    <w:rsid w:val="7FFF543D"/>
    <w:rsid w:val="ABF9FCE5"/>
    <w:rsid w:val="AF7D2091"/>
    <w:rsid w:val="B2F19440"/>
    <w:rsid w:val="B7EF59C0"/>
    <w:rsid w:val="BB9F9AD8"/>
    <w:rsid w:val="BBBEFA4D"/>
    <w:rsid w:val="BCEF90D8"/>
    <w:rsid w:val="BDFFE75E"/>
    <w:rsid w:val="BE9DD776"/>
    <w:rsid w:val="BF7E02A9"/>
    <w:rsid w:val="BFEB597D"/>
    <w:rsid w:val="DF469BDF"/>
    <w:rsid w:val="DFEDA2CB"/>
    <w:rsid w:val="E1BB1D6B"/>
    <w:rsid w:val="E7DB6D63"/>
    <w:rsid w:val="EBD5CB25"/>
    <w:rsid w:val="EBFDDC54"/>
    <w:rsid w:val="EC7E0129"/>
    <w:rsid w:val="EE7FF5A3"/>
    <w:rsid w:val="EEEEC685"/>
    <w:rsid w:val="F07DAD7C"/>
    <w:rsid w:val="F7EAF2F9"/>
    <w:rsid w:val="F9EE0FEB"/>
    <w:rsid w:val="FAFE15E7"/>
    <w:rsid w:val="FBBF7A72"/>
    <w:rsid w:val="FBDD4DFF"/>
    <w:rsid w:val="FBEEE88B"/>
    <w:rsid w:val="FF7F5E16"/>
    <w:rsid w:val="FF7F8E5D"/>
    <w:rsid w:val="FFBF77E0"/>
    <w:rsid w:val="FFFF9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link w:val="19"/>
    <w:qFormat/>
    <w:uiPriority w:val="0"/>
    <w:pPr>
      <w:keepNext/>
      <w:keepLines/>
      <w:spacing w:before="260" w:after="260" w:line="415" w:lineRule="auto"/>
      <w:outlineLvl w:val="1"/>
    </w:pPr>
    <w:rPr>
      <w:rFonts w:ascii="Arial" w:hAnsi="Arial" w:eastAsia="黑体"/>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Calibri" w:hAnsi="Calibri" w:eastAsia="宋体"/>
      <w:sz w:val="21"/>
      <w:szCs w:val="24"/>
    </w:rPr>
  </w:style>
  <w:style w:type="paragraph" w:styleId="4">
    <w:name w:val="Body Text"/>
    <w:basedOn w:val="1"/>
    <w:next w:val="1"/>
    <w:autoRedefine/>
    <w:qFormat/>
    <w:uiPriority w:val="1"/>
    <w:pPr>
      <w:ind w:left="100" w:firstLine="559"/>
      <w:jc w:val="left"/>
    </w:pPr>
    <w:rPr>
      <w:rFonts w:ascii="宋体" w:hAnsi="宋体" w:eastAsia="宋体"/>
      <w:kern w:val="0"/>
      <w:sz w:val="28"/>
      <w:szCs w:val="28"/>
      <w:lang w:eastAsia="en-US"/>
    </w:rPr>
  </w:style>
  <w:style w:type="paragraph" w:styleId="5">
    <w:name w:val="Date"/>
    <w:basedOn w:val="1"/>
    <w:next w:val="1"/>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autoRedefine/>
    <w:qFormat/>
    <w:uiPriority w:val="99"/>
    <w:rPr>
      <w:rFonts w:ascii="Calibri" w:hAnsi="Calibri" w:eastAsia="宋体"/>
      <w:sz w:val="24"/>
      <w:szCs w:val="24"/>
    </w:rPr>
  </w:style>
  <w:style w:type="paragraph" w:styleId="9">
    <w:name w:val="Body Text First Indent"/>
    <w:basedOn w:val="4"/>
    <w:autoRedefine/>
    <w:unhideWhenUsed/>
    <w:qFormat/>
    <w:uiPriority w:val="99"/>
    <w:pPr>
      <w:ind w:firstLine="420" w:firstLineChars="100"/>
    </w:pPr>
  </w:style>
  <w:style w:type="character" w:styleId="12">
    <w:name w:val="Strong"/>
    <w:autoRedefine/>
    <w:qFormat/>
    <w:uiPriority w:val="0"/>
    <w:rPr>
      <w:b/>
      <w:bCs/>
    </w:rPr>
  </w:style>
  <w:style w:type="character" w:styleId="13">
    <w:name w:val="page number"/>
    <w:basedOn w:val="11"/>
    <w:autoRedefine/>
    <w:qFormat/>
    <w:uiPriority w:val="0"/>
  </w:style>
  <w:style w:type="paragraph" w:customStyle="1" w:styleId="14">
    <w:name w:val="Default"/>
    <w:next w:val="1"/>
    <w:autoRedefine/>
    <w:qFormat/>
    <w:uiPriority w:val="0"/>
    <w:pPr>
      <w:widowControl w:val="0"/>
      <w:autoSpaceDE w:val="0"/>
      <w:autoSpaceDN w:val="0"/>
      <w:adjustRightInd w:val="0"/>
    </w:pPr>
    <w:rPr>
      <w:rFonts w:ascii="Arial Unicode MS" w:hAnsi="Arial Unicode MS" w:eastAsia="Times New Roman" w:cs="Arial Unicode MS"/>
      <w:color w:val="000000"/>
      <w:sz w:val="24"/>
      <w:szCs w:val="24"/>
      <w:lang w:val="en-US" w:eastAsia="zh-CN" w:bidi="ar-SA"/>
    </w:rPr>
  </w:style>
  <w:style w:type="paragraph" w:customStyle="1" w:styleId="15">
    <w:name w:val="_Style 11"/>
    <w:basedOn w:val="1"/>
    <w:autoRedefine/>
    <w:qFormat/>
    <w:uiPriority w:val="34"/>
    <w:pPr>
      <w:ind w:firstLine="420" w:firstLineChars="200"/>
    </w:pPr>
    <w:rPr>
      <w:rFonts w:ascii="Calibri" w:hAnsi="Calibri" w:eastAsia="宋体"/>
      <w:sz w:val="21"/>
      <w:szCs w:val="22"/>
    </w:rPr>
  </w:style>
  <w:style w:type="paragraph" w:customStyle="1" w:styleId="16">
    <w:name w:val="_Style 12"/>
    <w:autoRedefine/>
    <w:qFormat/>
    <w:uiPriority w:val="1"/>
    <w:pPr>
      <w:widowControl w:val="0"/>
      <w:jc w:val="both"/>
    </w:pPr>
    <w:rPr>
      <w:rFonts w:ascii="Times New Roman" w:hAnsi="Times New Roman" w:eastAsia="方正仿宋_GBK" w:cs="Times New Roman"/>
      <w:kern w:val="2"/>
      <w:sz w:val="33"/>
      <w:szCs w:val="33"/>
      <w:lang w:val="en-US" w:eastAsia="zh-CN" w:bidi="ar-SA"/>
    </w:rPr>
  </w:style>
  <w:style w:type="paragraph" w:customStyle="1" w:styleId="17">
    <w:name w:val="p0"/>
    <w:basedOn w:val="1"/>
    <w:autoRedefine/>
    <w:qFormat/>
    <w:uiPriority w:val="0"/>
    <w:pPr>
      <w:widowControl/>
    </w:pPr>
    <w:rPr>
      <w:rFonts w:ascii="Calibri" w:hAnsi="Calibri" w:eastAsia="宋体"/>
      <w:kern w:val="0"/>
      <w:sz w:val="21"/>
      <w:szCs w:val="21"/>
    </w:rPr>
  </w:style>
  <w:style w:type="paragraph" w:customStyle="1" w:styleId="18">
    <w:name w:val="正文文本 22"/>
    <w:basedOn w:val="1"/>
    <w:autoRedefine/>
    <w:qFormat/>
    <w:uiPriority w:val="0"/>
    <w:pPr>
      <w:spacing w:after="120" w:line="480" w:lineRule="auto"/>
    </w:pPr>
    <w:rPr>
      <w:rFonts w:eastAsia="宋体"/>
      <w:szCs w:val="24"/>
    </w:rPr>
  </w:style>
  <w:style w:type="character" w:customStyle="1" w:styleId="19">
    <w:name w:val="标题 2 Char"/>
    <w:link w:val="2"/>
    <w:autoRedefine/>
    <w:qFormat/>
    <w:uiPriority w:val="0"/>
    <w:rPr>
      <w:rFonts w:ascii="Arial" w:hAnsi="Arial" w:eastAsia="黑体"/>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6</Pages>
  <Words>3449</Words>
  <Characters>3586</Characters>
  <Lines>25</Lines>
  <Paragraphs>7</Paragraphs>
  <TotalTime>18</TotalTime>
  <ScaleCrop>false</ScaleCrop>
  <LinksUpToDate>false</LinksUpToDate>
  <CharactersWithSpaces>3589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2023-02-15T17:52:00Z</dcterms:created>
  <dc:creator>微软中国</dc:creator>
  <cp:lastModifiedBy>温星星</cp:lastModifiedBy>
  <cp:lastPrinted>2024-01-19T17:12:00Z</cp:lastPrinted>
  <dcterms:modified xsi:type="dcterms:W3CDTF">2024-12-25T08:54:33Z</dcterms:modified>
  <dc:title>（来文单位：□□□□）</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015396FB0E61FD4B18CEA96579EA5531</vt:lpwstr>
  </property>
  <property fmtid="{D5CDD505-2E9C-101B-9397-08002B2CF9AE}" pid="4" name="KSOTemplateDocerSaveRecord">
    <vt:lpwstr>eyJoZGlkIjoiZDRlMTI0ZmZkNWVkNDk2ZTg4NWYwOTQyMjQxMmY4NGEiLCJ1c2VySWQiOiIxMzIzODcwMDMzIn0=</vt:lpwstr>
  </property>
</Properties>
</file>