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7D00F">
      <w:pPr>
        <w:ind w:firstLine="660"/>
        <w:rPr>
          <w:rFonts w:ascii="Times New Roman"/>
        </w:rPr>
      </w:pPr>
    </w:p>
    <w:p w14:paraId="573D259E">
      <w:pPr>
        <w:ind w:firstLine="660"/>
        <w:rPr>
          <w:rFonts w:ascii="Times New Roman"/>
        </w:rPr>
      </w:pPr>
    </w:p>
    <w:p w14:paraId="34956636">
      <w:pPr>
        <w:ind w:firstLine="660"/>
        <w:rPr>
          <w:rFonts w:ascii="Times New Roman"/>
        </w:rPr>
      </w:pPr>
    </w:p>
    <w:p w14:paraId="01CC02BD">
      <w:pPr>
        <w:ind w:firstLine="660"/>
        <w:rPr>
          <w:rFonts w:ascii="Times New Roman"/>
        </w:rPr>
      </w:pPr>
      <w:r>
        <w:rPr>
          <w:rFonts w:ascii="Times New Roman"/>
        </w:rPr>
        <w:pict>
          <v:group id="组合 31" o:spid="_x0000_s1026" o:spt="203" style="position:absolute;left:0pt;margin-left:11.95pt;margin-top:19.15pt;height:145.7pt;width:442.2pt;z-index:251659264;mso-width-relative:page;mso-height-relative:page;" coordorigin="1530,4038" coordsize="8844,2914">
            <o:lock v:ext="edit"/>
            <v:shape id="艺术字 32" o:spid="_x0000_s1027" o:spt="136" type="#_x0000_t136" style="position:absolute;left:1862;top:4038;height:1020;width:8220;" fillcolor="#FF0000" filled="t" stroked="f" coordsize="21600,21600">
              <v:path/>
              <v:fill on="t" focussize="0,0"/>
              <v:stroke on="f"/>
              <v:imagedata o:title=""/>
              <o:lock v:ext="edit"/>
              <v:textpath on="t" fitshape="t" fitpath="t" trim="t" xscale="f" string="中共丰都县经信委党组" style="font-family:方正小标宋_GBK;font-size:36pt;font-weight:bold;v-text-align:center;"/>
            </v:shape>
            <v:line id="直线 33" o:spid="_x0000_s1028" o:spt="20" style="position:absolute;left:1530;top:6750;height:0;width:3994;" stroked="t" coordsize="21600,21600">
              <v:path arrowok="t"/>
              <v:fill focussize="0,0"/>
              <v:stroke weight="2.25pt" color="#FF0000"/>
              <v:imagedata o:title=""/>
              <o:lock v:ext="edit"/>
            </v:line>
            <v:line id="直线 34" o:spid="_x0000_s1029" o:spt="20" style="position:absolute;left:6282;top:6751;height:0;width:4092;" stroked="t" coordsize="21600,21600">
              <v:path arrowok="t"/>
              <v:fill focussize="0,0"/>
              <v:stroke weight="2.25pt" color="#FF0000"/>
              <v:imagedata o:title=""/>
              <o:lock v:ext="edit"/>
            </v:line>
            <v:shape id="自选图形 35" o:spid="_x0000_s1030" o:spt="12" type="#_x0000_t12" style="position:absolute;left:5683;top:6499;height:453;width:476;" fillcolor="#FF0000" filled="t" stroked="f" coordsize="21600,21600">
              <v:path/>
              <v:fill on="t" focussize="0,0"/>
              <v:stroke on="f" joinstyle="miter"/>
              <v:imagedata o:title=""/>
              <o:lock v:ext="edit" aspectratio="t"/>
            </v:shape>
          </v:group>
        </w:pict>
      </w:r>
    </w:p>
    <w:p w14:paraId="484E5A73">
      <w:pPr>
        <w:pStyle w:val="2"/>
        <w:spacing w:line="600" w:lineRule="exact"/>
        <w:ind w:firstLine="663"/>
        <w:rPr>
          <w:rFonts w:ascii="Times New Roman" w:hAnsi="Times New Roman"/>
          <w:color w:val="000000"/>
        </w:rPr>
      </w:pPr>
      <w:r>
        <w:rPr>
          <w:rFonts w:ascii="Times New Roman" w:hAnsi="Times New Roman"/>
          <w:color w:val="000000"/>
        </w:rPr>
        <w:t xml:space="preserve">  </w:t>
      </w:r>
    </w:p>
    <w:p w14:paraId="6FC13CE0">
      <w:pPr>
        <w:pStyle w:val="2"/>
        <w:spacing w:line="600" w:lineRule="exact"/>
        <w:ind w:firstLine="663"/>
        <w:jc w:val="center"/>
        <w:rPr>
          <w:rFonts w:ascii="Times New Roman" w:hAnsi="Times New Roman"/>
          <w:color w:val="000000"/>
        </w:rPr>
      </w:pPr>
    </w:p>
    <w:p w14:paraId="322FF8CE">
      <w:pPr>
        <w:pStyle w:val="2"/>
        <w:spacing w:line="600" w:lineRule="exact"/>
        <w:ind w:firstLine="663"/>
        <w:jc w:val="center"/>
        <w:rPr>
          <w:rFonts w:ascii="Times New Roman" w:hAnsi="Times New Roman"/>
          <w:color w:val="000000"/>
        </w:rPr>
      </w:pPr>
    </w:p>
    <w:p w14:paraId="24BC5ABA">
      <w:pPr>
        <w:pStyle w:val="2"/>
        <w:spacing w:line="600" w:lineRule="exact"/>
        <w:ind w:firstLine="320" w:firstLineChars="100"/>
        <w:rPr>
          <w:rFonts w:ascii="Times New Roman" w:hAnsi="Times New Roman"/>
          <w:color w:val="000000"/>
        </w:rPr>
      </w:pPr>
      <w:r>
        <w:rPr>
          <w:rFonts w:ascii="Times New Roman" w:hAnsi="Times New Roman"/>
          <w:color w:val="000000"/>
        </w:rPr>
        <w:t>丰经信党组文</w:t>
      </w:r>
      <w:r>
        <w:rPr>
          <w:rFonts w:ascii="Times New Roman" w:hAnsi="Times New Roman"/>
          <w:bCs/>
          <w:color w:val="000000"/>
          <w:szCs w:val="32"/>
        </w:rPr>
        <w:t>〔2023〕</w:t>
      </w:r>
      <w:r>
        <w:rPr>
          <w:rFonts w:ascii="Times New Roman" w:hAnsi="Times New Roman"/>
          <w:color w:val="000000"/>
        </w:rPr>
        <w:t>1</w:t>
      </w:r>
      <w:r>
        <w:rPr>
          <w:rFonts w:hint="eastAsia" w:ascii="Times New Roman" w:hAnsi="Times New Roman"/>
          <w:color w:val="000000"/>
        </w:rPr>
        <w:t>2</w:t>
      </w:r>
      <w:r>
        <w:rPr>
          <w:rFonts w:ascii="Times New Roman" w:hAnsi="Times New Roman"/>
          <w:color w:val="000000"/>
        </w:rPr>
        <w:t xml:space="preserve">号   </w:t>
      </w:r>
      <w:r>
        <w:rPr>
          <w:rFonts w:hint="eastAsia" w:ascii="Times New Roman" w:hAnsi="Times New Roman"/>
          <w:color w:val="000000"/>
        </w:rPr>
        <w:t xml:space="preserve">  </w:t>
      </w:r>
      <w:r>
        <w:rPr>
          <w:rFonts w:ascii="Times New Roman" w:hAnsi="Times New Roman"/>
          <w:color w:val="000000"/>
        </w:rPr>
        <w:t xml:space="preserve">         签发人：</w:t>
      </w:r>
      <w:r>
        <w:rPr>
          <w:rFonts w:ascii="Times New Roman" w:hAnsi="Times New Roman" w:eastAsia="方正楷体_GBK"/>
          <w:color w:val="000000"/>
        </w:rPr>
        <w:t>安胜余</w:t>
      </w:r>
    </w:p>
    <w:p w14:paraId="2642EDB9">
      <w:pPr>
        <w:tabs>
          <w:tab w:val="left" w:pos="1272"/>
        </w:tabs>
        <w:spacing w:line="640" w:lineRule="exact"/>
        <w:ind w:firstLine="880"/>
        <w:jc w:val="center"/>
        <w:rPr>
          <w:rFonts w:ascii="Times New Roman" w:eastAsia="方正小标宋_GBK"/>
          <w:sz w:val="44"/>
          <w:szCs w:val="44"/>
        </w:rPr>
      </w:pPr>
    </w:p>
    <w:p w14:paraId="25028FA7">
      <w:pPr>
        <w:spacing w:line="600" w:lineRule="exact"/>
        <w:jc w:val="center"/>
        <w:rPr>
          <w:rFonts w:ascii="Times New Roman" w:eastAsia="方正小标宋_GBK"/>
          <w:sz w:val="44"/>
          <w:szCs w:val="44"/>
        </w:rPr>
      </w:pPr>
    </w:p>
    <w:p w14:paraId="6D82757E">
      <w:pPr>
        <w:spacing w:line="600" w:lineRule="exact"/>
        <w:jc w:val="center"/>
        <w:rPr>
          <w:rFonts w:ascii="Times New Roman" w:eastAsia="方正小标宋_GBK"/>
          <w:sz w:val="44"/>
          <w:szCs w:val="44"/>
        </w:rPr>
      </w:pPr>
      <w:r>
        <w:rPr>
          <w:rFonts w:ascii="Times New Roman" w:eastAsia="方正小标宋_GBK"/>
          <w:sz w:val="44"/>
          <w:szCs w:val="44"/>
        </w:rPr>
        <w:t>中共丰都县经济和信息化委员会党组</w:t>
      </w:r>
    </w:p>
    <w:p w14:paraId="02139944">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丰都县经济和信息化委员会</w:t>
      </w:r>
    </w:p>
    <w:p w14:paraId="00DDEEE2">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w:t>
      </w:r>
      <w:r>
        <w:rPr>
          <w:rFonts w:ascii="Times New Roman" w:hAnsi="Times New Roman" w:eastAsia="方正小标宋_GBK"/>
          <w:sz w:val="44"/>
          <w:szCs w:val="44"/>
        </w:rPr>
        <w:t>20</w:t>
      </w:r>
      <w:r>
        <w:rPr>
          <w:rFonts w:hint="eastAsia" w:ascii="Times New Roman" w:hAnsi="Times New Roman" w:eastAsia="方正小标宋_GBK"/>
          <w:sz w:val="44"/>
          <w:szCs w:val="44"/>
        </w:rPr>
        <w:t>22年度法治政府建设工作开展</w:t>
      </w:r>
    </w:p>
    <w:p w14:paraId="31445106">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情况的报告</w:t>
      </w:r>
    </w:p>
    <w:p w14:paraId="1FF6479B">
      <w:pPr>
        <w:spacing w:line="540" w:lineRule="exact"/>
        <w:ind w:firstLine="420" w:firstLineChars="200"/>
        <w:rPr>
          <w:rFonts w:ascii="Times New Roman" w:hAnsi="Times New Roman"/>
        </w:rPr>
      </w:pPr>
    </w:p>
    <w:p w14:paraId="6BA819E2">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县委、县政府：</w:t>
      </w:r>
    </w:p>
    <w:p w14:paraId="540DD082">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22年，在县委、县政府的坚强领导下，</w:t>
      </w:r>
      <w:r>
        <w:rPr>
          <w:rFonts w:eastAsia="方正仿宋_GBK"/>
          <w:sz w:val="32"/>
          <w:szCs w:val="32"/>
        </w:rPr>
        <w:t>县经济信息委坚持以习近平新时代中国特色社会主义思想为指导，全面贯彻党的十九大</w:t>
      </w:r>
      <w:r>
        <w:rPr>
          <w:rFonts w:hint="eastAsia" w:eastAsia="方正仿宋_GBK"/>
          <w:sz w:val="32"/>
          <w:szCs w:val="32"/>
        </w:rPr>
        <w:t>、</w:t>
      </w:r>
      <w:r>
        <w:rPr>
          <w:rFonts w:hint="eastAsia" w:eastAsia="方正仿宋_GBK"/>
          <w:sz w:val="32"/>
          <w:szCs w:val="32"/>
          <w:lang w:eastAsia="zh-CN"/>
        </w:rPr>
        <w:t>党的二十大精神</w:t>
      </w:r>
      <w:r>
        <w:rPr>
          <w:rFonts w:hint="eastAsia" w:eastAsia="方正仿宋_GBK"/>
          <w:sz w:val="32"/>
          <w:szCs w:val="32"/>
        </w:rPr>
        <w:t>和</w:t>
      </w:r>
      <w:r>
        <w:rPr>
          <w:rFonts w:hint="eastAsia" w:ascii="Times New Roman" w:hAnsi="Times New Roman" w:eastAsia="方正仿宋_GBK"/>
          <w:sz w:val="32"/>
          <w:szCs w:val="32"/>
        </w:rPr>
        <w:t>习近平总书记关于法治政府建设的重要批示精神，</w:t>
      </w:r>
      <w:r>
        <w:rPr>
          <w:rFonts w:ascii="Times New Roman" w:hAnsi="Times New Roman" w:eastAsia="方正仿宋_GBK"/>
          <w:sz w:val="32"/>
          <w:szCs w:val="32"/>
        </w:rPr>
        <w:t>坚定不移紧扣</w:t>
      </w:r>
      <w:r>
        <w:rPr>
          <w:rFonts w:hint="eastAsia" w:ascii="Times New Roman" w:hAnsi="Times New Roman" w:eastAsia="方正仿宋_GBK"/>
          <w:sz w:val="32"/>
          <w:szCs w:val="32"/>
        </w:rPr>
        <w:t>全县经济信息发展</w:t>
      </w:r>
      <w:r>
        <w:rPr>
          <w:rFonts w:ascii="Times New Roman" w:hAnsi="Times New Roman" w:eastAsia="方正仿宋_GBK"/>
          <w:sz w:val="32"/>
          <w:szCs w:val="32"/>
        </w:rPr>
        <w:t>思路，自觉运用法治思维和法治方式推动全县工业经济实现高质量发展</w:t>
      </w:r>
      <w:r>
        <w:rPr>
          <w:rFonts w:hint="eastAsia" w:ascii="Times New Roman" w:hAnsi="Times New Roman" w:eastAsia="方正仿宋_GBK"/>
          <w:sz w:val="32"/>
          <w:szCs w:val="32"/>
        </w:rPr>
        <w:t>，</w:t>
      </w:r>
      <w:r>
        <w:rPr>
          <w:rFonts w:ascii="Times New Roman" w:hAnsi="Times New Roman" w:eastAsia="方正仿宋_GBK"/>
          <w:sz w:val="32"/>
          <w:szCs w:val="32"/>
        </w:rPr>
        <w:t>现将202</w:t>
      </w:r>
      <w:r>
        <w:rPr>
          <w:rFonts w:hint="eastAsia" w:ascii="Times New Roman" w:hAnsi="Times New Roman" w:eastAsia="方正仿宋_GBK"/>
          <w:sz w:val="32"/>
          <w:szCs w:val="32"/>
        </w:rPr>
        <w:t>2</w:t>
      </w:r>
      <w:r>
        <w:rPr>
          <w:rFonts w:ascii="Times New Roman" w:hAnsi="Times New Roman" w:eastAsia="方正仿宋_GBK"/>
          <w:sz w:val="32"/>
          <w:szCs w:val="32"/>
        </w:rPr>
        <w:t>年法治政府建设工作开展情况报告如下：</w:t>
      </w:r>
    </w:p>
    <w:p w14:paraId="6FF158CA">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一、2022年度推进法治政府建设的主要举措和成效</w:t>
      </w:r>
    </w:p>
    <w:p w14:paraId="1B0D8E7B">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（一）加强组织保障，全力推进法治政府建设。</w:t>
      </w:r>
    </w:p>
    <w:p w14:paraId="2C41371E">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根据委领导班子分工调整情况，</w:t>
      </w:r>
      <w:r>
        <w:rPr>
          <w:rFonts w:hint="eastAsia" w:ascii="Times New Roman" w:hAnsi="Times New Roman" w:eastAsia="方正仿宋_GBK"/>
          <w:sz w:val="32"/>
          <w:szCs w:val="32"/>
        </w:rPr>
        <w:t>成立</w:t>
      </w:r>
      <w:r>
        <w:rPr>
          <w:rFonts w:ascii="Times New Roman" w:hAnsi="Times New Roman" w:eastAsia="方正仿宋_GBK"/>
          <w:sz w:val="32"/>
          <w:szCs w:val="32"/>
        </w:rPr>
        <w:t>以委党组书记、主任任组长，各分管</w:t>
      </w:r>
      <w:r>
        <w:rPr>
          <w:rFonts w:hint="eastAsia" w:ascii="Times New Roman" w:hAnsi="Times New Roman" w:eastAsia="方正仿宋_GBK"/>
          <w:sz w:val="32"/>
          <w:szCs w:val="32"/>
        </w:rPr>
        <w:t>领导</w:t>
      </w:r>
      <w:r>
        <w:rPr>
          <w:rFonts w:ascii="Times New Roman" w:hAnsi="Times New Roman" w:eastAsia="方正仿宋_GBK"/>
          <w:sz w:val="32"/>
          <w:szCs w:val="32"/>
        </w:rPr>
        <w:t>任副组长，</w:t>
      </w:r>
      <w:r>
        <w:rPr>
          <w:rFonts w:hint="eastAsia" w:ascii="Times New Roman" w:hAnsi="Times New Roman" w:eastAsia="方正仿宋_GBK"/>
          <w:sz w:val="32"/>
          <w:szCs w:val="32"/>
        </w:rPr>
        <w:t>委（中心）中层干部为</w:t>
      </w:r>
      <w:r>
        <w:rPr>
          <w:rFonts w:ascii="Times New Roman" w:hAnsi="Times New Roman" w:eastAsia="方正仿宋_GBK"/>
          <w:sz w:val="32"/>
          <w:szCs w:val="32"/>
        </w:rPr>
        <w:t>成员的县经济信息委法治政府建设工作领导小组，始终把党的领导贯穿于法治政府建设全过程</w:t>
      </w:r>
      <w:r>
        <w:rPr>
          <w:rFonts w:hint="eastAsia" w:ascii="Times New Roman" w:hAnsi="Times New Roman" w:eastAsia="方正仿宋_GBK"/>
          <w:sz w:val="32"/>
          <w:szCs w:val="32"/>
        </w:rPr>
        <w:t>，形成主要领导亲自抓，分管领导具体抓，各科室</w:t>
      </w:r>
      <w:r>
        <w:rPr>
          <w:rFonts w:hint="eastAsia" w:ascii="Times New Roman" w:hAnsi="Times New Roman" w:eastAsia="方正仿宋_GBK"/>
          <w:sz w:val="32"/>
          <w:szCs w:val="32"/>
          <w:lang w:eastAsia="zh-CN"/>
        </w:rPr>
        <w:t>各司其职</w:t>
      </w:r>
      <w:r>
        <w:rPr>
          <w:rFonts w:hint="eastAsia" w:ascii="Times New Roman" w:hAnsi="Times New Roman" w:eastAsia="方正仿宋_GBK"/>
          <w:sz w:val="32"/>
          <w:szCs w:val="32"/>
        </w:rPr>
        <w:t>，互相配合，逐项落实的工作机制，将法治政府建设工作与经济信息业务工作同安排、同检查、同督导、同考核，扎实推进治政府建设工作。</w:t>
      </w:r>
    </w:p>
    <w:p w14:paraId="3D902801">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（二）创新宣传方式，促使法治宣传入脑入心。</w:t>
      </w:r>
    </w:p>
    <w:p w14:paraId="294B7BC7">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县经济信息委根据工作实际，将法治政府建设工作与中心工作，业务工作相结合，开展形式多样的宣传活动。</w:t>
      </w:r>
      <w:r>
        <w:rPr>
          <w:rFonts w:hint="eastAsia" w:ascii="Times New Roman" w:hAnsi="Times New Roman" w:eastAsia="方正仿宋_GBK"/>
          <w:b/>
          <w:sz w:val="32"/>
          <w:szCs w:val="32"/>
        </w:rPr>
        <w:t>一</w:t>
      </w:r>
      <w:r>
        <w:rPr>
          <w:rFonts w:ascii="Times New Roman" w:hAnsi="Times New Roman" w:eastAsia="方正仿宋_GBK"/>
          <w:b/>
          <w:sz w:val="32"/>
          <w:szCs w:val="32"/>
        </w:rPr>
        <w:t>是组织全委干部职工开展专题学习。</w:t>
      </w:r>
      <w:r>
        <w:rPr>
          <w:rFonts w:ascii="Times New Roman" w:hAnsi="Times New Roman" w:eastAsia="方正仿宋_GBK"/>
          <w:sz w:val="32"/>
          <w:szCs w:val="32"/>
        </w:rPr>
        <w:t>按县经济信息委年初法治专题学习计划，重点学习习近平法治思想、宪法、民法典、《重庆市优化营商环境条例》等与</w:t>
      </w:r>
      <w:r>
        <w:rPr>
          <w:rFonts w:hint="eastAsia" w:ascii="Times New Roman" w:hAnsi="Times New Roman" w:eastAsia="方正仿宋_GBK"/>
          <w:sz w:val="32"/>
          <w:szCs w:val="32"/>
        </w:rPr>
        <w:t>经济信息委</w:t>
      </w:r>
      <w:r>
        <w:rPr>
          <w:rFonts w:ascii="Times New Roman" w:hAnsi="Times New Roman" w:eastAsia="方正仿宋_GBK"/>
          <w:sz w:val="32"/>
          <w:szCs w:val="32"/>
        </w:rPr>
        <w:t>工作相关的法律法规和条例，加强职工依法行政能力，以此增进全委干部职工学习交流，增强干部职工对相关法律法规、条例知识的深度了解，推进依法决策、依法用权、依法履职，运用法治思维和法治方式处理各类矛盾和问题，提高干部职工学习法律法规的自觉性，深刻认识</w:t>
      </w:r>
      <w:r>
        <w:rPr>
          <w:rFonts w:hint="eastAsia" w:ascii="Times New Roman" w:hAnsi="Times New Roman" w:eastAsia="方正仿宋_GBK"/>
          <w:sz w:val="32"/>
          <w:szCs w:val="32"/>
        </w:rPr>
        <w:t>法治政府建设</w:t>
      </w:r>
      <w:r>
        <w:rPr>
          <w:rFonts w:ascii="Times New Roman" w:hAnsi="Times New Roman" w:eastAsia="方正仿宋_GBK"/>
          <w:sz w:val="32"/>
          <w:szCs w:val="32"/>
        </w:rPr>
        <w:t>的重</w:t>
      </w:r>
      <w:r>
        <w:rPr>
          <w:rFonts w:hint="eastAsia" w:ascii="Times New Roman" w:hAnsi="Times New Roman" w:eastAsia="方正仿宋_GBK"/>
          <w:sz w:val="32"/>
          <w:szCs w:val="32"/>
        </w:rPr>
        <w:t>要</w:t>
      </w:r>
      <w:r>
        <w:rPr>
          <w:rFonts w:ascii="Times New Roman" w:hAnsi="Times New Roman" w:eastAsia="方正仿宋_GBK"/>
          <w:sz w:val="32"/>
          <w:szCs w:val="32"/>
        </w:rPr>
        <w:t>意义。</w:t>
      </w:r>
      <w:r>
        <w:rPr>
          <w:rFonts w:hint="eastAsia" w:ascii="Times New Roman" w:hAnsi="Times New Roman" w:eastAsia="方正仿宋_GBK"/>
          <w:b/>
          <w:sz w:val="32"/>
          <w:szCs w:val="32"/>
        </w:rPr>
        <w:t>二</w:t>
      </w:r>
      <w:r>
        <w:rPr>
          <w:rFonts w:ascii="Times New Roman" w:hAnsi="Times New Roman" w:eastAsia="方正仿宋_GBK"/>
          <w:b/>
          <w:sz w:val="32"/>
          <w:szCs w:val="32"/>
        </w:rPr>
        <w:t>是开展普法宣传。</w:t>
      </w:r>
      <w:r>
        <w:rPr>
          <w:rFonts w:ascii="Times New Roman" w:hAnsi="Times New Roman" w:eastAsia="方正仿宋_GBK"/>
          <w:sz w:val="32"/>
          <w:szCs w:val="32"/>
        </w:rPr>
        <w:t>借助“3月法治宣传月”、</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“4·15”全民国家安全教育日</w:t>
      </w:r>
      <w:r>
        <w:rPr>
          <w:rFonts w:hint="eastAsia" w:ascii="Times New Roman" w:hAnsi="Times New Roman" w:eastAsia="方正仿宋_GBK"/>
          <w:sz w:val="32"/>
          <w:szCs w:val="32"/>
        </w:rPr>
        <w:t>、”</w:t>
      </w:r>
      <w:r>
        <w:rPr>
          <w:rFonts w:ascii="Times New Roman" w:hAnsi="Times New Roman" w:eastAsia="方正仿宋_GBK"/>
          <w:sz w:val="32"/>
          <w:szCs w:val="32"/>
        </w:rPr>
        <w:t>“6.26禁毒宣传日”、“12.4宪法宣传日”等宣传活动为契机，深入企业开展宣传，通过发放宣传材料和开展宣传讲座等形式，宣传《信访工作条例》、《中华人民共和国中</w:t>
      </w:r>
      <w:bookmarkStart w:id="0" w:name="_GoBack"/>
      <w:bookmarkEnd w:id="0"/>
      <w:r>
        <w:rPr>
          <w:rFonts w:ascii="Times New Roman" w:hAnsi="Times New Roman" w:eastAsia="方正仿宋_GBK"/>
          <w:sz w:val="32"/>
          <w:szCs w:val="32"/>
        </w:rPr>
        <w:t>小企业促进法》、《中华人民共和国安全生产法》、《国家安全法》《</w:t>
      </w:r>
      <w:r>
        <w:rPr>
          <w:rFonts w:ascii="Times New Roman" w:hAnsi="Times New Roman" w:eastAsia="方正仿宋_GBK"/>
          <w:bCs/>
          <w:sz w:val="32"/>
          <w:szCs w:val="32"/>
        </w:rPr>
        <w:t>防范和处置非法集资条例</w:t>
      </w:r>
      <w:r>
        <w:rPr>
          <w:rFonts w:ascii="Times New Roman" w:hAnsi="Times New Roman" w:eastAsia="方正仿宋_GBK"/>
          <w:sz w:val="32"/>
          <w:szCs w:val="32"/>
        </w:rPr>
        <w:t>》和《重庆市优化营商环境条例》等法律法规，2022年向企业职工、群众发放宣传资料5000余份、图片及书集2000余份</w:t>
      </w:r>
      <w:r>
        <w:rPr>
          <w:rFonts w:hint="eastAsia" w:ascii="Times New Roman" w:hAnsi="Times New Roman" w:eastAsia="方正仿宋_GBK"/>
          <w:sz w:val="32"/>
          <w:szCs w:val="32"/>
        </w:rPr>
        <w:t>。</w:t>
      </w:r>
    </w:p>
    <w:p w14:paraId="51A94098">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（三）积极服务企业，优化法治化营商环境。</w:t>
      </w:r>
    </w:p>
    <w:p w14:paraId="7B843605">
      <w:pPr>
        <w:spacing w:line="56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一是积极培育市场主体。</w:t>
      </w:r>
      <w:r>
        <w:rPr>
          <w:rFonts w:ascii="Times New Roman" w:hAnsi="Times New Roman" w:eastAsia="方正仿宋_GBK"/>
          <w:sz w:val="32"/>
          <w:szCs w:val="32"/>
        </w:rPr>
        <w:t>2022</w:t>
      </w:r>
      <w:r>
        <w:rPr>
          <w:rFonts w:ascii="Times New Roman" w:hAnsi="方正仿宋_GBK" w:eastAsia="方正仿宋_GBK"/>
          <w:sz w:val="32"/>
          <w:szCs w:val="32"/>
        </w:rPr>
        <w:t>年，新培育市级</w:t>
      </w:r>
      <w:r>
        <w:rPr>
          <w:rFonts w:ascii="Times New Roman" w:hAnsi="Times New Roman" w:eastAsia="方正仿宋_GBK"/>
          <w:sz w:val="32"/>
          <w:szCs w:val="32"/>
        </w:rPr>
        <w:t>“</w:t>
      </w:r>
      <w:r>
        <w:rPr>
          <w:rFonts w:ascii="Times New Roman" w:hAnsi="方正仿宋_GBK" w:eastAsia="方正仿宋_GBK"/>
          <w:sz w:val="32"/>
          <w:szCs w:val="32"/>
        </w:rPr>
        <w:t>专精特新</w:t>
      </w:r>
      <w:r>
        <w:rPr>
          <w:rFonts w:ascii="Times New Roman" w:hAnsi="Times New Roman" w:eastAsia="方正仿宋_GBK"/>
          <w:sz w:val="32"/>
          <w:szCs w:val="32"/>
        </w:rPr>
        <w:t>”</w:t>
      </w:r>
      <w:r>
        <w:rPr>
          <w:rFonts w:ascii="Times New Roman" w:hAnsi="方正仿宋_GBK" w:eastAsia="方正仿宋_GBK"/>
          <w:sz w:val="32"/>
          <w:szCs w:val="32"/>
        </w:rPr>
        <w:t>企业</w:t>
      </w:r>
      <w:r>
        <w:rPr>
          <w:rFonts w:ascii="Times New Roman" w:hAnsi="Times New Roman" w:eastAsia="方正仿宋_GBK"/>
          <w:sz w:val="32"/>
          <w:szCs w:val="32"/>
        </w:rPr>
        <w:t>6</w:t>
      </w:r>
      <w:r>
        <w:rPr>
          <w:rFonts w:ascii="Times New Roman" w:hAnsi="方正仿宋_GBK" w:eastAsia="方正仿宋_GBK"/>
          <w:sz w:val="32"/>
          <w:szCs w:val="32"/>
        </w:rPr>
        <w:t>家，创新型中小企业</w:t>
      </w:r>
      <w:r>
        <w:rPr>
          <w:rFonts w:ascii="Times New Roman" w:hAnsi="Times New Roman" w:eastAsia="方正仿宋_GBK"/>
          <w:sz w:val="32"/>
          <w:szCs w:val="32"/>
        </w:rPr>
        <w:t>40</w:t>
      </w:r>
      <w:r>
        <w:rPr>
          <w:rFonts w:ascii="Times New Roman" w:hAnsi="方正仿宋_GBK" w:eastAsia="方正仿宋_GBK"/>
          <w:sz w:val="32"/>
          <w:szCs w:val="32"/>
        </w:rPr>
        <w:t>家，指导三合创业孵化基地成功申报重庆市第二批重点专项资金项目申报工作，指导三和实业等</w:t>
      </w:r>
      <w:r>
        <w:rPr>
          <w:rFonts w:ascii="Times New Roman" w:hAnsi="Times New Roman" w:eastAsia="方正仿宋_GBK"/>
          <w:sz w:val="32"/>
          <w:szCs w:val="32"/>
        </w:rPr>
        <w:t>3</w:t>
      </w:r>
      <w:r>
        <w:rPr>
          <w:rFonts w:ascii="Times New Roman" w:hAnsi="方正仿宋_GBK" w:eastAsia="方正仿宋_GBK"/>
          <w:sz w:val="32"/>
          <w:szCs w:val="32"/>
        </w:rPr>
        <w:t>家企业申报重庆市中小企业技术研发中心，有效的提升了企业市场核心竞争力</w:t>
      </w:r>
      <w:r>
        <w:rPr>
          <w:rFonts w:hint="eastAsia" w:ascii="Times New Roman" w:hAnsi="方正仿宋_GBK" w:eastAsia="方正仿宋_GBK"/>
          <w:sz w:val="32"/>
          <w:szCs w:val="32"/>
        </w:rPr>
        <w:t>。</w:t>
      </w:r>
      <w:r>
        <w:rPr>
          <w:rFonts w:hint="eastAsia" w:ascii="方正仿宋_GBK" w:hAnsi="方正仿宋_GBK" w:eastAsia="方正仿宋_GBK"/>
          <w:sz w:val="32"/>
          <w:szCs w:val="32"/>
        </w:rPr>
        <w:t>二是持续开展助企纾困工作。</w:t>
      </w:r>
      <w:r>
        <w:rPr>
          <w:rFonts w:ascii="Times New Roman" w:hAnsi="方正仿宋_GBK" w:eastAsia="方正仿宋_GBK"/>
          <w:sz w:val="32"/>
          <w:szCs w:val="32"/>
        </w:rPr>
        <w:t>扎实开展防范和化解中小企业账款专项行动，</w:t>
      </w:r>
      <w:r>
        <w:rPr>
          <w:rFonts w:hint="eastAsia" w:ascii="Times New Roman" w:hAnsi="方正仿宋_GBK" w:eastAsia="方正仿宋_GBK"/>
          <w:sz w:val="32"/>
          <w:szCs w:val="32"/>
        </w:rPr>
        <w:t>2022年</w:t>
      </w:r>
      <w:r>
        <w:rPr>
          <w:rFonts w:ascii="Times New Roman" w:hAnsi="方正仿宋_GBK" w:eastAsia="方正仿宋_GBK"/>
          <w:sz w:val="32"/>
          <w:szCs w:val="32"/>
        </w:rPr>
        <w:t>，我县总计偿还清欠款项</w:t>
      </w:r>
      <w:r>
        <w:rPr>
          <w:rFonts w:ascii="Times New Roman" w:hAnsi="Times New Roman" w:eastAsia="方正仿宋_GBK"/>
          <w:sz w:val="32"/>
          <w:szCs w:val="32"/>
        </w:rPr>
        <w:t>1030.43</w:t>
      </w:r>
      <w:r>
        <w:rPr>
          <w:rFonts w:ascii="Times New Roman" w:hAnsi="方正仿宋_GBK" w:eastAsia="方正仿宋_GBK"/>
          <w:sz w:val="32"/>
          <w:szCs w:val="32"/>
        </w:rPr>
        <w:t>万元，惠及市场主体达</w:t>
      </w:r>
      <w:r>
        <w:rPr>
          <w:rFonts w:ascii="Times New Roman" w:hAnsi="Times New Roman" w:eastAsia="方正仿宋_GBK"/>
          <w:sz w:val="32"/>
          <w:szCs w:val="32"/>
        </w:rPr>
        <w:t>11</w:t>
      </w:r>
      <w:r>
        <w:rPr>
          <w:rFonts w:ascii="Times New Roman" w:hAnsi="方正仿宋_GBK" w:eastAsia="方正仿宋_GBK"/>
          <w:sz w:val="32"/>
          <w:szCs w:val="32"/>
        </w:rPr>
        <w:t>家，化解工信部平台投诉件</w:t>
      </w:r>
      <w:r>
        <w:rPr>
          <w:rFonts w:ascii="Times New Roman" w:hAnsi="Times New Roman" w:eastAsia="方正仿宋_GBK"/>
          <w:sz w:val="32"/>
          <w:szCs w:val="32"/>
        </w:rPr>
        <w:t>3</w:t>
      </w:r>
      <w:r>
        <w:rPr>
          <w:rFonts w:ascii="Times New Roman" w:hAnsi="方正仿宋_GBK" w:eastAsia="方正仿宋_GBK"/>
          <w:sz w:val="32"/>
          <w:szCs w:val="32"/>
        </w:rPr>
        <w:t>件，化解率达</w:t>
      </w:r>
      <w:r>
        <w:rPr>
          <w:rFonts w:ascii="Times New Roman" w:hAnsi="Times New Roman" w:eastAsia="方正仿宋_GBK"/>
          <w:sz w:val="32"/>
          <w:szCs w:val="32"/>
        </w:rPr>
        <w:t>100%</w:t>
      </w:r>
      <w:r>
        <w:rPr>
          <w:rFonts w:ascii="Times New Roman" w:hAnsi="方正仿宋_GBK" w:eastAsia="方正仿宋_GBK"/>
          <w:sz w:val="32"/>
          <w:szCs w:val="32"/>
        </w:rPr>
        <w:t>，有效的维护了政府公信力；以走访企业为契机，认真开展惠企政策宣传，免费为企业印发各类纾困政策汇编</w:t>
      </w:r>
      <w:r>
        <w:rPr>
          <w:rFonts w:ascii="Times New Roman" w:hAnsi="Times New Roman" w:eastAsia="方正仿宋_GBK"/>
          <w:sz w:val="32"/>
          <w:szCs w:val="32"/>
        </w:rPr>
        <w:t>2000</w:t>
      </w:r>
      <w:r>
        <w:rPr>
          <w:rFonts w:ascii="Times New Roman" w:hAnsi="方正仿宋_GBK" w:eastAsia="方正仿宋_GBK"/>
          <w:sz w:val="32"/>
          <w:szCs w:val="32"/>
        </w:rPr>
        <w:t>余份，让企业做到各类政策应享尽享。</w:t>
      </w:r>
    </w:p>
    <w:p w14:paraId="36328DD0">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（四）严格依法行政</w:t>
      </w:r>
      <w:r>
        <w:rPr>
          <w:rFonts w:ascii="方正楷体_GBK" w:hAnsi="Times New Roman" w:eastAsia="方正楷体_GBK"/>
          <w:sz w:val="32"/>
          <w:szCs w:val="32"/>
        </w:rPr>
        <w:t xml:space="preserve"> </w:t>
      </w:r>
      <w:r>
        <w:rPr>
          <w:rFonts w:hint="eastAsia" w:ascii="方正楷体_GBK" w:hAnsi="Times New Roman" w:eastAsia="方正楷体_GBK"/>
          <w:sz w:val="32"/>
          <w:szCs w:val="32"/>
        </w:rPr>
        <w:t>，</w:t>
      </w:r>
      <w:r>
        <w:rPr>
          <w:rFonts w:ascii="方正楷体_GBK" w:hAnsi="Times New Roman" w:eastAsia="方正楷体_GBK"/>
          <w:sz w:val="32"/>
          <w:szCs w:val="32"/>
        </w:rPr>
        <w:t>规范各项行政行为</w:t>
      </w:r>
      <w:r>
        <w:rPr>
          <w:rFonts w:hint="eastAsia" w:ascii="方正楷体_GBK" w:hAnsi="Times New Roman" w:eastAsia="方正楷体_GBK"/>
          <w:sz w:val="32"/>
          <w:szCs w:val="32"/>
        </w:rPr>
        <w:t>。</w:t>
      </w:r>
    </w:p>
    <w:p w14:paraId="718531FF">
      <w:pPr>
        <w:spacing w:line="560" w:lineRule="exact"/>
        <w:ind w:firstLine="640" w:firstLineChars="200"/>
        <w:rPr>
          <w:rFonts w:ascii="Times New Roman" w:hAnsi="Times New Roman" w:eastAsia="方正仿宋_GBK"/>
          <w:sz w:val="32"/>
          <w:szCs w:val="32"/>
        </w:rPr>
      </w:pPr>
      <w:r>
        <w:rPr>
          <w:rFonts w:hint="eastAsia" w:eastAsia="方正仿宋_GBK"/>
          <w:sz w:val="32"/>
          <w:szCs w:val="32"/>
          <w:shd w:val="clear" w:color="auto" w:fill="FFFFFF"/>
        </w:rPr>
        <w:t>2022年切实履行安全生产监管职责，共检查企业232家次，下达整改指令书116份，排查隐患972条，整改隐患972条，行政处罚12起，处罚金11万元。一是强化企业主体责任。年初制定《安全生产监督检查计划》，对电力、燃气、民爆、通信等领域进行安全监督管理和对工业企业安全指导共计划检查190家次；与36家企业签订安全目标责任书，全年共召开安全工作会10次，组织开展159人次的安全培训，督促企业落实责任，确保安全生产。二是强化安全专项整治。开展燃气安全百日行动，围绕突出问题开展排查整治，百日行动我委共对燃气企业检查24家次，排查并整治隐患89处，行政处罚2起，罚金1.2万元；开展高层建筑用电用气安全隐患专项整治工作，深入开展丰都县燃气行业三年整治行动，按照规定的时间节点要求制订检查工作计划，排查并整治高层建筑燃气隐患255条、电力隐患389条；开展食盐春季、秋季专项检查，严厉打击涉盐违法行为，全年共检查批发企业、商超、农贸市场等30家，筑牢食盐安全底线。三是强化安全水平提升。推进民爆企业开展安全生产标准化达标建设，使生产经营各环节实现制度化、规范化、标准化、精细化、模块化管理，2家民爆企业成功创建安全生产标准化;推进“两单两卡”一线员工岗位责任制落实，已指导15家企业完成“两单两卡”编制工作；开展城镇天然气经营企业安全评估工作，委托三方评估单位，对各燃气经营企业开展安全生产评估，已有4家燃气企业通过安全评估；牵头开展“安全用电示范乡镇（街道）”创建工作，2022年13个乡镇成功创建，得到县政府的通报表扬。</w:t>
      </w:r>
    </w:p>
    <w:p w14:paraId="237C2E27">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（五）健全法制审核，着力提升议事决策法治化水平。</w:t>
      </w:r>
    </w:p>
    <w:p w14:paraId="6A038229">
      <w:pPr>
        <w:spacing w:line="560" w:lineRule="exact"/>
        <w:ind w:firstLine="640" w:firstLineChars="200"/>
        <w:rPr>
          <w:rFonts w:eastAsia="方正仿宋_GBK"/>
          <w:sz w:val="32"/>
          <w:szCs w:val="32"/>
        </w:rPr>
      </w:pPr>
      <w:r>
        <w:rPr>
          <w:rFonts w:hint="eastAsia" w:ascii="Times New Roman" w:hAnsi="Times New Roman" w:eastAsia="方正仿宋_GBK"/>
          <w:sz w:val="32"/>
          <w:szCs w:val="32"/>
        </w:rPr>
        <w:t>严格落实聘用法律顾问制度和执行重大执法决定法制审核制度，</w:t>
      </w:r>
      <w:r>
        <w:rPr>
          <w:rFonts w:eastAsia="方正仿宋_GBK"/>
          <w:sz w:val="32"/>
          <w:szCs w:val="32"/>
        </w:rPr>
        <w:t>凡属重大决策、重要干部任免、重点项目安排、大额资金的使用、企业复工复产等重点工作</w:t>
      </w:r>
      <w:r>
        <w:rPr>
          <w:rFonts w:hint="eastAsia" w:ascii="Times New Roman" w:hAnsi="Times New Roman" w:eastAsia="方正仿宋_GBK"/>
          <w:sz w:val="32"/>
          <w:szCs w:val="32"/>
        </w:rPr>
        <w:t>，严格进行法制审核，</w:t>
      </w:r>
      <w:r>
        <w:rPr>
          <w:rFonts w:eastAsia="方正仿宋_GBK"/>
          <w:sz w:val="32"/>
          <w:szCs w:val="32"/>
        </w:rPr>
        <w:t>经集体讨论作出决定，</w:t>
      </w:r>
      <w:r>
        <w:rPr>
          <w:rFonts w:hint="eastAsia" w:ascii="Times New Roman" w:hAnsi="Times New Roman" w:eastAsia="方正仿宋_GBK"/>
          <w:sz w:val="32"/>
          <w:szCs w:val="32"/>
        </w:rPr>
        <w:t>并要求法律顾问参与重大疑难执法决定的研究并提供法律意见</w:t>
      </w:r>
      <w:r>
        <w:rPr>
          <w:rFonts w:eastAsia="方正仿宋_GBK"/>
          <w:sz w:val="32"/>
          <w:szCs w:val="32"/>
        </w:rPr>
        <w:t>。</w:t>
      </w:r>
      <w:r>
        <w:rPr>
          <w:rFonts w:hint="eastAsia" w:ascii="Times New Roman" w:hAnsi="Times New Roman" w:eastAsia="方正仿宋_GBK"/>
          <w:sz w:val="32"/>
          <w:szCs w:val="32"/>
        </w:rPr>
        <w:t>全年未发生因行政决策失误引发的群体性事件。</w:t>
      </w:r>
    </w:p>
    <w:p w14:paraId="524A4259">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二、2022年度党政主要负责人履行推进法治政府建设第一责任人履职情况</w:t>
      </w:r>
    </w:p>
    <w:p w14:paraId="1C8F47B4">
      <w:pPr>
        <w:spacing w:line="560" w:lineRule="exact"/>
        <w:ind w:firstLine="640" w:firstLineChars="200"/>
        <w:rPr>
          <w:rFonts w:ascii="方正黑体_GBK" w:hAnsi="Times New Roman" w:eastAsia="方正黑体_GBK"/>
          <w:sz w:val="32"/>
          <w:szCs w:val="32"/>
        </w:rPr>
      </w:pPr>
      <w:r>
        <w:rPr>
          <w:rFonts w:hint="eastAsia" w:ascii="方正仿宋_GBK" w:eastAsia="方正仿宋_GBK"/>
          <w:sz w:val="32"/>
          <w:szCs w:val="32"/>
        </w:rPr>
        <w:t>一、强化组织领导。严格落实主要负责人推进法治政府建设第一责任人职责，以身作则、以上率下，对照法治政府建设相关要求，将法治建设纳入经信委年度工作要点，与单位日常工作同部署、同落实。对推进法治政府建设的重要工作、重要任务亲自部署、亲自过问协调，督促其他班子成员履行</w:t>
      </w:r>
      <w:r>
        <w:rPr>
          <w:rFonts w:ascii="方正仿宋_GBK" w:eastAsia="方正仿宋_GBK"/>
          <w:sz w:val="32"/>
          <w:szCs w:val="32"/>
        </w:rPr>
        <w:t>“</w:t>
      </w:r>
      <w:r>
        <w:rPr>
          <w:rFonts w:hint="eastAsia" w:ascii="方正仿宋_GBK" w:eastAsia="方正仿宋_GBK"/>
          <w:sz w:val="32"/>
          <w:szCs w:val="32"/>
        </w:rPr>
        <w:t>一岗双责</w:t>
      </w:r>
      <w:r>
        <w:rPr>
          <w:rFonts w:ascii="方正仿宋_GBK" w:eastAsia="方正仿宋_GBK"/>
          <w:sz w:val="32"/>
          <w:szCs w:val="32"/>
        </w:rPr>
        <w:t>”</w:t>
      </w:r>
      <w:r>
        <w:rPr>
          <w:rFonts w:hint="eastAsia" w:ascii="方正仿宋_GBK" w:eastAsia="方正仿宋_GBK"/>
          <w:sz w:val="32"/>
          <w:szCs w:val="32"/>
        </w:rPr>
        <w:t>，定期听取关于法治政府建设、依法行政等有关工作汇报，确保各项工作落实。二、坚定法治思想。通过</w:t>
      </w:r>
      <w:r>
        <w:rPr>
          <w:rFonts w:eastAsia="方正仿宋_GBK"/>
          <w:sz w:val="32"/>
          <w:szCs w:val="32"/>
        </w:rPr>
        <w:t>委党组会、中心组（扩大）学习会、职工会等多种形式</w:t>
      </w:r>
      <w:r>
        <w:rPr>
          <w:rFonts w:hint="eastAsia" w:eastAsia="方正仿宋_GBK"/>
          <w:sz w:val="32"/>
          <w:szCs w:val="32"/>
        </w:rPr>
        <w:t>，</w:t>
      </w:r>
      <w:r>
        <w:rPr>
          <w:rFonts w:hint="eastAsia" w:ascii="方正仿宋_GBK" w:eastAsia="方正仿宋_GBK"/>
          <w:sz w:val="32"/>
          <w:szCs w:val="32"/>
        </w:rPr>
        <w:t>带头学习宪法、民法典以及习近平总书记关于全面依法治国的重要论述等，牢固树立</w:t>
      </w:r>
      <w:r>
        <w:rPr>
          <w:rFonts w:ascii="方正仿宋_GBK" w:eastAsia="方正仿宋_GBK"/>
          <w:sz w:val="32"/>
          <w:szCs w:val="32"/>
        </w:rPr>
        <w:t>“</w:t>
      </w:r>
      <w:r>
        <w:rPr>
          <w:rFonts w:hint="eastAsia" w:ascii="方正仿宋_GBK" w:eastAsia="方正仿宋_GBK"/>
          <w:sz w:val="32"/>
          <w:szCs w:val="32"/>
        </w:rPr>
        <w:t>四个意识</w:t>
      </w:r>
      <w:r>
        <w:rPr>
          <w:rFonts w:ascii="方正仿宋_GBK" w:eastAsia="方正仿宋_GBK"/>
          <w:sz w:val="32"/>
          <w:szCs w:val="32"/>
        </w:rPr>
        <w:t>”</w:t>
      </w:r>
      <w:r>
        <w:rPr>
          <w:rFonts w:hint="eastAsia" w:ascii="方正仿宋_GBK" w:eastAsia="方正仿宋_GBK"/>
          <w:sz w:val="32"/>
          <w:szCs w:val="32"/>
        </w:rPr>
        <w:t>，做到</w:t>
      </w:r>
      <w:r>
        <w:rPr>
          <w:rFonts w:ascii="方正仿宋_GBK" w:eastAsia="方正仿宋_GBK"/>
          <w:sz w:val="32"/>
          <w:szCs w:val="32"/>
        </w:rPr>
        <w:t>“</w:t>
      </w:r>
      <w:r>
        <w:rPr>
          <w:rFonts w:hint="eastAsia" w:ascii="方正仿宋_GBK" w:eastAsia="方正仿宋_GBK"/>
          <w:sz w:val="32"/>
          <w:szCs w:val="32"/>
        </w:rPr>
        <w:t>两个维护</w:t>
      </w:r>
      <w:r>
        <w:rPr>
          <w:rFonts w:ascii="方正仿宋_GBK" w:eastAsia="方正仿宋_GBK"/>
          <w:sz w:val="32"/>
          <w:szCs w:val="32"/>
        </w:rPr>
        <w:t>”</w:t>
      </w:r>
      <w:r>
        <w:rPr>
          <w:rFonts w:hint="eastAsia" w:ascii="方正仿宋_GBK" w:eastAsia="方正仿宋_GBK"/>
          <w:sz w:val="32"/>
          <w:szCs w:val="32"/>
        </w:rPr>
        <w:t>，不断提升运用法治思维和方式推动全县经济和信息化事业高质量发展、化解矛盾、维护稳定的能力和水平。</w:t>
      </w:r>
      <w:r>
        <w:rPr>
          <w:rFonts w:ascii="Times New Roman" w:hAnsi="Times New Roman" w:eastAsia="方正仿宋_GBK"/>
          <w:sz w:val="32"/>
          <w:szCs w:val="32"/>
        </w:rPr>
        <w:t>每季度定期召开法治专题学习会</w:t>
      </w:r>
      <w:r>
        <w:rPr>
          <w:rFonts w:hint="eastAsia" w:ascii="Times New Roman" w:hAnsi="Times New Roman" w:eastAsia="方正仿宋_GBK"/>
          <w:sz w:val="32"/>
          <w:szCs w:val="32"/>
        </w:rPr>
        <w:t>，</w:t>
      </w:r>
      <w:r>
        <w:rPr>
          <w:rFonts w:hint="eastAsia" w:ascii="方正仿宋_GBK" w:eastAsia="方正仿宋_GBK"/>
          <w:sz w:val="32"/>
          <w:szCs w:val="32"/>
        </w:rPr>
        <w:t>重点学习《习近平谈治国理政》第四卷、《习近平论全面依法治国》、《党政主要负责人履行推进法治建设第一责任人职责规定》、中央全面依法治国工作会议精神等，深入地、系统地领会习近平总书记关于全面依法治国的重要论述，认识到深化依法治国实践的重要意义，使全委职工</w:t>
      </w:r>
      <w:r>
        <w:rPr>
          <w:rFonts w:ascii="Times New Roman" w:hAnsi="Times New Roman" w:eastAsia="方正仿宋_GBK"/>
          <w:sz w:val="32"/>
          <w:szCs w:val="32"/>
        </w:rPr>
        <w:t>把学习成果落实到干好本职工作、推动经济信息高质量发展上</w:t>
      </w:r>
      <w:r>
        <w:rPr>
          <w:rFonts w:hint="eastAsia" w:ascii="方正仿宋_GBK" w:eastAsia="方正仿宋_GBK"/>
          <w:sz w:val="32"/>
          <w:szCs w:val="32"/>
        </w:rPr>
        <w:t>。三、坚持学用结合。将法治政府建设与经信系统业务工作同部署、同安排、同检查。严格执行行政执法程序，开展行政执法监督检查，完善学法用法制度。带头落实领导干部年度述法制度，结合领导干部的年度述责述廉报告，将法治学习、依法决策及依法履职情况，纳入述职报告中。督促</w:t>
      </w:r>
      <w:r>
        <w:rPr>
          <w:rFonts w:ascii="Times New Roman" w:hAnsi="Times New Roman" w:eastAsia="方正仿宋_GBK"/>
          <w:sz w:val="32"/>
          <w:szCs w:val="32"/>
        </w:rPr>
        <w:t>县</w:t>
      </w:r>
      <w:r>
        <w:rPr>
          <w:rFonts w:hint="eastAsia" w:ascii="Times New Roman" w:hAnsi="Times New Roman" w:eastAsia="方正仿宋_GBK"/>
          <w:sz w:val="32"/>
          <w:szCs w:val="32"/>
        </w:rPr>
        <w:t>经济信息委</w:t>
      </w:r>
      <w:r>
        <w:rPr>
          <w:rFonts w:ascii="Times New Roman" w:hAnsi="Times New Roman" w:eastAsia="方正仿宋_GBK"/>
          <w:sz w:val="32"/>
          <w:szCs w:val="32"/>
        </w:rPr>
        <w:t>全委干部职工49人，两人参加法治理论抽考，考试合格并按时上传心得体会，其余47人全部完成法治理论考试，完成率100%</w:t>
      </w:r>
      <w:r>
        <w:rPr>
          <w:rFonts w:hint="eastAsia" w:ascii="Times New Roman" w:hAnsi="Times New Roman" w:eastAsia="方正仿宋_GBK"/>
          <w:sz w:val="32"/>
          <w:szCs w:val="32"/>
        </w:rPr>
        <w:t>，</w:t>
      </w:r>
      <w:r>
        <w:rPr>
          <w:rFonts w:hint="eastAsia" w:ascii="方正仿宋_GBK" w:eastAsia="方正仿宋_GBK"/>
          <w:sz w:val="32"/>
          <w:szCs w:val="32"/>
        </w:rPr>
        <w:t>有效提升干部职工依法行政的思想自觉和行动自觉。</w:t>
      </w:r>
    </w:p>
    <w:p w14:paraId="4D7C7744">
      <w:pPr>
        <w:spacing w:line="560" w:lineRule="exact"/>
        <w:ind w:firstLine="640" w:firstLineChars="200"/>
        <w:rPr>
          <w:rFonts w:ascii="Times New Roman" w:hAnsi="Times New Roman" w:eastAsia="黑体"/>
          <w:sz w:val="32"/>
          <w:szCs w:val="32"/>
        </w:rPr>
      </w:pPr>
      <w:r>
        <w:rPr>
          <w:rFonts w:hint="eastAsia" w:ascii="Times New Roman" w:hAnsi="Times New Roman" w:eastAsia="方正黑体_GBK"/>
          <w:sz w:val="32"/>
          <w:szCs w:val="32"/>
        </w:rPr>
        <w:t>三、2022年度推进法治政府建设存在的不足</w:t>
      </w:r>
    </w:p>
    <w:p w14:paraId="0C11B6E9">
      <w:pPr>
        <w:spacing w:line="560" w:lineRule="exact"/>
        <w:ind w:firstLine="640" w:firstLineChars="200"/>
        <w:rPr>
          <w:rFonts w:ascii="方正仿宋_GBK" w:eastAsia="方正仿宋_GBK"/>
          <w:sz w:val="32"/>
          <w:szCs w:val="32"/>
        </w:rPr>
      </w:pPr>
      <w:r>
        <w:rPr>
          <w:rFonts w:ascii="Times New Roman" w:hAnsi="Times New Roman" w:eastAsia="方正仿宋_GBK"/>
          <w:sz w:val="32"/>
          <w:szCs w:val="32"/>
        </w:rPr>
        <w:t>2022</w:t>
      </w:r>
      <w:r>
        <w:rPr>
          <w:rFonts w:hint="eastAsia" w:ascii="Times New Roman" w:hAnsi="Times New Roman" w:eastAsia="方正仿宋_GBK"/>
          <w:sz w:val="32"/>
          <w:szCs w:val="32"/>
        </w:rPr>
        <w:t>年县经济信息委法治政府建设工作虽取得了较好的成绩，但仍存在一些问题。</w:t>
      </w:r>
      <w:r>
        <w:rPr>
          <w:rFonts w:hint="eastAsia" w:ascii="Times New Roman" w:hAnsi="Times New Roman" w:eastAsia="方正仿宋_GBK"/>
          <w:b/>
          <w:bCs/>
          <w:sz w:val="32"/>
          <w:szCs w:val="32"/>
        </w:rPr>
        <w:t>一是</w:t>
      </w:r>
      <w:r>
        <w:rPr>
          <w:rFonts w:hint="eastAsia" w:ascii="方正仿宋_GBK" w:hAnsi="Times New Roman" w:eastAsia="方正仿宋_GBK"/>
          <w:bCs/>
          <w:sz w:val="32"/>
          <w:szCs w:val="32"/>
        </w:rPr>
        <w:t>政策解读能力仍需加强</w:t>
      </w:r>
      <w:r>
        <w:rPr>
          <w:rFonts w:hint="eastAsia" w:ascii="Times New Roman" w:hAnsi="Times New Roman" w:eastAsia="方正仿宋_GBK"/>
          <w:sz w:val="32"/>
          <w:szCs w:val="32"/>
        </w:rPr>
        <w:t>。</w:t>
      </w:r>
      <w:r>
        <w:rPr>
          <w:rFonts w:hint="eastAsia" w:ascii="方正仿宋_GBK" w:eastAsia="方正仿宋_GBK"/>
          <w:sz w:val="32"/>
          <w:szCs w:val="32"/>
        </w:rPr>
        <w:t>作为县政府部门，主要按照上级单位的统一部署开展工作，本单位发布的规范性文件和政策性文件较少，政策解读能力欠缺</w:t>
      </w:r>
      <w:r>
        <w:rPr>
          <w:rFonts w:hint="eastAsia" w:ascii="Times New Roman" w:hAnsi="Times New Roman" w:eastAsia="方正仿宋_GBK"/>
          <w:sz w:val="32"/>
          <w:szCs w:val="32"/>
        </w:rPr>
        <w:t>。</w:t>
      </w:r>
      <w:r>
        <w:rPr>
          <w:rFonts w:hint="eastAsia" w:ascii="Times New Roman" w:hAnsi="Times New Roman" w:eastAsia="方正仿宋_GBK"/>
          <w:b/>
          <w:sz w:val="32"/>
          <w:szCs w:val="32"/>
        </w:rPr>
        <w:t>二是</w:t>
      </w:r>
      <w:r>
        <w:rPr>
          <w:rFonts w:hint="eastAsia" w:ascii="Times New Roman" w:hAnsi="Times New Roman" w:eastAsia="方正仿宋_GBK"/>
          <w:sz w:val="32"/>
          <w:szCs w:val="32"/>
        </w:rPr>
        <w:t>缺乏法律等相关专业工作人员。</w:t>
      </w:r>
      <w:r>
        <w:rPr>
          <w:rFonts w:hint="eastAsia" w:ascii="方正仿宋_GBK" w:eastAsia="方正仿宋_GBK"/>
          <w:sz w:val="32"/>
          <w:szCs w:val="32"/>
        </w:rPr>
        <w:t>因涉及经信系统和工业企业普法、执法、安全检查等工作，我委法律专业人员严重不足，</w:t>
      </w:r>
      <w:r>
        <w:rPr>
          <w:rFonts w:hint="eastAsia" w:ascii="Times New Roman" w:hAnsi="Times New Roman" w:eastAsia="方正仿宋_GBK"/>
          <w:sz w:val="32"/>
          <w:szCs w:val="32"/>
        </w:rPr>
        <w:t>业务能力需进一步加强。</w:t>
      </w:r>
      <w:r>
        <w:rPr>
          <w:rFonts w:hint="eastAsia" w:ascii="方正仿宋_GBK" w:eastAsia="方正仿宋_GBK"/>
          <w:b/>
          <w:sz w:val="32"/>
          <w:szCs w:val="32"/>
        </w:rPr>
        <w:t>三是</w:t>
      </w:r>
      <w:r>
        <w:rPr>
          <w:rFonts w:hint="eastAsia" w:ascii="方正仿宋_GBK" w:eastAsia="方正仿宋_GBK"/>
          <w:sz w:val="32"/>
          <w:szCs w:val="32"/>
        </w:rPr>
        <w:t>新媒体运用能力较弱。目前我委发布信息的渠道主要为县政府网站信息公开专栏、委重点企业QQ群、微信群等较老式的宣传方式，针对当前自媒体、移动互联网、大数据等新载体、新技术运用不够充分，暂无抖音、微信公众号、微博等新兴手段的宣传方式。</w:t>
      </w:r>
    </w:p>
    <w:p w14:paraId="163AC131">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四、2023年度推进法治政府建设的主要安排</w:t>
      </w:r>
    </w:p>
    <w:p w14:paraId="4A469A0F">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年，县经济信息委</w:t>
      </w:r>
      <w:r>
        <w:rPr>
          <w:rFonts w:hint="eastAsia" w:ascii="方正仿宋_GBK" w:eastAsia="方正仿宋_GBK"/>
          <w:sz w:val="32"/>
          <w:szCs w:val="32"/>
        </w:rPr>
        <w:t>坚持用习近平新时代中国特色社会主义思想统领法治建设工作，深学笃用习近平法治思想，</w:t>
      </w:r>
      <w:r>
        <w:rPr>
          <w:rFonts w:hint="eastAsia" w:ascii="Times New Roman" w:hAnsi="Times New Roman" w:eastAsia="方正仿宋_GBK"/>
          <w:sz w:val="32"/>
          <w:szCs w:val="32"/>
        </w:rPr>
        <w:t>为</w:t>
      </w:r>
      <w:r>
        <w:rPr>
          <w:rFonts w:ascii="Times New Roman" w:hAnsi="Times New Roman" w:eastAsia="方正仿宋_GBK"/>
          <w:sz w:val="32"/>
          <w:szCs w:val="32"/>
        </w:rPr>
        <w:t>加快全县工业经济信息发展提供坚强有力地</w:t>
      </w:r>
      <w:r>
        <w:rPr>
          <w:rFonts w:hint="eastAsia" w:ascii="Times New Roman" w:hAnsi="Times New Roman" w:eastAsia="方正仿宋_GBK"/>
          <w:sz w:val="32"/>
          <w:szCs w:val="32"/>
        </w:rPr>
        <w:t>法治</w:t>
      </w:r>
      <w:r>
        <w:rPr>
          <w:rFonts w:ascii="Times New Roman" w:hAnsi="Times New Roman" w:eastAsia="方正仿宋_GBK"/>
          <w:sz w:val="32"/>
          <w:szCs w:val="32"/>
        </w:rPr>
        <w:t>保证和强大精神动力</w:t>
      </w:r>
      <w:r>
        <w:rPr>
          <w:rFonts w:hint="eastAsia" w:ascii="Times New Roman" w:hAnsi="Times New Roman" w:eastAsia="方正仿宋_GBK"/>
          <w:sz w:val="32"/>
          <w:szCs w:val="32"/>
        </w:rPr>
        <w:t>。</w:t>
      </w:r>
    </w:p>
    <w:p w14:paraId="2012DE75">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一</w:t>
      </w:r>
      <w:r>
        <w:rPr>
          <w:rFonts w:ascii="Times New Roman" w:hAnsi="Times New Roman" w:eastAsia="方正仿宋_GBK"/>
          <w:sz w:val="32"/>
          <w:szCs w:val="32"/>
        </w:rPr>
        <w:t>）</w:t>
      </w:r>
      <w:r>
        <w:rPr>
          <w:rFonts w:hint="eastAsia" w:ascii="方正仿宋_GBK" w:eastAsia="方正仿宋_GBK"/>
          <w:sz w:val="32"/>
          <w:szCs w:val="32"/>
        </w:rPr>
        <w:t>持续深入贯彻习近平法治思想，</w:t>
      </w:r>
      <w:r>
        <w:rPr>
          <w:rFonts w:hint="eastAsia" w:ascii="Times New Roman" w:hAnsi="Times New Roman" w:eastAsia="方正仿宋_GBK"/>
          <w:sz w:val="32"/>
          <w:szCs w:val="32"/>
        </w:rPr>
        <w:t>强化全委法治学习。加大本单位职工对业务工作相关的法律法规学习，进一步提高全委干部职工法治素养。</w:t>
      </w:r>
    </w:p>
    <w:p w14:paraId="6A06055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（二）加大企业宣传力度，畅通企业</w:t>
      </w:r>
      <w:r>
        <w:rPr>
          <w:rFonts w:ascii="方正楷体_GBK" w:hAnsi="方正楷体_GBK" w:eastAsia="方正楷体_GBK" w:cs="方正楷体_GBK"/>
          <w:sz w:val="32"/>
          <w:szCs w:val="32"/>
        </w:rPr>
        <w:t>投诉渠道</w:t>
      </w:r>
      <w:r>
        <w:rPr>
          <w:rFonts w:hint="eastAsia" w:ascii="方正楷体_GBK" w:hAnsi="方正楷体_GBK" w:eastAsia="方正楷体_GBK" w:cs="方正楷体_GBK"/>
          <w:sz w:val="32"/>
          <w:szCs w:val="32"/>
        </w:rPr>
        <w:t>。</w:t>
      </w:r>
      <w:r>
        <w:rPr>
          <w:rFonts w:hint="eastAsia" w:ascii="Times New Roman" w:hAnsi="Times New Roman" w:eastAsia="方正仿宋_GBK"/>
          <w:sz w:val="32"/>
          <w:szCs w:val="32"/>
        </w:rPr>
        <w:t>广泛宣传《保障中小企业款项支付条例》，增强中小企业风险防范和依法维权意识，保障中小企业合法权益。</w:t>
      </w:r>
      <w:r>
        <w:rPr>
          <w:rFonts w:ascii="Times New Roman" w:hAnsi="Times New Roman" w:eastAsia="方正仿宋_GBK"/>
          <w:sz w:val="32"/>
          <w:szCs w:val="32"/>
        </w:rPr>
        <w:t>依托中小企业纠纷丰都调解中心和“企业吹哨 部门报到”等平台，全面畅通中小企业诉求反映渠道，开展中小企业公益性法律援助服务活动，通过线上公益培训，帮助中小企业提高维权意识和能力。</w:t>
      </w:r>
    </w:p>
    <w:p w14:paraId="31BFB4C2">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）增强依法行政工作力度</w:t>
      </w:r>
      <w:r>
        <w:rPr>
          <w:rFonts w:hint="eastAsia" w:ascii="Times New Roman" w:hAnsi="Times New Roman" w:eastAsia="方正仿宋_GBK"/>
          <w:sz w:val="32"/>
          <w:szCs w:val="32"/>
        </w:rPr>
        <w:t>，提升执法水平。加强涉企法律法规、政策、行政权力清单梳理，正确履行法定职能，明细各类职权具体事项，加强行政执法监督检查，强化重点领域监管，自觉接受社会和群众的监督。</w:t>
      </w:r>
    </w:p>
    <w:p w14:paraId="69479FD2">
      <w:pPr>
        <w:spacing w:line="560" w:lineRule="exact"/>
        <w:ind w:firstLine="640" w:firstLineChars="200"/>
        <w:rPr>
          <w:rFonts w:ascii="方正仿宋_GBK" w:hAnsi="Times New Roman" w:eastAsia="方正仿宋_GBK"/>
          <w:snapToGrid w:val="0"/>
          <w:sz w:val="32"/>
          <w:szCs w:val="32"/>
        </w:rPr>
      </w:pPr>
    </w:p>
    <w:p w14:paraId="16FE37A1">
      <w:pPr>
        <w:spacing w:line="560" w:lineRule="exact"/>
        <w:ind w:firstLine="640" w:firstLineChars="200"/>
        <w:rPr>
          <w:rFonts w:ascii="Times New Roman" w:hAnsi="Times New Roman" w:eastAsia="方正仿宋_GBK"/>
          <w:sz w:val="32"/>
          <w:szCs w:val="32"/>
        </w:rPr>
      </w:pPr>
    </w:p>
    <w:p w14:paraId="5F7CEF8E">
      <w:pPr>
        <w:spacing w:line="560" w:lineRule="exact"/>
        <w:ind w:firstLine="640" w:firstLineChars="200"/>
        <w:rPr>
          <w:rFonts w:ascii="Times New Roman" w:hAnsi="Times New Roman" w:eastAsia="方正仿宋_GBK"/>
          <w:sz w:val="32"/>
          <w:szCs w:val="32"/>
        </w:rPr>
      </w:pPr>
    </w:p>
    <w:p w14:paraId="10AD6D7E">
      <w:pPr>
        <w:spacing w:line="560" w:lineRule="exact"/>
        <w:ind w:firstLine="3520" w:firstLineChars="1100"/>
        <w:rPr>
          <w:rFonts w:ascii="Times New Roman" w:hAnsi="Times New Roman" w:eastAsia="方正仿宋_GBK"/>
          <w:sz w:val="32"/>
          <w:szCs w:val="32"/>
        </w:rPr>
      </w:pPr>
      <w:r>
        <w:rPr>
          <w:rFonts w:hint="eastAsia" w:ascii="Times New Roman" w:hAnsi="Times New Roman" w:eastAsia="方正仿宋_GBK"/>
          <w:sz w:val="32"/>
          <w:szCs w:val="32"/>
        </w:rPr>
        <w:t>中共丰都县经济和信息化委员会党组</w:t>
      </w:r>
    </w:p>
    <w:p w14:paraId="385DD41E">
      <w:pPr>
        <w:spacing w:line="560" w:lineRule="exact"/>
        <w:ind w:firstLine="4160" w:firstLineChars="1300"/>
        <w:rPr>
          <w:rFonts w:ascii="Times New Roman" w:hAnsi="Times New Roman" w:eastAsia="方正仿宋_GBK"/>
          <w:sz w:val="32"/>
          <w:szCs w:val="32"/>
        </w:rPr>
      </w:pPr>
      <w:r>
        <w:rPr>
          <w:rFonts w:hint="eastAsia" w:ascii="Times New Roman" w:hAnsi="Times New Roman" w:eastAsia="方正仿宋_GBK"/>
          <w:sz w:val="32"/>
          <w:szCs w:val="32"/>
        </w:rPr>
        <w:t>丰都县经济和信息化委员会</w:t>
      </w:r>
    </w:p>
    <w:p w14:paraId="6040ECCA">
      <w:pPr>
        <w:spacing w:line="560" w:lineRule="exact"/>
        <w:ind w:firstLine="4800" w:firstLineChars="15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3年3月27日</w:t>
      </w:r>
    </w:p>
    <w:p w14:paraId="7AA2381F">
      <w:pPr>
        <w:spacing w:line="560" w:lineRule="exact"/>
        <w:ind w:firstLine="640" w:firstLineChars="200"/>
        <w:rPr>
          <w:rFonts w:ascii="Times New Roman" w:hAnsi="Times New Roman" w:eastAsia="方正仿宋_GBK"/>
          <w:sz w:val="32"/>
          <w:szCs w:val="32"/>
        </w:rPr>
      </w:pPr>
    </w:p>
    <w:p w14:paraId="7BED9314">
      <w:pPr>
        <w:spacing w:line="560" w:lineRule="exact"/>
        <w:ind w:firstLine="640" w:firstLineChars="200"/>
        <w:rPr>
          <w:rFonts w:ascii="Times New Roman" w:hAnsi="Times New Roman" w:eastAsia="方正仿宋_GBK"/>
          <w:sz w:val="32"/>
          <w:szCs w:val="32"/>
        </w:rPr>
      </w:pPr>
    </w:p>
    <w:p w14:paraId="03B4E8E1">
      <w:pPr>
        <w:spacing w:line="560" w:lineRule="exact"/>
        <w:ind w:firstLine="640" w:firstLineChars="200"/>
        <w:rPr>
          <w:rFonts w:ascii="Times New Roman" w:hAnsi="Times New Roman" w:eastAsia="方正仿宋_GBK"/>
          <w:sz w:val="32"/>
          <w:szCs w:val="32"/>
        </w:rPr>
      </w:pPr>
    </w:p>
    <w:p w14:paraId="1468775F">
      <w:pPr>
        <w:spacing w:line="560" w:lineRule="exact"/>
        <w:ind w:firstLine="640" w:firstLineChars="200"/>
        <w:rPr>
          <w:rFonts w:ascii="Times New Roman" w:hAnsi="Times New Roman" w:eastAsia="方正仿宋_GBK"/>
          <w:sz w:val="32"/>
          <w:szCs w:val="32"/>
        </w:rPr>
      </w:pPr>
    </w:p>
    <w:p w14:paraId="508C92AD">
      <w:pPr>
        <w:spacing w:line="560" w:lineRule="exact"/>
        <w:ind w:firstLine="640" w:firstLineChars="200"/>
        <w:rPr>
          <w:rFonts w:ascii="Times New Roman" w:hAnsi="Times New Roman" w:eastAsia="方正仿宋_GBK"/>
          <w:sz w:val="32"/>
          <w:szCs w:val="32"/>
        </w:rPr>
      </w:pPr>
    </w:p>
    <w:p w14:paraId="26EB1D19">
      <w:pPr>
        <w:spacing w:line="560" w:lineRule="exact"/>
        <w:ind w:firstLine="640" w:firstLineChars="200"/>
        <w:rPr>
          <w:rFonts w:ascii="Times New Roman" w:hAnsi="Times New Roman" w:eastAsia="方正仿宋_GBK"/>
          <w:sz w:val="32"/>
          <w:szCs w:val="32"/>
        </w:rPr>
      </w:pPr>
    </w:p>
    <w:p w14:paraId="09E7AC1F">
      <w:pPr>
        <w:spacing w:line="560" w:lineRule="exact"/>
        <w:ind w:firstLine="640" w:firstLineChars="200"/>
        <w:rPr>
          <w:rFonts w:ascii="Times New Roman" w:hAnsi="Times New Roman" w:eastAsia="方正仿宋_GBK"/>
          <w:sz w:val="32"/>
          <w:szCs w:val="32"/>
        </w:rPr>
      </w:pPr>
    </w:p>
    <w:p w14:paraId="4C295E2A">
      <w:pPr>
        <w:spacing w:line="560" w:lineRule="exact"/>
        <w:ind w:firstLine="640" w:firstLineChars="200"/>
        <w:rPr>
          <w:rFonts w:ascii="Times New Roman" w:hAnsi="Times New Roman" w:eastAsia="方正仿宋_GBK"/>
          <w:sz w:val="32"/>
          <w:szCs w:val="32"/>
        </w:rPr>
      </w:pPr>
    </w:p>
    <w:p w14:paraId="2A289E6F">
      <w:pPr>
        <w:spacing w:line="560" w:lineRule="exact"/>
        <w:ind w:firstLine="640" w:firstLineChars="200"/>
        <w:rPr>
          <w:rFonts w:ascii="Times New Roman" w:hAnsi="Times New Roman" w:eastAsia="方正仿宋_GBK"/>
          <w:sz w:val="32"/>
          <w:szCs w:val="32"/>
        </w:rPr>
      </w:pPr>
    </w:p>
    <w:p w14:paraId="4294B8BD">
      <w:pPr>
        <w:spacing w:line="560" w:lineRule="exact"/>
        <w:ind w:firstLine="640" w:firstLineChars="200"/>
        <w:rPr>
          <w:rFonts w:ascii="Times New Roman" w:hAnsi="Times New Roman" w:eastAsia="方正仿宋_GBK"/>
          <w:sz w:val="32"/>
          <w:szCs w:val="32"/>
        </w:rPr>
      </w:pPr>
    </w:p>
    <w:p w14:paraId="53898E8B">
      <w:pPr>
        <w:spacing w:line="560" w:lineRule="exact"/>
        <w:ind w:firstLine="640" w:firstLineChars="200"/>
        <w:rPr>
          <w:rFonts w:ascii="Times New Roman" w:hAnsi="Times New Roman" w:eastAsia="方正仿宋_GBK"/>
          <w:sz w:val="32"/>
          <w:szCs w:val="32"/>
        </w:rPr>
      </w:pPr>
    </w:p>
    <w:p w14:paraId="2F09DFB4">
      <w:pPr>
        <w:spacing w:line="560" w:lineRule="exact"/>
        <w:ind w:firstLine="640" w:firstLineChars="200"/>
        <w:rPr>
          <w:rFonts w:ascii="Times New Roman" w:hAnsi="Times New Roman" w:eastAsia="方正仿宋_GBK"/>
          <w:sz w:val="32"/>
          <w:szCs w:val="32"/>
        </w:rPr>
      </w:pPr>
    </w:p>
    <w:p w14:paraId="537F1BC1">
      <w:pPr>
        <w:spacing w:line="560" w:lineRule="exact"/>
        <w:ind w:firstLine="640" w:firstLineChars="200"/>
        <w:rPr>
          <w:rFonts w:ascii="Times New Roman" w:hAnsi="Times New Roman" w:eastAsia="方正仿宋_GBK"/>
          <w:sz w:val="32"/>
          <w:szCs w:val="32"/>
        </w:rPr>
      </w:pPr>
    </w:p>
    <w:p w14:paraId="1F1044AF">
      <w:pPr>
        <w:spacing w:line="560" w:lineRule="exact"/>
        <w:ind w:firstLine="640" w:firstLineChars="200"/>
        <w:rPr>
          <w:rFonts w:ascii="Times New Roman" w:hAnsi="Times New Roman" w:eastAsia="方正仿宋_GBK"/>
          <w:sz w:val="32"/>
          <w:szCs w:val="32"/>
        </w:rPr>
      </w:pPr>
    </w:p>
    <w:p w14:paraId="62179064">
      <w:pPr>
        <w:spacing w:line="560" w:lineRule="exact"/>
        <w:ind w:firstLine="640" w:firstLineChars="200"/>
        <w:rPr>
          <w:rFonts w:ascii="Times New Roman" w:hAnsi="Times New Roman" w:eastAsia="方正仿宋_GBK"/>
          <w:sz w:val="32"/>
          <w:szCs w:val="32"/>
        </w:rPr>
      </w:pPr>
    </w:p>
    <w:p w14:paraId="1E20E537">
      <w:pPr>
        <w:spacing w:line="560" w:lineRule="exact"/>
        <w:ind w:firstLine="640" w:firstLineChars="200"/>
        <w:rPr>
          <w:rFonts w:ascii="Times New Roman" w:hAnsi="Times New Roman" w:eastAsia="方正仿宋_GBK"/>
          <w:sz w:val="32"/>
          <w:szCs w:val="32"/>
        </w:rPr>
      </w:pPr>
    </w:p>
    <w:p w14:paraId="30261BD1">
      <w:pPr>
        <w:spacing w:line="560" w:lineRule="exact"/>
        <w:ind w:firstLine="640" w:firstLineChars="200"/>
        <w:rPr>
          <w:rFonts w:ascii="Times New Roman" w:hAnsi="Times New Roman" w:eastAsia="方正仿宋_GBK"/>
          <w:sz w:val="32"/>
          <w:szCs w:val="32"/>
        </w:rPr>
      </w:pPr>
    </w:p>
    <w:p w14:paraId="431A4D03">
      <w:pPr>
        <w:spacing w:line="560" w:lineRule="exact"/>
        <w:ind w:firstLine="640" w:firstLineChars="200"/>
        <w:rPr>
          <w:rFonts w:ascii="Times New Roman" w:hAnsi="Times New Roman" w:eastAsia="方正仿宋_GBK"/>
          <w:sz w:val="32"/>
          <w:szCs w:val="32"/>
        </w:rPr>
      </w:pPr>
    </w:p>
    <w:p w14:paraId="2074C91F">
      <w:pPr>
        <w:spacing w:line="560" w:lineRule="exact"/>
        <w:ind w:firstLine="640" w:firstLineChars="200"/>
        <w:rPr>
          <w:rFonts w:ascii="Times New Roman" w:hAnsi="Times New Roman" w:eastAsia="方正仿宋_GBK"/>
          <w:sz w:val="32"/>
          <w:szCs w:val="32"/>
        </w:rPr>
      </w:pPr>
    </w:p>
    <w:p w14:paraId="3640F32C">
      <w:pPr>
        <w:spacing w:line="560" w:lineRule="exact"/>
        <w:ind w:firstLine="640" w:firstLineChars="200"/>
        <w:rPr>
          <w:rFonts w:ascii="Times New Roman" w:hAnsi="Times New Roman" w:eastAsia="方正仿宋_GBK"/>
          <w:sz w:val="32"/>
          <w:szCs w:val="32"/>
        </w:rPr>
      </w:pPr>
    </w:p>
    <w:p w14:paraId="679FC51A">
      <w:pPr>
        <w:spacing w:line="560" w:lineRule="exact"/>
        <w:ind w:firstLine="640" w:firstLineChars="200"/>
        <w:rPr>
          <w:rFonts w:ascii="Times New Roman" w:hAnsi="Times New Roman" w:eastAsia="方正仿宋_GBK"/>
          <w:sz w:val="32"/>
          <w:szCs w:val="32"/>
        </w:rPr>
      </w:pPr>
    </w:p>
    <w:p w14:paraId="0AF2A61E">
      <w:pPr>
        <w:spacing w:line="560" w:lineRule="exact"/>
        <w:ind w:firstLine="640" w:firstLineChars="200"/>
        <w:rPr>
          <w:rFonts w:ascii="Times New Roman" w:hAnsi="Times New Roman" w:eastAsia="方正仿宋_GBK"/>
          <w:sz w:val="32"/>
          <w:szCs w:val="32"/>
        </w:rPr>
      </w:pPr>
    </w:p>
    <w:p w14:paraId="592B384C">
      <w:pPr>
        <w:spacing w:line="560" w:lineRule="exact"/>
        <w:ind w:firstLine="640" w:firstLineChars="200"/>
        <w:rPr>
          <w:rFonts w:ascii="Times New Roman" w:hAnsi="Times New Roman" w:eastAsia="方正仿宋_GBK"/>
          <w:sz w:val="32"/>
          <w:szCs w:val="32"/>
        </w:rPr>
      </w:pPr>
    </w:p>
    <w:p w14:paraId="665E470D">
      <w:pPr>
        <w:pStyle w:val="2"/>
        <w:widowControl/>
        <w:pBdr>
          <w:top w:val="single" w:color="auto" w:sz="4" w:space="0"/>
          <w:bottom w:val="single" w:color="auto" w:sz="4" w:space="1"/>
        </w:pBdr>
        <w:overflowPunct w:val="0"/>
        <w:spacing w:line="640" w:lineRule="exact"/>
        <w:ind w:firstLine="140" w:firstLineChars="50"/>
        <w:rPr>
          <w:rFonts w:ascii="Times New Roman" w:hAnsi="Times New Roman"/>
          <w:szCs w:val="32"/>
        </w:rPr>
      </w:pPr>
      <w:r>
        <w:rPr>
          <w:rFonts w:ascii="Times New Roman" w:hAnsi="Times New Roman"/>
          <w:sz w:val="28"/>
          <w:szCs w:val="28"/>
        </w:rPr>
        <w:t>丰都县经济和信息化委员会办公室           2023年3月</w:t>
      </w:r>
      <w:r>
        <w:rPr>
          <w:rFonts w:hint="eastAsia" w:ascii="Times New Roman" w:hAnsi="Times New Roman"/>
          <w:sz w:val="28"/>
          <w:szCs w:val="28"/>
        </w:rPr>
        <w:t>27</w:t>
      </w:r>
      <w:r>
        <w:rPr>
          <w:rFonts w:ascii="Times New Roman" w:hAnsi="Times New Roman"/>
          <w:sz w:val="28"/>
          <w:szCs w:val="28"/>
        </w:rPr>
        <w:t>日印发</w:t>
      </w:r>
    </w:p>
    <w:sectPr>
      <w:pgSz w:w="11906" w:h="16838"/>
      <w:pgMar w:top="2098"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B50A42"/>
    <w:rsid w:val="00012A9B"/>
    <w:rsid w:val="000300A5"/>
    <w:rsid w:val="00050DE2"/>
    <w:rsid w:val="000516E1"/>
    <w:rsid w:val="00072A9C"/>
    <w:rsid w:val="00087A36"/>
    <w:rsid w:val="0010185D"/>
    <w:rsid w:val="00101A14"/>
    <w:rsid w:val="00115841"/>
    <w:rsid w:val="00176B0E"/>
    <w:rsid w:val="00176C88"/>
    <w:rsid w:val="001E3E71"/>
    <w:rsid w:val="00236C8A"/>
    <w:rsid w:val="002411C8"/>
    <w:rsid w:val="0028036F"/>
    <w:rsid w:val="00292C62"/>
    <w:rsid w:val="00371FDB"/>
    <w:rsid w:val="00385625"/>
    <w:rsid w:val="00397853"/>
    <w:rsid w:val="003A02D8"/>
    <w:rsid w:val="003E7FCA"/>
    <w:rsid w:val="0040631F"/>
    <w:rsid w:val="00420141"/>
    <w:rsid w:val="00452340"/>
    <w:rsid w:val="00462A69"/>
    <w:rsid w:val="00470DAD"/>
    <w:rsid w:val="004F25F0"/>
    <w:rsid w:val="005702F3"/>
    <w:rsid w:val="005E7B11"/>
    <w:rsid w:val="00624586"/>
    <w:rsid w:val="006650AD"/>
    <w:rsid w:val="00673592"/>
    <w:rsid w:val="0068047E"/>
    <w:rsid w:val="0069773C"/>
    <w:rsid w:val="006A0ABF"/>
    <w:rsid w:val="006A38B9"/>
    <w:rsid w:val="006B7704"/>
    <w:rsid w:val="006B778C"/>
    <w:rsid w:val="007355A0"/>
    <w:rsid w:val="007923B6"/>
    <w:rsid w:val="007B0414"/>
    <w:rsid w:val="00804D14"/>
    <w:rsid w:val="00841A6A"/>
    <w:rsid w:val="00890772"/>
    <w:rsid w:val="0089112F"/>
    <w:rsid w:val="00893B0B"/>
    <w:rsid w:val="008C7773"/>
    <w:rsid w:val="008F5CCF"/>
    <w:rsid w:val="0090598A"/>
    <w:rsid w:val="00916878"/>
    <w:rsid w:val="00920481"/>
    <w:rsid w:val="0092722D"/>
    <w:rsid w:val="00944207"/>
    <w:rsid w:val="00957D69"/>
    <w:rsid w:val="00983F16"/>
    <w:rsid w:val="009A3BAF"/>
    <w:rsid w:val="009B06BB"/>
    <w:rsid w:val="009C2336"/>
    <w:rsid w:val="00A079CC"/>
    <w:rsid w:val="00A71603"/>
    <w:rsid w:val="00A8522D"/>
    <w:rsid w:val="00AA0807"/>
    <w:rsid w:val="00AA68D7"/>
    <w:rsid w:val="00AA703A"/>
    <w:rsid w:val="00AE05E4"/>
    <w:rsid w:val="00AF0F54"/>
    <w:rsid w:val="00B07964"/>
    <w:rsid w:val="00B20D41"/>
    <w:rsid w:val="00B46E5B"/>
    <w:rsid w:val="00B50A42"/>
    <w:rsid w:val="00B9459E"/>
    <w:rsid w:val="00BA67D2"/>
    <w:rsid w:val="00BD51D1"/>
    <w:rsid w:val="00BE2890"/>
    <w:rsid w:val="00C2026C"/>
    <w:rsid w:val="00C20C8E"/>
    <w:rsid w:val="00C446D7"/>
    <w:rsid w:val="00C874CE"/>
    <w:rsid w:val="00C964C0"/>
    <w:rsid w:val="00D53D86"/>
    <w:rsid w:val="00DD0A09"/>
    <w:rsid w:val="00E63B96"/>
    <w:rsid w:val="00EB29D8"/>
    <w:rsid w:val="00ED2BD5"/>
    <w:rsid w:val="00F142B9"/>
    <w:rsid w:val="00F711D9"/>
    <w:rsid w:val="00FD1707"/>
    <w:rsid w:val="01AD1B28"/>
    <w:rsid w:val="3280139A"/>
    <w:rsid w:val="7D3C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方正仿宋_GBK"/>
      <w:kern w:val="0"/>
      <w:sz w:val="32"/>
      <w:szCs w:val="2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纯文本 Char"/>
    <w:basedOn w:val="6"/>
    <w:semiHidden/>
    <w:qFormat/>
    <w:uiPriority w:val="99"/>
    <w:rPr>
      <w:rFonts w:ascii="宋体" w:hAnsi="Courier New" w:eastAsia="宋体" w:cs="Courier New"/>
      <w:szCs w:val="21"/>
    </w:rPr>
  </w:style>
  <w:style w:type="character" w:customStyle="1" w:styleId="11">
    <w:name w:val="纯文本 Char1"/>
    <w:link w:val="2"/>
    <w:qFormat/>
    <w:uiPriority w:val="0"/>
    <w:rPr>
      <w:rFonts w:ascii="宋体" w:hAnsi="Courier New" w:eastAsia="方正仿宋_GBK" w:cs="Times New Roman"/>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3494</Words>
  <Characters>3613</Characters>
  <Lines>26</Lines>
  <Paragraphs>7</Paragraphs>
  <TotalTime>118</TotalTime>
  <ScaleCrop>false</ScaleCrop>
  <LinksUpToDate>false</LinksUpToDate>
  <CharactersWithSpaces>3642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2023-02-19T01:55:00Z</dcterms:created>
  <dc:creator>kkk</dc:creator>
  <cp:lastModifiedBy>温星星</cp:lastModifiedBy>
  <cp:lastPrinted>2023-03-27T02:31:00Z</cp:lastPrinted>
  <dcterms:modified xsi:type="dcterms:W3CDTF">2024-12-25T08:53:22Z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F584FEC073D04487AD0ED176D2778EB6_12</vt:lpwstr>
  </property>
  <property fmtid="{D5CDD505-2E9C-101B-9397-08002B2CF9AE}" pid="4" name="KSOTemplateDocerSaveRecord">
    <vt:lpwstr>eyJoZGlkIjoiZDRlMTI0ZmZkNWVkNDk2ZTg4NWYwOTQyMjQxMmY4NGEiLCJ1c2VySWQiOiIxMzIzODcwMDMzIn0=</vt:lpwstr>
  </property>
</Properties>
</file>