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Style w:val="13"/>
          <w:rFonts w:ascii="方正小标宋_GBK" w:eastAsia="方正小标宋_GBK"/>
          <w:bCs/>
          <w:sz w:val="44"/>
          <w:szCs w:val="44"/>
        </w:rPr>
      </w:pPr>
    </w:p>
    <w:p>
      <w:pPr>
        <w:spacing w:line="560" w:lineRule="exact"/>
        <w:jc w:val="center"/>
        <w:rPr>
          <w:rStyle w:val="13"/>
          <w:rFonts w:ascii="方正小标宋_GBK" w:eastAsia="方正小标宋_GBK"/>
          <w:bCs/>
          <w:sz w:val="44"/>
          <w:szCs w:val="44"/>
        </w:rPr>
      </w:pPr>
      <w:r>
        <w:rPr>
          <w:rStyle w:val="13"/>
          <w:rFonts w:hint="eastAsia" w:ascii="方正小标宋_GBK" w:eastAsia="方正小标宋_GBK"/>
          <w:bCs/>
          <w:sz w:val="44"/>
          <w:szCs w:val="44"/>
        </w:rPr>
        <w:t>丰都县公安局关于</w:t>
      </w:r>
    </w:p>
    <w:p>
      <w:pPr>
        <w:spacing w:line="560" w:lineRule="exact"/>
        <w:jc w:val="center"/>
        <w:rPr>
          <w:rStyle w:val="9"/>
          <w:rFonts w:ascii="方正小标宋_GBK" w:eastAsia="方正小标宋_GBK" w:cs="宋体"/>
          <w:b w:val="0"/>
          <w:sz w:val="44"/>
          <w:szCs w:val="44"/>
        </w:rPr>
      </w:pPr>
      <w:r>
        <w:rPr>
          <w:rStyle w:val="9"/>
          <w:rFonts w:ascii="方正小标宋_GBK" w:eastAsia="方正小标宋_GBK" w:cs="宋体"/>
          <w:b w:val="0"/>
          <w:sz w:val="44"/>
          <w:szCs w:val="44"/>
        </w:rPr>
        <w:t>202</w:t>
      </w:r>
      <w:r>
        <w:rPr>
          <w:rStyle w:val="9"/>
          <w:rFonts w:hint="eastAsia" w:ascii="方正小标宋_GBK" w:eastAsia="方正小标宋_GBK" w:cs="宋体"/>
          <w:b w:val="0"/>
          <w:sz w:val="44"/>
          <w:szCs w:val="44"/>
        </w:rPr>
        <w:t>2</w:t>
      </w:r>
      <w:r>
        <w:rPr>
          <w:rStyle w:val="9"/>
          <w:rFonts w:ascii="方正小标宋_GBK" w:eastAsia="方正小标宋_GBK" w:cs="宋体"/>
          <w:b w:val="0"/>
          <w:sz w:val="44"/>
          <w:szCs w:val="44"/>
        </w:rPr>
        <w:t>年度</w:t>
      </w:r>
      <w:r>
        <w:rPr>
          <w:rStyle w:val="9"/>
          <w:rFonts w:hint="eastAsia" w:ascii="方正小标宋_GBK" w:eastAsia="方正小标宋_GBK" w:cs="宋体"/>
          <w:b w:val="0"/>
          <w:sz w:val="44"/>
          <w:szCs w:val="44"/>
        </w:rPr>
        <w:t>法治政府建设工作情况的报告</w:t>
      </w:r>
    </w:p>
    <w:p>
      <w:pPr>
        <w:spacing w:line="560" w:lineRule="exact"/>
        <w:jc w:val="center"/>
        <w:rPr>
          <w:rStyle w:val="13"/>
          <w:rFonts w:ascii="方正小标宋_GBK" w:eastAsia="方正小标宋_GBK" w:cs="宋体"/>
          <w:bCs/>
          <w:sz w:val="44"/>
          <w:szCs w:val="44"/>
        </w:rPr>
      </w:pPr>
    </w:p>
    <w:p>
      <w:pPr>
        <w:spacing w:line="560" w:lineRule="exact"/>
        <w:rPr>
          <w:rFonts w:ascii="方正仿宋_GBK"/>
          <w:szCs w:val="32"/>
        </w:rPr>
      </w:pPr>
      <w:r>
        <w:rPr>
          <w:rFonts w:hint="eastAsia" w:ascii="方正仿宋_GBK" w:cs="方正仿宋_GBK"/>
          <w:szCs w:val="32"/>
        </w:rPr>
        <w:t>县委、县政府：</w:t>
      </w:r>
    </w:p>
    <w:p>
      <w:pPr>
        <w:adjustRightInd w:val="0"/>
        <w:snapToGrid w:val="0"/>
        <w:spacing w:line="560" w:lineRule="exact"/>
        <w:ind w:firstLine="640" w:firstLineChars="200"/>
        <w:rPr>
          <w:rFonts w:ascii="方正仿宋_GBK" w:cs="方正仿宋_GBK"/>
          <w:szCs w:val="32"/>
        </w:rPr>
      </w:pPr>
      <w:r>
        <w:rPr>
          <w:rFonts w:hint="eastAsia" w:ascii="方正仿宋_GBK"/>
          <w:szCs w:val="32"/>
        </w:rPr>
        <w:t>2022年以来，县公安局</w:t>
      </w:r>
      <w:r>
        <w:rPr>
          <w:rFonts w:ascii="Times New Roman" w:hAnsi="Times New Roman"/>
          <w:spacing w:val="-6"/>
          <w:szCs w:val="32"/>
        </w:rPr>
        <w:t>坚持以习近平新时</w:t>
      </w:r>
      <w:r>
        <w:rPr>
          <w:rFonts w:ascii="Times New Roman" w:hAnsi="Times New Roman"/>
          <w:szCs w:val="32"/>
        </w:rPr>
        <w:t>代中国特色社会主义思想为指导，深入学习宣传贯彻习近平法治思想，全面贯彻党的</w:t>
      </w:r>
      <w:r>
        <w:rPr>
          <w:rFonts w:hint="eastAsia" w:ascii="Times New Roman" w:hAnsi="Times New Roman"/>
          <w:szCs w:val="32"/>
        </w:rPr>
        <w:t>二十大</w:t>
      </w:r>
      <w:r>
        <w:rPr>
          <w:rFonts w:ascii="Times New Roman" w:hAnsi="Times New Roman"/>
          <w:szCs w:val="32"/>
        </w:rPr>
        <w:t>精神</w:t>
      </w:r>
      <w:r>
        <w:rPr>
          <w:rFonts w:hint="eastAsia" w:ascii="Times New Roman" w:hAnsi="Times New Roman"/>
          <w:szCs w:val="32"/>
        </w:rPr>
        <w:t>和</w:t>
      </w:r>
      <w:r>
        <w:rPr>
          <w:rFonts w:ascii="Times New Roman" w:hAnsi="Times New Roman"/>
          <w:szCs w:val="32"/>
        </w:rPr>
        <w:t>中央全面依法治国工作会议精神</w:t>
      </w:r>
      <w:r>
        <w:rPr>
          <w:rFonts w:hint="eastAsia" w:ascii="Times New Roman" w:hAnsi="Times New Roman"/>
          <w:szCs w:val="32"/>
        </w:rPr>
        <w:t>，</w:t>
      </w:r>
      <w:r>
        <w:rPr>
          <w:rFonts w:ascii="Times New Roman" w:hAnsi="Times New Roman"/>
          <w:szCs w:val="32"/>
        </w:rPr>
        <w:t>贯彻落实党中央、国务院《法治政府建设实施纲要（2021—2025年）》《重庆市法治政府建设实施方案（2021—2025年）》以及我县</w:t>
      </w:r>
      <w:r>
        <w:rPr>
          <w:rFonts w:hint="eastAsia" w:ascii="Times New Roman" w:hAnsi="Times New Roman"/>
          <w:szCs w:val="32"/>
        </w:rPr>
        <w:t>相关</w:t>
      </w:r>
      <w:r>
        <w:rPr>
          <w:rFonts w:ascii="Times New Roman" w:hAnsi="Times New Roman"/>
          <w:szCs w:val="32"/>
        </w:rPr>
        <w:t>要求，</w:t>
      </w:r>
      <w:r>
        <w:rPr>
          <w:rFonts w:hint="eastAsia" w:ascii="Times New Roman" w:hAnsi="Times New Roman"/>
          <w:szCs w:val="32"/>
        </w:rPr>
        <w:t>认真落实</w:t>
      </w:r>
      <w:r>
        <w:rPr>
          <w:rFonts w:ascii="Times New Roman" w:hAnsi="Times New Roman"/>
          <w:szCs w:val="32"/>
        </w:rPr>
        <w:t>中央依法治国办督察反馈意见整改工作，努力推动法治政府建设迈上新台阶</w:t>
      </w:r>
      <w:r>
        <w:rPr>
          <w:rFonts w:hint="eastAsia" w:ascii="Times New Roman" w:hAnsi="Times New Roman"/>
          <w:szCs w:val="32"/>
        </w:rPr>
        <w:t>。</w:t>
      </w:r>
      <w:r>
        <w:rPr>
          <w:rFonts w:hint="eastAsia" w:ascii="方正仿宋_GBK" w:cs="方正仿宋_GBK"/>
          <w:szCs w:val="32"/>
        </w:rPr>
        <w:t>现将相关情况报告如下：</w:t>
      </w:r>
    </w:p>
    <w:p>
      <w:pPr>
        <w:spacing w:line="560" w:lineRule="exact"/>
        <w:ind w:firstLine="640" w:firstLineChars="200"/>
        <w:rPr>
          <w:rStyle w:val="13"/>
          <w:rFonts w:ascii="方正黑体_GBK" w:hAnsi="Times New Roman" w:eastAsia="方正黑体_GBK"/>
          <w:bCs/>
          <w:szCs w:val="32"/>
        </w:rPr>
      </w:pPr>
      <w:r>
        <w:rPr>
          <w:rFonts w:hint="eastAsia" w:ascii="方正黑体_GBK" w:eastAsia="方正黑体_GBK" w:cs="方正黑体_GBK"/>
          <w:szCs w:val="32"/>
        </w:rPr>
        <w:t>一、</w:t>
      </w:r>
      <w:r>
        <w:rPr>
          <w:rStyle w:val="13"/>
          <w:rFonts w:hint="eastAsia" w:ascii="方正黑体_GBK" w:hAnsi="Times New Roman" w:eastAsia="方正黑体_GBK"/>
          <w:bCs/>
          <w:szCs w:val="32"/>
        </w:rPr>
        <w:t>2022年推进法治政府建设的主要举措和成效</w:t>
      </w:r>
    </w:p>
    <w:p>
      <w:pPr>
        <w:spacing w:line="560" w:lineRule="exact"/>
        <w:ind w:firstLine="640" w:firstLineChars="200"/>
        <w:rPr>
          <w:rFonts w:ascii="方正楷体_GBK" w:eastAsia="方正楷体_GBK"/>
          <w:szCs w:val="32"/>
        </w:rPr>
      </w:pPr>
      <w:r>
        <w:rPr>
          <w:rFonts w:hint="eastAsia" w:ascii="方正楷体_GBK" w:eastAsia="方正楷体_GBK"/>
          <w:szCs w:val="32"/>
        </w:rPr>
        <w:t>（一）学用结合，深入学习宣传贯彻习近平法治思想</w:t>
      </w:r>
    </w:p>
    <w:p>
      <w:pPr>
        <w:spacing w:line="560" w:lineRule="exact"/>
        <w:ind w:firstLine="645"/>
        <w:rPr>
          <w:rFonts w:ascii="方正仿宋_GBK"/>
          <w:kern w:val="0"/>
          <w:szCs w:val="32"/>
        </w:rPr>
      </w:pPr>
      <w:r>
        <w:rPr>
          <w:rFonts w:hint="eastAsia" w:ascii="方正仿宋_GBK"/>
          <w:kern w:val="0"/>
          <w:szCs w:val="32"/>
        </w:rPr>
        <w:t>把习近平法治思想和全面依法治国相关重要文件作为</w:t>
      </w:r>
      <w:r>
        <w:rPr>
          <w:rFonts w:hint="eastAsia" w:ascii="方正仿宋_GBK"/>
          <w:szCs w:val="32"/>
        </w:rPr>
        <w:t>县局党委理论学习中心组学习和全局民警法治培训的重要内容，开展集中学习4次，专题学习2次。</w:t>
      </w:r>
      <w:r>
        <w:rPr>
          <w:rFonts w:hint="eastAsia" w:ascii="方正仿宋_GBK"/>
          <w:kern w:val="0"/>
          <w:szCs w:val="32"/>
        </w:rPr>
        <w:t>通过开展“三月法治宣传月”、“宪法宣传周”等主题普法活动，积极宣传习近平法治思想。充分利用官方微博、微信公众号，辖区路口电子显示屏、各服务窗口广泛宣传习近平法治思想，营造浓厚宣传氛围。</w:t>
      </w:r>
    </w:p>
    <w:p>
      <w:pPr>
        <w:autoSpaceDN w:val="0"/>
        <w:adjustRightInd w:val="0"/>
        <w:snapToGrid w:val="0"/>
        <w:spacing w:line="560" w:lineRule="exact"/>
        <w:ind w:firstLine="640" w:firstLineChars="200"/>
        <w:rPr>
          <w:rFonts w:ascii="方正楷体_GBK" w:eastAsia="方正楷体_GBK"/>
          <w:szCs w:val="32"/>
        </w:rPr>
      </w:pPr>
      <w:r>
        <w:rPr>
          <w:rFonts w:hint="eastAsia" w:ascii="方正楷体_GBK" w:eastAsia="方正楷体_GBK"/>
          <w:szCs w:val="32"/>
        </w:rPr>
        <w:t>（二）高质高效，完成中央督察反馈意见整改工作</w:t>
      </w:r>
    </w:p>
    <w:p>
      <w:pPr>
        <w:adjustRightInd w:val="0"/>
        <w:snapToGrid w:val="0"/>
        <w:spacing w:line="560" w:lineRule="exact"/>
        <w:ind w:firstLine="640" w:firstLineChars="200"/>
        <w:rPr>
          <w:rFonts w:ascii="方正仿宋_GBK"/>
          <w:szCs w:val="32"/>
        </w:rPr>
      </w:pPr>
      <w:r>
        <w:rPr>
          <w:rFonts w:hint="eastAsia" w:ascii="方正仿宋_GBK"/>
          <w:szCs w:val="32"/>
        </w:rPr>
        <w:t>成立中央依法治国办法治政府建设实地督察反馈意见整改落实工作领导小组，围绕整改事项制定《丰都县公安局关于落实整改中央依法治国办关于对重庆市法治政府建设实地督察的反馈意见工作方案》，逐项对照细化整改措施，明确责任领导、责任单位，压实工作责任，常态跟踪进度，确保按时保质完成整改工作。</w:t>
      </w:r>
    </w:p>
    <w:p>
      <w:pPr>
        <w:spacing w:line="560" w:lineRule="exact"/>
        <w:ind w:firstLine="640" w:firstLineChars="200"/>
        <w:rPr>
          <w:rFonts w:ascii="Times New Roman" w:hAnsi="Times New Roman"/>
          <w:szCs w:val="32"/>
        </w:rPr>
      </w:pPr>
      <w:r>
        <w:rPr>
          <w:rFonts w:hint="eastAsia" w:ascii="方正楷体_GBK" w:hAnsi="方正楷体_GBK" w:eastAsia="方正楷体_GBK" w:cs="方正楷体_GBK"/>
          <w:bCs/>
          <w:szCs w:val="32"/>
        </w:rPr>
        <w:t>（三）规范执法，切实维护社会公平正义</w:t>
      </w:r>
    </w:p>
    <w:p>
      <w:pPr>
        <w:spacing w:line="560" w:lineRule="exact"/>
        <w:ind w:firstLine="645"/>
        <w:rPr>
          <w:rFonts w:ascii="Times New Roman" w:hAnsi="Times New Roman"/>
          <w:color w:val="000000" w:themeColor="text1"/>
          <w:szCs w:val="32"/>
        </w:rPr>
      </w:pPr>
      <w:r>
        <w:rPr>
          <w:rFonts w:hint="eastAsia" w:ascii="Times New Roman" w:hAnsi="Times New Roman"/>
          <w:b/>
          <w:bCs/>
          <w:szCs w:val="32"/>
        </w:rPr>
        <w:t>一是</w:t>
      </w:r>
      <w:r>
        <w:rPr>
          <w:rFonts w:hint="eastAsia" w:ascii="Times New Roman" w:hAnsi="Times New Roman"/>
          <w:szCs w:val="32"/>
        </w:rPr>
        <w:t>严格落实重大经济案件提级审批机制。</w:t>
      </w:r>
      <w:r>
        <w:rPr>
          <w:rFonts w:ascii="Times New Roman" w:hAnsi="Times New Roman"/>
          <w:szCs w:val="32"/>
        </w:rPr>
        <w:t>严格落实延长立案审查期限、延长侦查期限、赴外省办案和协作、指定管辖等提级审批规定。</w:t>
      </w:r>
      <w:r>
        <w:rPr>
          <w:rFonts w:hint="eastAsia" w:ascii="Times New Roman" w:hAnsi="Times New Roman"/>
          <w:b/>
          <w:bCs/>
          <w:szCs w:val="32"/>
        </w:rPr>
        <w:t>二是</w:t>
      </w:r>
      <w:r>
        <w:rPr>
          <w:rFonts w:hint="eastAsia" w:ascii="方正仿宋_GBK"/>
          <w:szCs w:val="32"/>
        </w:rPr>
        <w:t>依法审慎适用强制措施。在查处涉企案件过程中，稳妥审慎适用拘留、查封、扣押、冻结等措施，最大限度减少侦查办案对企业正常生产经营活动的不利影响。</w:t>
      </w:r>
      <w:r>
        <w:rPr>
          <w:rFonts w:hint="eastAsia" w:ascii="方正仿宋_GBK"/>
          <w:b/>
          <w:bCs/>
          <w:szCs w:val="32"/>
        </w:rPr>
        <w:t>三是</w:t>
      </w:r>
      <w:r>
        <w:rPr>
          <w:rFonts w:hint="eastAsia" w:ascii="方正仿宋_GBK"/>
          <w:szCs w:val="32"/>
        </w:rPr>
        <w:t>规范跨区域涉企执法协作。对涉及我县企业的跨省市重大案件，主动对接、积极协作。</w:t>
      </w:r>
      <w:r>
        <w:rPr>
          <w:rFonts w:hint="eastAsia" w:ascii="方正仿宋_GBK"/>
          <w:b/>
          <w:szCs w:val="32"/>
        </w:rPr>
        <w:t>四是</w:t>
      </w:r>
      <w:r>
        <w:rPr>
          <w:rFonts w:ascii="Times New Roman" w:hAnsi="Times New Roman"/>
          <w:color w:val="000000" w:themeColor="text1"/>
          <w:szCs w:val="32"/>
        </w:rPr>
        <w:t>全面推行“双随机、一公开”监管，持续推进跨领域跨部门联合抽查，实现“进一次门、查多项事”，</w:t>
      </w:r>
      <w:r>
        <w:rPr>
          <w:rFonts w:hint="eastAsia" w:ascii="Times New Roman" w:hAnsi="Times New Roman"/>
          <w:color w:val="000000" w:themeColor="text1"/>
          <w:szCs w:val="32"/>
        </w:rPr>
        <w:t>2022年，共开展行政检查28次，均面向社会公开。</w:t>
      </w:r>
    </w:p>
    <w:p>
      <w:pPr>
        <w:spacing w:line="560" w:lineRule="exact"/>
        <w:ind w:firstLine="640" w:firstLineChars="200"/>
        <w:jc w:val="left"/>
        <w:rPr>
          <w:rFonts w:ascii="方正楷体_GBK" w:hAnsi="方正楷体_GBK" w:eastAsia="方正楷体_GBK" w:cs="方正楷体_GBK"/>
          <w:szCs w:val="32"/>
        </w:rPr>
      </w:pPr>
      <w:r>
        <w:rPr>
          <w:rFonts w:hint="eastAsia" w:ascii="方正楷体_GBK" w:hAnsi="方正楷体_GBK" w:eastAsia="方正楷体_GBK" w:cs="方正楷体_GBK"/>
          <w:szCs w:val="32"/>
        </w:rPr>
        <w:t>（四）深化改革，打造优质高效的服务环境</w:t>
      </w:r>
    </w:p>
    <w:p>
      <w:pPr>
        <w:adjustRightInd w:val="0"/>
        <w:snapToGrid w:val="0"/>
        <w:spacing w:line="560" w:lineRule="exact"/>
        <w:ind w:firstLine="640" w:firstLineChars="200"/>
        <w:rPr>
          <w:rFonts w:ascii="方正仿宋_GBK" w:hAnsi="方正仿宋_GBK" w:cs="方正仿宋_GBK"/>
          <w:szCs w:val="32"/>
        </w:rPr>
      </w:pPr>
      <w:r>
        <w:rPr>
          <w:rFonts w:hint="eastAsia" w:ascii="方正仿宋_GBK" w:hAnsi="方正仿宋_GBK" w:cs="方正仿宋_GBK"/>
          <w:b/>
          <w:bCs/>
          <w:szCs w:val="32"/>
        </w:rPr>
        <w:t>一是</w:t>
      </w:r>
      <w:r>
        <w:rPr>
          <w:rFonts w:hint="eastAsia" w:ascii="方正仿宋_GBK" w:hAnsi="方正仿宋_GBK" w:cs="方正仿宋_GBK"/>
          <w:color w:val="000000"/>
          <w:szCs w:val="32"/>
        </w:rPr>
        <w:t>深化交管业务</w:t>
      </w:r>
      <w:r>
        <w:rPr>
          <w:rFonts w:hint="eastAsia" w:ascii="方正仿宋_GBK" w:hAnsi="方正仿宋_GBK" w:cs="方正仿宋_GBK"/>
          <w:color w:val="000000"/>
          <w:szCs w:val="32"/>
          <w:lang w:eastAsia="zh-CN"/>
        </w:rPr>
        <w:t>“放管服”改革</w:t>
      </w:r>
      <w:r>
        <w:rPr>
          <w:rFonts w:hint="eastAsia" w:ascii="方正仿宋_GBK" w:hAnsi="方正仿宋_GBK" w:cs="方正仿宋_GBK"/>
          <w:color w:val="000000"/>
          <w:szCs w:val="32"/>
        </w:rPr>
        <w:t>。推行交管服务网上办、就近办及社会化企业代办车驾管业务服务，</w:t>
      </w:r>
      <w:r>
        <w:rPr>
          <w:rFonts w:hint="eastAsia" w:ascii="方正仿宋_GBK" w:hAnsi="方正仿宋_GBK" w:cs="方正仿宋_GBK"/>
          <w:szCs w:val="32"/>
        </w:rPr>
        <w:t>对冷链物流、生活物资运输车、应急保障、生产建材运输车“零门槛”申领货车通行证，保障城市基础生活物资运输通行畅通。</w:t>
      </w:r>
      <w:r>
        <w:rPr>
          <w:rFonts w:hint="eastAsia" w:ascii="方正仿宋_GBK" w:hAnsi="方正仿宋_GBK" w:cs="方正仿宋_GBK"/>
          <w:b/>
          <w:bCs/>
          <w:szCs w:val="32"/>
        </w:rPr>
        <w:t>二是</w:t>
      </w:r>
      <w:r>
        <w:rPr>
          <w:rFonts w:hint="eastAsia" w:ascii="方正仿宋_GBK" w:hAnsi="方正仿宋_GBK" w:cs="方正仿宋_GBK"/>
          <w:szCs w:val="32"/>
        </w:rPr>
        <w:t>认真贯彻落实新修改的《旅馆业治安管理办法》，明确旅馆业特种行业许可证核发范围、核发条件，并及时对外公布办理流程及内容，核发许可证共10家。</w:t>
      </w:r>
      <w:r>
        <w:rPr>
          <w:rFonts w:hint="eastAsia" w:ascii="方正仿宋_GBK" w:hAnsi="方正仿宋_GBK" w:cs="方正仿宋_GBK"/>
          <w:b/>
          <w:bCs/>
          <w:szCs w:val="32"/>
        </w:rPr>
        <w:t>三是</w:t>
      </w:r>
      <w:r>
        <w:rPr>
          <w:rFonts w:hint="eastAsia" w:ascii="方正仿宋_GBK" w:hAnsi="方正仿宋_GBK" w:cs="方正仿宋_GBK"/>
          <w:szCs w:val="32"/>
        </w:rPr>
        <w:t>全面提升公章刻制线上线下服务效能。在政府网上审批平台和行政服务大厅实现“一网通办、一窗领取”，全面落实告知承诺制和自贸区备案制。</w:t>
      </w:r>
      <w:r>
        <w:rPr>
          <w:rFonts w:hint="eastAsia" w:ascii="方正仿宋_GBK" w:hAnsi="方正仿宋_GBK" w:cs="方正仿宋_GBK"/>
          <w:color w:val="000000"/>
          <w:kern w:val="0"/>
          <w:szCs w:val="32"/>
        </w:rPr>
        <w:t>通过告知承诺办理公章刻制特种行业许可证2家，</w:t>
      </w:r>
      <w:r>
        <w:rPr>
          <w:rFonts w:hint="eastAsia" w:ascii="方正仿宋_GBK" w:hAnsi="方正仿宋_GBK" w:cs="方正仿宋_GBK"/>
          <w:color w:val="000000"/>
          <w:szCs w:val="32"/>
        </w:rPr>
        <w:t>免费为首办企业提供公章782套，共计3128枚。</w:t>
      </w:r>
      <w:r>
        <w:rPr>
          <w:rFonts w:hint="eastAsia" w:ascii="方正仿宋_GBK" w:hAnsi="方正仿宋_GBK" w:cs="方正仿宋_GBK"/>
          <w:b/>
          <w:bCs/>
          <w:color w:val="000000"/>
          <w:szCs w:val="32"/>
        </w:rPr>
        <w:t>四是</w:t>
      </w:r>
      <w:r>
        <w:rPr>
          <w:rFonts w:hint="eastAsia" w:ascii="方正仿宋_GBK" w:hAnsi="方正仿宋_GBK" w:cs="方正仿宋_GBK"/>
          <w:color w:val="000000"/>
          <w:szCs w:val="32"/>
        </w:rPr>
        <w:t>进一步深化保安监管改革，</w:t>
      </w:r>
      <w:r>
        <w:rPr>
          <w:rFonts w:ascii="Times New Roman" w:hAnsi="Times New Roman"/>
          <w:color w:val="000000"/>
          <w:szCs w:val="32"/>
        </w:rPr>
        <w:t>进一步推进告知承诺制的实施</w:t>
      </w:r>
      <w:r>
        <w:rPr>
          <w:rFonts w:hint="eastAsia" w:ascii="Times New Roman" w:hAnsi="Times New Roman"/>
          <w:color w:val="000000"/>
          <w:szCs w:val="32"/>
        </w:rPr>
        <w:t>。</w:t>
      </w:r>
      <w:r>
        <w:rPr>
          <w:rFonts w:hint="eastAsia" w:ascii="Times New Roman" w:hAnsi="Times New Roman"/>
          <w:b/>
          <w:bCs/>
          <w:color w:val="000000"/>
          <w:szCs w:val="32"/>
        </w:rPr>
        <w:t>五是</w:t>
      </w:r>
      <w:r>
        <w:rPr>
          <w:rFonts w:hint="eastAsia" w:ascii="方正仿宋_GBK" w:hAnsi="方正仿宋_GBK"/>
          <w:szCs w:val="32"/>
        </w:rPr>
        <w:t>畅通企业办理出境证件绿色通道。为有出国商务办证需求及聘请外国人需求的企业办理出入境证件开通急件绿色通道。</w:t>
      </w:r>
    </w:p>
    <w:p>
      <w:pPr>
        <w:spacing w:line="560" w:lineRule="exact"/>
        <w:ind w:firstLine="645"/>
        <w:rPr>
          <w:rFonts w:ascii="方正楷体_GBK" w:eastAsia="方正楷体_GBK"/>
          <w:szCs w:val="32"/>
        </w:rPr>
      </w:pPr>
      <w:r>
        <w:rPr>
          <w:rFonts w:hint="eastAsia" w:ascii="方正楷体_GBK" w:eastAsia="方正楷体_GBK"/>
          <w:szCs w:val="32"/>
        </w:rPr>
        <w:t>（五）对标对表，</w:t>
      </w:r>
      <w:r>
        <w:rPr>
          <w:rFonts w:hint="eastAsia" w:ascii="方正楷体_GBK" w:hAnsi="Times New Roman" w:eastAsia="方正楷体_GBK"/>
          <w:szCs w:val="32"/>
        </w:rPr>
        <w:t>强化行政规范性文件管理</w:t>
      </w:r>
    </w:p>
    <w:p>
      <w:pPr>
        <w:spacing w:line="560" w:lineRule="exact"/>
        <w:ind w:firstLine="640" w:firstLineChars="200"/>
        <w:rPr>
          <w:rFonts w:ascii="Times New Roman" w:hAnsi="Times New Roman"/>
          <w:szCs w:val="32"/>
        </w:rPr>
      </w:pPr>
      <w:r>
        <w:rPr>
          <w:rFonts w:hint="eastAsia" w:ascii="方正仿宋_GBK"/>
          <w:snapToGrid w:val="0"/>
          <w:szCs w:val="32"/>
        </w:rPr>
        <w:t>严格落实规范性文件制定报备工作。</w:t>
      </w:r>
      <w:r>
        <w:rPr>
          <w:rFonts w:ascii="Times New Roman" w:hAnsi="Times New Roman"/>
          <w:szCs w:val="32"/>
        </w:rPr>
        <w:t>制定规范性文件严格遵守制发程序，在广泛征求相关部门和社会的意见，</w:t>
      </w:r>
      <w:r>
        <w:rPr>
          <w:rFonts w:hint="eastAsia" w:ascii="Times New Roman" w:hAnsi="Times New Roman"/>
          <w:szCs w:val="32"/>
        </w:rPr>
        <w:t>法制部门开展</w:t>
      </w:r>
      <w:r>
        <w:rPr>
          <w:rFonts w:ascii="Times New Roman" w:hAnsi="Times New Roman"/>
          <w:szCs w:val="32"/>
        </w:rPr>
        <w:t>合法性审查基础上，提交党委会集体审议后实施</w:t>
      </w:r>
      <w:r>
        <w:rPr>
          <w:rFonts w:hint="eastAsia" w:ascii="Times New Roman" w:hAnsi="Times New Roman"/>
          <w:szCs w:val="32"/>
        </w:rPr>
        <w:t>，</w:t>
      </w:r>
      <w:r>
        <w:rPr>
          <w:rFonts w:ascii="Times New Roman" w:hAnsi="Times New Roman"/>
          <w:szCs w:val="32"/>
        </w:rPr>
        <w:t>并</w:t>
      </w:r>
      <w:r>
        <w:rPr>
          <w:rFonts w:hint="eastAsia" w:ascii="Times New Roman" w:hAnsi="Times New Roman"/>
          <w:szCs w:val="32"/>
        </w:rPr>
        <w:t>及时</w:t>
      </w:r>
      <w:r>
        <w:rPr>
          <w:rFonts w:ascii="Times New Roman" w:hAnsi="Times New Roman"/>
          <w:szCs w:val="32"/>
        </w:rPr>
        <w:t>向县政府和县人大常委会备案。</w:t>
      </w:r>
      <w:r>
        <w:rPr>
          <w:rFonts w:hint="eastAsia" w:ascii="Times New Roman" w:hAnsi="Times New Roman"/>
          <w:szCs w:val="32"/>
        </w:rPr>
        <w:t>认真</w:t>
      </w:r>
      <w:r>
        <w:rPr>
          <w:rFonts w:hint="eastAsia" w:ascii="方正仿宋_GBK"/>
          <w:snapToGrid w:val="0"/>
          <w:szCs w:val="32"/>
        </w:rPr>
        <w:t>开展行政规范性文件专项清理，</w:t>
      </w:r>
      <w:r>
        <w:t>对</w:t>
      </w:r>
      <w:r>
        <w:rPr>
          <w:rFonts w:hint="eastAsia"/>
        </w:rPr>
        <w:t>发布实施</w:t>
      </w:r>
      <w:r>
        <w:t>的</w:t>
      </w:r>
      <w:r>
        <w:rPr>
          <w:rFonts w:hint="eastAsia"/>
        </w:rPr>
        <w:t>规范性</w:t>
      </w:r>
      <w:r>
        <w:t>文件进行逐一清理，审查是否属于</w:t>
      </w:r>
      <w:r>
        <w:rPr>
          <w:kern w:val="0"/>
        </w:rPr>
        <w:t>建议废止的规范性文件或建议修改</w:t>
      </w:r>
      <w:r>
        <w:rPr>
          <w:rFonts w:hint="eastAsia"/>
          <w:kern w:val="0"/>
        </w:rPr>
        <w:t>的</w:t>
      </w:r>
      <w:r>
        <w:rPr>
          <w:kern w:val="0"/>
        </w:rPr>
        <w:t>规范性文件，及时作出调整</w:t>
      </w:r>
      <w:r>
        <w:rPr>
          <w:rFonts w:hint="eastAsia"/>
          <w:kern w:val="0"/>
        </w:rPr>
        <w:t>。</w:t>
      </w:r>
    </w:p>
    <w:p>
      <w:pPr>
        <w:spacing w:line="560" w:lineRule="exact"/>
        <w:ind w:firstLine="645"/>
        <w:rPr>
          <w:rFonts w:ascii="方正楷体_GBK" w:eastAsia="方正楷体_GBK"/>
          <w:szCs w:val="32"/>
        </w:rPr>
      </w:pPr>
      <w:r>
        <w:rPr>
          <w:rFonts w:hint="eastAsia" w:ascii="方正楷体_GBK" w:eastAsia="方正楷体_GBK"/>
          <w:szCs w:val="32"/>
        </w:rPr>
        <w:t>（六）科学民主，做到重大行政决策合法</w:t>
      </w:r>
    </w:p>
    <w:p>
      <w:pPr>
        <w:spacing w:line="560" w:lineRule="exact"/>
        <w:ind w:firstLine="645"/>
        <w:rPr>
          <w:rFonts w:ascii="方正仿宋_GBK" w:cs="方正仿宋_GBK"/>
          <w:szCs w:val="32"/>
        </w:rPr>
      </w:pPr>
      <w:r>
        <w:rPr>
          <w:rFonts w:hint="eastAsia" w:ascii="方正仿宋_GBK"/>
          <w:szCs w:val="32"/>
        </w:rPr>
        <w:t>严格落实《党委会议事规则》，</w:t>
      </w:r>
      <w:r>
        <w:rPr>
          <w:rFonts w:hint="eastAsia" w:ascii="方正仿宋_GBK"/>
          <w:spacing w:val="-4"/>
          <w:szCs w:val="32"/>
        </w:rPr>
        <w:t>党委会议事法制部门列席充分听取法制意见，做到科学、民主、依法决策。</w:t>
      </w:r>
      <w:r>
        <w:rPr>
          <w:rFonts w:hint="eastAsia" w:ascii="方正仿宋_GBK" w:cs="方正仿宋_GBK"/>
          <w:szCs w:val="32"/>
        </w:rPr>
        <w:t>严格落实政府法律顾问制度，聘请重庆臻福律师事务所资深律师为法律顾问，建立了以法律顾问和公职律师一体的法律顾问队伍</w:t>
      </w:r>
      <w:r>
        <w:rPr>
          <w:rFonts w:hint="eastAsia" w:ascii="方正仿宋_GBK" w:cs="方正仿宋_GBK"/>
          <w:spacing w:val="4"/>
          <w:szCs w:val="32"/>
        </w:rPr>
        <w:t>，</w:t>
      </w:r>
      <w:r>
        <w:rPr>
          <w:rFonts w:hint="eastAsia" w:ascii="方正仿宋_GBK" w:cs="方正仿宋_GBK"/>
          <w:szCs w:val="32"/>
        </w:rPr>
        <w:t>在依法行政、行政复议诉讼、执法规范化建设等方面发挥了积极作用。</w:t>
      </w:r>
    </w:p>
    <w:p>
      <w:pPr>
        <w:spacing w:line="560" w:lineRule="exact"/>
        <w:ind w:firstLine="645"/>
        <w:rPr>
          <w:rFonts w:ascii="方正楷体_GBK" w:eastAsia="方正楷体_GBK"/>
          <w:szCs w:val="32"/>
        </w:rPr>
      </w:pPr>
      <w:r>
        <w:rPr>
          <w:rFonts w:hint="eastAsia" w:ascii="方正楷体_GBK" w:eastAsia="方正楷体_GBK"/>
          <w:szCs w:val="32"/>
        </w:rPr>
        <w:t>（七）创新举措，扎实开展公安普法宣传</w:t>
      </w:r>
    </w:p>
    <w:p>
      <w:pPr>
        <w:spacing w:line="560" w:lineRule="exact"/>
        <w:ind w:firstLine="645"/>
        <w:rPr>
          <w:rFonts w:ascii="方正楷体_GBK" w:eastAsia="方正楷体_GBK"/>
          <w:szCs w:val="32"/>
        </w:rPr>
      </w:pPr>
      <w:r>
        <w:rPr>
          <w:rFonts w:hint="eastAsia" w:ascii="方正仿宋_GBK" w:hAnsi="仿宋" w:cs="方正仿宋_GBK"/>
          <w:bCs/>
          <w:szCs w:val="32"/>
        </w:rPr>
        <w:t>严格按</w:t>
      </w:r>
      <w:r>
        <w:rPr>
          <w:rFonts w:hint="eastAsia" w:ascii="方正仿宋_GBK" w:hAnsi="方正仿宋_GBK" w:cs="方正仿宋_GBK"/>
          <w:bCs/>
          <w:szCs w:val="32"/>
        </w:rPr>
        <w:t>照年度普法计划，以“三月法治宣传月”、 “全民反诈工作月”“禁毒宣传月”、“宪法宣传月”等主题普法活动为契机，围绕新颁布的法律法规和</w:t>
      </w:r>
      <w:r>
        <w:rPr>
          <w:rFonts w:hint="eastAsia" w:ascii="方正仿宋_GBK"/>
          <w:szCs w:val="32"/>
        </w:rPr>
        <w:t>涉及新冠感染疫情防控、反诈、非法集资等与人民群众息息相关的重点法律</w:t>
      </w:r>
      <w:r>
        <w:rPr>
          <w:rFonts w:hint="eastAsia" w:ascii="方正仿宋_GBK" w:hAnsi="方正仿宋_GBK" w:cs="方正仿宋_GBK"/>
          <w:bCs/>
          <w:szCs w:val="32"/>
        </w:rPr>
        <w:t>，采用微视频、动漫案例和舆论热点法律评析等新型普法项目积极拓展线上普法阵地，以创新校园讲座、乡村院坝会普法内容做实线下实地宣传，线上线下相结合，提升了群众尊重法律、遵守法律、维护法律的观念和意识。2022年以来，县公安局共拍摄普法宣传微视频11个，舆论热点法律评析6篇，录制反诈宣传音频节目1期，编制“以案释法”典型案例2篇，开展法治宣传活动60余次，发放宣传资料20000余份，张贴海报300余份。</w:t>
      </w:r>
    </w:p>
    <w:p>
      <w:pPr>
        <w:spacing w:line="560" w:lineRule="exact"/>
        <w:ind w:firstLine="645"/>
        <w:rPr>
          <w:rFonts w:ascii="方正楷体_GBK" w:eastAsia="方正楷体_GBK"/>
          <w:szCs w:val="32"/>
        </w:rPr>
      </w:pPr>
      <w:r>
        <w:rPr>
          <w:rFonts w:hint="eastAsia" w:ascii="方正楷体_GBK" w:eastAsia="方正楷体_GBK"/>
          <w:szCs w:val="32"/>
        </w:rPr>
        <w:t>（八）多元治理，加强社会基层矛盾纠纷化解</w:t>
      </w:r>
    </w:p>
    <w:p>
      <w:pPr>
        <w:spacing w:line="560" w:lineRule="exact"/>
        <w:ind w:firstLine="627" w:firstLineChars="196"/>
        <w:rPr>
          <w:rFonts w:ascii="方正仿宋_GBK" w:cs="方正仿宋_GBK"/>
          <w:spacing w:val="-6"/>
          <w:szCs w:val="32"/>
        </w:rPr>
      </w:pPr>
      <w:r>
        <w:rPr>
          <w:rFonts w:hint="eastAsia" w:ascii="方正仿宋_GBK" w:cs="方正仿宋_GBK"/>
          <w:szCs w:val="32"/>
        </w:rPr>
        <w:t>扎实开展“枫桥经验”重庆实践十项行动，健全矛盾纠纷收集、分类机制，积极协调乡镇街村居干部、各有关职能职责行业主管部门共同参与调解，分类进行化解处理。在城东、城西、名山、高镇派出所试点推行乡镇（街道）人民调解委员会进驻派出所，调解接处警中掌握的非治安警情类民间纠纷。</w:t>
      </w:r>
      <w:r>
        <w:rPr>
          <w:rFonts w:ascii="Times New Roman" w:hAnsi="Times New Roman"/>
          <w:szCs w:val="32"/>
        </w:rPr>
        <w:t>持续推进行政复议体制改革，积极推进行政争议实质化解</w:t>
      </w:r>
      <w:r>
        <w:rPr>
          <w:rFonts w:hint="eastAsia" w:ascii="方正仿宋_GBK" w:cs="方正仿宋_GBK"/>
          <w:spacing w:val="-6"/>
          <w:szCs w:val="32"/>
        </w:rPr>
        <w:t>。严格落实负责人出庭应诉制度，积极做好应诉工作，妥善化解行政争议，行政负责人出庭应率率达100%。</w:t>
      </w:r>
    </w:p>
    <w:p>
      <w:pPr>
        <w:widowControl w:val="0"/>
        <w:snapToGrid w:val="0"/>
        <w:spacing w:line="560" w:lineRule="exact"/>
        <w:ind w:firstLine="640" w:firstLineChars="200"/>
        <w:rPr>
          <w:rStyle w:val="13"/>
          <w:rFonts w:ascii="方正黑体_GBK" w:hAnsi="Times New Roman" w:eastAsia="方正黑体_GBK"/>
          <w:bCs/>
          <w:szCs w:val="32"/>
        </w:rPr>
      </w:pPr>
      <w:r>
        <w:rPr>
          <w:rStyle w:val="13"/>
          <w:rFonts w:hint="eastAsia" w:ascii="方正黑体_GBK" w:hAnsi="Times New Roman" w:eastAsia="方正黑体_GBK"/>
          <w:bCs/>
          <w:szCs w:val="32"/>
        </w:rPr>
        <w:t>二、2022年党政主要负责人履行推进法治建设第一责任人职责，加强法治政府建设的有关情况</w:t>
      </w:r>
    </w:p>
    <w:p>
      <w:pPr>
        <w:adjustRightInd w:val="0"/>
        <w:snapToGrid w:val="0"/>
        <w:spacing w:line="560" w:lineRule="exact"/>
        <w:ind w:firstLine="640" w:firstLineChars="200"/>
        <w:rPr>
          <w:rFonts w:ascii="方正仿宋_GBK"/>
          <w:szCs w:val="32"/>
        </w:rPr>
      </w:pPr>
      <w:r>
        <w:rPr>
          <w:rFonts w:hint="eastAsia" w:ascii="方正仿宋_GBK"/>
          <w:szCs w:val="32"/>
          <w:shd w:val="clear" w:color="auto" w:fill="FFFFFF"/>
        </w:rPr>
        <w:t>县公安局主要负责人周君同志带头尊法、学法、用法、守法，</w:t>
      </w:r>
      <w:r>
        <w:rPr>
          <w:rFonts w:hint="eastAsia" w:ascii="方正仿宋_GBK"/>
          <w:szCs w:val="32"/>
        </w:rPr>
        <w:t>亲自部署学习宣传贯彻习近平法治思想、普法依法治理、全民反诈、疫情防控、矛盾纠纷排查化解等法治政府建设重点工作。</w:t>
      </w:r>
    </w:p>
    <w:p>
      <w:pPr>
        <w:pStyle w:val="15"/>
        <w:numPr>
          <w:ilvl w:val="0"/>
          <w:numId w:val="1"/>
        </w:numPr>
        <w:spacing w:line="560" w:lineRule="exact"/>
        <w:ind w:firstLineChars="0"/>
        <w:rPr>
          <w:rFonts w:ascii="方正楷体_GBK" w:hAnsi="方正楷体_GBK" w:eastAsia="方正楷体_GBK" w:cs="方正楷体_GBK"/>
          <w:szCs w:val="32"/>
        </w:rPr>
      </w:pPr>
      <w:r>
        <w:rPr>
          <w:rFonts w:hint="eastAsia" w:ascii="方正楷体_GBK" w:hAnsi="方正楷体_GBK" w:eastAsia="方正楷体_GBK" w:cs="方正楷体_GBK"/>
          <w:szCs w:val="32"/>
        </w:rPr>
        <w:t>积极助力稳住经济大盘</w:t>
      </w:r>
    </w:p>
    <w:p>
      <w:pPr>
        <w:spacing w:line="560" w:lineRule="exact"/>
        <w:ind w:firstLine="640" w:firstLineChars="200"/>
        <w:rPr>
          <w:rFonts w:ascii="方正仿宋_GBK"/>
          <w:szCs w:val="32"/>
        </w:rPr>
      </w:pPr>
      <w:r>
        <w:rPr>
          <w:rFonts w:hint="eastAsia" w:ascii="方正仿宋_GBK" w:hAnsi="方正仿宋_GBK" w:cs="方正仿宋_GBK"/>
          <w:szCs w:val="32"/>
        </w:rPr>
        <w:t>积极贯彻落实上级关于优化营商环境、助力稳住经济大盘工作举措，多次组织召开会议部署优化营商环境工作。多次组织</w:t>
      </w:r>
      <w:r>
        <w:rPr>
          <w:rFonts w:hint="eastAsia" w:ascii="方正仿宋_GBK"/>
          <w:szCs w:val="32"/>
        </w:rPr>
        <w:t>重点民营企业负责人召开座谈会，了解企业生产经营情况和困难，并及时协调沟通解决企业反馈的问题。多次组织召开重点案件研究会，听取办案单位关于辖区有重大影响经济案件的专题汇报，部署案件侦办工作。</w:t>
      </w:r>
    </w:p>
    <w:p>
      <w:pPr>
        <w:pStyle w:val="15"/>
        <w:numPr>
          <w:ilvl w:val="0"/>
          <w:numId w:val="1"/>
        </w:numPr>
        <w:spacing w:line="560" w:lineRule="exact"/>
        <w:ind w:firstLineChars="0"/>
        <w:rPr>
          <w:rFonts w:ascii="方正楷体_GBK" w:hAnsi="华文仿宋" w:eastAsia="方正楷体_GBK"/>
          <w:szCs w:val="32"/>
        </w:rPr>
      </w:pPr>
      <w:r>
        <w:rPr>
          <w:rFonts w:hint="eastAsia" w:ascii="方正楷体_GBK" w:hAnsi="Times New Roman" w:eastAsia="方正楷体_GBK"/>
          <w:szCs w:val="32"/>
        </w:rPr>
        <w:t>深化全民反诈专项工作</w:t>
      </w:r>
    </w:p>
    <w:p>
      <w:pPr>
        <w:spacing w:line="560" w:lineRule="exact"/>
        <w:ind w:firstLine="640" w:firstLineChars="200"/>
        <w:rPr>
          <w:rFonts w:ascii="方正仿宋_GBK"/>
          <w:szCs w:val="32"/>
        </w:rPr>
      </w:pPr>
      <w:r>
        <w:rPr>
          <w:rFonts w:hint="eastAsia" w:ascii="方正仿宋_GBK" w:hAnsi="华文仿宋"/>
          <w:szCs w:val="32"/>
        </w:rPr>
        <w:t>先后组织召开全县反诈工作动员部署推进会6次，专题部署推进全民反诈预警、宣传、破案打击工作。</w:t>
      </w:r>
      <w:r>
        <w:rPr>
          <w:rFonts w:hint="eastAsia" w:ascii="方正仿宋_GBK" w:hAnsi="宋体" w:cs="宋体"/>
          <w:kern w:val="0"/>
          <w:szCs w:val="32"/>
        </w:rPr>
        <w:t>2022年，县公安局共发布微博、微信等新媒体反诈作品620篇，张贴海报3.6万份、宣传标语3.3万条；举行院坝会、恳谈会2857场；利用各大商圈大屏，播放警示宣传视频2万次，发放宣传资料30万余份；</w:t>
      </w:r>
      <w:r>
        <w:rPr>
          <w:rFonts w:ascii="Times New Roman" w:hAnsi="Times New Roman"/>
          <w:szCs w:val="32"/>
        </w:rPr>
        <w:t>预警劝阻</w:t>
      </w:r>
      <w:r>
        <w:rPr>
          <w:rFonts w:hint="eastAsia" w:ascii="Times New Roman" w:hAnsi="Times New Roman"/>
          <w:szCs w:val="32"/>
        </w:rPr>
        <w:t>8.15</w:t>
      </w:r>
      <w:r>
        <w:rPr>
          <w:rFonts w:ascii="Times New Roman" w:hAnsi="Times New Roman"/>
          <w:szCs w:val="32"/>
        </w:rPr>
        <w:t>万余人次，成功劝阻</w:t>
      </w:r>
      <w:r>
        <w:rPr>
          <w:rFonts w:hint="eastAsia" w:ascii="Times New Roman" w:hAnsi="Times New Roman"/>
          <w:szCs w:val="32"/>
        </w:rPr>
        <w:t>146</w:t>
      </w:r>
      <w:r>
        <w:rPr>
          <w:rFonts w:ascii="Times New Roman" w:hAnsi="Times New Roman"/>
          <w:szCs w:val="32"/>
        </w:rPr>
        <w:t>起诈骗案件，涉及资金</w:t>
      </w:r>
      <w:r>
        <w:rPr>
          <w:rFonts w:hint="eastAsia" w:ascii="Times New Roman" w:hAnsi="Times New Roman"/>
          <w:szCs w:val="32"/>
        </w:rPr>
        <w:t>68</w:t>
      </w:r>
      <w:r>
        <w:rPr>
          <w:rFonts w:ascii="Times New Roman" w:hAnsi="Times New Roman"/>
          <w:szCs w:val="32"/>
        </w:rPr>
        <w:t>万余元</w:t>
      </w:r>
      <w:r>
        <w:rPr>
          <w:rFonts w:hint="eastAsia" w:ascii="方正仿宋_GBK"/>
          <w:szCs w:val="32"/>
        </w:rPr>
        <w:t>。</w:t>
      </w:r>
      <w:r>
        <w:rPr>
          <w:rFonts w:hint="eastAsia" w:ascii="方正仿宋_GBK" w:hAnsi="华文仿宋"/>
          <w:szCs w:val="32"/>
        </w:rPr>
        <w:t>参与普法节目《“法”说身边事》防诈访谈录制，为人民群众宣传普及全民反诈、防诈知识。</w:t>
      </w:r>
    </w:p>
    <w:p>
      <w:pPr>
        <w:pStyle w:val="6"/>
        <w:numPr>
          <w:ilvl w:val="0"/>
          <w:numId w:val="1"/>
        </w:numPr>
        <w:spacing w:line="560" w:lineRule="exact"/>
        <w:jc w:val="both"/>
        <w:rPr>
          <w:rFonts w:ascii="Times New Roman" w:hAnsi="Times New Roman" w:eastAsia="方正楷体_GBK"/>
          <w:sz w:val="32"/>
          <w:szCs w:val="32"/>
        </w:rPr>
      </w:pPr>
      <w:r>
        <w:rPr>
          <w:rFonts w:ascii="Times New Roman" w:hAnsi="Times New Roman" w:eastAsia="方正楷体_GBK"/>
          <w:sz w:val="32"/>
          <w:szCs w:val="32"/>
        </w:rPr>
        <w:t>依法打击食品、药品和生态环境违法犯罪</w:t>
      </w:r>
    </w:p>
    <w:p>
      <w:pPr>
        <w:pStyle w:val="6"/>
        <w:spacing w:line="560" w:lineRule="exact"/>
        <w:ind w:firstLine="640" w:firstLineChars="200"/>
        <w:jc w:val="both"/>
        <w:rPr>
          <w:rStyle w:val="13"/>
          <w:rFonts w:eastAsia="方正仿宋_GBK"/>
          <w:color w:val="000000"/>
          <w:sz w:val="32"/>
          <w:szCs w:val="32"/>
          <w:shd w:val="clear" w:color="auto" w:fill="FFFFFF"/>
        </w:rPr>
      </w:pPr>
      <w:r>
        <w:rPr>
          <w:rFonts w:ascii="Times New Roman" w:hAnsi="Times New Roman" w:eastAsia="方正仿宋_GBK"/>
          <w:b/>
          <w:bCs/>
          <w:sz w:val="32"/>
          <w:szCs w:val="32"/>
        </w:rPr>
        <w:t>一是</w:t>
      </w:r>
      <w:r>
        <w:rPr>
          <w:rFonts w:hint="eastAsia" w:ascii="Times New Roman" w:hAnsi="Times New Roman" w:eastAsia="方正仿宋_GBK"/>
          <w:sz w:val="32"/>
          <w:szCs w:val="32"/>
        </w:rPr>
        <w:t>强力推进</w:t>
      </w:r>
      <w:r>
        <w:rPr>
          <w:rFonts w:ascii="Times New Roman" w:hAnsi="Times New Roman" w:eastAsia="方正仿宋_GBK"/>
          <w:sz w:val="32"/>
          <w:szCs w:val="32"/>
        </w:rPr>
        <w:t>“昆仑2022”、打击长江流域非法捕捞、非法采砂、打击制售假药劣药犯罪等专项行动，各项专项工作均取得了显著成效。</w:t>
      </w:r>
      <w:r>
        <w:rPr>
          <w:rFonts w:ascii="Times New Roman" w:hAnsi="Times New Roman" w:eastAsia="方正仿宋_GBK"/>
          <w:b/>
          <w:bCs/>
          <w:color w:val="000000"/>
          <w:sz w:val="32"/>
          <w:szCs w:val="32"/>
          <w:shd w:val="clear" w:color="auto" w:fill="FFFFFF"/>
        </w:rPr>
        <w:t>二是</w:t>
      </w:r>
      <w:r>
        <w:rPr>
          <w:rFonts w:ascii="Times New Roman" w:hAnsi="Times New Roman" w:eastAsia="方正仿宋_GBK"/>
          <w:sz w:val="32"/>
          <w:szCs w:val="32"/>
        </w:rPr>
        <w:t>积极</w:t>
      </w:r>
      <w:r>
        <w:rPr>
          <w:rFonts w:hint="eastAsia" w:ascii="Times New Roman" w:hAnsi="Times New Roman" w:eastAsia="方正仿宋_GBK"/>
          <w:sz w:val="32"/>
          <w:szCs w:val="32"/>
        </w:rPr>
        <w:t>会</w:t>
      </w:r>
      <w:r>
        <w:rPr>
          <w:rFonts w:ascii="Times New Roman" w:hAnsi="Times New Roman" w:eastAsia="方正仿宋_GBK"/>
          <w:sz w:val="32"/>
          <w:szCs w:val="32"/>
        </w:rPr>
        <w:t>同相关部门处置火情，各警种协同配合，</w:t>
      </w:r>
      <w:r>
        <w:rPr>
          <w:rFonts w:ascii="Times New Roman" w:hAnsi="Times New Roman" w:eastAsia="方正仿宋_GBK"/>
          <w:color w:val="000000"/>
          <w:sz w:val="32"/>
          <w:szCs w:val="32"/>
        </w:rPr>
        <w:t>积极开展火场警戒、交通疏导、治安维护、</w:t>
      </w:r>
      <w:r>
        <w:rPr>
          <w:rFonts w:hint="eastAsia" w:ascii="Times New Roman" w:hAnsi="Times New Roman" w:eastAsia="方正仿宋_GBK"/>
          <w:color w:val="000000"/>
          <w:sz w:val="32"/>
          <w:szCs w:val="32"/>
        </w:rPr>
        <w:t>案件</w:t>
      </w:r>
      <w:r>
        <w:rPr>
          <w:rFonts w:ascii="Times New Roman" w:hAnsi="Times New Roman" w:eastAsia="方正仿宋_GBK"/>
          <w:color w:val="000000"/>
          <w:sz w:val="32"/>
          <w:szCs w:val="32"/>
        </w:rPr>
        <w:t>侦破。</w:t>
      </w:r>
      <w:r>
        <w:rPr>
          <w:rFonts w:hint="eastAsia" w:ascii="Times New Roman" w:hAnsi="Times New Roman" w:eastAsia="方正仿宋_GBK"/>
          <w:color w:val="000000"/>
          <w:sz w:val="32"/>
          <w:szCs w:val="32"/>
        </w:rPr>
        <w:t>破获</w:t>
      </w:r>
      <w:r>
        <w:rPr>
          <w:rFonts w:ascii="Times New Roman" w:hAnsi="Times New Roman" w:eastAsia="方正仿宋_GBK"/>
          <w:color w:val="000000"/>
          <w:sz w:val="32"/>
          <w:szCs w:val="32"/>
        </w:rPr>
        <w:t>森林火灾</w:t>
      </w:r>
      <w:r>
        <w:rPr>
          <w:rFonts w:hint="eastAsia" w:ascii="Times New Roman" w:hAnsi="Times New Roman" w:eastAsia="方正仿宋_GBK"/>
          <w:color w:val="000000"/>
          <w:sz w:val="32"/>
          <w:szCs w:val="32"/>
        </w:rPr>
        <w:t>案件</w:t>
      </w:r>
      <w:r>
        <w:rPr>
          <w:rFonts w:ascii="Times New Roman" w:hAnsi="Times New Roman" w:eastAsia="方正仿宋_GBK"/>
          <w:color w:val="000000"/>
          <w:sz w:val="32"/>
          <w:szCs w:val="32"/>
        </w:rPr>
        <w:t>4起，</w:t>
      </w:r>
      <w:r>
        <w:rPr>
          <w:rFonts w:ascii="Times New Roman" w:hAnsi="Times New Roman" w:eastAsia="方正仿宋_GBK"/>
          <w:sz w:val="32"/>
          <w:szCs w:val="32"/>
        </w:rPr>
        <w:t>查处违法野外用火行为6起。</w:t>
      </w:r>
      <w:r>
        <w:rPr>
          <w:rFonts w:hint="eastAsia" w:ascii="Times New Roman" w:hAnsi="Times New Roman" w:eastAsia="方正仿宋_GBK"/>
          <w:b/>
          <w:sz w:val="32"/>
          <w:szCs w:val="32"/>
        </w:rPr>
        <w:t>三是</w:t>
      </w:r>
      <w:r>
        <w:rPr>
          <w:rFonts w:hint="eastAsia" w:ascii="Times New Roman" w:hAnsi="Times New Roman" w:eastAsia="方正仿宋_GBK"/>
          <w:sz w:val="32"/>
          <w:szCs w:val="32"/>
        </w:rPr>
        <w:t>亲自部署重大案件侦办，破获特大假冒注册商标案和销售非法制造的注册商标标识案。</w:t>
      </w:r>
    </w:p>
    <w:p>
      <w:pPr>
        <w:widowControl w:val="0"/>
        <w:snapToGrid w:val="0"/>
        <w:spacing w:line="560" w:lineRule="exact"/>
        <w:ind w:firstLine="640" w:firstLineChars="200"/>
        <w:rPr>
          <w:rStyle w:val="13"/>
          <w:rFonts w:ascii="方正黑体_GBK" w:hAnsi="Times New Roman" w:eastAsia="方正黑体_GBK"/>
          <w:bCs/>
          <w:szCs w:val="32"/>
        </w:rPr>
      </w:pPr>
      <w:r>
        <w:rPr>
          <w:rStyle w:val="13"/>
          <w:rFonts w:hint="eastAsia" w:ascii="方正黑体_GBK" w:hAnsi="Times New Roman" w:eastAsia="方正黑体_GBK"/>
          <w:bCs/>
          <w:szCs w:val="32"/>
        </w:rPr>
        <w:t>三、2022年推进法治政府建设存在的不足</w:t>
      </w:r>
    </w:p>
    <w:p>
      <w:pPr>
        <w:spacing w:line="560" w:lineRule="exact"/>
        <w:ind w:firstLine="630"/>
        <w:jc w:val="left"/>
        <w:rPr>
          <w:rStyle w:val="13"/>
          <w:rFonts w:ascii="方正仿宋_GBK"/>
          <w:szCs w:val="32"/>
        </w:rPr>
      </w:pPr>
      <w:r>
        <w:rPr>
          <w:rFonts w:hint="eastAsia" w:ascii="方正仿宋_GBK"/>
          <w:szCs w:val="32"/>
        </w:rPr>
        <w:t>个别民警缺乏运用习近平法治思想解决具体问题的能力和素质，</w:t>
      </w:r>
      <w:r>
        <w:rPr>
          <w:rFonts w:hint="eastAsia" w:ascii="方正仿宋_GBK"/>
          <w:spacing w:val="4"/>
          <w:szCs w:val="32"/>
        </w:rPr>
        <w:t>对推进依法行政，加快法治政府建设工作的重要性、紧迫性认识还不足，积极主动学习不够，依法行政能力还有待加强，在行政执法工作中执法不规范现象时有发生。</w:t>
      </w:r>
    </w:p>
    <w:p>
      <w:pPr>
        <w:widowControl w:val="0"/>
        <w:snapToGrid w:val="0"/>
        <w:spacing w:line="560" w:lineRule="exact"/>
        <w:ind w:firstLine="640" w:firstLineChars="200"/>
        <w:rPr>
          <w:rStyle w:val="13"/>
          <w:rFonts w:ascii="方正黑体_GBK" w:hAnsi="Times New Roman" w:eastAsia="方正黑体_GBK"/>
          <w:bCs/>
          <w:szCs w:val="32"/>
        </w:rPr>
      </w:pPr>
      <w:r>
        <w:rPr>
          <w:rStyle w:val="13"/>
          <w:rFonts w:hint="eastAsia" w:ascii="方正黑体_GBK" w:hAnsi="Times New Roman" w:eastAsia="方正黑体_GBK"/>
          <w:bCs/>
          <w:szCs w:val="32"/>
        </w:rPr>
        <w:t>四、2023年推进法治政府建设的工作思路目标举措</w:t>
      </w:r>
    </w:p>
    <w:p>
      <w:pPr>
        <w:widowControl w:val="0"/>
        <w:snapToGrid w:val="0"/>
        <w:spacing w:line="560" w:lineRule="exact"/>
        <w:ind w:left="640" w:leftChars="200"/>
        <w:rPr>
          <w:rFonts w:ascii="Times New Roman" w:hAnsi="Times New Roman" w:eastAsia="方正楷体_GBK"/>
          <w:szCs w:val="32"/>
        </w:rPr>
      </w:pPr>
      <w:r>
        <w:rPr>
          <w:rFonts w:hint="eastAsia" w:ascii="方正楷体_GBK" w:hAnsi="Times New Roman" w:eastAsia="方正楷体_GBK" w:cs="方正仿宋_GBK"/>
          <w:szCs w:val="32"/>
        </w:rPr>
        <w:t>（一）持续</w:t>
      </w:r>
      <w:r>
        <w:rPr>
          <w:rFonts w:ascii="Times New Roman" w:hAnsi="Times New Roman" w:eastAsia="方正楷体_GBK"/>
          <w:szCs w:val="32"/>
        </w:rPr>
        <w:t>推动学习宣传贯彻习近平法治思想走深走实</w:t>
      </w:r>
    </w:p>
    <w:p>
      <w:pPr>
        <w:widowControl w:val="0"/>
        <w:snapToGrid w:val="0"/>
        <w:spacing w:line="560" w:lineRule="exact"/>
        <w:ind w:firstLine="640" w:firstLineChars="200"/>
        <w:rPr>
          <w:rFonts w:ascii="方正仿宋_GBK" w:hAnsi="Times New Roman" w:cs="方正仿宋_GBK"/>
          <w:szCs w:val="32"/>
        </w:rPr>
      </w:pPr>
      <w:r>
        <w:rPr>
          <w:rFonts w:ascii="Times New Roman" w:hAnsi="Times New Roman"/>
          <w:szCs w:val="32"/>
        </w:rPr>
        <w:t>把习近平法治思想纳入县公安局党委理论学习中心组和全局民警学习计划，开展全覆盖培训。结合工作实际，将习近平法治思想深深</w:t>
      </w:r>
      <w:bookmarkStart w:id="0" w:name="_GoBack"/>
      <w:bookmarkEnd w:id="0"/>
      <w:r>
        <w:rPr>
          <w:rFonts w:hint="eastAsia" w:ascii="Times New Roman" w:hAnsi="Times New Roman"/>
          <w:szCs w:val="32"/>
          <w:lang w:eastAsia="zh-CN"/>
        </w:rPr>
        <w:t>融入</w:t>
      </w:r>
      <w:r>
        <w:rPr>
          <w:rFonts w:hint="eastAsia" w:ascii="Times New Roman" w:hAnsi="Times New Roman"/>
          <w:szCs w:val="32"/>
        </w:rPr>
        <w:t>全民普法、行政执法、打击犯罪等工作中，切实推进法治公安建设。</w:t>
      </w:r>
    </w:p>
    <w:p>
      <w:pPr>
        <w:shd w:val="clear" w:color="auto" w:fill="FFFFFF"/>
        <w:spacing w:line="560" w:lineRule="exact"/>
        <w:ind w:firstLine="613"/>
        <w:rPr>
          <w:rFonts w:ascii="方正楷体_GBK" w:hAnsi="Times New Roman" w:eastAsia="方正楷体_GBK"/>
          <w:szCs w:val="32"/>
        </w:rPr>
      </w:pPr>
      <w:r>
        <w:rPr>
          <w:rFonts w:hint="eastAsia" w:ascii="方正楷体_GBK" w:hAnsi="Times New Roman" w:eastAsia="方正楷体_GBK"/>
          <w:szCs w:val="32"/>
        </w:rPr>
        <w:t>（二）持续深化“放管服”改革优化营商环境</w:t>
      </w:r>
    </w:p>
    <w:p>
      <w:pPr>
        <w:shd w:val="clear" w:color="auto" w:fill="FFFFFF"/>
        <w:spacing w:line="560" w:lineRule="exact"/>
        <w:ind w:firstLine="613"/>
        <w:rPr>
          <w:rFonts w:ascii="方正仿宋_GBK" w:hAnsi="Times New Roman"/>
          <w:szCs w:val="32"/>
        </w:rPr>
      </w:pPr>
      <w:r>
        <w:rPr>
          <w:rFonts w:hint="eastAsia" w:ascii="方正仿宋_GBK" w:hAnsi="Times New Roman"/>
          <w:color w:val="000000"/>
          <w:szCs w:val="32"/>
        </w:rPr>
        <w:t>提高派出所户籍窗口综合服务能力，推行综合窗口服务，就近就地为企业、群众办理治安、户政、交通等业务。</w:t>
      </w:r>
      <w:r>
        <w:rPr>
          <w:rFonts w:hint="eastAsia" w:ascii="方正仿宋_GBK" w:hAnsi="Times New Roman"/>
          <w:szCs w:val="32"/>
        </w:rPr>
        <w:t>持续推进“减证便民”，深化“证照分离”改革，大力推进“照后减证”。</w:t>
      </w:r>
      <w:r>
        <w:rPr>
          <w:rFonts w:hint="eastAsia" w:ascii="方正仿宋_GBK" w:hAnsi="Times New Roman"/>
          <w:color w:val="000000"/>
          <w:szCs w:val="32"/>
        </w:rPr>
        <w:t xml:space="preserve"> 深化公安政务服务“跨省通办”，</w:t>
      </w:r>
      <w:r>
        <w:rPr>
          <w:rFonts w:hint="eastAsia" w:ascii="方正仿宋_GBK" w:hAnsi="Times New Roman"/>
          <w:kern w:val="0"/>
          <w:szCs w:val="32"/>
        </w:rPr>
        <w:t>优化户籍业务“跨省通办”服务，</w:t>
      </w:r>
      <w:r>
        <w:rPr>
          <w:rFonts w:hint="eastAsia" w:ascii="方正仿宋_GBK" w:hAnsi="Times New Roman"/>
          <w:szCs w:val="32"/>
        </w:rPr>
        <w:t>大力推广车驾管业务网上办，</w:t>
      </w:r>
      <w:r>
        <w:rPr>
          <w:rFonts w:hint="eastAsia" w:ascii="方正仿宋_GBK" w:hAnsi="方正仿宋_GBK" w:cs="方正仿宋_GBK"/>
          <w:szCs w:val="32"/>
        </w:rPr>
        <w:t>不断提高网上服务水平，积极引导和协助企业和群众现场感受快捷便利的网上办事体验。积极</w:t>
      </w:r>
      <w:r>
        <w:rPr>
          <w:rFonts w:hint="eastAsia" w:ascii="方正仿宋_GBK" w:hAnsi="Times New Roman"/>
          <w:szCs w:val="32"/>
        </w:rPr>
        <w:t>推动“双随机、一公开”监管和信用红黑名单深度融合，打造法治营商环境。</w:t>
      </w:r>
    </w:p>
    <w:p>
      <w:pPr>
        <w:adjustRightInd w:val="0"/>
        <w:snapToGrid w:val="0"/>
        <w:spacing w:line="560" w:lineRule="exact"/>
        <w:ind w:firstLine="640" w:firstLineChars="200"/>
        <w:rPr>
          <w:rFonts w:ascii="方正楷体_GBK" w:hAnsi="Times New Roman" w:eastAsia="方正楷体_GBK"/>
          <w:szCs w:val="32"/>
        </w:rPr>
      </w:pPr>
      <w:r>
        <w:rPr>
          <w:rFonts w:hint="eastAsia" w:ascii="方正楷体_GBK" w:hAnsi="Times New Roman" w:eastAsia="方正楷体_GBK"/>
          <w:szCs w:val="32"/>
        </w:rPr>
        <w:t>（三）持续提升行政决策公信力和执行力</w:t>
      </w:r>
    </w:p>
    <w:p>
      <w:pPr>
        <w:spacing w:line="560" w:lineRule="exact"/>
        <w:ind w:firstLine="640" w:firstLineChars="200"/>
        <w:rPr>
          <w:rFonts w:ascii="Times New Roman" w:hAnsi="Times New Roman"/>
          <w:szCs w:val="32"/>
        </w:rPr>
      </w:pPr>
      <w:r>
        <w:rPr>
          <w:rFonts w:hint="eastAsia" w:ascii="方正仿宋_GBK" w:hAnsi="Times New Roman"/>
          <w:szCs w:val="32"/>
        </w:rPr>
        <w:t>全面贯彻落实决策程序，严格</w:t>
      </w:r>
      <w:r>
        <w:rPr>
          <w:rFonts w:ascii="Times New Roman" w:hAnsi="Times New Roman"/>
          <w:szCs w:val="32"/>
        </w:rPr>
        <w:t>执行公众参与、专家论证、风险评估、合法性审查、集体讨论决定等法定程序。完善重大行政决策事前评估与事后评价制度，</w:t>
      </w:r>
      <w:r>
        <w:rPr>
          <w:rFonts w:hint="eastAsia" w:ascii="Times New Roman" w:hAnsi="Times New Roman"/>
          <w:szCs w:val="32"/>
        </w:rPr>
        <w:t>积极</w:t>
      </w:r>
      <w:r>
        <w:rPr>
          <w:rFonts w:ascii="Times New Roman" w:hAnsi="Times New Roman"/>
          <w:szCs w:val="32"/>
        </w:rPr>
        <w:t>推进公众参与重大公共决策机制建设</w:t>
      </w:r>
      <w:r>
        <w:rPr>
          <w:rFonts w:hint="eastAsia" w:ascii="Times New Roman" w:hAnsi="Times New Roman"/>
          <w:szCs w:val="32"/>
        </w:rPr>
        <w:t>。</w:t>
      </w:r>
      <w:r>
        <w:rPr>
          <w:rFonts w:hint="eastAsia" w:ascii="方正仿宋_GBK" w:hAnsi="Times New Roman"/>
          <w:szCs w:val="32"/>
        </w:rPr>
        <w:t>充实以顾问律师和公职律师组成的法律顾问队伍，保障法律顾问队伍经费，充分发挥法律顾问队伍在行政复议、行政诉讼和重大行政决策上参与决策作用。</w:t>
      </w:r>
    </w:p>
    <w:p>
      <w:pPr>
        <w:pStyle w:val="15"/>
        <w:numPr>
          <w:ilvl w:val="0"/>
          <w:numId w:val="1"/>
        </w:numPr>
        <w:spacing w:line="560" w:lineRule="exact"/>
        <w:ind w:firstLineChars="0"/>
        <w:rPr>
          <w:rFonts w:ascii="方正楷体_GBK" w:hAnsi="Times New Roman" w:eastAsia="方正楷体_GBK"/>
          <w:szCs w:val="32"/>
        </w:rPr>
      </w:pPr>
      <w:r>
        <w:rPr>
          <w:rFonts w:hint="eastAsia" w:ascii="方正楷体_GBK" w:hAnsi="Times New Roman" w:eastAsia="方正楷体_GBK"/>
          <w:szCs w:val="32"/>
        </w:rPr>
        <w:t>严格规范公正文明执法</w:t>
      </w:r>
    </w:p>
    <w:p>
      <w:pPr>
        <w:spacing w:line="560" w:lineRule="exact"/>
        <w:ind w:firstLine="640" w:firstLineChars="200"/>
        <w:rPr>
          <w:rFonts w:ascii="方正仿宋_GBK" w:hAnsi="Times New Roman"/>
          <w:szCs w:val="32"/>
        </w:rPr>
      </w:pPr>
      <w:r>
        <w:rPr>
          <w:rFonts w:ascii="Times New Roman" w:hAnsi="Times New Roman"/>
          <w:szCs w:val="32"/>
        </w:rPr>
        <w:t>严格执行《重庆市行政处罚听证程序规定》和《重庆市规范行政处罚裁量权办法》以及各领域行政处罚裁量基准</w:t>
      </w:r>
      <w:r>
        <w:rPr>
          <w:rFonts w:hint="eastAsia" w:ascii="Times New Roman" w:hAnsi="Times New Roman"/>
          <w:szCs w:val="32"/>
        </w:rPr>
        <w:t>，</w:t>
      </w:r>
      <w:r>
        <w:rPr>
          <w:rFonts w:ascii="Times New Roman" w:hAnsi="Times New Roman"/>
          <w:szCs w:val="32"/>
        </w:rPr>
        <w:t>规范行政执法标准和</w:t>
      </w:r>
      <w:r>
        <w:rPr>
          <w:rFonts w:hint="eastAsia" w:ascii="方正仿宋_GBK" w:hAnsi="Times New Roman"/>
          <w:szCs w:val="32"/>
        </w:rPr>
        <w:t>文书，加强行政执法规范化建设。依法</w:t>
      </w:r>
      <w:r>
        <w:rPr>
          <w:rFonts w:ascii="Times New Roman" w:hAnsi="Times New Roman"/>
          <w:szCs w:val="32"/>
        </w:rPr>
        <w:t>落实轻微违法免罚和初次违法慎罚制度，广泛运用说服教育、劝导示范、警示教育、指导约谈等方式，推行非现场执法和移动执法，加大技术手段运用力度，提高行政执法效率。聚焦食药卫生、劳动保障、交通运输、生态环境等关系群众切身利益的重点领域，加大监管执法力度，及时查处违法行为。</w:t>
      </w:r>
    </w:p>
    <w:p>
      <w:pPr>
        <w:spacing w:line="560" w:lineRule="exact"/>
        <w:ind w:firstLine="640" w:firstLineChars="200"/>
        <w:rPr>
          <w:rFonts w:ascii="方正仿宋_GBK" w:hAnsi="Times New Roman"/>
          <w:szCs w:val="32"/>
        </w:rPr>
      </w:pPr>
      <w:r>
        <w:rPr>
          <w:rFonts w:hint="eastAsia" w:ascii="方正仿宋_GBK" w:hAnsi="Times New Roman"/>
          <w:szCs w:val="32"/>
        </w:rPr>
        <w:t>特此报告</w:t>
      </w:r>
    </w:p>
    <w:p>
      <w:pPr>
        <w:spacing w:line="560" w:lineRule="exact"/>
        <w:ind w:firstLine="640" w:firstLineChars="200"/>
        <w:rPr>
          <w:rFonts w:ascii="方正仿宋_GBK" w:hAnsi="Times New Roman"/>
          <w:szCs w:val="32"/>
        </w:rPr>
      </w:pPr>
      <w:r>
        <w:rPr>
          <w:rFonts w:hint="eastAsia" w:ascii="方正仿宋_GBK" w:hAnsi="Times New Roman"/>
          <w:szCs w:val="32"/>
        </w:rPr>
        <w:t xml:space="preserve">                             丰都县公安局</w:t>
      </w:r>
    </w:p>
    <w:p>
      <w:pPr>
        <w:spacing w:line="560" w:lineRule="exact"/>
        <w:ind w:firstLine="640" w:firstLineChars="200"/>
        <w:rPr>
          <w:rFonts w:ascii="方正仿宋_GBK" w:hAnsi="Times New Roman"/>
          <w:szCs w:val="32"/>
        </w:rPr>
      </w:pPr>
      <w:r>
        <w:rPr>
          <w:rFonts w:hint="eastAsia" w:ascii="方正仿宋_GBK" w:hAnsi="Times New Roman"/>
          <w:szCs w:val="32"/>
        </w:rPr>
        <w:t xml:space="preserve">                            2023年2月16日</w:t>
      </w:r>
    </w:p>
    <w:p>
      <w:pPr>
        <w:spacing w:line="560" w:lineRule="exact"/>
      </w:pPr>
    </w:p>
    <w:sectPr>
      <w:footerReference r:id="rId3" w:type="default"/>
      <w:footerReference r:id="rId4" w:type="even"/>
      <w:pgSz w:w="11906" w:h="16838"/>
      <w:pgMar w:top="2098" w:right="1474" w:bottom="1985" w:left="1588"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61065"/>
      <w:docPartObj>
        <w:docPartGallery w:val="autotext"/>
      </w:docPartObj>
    </w:sdtPr>
    <w:sdtContent>
      <w:p>
        <w:pPr>
          <w:pStyle w:val="4"/>
          <w:jc w:val="right"/>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1 -</w:t>
        </w:r>
        <w:r>
          <w:rPr>
            <w:rFonts w:hint="eastAsia" w:ascii="方正仿宋_GBK" w:eastAsia="方正仿宋_GBK"/>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61067"/>
      <w:docPartObj>
        <w:docPartGallery w:val="autotext"/>
      </w:docPartObj>
    </w:sdtPr>
    <w:sdtContent>
      <w:p>
        <w:pPr>
          <w:pStyle w:val="4"/>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2 -</w:t>
        </w:r>
        <w:r>
          <w:rPr>
            <w:rFonts w:hint="eastAsia" w:ascii="方正仿宋_GBK" w:eastAsia="方正仿宋_GBK"/>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43A11"/>
    <w:multiLevelType w:val="multilevel"/>
    <w:tmpl w:val="18843A1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00D30CAF"/>
    <w:rsid w:val="0045398A"/>
    <w:rsid w:val="009A07E7"/>
    <w:rsid w:val="00D30CAF"/>
    <w:rsid w:val="0C8655F5"/>
    <w:rsid w:val="4D210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方正仿宋_GBK" w:cs="Times New Roman"/>
      <w:kern w:val="2"/>
      <w:sz w:val="32"/>
      <w:szCs w:val="20"/>
      <w:lang w:val="en-US" w:eastAsia="zh-CN" w:bidi="ar-SA"/>
    </w:rPr>
  </w:style>
  <w:style w:type="paragraph" w:styleId="2">
    <w:name w:val="heading 1"/>
    <w:basedOn w:val="1"/>
    <w:next w:val="1"/>
    <w:link w:val="14"/>
    <w:qFormat/>
    <w:uiPriority w:val="0"/>
    <w:pPr>
      <w:keepNext/>
      <w:keepLines/>
      <w:widowControl w:val="0"/>
      <w:spacing w:before="340" w:after="330" w:line="576" w:lineRule="auto"/>
      <w:outlineLvl w:val="0"/>
    </w:pPr>
    <w:rPr>
      <w:rFonts w:eastAsia="宋体"/>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val="0"/>
      <w:ind w:firstLine="200" w:firstLineChars="200"/>
    </w:pPr>
    <w:rPr>
      <w:rFonts w:eastAsia="宋体"/>
      <w:sz w:val="21"/>
    </w:rPr>
  </w:style>
  <w:style w:type="paragraph" w:styleId="4">
    <w:name w:val="footer"/>
    <w:basedOn w:val="1"/>
    <w:link w:val="11"/>
    <w:unhideWhenUsed/>
    <w:uiPriority w:val="99"/>
    <w:pPr>
      <w:widowControl w:val="0"/>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jc w:val="left"/>
    </w:pPr>
    <w:rPr>
      <w:rFonts w:ascii="宋体" w:hAnsi="宋体" w:eastAsia="宋体" w:cs="宋体"/>
      <w:kern w:val="0"/>
      <w:sz w:val="24"/>
      <w:szCs w:val="24"/>
    </w:rPr>
  </w:style>
  <w:style w:type="character" w:styleId="9">
    <w:name w:val="Strong"/>
    <w:basedOn w:val="8"/>
    <w:qFormat/>
    <w:uiPriority w:val="0"/>
    <w:rPr>
      <w:rFonts w:cs="Times New Roman"/>
      <w:b/>
      <w:bCs/>
    </w:rPr>
  </w:style>
  <w:style w:type="character" w:customStyle="1" w:styleId="10">
    <w:name w:val="页眉 Char"/>
    <w:basedOn w:val="8"/>
    <w:link w:val="5"/>
    <w:semiHidden/>
    <w:uiPriority w:val="99"/>
    <w:rPr>
      <w:sz w:val="18"/>
      <w:szCs w:val="18"/>
    </w:rPr>
  </w:style>
  <w:style w:type="character" w:customStyle="1" w:styleId="11">
    <w:name w:val="页脚 Char"/>
    <w:basedOn w:val="8"/>
    <w:link w:val="4"/>
    <w:uiPriority w:val="99"/>
    <w:rPr>
      <w:sz w:val="18"/>
      <w:szCs w:val="18"/>
    </w:rPr>
  </w:style>
  <w:style w:type="paragraph" w:customStyle="1" w:styleId="12">
    <w:name w:val="BodyText1I"/>
    <w:basedOn w:val="1"/>
    <w:uiPriority w:val="0"/>
    <w:pPr>
      <w:ind w:left="100" w:leftChars="100" w:right="100" w:rightChars="100" w:firstLine="420" w:firstLineChars="100"/>
    </w:pPr>
  </w:style>
  <w:style w:type="character" w:customStyle="1" w:styleId="13">
    <w:name w:val="NormalCharacter"/>
    <w:uiPriority w:val="0"/>
  </w:style>
  <w:style w:type="character" w:customStyle="1" w:styleId="14">
    <w:name w:val="标题 1 Char"/>
    <w:basedOn w:val="8"/>
    <w:link w:val="2"/>
    <w:uiPriority w:val="0"/>
    <w:rPr>
      <w:rFonts w:ascii="Calibri" w:hAnsi="Calibri" w:eastAsia="宋体" w:cs="Times New Roman"/>
      <w:b/>
      <w:bCs/>
      <w:kern w:val="44"/>
      <w:sz w:val="44"/>
      <w:szCs w:val="4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587DA-E79D-4823-ABE3-5D4AB2EE335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3632</Words>
  <Characters>3717</Characters>
  <Lines>27</Lines>
  <Paragraphs>7</Paragraphs>
  <TotalTime>669</TotalTime>
  <ScaleCrop>false</ScaleCrop>
  <LinksUpToDate>false</LinksUpToDate>
  <CharactersWithSpaces>3776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2023-01-17T04:41:00Z</dcterms:created>
  <dc:creator>何莉泓</dc:creator>
  <cp:lastModifiedBy>温星星</cp:lastModifiedBy>
  <cp:lastPrinted>2023-02-16T05:18:00Z</cp:lastPrinted>
  <dcterms:modified xsi:type="dcterms:W3CDTF">2023-06-02T08:32:29Z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E974874D54544BC09C26A5F0095A6CEA_12</vt:lpwstr>
  </property>
</Properties>
</file>