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丰都县人民政府办公室</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关于印发丰都县县级烈士纪念设施</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Style w:val="10"/>
          <w:rFonts w:hint="default" w:ascii="Times New Roman" w:hAnsi="Times New Roman" w:eastAsia="方正小标宋_GBK" w:cs="Times New Roman"/>
          <w:b w:val="0"/>
          <w:kern w:val="2"/>
          <w:sz w:val="44"/>
          <w:szCs w:val="44"/>
          <w:shd w:val="clear" w:color="auto" w:fill="FFFFFF"/>
          <w:lang w:val="en-US" w:eastAsia="zh-CN" w:bidi="ar-SA"/>
        </w:rPr>
        <w:t>评定办法（试行）的通知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sz w:val="32"/>
          <w:szCs w:val="32"/>
          <w:lang w:val="en-US" w:eastAsia="zh-CN"/>
        </w:rPr>
        <w:t>丰都府办发〔2023〕</w:t>
      </w:r>
      <w:r>
        <w:rPr>
          <w:rFonts w:hint="default"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lang w:val="en-US" w:eastAsia="zh-CN"/>
        </w:rPr>
        <w:t>号</w:t>
      </w:r>
    </w:p>
    <w:p>
      <w:pPr>
        <w:keepNext w:val="0"/>
        <w:keepLines w:val="0"/>
        <w:pageBreakBefore w:val="0"/>
        <w:kinsoku/>
        <w:wordWrap/>
        <w:overflowPunct/>
        <w:topLinePunct w:val="0"/>
        <w:autoSpaceDE/>
        <w:autoSpaceDN/>
        <w:bidi w:val="0"/>
        <w:snapToGri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各乡镇人民政府、街道办事处，县级有关部门，有关单位：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《丰都县县级烈士纪念设施评定办法（试行）》已经县政府同意，现印发给你们，请认真贯彻执行。</w:t>
      </w:r>
    </w:p>
    <w:p>
      <w:pPr>
        <w:pStyle w:val="2"/>
        <w:keepNext w:val="0"/>
        <w:keepLines w:val="0"/>
        <w:pageBreakBefore w:val="0"/>
        <w:kinsoku/>
        <w:wordWrap/>
        <w:overflowPunct/>
        <w:topLinePunct w:val="0"/>
        <w:bidi w:val="0"/>
        <w:snapToGri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2023年11月16日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br w:type="page"/>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Style w:val="10"/>
          <w:rFonts w:hint="default" w:ascii="Times New Roman" w:hAnsi="Times New Roman" w:eastAsia="方正小标宋_GBK" w:cs="Times New Roman"/>
          <w:b w:val="0"/>
          <w:color w:val="000000"/>
          <w:sz w:val="44"/>
          <w:szCs w:val="44"/>
          <w:shd w:val="clear" w:color="auto" w:fill="FFFFFF"/>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Style w:val="10"/>
          <w:rFonts w:hint="default" w:ascii="Times New Roman" w:hAnsi="Times New Roman" w:eastAsia="方正小标宋_GBK" w:cs="Times New Roman"/>
          <w:b w:val="0"/>
          <w:color w:val="000000"/>
          <w:sz w:val="44"/>
          <w:szCs w:val="44"/>
          <w:shd w:val="clear" w:color="auto" w:fill="FFFFFF"/>
        </w:rPr>
      </w:pPr>
      <w:r>
        <w:rPr>
          <w:rStyle w:val="10"/>
          <w:rFonts w:hint="default" w:ascii="Times New Roman" w:hAnsi="Times New Roman" w:eastAsia="方正小标宋_GBK" w:cs="Times New Roman"/>
          <w:b w:val="0"/>
          <w:color w:val="000000"/>
          <w:sz w:val="44"/>
          <w:szCs w:val="44"/>
          <w:shd w:val="clear" w:color="auto" w:fill="FFFFFF"/>
        </w:rPr>
        <w:t>丰都县县级烈士纪念设施评定办法（试行）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cs="Times New Roman"/>
          <w:color w:val="000000"/>
          <w:sz w:val="32"/>
          <w:szCs w:val="32"/>
          <w:shd w:val="clear" w:color="auto" w:fill="FFFFFF"/>
        </w:rPr>
      </w:pPr>
    </w:p>
    <w:p>
      <w:pPr>
        <w:pStyle w:val="7"/>
        <w:adjustRightInd w:val="0"/>
        <w:snapToGrid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b w:val="0"/>
          <w:bCs w:val="0"/>
          <w:color w:val="000000"/>
          <w:sz w:val="32"/>
          <w:szCs w:val="32"/>
          <w:shd w:val="clear" w:color="auto" w:fill="FFFFFF"/>
        </w:rPr>
        <w:t>第一条</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为做好烈士褒扬工作，进一步加强烈士纪念设施保护管理，根据《中华人民共和国英雄烈士保护法》《烈士褒扬条例》《烈士纪念设施保护管理办法》</w:t>
      </w:r>
      <w:r>
        <w:rPr>
          <w:rFonts w:hint="default" w:ascii="Times New Roman" w:hAnsi="Times New Roman" w:eastAsia="方正仿宋_GBK" w:cs="Times New Roman"/>
          <w:color w:val="000000"/>
          <w:sz w:val="32"/>
          <w:szCs w:val="32"/>
        </w:rPr>
        <w:t>《重</w:t>
      </w:r>
      <w:r>
        <w:rPr>
          <w:rFonts w:hint="default" w:ascii="Times New Roman" w:hAnsi="Times New Roman" w:eastAsia="方正仿宋_GBK" w:cs="Times New Roman"/>
          <w:color w:val="000000"/>
          <w:spacing w:val="-2"/>
          <w:sz w:val="32"/>
          <w:szCs w:val="32"/>
        </w:rPr>
        <w:t>庆市烈士纪念设施分级保护管理办法》</w:t>
      </w:r>
      <w:r>
        <w:rPr>
          <w:rFonts w:hint="default" w:ascii="Times New Roman" w:hAnsi="Times New Roman" w:eastAsia="方正仿宋_GBK" w:cs="Times New Roman"/>
          <w:color w:val="000000"/>
          <w:sz w:val="32"/>
          <w:szCs w:val="32"/>
          <w:shd w:val="clear" w:color="auto" w:fill="FFFFFF"/>
        </w:rPr>
        <w:t>等有关法律法规精神，制定《丰都县县级烈士纪念设施评定办法（试行）》。</w:t>
      </w:r>
    </w:p>
    <w:p>
      <w:pPr>
        <w:pStyle w:val="7"/>
        <w:adjustRightInd w:val="0"/>
        <w:snapToGrid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shd w:val="clear" w:color="auto" w:fill="FFFFFF"/>
        </w:rPr>
        <w:t>第二条</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申报对象。本县范围内的烈士纪念设施（烈士纪念设施指：按照国家有关规定为纪念缅怀英烈专门修建的烈士陵园、烈士墓、烈士英名墙、纪念堂馆、纪念碑亭、纪念塔祠、纪念塑像、纪念广场等设施），符合下列条件之一的，可以申报为县级烈士纪念设施。</w:t>
      </w:r>
    </w:p>
    <w:p>
      <w:pPr>
        <w:pStyle w:val="7"/>
        <w:adjustRightInd w:val="0"/>
        <w:snapToGrid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（一）为纪念全县范围内在中国革命、建设、改革等各个历史时期的重大事件、重要战役中牺牲的有重要影响的烈士而修建的烈士纪念设施；</w:t>
      </w:r>
    </w:p>
    <w:p>
      <w:pPr>
        <w:pStyle w:val="7"/>
        <w:adjustRightInd w:val="0"/>
        <w:snapToGrid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（二）为纪念为中国革命斗争牺牲的知名国际友人而修建的烈士纪念设施；</w:t>
      </w:r>
    </w:p>
    <w:p>
      <w:pPr>
        <w:pStyle w:val="7"/>
        <w:adjustRightInd w:val="0"/>
        <w:snapToGrid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（三）在全县影响较大，功能发挥较好，且安葬烈士较多的烈士纪念设施；</w:t>
      </w:r>
    </w:p>
    <w:p>
      <w:pPr>
        <w:pStyle w:val="7"/>
        <w:adjustRightInd w:val="0"/>
        <w:snapToGrid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（四）为纪念在本县有重大影响的著名烈士而修建的烈士纪</w:t>
      </w:r>
      <w:bookmarkStart w:id="0" w:name="_GoBack"/>
      <w:bookmarkEnd w:id="0"/>
      <w:r>
        <w:rPr>
          <w:rFonts w:hint="default" w:ascii="Times New Roman" w:hAnsi="Times New Roman" w:eastAsia="方正仿宋_GBK" w:cs="Times New Roman"/>
          <w:color w:val="000000"/>
          <w:sz w:val="32"/>
          <w:szCs w:val="32"/>
          <w:shd w:val="clear" w:color="auto" w:fill="FFFFFF"/>
        </w:rPr>
        <w:t>念设施；</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（五）规模较大、基础设施完备、规划建设特色明显，具有较强县域影响力的其他烈士纪念设施。</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未按规定履行新建、迁建、改扩建报批程序的烈士纪念设施，不得申报。</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第三条</w:t>
      </w:r>
      <w:r>
        <w:rPr>
          <w:rFonts w:hint="default" w:ascii="Times New Roman" w:hAnsi="Times New Roman"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申报内容及所需材料。烈士纪念设施基本情况（含纪念的主要历史事件、安葬的主要烈士的情况介绍以及现状照片）；烈士纪念设施保护单位或者管理单位情况；烈士纪念设施建设规划相关材料和维修保护情况；土地使用权属（不动产权属）和保护范围证明；褒扬教育作用发挥情况；法律、法规、规章规定需要提供的其他资料。</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第四条</w:t>
      </w:r>
      <w:r>
        <w:rPr>
          <w:rFonts w:hint="default" w:ascii="Times New Roman" w:hAnsi="Times New Roman"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评定标准。烈士纪念设施所在地人民政府（街道办事处）将烈士纪念设施的建设和保护纳入当地经济社会发展和社会主义精神文明建设的整体规划；有日常保护管理责任单位，配备专（兼）职人员，日常维护管理经费列入同级财政预算；烈士纪念设施有确定的使用权属，规划布局合理，庄严肃穆，整洁清净；经常性开展祭扫活动和主题活动，充分发挥“褒扬烈士、教育群众”的作用；近三年内未发生违规违纪问题。</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评分细则详见《申报县级烈士纪念设施考评细则》（附件2），得分达到80分以上为县级烈士纪念设施评定的基本条件。</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第五条</w:t>
      </w:r>
      <w:r>
        <w:rPr>
          <w:rFonts w:hint="default" w:ascii="Times New Roman" w:hAnsi="Times New Roman"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申报程序。</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（一）自评申报。</w:t>
      </w:r>
      <w:r>
        <w:rPr>
          <w:rFonts w:hint="default" w:ascii="Times New Roman" w:hAnsi="Times New Roman" w:eastAsia="方正仿宋_GBK" w:cs="Times New Roman"/>
          <w:color w:val="000000"/>
          <w:sz w:val="32"/>
          <w:szCs w:val="32"/>
          <w:shd w:val="clear" w:color="auto" w:fill="FFFFFF"/>
        </w:rPr>
        <w:t>符合申报条件的县级以下烈士纪念设施，由烈士纪念设施管理单位按有关规定收集相关材料并进行自评。自评合格的，由烈士纪念设施管理单位以书面请示形式向县人民政府退役军人事务管理部门提交申请和相关材料。</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（二）勘察考评。</w:t>
      </w:r>
      <w:r>
        <w:rPr>
          <w:rFonts w:hint="default" w:ascii="Times New Roman" w:hAnsi="Times New Roman" w:eastAsia="方正仿宋_GBK" w:cs="Times New Roman"/>
          <w:color w:val="000000"/>
          <w:sz w:val="32"/>
          <w:szCs w:val="32"/>
          <w:shd w:val="clear" w:color="auto" w:fill="FFFFFF"/>
        </w:rPr>
        <w:t>县退役军人事务局会同宣传、文化旅游、党史研究等部门以及检察机关进行实地勘察考评。对经评审和考察后认为达到县级烈士纪念设施条件的，提出相应拟办意见，并在县人民政府官方网站公示十个工作日。</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（三）审批认定。</w:t>
      </w:r>
      <w:r>
        <w:rPr>
          <w:rFonts w:hint="default" w:ascii="Times New Roman" w:hAnsi="Times New Roman" w:eastAsia="方正仿宋_GBK" w:cs="Times New Roman"/>
          <w:color w:val="000000"/>
          <w:sz w:val="32"/>
          <w:szCs w:val="32"/>
          <w:shd w:val="clear" w:color="auto" w:fill="FFFFFF"/>
        </w:rPr>
        <w:t>经公示无异议的报县人民政府批准公布。</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（四）备案。</w:t>
      </w:r>
      <w:r>
        <w:rPr>
          <w:rFonts w:hint="default" w:ascii="Times New Roman" w:hAnsi="Times New Roman" w:eastAsia="方正仿宋_GBK" w:cs="Times New Roman"/>
          <w:color w:val="000000"/>
          <w:sz w:val="32"/>
          <w:szCs w:val="32"/>
          <w:shd w:val="clear" w:color="auto" w:fill="FFFFFF"/>
        </w:rPr>
        <w:t>烈士纪念设施经县人民政府批准并公布为县级烈士纪念设施的，批准公布后二十个工作日内，由县退役军人事务局报请市退役军人事务局予以备案。</w:t>
      </w: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第六条</w:t>
      </w:r>
      <w:r>
        <w:rPr>
          <w:rFonts w:hint="default" w:ascii="Times New Roman" w:hAnsi="Times New Roman"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该办法自印发之日起施行。</w:t>
      </w:r>
    </w:p>
    <w:p>
      <w:pPr>
        <w:pStyle w:val="2"/>
        <w:ind w:firstLine="640" w:firstLineChars="200"/>
        <w:rPr>
          <w:rFonts w:hint="default" w:ascii="Times New Roman" w:hAnsi="Times New Roman" w:eastAsia="方正仿宋_GBK" w:cs="Times New Roman"/>
          <w:color w:val="000000"/>
          <w:sz w:val="32"/>
          <w:szCs w:val="32"/>
          <w:shd w:val="clear" w:color="auto" w:fill="FFFFFF"/>
        </w:rPr>
      </w:pPr>
    </w:p>
    <w:p>
      <w:pPr>
        <w:pStyle w:val="2"/>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附件：1.申报县级烈士纪念设施相关信息资料采集表</w:t>
      </w:r>
    </w:p>
    <w:p>
      <w:pPr>
        <w:pStyle w:val="2"/>
        <w:ind w:firstLine="1600" w:firstLineChars="5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2.申报县级烈士纪念设施考评细则</w:t>
      </w:r>
    </w:p>
    <w:p>
      <w:pPr>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br w:type="page"/>
      </w:r>
    </w:p>
    <w:p>
      <w:pPr>
        <w:adjustRightInd w:val="0"/>
        <w:spacing w:line="520" w:lineRule="exac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附件1</w:t>
      </w:r>
    </w:p>
    <w:p>
      <w:pPr>
        <w:adjustRightInd w:val="0"/>
        <w:spacing w:line="52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申报县级烈士纪念设施相关信息资料采集表</w:t>
      </w:r>
    </w:p>
    <w:tbl>
      <w:tblPr>
        <w:tblStyle w:val="8"/>
        <w:tblW w:w="0" w:type="auto"/>
        <w:jc w:val="center"/>
        <w:tblLayout w:type="fixed"/>
        <w:tblCellMar>
          <w:top w:w="0" w:type="dxa"/>
          <w:left w:w="108" w:type="dxa"/>
          <w:bottom w:w="0" w:type="dxa"/>
          <w:right w:w="108" w:type="dxa"/>
        </w:tblCellMar>
      </w:tblPr>
      <w:tblGrid>
        <w:gridCol w:w="853"/>
        <w:gridCol w:w="1227"/>
        <w:gridCol w:w="1395"/>
        <w:gridCol w:w="1705"/>
        <w:gridCol w:w="1691"/>
        <w:gridCol w:w="1091"/>
        <w:gridCol w:w="1911"/>
      </w:tblGrid>
      <w:tr>
        <w:tblPrEx>
          <w:tblCellMar>
            <w:top w:w="0" w:type="dxa"/>
            <w:left w:w="108" w:type="dxa"/>
            <w:bottom w:w="0" w:type="dxa"/>
            <w:right w:w="108" w:type="dxa"/>
          </w:tblCellMar>
        </w:tblPrEx>
        <w:trPr>
          <w:trHeight w:val="845" w:hRule="atLeast"/>
          <w:jc w:val="center"/>
        </w:trPr>
        <w:tc>
          <w:tcPr>
            <w:tcW w:w="8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基                              本                                信                          息</w:t>
            </w:r>
          </w:p>
        </w:tc>
        <w:tc>
          <w:tcPr>
            <w:tcW w:w="122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名    称</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p>
        </w:tc>
        <w:tc>
          <w:tcPr>
            <w:tcW w:w="17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爱国主义教育</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基地级别</w:t>
            </w:r>
          </w:p>
        </w:tc>
        <w:tc>
          <w:tcPr>
            <w:tcW w:w="169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□国家级 </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□市级</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□县级 　 □否</w:t>
            </w:r>
          </w:p>
        </w:tc>
        <w:tc>
          <w:tcPr>
            <w:tcW w:w="10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国防教育                      基地级别</w:t>
            </w:r>
          </w:p>
        </w:tc>
        <w:tc>
          <w:tcPr>
            <w:tcW w:w="19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□国家级 </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□市级</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□县级 　 □否</w:t>
            </w:r>
          </w:p>
        </w:tc>
      </w:tr>
      <w:tr>
        <w:tblPrEx>
          <w:tblCellMar>
            <w:top w:w="0" w:type="dxa"/>
            <w:left w:w="108" w:type="dxa"/>
            <w:bottom w:w="0" w:type="dxa"/>
            <w:right w:w="108" w:type="dxa"/>
          </w:tblCellMar>
        </w:tblPrEx>
        <w:trPr>
          <w:trHeight w:val="845"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具体地址</w:t>
            </w:r>
          </w:p>
        </w:tc>
        <w:tc>
          <w:tcPr>
            <w:tcW w:w="139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红色旅游景点</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级别（线路）</w:t>
            </w:r>
          </w:p>
        </w:tc>
        <w:tc>
          <w:tcPr>
            <w:tcW w:w="1691" w:type="dxa"/>
            <w:tcBorders>
              <w:top w:val="nil"/>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□国家级 </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□市级</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□县级 　 □否</w:t>
            </w:r>
          </w:p>
        </w:tc>
        <w:tc>
          <w:tcPr>
            <w:tcW w:w="10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列入文物                 保护范围</w:t>
            </w:r>
          </w:p>
        </w:tc>
        <w:tc>
          <w:tcPr>
            <w:tcW w:w="1911" w:type="dxa"/>
            <w:tcBorders>
              <w:top w:val="nil"/>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□国家级 </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□市级</w:t>
            </w:r>
          </w:p>
          <w:p>
            <w:pPr>
              <w:widowControl/>
              <w:spacing w:line="240" w:lineRule="exac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□县级 　 □否</w:t>
            </w:r>
          </w:p>
        </w:tc>
      </w:tr>
      <w:tr>
        <w:tblPrEx>
          <w:tblCellMar>
            <w:top w:w="0" w:type="dxa"/>
            <w:left w:w="108" w:type="dxa"/>
            <w:bottom w:w="0" w:type="dxa"/>
            <w:right w:w="108" w:type="dxa"/>
          </w:tblCellMar>
        </w:tblPrEx>
        <w:trPr>
          <w:trHeight w:val="590" w:hRule="atLeast"/>
          <w:jc w:val="center"/>
        </w:trPr>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建设日期</w:t>
            </w:r>
          </w:p>
        </w:tc>
        <w:tc>
          <w:tcPr>
            <w:tcW w:w="4791" w:type="dxa"/>
            <w:gridSpan w:val="3"/>
            <w:tcBorders>
              <w:top w:val="nil"/>
              <w:left w:val="nil"/>
              <w:bottom w:val="single" w:color="auto" w:sz="4" w:space="0"/>
              <w:right w:val="single" w:color="auto" w:sz="4" w:space="0"/>
            </w:tcBorders>
            <w:noWrap w:val="0"/>
            <w:vAlign w:val="center"/>
          </w:tcPr>
          <w:p>
            <w:pPr>
              <w:widowControl/>
              <w:spacing w:line="220" w:lineRule="exact"/>
              <w:rPr>
                <w:rFonts w:hint="default" w:ascii="Times New Roman" w:hAnsi="Times New Roman" w:cs="Times New Roman"/>
                <w:color w:val="000000"/>
                <w:kern w:val="0"/>
                <w:sz w:val="21"/>
                <w:szCs w:val="21"/>
              </w:rPr>
            </w:pPr>
          </w:p>
        </w:tc>
        <w:tc>
          <w:tcPr>
            <w:tcW w:w="10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设立保护</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标志</w:t>
            </w:r>
          </w:p>
        </w:tc>
        <w:tc>
          <w:tcPr>
            <w:tcW w:w="191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xml:space="preserve">□是     </w:t>
            </w:r>
            <w:r>
              <w:rPr>
                <w:rFonts w:hint="default" w:ascii="Times New Roman" w:hAnsi="Times New Roman" w:cs="Times New Roman"/>
                <w:color w:val="000000"/>
                <w:kern w:val="0"/>
                <w:sz w:val="21"/>
                <w:szCs w:val="21"/>
              </w:rPr>
              <w:sym w:font="Wingdings 2" w:char="00A3"/>
            </w:r>
            <w:r>
              <w:rPr>
                <w:rFonts w:hint="default" w:ascii="Times New Roman" w:hAnsi="Times New Roman" w:cs="Times New Roman"/>
                <w:color w:val="000000"/>
                <w:kern w:val="0"/>
                <w:sz w:val="21"/>
                <w:szCs w:val="21"/>
              </w:rPr>
              <w:t>否</w:t>
            </w:r>
          </w:p>
        </w:tc>
      </w:tr>
      <w:tr>
        <w:tblPrEx>
          <w:tblCellMar>
            <w:top w:w="0" w:type="dxa"/>
            <w:left w:w="108" w:type="dxa"/>
            <w:bottom w:w="0" w:type="dxa"/>
            <w:right w:w="108" w:type="dxa"/>
          </w:tblCellMar>
        </w:tblPrEx>
        <w:trPr>
          <w:trHeight w:val="599" w:hRule="atLeast"/>
          <w:jc w:val="center"/>
        </w:trPr>
        <w:tc>
          <w:tcPr>
            <w:tcW w:w="85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纪念意义和建设规模</w:t>
            </w: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纪念意义</w:t>
            </w:r>
          </w:p>
        </w:tc>
        <w:tc>
          <w:tcPr>
            <w:tcW w:w="139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ind w:firstLine="210" w:firstLineChars="100"/>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占地面积㎡</w:t>
            </w:r>
          </w:p>
        </w:tc>
        <w:tc>
          <w:tcPr>
            <w:tcW w:w="1691" w:type="dxa"/>
            <w:tcBorders>
              <w:top w:val="nil"/>
              <w:left w:val="nil"/>
              <w:bottom w:val="single" w:color="auto"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c>
          <w:tcPr>
            <w:tcW w:w="10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spacing w:val="-6"/>
                <w:kern w:val="0"/>
                <w:sz w:val="21"/>
                <w:szCs w:val="21"/>
              </w:rPr>
            </w:pPr>
            <w:r>
              <w:rPr>
                <w:rFonts w:hint="default" w:ascii="Times New Roman" w:hAnsi="Times New Roman" w:cs="Times New Roman"/>
                <w:color w:val="000000"/>
                <w:spacing w:val="-6"/>
                <w:kern w:val="0"/>
                <w:sz w:val="21"/>
                <w:szCs w:val="21"/>
              </w:rPr>
              <w:t>纪念设施情况及</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pacing w:val="-6"/>
                <w:kern w:val="0"/>
                <w:sz w:val="21"/>
                <w:szCs w:val="21"/>
              </w:rPr>
              <w:t>数量</w:t>
            </w:r>
          </w:p>
        </w:tc>
        <w:tc>
          <w:tcPr>
            <w:tcW w:w="191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rPr>
                <w:rFonts w:hint="default" w:ascii="Times New Roman" w:hAnsi="Times New Roman" w:cs="Times New Roman"/>
                <w:color w:val="000000"/>
                <w:spacing w:val="-6"/>
                <w:kern w:val="0"/>
                <w:sz w:val="21"/>
                <w:szCs w:val="21"/>
              </w:rPr>
            </w:pPr>
            <w:r>
              <w:rPr>
                <w:rFonts w:hint="default" w:ascii="Times New Roman" w:hAnsi="Times New Roman" w:cs="Times New Roman"/>
                <w:color w:val="000000"/>
                <w:spacing w:val="-6"/>
                <w:kern w:val="0"/>
                <w:sz w:val="21"/>
                <w:szCs w:val="21"/>
              </w:rPr>
              <w:t>纪念堂（馆） 　 座</w:t>
            </w:r>
          </w:p>
          <w:p>
            <w:pPr>
              <w:widowControl/>
              <w:spacing w:line="240" w:lineRule="exact"/>
              <w:rPr>
                <w:rFonts w:hint="default" w:ascii="Times New Roman" w:hAnsi="Times New Roman" w:cs="Times New Roman"/>
                <w:color w:val="000000"/>
                <w:spacing w:val="-6"/>
                <w:kern w:val="0"/>
                <w:sz w:val="21"/>
                <w:szCs w:val="21"/>
              </w:rPr>
            </w:pPr>
            <w:r>
              <w:rPr>
                <w:rFonts w:hint="default" w:ascii="Times New Roman" w:hAnsi="Times New Roman" w:cs="Times New Roman"/>
                <w:color w:val="000000"/>
                <w:spacing w:val="-6"/>
                <w:kern w:val="0"/>
                <w:sz w:val="21"/>
                <w:szCs w:val="21"/>
              </w:rPr>
              <w:t xml:space="preserve">纪念碑（亭） 　 座 </w:t>
            </w:r>
          </w:p>
          <w:p>
            <w:pPr>
              <w:widowControl/>
              <w:spacing w:line="240" w:lineRule="exact"/>
              <w:rPr>
                <w:rFonts w:hint="default" w:ascii="Times New Roman" w:hAnsi="Times New Roman" w:cs="Times New Roman"/>
                <w:color w:val="000000"/>
                <w:spacing w:val="-6"/>
                <w:kern w:val="0"/>
                <w:sz w:val="21"/>
                <w:szCs w:val="21"/>
              </w:rPr>
            </w:pPr>
            <w:r>
              <w:rPr>
                <w:rFonts w:hint="default" w:ascii="Times New Roman" w:hAnsi="Times New Roman" w:cs="Times New Roman"/>
                <w:color w:val="000000"/>
                <w:spacing w:val="-6"/>
                <w:kern w:val="0"/>
                <w:sz w:val="21"/>
                <w:szCs w:val="21"/>
              </w:rPr>
              <w:t>纪念塔（祠） 　 座</w:t>
            </w:r>
          </w:p>
          <w:p>
            <w:pPr>
              <w:widowControl/>
              <w:spacing w:line="24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纪念塑像   　 尊</w:t>
            </w:r>
          </w:p>
          <w:p>
            <w:pPr>
              <w:widowControl/>
              <w:spacing w:line="24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烈士骨灰堂 　 座</w:t>
            </w:r>
          </w:p>
          <w:p>
            <w:pPr>
              <w:widowControl/>
              <w:spacing w:line="24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烈士墓     　 个</w:t>
            </w:r>
          </w:p>
          <w:p>
            <w:pPr>
              <w:widowControl/>
              <w:spacing w:line="24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其它</w:t>
            </w:r>
          </w:p>
        </w:tc>
      </w:tr>
      <w:tr>
        <w:tblPrEx>
          <w:tblCellMar>
            <w:top w:w="0" w:type="dxa"/>
            <w:left w:w="108" w:type="dxa"/>
            <w:bottom w:w="0" w:type="dxa"/>
            <w:right w:w="108" w:type="dxa"/>
          </w:tblCellMar>
        </w:tblPrEx>
        <w:trPr>
          <w:trHeight w:val="574"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历史时期</w:t>
            </w:r>
          </w:p>
        </w:tc>
        <w:tc>
          <w:tcPr>
            <w:tcW w:w="1395" w:type="dxa"/>
            <w:tcBorders>
              <w:top w:val="nil"/>
              <w:left w:val="nil"/>
              <w:bottom w:val="single" w:color="auto" w:sz="4" w:space="0"/>
              <w:right w:val="single" w:color="auto" w:sz="4" w:space="0"/>
            </w:tcBorders>
            <w:noWrap w:val="0"/>
            <w:vAlign w:val="center"/>
          </w:tcPr>
          <w:p>
            <w:pPr>
              <w:widowControl/>
              <w:spacing w:line="220" w:lineRule="exac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建筑面积㎡</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color w:val="000000"/>
                <w:kern w:val="0"/>
                <w:sz w:val="21"/>
                <w:szCs w:val="21"/>
              </w:rPr>
            </w:pPr>
          </w:p>
        </w:tc>
        <w:tc>
          <w:tcPr>
            <w:tcW w:w="1911"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465"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简    介</w:t>
            </w:r>
          </w:p>
        </w:tc>
        <w:tc>
          <w:tcPr>
            <w:tcW w:w="1395"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墓区面积㎡</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color w:val="000000"/>
                <w:kern w:val="0"/>
                <w:sz w:val="21"/>
                <w:szCs w:val="21"/>
              </w:rPr>
            </w:pPr>
          </w:p>
        </w:tc>
        <w:tc>
          <w:tcPr>
            <w:tcW w:w="1911"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39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墓区预留面积㎡</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color w:val="000000"/>
                <w:kern w:val="0"/>
                <w:sz w:val="21"/>
                <w:szCs w:val="21"/>
              </w:rPr>
            </w:pPr>
          </w:p>
        </w:tc>
        <w:tc>
          <w:tcPr>
            <w:tcW w:w="1911"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39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划定保护范围</w:t>
            </w:r>
          </w:p>
        </w:tc>
        <w:tc>
          <w:tcPr>
            <w:tcW w:w="1691"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□是  □否</w:t>
            </w:r>
          </w:p>
        </w:tc>
        <w:tc>
          <w:tcPr>
            <w:tcW w:w="10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安葬烈士                     人数及著名烈士</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名录</w:t>
            </w:r>
          </w:p>
        </w:tc>
        <w:tc>
          <w:tcPr>
            <w:tcW w:w="1911" w:type="dxa"/>
            <w:vMerge w:val="restart"/>
            <w:tcBorders>
              <w:top w:val="nil"/>
              <w:left w:val="single" w:color="auto" w:sz="4" w:space="0"/>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39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土地使用权证</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办理情况</w:t>
            </w:r>
          </w:p>
        </w:tc>
        <w:tc>
          <w:tcPr>
            <w:tcW w:w="1691"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□是  □否</w:t>
            </w: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c>
          <w:tcPr>
            <w:tcW w:w="191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39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不可（可）移动文物数量</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c>
          <w:tcPr>
            <w:tcW w:w="191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atLeast"/>
              <w:jc w:val="lef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465" w:hRule="atLeast"/>
          <w:jc w:val="center"/>
        </w:trPr>
        <w:tc>
          <w:tcPr>
            <w:tcW w:w="85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保护单位情况</w:t>
            </w: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名    称</w:t>
            </w:r>
          </w:p>
        </w:tc>
        <w:tc>
          <w:tcPr>
            <w:tcW w:w="139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编制人数</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在编人数</w:t>
            </w:r>
          </w:p>
        </w:tc>
        <w:tc>
          <w:tcPr>
            <w:tcW w:w="191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461"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性质级别</w:t>
            </w:r>
          </w:p>
        </w:tc>
        <w:tc>
          <w:tcPr>
            <w:tcW w:w="139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现有人数</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聘用人数</w:t>
            </w:r>
          </w:p>
        </w:tc>
        <w:tc>
          <w:tcPr>
            <w:tcW w:w="191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489" w:hRule="atLeast"/>
          <w:jc w:val="center"/>
        </w:trPr>
        <w:tc>
          <w:tcPr>
            <w:tcW w:w="8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hint="default" w:ascii="Times New Roman" w:hAnsi="Times New Roman" w:cs="Times New Roman"/>
                <w:color w:val="000000"/>
                <w:kern w:val="0"/>
                <w:sz w:val="21"/>
                <w:szCs w:val="21"/>
              </w:rPr>
            </w:pP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主管部门</w:t>
            </w:r>
          </w:p>
        </w:tc>
        <w:tc>
          <w:tcPr>
            <w:tcW w:w="1395" w:type="dxa"/>
            <w:tcBorders>
              <w:top w:val="nil"/>
              <w:left w:val="nil"/>
              <w:bottom w:val="single" w:color="auto" w:sz="4" w:space="0"/>
              <w:right w:val="single" w:color="auto" w:sz="4" w:space="0"/>
            </w:tcBorders>
            <w:noWrap w:val="0"/>
            <w:vAlign w:val="center"/>
          </w:tcPr>
          <w:p>
            <w:pPr>
              <w:widowControl/>
              <w:spacing w:line="220" w:lineRule="exac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讲解员人数</w:t>
            </w:r>
          </w:p>
        </w:tc>
        <w:tc>
          <w:tcPr>
            <w:tcW w:w="4693" w:type="dxa"/>
            <w:gridSpan w:val="3"/>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1093" w:hRule="atLeast"/>
          <w:jc w:val="center"/>
        </w:trPr>
        <w:tc>
          <w:tcPr>
            <w:tcW w:w="853"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工作</w:t>
            </w:r>
          </w:p>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经费</w:t>
            </w: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是否纳入当地财政预    算</w:t>
            </w:r>
          </w:p>
        </w:tc>
        <w:tc>
          <w:tcPr>
            <w:tcW w:w="139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□是</w:t>
            </w:r>
          </w:p>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□否</w:t>
            </w:r>
          </w:p>
        </w:tc>
        <w:tc>
          <w:tcPr>
            <w:tcW w:w="1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本级财政补助</w:t>
            </w:r>
          </w:p>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工作、维修改造经费（万元）</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tcBorders>
              <w:top w:val="single" w:color="auto" w:sz="4" w:space="0"/>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年支出</w:t>
            </w:r>
          </w:p>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（万元）</w:t>
            </w:r>
          </w:p>
        </w:tc>
        <w:tc>
          <w:tcPr>
            <w:tcW w:w="191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853"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负责人</w:t>
            </w:r>
          </w:p>
        </w:tc>
        <w:tc>
          <w:tcPr>
            <w:tcW w:w="1227"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姓    名</w:t>
            </w:r>
          </w:p>
        </w:tc>
        <w:tc>
          <w:tcPr>
            <w:tcW w:w="1395" w:type="dxa"/>
            <w:tcBorders>
              <w:top w:val="nil"/>
              <w:left w:val="nil"/>
              <w:bottom w:val="single" w:color="auto" w:sz="4" w:space="0"/>
              <w:right w:val="single" w:color="auto" w:sz="4" w:space="0"/>
            </w:tcBorders>
            <w:noWrap w:val="0"/>
            <w:vAlign w:val="center"/>
          </w:tcPr>
          <w:p>
            <w:pPr>
              <w:widowControl/>
              <w:spacing w:line="220" w:lineRule="exact"/>
              <w:rPr>
                <w:rFonts w:hint="default" w:ascii="Times New Roman" w:hAnsi="Times New Roman" w:cs="Times New Roman"/>
                <w:color w:val="000000"/>
                <w:kern w:val="0"/>
                <w:sz w:val="21"/>
                <w:szCs w:val="21"/>
              </w:rPr>
            </w:pPr>
          </w:p>
        </w:tc>
        <w:tc>
          <w:tcPr>
            <w:tcW w:w="1705"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职  务</w:t>
            </w:r>
          </w:p>
        </w:tc>
        <w:tc>
          <w:tcPr>
            <w:tcW w:w="169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c>
          <w:tcPr>
            <w:tcW w:w="1091" w:type="dxa"/>
            <w:tcBorders>
              <w:top w:val="nil"/>
              <w:left w:val="nil"/>
              <w:bottom w:val="single" w:color="auto" w:sz="4" w:space="0"/>
              <w:right w:val="single" w:color="auto" w:sz="4" w:space="0"/>
            </w:tcBorders>
            <w:noWrap w:val="0"/>
            <w:vAlign w:val="center"/>
          </w:tcPr>
          <w:p>
            <w:pPr>
              <w:widowControl/>
              <w:spacing w:line="22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联系电话</w:t>
            </w:r>
          </w:p>
        </w:tc>
        <w:tc>
          <w:tcPr>
            <w:tcW w:w="1911" w:type="dxa"/>
            <w:tcBorders>
              <w:top w:val="nil"/>
              <w:left w:val="nil"/>
              <w:bottom w:val="single" w:color="auto" w:sz="4" w:space="0"/>
              <w:right w:val="single" w:color="auto" w:sz="4" w:space="0"/>
            </w:tcBorders>
            <w:noWrap w:val="0"/>
            <w:vAlign w:val="center"/>
          </w:tcPr>
          <w:p>
            <w:pPr>
              <w:widowControl/>
              <w:spacing w:line="220" w:lineRule="atLeast"/>
              <w:rPr>
                <w:rFonts w:hint="default"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1102" w:hRule="atLeast"/>
          <w:jc w:val="center"/>
        </w:trPr>
        <w:tc>
          <w:tcPr>
            <w:tcW w:w="853"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获表彰情况</w:t>
            </w:r>
          </w:p>
        </w:tc>
        <w:tc>
          <w:tcPr>
            <w:tcW w:w="9020" w:type="dxa"/>
            <w:gridSpan w:val="6"/>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000000"/>
                <w:kern w:val="0"/>
                <w:sz w:val="21"/>
                <w:szCs w:val="21"/>
              </w:rPr>
            </w:pPr>
          </w:p>
        </w:tc>
      </w:tr>
    </w:tbl>
    <w:p>
      <w:pPr>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br w:type="page"/>
      </w:r>
    </w:p>
    <w:p>
      <w:pPr>
        <w:adjustRightInd w:val="0"/>
        <w:spacing w:line="580" w:lineRule="exac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附件2</w:t>
      </w:r>
    </w:p>
    <w:p>
      <w:pPr>
        <w:adjustRightInd w:val="0"/>
        <w:spacing w:line="58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申报县级烈士纪念设施考评细则</w:t>
      </w:r>
    </w:p>
    <w:tbl>
      <w:tblPr>
        <w:tblStyle w:val="8"/>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784"/>
        <w:gridCol w:w="484"/>
        <w:gridCol w:w="2590"/>
        <w:gridCol w:w="466"/>
        <w:gridCol w:w="4042"/>
        <w:gridCol w:w="886"/>
        <w:gridCol w:w="63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1" w:hRule="atLeast"/>
          <w:tblHeader/>
          <w:jc w:val="center"/>
        </w:trPr>
        <w:tc>
          <w:tcPr>
            <w:tcW w:w="784" w:type="dxa"/>
            <w:tcBorders>
              <w:top w:val="single" w:color="auto" w:sz="4" w:space="0"/>
              <w:left w:val="single" w:color="auto" w:sz="6" w:space="0"/>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Style w:val="10"/>
                <w:rFonts w:hint="default" w:ascii="Times New Roman" w:hAnsi="Times New Roman" w:eastAsia="方正黑体_GBK" w:cs="Times New Roman"/>
                <w:b w:val="0"/>
                <w:bCs w:val="0"/>
                <w:color w:val="000000"/>
                <w:sz w:val="20"/>
              </w:rPr>
            </w:pPr>
            <w:r>
              <w:rPr>
                <w:rStyle w:val="10"/>
                <w:rFonts w:hint="default" w:ascii="Times New Roman" w:hAnsi="Times New Roman" w:eastAsia="方正黑体_GBK" w:cs="Times New Roman"/>
                <w:b w:val="0"/>
                <w:bCs w:val="0"/>
                <w:color w:val="000000"/>
                <w:sz w:val="20"/>
              </w:rPr>
              <w:t>考评</w:t>
            </w:r>
          </w:p>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项目</w:t>
            </w:r>
          </w:p>
        </w:tc>
        <w:tc>
          <w:tcPr>
            <w:tcW w:w="484" w:type="dxa"/>
            <w:tcBorders>
              <w:top w:val="single" w:color="auto" w:sz="4"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序号</w:t>
            </w:r>
          </w:p>
        </w:tc>
        <w:tc>
          <w:tcPr>
            <w:tcW w:w="2590"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考 评 内 容</w:t>
            </w:r>
          </w:p>
        </w:tc>
        <w:tc>
          <w:tcPr>
            <w:tcW w:w="466"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分值</w:t>
            </w:r>
          </w:p>
        </w:tc>
        <w:tc>
          <w:tcPr>
            <w:tcW w:w="4042"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评 分 标 准</w:t>
            </w:r>
          </w:p>
        </w:tc>
        <w:tc>
          <w:tcPr>
            <w:tcW w:w="886"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测评方式</w:t>
            </w:r>
          </w:p>
        </w:tc>
        <w:tc>
          <w:tcPr>
            <w:tcW w:w="639"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Style w:val="10"/>
                <w:rFonts w:hint="default" w:ascii="Times New Roman" w:hAnsi="Times New Roman" w:eastAsia="方正黑体_GBK" w:cs="Times New Roman"/>
                <w:b w:val="0"/>
                <w:bCs w:val="0"/>
                <w:color w:val="000000"/>
                <w:sz w:val="20"/>
              </w:rPr>
            </w:pPr>
            <w:r>
              <w:rPr>
                <w:rStyle w:val="10"/>
                <w:rFonts w:hint="default" w:ascii="Times New Roman" w:hAnsi="Times New Roman" w:eastAsia="方正黑体_GBK" w:cs="Times New Roman"/>
                <w:b w:val="0"/>
                <w:bCs w:val="0"/>
                <w:color w:val="000000"/>
                <w:sz w:val="20"/>
              </w:rPr>
              <w:t>考评</w:t>
            </w:r>
          </w:p>
          <w:p>
            <w:pPr>
              <w:pStyle w:val="7"/>
              <w:widowControl/>
              <w:spacing w:before="0" w:beforeAutospacing="0" w:after="0" w:afterAutospacing="0" w:line="240" w:lineRule="exact"/>
              <w:jc w:val="center"/>
              <w:textAlignment w:val="center"/>
              <w:rPr>
                <w:rFonts w:hint="default" w:ascii="Times New Roman" w:hAnsi="Times New Roman" w:eastAsia="方正黑体_GBK" w:cs="Times New Roman"/>
                <w:color w:val="000000"/>
                <w:sz w:val="20"/>
              </w:rPr>
            </w:pPr>
            <w:r>
              <w:rPr>
                <w:rStyle w:val="10"/>
                <w:rFonts w:hint="default" w:ascii="Times New Roman" w:hAnsi="Times New Roman" w:eastAsia="方正黑体_GBK" w:cs="Times New Roman"/>
                <w:b w:val="0"/>
                <w:bCs w:val="0"/>
                <w:color w:val="000000"/>
                <w:sz w:val="20"/>
              </w:rPr>
              <w:t>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68" w:hRule="atLeast"/>
          <w:jc w:val="center"/>
        </w:trPr>
        <w:tc>
          <w:tcPr>
            <w:tcW w:w="784" w:type="dxa"/>
            <w:vMerge w:val="restart"/>
            <w:tcBorders>
              <w:top w:val="nil"/>
              <w:left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r>
              <w:rPr>
                <w:rFonts w:hint="default" w:ascii="Times New Roman" w:hAnsi="Times New Roman" w:cs="Times New Roman"/>
                <w:color w:val="000000"/>
                <w:sz w:val="20"/>
              </w:rPr>
              <w:t>一、纪念设施的建设规划和维修保护</w:t>
            </w:r>
          </w:p>
          <w:p>
            <w:pPr>
              <w:spacing w:line="240" w:lineRule="exact"/>
              <w:rPr>
                <w:rFonts w:hint="default" w:ascii="Times New Roman" w:hAnsi="Times New Roman" w:cs="Times New Roman"/>
                <w:color w:val="000000"/>
                <w:sz w:val="20"/>
              </w:rPr>
            </w:pPr>
            <w:r>
              <w:rPr>
                <w:rFonts w:hint="default" w:ascii="Times New Roman" w:hAnsi="Times New Roman" w:cs="Times New Roman"/>
                <w:color w:val="000000"/>
                <w:sz w:val="18"/>
                <w:szCs w:val="18"/>
              </w:rPr>
              <w:t>（30分）</w:t>
            </w:r>
          </w:p>
        </w:tc>
        <w:tc>
          <w:tcPr>
            <w:tcW w:w="484"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将烈士纪念设施建设和保护纳入当地国民经济和社会发展总体规划，提高建设水平，提升服务品质。</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5</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2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1.将烈士纪念设施建设和保护纳入当地国民经济和社会发展总体规划的得2分；</w:t>
            </w:r>
          </w:p>
          <w:p>
            <w:pPr>
              <w:pStyle w:val="7"/>
              <w:widowControl/>
              <w:spacing w:before="0" w:beforeAutospacing="0" w:after="0" w:afterAutospacing="0" w:line="22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2．制定烈士纪念设施建设发展总体规划的得1分；</w:t>
            </w:r>
          </w:p>
          <w:p>
            <w:pPr>
              <w:pStyle w:val="7"/>
              <w:widowControl/>
              <w:spacing w:before="0" w:beforeAutospacing="0" w:after="0" w:afterAutospacing="0" w:line="22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3.设有专门保护管理机构及人员的得2分。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查阅台账</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58" w:hRule="atLeast"/>
          <w:jc w:val="center"/>
        </w:trPr>
        <w:tc>
          <w:tcPr>
            <w:tcW w:w="784" w:type="dxa"/>
            <w:vMerge w:val="continue"/>
            <w:tcBorders>
              <w:left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p>
        </w:tc>
        <w:tc>
          <w:tcPr>
            <w:tcW w:w="484" w:type="dxa"/>
            <w:tcBorders>
              <w:top w:val="nil"/>
              <w:left w:val="nil"/>
              <w:bottom w:val="single" w:color="auto" w:sz="4"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科学制定烈士纪念设施建设和维修改造规划，建立健全烈士纪念设施管理制度，加强日常管理和修缮，做到设施齐全、功能完备。</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5</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0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1.烈士纪念设施维修改造规划目标明确、思路清晰、措施具体可行的得1分；</w:t>
            </w:r>
          </w:p>
          <w:p>
            <w:pPr>
              <w:pStyle w:val="7"/>
              <w:widowControl/>
              <w:spacing w:before="0" w:beforeAutospacing="0" w:after="0" w:afterAutospacing="0" w:line="20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2.烈士纪念设施管理制度健全，日常管理和修缮工作落实到位的得2分；</w:t>
            </w:r>
          </w:p>
          <w:p>
            <w:pPr>
              <w:pStyle w:val="7"/>
              <w:widowControl/>
              <w:spacing w:before="0" w:beforeAutospacing="0" w:after="0" w:afterAutospacing="0" w:line="20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3.维修改造经费列入当地财政预算的得1分；</w:t>
            </w:r>
          </w:p>
          <w:p>
            <w:pPr>
              <w:pStyle w:val="7"/>
              <w:widowControl/>
              <w:spacing w:before="0" w:beforeAutospacing="0" w:after="0" w:afterAutospacing="0" w:line="20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4.日常管理经费列入当地财政预算的得1分。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查阅台账</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77" w:hRule="atLeast"/>
          <w:jc w:val="center"/>
        </w:trPr>
        <w:tc>
          <w:tcPr>
            <w:tcW w:w="784" w:type="dxa"/>
            <w:vMerge w:val="continue"/>
            <w:tcBorders>
              <w:left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p>
        </w:tc>
        <w:tc>
          <w:tcPr>
            <w:tcW w:w="484" w:type="dxa"/>
            <w:tcBorders>
              <w:top w:val="single" w:color="auto" w:sz="4" w:space="0"/>
              <w:left w:val="nil"/>
              <w:bottom w:val="single" w:color="auto" w:sz="4"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3</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0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协调有关部门划定烈士纪念设施保护范围，设置保护标志，及时制止破坏、污损烈士纪念设施，以及在烈士纪念设施保护范围内进行其他工程建设的行为。</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4</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1.划定烈士纪念设施保护范围，并设置保护标志的得2分；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2.烈士纪念设施保护范围内没有与纪念烈士无关的建筑物的得2分。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查阅台账实地查看</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35" w:hRule="atLeast"/>
          <w:jc w:val="center"/>
        </w:trPr>
        <w:tc>
          <w:tcPr>
            <w:tcW w:w="784" w:type="dxa"/>
            <w:vMerge w:val="continue"/>
            <w:tcBorders>
              <w:left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p>
        </w:tc>
        <w:tc>
          <w:tcPr>
            <w:tcW w:w="484" w:type="dxa"/>
            <w:tcBorders>
              <w:top w:val="single" w:color="auto" w:sz="4" w:space="0"/>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4</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科学合理设置岗位，建立健全岗位责任制和日常工作制度，保证烈士纪念设施保护管理工作科学规范运行。</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1.岗位设置合理，建立岗位责任制及日常工作制度的得1分；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2.配有讲解员（专职讲解员或志愿讲解员）的得1分。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查阅台账实地查看</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20" w:hRule="atLeast"/>
          <w:jc w:val="center"/>
        </w:trPr>
        <w:tc>
          <w:tcPr>
            <w:tcW w:w="784" w:type="dxa"/>
            <w:vMerge w:val="continue"/>
            <w:tcBorders>
              <w:left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rPr>
                <w:rFonts w:hint="default" w:ascii="Times New Roman" w:hAnsi="Times New Roman" w:cs="Times New Roman"/>
                <w:color w:val="000000"/>
                <w:sz w:val="20"/>
              </w:rPr>
            </w:pPr>
          </w:p>
        </w:tc>
        <w:tc>
          <w:tcPr>
            <w:tcW w:w="484"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5</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合理设置烈士纪念设施功能区域，对外公布开放时间，标明引导提示标志，完善配套服务用房和设施，为社会公众创造人性化的瞻仰和悼念环境。</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4</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1．烈士纪念设施功能区域设置合理、引导提示标志明晰的得2分；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2．对外公布开放时间的得0.5分；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3．服务用房和设施齐备的得1.5分。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实地查看</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15" w:hRule="atLeast"/>
          <w:jc w:val="center"/>
        </w:trPr>
        <w:tc>
          <w:tcPr>
            <w:tcW w:w="784" w:type="dxa"/>
            <w:vMerge w:val="continue"/>
            <w:tcBorders>
              <w:left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p>
        </w:tc>
        <w:tc>
          <w:tcPr>
            <w:tcW w:w="484"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6</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0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烈士墓区要规划科学、布局合理。烈士墓形式统一、用材优良。墓碑碑文字迹工整，碑文内容应镌刻烈士姓名、性别、民族、籍贯、出生年月、牺牲时间、单位、职务、简要事迹等基本信息。</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4</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1.烈士墓区规划科学、布局合理的得1分；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2.烈士墓形式统一、用材优良的得1分；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3.墓碑碑文字迹工整、清晰的得1分；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4.烈士基本信息镌刻完整的得1分。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查阅台账实地查看</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05" w:hRule="atLeast"/>
          <w:jc w:val="center"/>
        </w:trPr>
        <w:tc>
          <w:tcPr>
            <w:tcW w:w="784" w:type="dxa"/>
            <w:vMerge w:val="continue"/>
            <w:tcBorders>
              <w:left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p>
        </w:tc>
        <w:tc>
          <w:tcPr>
            <w:tcW w:w="484"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7</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烈士纪念碑亭、塔祠、塑像、英名墙、骨灰堂等设施要外观完整、清洁，镌刻的题词、碑文、烈士名录清晰，用字规范，无褪色、脱落。</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5</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1.烈士纪念碑亭、塔祠、塑像、英名墙、骨灰堂等设施外观完整、清洁的得2.5分；</w:t>
            </w:r>
          </w:p>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2.镌刻的题词、碑文、烈士名录清晰，用字规范、无错别字，字体无褪色、脱落的得2.5分。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查阅台账实地查看</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84" w:type="dxa"/>
            <w:vMerge w:val="continue"/>
            <w:tcBorders>
              <w:left w:val="single" w:color="auto" w:sz="6" w:space="0"/>
              <w:bottom w:val="single" w:color="auto" w:sz="6" w:space="0"/>
              <w:right w:val="single" w:color="auto" w:sz="6" w:space="0"/>
            </w:tcBorders>
            <w:noWrap w:val="0"/>
            <w:tcMar>
              <w:top w:w="15" w:type="dxa"/>
              <w:left w:w="15" w:type="dxa"/>
              <w:right w:w="15" w:type="dxa"/>
            </w:tcMar>
            <w:vAlign w:val="center"/>
          </w:tcPr>
          <w:p>
            <w:pPr>
              <w:spacing w:line="240" w:lineRule="exact"/>
              <w:rPr>
                <w:rFonts w:hint="default" w:ascii="Times New Roman" w:hAnsi="Times New Roman" w:cs="Times New Roman"/>
                <w:color w:val="000000"/>
                <w:sz w:val="20"/>
              </w:rPr>
            </w:pPr>
          </w:p>
        </w:tc>
        <w:tc>
          <w:tcPr>
            <w:tcW w:w="484"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8</w:t>
            </w:r>
          </w:p>
        </w:tc>
        <w:tc>
          <w:tcPr>
            <w:tcW w:w="2590"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纪念广场位置设置合理、面积适中、地面平坦整洁。</w:t>
            </w:r>
          </w:p>
        </w:tc>
        <w:tc>
          <w:tcPr>
            <w:tcW w:w="46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1</w:t>
            </w:r>
          </w:p>
        </w:tc>
        <w:tc>
          <w:tcPr>
            <w:tcW w:w="4042"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ind w:left="63" w:leftChars="30"/>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设有烈士纪念广场，能较好地满足集体纪念烈士活动需要的得1分。</w:t>
            </w:r>
          </w:p>
        </w:tc>
        <w:tc>
          <w:tcPr>
            <w:tcW w:w="886" w:type="dxa"/>
            <w:tcBorders>
              <w:top w:val="nil"/>
              <w:left w:val="nil"/>
              <w:bottom w:val="single" w:color="auto" w:sz="6" w:space="0"/>
              <w:right w:val="single" w:color="auto" w:sz="6" w:space="0"/>
            </w:tcBorders>
            <w:noWrap w:val="0"/>
            <w:tcMar>
              <w:top w:w="15" w:type="dxa"/>
              <w:left w:w="15" w:type="dxa"/>
              <w:right w:w="15" w:type="dxa"/>
            </w:tcMar>
            <w:vAlign w:val="center"/>
          </w:tcPr>
          <w:p>
            <w:pPr>
              <w:pStyle w:val="7"/>
              <w:widowControl/>
              <w:spacing w:before="0" w:beforeAutospacing="0" w:after="0" w:afterAutospacing="0" w:line="240" w:lineRule="exact"/>
              <w:jc w:val="center"/>
              <w:textAlignment w:val="center"/>
              <w:rPr>
                <w:rFonts w:hint="default" w:ascii="Times New Roman" w:hAnsi="Times New Roman" w:cs="Times New Roman"/>
                <w:color w:val="000000"/>
                <w:sz w:val="20"/>
              </w:rPr>
            </w:pPr>
            <w:r>
              <w:rPr>
                <w:rFonts w:hint="default" w:ascii="Times New Roman" w:hAnsi="Times New Roman" w:cs="Times New Roman"/>
                <w:color w:val="000000"/>
                <w:sz w:val="20"/>
              </w:rPr>
              <w:t>实地查看</w:t>
            </w:r>
          </w:p>
        </w:tc>
        <w:tc>
          <w:tcPr>
            <w:tcW w:w="639" w:type="dxa"/>
            <w:tcBorders>
              <w:top w:val="nil"/>
              <w:left w:val="nil"/>
              <w:bottom w:val="single" w:color="auto" w:sz="6" w:space="0"/>
              <w:right w:val="single" w:color="auto" w:sz="6" w:space="0"/>
            </w:tcBorders>
            <w:noWrap w:val="0"/>
            <w:tcMar>
              <w:top w:w="15" w:type="dxa"/>
              <w:left w:w="15" w:type="dxa"/>
              <w:right w:w="15" w:type="dxa"/>
            </w:tcMar>
            <w:vAlign w:val="center"/>
          </w:tcPr>
          <w:p>
            <w:pPr>
              <w:widowControl/>
              <w:spacing w:line="240" w:lineRule="exact"/>
              <w:jc w:val="left"/>
              <w:rPr>
                <w:rFonts w:hint="default" w:ascii="Times New Roman" w:hAnsi="Times New Roman" w:cs="Times New Roman"/>
                <w:color w:val="000000"/>
                <w:sz w:val="20"/>
              </w:rPr>
            </w:pPr>
          </w:p>
        </w:tc>
      </w:tr>
    </w:tbl>
    <w:p>
      <w:pPr>
        <w:pStyle w:val="2"/>
        <w:rPr>
          <w:rFonts w:hint="default" w:ascii="Times New Roman" w:hAnsi="Times New Roman" w:eastAsia="方正仿宋_GBK" w:cs="Times New Roman"/>
          <w:color w:val="000000"/>
          <w:sz w:val="32"/>
          <w:szCs w:val="32"/>
          <w:shd w:val="clear" w:color="auto" w:fill="FFFFFF"/>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icrosoftYaHei">
    <w:altName w:val="微软雅黑"/>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丰都县人民政府办公室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37D1AEC"/>
    <w:rsid w:val="041C42DA"/>
    <w:rsid w:val="04B679C3"/>
    <w:rsid w:val="05F07036"/>
    <w:rsid w:val="06E00104"/>
    <w:rsid w:val="080F63D8"/>
    <w:rsid w:val="09341458"/>
    <w:rsid w:val="098254C2"/>
    <w:rsid w:val="0A766EDE"/>
    <w:rsid w:val="0AD64BE8"/>
    <w:rsid w:val="0B0912D7"/>
    <w:rsid w:val="0E025194"/>
    <w:rsid w:val="12FC204C"/>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7B0B8E"/>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6F0375EC"/>
    <w:rsid w:val="744E4660"/>
    <w:rsid w:val="753355A2"/>
    <w:rsid w:val="759F1C61"/>
    <w:rsid w:val="769F2DE8"/>
    <w:rsid w:val="76FDEB7C"/>
    <w:rsid w:val="77147E3D"/>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3473</Words>
  <Characters>3498</Characters>
  <Lines>1</Lines>
  <Paragraphs>1</Paragraphs>
  <TotalTime>3</TotalTime>
  <ScaleCrop>false</ScaleCrop>
  <LinksUpToDate>false</LinksUpToDate>
  <CharactersWithSpaces>3533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2022-05-12T00:46:00Z</cp:lastPrinted>
  <dcterms:modified xsi:type="dcterms:W3CDTF">2023-12-13T03:18:09Z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041AC82B98B8471C8B0790678A4EA83C_13</vt:lpwstr>
  </property>
</Properties>
</file>