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70" w:lineRule="exact"/>
        <w:jc w:val="center"/>
        <w:rPr>
          <w:rFonts w:hint="default" w:ascii="Times New Roman" w:hAnsi="Times New Roman" w:cs="Times New Roman"/>
          <w:spacing w:val="0"/>
          <w:sz w:val="32"/>
          <w:szCs w:val="32"/>
        </w:rPr>
      </w:pPr>
      <w:bookmarkStart w:id="0" w:name="zsdw"/>
    </w:p>
    <w:p>
      <w:pPr>
        <w:spacing w:line="570" w:lineRule="exact"/>
        <w:jc w:val="center"/>
        <w:rPr>
          <w:rFonts w:hint="default" w:ascii="Times New Roman" w:hAnsi="Times New Roman" w:cs="Times New Roman"/>
          <w:spacing w:val="0"/>
          <w:sz w:val="32"/>
          <w:szCs w:val="32"/>
        </w:rPr>
      </w:pPr>
    </w:p>
    <w:p>
      <w:pPr>
        <w:spacing w:line="570" w:lineRule="exact"/>
        <w:jc w:val="center"/>
        <w:rPr>
          <w:rFonts w:hint="default" w:ascii="Times New Roman" w:hAnsi="Times New Roman" w:cs="Times New Roman"/>
          <w:spacing w:val="0"/>
          <w:sz w:val="32"/>
          <w:szCs w:val="32"/>
        </w:rPr>
      </w:pPr>
    </w:p>
    <w:p>
      <w:pPr>
        <w:spacing w:line="570" w:lineRule="exact"/>
        <w:jc w:val="center"/>
        <w:rPr>
          <w:rFonts w:hint="default" w:ascii="Times New Roman" w:hAnsi="Times New Roman" w:cs="Times New Roman"/>
          <w:spacing w:val="0"/>
          <w:sz w:val="32"/>
          <w:szCs w:val="32"/>
        </w:rPr>
      </w:pPr>
    </w:p>
    <w:p>
      <w:pPr>
        <w:spacing w:line="570" w:lineRule="exact"/>
        <w:jc w:val="center"/>
        <w:rPr>
          <w:rFonts w:hint="default" w:ascii="Times New Roman" w:hAnsi="Times New Roman" w:cs="Times New Roman"/>
          <w:spacing w:val="0"/>
          <w:sz w:val="32"/>
          <w:szCs w:val="32"/>
        </w:rPr>
      </w:pPr>
      <w:r>
        <w:rPr>
          <w:rFonts w:ascii="Calibri" w:hAnsi="Calibri" w:eastAsia="宋体" w:cs="黑体"/>
          <w:kern w:val="2"/>
          <w:sz w:val="21"/>
          <w:szCs w:val="32"/>
          <w:lang w:val="en-US" w:eastAsia="zh-CN" w:bidi="ar-SA"/>
        </w:rPr>
        <w:pict>
          <v:shape id="AutoShape 2" o:spid="_x0000_s1030" type="#_x0000_t136" style="position:absolute;left:0;margin-left:91.55pt;margin-top:99.25pt;height:53.85pt;width:411pt;mso-position-horizontal-relative:page;mso-position-vertical-relative:margin;rotation:0f;z-index:251658240;" o:ole="f" fillcolor="#FF0000" filled="t" o:preferrelative="t" stroked="f" coordorigin="0,0" coordsize="21600,21600" adj="10800">
            <v:imagedata gain="65536f" blacklevel="0f" gamma="0"/>
            <o:lock v:ext="edit" position="f" selection="f" grouping="f" rotation="f" cropping="f" text="f" aspectratio="f"/>
            <v:textpath on="t" fitshape="t" fitpath="t" trim="t" xscale="f" string="丰都县人民政府办公室文件" style="v-text-align:center;font-family:方正小标宋_GBK;font-size:36pt;font-weight:bold;"/>
          </v:shape>
        </w:pict>
      </w:r>
    </w:p>
    <w:p>
      <w:pPr>
        <w:spacing w:line="570" w:lineRule="exact"/>
        <w:jc w:val="center"/>
        <w:rPr>
          <w:rFonts w:hint="default" w:ascii="Times New Roman" w:hAnsi="Times New Roman" w:cs="Times New Roman"/>
          <w:spacing w:val="0"/>
          <w:sz w:val="32"/>
          <w:szCs w:val="32"/>
        </w:rPr>
      </w:pPr>
    </w:p>
    <w:p>
      <w:pPr>
        <w:spacing w:line="570" w:lineRule="exact"/>
        <w:jc w:val="center"/>
        <w:rPr>
          <w:rFonts w:hint="default" w:ascii="Times New Roman" w:hAnsi="Times New Roman" w:cs="Times New Roman"/>
          <w:spacing w:val="0"/>
          <w:sz w:val="32"/>
          <w:szCs w:val="32"/>
        </w:rPr>
      </w:pPr>
    </w:p>
    <w:p>
      <w:pPr>
        <w:spacing w:line="600" w:lineRule="exact"/>
        <w:jc w:val="center"/>
        <w:rPr>
          <w:rFonts w:hint="default" w:ascii="Times New Roman" w:hAnsi="Times New Roman" w:eastAsia="方正仿宋_GBK" w:cs="Times New Roman"/>
        </w:rPr>
      </w:pPr>
      <w:r>
        <w:rPr>
          <w:rFonts w:hint="default" w:ascii="Times New Roman" w:hAnsi="Times New Roman" w:eastAsia="方正仿宋_GBK" w:cs="Times New Roman"/>
          <w:sz w:val="32"/>
          <w:szCs w:val="32"/>
        </w:rPr>
        <w:t>丰</w:t>
      </w:r>
      <w:r>
        <w:rPr>
          <w:rFonts w:hint="default" w:ascii="Times New Roman" w:hAnsi="Times New Roman" w:eastAsia="方正仿宋_GBK" w:cs="Times New Roman"/>
          <w:sz w:val="32"/>
          <w:szCs w:val="32"/>
          <w:lang w:val="en-US" w:eastAsia="zh-CN"/>
        </w:rPr>
        <w:t>都府</w:t>
      </w:r>
      <w:r>
        <w:rPr>
          <w:rFonts w:hint="default" w:ascii="Times New Roman" w:hAnsi="Times New Roman" w:eastAsia="方正仿宋_GBK" w:cs="Times New Roman"/>
          <w:sz w:val="32"/>
          <w:szCs w:val="32"/>
        </w:rPr>
        <w:t>办发〔202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rPr>
        <w:t>号</w:t>
      </w:r>
    </w:p>
    <w:bookmarkEnd w:id="0"/>
    <w:p>
      <w:pPr>
        <w:spacing w:line="570" w:lineRule="exact"/>
        <w:jc w:val="center"/>
        <w:rPr>
          <w:rFonts w:hint="default" w:ascii="Times New Roman" w:hAnsi="Times New Roman" w:cs="Times New Roman"/>
          <w:spacing w:val="0"/>
          <w:sz w:val="32"/>
          <w:szCs w:val="32"/>
        </w:rPr>
      </w:pPr>
      <w:bookmarkStart w:id="44" w:name="_GoBack"/>
      <w:r>
        <w:rPr>
          <w:rFonts w:ascii="Times New Roman" w:hAnsi="Times New Roman" w:eastAsia="方正小标宋_GBK" w:cs="黑体"/>
          <w:color w:val="000000"/>
          <w:kern w:val="2"/>
          <w:sz w:val="44"/>
          <w:szCs w:val="44"/>
          <w:lang w:val="en-US" w:eastAsia="zh-CN" w:bidi="ar-SA"/>
        </w:rPr>
        <w:pict>
          <v:line id="直线 33" o:spid="_x0000_s1031" style="position:absolute;left:0;margin-left:7.05pt;margin-top:-0.8pt;height:0.1pt;width:440pt;rotation:0f;z-index:251659264;" o:ole="f" fillcolor="#FFFFFF" filled="f" o:preferrelative="t" stroked="t" coordsize="21600,21600">
            <v:fill on="f" color2="#FFFFFF" focus="0%"/>
            <v:stroke weight="1.5pt" color="#FF0000" color2="#FFFFFF" miterlimit="2"/>
            <v:imagedata gain="65536f" blacklevel="0f" gamma="0"/>
            <o:lock v:ext="edit" position="f" selection="f" grouping="f" rotation="f" cropping="f" text="f" aspectratio="f"/>
          </v:line>
        </w:pict>
      </w:r>
      <w:bookmarkEnd w:id="44"/>
    </w:p>
    <w:p>
      <w:pPr>
        <w:widowControl/>
        <w:spacing w:line="560" w:lineRule="exact"/>
        <w:jc w:val="center"/>
        <w:rPr>
          <w:rFonts w:hint="default" w:ascii="Times New Roman" w:hAnsi="Times New Roman" w:eastAsia="方正小标宋_GBK" w:cs="Times New Roman"/>
          <w:spacing w:val="0"/>
          <w:sz w:val="44"/>
          <w:szCs w:val="44"/>
        </w:rPr>
      </w:pPr>
    </w:p>
    <w:p>
      <w:pPr>
        <w:widowControl w:val="0"/>
        <w:wordWrap/>
        <w:adjustRightInd/>
        <w:snapToGrid/>
        <w:spacing w:line="57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丰都县人民政府办公室</w:t>
      </w:r>
    </w:p>
    <w:p>
      <w:pPr>
        <w:widowControl w:val="0"/>
        <w:wordWrap/>
        <w:adjustRightInd/>
        <w:snapToGrid/>
        <w:spacing w:line="57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关于印发《</w:t>
      </w:r>
      <w:r>
        <w:rPr>
          <w:rFonts w:hint="default" w:ascii="Times New Roman" w:hAnsi="Times New Roman" w:eastAsia="方正小标宋_GBK" w:cs="Times New Roman"/>
          <w:sz w:val="44"/>
          <w:szCs w:val="44"/>
        </w:rPr>
        <w:t>丰都县电动汽车充电基础设施专项规划</w:t>
      </w:r>
      <w:r>
        <w:rPr>
          <w:rFonts w:hint="default" w:ascii="Times New Roman" w:hAnsi="Times New Roman" w:eastAsia="方正小标宋_GBK" w:cs="Times New Roman"/>
          <w:sz w:val="44"/>
          <w:szCs w:val="44"/>
          <w:lang w:eastAsia="zh-CN"/>
        </w:rPr>
        <w:t>（</w:t>
      </w:r>
      <w:r>
        <w:rPr>
          <w:rFonts w:hint="default" w:ascii="Times New Roman" w:hAnsi="Times New Roman" w:eastAsia="方正小标宋_GBK" w:cs="Times New Roman"/>
          <w:sz w:val="44"/>
          <w:szCs w:val="44"/>
        </w:rPr>
        <w:t>202</w:t>
      </w:r>
      <w:r>
        <w:rPr>
          <w:rFonts w:hint="default" w:ascii="Times New Roman" w:hAnsi="Times New Roman" w:eastAsia="方正小标宋_GBK" w:cs="Times New Roman"/>
          <w:sz w:val="44"/>
          <w:szCs w:val="44"/>
          <w:lang w:val="en-US" w:eastAsia="zh-CN"/>
        </w:rPr>
        <w:t>2</w:t>
      </w:r>
      <w:r>
        <w:rPr>
          <w:rFonts w:hint="default" w:ascii="Times New Roman" w:hAnsi="Times New Roman" w:eastAsia="方正小标宋_GBK" w:cs="Times New Roman"/>
          <w:sz w:val="44"/>
          <w:szCs w:val="44"/>
          <w:lang w:eastAsia="zh-CN"/>
        </w:rPr>
        <w:t>—</w:t>
      </w:r>
      <w:r>
        <w:rPr>
          <w:rFonts w:hint="default" w:ascii="Times New Roman" w:hAnsi="Times New Roman" w:eastAsia="方正小标宋_GBK" w:cs="Times New Roman"/>
          <w:sz w:val="44"/>
          <w:szCs w:val="44"/>
        </w:rPr>
        <w:t>2027年</w:t>
      </w:r>
      <w:r>
        <w:rPr>
          <w:rFonts w:hint="default" w:ascii="Times New Roman" w:hAnsi="Times New Roman" w:eastAsia="方正小标宋_GBK" w:cs="Times New Roman"/>
          <w:sz w:val="44"/>
          <w:szCs w:val="44"/>
          <w:lang w:eastAsia="zh-CN"/>
        </w:rPr>
        <w:t>）》的通知</w:t>
      </w:r>
    </w:p>
    <w:p>
      <w:pPr>
        <w:widowControl w:val="0"/>
        <w:wordWrap/>
        <w:adjustRightInd/>
        <w:snapToGrid/>
        <w:spacing w:line="570" w:lineRule="exact"/>
        <w:jc w:val="both"/>
        <w:textAlignment w:val="auto"/>
        <w:rPr>
          <w:rFonts w:hint="default" w:ascii="Times New Roman" w:hAnsi="Times New Roman" w:eastAsia="方正小标宋_GBK" w:cs="Times New Roman"/>
          <w:sz w:val="32"/>
          <w:szCs w:val="32"/>
          <w:lang w:val="zh-CN" w:eastAsia="zh-CN"/>
        </w:rPr>
      </w:pPr>
    </w:p>
    <w:p>
      <w:pPr>
        <w:widowControl w:val="0"/>
        <w:wordWrap/>
        <w:spacing w:line="570" w:lineRule="exac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zh-CN" w:eastAsia="zh-CN"/>
        </w:rPr>
        <w:t>各乡镇人民政府、街道办事处，县政府各部门，有关单位：</w:t>
      </w:r>
    </w:p>
    <w:p>
      <w:pPr>
        <w:widowControl w:val="0"/>
        <w:wordWrap/>
        <w:spacing w:line="57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《丰都县电动汽车充电基础设施专项规划（202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2027年）》已经中共丰都县委十五届常委会第89次会议、县第十九届人民政府第59次常务会议审定，现印发给你们，请认真贯彻执行。</w:t>
      </w:r>
    </w:p>
    <w:p>
      <w:pPr>
        <w:widowControl w:val="0"/>
        <w:wordWrap/>
        <w:adjustRightInd/>
        <w:snapToGrid/>
        <w:spacing w:line="240" w:lineRule="exact"/>
        <w:ind w:firstLine="4739" w:firstLineChars="1481"/>
        <w:jc w:val="both"/>
        <w:textAlignment w:val="auto"/>
        <w:rPr>
          <w:rFonts w:hint="default" w:ascii="Times New Roman" w:hAnsi="Times New Roman" w:eastAsia="方正仿宋_GBK" w:cs="Times New Roman"/>
          <w:kern w:val="2"/>
          <w:sz w:val="32"/>
          <w:szCs w:val="32"/>
          <w:lang w:val="en-US" w:eastAsia="zh-CN" w:bidi="ar-SA"/>
        </w:rPr>
      </w:pPr>
    </w:p>
    <w:p>
      <w:pPr>
        <w:pStyle w:val="2"/>
        <w:widowControl w:val="0"/>
        <w:wordWrap/>
        <w:adjustRightInd/>
        <w:snapToGrid/>
        <w:spacing w:line="240" w:lineRule="exact"/>
        <w:textAlignment w:val="auto"/>
        <w:rPr>
          <w:rFonts w:hint="default" w:ascii="Times New Roman" w:hAnsi="Times New Roman" w:eastAsia="方正仿宋_GBK" w:cs="Times New Roman"/>
          <w:kern w:val="2"/>
          <w:sz w:val="32"/>
          <w:szCs w:val="32"/>
          <w:lang w:val="en-US" w:eastAsia="zh-CN" w:bidi="ar-SA"/>
        </w:rPr>
      </w:pPr>
    </w:p>
    <w:p>
      <w:pPr>
        <w:pStyle w:val="3"/>
        <w:widowControl w:val="0"/>
        <w:wordWrap/>
        <w:adjustRightInd/>
        <w:snapToGrid/>
        <w:spacing w:before="0" w:after="0" w:line="240" w:lineRule="exact"/>
        <w:textAlignment w:val="auto"/>
        <w:rPr>
          <w:rFonts w:hint="default"/>
          <w:lang w:val="en-US" w:eastAsia="zh-CN"/>
        </w:rPr>
      </w:pPr>
    </w:p>
    <w:p>
      <w:pPr>
        <w:widowControl w:val="0"/>
        <w:wordWrap/>
        <w:spacing w:line="570" w:lineRule="exact"/>
        <w:ind w:firstLine="4800" w:firstLineChars="15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丰都县人民政府办公室</w:t>
      </w:r>
    </w:p>
    <w:p>
      <w:pPr>
        <w:adjustRightInd w:val="0"/>
        <w:snapToGrid w:val="0"/>
        <w:spacing w:line="540" w:lineRule="exact"/>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kern w:val="2"/>
          <w:sz w:val="32"/>
          <w:szCs w:val="32"/>
          <w:lang w:val="en-US" w:eastAsia="zh-CN" w:bidi="ar-SA"/>
        </w:rPr>
        <w:t xml:space="preserve">             </w:t>
      </w:r>
      <w:r>
        <w:rPr>
          <w:rFonts w:hint="eastAsia" w:ascii="Times New Roman" w:hAnsi="Times New Roman" w:eastAsia="方正仿宋_GBK" w:cs="Times New Roman"/>
          <w:kern w:val="2"/>
          <w:sz w:val="32"/>
          <w:szCs w:val="32"/>
          <w:lang w:val="en-US" w:eastAsia="zh-CN" w:bidi="ar-SA"/>
        </w:rPr>
        <w:t xml:space="preserve">  </w:t>
      </w:r>
      <w:r>
        <w:rPr>
          <w:rFonts w:hint="default" w:ascii="Times New Roman" w:hAnsi="Times New Roman" w:eastAsia="方正仿宋_GBK" w:cs="Times New Roman"/>
          <w:kern w:val="2"/>
          <w:sz w:val="32"/>
          <w:szCs w:val="32"/>
          <w:lang w:val="en-US" w:eastAsia="zh-CN" w:bidi="ar-SA"/>
        </w:rPr>
        <w:t xml:space="preserve">                 2024年</w:t>
      </w:r>
      <w:r>
        <w:rPr>
          <w:rFonts w:hint="eastAsia" w:ascii="Times New Roman" w:hAnsi="Times New Roman" w:eastAsia="方正仿宋_GBK" w:cs="Times New Roman"/>
          <w:kern w:val="2"/>
          <w:sz w:val="32"/>
          <w:szCs w:val="32"/>
          <w:lang w:val="en-US" w:eastAsia="zh-CN" w:bidi="ar-SA"/>
        </w:rPr>
        <w:t>3</w:t>
      </w:r>
      <w:r>
        <w:rPr>
          <w:rFonts w:hint="default" w:ascii="Times New Roman" w:hAnsi="Times New Roman" w:eastAsia="方正仿宋_GBK" w:cs="Times New Roman"/>
          <w:kern w:val="2"/>
          <w:sz w:val="32"/>
          <w:szCs w:val="32"/>
          <w:lang w:val="en-US" w:eastAsia="zh-CN" w:bidi="ar-SA"/>
        </w:rPr>
        <w:t>月</w:t>
      </w:r>
      <w:r>
        <w:rPr>
          <w:rFonts w:hint="eastAsia" w:ascii="Times New Roman" w:hAnsi="Times New Roman" w:eastAsia="方正仿宋_GBK" w:cs="Times New Roman"/>
          <w:kern w:val="2"/>
          <w:sz w:val="32"/>
          <w:szCs w:val="32"/>
          <w:lang w:val="en-US" w:eastAsia="zh-CN" w:bidi="ar-SA"/>
        </w:rPr>
        <w:t>26</w:t>
      </w:r>
      <w:r>
        <w:rPr>
          <w:rFonts w:hint="default" w:ascii="Times New Roman" w:hAnsi="Times New Roman" w:eastAsia="方正仿宋_GBK" w:cs="Times New Roman"/>
          <w:kern w:val="2"/>
          <w:sz w:val="32"/>
          <w:szCs w:val="32"/>
          <w:lang w:val="en-US" w:eastAsia="zh-CN" w:bidi="ar-SA"/>
        </w:rPr>
        <w:t xml:space="preserve">日 </w:t>
      </w:r>
      <w:r>
        <w:rPr>
          <w:rFonts w:hint="eastAsia" w:ascii="Times New Roman" w:hAnsi="Times New Roman" w:eastAsia="方正仿宋_GBK" w:cs="Times New Roman"/>
          <w:kern w:val="2"/>
          <w:sz w:val="32"/>
          <w:szCs w:val="32"/>
          <w:lang w:val="en-US" w:eastAsia="zh-CN" w:bidi="ar-SA"/>
        </w:rPr>
        <w:t xml:space="preserve">       </w:t>
      </w:r>
    </w:p>
    <w:p>
      <w:pPr>
        <w:adjustRightInd w:val="0"/>
        <w:snapToGrid w:val="0"/>
        <w:spacing w:line="54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w:t>
      </w:r>
      <w:r>
        <w:rPr>
          <w:rFonts w:hint="default" w:ascii="Times New Roman" w:hAnsi="Times New Roman" w:eastAsia="方正仿宋_GBK" w:cs="Times New Roman"/>
          <w:sz w:val="32"/>
          <w:szCs w:val="32"/>
          <w:lang w:eastAsia="zh-CN"/>
        </w:rPr>
        <w:t>发布</w:t>
      </w:r>
      <w:r>
        <w:rPr>
          <w:rFonts w:hint="default" w:ascii="Times New Roman" w:hAnsi="Times New Roman" w:eastAsia="方正仿宋_GBK" w:cs="Times New Roman"/>
          <w:sz w:val="32"/>
          <w:szCs w:val="32"/>
        </w:rPr>
        <w:t>）</w:t>
      </w:r>
    </w:p>
    <w:p>
      <w:pPr>
        <w:pStyle w:val="2"/>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3"/>
        <w:widowControl w:val="0"/>
        <w:wordWrap/>
        <w:adjustRightInd/>
        <w:snapToGrid/>
        <w:spacing w:before="0" w:after="0" w:line="700" w:lineRule="exact"/>
        <w:textAlignment w:val="auto"/>
        <w:rPr>
          <w:rFonts w:hint="default"/>
        </w:rPr>
      </w:pPr>
    </w:p>
    <w:p>
      <w:pPr>
        <w:widowControl w:val="0"/>
        <w:pBdr>
          <w:top w:val="single" w:color="auto" w:sz="4" w:space="1"/>
          <w:left w:val="none" w:color="auto" w:sz="0" w:space="4"/>
          <w:bottom w:val="single" w:color="auto" w:sz="4" w:space="1"/>
          <w:right w:val="none" w:color="auto" w:sz="0" w:space="4"/>
        </w:pBdr>
        <w:wordWrap/>
        <w:adjustRightInd/>
        <w:snapToGrid/>
        <w:spacing w:line="480" w:lineRule="exact"/>
        <w:jc w:val="both"/>
        <w:textAlignment w:val="auto"/>
        <w:rPr>
          <w:rFonts w:hint="default"/>
          <w:lang w:val="en-US" w:eastAsia="zh-CN"/>
        </w:rPr>
      </w:pPr>
      <w:r>
        <w:rPr>
          <w:rFonts w:hint="default" w:ascii="Times New Roman" w:hAnsi="Times New Roman" w:eastAsia="方正仿宋_GBK" w:cs="Times New Roman"/>
          <w:color w:val="000000"/>
          <w:spacing w:val="0"/>
          <w:sz w:val="28"/>
          <w:szCs w:val="28"/>
          <w:shd w:val="clear" w:color="auto" w:fill="auto"/>
          <w:lang/>
        </w:rPr>
        <w:t xml:space="preserve">  丰都县人民政府办公室   </w:t>
      </w:r>
      <w:r>
        <w:rPr>
          <w:rFonts w:hint="eastAsia" w:ascii="Times New Roman" w:hAnsi="Times New Roman" w:eastAsia="方正仿宋_GBK" w:cs="Times New Roman"/>
          <w:color w:val="000000"/>
          <w:spacing w:val="0"/>
          <w:sz w:val="28"/>
          <w:szCs w:val="28"/>
          <w:shd w:val="clear" w:color="auto" w:fill="auto"/>
          <w:lang w:val="en-US" w:eastAsia="zh-CN"/>
        </w:rPr>
        <w:t xml:space="preserve"> </w:t>
      </w:r>
      <w:r>
        <w:rPr>
          <w:rFonts w:hint="default" w:ascii="Times New Roman" w:hAnsi="Times New Roman" w:eastAsia="方正仿宋_GBK" w:cs="Times New Roman"/>
          <w:color w:val="000000"/>
          <w:spacing w:val="0"/>
          <w:sz w:val="28"/>
          <w:szCs w:val="28"/>
          <w:shd w:val="clear" w:color="auto" w:fill="auto"/>
          <w:lang w:val="en-US" w:eastAsia="zh-CN"/>
        </w:rPr>
        <w:t xml:space="preserve">  </w:t>
      </w:r>
      <w:r>
        <w:rPr>
          <w:rFonts w:hint="default" w:ascii="Times New Roman" w:hAnsi="Times New Roman" w:eastAsia="方正仿宋_GBK" w:cs="Times New Roman"/>
          <w:color w:val="000000"/>
          <w:spacing w:val="0"/>
          <w:sz w:val="28"/>
          <w:szCs w:val="28"/>
          <w:shd w:val="clear" w:color="auto" w:fill="auto"/>
          <w:lang/>
        </w:rPr>
        <w:t xml:space="preserve">       </w:t>
      </w:r>
      <w:r>
        <w:rPr>
          <w:rFonts w:hint="default" w:ascii="Times New Roman" w:hAnsi="Times New Roman" w:eastAsia="方正仿宋_GBK" w:cs="Times New Roman"/>
          <w:color w:val="000000"/>
          <w:spacing w:val="0"/>
          <w:sz w:val="28"/>
          <w:szCs w:val="28"/>
          <w:shd w:val="clear" w:color="auto" w:fill="auto"/>
          <w:lang w:val="en-US" w:eastAsia="zh-CN"/>
        </w:rPr>
        <w:t xml:space="preserve"> </w:t>
      </w:r>
      <w:r>
        <w:rPr>
          <w:rFonts w:hint="default" w:ascii="Times New Roman" w:hAnsi="Times New Roman" w:eastAsia="方正仿宋_GBK" w:cs="Times New Roman"/>
          <w:color w:val="000000"/>
          <w:spacing w:val="0"/>
          <w:sz w:val="28"/>
          <w:szCs w:val="28"/>
          <w:shd w:val="clear" w:color="auto" w:fill="auto"/>
          <w:lang/>
        </w:rPr>
        <w:t xml:space="preserve"> </w:t>
      </w:r>
      <w:r>
        <w:rPr>
          <w:rFonts w:hint="default" w:ascii="Times New Roman" w:hAnsi="Times New Roman" w:eastAsia="方正仿宋_GBK" w:cs="Times New Roman"/>
          <w:color w:val="000000"/>
          <w:spacing w:val="0"/>
          <w:sz w:val="28"/>
          <w:szCs w:val="28"/>
          <w:shd w:val="clear" w:color="auto" w:fill="auto"/>
          <w:lang w:val="en-US" w:eastAsia="zh-CN"/>
        </w:rPr>
        <w:t xml:space="preserve"> </w:t>
      </w:r>
      <w:r>
        <w:rPr>
          <w:rFonts w:hint="default" w:ascii="Times New Roman" w:hAnsi="Times New Roman" w:eastAsia="方正仿宋_GBK" w:cs="Times New Roman"/>
          <w:color w:val="000000"/>
          <w:spacing w:val="0"/>
          <w:sz w:val="28"/>
          <w:szCs w:val="28"/>
          <w:shd w:val="clear" w:color="auto" w:fill="auto"/>
          <w:lang w:val="en-US"/>
        </w:rPr>
        <w:t xml:space="preserve"> </w:t>
      </w:r>
      <w:r>
        <w:rPr>
          <w:rFonts w:hint="default" w:ascii="Times New Roman" w:hAnsi="Times New Roman" w:eastAsia="方正仿宋_GBK" w:cs="Times New Roman"/>
          <w:color w:val="000000"/>
          <w:spacing w:val="0"/>
          <w:sz w:val="28"/>
          <w:szCs w:val="28"/>
          <w:shd w:val="clear" w:color="auto" w:fill="auto"/>
          <w:lang/>
        </w:rPr>
        <w:t xml:space="preserve"> </w:t>
      </w:r>
      <w:r>
        <w:rPr>
          <w:rFonts w:hint="default" w:ascii="Times New Roman" w:hAnsi="Times New Roman" w:eastAsia="方正仿宋_GBK" w:cs="Times New Roman"/>
          <w:color w:val="000000"/>
          <w:spacing w:val="0"/>
          <w:sz w:val="28"/>
          <w:szCs w:val="28"/>
          <w:shd w:val="clear" w:color="auto" w:fill="auto"/>
          <w:lang w:val="en-US"/>
        </w:rPr>
        <w:t xml:space="preserve"> </w:t>
      </w:r>
      <w:r>
        <w:rPr>
          <w:rFonts w:hint="default" w:ascii="Times New Roman" w:hAnsi="Times New Roman" w:eastAsia="方正仿宋_GBK" w:cs="Times New Roman"/>
          <w:color w:val="000000"/>
          <w:spacing w:val="0"/>
          <w:sz w:val="28"/>
          <w:szCs w:val="28"/>
          <w:shd w:val="clear" w:color="auto" w:fill="auto"/>
          <w:lang/>
        </w:rPr>
        <w:t xml:space="preserve"> 20</w:t>
      </w:r>
      <w:r>
        <w:rPr>
          <w:rFonts w:hint="default" w:ascii="Times New Roman" w:hAnsi="Times New Roman" w:eastAsia="方正仿宋_GBK" w:cs="Times New Roman"/>
          <w:color w:val="000000"/>
          <w:spacing w:val="0"/>
          <w:sz w:val="28"/>
          <w:szCs w:val="28"/>
          <w:shd w:val="clear" w:color="auto" w:fill="auto"/>
          <w:lang w:val="en-US"/>
        </w:rPr>
        <w:t>2</w:t>
      </w:r>
      <w:r>
        <w:rPr>
          <w:rFonts w:hint="eastAsia" w:ascii="Times New Roman" w:hAnsi="Times New Roman" w:eastAsia="方正仿宋_GBK" w:cs="Times New Roman"/>
          <w:color w:val="000000"/>
          <w:spacing w:val="0"/>
          <w:sz w:val="28"/>
          <w:szCs w:val="28"/>
          <w:shd w:val="clear" w:color="auto" w:fill="auto"/>
          <w:lang w:val="en-US" w:eastAsia="zh-CN"/>
        </w:rPr>
        <w:t>4</w:t>
      </w:r>
      <w:r>
        <w:rPr>
          <w:rFonts w:hint="default" w:ascii="Times New Roman" w:hAnsi="Times New Roman" w:eastAsia="方正仿宋_GBK" w:cs="Times New Roman"/>
          <w:color w:val="000000"/>
          <w:spacing w:val="0"/>
          <w:sz w:val="28"/>
          <w:szCs w:val="28"/>
          <w:shd w:val="clear" w:color="auto" w:fill="auto"/>
          <w:lang/>
        </w:rPr>
        <w:t>年</w:t>
      </w:r>
      <w:r>
        <w:rPr>
          <w:rFonts w:hint="eastAsia" w:ascii="Times New Roman" w:hAnsi="Times New Roman" w:eastAsia="方正仿宋_GBK" w:cs="Times New Roman"/>
          <w:color w:val="000000"/>
          <w:spacing w:val="0"/>
          <w:sz w:val="28"/>
          <w:szCs w:val="28"/>
          <w:shd w:val="clear" w:color="auto" w:fill="auto"/>
          <w:lang w:val="en-US" w:eastAsia="zh-CN"/>
        </w:rPr>
        <w:t>3</w:t>
      </w:r>
      <w:r>
        <w:rPr>
          <w:rFonts w:hint="default" w:ascii="Times New Roman" w:hAnsi="Times New Roman" w:eastAsia="方正仿宋_GBK" w:cs="Times New Roman"/>
          <w:color w:val="000000"/>
          <w:spacing w:val="0"/>
          <w:sz w:val="28"/>
          <w:szCs w:val="28"/>
          <w:shd w:val="clear" w:color="auto" w:fill="auto"/>
          <w:lang/>
        </w:rPr>
        <w:t>月</w:t>
      </w:r>
      <w:r>
        <w:rPr>
          <w:rFonts w:hint="eastAsia" w:ascii="Times New Roman" w:hAnsi="Times New Roman" w:eastAsia="方正仿宋_GBK" w:cs="Times New Roman"/>
          <w:color w:val="000000"/>
          <w:spacing w:val="0"/>
          <w:sz w:val="28"/>
          <w:szCs w:val="28"/>
          <w:shd w:val="clear" w:color="auto" w:fill="auto"/>
          <w:lang w:val="en-US" w:eastAsia="zh-CN"/>
        </w:rPr>
        <w:t>26</w:t>
      </w:r>
      <w:r>
        <w:rPr>
          <w:rFonts w:hint="default" w:ascii="Times New Roman" w:hAnsi="Times New Roman" w:eastAsia="方正仿宋_GBK" w:cs="Times New Roman"/>
          <w:color w:val="000000"/>
          <w:spacing w:val="0"/>
          <w:sz w:val="28"/>
          <w:szCs w:val="28"/>
          <w:shd w:val="clear" w:color="auto" w:fill="auto"/>
          <w:lang/>
        </w:rPr>
        <w:t xml:space="preserve">日印发  </w:t>
      </w:r>
    </w:p>
    <w:p>
      <w:pPr>
        <w:jc w:val="center"/>
        <w:rPr>
          <w:rFonts w:hint="default" w:ascii="Times New Roman" w:hAnsi="Times New Roman" w:cs="Times New Roman"/>
          <w:b/>
          <w:sz w:val="52"/>
          <w:szCs w:val="36"/>
        </w:rPr>
        <w:sectPr>
          <w:footerReference r:id="rId4" w:type="default"/>
          <w:footerReference r:id="rId5" w:type="even"/>
          <w:pgSz w:w="11906" w:h="16838"/>
          <w:pgMar w:top="2098" w:right="1531" w:bottom="1984" w:left="1531" w:header="851" w:footer="1417" w:gutter="0"/>
          <w:pgNumType w:fmt="decimal" w:start="1"/>
          <w:cols w:space="720" w:num="1"/>
          <w:rtlGutter w:val="0"/>
          <w:docGrid w:type="lines" w:linePitch="312" w:charSpace="0"/>
        </w:sectPr>
      </w:pPr>
    </w:p>
    <w:p>
      <w:pPr>
        <w:pStyle w:val="2"/>
        <w:rPr>
          <w:rFonts w:hint="default"/>
        </w:rPr>
      </w:pPr>
    </w:p>
    <w:p>
      <w:pPr>
        <w:jc w:val="center"/>
        <w:rPr>
          <w:rFonts w:hint="default" w:ascii="Times New Roman" w:hAnsi="Times New Roman" w:cs="Times New Roman"/>
          <w:b/>
          <w:sz w:val="52"/>
          <w:szCs w:val="36"/>
        </w:rPr>
      </w:pPr>
    </w:p>
    <w:p>
      <w:pPr>
        <w:jc w:val="center"/>
        <w:rPr>
          <w:rFonts w:hint="default" w:ascii="Times New Roman" w:hAnsi="Times New Roman" w:cs="Times New Roman"/>
          <w:b/>
          <w:sz w:val="52"/>
          <w:szCs w:val="36"/>
        </w:rPr>
      </w:pPr>
    </w:p>
    <w:p>
      <w:pPr>
        <w:jc w:val="center"/>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rPr>
        <w:t>丰都县电动汽车充电基础设施专项规划</w:t>
      </w:r>
    </w:p>
    <w:p>
      <w:pPr>
        <w:jc w:val="center"/>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rPr>
        <w:t>（202</w:t>
      </w:r>
      <w:r>
        <w:rPr>
          <w:rFonts w:hint="default" w:ascii="Times New Roman" w:hAnsi="Times New Roman" w:eastAsia="方正小标宋_GBK" w:cs="Times New Roman"/>
          <w:b w:val="0"/>
          <w:bCs/>
          <w:sz w:val="44"/>
          <w:szCs w:val="44"/>
          <w:lang w:val="en-US" w:eastAsia="zh-CN"/>
        </w:rPr>
        <w:t>2</w:t>
      </w:r>
      <w:r>
        <w:rPr>
          <w:rFonts w:hint="default" w:ascii="Times New Roman" w:hAnsi="Times New Roman" w:eastAsia="方正小标宋_GBK" w:cs="Times New Roman"/>
          <w:b w:val="0"/>
          <w:bCs/>
          <w:sz w:val="44"/>
          <w:szCs w:val="44"/>
          <w:lang w:eastAsia="zh-CN"/>
        </w:rPr>
        <w:t>—</w:t>
      </w:r>
      <w:r>
        <w:rPr>
          <w:rFonts w:hint="default" w:ascii="Times New Roman" w:hAnsi="Times New Roman" w:eastAsia="方正小标宋_GBK" w:cs="Times New Roman"/>
          <w:b w:val="0"/>
          <w:bCs/>
          <w:sz w:val="44"/>
          <w:szCs w:val="44"/>
        </w:rPr>
        <w:t>2027年）</w:t>
      </w:r>
    </w:p>
    <w:p>
      <w:pPr>
        <w:jc w:val="center"/>
        <w:rPr>
          <w:rFonts w:hint="default" w:ascii="Times New Roman" w:hAnsi="Times New Roman" w:cs="Times New Roman"/>
          <w:b/>
          <w:sz w:val="36"/>
          <w:szCs w:val="36"/>
        </w:rPr>
      </w:pPr>
    </w:p>
    <w:p>
      <w:pPr>
        <w:jc w:val="center"/>
        <w:rPr>
          <w:rFonts w:hint="default" w:ascii="Times New Roman" w:hAnsi="Times New Roman" w:cs="Times New Roman"/>
          <w:b/>
          <w:sz w:val="36"/>
          <w:szCs w:val="36"/>
        </w:rPr>
      </w:pPr>
    </w:p>
    <w:p>
      <w:pPr>
        <w:jc w:val="center"/>
        <w:rPr>
          <w:rFonts w:hint="default" w:ascii="Times New Roman" w:hAnsi="Times New Roman" w:cs="Times New Roman"/>
          <w:b/>
          <w:sz w:val="36"/>
          <w:szCs w:val="36"/>
        </w:rPr>
      </w:pPr>
    </w:p>
    <w:p>
      <w:pPr>
        <w:jc w:val="center"/>
        <w:rPr>
          <w:rFonts w:hint="default" w:ascii="Times New Roman" w:hAnsi="Times New Roman" w:cs="Times New Roman"/>
          <w:b/>
          <w:sz w:val="36"/>
          <w:szCs w:val="36"/>
        </w:rPr>
      </w:pPr>
    </w:p>
    <w:p>
      <w:pPr>
        <w:jc w:val="both"/>
        <w:rPr>
          <w:rFonts w:hint="default" w:ascii="Times New Roman" w:hAnsi="Times New Roman" w:cs="Times New Roman"/>
          <w:b/>
          <w:sz w:val="36"/>
          <w:szCs w:val="36"/>
        </w:rPr>
      </w:pPr>
    </w:p>
    <w:p>
      <w:pPr>
        <w:jc w:val="center"/>
        <w:rPr>
          <w:rFonts w:hint="default" w:ascii="Times New Roman" w:hAnsi="Times New Roman" w:eastAsia="方正仿宋_GBK" w:cs="Times New Roman"/>
          <w:b/>
          <w:sz w:val="32"/>
          <w:szCs w:val="32"/>
        </w:rPr>
      </w:pPr>
    </w:p>
    <w:p>
      <w:pPr>
        <w:jc w:val="center"/>
        <w:rPr>
          <w:rFonts w:hint="default" w:ascii="Times New Roman" w:hAnsi="Times New Roman" w:eastAsia="方正仿宋_GBK" w:cs="Times New Roman"/>
          <w:b/>
          <w:sz w:val="32"/>
          <w:szCs w:val="32"/>
        </w:rPr>
      </w:pPr>
    </w:p>
    <w:p>
      <w:pPr>
        <w:jc w:val="center"/>
        <w:rPr>
          <w:rFonts w:hint="default" w:ascii="Times New Roman" w:hAnsi="Times New Roman" w:eastAsia="方正仿宋_GBK" w:cs="Times New Roman"/>
          <w:b/>
          <w:sz w:val="32"/>
          <w:szCs w:val="32"/>
        </w:rPr>
      </w:pPr>
    </w:p>
    <w:p>
      <w:pPr>
        <w:jc w:val="center"/>
        <w:rPr>
          <w:rFonts w:hint="default" w:ascii="Times New Roman" w:hAnsi="Times New Roman" w:eastAsia="方正仿宋_GBK" w:cs="Times New Roman"/>
          <w:b/>
          <w:sz w:val="32"/>
          <w:szCs w:val="32"/>
        </w:rPr>
      </w:pPr>
    </w:p>
    <w:p>
      <w:pPr>
        <w:jc w:val="center"/>
        <w:rPr>
          <w:rFonts w:hint="default" w:ascii="Times New Roman" w:hAnsi="Times New Roman" w:eastAsia="方正仿宋_GBK" w:cs="Times New Roman"/>
          <w:b/>
          <w:sz w:val="32"/>
          <w:szCs w:val="32"/>
        </w:rPr>
      </w:pPr>
    </w:p>
    <w:p>
      <w:pPr>
        <w:spacing w:line="360" w:lineRule="auto"/>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lang w:eastAsia="zh-CN"/>
        </w:rPr>
        <w:t>二〇二四年</w:t>
      </w:r>
      <w:r>
        <w:rPr>
          <w:rFonts w:hint="eastAsia" w:ascii="Times New Roman" w:hAnsi="Times New Roman" w:eastAsia="方正仿宋_GBK" w:cs="Times New Roman"/>
          <w:b/>
          <w:sz w:val="32"/>
          <w:szCs w:val="32"/>
          <w:lang w:eastAsia="zh-CN"/>
        </w:rPr>
        <w:t>三</w:t>
      </w:r>
      <w:r>
        <w:rPr>
          <w:rFonts w:hint="default" w:ascii="Times New Roman" w:hAnsi="Times New Roman" w:eastAsia="方正仿宋_GBK" w:cs="Times New Roman"/>
          <w:b/>
          <w:sz w:val="32"/>
          <w:szCs w:val="32"/>
        </w:rPr>
        <w:t>月</w:t>
      </w:r>
    </w:p>
    <w:p>
      <w:pPr>
        <w:pStyle w:val="15"/>
        <w:tabs>
          <w:tab w:val="left" w:pos="1050"/>
        </w:tabs>
        <w:jc w:val="center"/>
        <w:rPr>
          <w:rFonts w:hint="default" w:ascii="Times New Roman" w:hAnsi="Times New Roman" w:eastAsia="方正小标宋_GBK" w:cs="Times New Roman"/>
          <w:b w:val="0"/>
          <w:bCs/>
          <w:sz w:val="44"/>
          <w:szCs w:val="44"/>
        </w:rPr>
      </w:pPr>
    </w:p>
    <w:p>
      <w:pPr>
        <w:pStyle w:val="15"/>
        <w:tabs>
          <w:tab w:val="left" w:pos="1050"/>
        </w:tabs>
        <w:jc w:val="center"/>
        <w:rPr>
          <w:rFonts w:hint="default" w:ascii="Times New Roman" w:hAnsi="Times New Roman" w:eastAsia="方正小标宋_GBK" w:cs="Times New Roman"/>
          <w:b w:val="0"/>
          <w:bCs/>
          <w:sz w:val="44"/>
          <w:szCs w:val="44"/>
        </w:rPr>
      </w:pPr>
    </w:p>
    <w:p>
      <w:pPr>
        <w:pStyle w:val="15"/>
        <w:tabs>
          <w:tab w:val="left" w:pos="1050"/>
        </w:tabs>
        <w:jc w:val="center"/>
        <w:rPr>
          <w:rFonts w:hint="default" w:ascii="Times New Roman" w:hAnsi="Times New Roman" w:eastAsia="方正小标宋_GBK" w:cs="Times New Roman"/>
          <w:b w:val="0"/>
          <w:bCs/>
          <w:sz w:val="44"/>
          <w:szCs w:val="44"/>
        </w:rPr>
        <w:sectPr>
          <w:footerReference r:id="rId6" w:type="default"/>
          <w:footerReference r:id="rId7" w:type="even"/>
          <w:pgSz w:w="11906" w:h="16838"/>
          <w:pgMar w:top="2098" w:right="1531" w:bottom="1984" w:left="1531" w:header="851" w:footer="1417" w:gutter="0"/>
          <w:pgNumType w:fmt="decimal" w:start="1"/>
          <w:cols w:space="720" w:num="1"/>
          <w:rtlGutter w:val="0"/>
          <w:docGrid w:type="lines" w:linePitch="312" w:charSpace="0"/>
        </w:sectPr>
      </w:pPr>
    </w:p>
    <w:p>
      <w:pPr>
        <w:pStyle w:val="15"/>
        <w:tabs>
          <w:tab w:val="left" w:pos="1050"/>
        </w:tabs>
        <w:jc w:val="center"/>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rPr>
        <w:t>目  录</w:t>
      </w:r>
    </w:p>
    <w:p>
      <w:pPr>
        <w:pStyle w:val="9"/>
        <w:widowControl w:val="0"/>
        <w:tabs>
          <w:tab w:val="right" w:leader="dot" w:pos="8844"/>
        </w:tabs>
        <w:wordWrap/>
        <w:adjustRightInd/>
        <w:snapToGrid/>
        <w:spacing w:line="600" w:lineRule="exact"/>
        <w:textAlignment w:val="auto"/>
        <w:rPr>
          <w:rFonts w:hint="default" w:ascii="Times New Roman" w:hAnsi="Times New Roman" w:eastAsia="方正仿宋_GBK" w:cs="Times New Roman"/>
        </w:rPr>
      </w:pPr>
      <w:r>
        <w:rPr>
          <w:rStyle w:val="13"/>
          <w:rFonts w:hint="default" w:ascii="Times New Roman" w:hAnsi="Times New Roman" w:cs="Times New Roman"/>
        </w:rPr>
        <w:fldChar w:fldCharType="begin"/>
      </w:r>
      <w:r>
        <w:rPr>
          <w:rStyle w:val="13"/>
          <w:rFonts w:hint="default" w:ascii="Times New Roman" w:hAnsi="Times New Roman" w:cs="Times New Roman"/>
        </w:rPr>
        <w:instrText xml:space="preserve"> TOC \o "1-3" \h \z \u </w:instrText>
      </w:r>
      <w:r>
        <w:rPr>
          <w:rStyle w:val="13"/>
          <w:rFonts w:hint="default" w:ascii="Times New Roman" w:hAnsi="Times New Roman" w:cs="Times New Roman"/>
        </w:rPr>
        <w:fldChar w:fldCharType="separate"/>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_Toc26097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szCs w:val="44"/>
        </w:rPr>
        <w:t>第一章 规划背景</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_Toc26097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fldChar w:fldCharType="end"/>
      </w:r>
    </w:p>
    <w:p>
      <w:pPr>
        <w:pStyle w:val="10"/>
        <w:widowControl w:val="0"/>
        <w:tabs>
          <w:tab w:val="right" w:leader="dot" w:pos="8844"/>
        </w:tabs>
        <w:wordWrap/>
        <w:adjustRightInd/>
        <w:snapToGrid/>
        <w:spacing w:line="60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_Toc6866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val="0"/>
          <w:szCs w:val="32"/>
          <w:lang w:val="zh-CN" w:eastAsia="zh-CN"/>
        </w:rPr>
        <w:t>1.1 国家对新能源汽车发展的整体要求</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_Toc6866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fldChar w:fldCharType="end"/>
      </w:r>
    </w:p>
    <w:p>
      <w:pPr>
        <w:pStyle w:val="10"/>
        <w:widowControl w:val="0"/>
        <w:tabs>
          <w:tab w:val="right" w:leader="dot" w:pos="8844"/>
        </w:tabs>
        <w:wordWrap/>
        <w:adjustRightInd/>
        <w:snapToGrid/>
        <w:spacing w:line="60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_Toc16783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val="0"/>
          <w:szCs w:val="32"/>
          <w:lang w:val="zh-CN" w:eastAsia="zh-CN"/>
        </w:rPr>
        <w:t>1.2 重庆市落实试点工作要求的具体部署</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_Toc16783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5</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fldChar w:fldCharType="end"/>
      </w:r>
    </w:p>
    <w:p>
      <w:pPr>
        <w:pStyle w:val="10"/>
        <w:widowControl w:val="0"/>
        <w:tabs>
          <w:tab w:val="right" w:leader="dot" w:pos="8844"/>
        </w:tabs>
        <w:wordWrap/>
        <w:adjustRightInd/>
        <w:snapToGrid/>
        <w:spacing w:line="60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_Toc17324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val="0"/>
          <w:szCs w:val="32"/>
          <w:lang w:val="zh-CN" w:eastAsia="zh-CN"/>
        </w:rPr>
        <w:t>1.3 丰都县电动汽车充电基础设施建设</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_Toc17324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6</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fldChar w:fldCharType="end"/>
      </w:r>
    </w:p>
    <w:p>
      <w:pPr>
        <w:pStyle w:val="9"/>
        <w:widowControl w:val="0"/>
        <w:tabs>
          <w:tab w:val="right" w:leader="dot" w:pos="8844"/>
        </w:tabs>
        <w:wordWrap/>
        <w:adjustRightInd/>
        <w:snapToGrid/>
        <w:spacing w:line="60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_Toc18186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szCs w:val="44"/>
        </w:rPr>
        <w:t>第二章 丰都县电动汽车充电设施发展</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_Toc18186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6</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fldChar w:fldCharType="end"/>
      </w:r>
    </w:p>
    <w:p>
      <w:pPr>
        <w:pStyle w:val="10"/>
        <w:widowControl w:val="0"/>
        <w:tabs>
          <w:tab w:val="right" w:leader="dot" w:pos="8844"/>
        </w:tabs>
        <w:wordWrap/>
        <w:adjustRightInd/>
        <w:snapToGrid/>
        <w:spacing w:line="60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_Toc6590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val="0"/>
          <w:szCs w:val="32"/>
          <w:lang w:val="zh-CN" w:eastAsia="zh-CN"/>
        </w:rPr>
        <w:t>2.1发展现状</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_Toc6590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6</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fldChar w:fldCharType="end"/>
      </w:r>
    </w:p>
    <w:p>
      <w:pPr>
        <w:pStyle w:val="10"/>
        <w:widowControl w:val="0"/>
        <w:tabs>
          <w:tab w:val="right" w:leader="dot" w:pos="8844"/>
        </w:tabs>
        <w:wordWrap/>
        <w:adjustRightInd/>
        <w:snapToGrid/>
        <w:spacing w:line="60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_Toc23911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val="0"/>
          <w:szCs w:val="32"/>
          <w:lang w:val="zh-CN" w:eastAsia="zh-CN"/>
        </w:rPr>
        <w:t>2.2发展趋势分析</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_Toc23911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7</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fldChar w:fldCharType="end"/>
      </w:r>
    </w:p>
    <w:p>
      <w:pPr>
        <w:pStyle w:val="9"/>
        <w:widowControl w:val="0"/>
        <w:tabs>
          <w:tab w:val="right" w:leader="dot" w:pos="8844"/>
        </w:tabs>
        <w:wordWrap/>
        <w:adjustRightInd/>
        <w:snapToGrid/>
        <w:spacing w:line="60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_Toc10385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szCs w:val="44"/>
        </w:rPr>
        <w:t>第三章 需求预测</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_Toc10385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7</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fldChar w:fldCharType="end"/>
      </w:r>
    </w:p>
    <w:p>
      <w:pPr>
        <w:pStyle w:val="10"/>
        <w:widowControl w:val="0"/>
        <w:tabs>
          <w:tab w:val="right" w:leader="dot" w:pos="8844"/>
        </w:tabs>
        <w:wordWrap/>
        <w:adjustRightInd/>
        <w:snapToGrid/>
        <w:spacing w:line="60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_Toc26707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val="0"/>
          <w:szCs w:val="32"/>
          <w:lang w:val="zh-CN" w:eastAsia="zh-CN"/>
        </w:rPr>
        <w:t>3.1 电动汽车保有量现状情况</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_Toc26707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7</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fldChar w:fldCharType="end"/>
      </w:r>
    </w:p>
    <w:p>
      <w:pPr>
        <w:pStyle w:val="10"/>
        <w:widowControl w:val="0"/>
        <w:tabs>
          <w:tab w:val="right" w:leader="dot" w:pos="8844"/>
        </w:tabs>
        <w:wordWrap/>
        <w:adjustRightInd/>
        <w:snapToGrid/>
        <w:spacing w:line="60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_Toc23098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val="0"/>
          <w:szCs w:val="32"/>
          <w:lang w:val="zh-CN" w:eastAsia="zh-CN"/>
        </w:rPr>
        <w:t>3.2电动汽车保有量预测</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_Toc23098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7</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fldChar w:fldCharType="end"/>
      </w:r>
    </w:p>
    <w:p>
      <w:pPr>
        <w:pStyle w:val="10"/>
        <w:widowControl w:val="0"/>
        <w:tabs>
          <w:tab w:val="right" w:leader="dot" w:pos="8844"/>
        </w:tabs>
        <w:wordWrap/>
        <w:adjustRightInd/>
        <w:snapToGrid/>
        <w:spacing w:line="60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_Toc29226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val="0"/>
          <w:szCs w:val="32"/>
          <w:lang w:val="zh-CN" w:eastAsia="zh-CN"/>
        </w:rPr>
        <w:t>3.3 充电桩需求配置原则</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_Toc29226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8</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fldChar w:fldCharType="end"/>
      </w:r>
    </w:p>
    <w:p>
      <w:pPr>
        <w:pStyle w:val="10"/>
        <w:widowControl w:val="0"/>
        <w:tabs>
          <w:tab w:val="right" w:leader="dot" w:pos="8844"/>
        </w:tabs>
        <w:wordWrap/>
        <w:adjustRightInd/>
        <w:snapToGrid/>
        <w:spacing w:line="60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_Toc7647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val="0"/>
          <w:szCs w:val="32"/>
          <w:lang w:val="zh-CN" w:eastAsia="zh-CN"/>
        </w:rPr>
        <w:t>3.4 充电设施预测</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_Toc7647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8</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fldChar w:fldCharType="end"/>
      </w:r>
    </w:p>
    <w:p>
      <w:pPr>
        <w:pStyle w:val="10"/>
        <w:widowControl w:val="0"/>
        <w:tabs>
          <w:tab w:val="right" w:leader="dot" w:pos="8844"/>
        </w:tabs>
        <w:wordWrap/>
        <w:adjustRightInd/>
        <w:snapToGrid/>
        <w:spacing w:line="60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_Toc19175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val="0"/>
          <w:szCs w:val="32"/>
          <w:lang w:val="zh-CN" w:eastAsia="zh-CN"/>
        </w:rPr>
        <w:t>3.5 用电负荷预测</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_Toc19175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8</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fldChar w:fldCharType="end"/>
      </w:r>
    </w:p>
    <w:p>
      <w:pPr>
        <w:pStyle w:val="9"/>
        <w:widowControl w:val="0"/>
        <w:tabs>
          <w:tab w:val="right" w:leader="dot" w:pos="8844"/>
        </w:tabs>
        <w:wordWrap/>
        <w:adjustRightInd/>
        <w:snapToGrid/>
        <w:spacing w:line="60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_Toc21321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szCs w:val="44"/>
        </w:rPr>
        <w:t>第四章 规划布局思路</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_Toc21321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9</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fldChar w:fldCharType="end"/>
      </w:r>
    </w:p>
    <w:p>
      <w:pPr>
        <w:pStyle w:val="10"/>
        <w:widowControl w:val="0"/>
        <w:tabs>
          <w:tab w:val="right" w:leader="dot" w:pos="8844"/>
        </w:tabs>
        <w:wordWrap/>
        <w:adjustRightInd/>
        <w:snapToGrid/>
        <w:spacing w:line="60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_Toc27620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val="0"/>
          <w:szCs w:val="32"/>
          <w:lang w:val="zh-CN" w:eastAsia="zh-CN"/>
        </w:rPr>
        <w:t>4.1 技术路线</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_Toc27620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9</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fldChar w:fldCharType="end"/>
      </w:r>
    </w:p>
    <w:p>
      <w:pPr>
        <w:pStyle w:val="10"/>
        <w:widowControl w:val="0"/>
        <w:tabs>
          <w:tab w:val="right" w:leader="dot" w:pos="8844"/>
        </w:tabs>
        <w:wordWrap/>
        <w:adjustRightInd/>
        <w:snapToGrid/>
        <w:spacing w:line="60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_Toc11327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val="0"/>
          <w:szCs w:val="32"/>
          <w:lang w:val="zh-CN" w:eastAsia="zh-CN"/>
        </w:rPr>
        <w:t>4.2 规划布局指引</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_Toc11327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9</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fldChar w:fldCharType="end"/>
      </w:r>
    </w:p>
    <w:p>
      <w:pPr>
        <w:pStyle w:val="9"/>
        <w:widowControl w:val="0"/>
        <w:tabs>
          <w:tab w:val="right" w:leader="dot" w:pos="8844"/>
        </w:tabs>
        <w:wordWrap/>
        <w:adjustRightInd/>
        <w:snapToGrid/>
        <w:spacing w:line="60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_Toc11865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szCs w:val="44"/>
        </w:rPr>
        <w:t>第五章 充电设施规划控制与布局选址要求</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_Toc11865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11</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fldChar w:fldCharType="end"/>
      </w:r>
    </w:p>
    <w:p>
      <w:pPr>
        <w:pStyle w:val="10"/>
        <w:widowControl w:val="0"/>
        <w:tabs>
          <w:tab w:val="right" w:leader="dot" w:pos="8844"/>
        </w:tabs>
        <w:wordWrap/>
        <w:adjustRightInd/>
        <w:snapToGrid/>
        <w:spacing w:line="60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_Toc31099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val="0"/>
          <w:szCs w:val="32"/>
          <w:lang w:val="zh-CN" w:eastAsia="zh-CN"/>
        </w:rPr>
        <w:t>5.1 当前各类型充电设施功能构成</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_Toc31099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11</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fldChar w:fldCharType="end"/>
      </w:r>
    </w:p>
    <w:p>
      <w:pPr>
        <w:pStyle w:val="10"/>
        <w:widowControl w:val="0"/>
        <w:tabs>
          <w:tab w:val="right" w:leader="dot" w:pos="8844"/>
        </w:tabs>
        <w:wordWrap/>
        <w:adjustRightInd/>
        <w:snapToGrid/>
        <w:spacing w:line="60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_Toc4848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val="0"/>
          <w:szCs w:val="32"/>
          <w:lang w:val="zh-CN" w:eastAsia="zh-CN"/>
        </w:rPr>
        <w:t>5.2 充电站选址相关要求</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_Toc4848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11</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fldChar w:fldCharType="end"/>
      </w:r>
    </w:p>
    <w:p>
      <w:pPr>
        <w:pStyle w:val="9"/>
        <w:widowControl w:val="0"/>
        <w:tabs>
          <w:tab w:val="right" w:leader="dot" w:pos="8844"/>
        </w:tabs>
        <w:wordWrap/>
        <w:adjustRightInd/>
        <w:snapToGrid/>
        <w:spacing w:line="60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_Toc18549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szCs w:val="44"/>
        </w:rPr>
        <w:t>第六章 电动汽车充电设施布点</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_Toc18549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14</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fldChar w:fldCharType="end"/>
      </w:r>
    </w:p>
    <w:p>
      <w:pPr>
        <w:pStyle w:val="10"/>
        <w:widowControl w:val="0"/>
        <w:tabs>
          <w:tab w:val="right" w:leader="dot" w:pos="8844"/>
        </w:tabs>
        <w:wordWrap/>
        <w:adjustRightInd/>
        <w:snapToGrid/>
        <w:spacing w:line="60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_Toc2798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val="0"/>
          <w:szCs w:val="32"/>
          <w:lang w:val="zh-CN" w:eastAsia="zh-CN"/>
        </w:rPr>
        <w:t>6.1 规划对象</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_Toc2798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14</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fldChar w:fldCharType="end"/>
      </w:r>
    </w:p>
    <w:p>
      <w:pPr>
        <w:pStyle w:val="10"/>
        <w:widowControl w:val="0"/>
        <w:tabs>
          <w:tab w:val="right" w:leader="dot" w:pos="8844"/>
        </w:tabs>
        <w:wordWrap/>
        <w:adjustRightInd/>
        <w:snapToGrid/>
        <w:spacing w:line="60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_Toc8281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val="0"/>
          <w:szCs w:val="32"/>
          <w:lang w:val="zh-CN" w:eastAsia="zh-CN"/>
        </w:rPr>
        <w:t>6.2 规划范围</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_Toc8281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14</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fldChar w:fldCharType="end"/>
      </w:r>
    </w:p>
    <w:p>
      <w:pPr>
        <w:pStyle w:val="10"/>
        <w:widowControl w:val="0"/>
        <w:tabs>
          <w:tab w:val="right" w:leader="dot" w:pos="8844"/>
        </w:tabs>
        <w:wordWrap/>
        <w:adjustRightInd/>
        <w:snapToGrid/>
        <w:spacing w:line="60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_Toc30661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val="0"/>
          <w:szCs w:val="32"/>
          <w:lang w:val="zh-CN" w:eastAsia="zh-CN"/>
        </w:rPr>
        <w:t>6.3 规划期限</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_Toc30661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14</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fldChar w:fldCharType="end"/>
      </w:r>
    </w:p>
    <w:p>
      <w:pPr>
        <w:pStyle w:val="10"/>
        <w:widowControl w:val="0"/>
        <w:tabs>
          <w:tab w:val="right" w:leader="dot" w:pos="8844"/>
        </w:tabs>
        <w:wordWrap/>
        <w:adjustRightInd/>
        <w:snapToGrid/>
        <w:spacing w:line="60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_Toc24549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val="0"/>
          <w:szCs w:val="32"/>
          <w:lang w:val="zh-CN" w:eastAsia="zh-CN"/>
        </w:rPr>
        <w:t>6.4 规划依据</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_Toc24549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14</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fldChar w:fldCharType="end"/>
      </w:r>
    </w:p>
    <w:p>
      <w:pPr>
        <w:pStyle w:val="10"/>
        <w:widowControl w:val="0"/>
        <w:tabs>
          <w:tab w:val="right" w:leader="dot" w:pos="8844"/>
        </w:tabs>
        <w:wordWrap/>
        <w:adjustRightInd/>
        <w:snapToGrid/>
        <w:spacing w:line="60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_Toc31753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val="0"/>
          <w:szCs w:val="32"/>
          <w:lang w:val="zh-CN" w:eastAsia="zh-CN"/>
        </w:rPr>
        <w:t>6.5 规划深度</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_Toc31753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16</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fldChar w:fldCharType="end"/>
      </w:r>
    </w:p>
    <w:p>
      <w:pPr>
        <w:pStyle w:val="10"/>
        <w:widowControl w:val="0"/>
        <w:tabs>
          <w:tab w:val="right" w:leader="dot" w:pos="8844"/>
        </w:tabs>
        <w:wordWrap/>
        <w:adjustRightInd/>
        <w:snapToGrid/>
        <w:spacing w:line="60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_Toc2819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val="0"/>
          <w:szCs w:val="32"/>
          <w:lang w:val="zh-CN" w:eastAsia="zh-CN"/>
        </w:rPr>
        <w:t>6.6 总体原则</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_Toc2819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16</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fldChar w:fldCharType="end"/>
      </w:r>
    </w:p>
    <w:p>
      <w:pPr>
        <w:pStyle w:val="10"/>
        <w:widowControl w:val="0"/>
        <w:tabs>
          <w:tab w:val="right" w:leader="dot" w:pos="8844"/>
        </w:tabs>
        <w:wordWrap/>
        <w:adjustRightInd/>
        <w:snapToGrid/>
        <w:spacing w:line="60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_Toc20755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val="0"/>
          <w:szCs w:val="32"/>
          <w:lang w:val="zh-CN" w:eastAsia="zh-CN"/>
        </w:rPr>
        <w:t>6.7 布局原则</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_Toc20755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17</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fldChar w:fldCharType="end"/>
      </w:r>
    </w:p>
    <w:p>
      <w:pPr>
        <w:pStyle w:val="10"/>
        <w:widowControl w:val="0"/>
        <w:tabs>
          <w:tab w:val="right" w:leader="dot" w:pos="8844"/>
        </w:tabs>
        <w:wordWrap/>
        <w:adjustRightInd/>
        <w:snapToGrid/>
        <w:spacing w:line="60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_Toc3670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val="0"/>
          <w:szCs w:val="32"/>
          <w:lang w:val="zh-CN" w:eastAsia="zh-CN"/>
        </w:rPr>
        <w:t>6.8 布点选址方式</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_Toc3670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18</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fldChar w:fldCharType="end"/>
      </w:r>
    </w:p>
    <w:p>
      <w:pPr>
        <w:pStyle w:val="10"/>
        <w:widowControl w:val="0"/>
        <w:tabs>
          <w:tab w:val="right" w:leader="dot" w:pos="8844"/>
        </w:tabs>
        <w:wordWrap/>
        <w:adjustRightInd/>
        <w:snapToGrid/>
        <w:spacing w:line="60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_Toc12006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val="0"/>
          <w:szCs w:val="32"/>
          <w:lang w:val="zh-CN" w:eastAsia="zh-CN"/>
        </w:rPr>
        <w:t>6.9 充电站布局</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_Toc12006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20</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fldChar w:fldCharType="end"/>
      </w:r>
    </w:p>
    <w:p>
      <w:pPr>
        <w:pStyle w:val="10"/>
        <w:widowControl w:val="0"/>
        <w:tabs>
          <w:tab w:val="right" w:leader="dot" w:pos="8844"/>
        </w:tabs>
        <w:wordWrap/>
        <w:adjustRightInd/>
        <w:snapToGrid/>
        <w:spacing w:line="60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_Toc28696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val="0"/>
          <w:szCs w:val="32"/>
          <w:lang w:val="zh-CN" w:eastAsia="zh-CN"/>
        </w:rPr>
        <w:t>6.10 充电桩布局</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_Toc28696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25</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fldChar w:fldCharType="end"/>
      </w:r>
    </w:p>
    <w:p>
      <w:pPr>
        <w:pStyle w:val="9"/>
        <w:widowControl w:val="0"/>
        <w:tabs>
          <w:tab w:val="right" w:leader="dot" w:pos="8844"/>
        </w:tabs>
        <w:wordWrap/>
        <w:adjustRightInd/>
        <w:snapToGrid/>
        <w:spacing w:line="60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_Toc15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szCs w:val="44"/>
        </w:rPr>
        <w:t>第七章 近期建设计划和远景展望</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_Toc15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28</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fldChar w:fldCharType="end"/>
      </w:r>
    </w:p>
    <w:p>
      <w:pPr>
        <w:pStyle w:val="10"/>
        <w:widowControl w:val="0"/>
        <w:tabs>
          <w:tab w:val="right" w:leader="dot" w:pos="8844"/>
        </w:tabs>
        <w:wordWrap/>
        <w:adjustRightInd/>
        <w:snapToGrid/>
        <w:spacing w:line="60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_Toc24823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val="0"/>
          <w:szCs w:val="32"/>
          <w:lang w:val="zh-CN" w:eastAsia="zh-CN"/>
        </w:rPr>
        <w:t>7.1近期建设计划</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_Toc24823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28</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fldChar w:fldCharType="end"/>
      </w:r>
    </w:p>
    <w:p>
      <w:pPr>
        <w:pStyle w:val="10"/>
        <w:widowControl w:val="0"/>
        <w:tabs>
          <w:tab w:val="right" w:leader="dot" w:pos="8844"/>
        </w:tabs>
        <w:wordWrap/>
        <w:adjustRightInd/>
        <w:snapToGrid/>
        <w:spacing w:line="60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_Toc10635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val="0"/>
          <w:szCs w:val="32"/>
          <w:lang w:val="zh-CN" w:eastAsia="zh-CN"/>
        </w:rPr>
        <w:t>7.2远景展望</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_Toc10635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31</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fldChar w:fldCharType="end"/>
      </w:r>
    </w:p>
    <w:p>
      <w:pPr>
        <w:pStyle w:val="9"/>
        <w:widowControl w:val="0"/>
        <w:tabs>
          <w:tab w:val="right" w:leader="dot" w:pos="8844"/>
        </w:tabs>
        <w:wordWrap/>
        <w:adjustRightInd/>
        <w:snapToGrid/>
        <w:spacing w:line="60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_Toc29910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szCs w:val="44"/>
        </w:rPr>
        <w:t>第八章 规划实施与保障措施</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_Toc29910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31</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fldChar w:fldCharType="end"/>
      </w:r>
    </w:p>
    <w:p>
      <w:pPr>
        <w:pStyle w:val="10"/>
        <w:widowControl w:val="0"/>
        <w:tabs>
          <w:tab w:val="right" w:leader="dot" w:pos="8844"/>
        </w:tabs>
        <w:wordWrap/>
        <w:adjustRightInd/>
        <w:snapToGrid/>
        <w:spacing w:line="60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_Toc12042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val="0"/>
          <w:szCs w:val="32"/>
          <w:lang w:val="zh-CN" w:eastAsia="zh-CN"/>
        </w:rPr>
        <w:t>8.1 加强政策支持</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_Toc12042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31</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fldChar w:fldCharType="end"/>
      </w:r>
    </w:p>
    <w:p>
      <w:pPr>
        <w:pStyle w:val="10"/>
        <w:widowControl w:val="0"/>
        <w:tabs>
          <w:tab w:val="right" w:leader="dot" w:pos="8844"/>
        </w:tabs>
        <w:wordWrap/>
        <w:adjustRightInd/>
        <w:snapToGrid/>
        <w:spacing w:line="60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_Toc19103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val="0"/>
          <w:szCs w:val="32"/>
          <w:lang w:val="zh-CN" w:eastAsia="zh-CN"/>
        </w:rPr>
        <w:t>8.2 完善建设审批手续</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_Toc19103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32</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fldChar w:fldCharType="end"/>
      </w:r>
    </w:p>
    <w:p>
      <w:pPr>
        <w:pStyle w:val="10"/>
        <w:widowControl w:val="0"/>
        <w:tabs>
          <w:tab w:val="right" w:leader="dot" w:pos="8844"/>
        </w:tabs>
        <w:wordWrap/>
        <w:adjustRightInd/>
        <w:snapToGrid/>
        <w:spacing w:line="60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_Toc32252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val="0"/>
          <w:szCs w:val="32"/>
          <w:lang w:val="zh-CN" w:eastAsia="zh-CN"/>
        </w:rPr>
        <w:t>8.3弹性控制措施</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_Toc32252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32</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fldChar w:fldCharType="end"/>
      </w:r>
    </w:p>
    <w:p>
      <w:pPr>
        <w:pStyle w:val="9"/>
        <w:widowControl w:val="0"/>
        <w:tabs>
          <w:tab w:val="right" w:leader="dot" w:pos="8844"/>
        </w:tabs>
        <w:wordWrap/>
        <w:adjustRightInd/>
        <w:snapToGrid/>
        <w:spacing w:line="600" w:lineRule="exact"/>
        <w:textAlignment w:val="auto"/>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_Toc25475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szCs w:val="44"/>
        </w:rPr>
        <w:t>第九章 附 则</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_Toc25475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33</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fldChar w:fldCharType="end"/>
      </w:r>
    </w:p>
    <w:p>
      <w:pPr>
        <w:pStyle w:val="15"/>
        <w:tabs>
          <w:tab w:val="left" w:pos="1050"/>
        </w:tabs>
        <w:rPr>
          <w:rStyle w:val="13"/>
          <w:rFonts w:hint="default" w:ascii="Times New Roman" w:hAnsi="Times New Roman" w:cs="Times New Roman"/>
        </w:rPr>
      </w:pPr>
      <w:r>
        <w:rPr>
          <w:rFonts w:hint="default" w:ascii="Times New Roman" w:hAnsi="Times New Roman" w:cs="Times New Roman"/>
        </w:rPr>
        <w:fldChar w:fldCharType="end"/>
      </w:r>
    </w:p>
    <w:p>
      <w:pPr>
        <w:rPr>
          <w:rStyle w:val="13"/>
          <w:rFonts w:hint="default" w:ascii="Times New Roman" w:hAnsi="Times New Roman" w:cs="Times New Roman"/>
        </w:rPr>
      </w:pPr>
    </w:p>
    <w:p>
      <w:pPr>
        <w:rPr>
          <w:rStyle w:val="13"/>
          <w:rFonts w:hint="default" w:ascii="Times New Roman" w:hAnsi="Times New Roman" w:cs="Times New Roman"/>
        </w:rPr>
      </w:pPr>
    </w:p>
    <w:p>
      <w:pPr>
        <w:pStyle w:val="4"/>
        <w:widowControl w:val="0"/>
        <w:numPr>
          <w:ilvl w:val="0"/>
          <w:numId w:val="1"/>
        </w:numPr>
        <w:wordWrap/>
        <w:adjustRightInd/>
        <w:snapToGrid/>
        <w:spacing w:before="0" w:after="0" w:line="480" w:lineRule="auto"/>
        <w:jc w:val="center"/>
        <w:textAlignment w:val="auto"/>
        <w:rPr>
          <w:rFonts w:hint="default" w:ascii="Times New Roman" w:hAnsi="Times New Roman" w:eastAsia="方正小标宋_GBK" w:cs="Times New Roman"/>
          <w:b w:val="0"/>
          <w:bCs/>
          <w:color w:val="auto"/>
          <w:sz w:val="44"/>
          <w:szCs w:val="44"/>
        </w:rPr>
        <w:sectPr>
          <w:footerReference r:id="rId8" w:type="default"/>
          <w:footerReference r:id="rId9" w:type="even"/>
          <w:pgSz w:w="11906" w:h="16838"/>
          <w:pgMar w:top="2098" w:right="1531" w:bottom="1984" w:left="1531" w:header="851" w:footer="1417" w:gutter="0"/>
          <w:pgNumType w:fmt="decimal" w:start="1"/>
          <w:cols w:space="720" w:num="1"/>
          <w:rtlGutter w:val="0"/>
          <w:docGrid w:type="lines" w:linePitch="312" w:charSpace="0"/>
        </w:sectPr>
      </w:pPr>
      <w:bookmarkStart w:id="1" w:name="_Toc26097"/>
    </w:p>
    <w:p>
      <w:pPr>
        <w:pStyle w:val="4"/>
        <w:widowControl w:val="0"/>
        <w:numPr>
          <w:ilvl w:val="0"/>
          <w:numId w:val="1"/>
        </w:numPr>
        <w:wordWrap/>
        <w:adjustRightInd/>
        <w:snapToGrid/>
        <w:spacing w:before="0" w:after="0" w:line="480" w:lineRule="auto"/>
        <w:jc w:val="center"/>
        <w:textAlignment w:val="auto"/>
        <w:rPr>
          <w:rFonts w:hint="default" w:ascii="Times New Roman" w:hAnsi="Times New Roman" w:eastAsia="方正小标宋_GBK" w:cs="Times New Roman"/>
          <w:b w:val="0"/>
          <w:bCs/>
          <w:color w:val="auto"/>
          <w:sz w:val="44"/>
          <w:szCs w:val="44"/>
        </w:rPr>
      </w:pPr>
      <w:r>
        <w:rPr>
          <w:rFonts w:hint="default" w:ascii="Times New Roman" w:hAnsi="Times New Roman" w:eastAsia="方正小标宋_GBK" w:cs="Times New Roman"/>
          <w:b w:val="0"/>
          <w:bCs/>
          <w:color w:val="auto"/>
          <w:sz w:val="44"/>
          <w:szCs w:val="44"/>
        </w:rPr>
        <w:t>规划背景</w:t>
      </w:r>
      <w:bookmarkEnd w:id="1"/>
    </w:p>
    <w:p>
      <w:pPr>
        <w:pStyle w:val="5"/>
        <w:widowControl w:val="0"/>
        <w:wordWrap/>
        <w:adjustRightInd/>
        <w:snapToGrid/>
        <w:spacing w:before="0" w:after="0" w:line="570" w:lineRule="exact"/>
        <w:ind w:firstLine="640" w:firstLineChars="200"/>
        <w:textAlignment w:val="auto"/>
        <w:rPr>
          <w:rFonts w:hint="default" w:ascii="Times New Roman" w:hAnsi="Times New Roman" w:eastAsia="方正黑体_GBK" w:cs="Times New Roman"/>
          <w:b w:val="0"/>
          <w:bCs w:val="0"/>
          <w:color w:val="auto"/>
          <w:sz w:val="32"/>
          <w:szCs w:val="32"/>
          <w:lang w:val="zh-CN" w:eastAsia="zh-CN"/>
        </w:rPr>
      </w:pPr>
      <w:bookmarkStart w:id="2" w:name="_Toc6866"/>
      <w:r>
        <w:rPr>
          <w:rFonts w:hint="default" w:ascii="Times New Roman" w:hAnsi="Times New Roman" w:eastAsia="方正黑体_GBK" w:cs="Times New Roman"/>
          <w:b w:val="0"/>
          <w:bCs w:val="0"/>
          <w:color w:val="auto"/>
          <w:sz w:val="32"/>
          <w:szCs w:val="32"/>
          <w:lang w:val="zh-CN" w:eastAsia="zh-CN"/>
        </w:rPr>
        <w:t>1.1 国家对新能源汽车发展的整体要求</w:t>
      </w:r>
      <w:bookmarkEnd w:id="2"/>
    </w:p>
    <w:p>
      <w:pPr>
        <w:widowControl w:val="0"/>
        <w:wordWrap/>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2009年财政部、科技部根据国务院关于</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节能减排</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加强节油节电工作</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着力突破制约产业转型升级的重要关键技术，精心培育一批战略性产业</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战略决策精神，为扩大汽车消费，加快汽车产业结构调整，推动节能与汽车产业化。财政部、科技部决定在北京、上海、重庆、长春、大连、杭州、济南、武汉、深圳、合肥、长沙、昆明、南昌等13个城市开展节能与新能源汽车示范推广试点工作，以财政政策鼓励在公交、出租、公务、环卫和邮政等公共服务领域率先推广使用节能与新能源汽车，对推广使用单位购买节能与新能源汽车给予补助。《财政部科技部关于开展节能与新能源汽车示范推广工作的通知》（财建〔20</w:t>
      </w:r>
      <w:r>
        <w:rPr>
          <w:rFonts w:hint="default" w:ascii="Times New Roman" w:hAnsi="Times New Roman" w:eastAsia="方正仿宋_GBK" w:cs="Times New Roman"/>
          <w:sz w:val="32"/>
          <w:szCs w:val="32"/>
          <w:lang w:val="en-US" w:eastAsia="zh-CN"/>
        </w:rPr>
        <w:t>09</w:t>
      </w:r>
      <w:r>
        <w:rPr>
          <w:rFonts w:hint="default" w:ascii="Times New Roman" w:hAnsi="Times New Roman" w:eastAsia="方正仿宋_GBK" w:cs="Times New Roman"/>
          <w:sz w:val="32"/>
          <w:szCs w:val="32"/>
        </w:rPr>
        <w:t>〕6号）提出中央财政重点对购置节能与新能源汽车给予补助，地方财政重点对相关配套设施建设及维护保养给予补助。之后，13个国家试点城市结合本地汽车企业发展，开展了新能源汽车投放和充电设施建设工作。</w:t>
      </w:r>
    </w:p>
    <w:p>
      <w:pPr>
        <w:widowControl w:val="0"/>
        <w:wordWrap/>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2012年2月22日，工信部正式对外公布《新材料产业</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十二五</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发展规划》，工信部预计，到2015年新能源汽车累计产销量将超过50万辆，需要能量型动力电池模块150亿瓦时/年。</w:t>
      </w:r>
    </w:p>
    <w:p>
      <w:pPr>
        <w:widowControl w:val="0"/>
        <w:wordWrap/>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2012年4月18日，国务院总理温家宝主持召开国务院常务会议，讨论通过《节能与新能源汽车产业发展规划（2012—2020年）》，争取到2015年纯电动汽车和插电式混合动力汽车累计产销量达到50万辆，到2020年超过500万辆；2015年当年生产的乘用车平均燃料消耗量降至每百公里6.9升，到2020年降至5.0升；新能源汽车、动力电池及关键零部件技术整体上达到国际先进水平。</w:t>
      </w:r>
    </w:p>
    <w:p>
      <w:pPr>
        <w:widowControl w:val="0"/>
        <w:wordWrap/>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2015年9月，国务院办公厅发布《关于加快电动汽车充电基础设施建设的指导意见》国办发〔2015〕73号，将充电基础设施建设放在更加重要的位置，加强统筹规划，统一标准规范，完善扶持政策，创新发展模式，培育良好的市场服务和应用环境，形成布局合理、科学高效的充电基础设施体系，增加公共产品有效投资，提高公共服务水平，促进电动汽车产业发展和电力消费，方便群众生活，更好惠及民生。</w:t>
      </w:r>
    </w:p>
    <w:p>
      <w:pPr>
        <w:widowControl w:val="0"/>
        <w:wordWrap/>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2015年10月，国家发展改革委、国 家 能 源 局、工业和信息化部和住房城乡建设部根据《节能与新能源汽车产业发展规划（2012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2020年）》（国发〔2012〕22号）组织编制了《电动汽车充电基础设施发展指南（2015</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2020年）》，全面贯彻国家新能源汽车发展战略部署，加强规划指导、完善标准体系、鼓励社会参与、创新发展模式，系统科学地构建高效开放、与电动汽车发展相适应的充电基础设施体系，保障和促进电动汽车产业健康快速发展。</w:t>
      </w:r>
    </w:p>
    <w:p>
      <w:pPr>
        <w:widowControl w:val="0"/>
        <w:wordWrap/>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2016年12月，工信部发布《国务院办公厅关于加快新能源汽车推广应用的指导意见》，针对企业布局和项目建设条件、规模装备和工艺、资源综合利用及能耗、环境保护、产品质量、安全生产等各方面提出了规范要求。</w:t>
      </w:r>
    </w:p>
    <w:p>
      <w:pPr>
        <w:widowControl w:val="0"/>
        <w:wordWrap/>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2017年1月，国家能源局、国务院国有资产监督管理委员会、国家机关事务管理局发布《关于加快单位内部电动汽车充电基础设施建设的通知》，加快推进单位内部停车场充电设施建设。各地国家机关及其他公共机构、国有企业应统筹考虑单位和职工购买电动汽车需求，坚持市场化原则，在内部停车场加快配建相应比例充电设施（或预留建设安装条件）。</w:t>
      </w:r>
    </w:p>
    <w:p>
      <w:pPr>
        <w:widowControl w:val="0"/>
        <w:wordWrap/>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2018年7月，国家发改委发布《关于创新和完善促进绿色发展价格机制的意见》，在电价</w:t>
      </w:r>
      <w:r>
        <w:rPr>
          <w:rFonts w:hint="default" w:ascii="Times New Roman" w:hAnsi="Times New Roman" w:eastAsia="方正仿宋_GBK" w:cs="Times New Roman"/>
          <w:sz w:val="32"/>
          <w:szCs w:val="32"/>
          <w:lang w:eastAsia="zh-CN"/>
        </w:rPr>
        <w:t>方面</w:t>
      </w:r>
      <w:r>
        <w:rPr>
          <w:rFonts w:hint="default" w:ascii="Times New Roman" w:hAnsi="Times New Roman" w:eastAsia="方正仿宋_GBK" w:cs="Times New Roman"/>
          <w:sz w:val="32"/>
          <w:szCs w:val="32"/>
        </w:rPr>
        <w:t>通过出台降成本措施支持相关环保行业发展，其中针对电动汽车集中式充换电设施免收容量电费的政策将延长至2025年。</w:t>
      </w:r>
    </w:p>
    <w:p>
      <w:pPr>
        <w:widowControl w:val="0"/>
        <w:wordWrap/>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2018年12月，国家发改委、国家能源局、工业和信息化部、财政部发布《提升新能源汽车充电保障能力行动计划》。力争用3年时间大幅提升充电技术水平，提高充电设施产品质量，加快完善充电标准体系，全面优化充电设施布局，显著增强充电网络互联互通能力，快速升级充电运营服务品质，进一步优化充电基础设施发展环境和产业格局。鼓励地方充分发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十三五</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中央财政充电基础设施奖补政策作用，促进整车行业与充电设施建设运营行业合作。</w:t>
      </w:r>
    </w:p>
    <w:p>
      <w:pPr>
        <w:widowControl w:val="0"/>
        <w:wordWrap/>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2019年5月，财政部、工业和信息化部、交通运输部、发展改革委发布《关于支持新能源公交车推广应用的通知》，要求发挥好中央财政基础设施奖补政策作用，创新支持方式，吸引社会资本，加快新能源公交车充电基础设施建设，满足车辆使用需求；应将除公交车外的新能源汽车地方购置补贴资金集中用于支持充电基础设施</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短板</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建设和配套运营服务等环节。</w:t>
      </w:r>
    </w:p>
    <w:p>
      <w:pPr>
        <w:widowControl w:val="0"/>
        <w:wordWrap/>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2020年1月，国务院办公厅印发《新能源汽车产业发展规划（2021-2035）》，提出要加快充换电基础设施建设，科学布局充换电基础设施，加强与城乡建设规划、电网规划及物业管理、城市停车等的统筹协调。加快形成适度超前、快充为主、慢充为辅的高速公路和城乡公共充电网络，鼓励开展换电模式应用，加强智能有序充电、大功率充电、无线充电等新型充电技术研发，提高充电便利性和产品可靠性。鼓励商业模式创新，结合老旧小区改造、城市更新等工作，引导多方联合开展充电设施建设运营，支持居民区多车一桩、临近车位共享等合作模式发展。鼓励充电场站与商业地产相结合，建设停车充电一体化服务设施，提升公共场所充电服务能力，拓展增值服务。</w:t>
      </w:r>
    </w:p>
    <w:p>
      <w:pPr>
        <w:widowControl w:val="0"/>
        <w:wordWrap/>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年3月，工业和信息化部办公厅、农业农村部办公厅、商务部办公厅、国家能源局综合司联合发布《关于开展2021年新能源汽车下乡活动的通知》，鼓励新能源企业积极参加下乡活动，支持企业与电商、互联网平台等合作举办网络购车活动，在农村地区全面推广新能源汽车。</w:t>
      </w:r>
    </w:p>
    <w:p>
      <w:pPr>
        <w:widowControl w:val="0"/>
        <w:wordWrap/>
        <w:autoSpaceDE w:val="0"/>
        <w:autoSpaceDN w:val="0"/>
        <w:adjustRightInd w:val="0"/>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2022年4月，重庆市发展改革委重庆市能源局关于印发重庆市充电基础设施</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十四五</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发展规划（2021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2025年）的通知。指导全市</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十四五</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时期建设形成适度超前、布局均衡、智能高效的电动汽车基础设施体系，提升电动汽车充电保障能力。渝东北三峡库区城镇群和渝东南武陵山区城镇群按照城市服务半径小于1.5公里、乡镇服务半径小于3公里布局公共充电设施。</w:t>
      </w:r>
    </w:p>
    <w:p>
      <w:pPr>
        <w:pStyle w:val="5"/>
        <w:widowControl w:val="0"/>
        <w:wordWrap/>
        <w:adjustRightInd/>
        <w:snapToGrid/>
        <w:spacing w:before="0" w:after="0" w:line="570" w:lineRule="exact"/>
        <w:ind w:firstLine="640" w:firstLineChars="200"/>
        <w:textAlignment w:val="auto"/>
        <w:rPr>
          <w:rFonts w:hint="default" w:ascii="Times New Roman" w:hAnsi="Times New Roman" w:eastAsia="方正黑体_GBK" w:cs="Times New Roman"/>
          <w:b w:val="0"/>
          <w:bCs w:val="0"/>
          <w:color w:val="auto"/>
          <w:sz w:val="32"/>
          <w:szCs w:val="32"/>
          <w:lang w:val="zh-CN" w:eastAsia="zh-CN"/>
        </w:rPr>
      </w:pPr>
      <w:bookmarkStart w:id="3" w:name="_Toc16783"/>
      <w:r>
        <w:rPr>
          <w:rFonts w:hint="default" w:ascii="Times New Roman" w:hAnsi="Times New Roman" w:eastAsia="方正黑体_GBK" w:cs="Times New Roman"/>
          <w:b w:val="0"/>
          <w:bCs w:val="0"/>
          <w:color w:val="auto"/>
          <w:sz w:val="32"/>
          <w:szCs w:val="32"/>
          <w:lang w:val="zh-CN" w:eastAsia="zh-CN"/>
        </w:rPr>
        <w:t>1.2 重庆市落实试点工作要求的具体部署</w:t>
      </w:r>
      <w:bookmarkEnd w:id="3"/>
    </w:p>
    <w:p>
      <w:pPr>
        <w:widowControl w:val="0"/>
        <w:wordWrap/>
        <w:autoSpaceDE w:val="0"/>
        <w:autoSpaceDN w:val="0"/>
        <w:adjustRightInd w:val="0"/>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是我国重要的中心城市之一，国家历史文化名城，长江上游地区的经济中心，国家重要的现代制造业基地，西南地区综合交通枢纽。重庆市将以结构调整作为产业发展的主线，打造国家重要的现代制造业基地、西部地区重要增长极和长江上游地区的经济中心。重点推动新能源汽车、新材料、节能环保等七大战略性产业健康发展。其中，汽车产业是重庆市支柱产业之一，大力发展以电动汽车为代表的新能源汽车产业，对加快新能源汽车生产基地的建设，推动汽车产业升级，促进节能减排，做大做强工业经济，推动科技进步具有重要意义。近年来，重庆市电动汽车及充电设施配套政策体系在不断完善，发布《重庆市新能源汽车推广应用市级财政补贴实施细则（暂行）》（渝财企〔201</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〕3号）和《重庆市新能源汽车推广应用工作方案（2013-2015）》（渝府办发〔201</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〕143号），促进电动汽车推广应用。出台了《重庆市主城区电动汽车充电站布点规划</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重庆市加快电动汽车充电基础设施建设实施方案》（渝府办发〔2015〕212号）、《民用建筑电动汽车设备配套设施设计规范》（渝建发〔2015〕40号）、《关于支持电动汽车充电设施用地的通知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庆市电动汽车充电基础设施建设运营管理办法》渝发改能源〔2017〕1264号、《重庆市支持新能源汽车推广应用政策措施（2018—2022年）》渝府办发〔2018〕184号、《关于重庆市2022年度新能源汽车与充换电基础设施财政补贴政策的通知》（渝财规〔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〕3号）等文件，引导和规范电动汽车充电基础设施建设。</w:t>
      </w:r>
    </w:p>
    <w:p>
      <w:pPr>
        <w:pStyle w:val="5"/>
        <w:widowControl w:val="0"/>
        <w:wordWrap/>
        <w:adjustRightInd/>
        <w:snapToGrid/>
        <w:spacing w:before="0" w:after="0" w:line="570" w:lineRule="exact"/>
        <w:ind w:firstLine="640" w:firstLineChars="200"/>
        <w:textAlignment w:val="auto"/>
        <w:rPr>
          <w:rFonts w:hint="default" w:ascii="Times New Roman" w:hAnsi="Times New Roman" w:eastAsia="方正黑体_GBK" w:cs="Times New Roman"/>
          <w:b w:val="0"/>
          <w:bCs w:val="0"/>
          <w:color w:val="auto"/>
          <w:sz w:val="32"/>
          <w:szCs w:val="32"/>
          <w:lang w:val="zh-CN" w:eastAsia="zh-CN"/>
        </w:rPr>
      </w:pPr>
      <w:bookmarkStart w:id="4" w:name="_Toc17324"/>
      <w:r>
        <w:rPr>
          <w:rFonts w:hint="default" w:ascii="Times New Roman" w:hAnsi="Times New Roman" w:eastAsia="方正黑体_GBK" w:cs="Times New Roman"/>
          <w:b w:val="0"/>
          <w:bCs w:val="0"/>
          <w:color w:val="auto"/>
          <w:sz w:val="32"/>
          <w:szCs w:val="32"/>
          <w:lang w:val="zh-CN" w:eastAsia="zh-CN"/>
        </w:rPr>
        <w:t>1.3 丰都县电动汽车充电基础设施建设</w:t>
      </w:r>
      <w:bookmarkEnd w:id="4"/>
    </w:p>
    <w:p>
      <w:pPr>
        <w:widowControl w:val="0"/>
        <w:wordWrap/>
        <w:autoSpaceDE w:val="0"/>
        <w:autoSpaceDN w:val="0"/>
        <w:adjustRightInd w:val="0"/>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丰都县积极响应国家和重庆市相关政策，出台了《丰都县加快电动汽车充电基础设施建设实施方案》（丰都府办发〔201</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23号），着力构建布局合理、运行规范、安全高效的电动汽车充电基础设施体系。目前，丰都县电动汽车充电基础设施处于大力建设阶段。为了保护环境、引导和推广使用清洁燃料，保障电动汽车的充电需求，促进丰都县电动汽车的有序发展，适应城乡未来的发展需要，指导电动汽车充电基础设施的设置，特编制《丰都县电动汽车充电基础设施专项规划》（2020-2025），以下简称本规划。</w:t>
      </w:r>
    </w:p>
    <w:p>
      <w:pPr>
        <w:pStyle w:val="4"/>
        <w:widowControl w:val="0"/>
        <w:numPr>
          <w:ilvl w:val="0"/>
          <w:numId w:val="1"/>
        </w:numPr>
        <w:wordWrap/>
        <w:adjustRightInd/>
        <w:snapToGrid/>
        <w:spacing w:before="0" w:after="0" w:line="480" w:lineRule="auto"/>
        <w:jc w:val="center"/>
        <w:textAlignment w:val="auto"/>
        <w:rPr>
          <w:rFonts w:hint="default" w:ascii="Times New Roman" w:hAnsi="Times New Roman" w:eastAsia="方正小标宋_GBK" w:cs="Times New Roman"/>
          <w:b w:val="0"/>
          <w:bCs/>
          <w:color w:val="auto"/>
          <w:sz w:val="44"/>
          <w:szCs w:val="44"/>
        </w:rPr>
      </w:pPr>
      <w:bookmarkStart w:id="5" w:name="_Toc18186"/>
      <w:r>
        <w:rPr>
          <w:rFonts w:hint="default" w:ascii="Times New Roman" w:hAnsi="Times New Roman" w:eastAsia="方正小标宋_GBK" w:cs="Times New Roman"/>
          <w:b w:val="0"/>
          <w:bCs/>
          <w:color w:val="auto"/>
          <w:sz w:val="44"/>
          <w:szCs w:val="44"/>
        </w:rPr>
        <w:t>丰都县电动汽车充电设施发展</w:t>
      </w:r>
      <w:bookmarkEnd w:id="5"/>
    </w:p>
    <w:p>
      <w:pPr>
        <w:pStyle w:val="5"/>
        <w:widowControl w:val="0"/>
        <w:wordWrap/>
        <w:adjustRightInd/>
        <w:snapToGrid/>
        <w:spacing w:before="0" w:after="0" w:line="570" w:lineRule="exact"/>
        <w:ind w:firstLine="640" w:firstLineChars="200"/>
        <w:textAlignment w:val="auto"/>
        <w:rPr>
          <w:rFonts w:hint="default" w:ascii="Times New Roman" w:hAnsi="Times New Roman" w:eastAsia="方正黑体_GBK" w:cs="Times New Roman"/>
          <w:b w:val="0"/>
          <w:bCs w:val="0"/>
          <w:color w:val="auto"/>
          <w:sz w:val="32"/>
          <w:szCs w:val="32"/>
          <w:lang w:val="zh-CN" w:eastAsia="zh-CN"/>
        </w:rPr>
      </w:pPr>
      <w:bookmarkStart w:id="6" w:name="_Toc6590"/>
      <w:r>
        <w:rPr>
          <w:rFonts w:hint="default" w:ascii="Times New Roman" w:hAnsi="Times New Roman" w:eastAsia="方正黑体_GBK" w:cs="Times New Roman"/>
          <w:b w:val="0"/>
          <w:bCs w:val="0"/>
          <w:color w:val="auto"/>
          <w:sz w:val="32"/>
          <w:szCs w:val="32"/>
          <w:lang w:val="zh-CN" w:eastAsia="zh-CN"/>
        </w:rPr>
        <w:t>2.1发展现状</w:t>
      </w:r>
      <w:bookmarkEnd w:id="6"/>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目前</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丰都县已建有充电站40个，共计256个公共充电桩。已建578个分散式充电桩，</w:t>
      </w:r>
      <w:r>
        <w:rPr>
          <w:rFonts w:hint="eastAsia" w:ascii="Times New Roman" w:hAnsi="Times New Roman" w:eastAsia="方正仿宋_GBK" w:cs="Times New Roman"/>
          <w:sz w:val="32"/>
          <w:szCs w:val="32"/>
          <w:lang w:eastAsia="zh-CN"/>
        </w:rPr>
        <w:t>其中</w:t>
      </w:r>
      <w:r>
        <w:rPr>
          <w:rFonts w:hint="default" w:ascii="Times New Roman" w:hAnsi="Times New Roman" w:eastAsia="方正仿宋_GBK" w:cs="Times New Roman"/>
          <w:sz w:val="32"/>
          <w:szCs w:val="32"/>
        </w:rPr>
        <w:t>521个位于居住区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57个位于公共场所。中心城区已完成21个充电站建设，其中主要有：银白高速服务区双向各一座共8个充电桩；中心城区滨江西路1座，</w:t>
      </w:r>
      <w:r>
        <w:rPr>
          <w:rFonts w:hint="eastAsia" w:ascii="Times New Roman" w:hAnsi="Times New Roman" w:eastAsia="方正仿宋_GBK" w:cs="Times New Roman"/>
          <w:sz w:val="32"/>
          <w:szCs w:val="32"/>
          <w:lang w:eastAsia="zh-CN"/>
        </w:rPr>
        <w:t>共</w:t>
      </w:r>
      <w:r>
        <w:rPr>
          <w:rFonts w:hint="default" w:ascii="Times New Roman" w:hAnsi="Times New Roman" w:eastAsia="方正仿宋_GBK" w:cs="Times New Roman"/>
          <w:sz w:val="32"/>
          <w:szCs w:val="32"/>
        </w:rPr>
        <w:t>8个充电桩；朝华公园1座，共9个充电桩；滨江东路与新塆路交叉口停车场1座，共4个充电桩；水天坪工业园区1座，共8个充电桩；另有双路</w:t>
      </w:r>
      <w:r>
        <w:rPr>
          <w:rFonts w:hint="eastAsia"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、兴义</w:t>
      </w:r>
      <w:r>
        <w:rPr>
          <w:rFonts w:hint="eastAsia"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、龙河</w:t>
      </w:r>
      <w:r>
        <w:rPr>
          <w:rFonts w:hint="eastAsia"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、包鸾</w:t>
      </w:r>
      <w:r>
        <w:rPr>
          <w:rFonts w:hint="eastAsia"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、江池</w:t>
      </w:r>
      <w:r>
        <w:rPr>
          <w:rFonts w:hint="eastAsia"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、高家镇等已完成21个充电站建设，设置充电桩在2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4个不等。</w:t>
      </w:r>
    </w:p>
    <w:p>
      <w:pPr>
        <w:pStyle w:val="5"/>
        <w:widowControl w:val="0"/>
        <w:wordWrap/>
        <w:adjustRightInd/>
        <w:snapToGrid/>
        <w:spacing w:before="0" w:after="0" w:line="570" w:lineRule="exact"/>
        <w:ind w:firstLine="640" w:firstLineChars="200"/>
        <w:textAlignment w:val="auto"/>
        <w:rPr>
          <w:rFonts w:hint="default" w:ascii="Times New Roman" w:hAnsi="Times New Roman" w:eastAsia="方正黑体_GBK" w:cs="Times New Roman"/>
          <w:b w:val="0"/>
          <w:bCs w:val="0"/>
          <w:color w:val="auto"/>
          <w:sz w:val="32"/>
          <w:szCs w:val="32"/>
          <w:lang w:val="zh-CN" w:eastAsia="zh-CN"/>
        </w:rPr>
      </w:pPr>
      <w:bookmarkStart w:id="7" w:name="_Toc23911"/>
      <w:r>
        <w:rPr>
          <w:rFonts w:hint="default" w:ascii="Times New Roman" w:hAnsi="Times New Roman" w:eastAsia="方正黑体_GBK" w:cs="Times New Roman"/>
          <w:b w:val="0"/>
          <w:bCs w:val="0"/>
          <w:color w:val="auto"/>
          <w:sz w:val="32"/>
          <w:szCs w:val="32"/>
          <w:lang w:val="zh-CN" w:eastAsia="zh-CN"/>
        </w:rPr>
        <w:t>2.2发展趋势分析</w:t>
      </w:r>
      <w:bookmarkEnd w:id="7"/>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电动汽车的关键是电能储存的问题，关键是要解决蓄电池的问题。电动车续航的问题，会通过多种充电方式解决。包括行驶中充电的高级道路，停车充电的高级停车场，电缆充电的各种充电节点，更换电池等等方式来解决。可以预见，电动汽车的普及将会越来越广泛，保有量将会越来越大。电动汽车是创新产业发展方向，技术进步和国家、地方政策支持都会带来整个行业的爆发式增长。</w:t>
      </w:r>
    </w:p>
    <w:p>
      <w:pPr>
        <w:pStyle w:val="4"/>
        <w:widowControl w:val="0"/>
        <w:numPr>
          <w:ilvl w:val="0"/>
          <w:numId w:val="1"/>
        </w:numPr>
        <w:wordWrap/>
        <w:adjustRightInd/>
        <w:snapToGrid/>
        <w:spacing w:before="0" w:after="0" w:line="480" w:lineRule="auto"/>
        <w:jc w:val="center"/>
        <w:textAlignment w:val="auto"/>
        <w:rPr>
          <w:rFonts w:hint="default" w:ascii="Times New Roman" w:hAnsi="Times New Roman" w:eastAsia="方正小标宋_GBK" w:cs="Times New Roman"/>
          <w:b w:val="0"/>
          <w:bCs/>
          <w:color w:val="auto"/>
          <w:sz w:val="44"/>
          <w:szCs w:val="44"/>
        </w:rPr>
      </w:pPr>
      <w:bookmarkStart w:id="8" w:name="_Toc10385"/>
      <w:r>
        <w:rPr>
          <w:rFonts w:hint="default" w:ascii="Times New Roman" w:hAnsi="Times New Roman" w:eastAsia="方正小标宋_GBK" w:cs="Times New Roman"/>
          <w:b w:val="0"/>
          <w:bCs/>
          <w:color w:val="auto"/>
          <w:sz w:val="44"/>
          <w:szCs w:val="44"/>
        </w:rPr>
        <w:t>需求预测</w:t>
      </w:r>
      <w:bookmarkEnd w:id="8"/>
    </w:p>
    <w:p>
      <w:pPr>
        <w:pStyle w:val="5"/>
        <w:widowControl w:val="0"/>
        <w:wordWrap/>
        <w:adjustRightInd/>
        <w:snapToGrid/>
        <w:spacing w:before="0" w:after="0" w:line="570" w:lineRule="exact"/>
        <w:ind w:firstLine="640" w:firstLineChars="200"/>
        <w:textAlignment w:val="auto"/>
        <w:rPr>
          <w:rFonts w:hint="default" w:ascii="Times New Roman" w:hAnsi="Times New Roman" w:eastAsia="方正黑体_GBK" w:cs="Times New Roman"/>
          <w:b w:val="0"/>
          <w:bCs w:val="0"/>
          <w:color w:val="auto"/>
          <w:sz w:val="32"/>
          <w:szCs w:val="32"/>
          <w:lang w:val="zh-CN" w:eastAsia="zh-CN"/>
        </w:rPr>
      </w:pPr>
      <w:bookmarkStart w:id="9" w:name="_Toc26707"/>
      <w:r>
        <w:rPr>
          <w:rFonts w:hint="default" w:ascii="Times New Roman" w:hAnsi="Times New Roman" w:eastAsia="方正黑体_GBK" w:cs="Times New Roman"/>
          <w:b w:val="0"/>
          <w:bCs w:val="0"/>
          <w:color w:val="auto"/>
          <w:sz w:val="32"/>
          <w:szCs w:val="32"/>
          <w:lang w:val="zh-CN" w:eastAsia="zh-CN"/>
        </w:rPr>
        <w:t>3.1 电动汽车保有量现状情况</w:t>
      </w:r>
      <w:bookmarkEnd w:id="9"/>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丰都县2018年和2021年末电动汽车保有量分别为107辆和410辆，近四年的年平均增长速度达56.5%，目前丰都县电动汽车行业处于起步快速阶段。截至2021年底，丰都县电动汽车中，有公交客运</w:t>
      </w:r>
      <w:r>
        <w:rPr>
          <w:rFonts w:hint="default" w:ascii="Times New Roman" w:hAnsi="Times New Roman" w:eastAsia="方正仿宋_GBK" w:cs="Times New Roman"/>
          <w:sz w:val="32"/>
          <w:szCs w:val="32"/>
          <w:lang w:eastAsia="zh-CN"/>
        </w:rPr>
        <w:t>车辆</w:t>
      </w:r>
      <w:r>
        <w:rPr>
          <w:rFonts w:hint="default" w:ascii="Times New Roman" w:hAnsi="Times New Roman" w:eastAsia="方正仿宋_GBK" w:cs="Times New Roman"/>
          <w:sz w:val="32"/>
          <w:szCs w:val="32"/>
        </w:rPr>
        <w:t>30辆</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货车31</w:t>
      </w:r>
      <w:r>
        <w:rPr>
          <w:rFonts w:hint="default" w:ascii="Times New Roman" w:hAnsi="Times New Roman" w:eastAsia="方正仿宋_GBK" w:cs="Times New Roman"/>
          <w:sz w:val="32"/>
          <w:szCs w:val="32"/>
          <w:lang w:eastAsia="zh-CN"/>
        </w:rPr>
        <w:t>辆</w:t>
      </w:r>
      <w:r>
        <w:rPr>
          <w:rFonts w:hint="default" w:ascii="Times New Roman" w:hAnsi="Times New Roman" w:eastAsia="方正仿宋_GBK" w:cs="Times New Roman"/>
          <w:sz w:val="32"/>
          <w:szCs w:val="32"/>
        </w:rPr>
        <w:t>。</w:t>
      </w:r>
    </w:p>
    <w:p>
      <w:pPr>
        <w:pStyle w:val="5"/>
        <w:widowControl w:val="0"/>
        <w:wordWrap/>
        <w:adjustRightInd/>
        <w:snapToGrid/>
        <w:spacing w:before="0" w:after="0" w:line="570" w:lineRule="exact"/>
        <w:ind w:firstLine="640" w:firstLineChars="200"/>
        <w:textAlignment w:val="auto"/>
        <w:rPr>
          <w:rFonts w:hint="default" w:ascii="Times New Roman" w:hAnsi="Times New Roman" w:eastAsia="方正黑体_GBK" w:cs="Times New Roman"/>
          <w:b w:val="0"/>
          <w:bCs w:val="0"/>
          <w:color w:val="auto"/>
          <w:sz w:val="32"/>
          <w:szCs w:val="32"/>
          <w:lang w:val="zh-CN" w:eastAsia="zh-CN"/>
        </w:rPr>
      </w:pPr>
      <w:bookmarkStart w:id="10" w:name="_Toc23098"/>
      <w:r>
        <w:rPr>
          <w:rFonts w:hint="default" w:ascii="Times New Roman" w:hAnsi="Times New Roman" w:eastAsia="方正黑体_GBK" w:cs="Times New Roman"/>
          <w:b w:val="0"/>
          <w:bCs w:val="0"/>
          <w:color w:val="auto"/>
          <w:sz w:val="32"/>
          <w:szCs w:val="32"/>
          <w:lang w:val="zh-CN" w:eastAsia="zh-CN"/>
        </w:rPr>
        <w:t>3.2电动汽车保有量预测</w:t>
      </w:r>
      <w:bookmarkEnd w:id="10"/>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近几年丰都县电动汽车保有量发展现状，在国家和重庆市等各级政策大力推动下，未来几年电动汽车保有量仍将处于暴增阶段，其平均增长率按照45%来考虑，预计2027年丰都县小型电动汽车保有量将达到4369辆。按照电动汽车推广计划逐步实施电动公交车、客运车和物流车辆推广，预计2027年丰都县电动公交、客运车辆推广数量为170</w:t>
      </w:r>
      <w:r>
        <w:rPr>
          <w:rFonts w:hint="default" w:ascii="Times New Roman" w:hAnsi="Times New Roman" w:eastAsia="方正仿宋_GBK" w:cs="Times New Roman"/>
          <w:sz w:val="32"/>
          <w:szCs w:val="32"/>
          <w:lang w:eastAsia="zh-CN"/>
        </w:rPr>
        <w:t>辆</w:t>
      </w:r>
      <w:r>
        <w:rPr>
          <w:rFonts w:hint="default" w:ascii="Times New Roman" w:hAnsi="Times New Roman" w:eastAsia="方正仿宋_GBK" w:cs="Times New Roman"/>
          <w:sz w:val="32"/>
          <w:szCs w:val="32"/>
        </w:rPr>
        <w:t>，物流车辆推广数量为80辆。</w:t>
      </w:r>
    </w:p>
    <w:p>
      <w:pPr>
        <w:pStyle w:val="5"/>
        <w:widowControl w:val="0"/>
        <w:wordWrap/>
        <w:adjustRightInd/>
        <w:snapToGrid/>
        <w:spacing w:before="0" w:after="0" w:line="570" w:lineRule="exact"/>
        <w:ind w:firstLine="640" w:firstLineChars="200"/>
        <w:textAlignment w:val="auto"/>
        <w:rPr>
          <w:rFonts w:hint="default" w:ascii="Times New Roman" w:hAnsi="Times New Roman" w:eastAsia="方正黑体_GBK" w:cs="Times New Roman"/>
          <w:b w:val="0"/>
          <w:bCs w:val="0"/>
          <w:color w:val="auto"/>
          <w:sz w:val="32"/>
          <w:szCs w:val="32"/>
          <w:lang w:val="zh-CN" w:eastAsia="zh-CN"/>
        </w:rPr>
      </w:pPr>
      <w:bookmarkStart w:id="11" w:name="_Toc29226"/>
      <w:r>
        <w:rPr>
          <w:rFonts w:hint="default" w:ascii="Times New Roman" w:hAnsi="Times New Roman" w:eastAsia="方正黑体_GBK" w:cs="Times New Roman"/>
          <w:b w:val="0"/>
          <w:bCs w:val="0"/>
          <w:color w:val="auto"/>
          <w:sz w:val="32"/>
          <w:szCs w:val="32"/>
          <w:lang w:val="zh-CN" w:eastAsia="zh-CN"/>
        </w:rPr>
        <w:t>3.3 充电桩需求配置原则</w:t>
      </w:r>
      <w:bookmarkEnd w:id="11"/>
    </w:p>
    <w:p>
      <w:pPr>
        <w:autoSpaceDE w:val="0"/>
        <w:autoSpaceDN w:val="0"/>
        <w:adjustRightInd w:val="0"/>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公交客运车辆：</w:t>
      </w:r>
      <w:r>
        <w:rPr>
          <w:rFonts w:hint="default" w:ascii="Times New Roman" w:hAnsi="Times New Roman" w:eastAsia="方正仿宋_GBK" w:cs="Times New Roman"/>
          <w:sz w:val="32"/>
          <w:szCs w:val="32"/>
        </w:rPr>
        <w:t>按照0.5车桩比配置充电桩，充电机功率60KW</w:t>
      </w:r>
    </w:p>
    <w:p>
      <w:pPr>
        <w:autoSpaceDE w:val="0"/>
        <w:autoSpaceDN w:val="0"/>
        <w:adjustRightInd w:val="0"/>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物流车：</w:t>
      </w:r>
      <w:r>
        <w:rPr>
          <w:rFonts w:hint="default" w:ascii="Times New Roman" w:hAnsi="Times New Roman" w:eastAsia="方正仿宋_GBK" w:cs="Times New Roman"/>
          <w:sz w:val="32"/>
          <w:szCs w:val="32"/>
        </w:rPr>
        <w:t>按照0.6桩车比配置充电桩，充电机功率30KW</w:t>
      </w:r>
    </w:p>
    <w:p>
      <w:pPr>
        <w:autoSpaceDE w:val="0"/>
        <w:autoSpaceDN w:val="0"/>
        <w:adjustRightInd w:val="0"/>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其它小型汽车：</w:t>
      </w:r>
      <w:r>
        <w:rPr>
          <w:rFonts w:hint="default" w:ascii="Times New Roman" w:hAnsi="Times New Roman" w:eastAsia="方正仿宋_GBK" w:cs="Times New Roman"/>
          <w:sz w:val="32"/>
          <w:szCs w:val="32"/>
        </w:rPr>
        <w:t>按照0.5-1.2桩车比配置充电桩，充电机功率7KW-60KW。</w:t>
      </w:r>
    </w:p>
    <w:p>
      <w:pPr>
        <w:pStyle w:val="5"/>
        <w:widowControl w:val="0"/>
        <w:wordWrap/>
        <w:adjustRightInd/>
        <w:snapToGrid/>
        <w:spacing w:before="0" w:after="0" w:line="570" w:lineRule="exact"/>
        <w:ind w:firstLine="640" w:firstLineChars="200"/>
        <w:textAlignment w:val="auto"/>
        <w:rPr>
          <w:rFonts w:hint="default" w:ascii="Times New Roman" w:hAnsi="Times New Roman" w:eastAsia="方正黑体_GBK" w:cs="Times New Roman"/>
          <w:b w:val="0"/>
          <w:bCs w:val="0"/>
          <w:color w:val="auto"/>
          <w:sz w:val="32"/>
          <w:szCs w:val="32"/>
          <w:lang w:val="zh-CN" w:eastAsia="zh-CN"/>
        </w:rPr>
      </w:pPr>
      <w:bookmarkStart w:id="12" w:name="_Toc7647"/>
      <w:r>
        <w:rPr>
          <w:rFonts w:hint="default" w:ascii="Times New Roman" w:hAnsi="Times New Roman" w:eastAsia="方正黑体_GBK" w:cs="Times New Roman"/>
          <w:b w:val="0"/>
          <w:bCs w:val="0"/>
          <w:color w:val="auto"/>
          <w:sz w:val="32"/>
          <w:szCs w:val="32"/>
          <w:lang w:val="zh-CN" w:eastAsia="zh-CN"/>
        </w:rPr>
        <w:t>3.4 充电设施预测</w:t>
      </w:r>
      <w:bookmarkEnd w:id="12"/>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预计到2027年丰都县域共需充电桩4237个。其中，公交客运车辆充电桩85个，物流车辆充电桩48个，</w:t>
      </w:r>
      <w:r>
        <w:rPr>
          <w:rFonts w:hint="default" w:ascii="Times New Roman" w:hAnsi="Times New Roman" w:eastAsia="方正仿宋_GBK" w:cs="Times New Roman"/>
          <w:sz w:val="32"/>
          <w:szCs w:val="32"/>
          <w:lang w:eastAsia="zh-CN"/>
        </w:rPr>
        <w:t>其他</w:t>
      </w:r>
      <w:r>
        <w:rPr>
          <w:rFonts w:hint="default" w:ascii="Times New Roman" w:hAnsi="Times New Roman" w:eastAsia="方正仿宋_GBK" w:cs="Times New Roman"/>
          <w:sz w:val="32"/>
          <w:szCs w:val="32"/>
        </w:rPr>
        <w:t>小型汽车充电桩4089个。</w:t>
      </w:r>
    </w:p>
    <w:p>
      <w:pPr>
        <w:pStyle w:val="5"/>
        <w:widowControl w:val="0"/>
        <w:wordWrap/>
        <w:adjustRightInd/>
        <w:snapToGrid/>
        <w:spacing w:before="0" w:after="0" w:line="570" w:lineRule="exact"/>
        <w:ind w:firstLine="640" w:firstLineChars="200"/>
        <w:textAlignment w:val="auto"/>
        <w:rPr>
          <w:rFonts w:hint="default" w:ascii="Times New Roman" w:hAnsi="Times New Roman" w:eastAsia="方正黑体_GBK" w:cs="Times New Roman"/>
          <w:b w:val="0"/>
          <w:bCs w:val="0"/>
          <w:color w:val="auto"/>
          <w:sz w:val="32"/>
          <w:szCs w:val="32"/>
          <w:lang w:val="zh-CN" w:eastAsia="zh-CN"/>
        </w:rPr>
      </w:pPr>
      <w:bookmarkStart w:id="13" w:name="_Toc19175"/>
      <w:r>
        <w:rPr>
          <w:rFonts w:hint="default" w:ascii="Times New Roman" w:hAnsi="Times New Roman" w:eastAsia="方正黑体_GBK" w:cs="Times New Roman"/>
          <w:b w:val="0"/>
          <w:bCs w:val="0"/>
          <w:color w:val="auto"/>
          <w:sz w:val="32"/>
          <w:szCs w:val="32"/>
          <w:lang w:val="zh-CN" w:eastAsia="zh-CN"/>
        </w:rPr>
        <w:t>3.5 用电负荷预测</w:t>
      </w:r>
      <w:bookmarkEnd w:id="13"/>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本次规划充电站单站充电桩4</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80个不等，共计542个充电桩，充电机功率30-60KW。考虑充电高峰时期充电桩满负荷运行状态，社会公共充电站规模5</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80个充电桩，单站用电负荷约150-4000KW；公交客运车辆充电站规模10</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20个充电桩，单站用电负荷约480-1200KW；物流车专用充电站规模8</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15个充电桩，单站用电负荷约240-900KW。中心城区充电站用电负荷较为集中，高峰时期充电桩同时系数按照0.75考虑，预计中心城区高峰时期充电站用电负荷约为2.2万千瓦。</w:t>
      </w:r>
    </w:p>
    <w:p>
      <w:pPr>
        <w:pStyle w:val="4"/>
        <w:widowControl w:val="0"/>
        <w:numPr>
          <w:ilvl w:val="0"/>
          <w:numId w:val="1"/>
        </w:numPr>
        <w:wordWrap/>
        <w:adjustRightInd/>
        <w:snapToGrid/>
        <w:spacing w:before="0" w:after="0" w:line="480" w:lineRule="auto"/>
        <w:jc w:val="center"/>
        <w:textAlignment w:val="auto"/>
        <w:rPr>
          <w:rFonts w:hint="default" w:ascii="Times New Roman" w:hAnsi="Times New Roman" w:eastAsia="方正小标宋_GBK" w:cs="Times New Roman"/>
          <w:b w:val="0"/>
          <w:bCs/>
          <w:color w:val="auto"/>
          <w:sz w:val="44"/>
          <w:szCs w:val="44"/>
        </w:rPr>
      </w:pPr>
      <w:bookmarkStart w:id="14" w:name="_Toc21321"/>
      <w:r>
        <w:rPr>
          <w:rFonts w:hint="default" w:ascii="Times New Roman" w:hAnsi="Times New Roman" w:eastAsia="方正小标宋_GBK" w:cs="Times New Roman"/>
          <w:b w:val="0"/>
          <w:bCs/>
          <w:color w:val="auto"/>
          <w:sz w:val="44"/>
          <w:szCs w:val="44"/>
        </w:rPr>
        <w:t>规划布局思路</w:t>
      </w:r>
      <w:bookmarkEnd w:id="14"/>
    </w:p>
    <w:p>
      <w:pPr>
        <w:pStyle w:val="5"/>
        <w:widowControl w:val="0"/>
        <w:wordWrap/>
        <w:adjustRightInd/>
        <w:snapToGrid/>
        <w:spacing w:before="0" w:after="0" w:line="570" w:lineRule="exact"/>
        <w:ind w:firstLine="640" w:firstLineChars="200"/>
        <w:textAlignment w:val="auto"/>
        <w:rPr>
          <w:rFonts w:hint="default" w:ascii="Times New Roman" w:hAnsi="Times New Roman" w:eastAsia="方正黑体_GBK" w:cs="Times New Roman"/>
          <w:b w:val="0"/>
          <w:bCs w:val="0"/>
          <w:color w:val="auto"/>
          <w:sz w:val="32"/>
          <w:szCs w:val="32"/>
          <w:lang w:val="zh-CN" w:eastAsia="zh-CN"/>
        </w:rPr>
      </w:pPr>
      <w:bookmarkStart w:id="15" w:name="_Toc27620"/>
      <w:r>
        <w:rPr>
          <w:rFonts w:hint="default" w:ascii="Times New Roman" w:hAnsi="Times New Roman" w:eastAsia="方正黑体_GBK" w:cs="Times New Roman"/>
          <w:b w:val="0"/>
          <w:bCs w:val="0"/>
          <w:color w:val="auto"/>
          <w:sz w:val="32"/>
          <w:szCs w:val="32"/>
          <w:lang w:val="zh-CN" w:eastAsia="zh-CN"/>
        </w:rPr>
        <w:t>4.1 技术路线</w:t>
      </w:r>
      <w:bookmarkEnd w:id="15"/>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县域电动汽车充电基础设施建设</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以充电站为主、分散式充电桩为辅</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的充电服务网络，按照充电站和分散式充电桩两大类进行布局。充电站原则上按照服务半径覆盖城镇建设用地，以分散式充电桩进行补充。各个乡镇结合现有停车设施布局1个社会公共充电站。</w:t>
      </w:r>
    </w:p>
    <w:p>
      <w:pPr>
        <w:pStyle w:val="5"/>
        <w:widowControl w:val="0"/>
        <w:wordWrap/>
        <w:adjustRightInd/>
        <w:snapToGrid/>
        <w:spacing w:before="0" w:after="0" w:line="570" w:lineRule="exact"/>
        <w:ind w:firstLine="640" w:firstLineChars="200"/>
        <w:textAlignment w:val="auto"/>
        <w:rPr>
          <w:rFonts w:hint="default" w:ascii="Times New Roman" w:hAnsi="Times New Roman" w:eastAsia="方正黑体_GBK" w:cs="Times New Roman"/>
          <w:b w:val="0"/>
          <w:bCs w:val="0"/>
          <w:color w:val="auto"/>
          <w:sz w:val="32"/>
          <w:szCs w:val="32"/>
          <w:lang w:val="zh-CN" w:eastAsia="zh-CN"/>
        </w:rPr>
      </w:pPr>
      <w:bookmarkStart w:id="16" w:name="_Toc11327"/>
      <w:r>
        <w:rPr>
          <w:rFonts w:hint="default" w:ascii="Times New Roman" w:hAnsi="Times New Roman" w:eastAsia="方正黑体_GBK" w:cs="Times New Roman"/>
          <w:b w:val="0"/>
          <w:bCs w:val="0"/>
          <w:color w:val="auto"/>
          <w:sz w:val="32"/>
          <w:szCs w:val="32"/>
          <w:lang w:val="zh-CN" w:eastAsia="zh-CN"/>
        </w:rPr>
        <w:t>4.2 规划布局指引</w:t>
      </w:r>
      <w:bookmarkEnd w:id="16"/>
    </w:p>
    <w:p>
      <w:pPr>
        <w:ind w:firstLine="585"/>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（一）细化分类，明确用途</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针对</w:t>
      </w:r>
      <w:r>
        <w:rPr>
          <w:rFonts w:hint="default" w:ascii="Times New Roman" w:hAnsi="Times New Roman" w:eastAsia="方正仿宋_GBK" w:cs="Times New Roman"/>
          <w:sz w:val="32"/>
          <w:szCs w:val="32"/>
          <w:lang w:eastAsia="zh-CN"/>
        </w:rPr>
        <w:t>不同</w:t>
      </w:r>
      <w:r>
        <w:rPr>
          <w:rFonts w:hint="default" w:ascii="Times New Roman" w:hAnsi="Times New Roman" w:eastAsia="方正仿宋_GBK" w:cs="Times New Roman"/>
          <w:sz w:val="32"/>
          <w:szCs w:val="32"/>
        </w:rPr>
        <w:t>用途的车辆设置适合使用的充电站，分为社会公共充电站和专用充电站。</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社会公共充电站指具备出租车、私家车等小型车电池充电的功能，并根据建设条件可增加电池换电功能的充电站。</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专用充电站指用于长途客运车、公交车、物流车、环卫车等车辆电池充电，并根据建设条件可增加电池换电功能，按照车辆用途仅服务于该类型电动汽车的充换电站。</w:t>
      </w:r>
    </w:p>
    <w:p>
      <w:pPr>
        <w:ind w:firstLine="585"/>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（二）优化布局，精准落地</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空间分布上结合城市现状及和近期建设区域布点，规划布点充分考虑近期可实施性和规划站点对周边区域的就近服务能力。因此，充电站在空间分布上尽量位于城市建成区域和相关规划确定的近期建设区域布点。结合丰都县电动汽车充电基础设施新形势，以《丰都县城镇控制整合》成果为工作底图优化布局充电站，明确站点地块编号和充电桩规模。</w:t>
      </w:r>
    </w:p>
    <w:p>
      <w:pPr>
        <w:ind w:firstLine="585"/>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（三）因地制宜、分类实施</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纯电动乘用车存在使用主体、主要运行区域不确定的情况，</w:t>
      </w:r>
      <w:r>
        <w:rPr>
          <w:rFonts w:hint="default" w:ascii="Times New Roman" w:hAnsi="Times New Roman" w:eastAsia="方正仿宋_GBK" w:cs="Times New Roman"/>
          <w:sz w:val="32"/>
          <w:szCs w:val="32"/>
          <w:lang w:eastAsia="zh-TW"/>
        </w:rPr>
        <w:t>根据不同类型、不同用途电动汽车充电需求，遵循</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TW"/>
        </w:rPr>
        <w:t>市场主导、快慢互济</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TW"/>
        </w:rPr>
        <w:t>的技术导向，因地制宜、分类有序推进各地、各领域充电基础设施发展，同步建设充电智能服务平台。</w:t>
      </w:r>
      <w:r>
        <w:rPr>
          <w:rFonts w:hint="default" w:ascii="Times New Roman" w:hAnsi="Times New Roman" w:eastAsia="方正仿宋_GBK" w:cs="Times New Roman"/>
          <w:sz w:val="32"/>
          <w:szCs w:val="32"/>
        </w:rPr>
        <w:t>专项规划考虑集中式充电站与分散式充电桩相互结合的布局方式。在用地条件较好的地区采用公共充电站形式；在用地紧张、现状建成密度较高区域如交通枢纽、大型文体设施、城市绿地、大型建筑、住宅小区、路边停车位、企事业单位内部等停车设施配建分散式充电桩。专用充电站根据各自使用主体在使用车辆集中停放地点设置，如长途客运站、公交枢纽站、物流园区、环卫车停车场等地方。</w:t>
      </w:r>
    </w:p>
    <w:p>
      <w:pPr>
        <w:autoSpaceDE w:val="0"/>
        <w:autoSpaceDN w:val="0"/>
        <w:adjustRightInd w:val="0"/>
        <w:ind w:firstLine="640" w:firstLineChars="200"/>
        <w:rPr>
          <w:rFonts w:hint="default" w:ascii="Times New Roman" w:hAnsi="Times New Roman" w:eastAsia="方正仿宋_GBK" w:cs="Times New Roman"/>
          <w:sz w:val="32"/>
          <w:szCs w:val="32"/>
        </w:rPr>
      </w:pPr>
    </w:p>
    <w:p>
      <w:pPr>
        <w:autoSpaceDE w:val="0"/>
        <w:autoSpaceDN w:val="0"/>
        <w:adjustRightInd w:val="0"/>
        <w:ind w:firstLine="640" w:firstLineChars="200"/>
        <w:rPr>
          <w:rFonts w:hint="default" w:ascii="Times New Roman" w:hAnsi="Times New Roman" w:eastAsia="方正仿宋_GBK" w:cs="Times New Roman"/>
          <w:sz w:val="32"/>
          <w:szCs w:val="32"/>
        </w:rPr>
      </w:pPr>
    </w:p>
    <w:p>
      <w:pPr>
        <w:pStyle w:val="4"/>
        <w:widowControl w:val="0"/>
        <w:numPr>
          <w:ilvl w:val="0"/>
          <w:numId w:val="1"/>
        </w:numPr>
        <w:wordWrap/>
        <w:adjustRightInd/>
        <w:snapToGrid/>
        <w:spacing w:before="0" w:after="0" w:line="480" w:lineRule="auto"/>
        <w:jc w:val="center"/>
        <w:textAlignment w:val="auto"/>
        <w:rPr>
          <w:rFonts w:hint="default" w:ascii="Times New Roman" w:hAnsi="Times New Roman" w:eastAsia="方正小标宋_GBK" w:cs="Times New Roman"/>
          <w:b w:val="0"/>
          <w:bCs/>
          <w:color w:val="auto"/>
          <w:sz w:val="44"/>
          <w:szCs w:val="44"/>
        </w:rPr>
      </w:pPr>
      <w:bookmarkStart w:id="17" w:name="_Toc11865"/>
      <w:r>
        <w:rPr>
          <w:rFonts w:hint="default" w:ascii="Times New Roman" w:hAnsi="Times New Roman" w:eastAsia="方正小标宋_GBK" w:cs="Times New Roman"/>
          <w:b w:val="0"/>
          <w:bCs/>
          <w:color w:val="auto"/>
          <w:sz w:val="44"/>
          <w:szCs w:val="44"/>
        </w:rPr>
        <w:t>充电设施规划控制与布局选址要求</w:t>
      </w:r>
      <w:bookmarkEnd w:id="17"/>
    </w:p>
    <w:p>
      <w:pPr>
        <w:pStyle w:val="5"/>
        <w:widowControl w:val="0"/>
        <w:wordWrap/>
        <w:adjustRightInd/>
        <w:snapToGrid/>
        <w:spacing w:before="0" w:after="0" w:line="570" w:lineRule="exact"/>
        <w:ind w:firstLine="640" w:firstLineChars="200"/>
        <w:textAlignment w:val="auto"/>
        <w:rPr>
          <w:rFonts w:hint="default" w:ascii="Times New Roman" w:hAnsi="Times New Roman" w:eastAsia="方正黑体_GBK" w:cs="Times New Roman"/>
          <w:b w:val="0"/>
          <w:bCs w:val="0"/>
          <w:color w:val="auto"/>
          <w:sz w:val="32"/>
          <w:szCs w:val="32"/>
          <w:lang w:val="zh-CN" w:eastAsia="zh-CN"/>
        </w:rPr>
      </w:pPr>
      <w:bookmarkStart w:id="18" w:name="_Toc31099"/>
      <w:r>
        <w:rPr>
          <w:rFonts w:hint="default" w:ascii="Times New Roman" w:hAnsi="Times New Roman" w:eastAsia="方正黑体_GBK" w:cs="Times New Roman"/>
          <w:b w:val="0"/>
          <w:bCs w:val="0"/>
          <w:color w:val="auto"/>
          <w:sz w:val="32"/>
          <w:szCs w:val="32"/>
          <w:lang w:val="zh-CN" w:eastAsia="zh-CN"/>
        </w:rPr>
        <w:t>5.1 当前各类型充电设施功能构成</w:t>
      </w:r>
      <w:bookmarkEnd w:id="18"/>
    </w:p>
    <w:p>
      <w:pPr>
        <w:ind w:firstLine="585"/>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（一）社会公共充电站</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指具备出租车、私家车、网约车等小型车电池更换和电池充电的功能，社会公共充电站建设条件较好的地块将以充电方式为主，可预留换电工位。</w:t>
      </w:r>
    </w:p>
    <w:p>
      <w:pPr>
        <w:ind w:firstLine="585"/>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（二）专用充电站</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专用充电站指用于长途客运车、公交车、物流车、环卫车等车辆电池充电和更换电池，按照车辆用途仅服务于该类型电动汽车的充换电站。 </w:t>
      </w:r>
    </w:p>
    <w:p>
      <w:pPr>
        <w:ind w:firstLine="585"/>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（三）分散式充电桩</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广泛设置于居住小区、各类公共场所、机关单位和企业内部停车场、路边停车带的电动汽车充电桩，多用于小型汽车充电使用。</w:t>
      </w:r>
    </w:p>
    <w:p>
      <w:pPr>
        <w:pStyle w:val="5"/>
        <w:widowControl w:val="0"/>
        <w:wordWrap/>
        <w:adjustRightInd/>
        <w:snapToGrid/>
        <w:spacing w:before="0" w:after="0" w:line="570" w:lineRule="exact"/>
        <w:ind w:firstLine="640" w:firstLineChars="200"/>
        <w:textAlignment w:val="auto"/>
        <w:rPr>
          <w:rFonts w:hint="default" w:ascii="Times New Roman" w:hAnsi="Times New Roman" w:eastAsia="方正黑体_GBK" w:cs="Times New Roman"/>
          <w:b w:val="0"/>
          <w:bCs w:val="0"/>
          <w:color w:val="auto"/>
          <w:sz w:val="32"/>
          <w:szCs w:val="32"/>
          <w:lang w:val="zh-CN" w:eastAsia="zh-CN"/>
        </w:rPr>
      </w:pPr>
      <w:bookmarkStart w:id="19" w:name="_Toc4848"/>
      <w:r>
        <w:rPr>
          <w:rFonts w:hint="default" w:ascii="Times New Roman" w:hAnsi="Times New Roman" w:eastAsia="方正黑体_GBK" w:cs="Times New Roman"/>
          <w:b w:val="0"/>
          <w:bCs w:val="0"/>
          <w:color w:val="auto"/>
          <w:sz w:val="32"/>
          <w:szCs w:val="32"/>
          <w:lang w:val="zh-CN" w:eastAsia="zh-CN"/>
        </w:rPr>
        <w:t>5.2 充电站选址相关要求</w:t>
      </w:r>
      <w:bookmarkEnd w:id="19"/>
    </w:p>
    <w:p>
      <w:pPr>
        <w:ind w:firstLine="585"/>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lang w:eastAsia="zh-CN"/>
        </w:rPr>
        <w:t>（一）</w:t>
      </w:r>
      <w:r>
        <w:rPr>
          <w:rFonts w:hint="default" w:ascii="Times New Roman" w:hAnsi="Times New Roman" w:eastAsia="方正楷体_GBK" w:cs="Times New Roman"/>
          <w:b w:val="0"/>
          <w:bCs w:val="0"/>
          <w:sz w:val="32"/>
          <w:szCs w:val="32"/>
        </w:rPr>
        <w:t>服务范围</w:t>
      </w:r>
    </w:p>
    <w:p>
      <w:pPr>
        <w:ind w:left="562"/>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1</w:t>
      </w:r>
      <w:r>
        <w:rPr>
          <w:rFonts w:hint="default"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社会公共充电站</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充换电站与加油加气站属于同一类型公共服务设施，参照《重庆市加快电动汽车充电基础设施建设实施方案》（渝府办发〔2015〕212号）中相关要求，主城区原则上按服务半径每1公里提供1座公共充换电站，每个重点旅游景区至少建成1―2座公共充换电站。丰都县中心城区社会公共充电站单站服务半径按照1-1.5公里考虑，重要景区结合游客接待中心停车场单独布局充电设施，每个乡镇根据建设用地规模布局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2座充电站。</w:t>
      </w:r>
    </w:p>
    <w:p>
      <w:pPr>
        <w:ind w:firstLine="643" w:firstLineChars="20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2</w:t>
      </w:r>
      <w:r>
        <w:rPr>
          <w:rFonts w:hint="default"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专用充电站</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本次专项规划专用充电站在服务对象车辆集中停放场所设置，由于其服务对象为特定的纯电动车，本次规划对服务间距不做强制性要求。</w:t>
      </w:r>
    </w:p>
    <w:p>
      <w:pPr>
        <w:ind w:firstLine="643" w:firstLineChars="20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3</w:t>
      </w:r>
      <w:r>
        <w:rPr>
          <w:rFonts w:hint="default"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分散式充电桩</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分散式充电桩依托于居住小区、各类公共场所、机关单位和企业内部停车场、路边停车带等设施配置，本次规划对其服务间距不做强制性要求。</w:t>
      </w:r>
    </w:p>
    <w:p>
      <w:pPr>
        <w:numPr>
          <w:numId w:val="0"/>
        </w:numPr>
        <w:ind w:firstLine="640" w:firstLineChars="200"/>
        <w:rPr>
          <w:rFonts w:hint="default" w:ascii="Times New Roman" w:hAnsi="Times New Roman" w:cs="Times New Roman"/>
          <w:b/>
          <w:bCs/>
          <w:sz w:val="28"/>
          <w:szCs w:val="28"/>
        </w:rPr>
      </w:pPr>
      <w:r>
        <w:rPr>
          <w:rFonts w:hint="default" w:ascii="Times New Roman" w:hAnsi="Times New Roman" w:eastAsia="方正楷体_GBK" w:cs="Times New Roman"/>
          <w:b w:val="0"/>
          <w:bCs w:val="0"/>
          <w:sz w:val="32"/>
          <w:szCs w:val="32"/>
          <w:lang w:eastAsia="zh-CN"/>
        </w:rPr>
        <w:t>（二）</w:t>
      </w:r>
      <w:r>
        <w:rPr>
          <w:rFonts w:hint="default" w:ascii="Times New Roman" w:hAnsi="Times New Roman" w:eastAsia="方正楷体_GBK" w:cs="Times New Roman"/>
          <w:b w:val="0"/>
          <w:bCs w:val="0"/>
          <w:sz w:val="32"/>
          <w:szCs w:val="32"/>
        </w:rPr>
        <w:t xml:space="preserve">安全要求  </w:t>
      </w:r>
      <w:r>
        <w:rPr>
          <w:rFonts w:hint="default" w:ascii="Times New Roman" w:hAnsi="Times New Roman" w:cs="Times New Roman"/>
          <w:b/>
          <w:bCs/>
          <w:sz w:val="28"/>
          <w:szCs w:val="28"/>
        </w:rPr>
        <w:t xml:space="preserve"> </w:t>
      </w:r>
    </w:p>
    <w:p>
      <w:pPr>
        <w:autoSpaceDE w:val="0"/>
        <w:autoSpaceDN w:val="0"/>
        <w:adjustRightInd w:val="0"/>
        <w:ind w:firstLine="640" w:firstLineChars="200"/>
        <w:rPr>
          <w:rFonts w:hint="default" w:ascii="Times New Roman" w:hAnsi="Times New Roman" w:eastAsia="方正仿宋_GBK" w:cs="Times New Roman"/>
          <w:sz w:val="32"/>
          <w:szCs w:val="32"/>
          <w:lang w:val="zh-CN"/>
        </w:rPr>
      </w:pPr>
      <w:r>
        <w:rPr>
          <w:rFonts w:hint="default" w:ascii="Times New Roman" w:hAnsi="Times New Roman" w:eastAsia="方正仿宋_GBK" w:cs="Times New Roman"/>
          <w:sz w:val="32"/>
          <w:szCs w:val="32"/>
          <w:lang w:val="zh-CN"/>
        </w:rPr>
        <w:t>根据国内已建成充电站现场调研，充换电站建筑和相关设备不涉及易燃易爆物品。参照《电动汽车充电站通用要求》GB/T 29781-2013，充电站建（构）筑物构件的燃烧性能、耐火极限、站内的建（构）筑物与站外的民用建（构）筑物及各类厂房、库房、堆场、储罐之间的防火间距应符合GB 50016-2006第3章的规定；变压器室、配电室、户外电力设备的耐火等级、与其他建（构）筑物和设备之间的防火间距应符合GB 50229-2006第11章的规定。</w:t>
      </w:r>
    </w:p>
    <w:p>
      <w:pPr>
        <w:autoSpaceDE w:val="0"/>
        <w:autoSpaceDN w:val="0"/>
        <w:adjustRightInd w:val="0"/>
        <w:ind w:firstLine="640" w:firstLineChars="200"/>
        <w:rPr>
          <w:rFonts w:hint="default" w:ascii="Times New Roman" w:hAnsi="Times New Roman" w:eastAsia="方正仿宋_GBK" w:cs="Times New Roman"/>
          <w:sz w:val="32"/>
          <w:szCs w:val="32"/>
          <w:lang w:val="zh-CN"/>
        </w:rPr>
      </w:pPr>
      <w:r>
        <w:rPr>
          <w:rFonts w:hint="default" w:ascii="Times New Roman" w:hAnsi="Times New Roman" w:eastAsia="方正仿宋_GBK" w:cs="Times New Roman"/>
          <w:sz w:val="32"/>
          <w:szCs w:val="32"/>
          <w:lang w:val="zh-CN"/>
        </w:rPr>
        <w:t>充电站的防雷要求应符合GB 50057，DL/T 620的有关规定，充电站配置专用电力变压器时，电力线宜采用具有金属护套或绝缘护套电缆穿钢管埋地引入充电站，电力电缆金属护套或钢管两端应就近可靠接地；信号电缆应由地下进出充电站，电缆内芯线在进站处应加装相应的信号避雷器，避雷器和电缆内的空线对均应做保护接地，站区内不应布放架空缆线。充电站应设有便于监控室、办公室、休息室及充电区工作人员安全撤离的通道，应尽可能提高充电站设施以及充电操作过程中对充电车辆、动力蓄电池和操作人员的安全性。与加油加气站合建的充电站需满足加油加气站安全防护要求以及《爆炸危险环境电力装置设计规范》GB 50058-2014要求。</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zh-CN"/>
        </w:rPr>
        <w:t>分散式充电桩建设应安全可靠，需满足《电动汽车充电设施建设技术标准》（DBJ50-218-2020）中相关要求。</w:t>
      </w:r>
    </w:p>
    <w:p>
      <w:pPr>
        <w:numPr>
          <w:numId w:val="0"/>
        </w:numPr>
        <w:ind w:firstLine="640" w:firstLineChars="200"/>
        <w:rPr>
          <w:rFonts w:hint="default" w:ascii="Times New Roman" w:hAnsi="Times New Roman" w:eastAsia="方正楷体_GBK" w:cs="Times New Roman"/>
          <w:b w:val="0"/>
          <w:bCs w:val="0"/>
          <w:sz w:val="32"/>
          <w:szCs w:val="32"/>
          <w:lang w:eastAsia="zh-CN"/>
        </w:rPr>
      </w:pPr>
      <w:r>
        <w:rPr>
          <w:rFonts w:hint="default" w:ascii="Times New Roman" w:hAnsi="Times New Roman" w:eastAsia="方正楷体_GBK" w:cs="Times New Roman"/>
          <w:b w:val="0"/>
          <w:bCs w:val="0"/>
          <w:sz w:val="32"/>
          <w:szCs w:val="32"/>
          <w:lang w:eastAsia="zh-CN"/>
        </w:rPr>
        <w:t xml:space="preserve">（三）环保要求   </w:t>
      </w:r>
    </w:p>
    <w:p>
      <w:pPr>
        <w:ind w:firstLine="640" w:firstLineChars="200"/>
        <w:rPr>
          <w:rFonts w:hint="default" w:ascii="Times New Roman" w:hAnsi="Times New Roman" w:cs="Times New Roman"/>
          <w:sz w:val="28"/>
          <w:szCs w:val="28"/>
        </w:rPr>
      </w:pPr>
      <w:r>
        <w:rPr>
          <w:rFonts w:hint="default" w:ascii="Times New Roman" w:hAnsi="Times New Roman" w:eastAsia="方正仿宋_GBK" w:cs="Times New Roman"/>
          <w:sz w:val="32"/>
          <w:szCs w:val="32"/>
        </w:rPr>
        <w:t>电动汽车属于绿色清洁能源，当前车用电池主要采用磷酸铁锂电池，在充换电过程中无气体、液体和固废物排放。</w:t>
      </w:r>
    </w:p>
    <w:p>
      <w:pPr>
        <w:autoSpaceDE w:val="0"/>
        <w:autoSpaceDN w:val="0"/>
        <w:adjustRightInd w:val="0"/>
        <w:ind w:firstLine="640" w:firstLineChars="200"/>
        <w:rPr>
          <w:rFonts w:hint="default" w:ascii="Times New Roman" w:hAnsi="Times New Roman" w:eastAsia="方正仿宋_GBK" w:cs="Times New Roman"/>
          <w:sz w:val="32"/>
          <w:szCs w:val="32"/>
          <w:lang w:val="zh-CN" w:eastAsia="zh-CN"/>
        </w:rPr>
      </w:pPr>
      <w:r>
        <w:rPr>
          <w:rFonts w:hint="default" w:ascii="Times New Roman" w:hAnsi="Times New Roman" w:eastAsia="方正仿宋_GBK" w:cs="Times New Roman"/>
          <w:sz w:val="32"/>
          <w:szCs w:val="32"/>
        </w:rPr>
        <w:t>在噪声影响方面，相关技术规范对于采用充电方式补充能源的充电站均未涉及声源及影响；</w:t>
      </w:r>
      <w:r>
        <w:rPr>
          <w:rFonts w:hint="default" w:ascii="Times New Roman" w:hAnsi="Times New Roman" w:eastAsia="方正仿宋_GBK" w:cs="Times New Roman"/>
          <w:sz w:val="32"/>
          <w:szCs w:val="32"/>
          <w:lang w:val="zh-CN"/>
        </w:rPr>
        <w:t>经过对现状已建成的充电站进行研究，其采用充电桩进行快慢速充电过程中均未有噪声产生。</w:t>
      </w:r>
    </w:p>
    <w:p>
      <w:pPr>
        <w:autoSpaceDE w:val="0"/>
        <w:autoSpaceDN w:val="0"/>
        <w:adjustRightInd w:val="0"/>
        <w:ind w:firstLine="640" w:firstLineChars="200"/>
        <w:rPr>
          <w:rFonts w:hint="default" w:ascii="Times New Roman" w:hAnsi="Times New Roman" w:eastAsia="方正仿宋_GBK" w:cs="Times New Roman"/>
          <w:sz w:val="32"/>
          <w:szCs w:val="32"/>
          <w:lang w:val="zh-CN" w:eastAsia="zh-CN"/>
        </w:rPr>
      </w:pPr>
      <w:r>
        <w:rPr>
          <w:rFonts w:hint="default" w:ascii="Times New Roman" w:hAnsi="Times New Roman" w:eastAsia="方正仿宋_GBK" w:cs="Times New Roman"/>
          <w:sz w:val="32"/>
          <w:szCs w:val="32"/>
          <w:lang w:val="zh-CN" w:eastAsia="zh-CN"/>
        </w:rPr>
        <w:t>充换电站10KV接入电压辐射较小，运营时噪声影响较小，符合节能环保发展要求，</w:t>
      </w:r>
      <w:r>
        <w:rPr>
          <w:rFonts w:hint="default" w:ascii="Times New Roman" w:hAnsi="Times New Roman" w:eastAsia="方正仿宋_GBK" w:cs="Times New Roman"/>
          <w:sz w:val="32"/>
          <w:szCs w:val="32"/>
          <w:lang w:val="zh-CN"/>
        </w:rPr>
        <w:t>在</w:t>
      </w:r>
      <w:r>
        <w:rPr>
          <w:rFonts w:hint="default" w:ascii="Times New Roman" w:hAnsi="Times New Roman" w:eastAsia="方正仿宋_GBK" w:cs="Times New Roman"/>
          <w:sz w:val="32"/>
          <w:szCs w:val="32"/>
          <w:lang w:val="zh-CN" w:eastAsia="zh-CN"/>
        </w:rPr>
        <w:t>具体项目建设时须完善环境影响评价有关审批手续。</w:t>
      </w:r>
    </w:p>
    <w:p>
      <w:pPr>
        <w:numPr>
          <w:numId w:val="0"/>
        </w:numPr>
        <w:ind w:firstLine="640" w:firstLineChars="200"/>
        <w:rPr>
          <w:rFonts w:hint="default" w:ascii="Times New Roman" w:hAnsi="Times New Roman" w:eastAsia="方正楷体_GBK" w:cs="Times New Roman"/>
          <w:b w:val="0"/>
          <w:bCs w:val="0"/>
          <w:sz w:val="32"/>
          <w:szCs w:val="32"/>
          <w:lang w:eastAsia="zh-CN"/>
        </w:rPr>
      </w:pPr>
      <w:r>
        <w:rPr>
          <w:rFonts w:hint="default" w:ascii="Times New Roman" w:hAnsi="Times New Roman" w:eastAsia="方正楷体_GBK" w:cs="Times New Roman"/>
          <w:b w:val="0"/>
          <w:bCs w:val="0"/>
          <w:sz w:val="32"/>
          <w:szCs w:val="32"/>
          <w:lang w:eastAsia="zh-CN"/>
        </w:rPr>
        <w:t xml:space="preserve">（四）充电电源   </w:t>
      </w:r>
    </w:p>
    <w:p>
      <w:pPr>
        <w:autoSpaceDE w:val="0"/>
        <w:autoSpaceDN w:val="0"/>
        <w:adjustRightInd w:val="0"/>
        <w:ind w:firstLine="640" w:firstLineChars="200"/>
        <w:rPr>
          <w:rFonts w:hint="default" w:ascii="Times New Roman" w:hAnsi="Times New Roman" w:eastAsia="方正仿宋_GBK" w:cs="Times New Roman"/>
          <w:sz w:val="32"/>
          <w:szCs w:val="32"/>
          <w:lang w:val="zh-CN"/>
        </w:rPr>
      </w:pPr>
      <w:r>
        <w:rPr>
          <w:rFonts w:hint="default" w:ascii="Times New Roman" w:hAnsi="Times New Roman" w:eastAsia="方正仿宋_GBK" w:cs="Times New Roman"/>
          <w:sz w:val="32"/>
          <w:szCs w:val="32"/>
          <w:lang w:val="zh-CN"/>
        </w:rPr>
        <w:t>充电站建议采用专用变压器供电，并采用较高电压等级（10kV）供电，与公用用户隔离。</w:t>
      </w:r>
    </w:p>
    <w:p>
      <w:pPr>
        <w:numPr>
          <w:numId w:val="0"/>
        </w:numPr>
        <w:ind w:firstLine="640" w:firstLineChars="200"/>
        <w:rPr>
          <w:rFonts w:hint="default" w:ascii="Times New Roman" w:hAnsi="Times New Roman" w:cs="Times New Roman"/>
          <w:b/>
          <w:bCs/>
          <w:sz w:val="28"/>
          <w:szCs w:val="28"/>
        </w:rPr>
      </w:pPr>
      <w:r>
        <w:rPr>
          <w:rFonts w:hint="default" w:ascii="Times New Roman" w:hAnsi="Times New Roman" w:eastAsia="方正楷体_GBK" w:cs="Times New Roman"/>
          <w:b w:val="0"/>
          <w:bCs w:val="0"/>
          <w:sz w:val="32"/>
          <w:szCs w:val="32"/>
          <w:lang w:eastAsia="zh-CN"/>
        </w:rPr>
        <w:t xml:space="preserve">（五）与城市道路的关系  </w:t>
      </w:r>
      <w:r>
        <w:rPr>
          <w:rFonts w:hint="default" w:ascii="Times New Roman" w:hAnsi="Times New Roman" w:cs="Times New Roman"/>
          <w:b/>
          <w:bCs/>
          <w:sz w:val="28"/>
          <w:szCs w:val="28"/>
        </w:rPr>
        <w:t xml:space="preserve"> </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为保障城市交通的畅通和城市交通设施的充分利用，各类型充电站尽可能</w:t>
      </w:r>
      <w:r>
        <w:rPr>
          <w:rFonts w:hint="default" w:ascii="Times New Roman" w:hAnsi="Times New Roman" w:eastAsia="方正仿宋_GBK" w:cs="Times New Roman"/>
          <w:sz w:val="32"/>
          <w:szCs w:val="32"/>
          <w:lang w:eastAsia="zh-CN"/>
        </w:rPr>
        <w:t>地</w:t>
      </w:r>
      <w:r>
        <w:rPr>
          <w:rFonts w:hint="default" w:ascii="Times New Roman" w:hAnsi="Times New Roman" w:eastAsia="方正仿宋_GBK" w:cs="Times New Roman"/>
          <w:sz w:val="32"/>
          <w:szCs w:val="32"/>
        </w:rPr>
        <w:t>布局在城市现状建成区和近期建设区域主、次干道邻近布局。</w:t>
      </w:r>
    </w:p>
    <w:p>
      <w:pPr>
        <w:pStyle w:val="4"/>
        <w:widowControl w:val="0"/>
        <w:numPr>
          <w:ilvl w:val="0"/>
          <w:numId w:val="1"/>
        </w:numPr>
        <w:wordWrap/>
        <w:adjustRightInd/>
        <w:snapToGrid/>
        <w:spacing w:before="0" w:after="0" w:line="480" w:lineRule="auto"/>
        <w:jc w:val="center"/>
        <w:textAlignment w:val="auto"/>
        <w:rPr>
          <w:rFonts w:hint="default" w:ascii="Times New Roman" w:hAnsi="Times New Roman" w:eastAsia="方正小标宋_GBK" w:cs="Times New Roman"/>
          <w:b w:val="0"/>
          <w:bCs/>
          <w:color w:val="auto"/>
          <w:sz w:val="44"/>
          <w:szCs w:val="44"/>
        </w:rPr>
      </w:pPr>
      <w:bookmarkStart w:id="20" w:name="_Toc18549"/>
      <w:r>
        <w:rPr>
          <w:rFonts w:hint="default" w:ascii="Times New Roman" w:hAnsi="Times New Roman" w:eastAsia="方正小标宋_GBK" w:cs="Times New Roman"/>
          <w:b w:val="0"/>
          <w:bCs/>
          <w:color w:val="auto"/>
          <w:sz w:val="44"/>
          <w:szCs w:val="44"/>
        </w:rPr>
        <w:t>电动汽车充电设施布点</w:t>
      </w:r>
      <w:bookmarkEnd w:id="20"/>
    </w:p>
    <w:p>
      <w:pPr>
        <w:pStyle w:val="5"/>
        <w:widowControl w:val="0"/>
        <w:wordWrap/>
        <w:adjustRightInd/>
        <w:snapToGrid/>
        <w:spacing w:before="0" w:after="0" w:line="570" w:lineRule="exact"/>
        <w:ind w:firstLine="640" w:firstLineChars="200"/>
        <w:textAlignment w:val="auto"/>
        <w:rPr>
          <w:rFonts w:hint="default" w:ascii="Times New Roman" w:hAnsi="Times New Roman" w:eastAsia="方正黑体_GBK" w:cs="Times New Roman"/>
          <w:b w:val="0"/>
          <w:bCs w:val="0"/>
          <w:color w:val="auto"/>
          <w:sz w:val="32"/>
          <w:szCs w:val="32"/>
          <w:lang w:val="zh-CN" w:eastAsia="zh-CN"/>
        </w:rPr>
      </w:pPr>
      <w:bookmarkStart w:id="21" w:name="_Toc2798"/>
      <w:r>
        <w:rPr>
          <w:rFonts w:hint="default" w:ascii="Times New Roman" w:hAnsi="Times New Roman" w:eastAsia="方正黑体_GBK" w:cs="Times New Roman"/>
          <w:b w:val="0"/>
          <w:bCs w:val="0"/>
          <w:color w:val="auto"/>
          <w:sz w:val="32"/>
          <w:szCs w:val="32"/>
          <w:lang w:val="zh-CN" w:eastAsia="zh-CN"/>
        </w:rPr>
        <w:t>6.1 规划对象</w:t>
      </w:r>
      <w:bookmarkEnd w:id="21"/>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本次规划布点对象为电动汽车充电设施中的社会公共充电站、专用充电站和分散式充电桩。</w:t>
      </w:r>
    </w:p>
    <w:p>
      <w:pPr>
        <w:pStyle w:val="5"/>
        <w:widowControl w:val="0"/>
        <w:wordWrap/>
        <w:adjustRightInd/>
        <w:snapToGrid/>
        <w:spacing w:before="0" w:after="0" w:line="570" w:lineRule="exact"/>
        <w:ind w:firstLine="640" w:firstLineChars="200"/>
        <w:textAlignment w:val="auto"/>
        <w:rPr>
          <w:rFonts w:hint="default" w:ascii="Times New Roman" w:hAnsi="Times New Roman" w:eastAsia="方正黑体_GBK" w:cs="Times New Roman"/>
          <w:b w:val="0"/>
          <w:bCs w:val="0"/>
          <w:color w:val="auto"/>
          <w:sz w:val="32"/>
          <w:szCs w:val="32"/>
          <w:lang w:val="zh-CN" w:eastAsia="zh-CN"/>
        </w:rPr>
      </w:pPr>
      <w:bookmarkStart w:id="22" w:name="_Toc8281"/>
      <w:r>
        <w:rPr>
          <w:rFonts w:hint="default" w:ascii="Times New Roman" w:hAnsi="Times New Roman" w:eastAsia="方正黑体_GBK" w:cs="Times New Roman"/>
          <w:b w:val="0"/>
          <w:bCs w:val="0"/>
          <w:color w:val="auto"/>
          <w:sz w:val="32"/>
          <w:szCs w:val="32"/>
          <w:lang w:val="zh-CN" w:eastAsia="zh-CN"/>
        </w:rPr>
        <w:t>6.2 规划范围</w:t>
      </w:r>
      <w:bookmarkEnd w:id="22"/>
    </w:p>
    <w:p>
      <w:pPr>
        <w:spacing w:line="360" w:lineRule="auto"/>
        <w:ind w:firstLine="640" w:firstLineChars="200"/>
        <w:rPr>
          <w:rFonts w:hint="default" w:ascii="Times New Roman" w:hAnsi="Times New Roman" w:cs="Times New Roman"/>
          <w:sz w:val="28"/>
          <w:szCs w:val="28"/>
        </w:rPr>
      </w:pPr>
      <w:r>
        <w:rPr>
          <w:rFonts w:hint="default" w:ascii="Times New Roman" w:hAnsi="Times New Roman" w:eastAsia="方正仿宋_GBK" w:cs="Times New Roman"/>
          <w:sz w:val="32"/>
          <w:szCs w:val="32"/>
        </w:rPr>
        <w:t>本次布点规划范围为丰都县县域行政管辖范围。</w:t>
      </w:r>
    </w:p>
    <w:p>
      <w:pPr>
        <w:pStyle w:val="5"/>
        <w:widowControl w:val="0"/>
        <w:wordWrap/>
        <w:adjustRightInd/>
        <w:snapToGrid/>
        <w:spacing w:before="0" w:after="0" w:line="570" w:lineRule="exact"/>
        <w:ind w:firstLine="640" w:firstLineChars="200"/>
        <w:textAlignment w:val="auto"/>
        <w:rPr>
          <w:rFonts w:hint="default" w:ascii="Times New Roman" w:hAnsi="Times New Roman" w:eastAsia="方正黑体_GBK" w:cs="Times New Roman"/>
          <w:b w:val="0"/>
          <w:bCs w:val="0"/>
          <w:color w:val="auto"/>
          <w:sz w:val="32"/>
          <w:szCs w:val="32"/>
          <w:lang w:val="zh-CN" w:eastAsia="zh-CN"/>
        </w:rPr>
      </w:pPr>
      <w:bookmarkStart w:id="23" w:name="_Toc30661"/>
      <w:r>
        <w:rPr>
          <w:rFonts w:hint="default" w:ascii="Times New Roman" w:hAnsi="Times New Roman" w:eastAsia="方正黑体_GBK" w:cs="Times New Roman"/>
          <w:b w:val="0"/>
          <w:bCs w:val="0"/>
          <w:color w:val="auto"/>
          <w:sz w:val="32"/>
          <w:szCs w:val="32"/>
          <w:lang w:val="zh-CN" w:eastAsia="zh-CN"/>
        </w:rPr>
        <w:t>6.3 规划期限</w:t>
      </w:r>
      <w:bookmarkEnd w:id="23"/>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本次布点规划期限为2022年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2027年。</w:t>
      </w:r>
    </w:p>
    <w:p>
      <w:pPr>
        <w:pStyle w:val="5"/>
        <w:widowControl w:val="0"/>
        <w:wordWrap/>
        <w:adjustRightInd/>
        <w:snapToGrid/>
        <w:spacing w:before="0" w:after="0" w:line="570" w:lineRule="exact"/>
        <w:ind w:firstLine="640" w:firstLineChars="200"/>
        <w:textAlignment w:val="auto"/>
        <w:rPr>
          <w:rFonts w:hint="default" w:ascii="Times New Roman" w:hAnsi="Times New Roman" w:eastAsia="方正黑体_GBK" w:cs="Times New Roman"/>
          <w:b w:val="0"/>
          <w:bCs w:val="0"/>
          <w:color w:val="auto"/>
          <w:sz w:val="32"/>
          <w:szCs w:val="32"/>
          <w:lang w:val="zh-CN" w:eastAsia="zh-CN"/>
        </w:rPr>
      </w:pPr>
      <w:bookmarkStart w:id="24" w:name="_Toc24549"/>
      <w:r>
        <w:rPr>
          <w:rFonts w:hint="default" w:ascii="Times New Roman" w:hAnsi="Times New Roman" w:eastAsia="方正黑体_GBK" w:cs="Times New Roman"/>
          <w:b w:val="0"/>
          <w:bCs w:val="0"/>
          <w:color w:val="auto"/>
          <w:sz w:val="32"/>
          <w:szCs w:val="32"/>
          <w:lang w:val="zh-CN" w:eastAsia="zh-CN"/>
        </w:rPr>
        <w:t>6.4 规划依据</w:t>
      </w:r>
      <w:bookmarkEnd w:id="24"/>
    </w:p>
    <w:p>
      <w:pPr>
        <w:numPr>
          <w:numId w:val="0"/>
        </w:numPr>
        <w:ind w:firstLine="640" w:firstLineChars="200"/>
        <w:rPr>
          <w:rFonts w:hint="default" w:ascii="Times New Roman" w:hAnsi="Times New Roman" w:eastAsia="方正楷体_GBK" w:cs="Times New Roman"/>
          <w:b w:val="0"/>
          <w:bCs w:val="0"/>
          <w:sz w:val="32"/>
          <w:szCs w:val="32"/>
          <w:lang w:eastAsia="zh-CN"/>
        </w:rPr>
      </w:pPr>
      <w:r>
        <w:rPr>
          <w:rFonts w:hint="default" w:ascii="Times New Roman" w:hAnsi="Times New Roman" w:eastAsia="方正楷体_GBK" w:cs="Times New Roman"/>
          <w:b w:val="0"/>
          <w:bCs w:val="0"/>
          <w:sz w:val="32"/>
          <w:szCs w:val="32"/>
          <w:lang w:eastAsia="zh-CN"/>
        </w:rPr>
        <w:t>（一）国家和地方有关法规、规章及规范性文件</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《中华人民共和国城乡规划法》</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《中华人民共和国土地管理法》</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《城市用地分类与规划建设用地标准》（GB50137-2011）</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《重庆市城乡规划条例》</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《重庆市城市规划管理技术规定》</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《城市道路交通规划设计规范》（GB50220-95）</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《电动汽车充电站通用要求》GB/T 29781-2013</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《电动汽车充电站设计规范》GB 50966-2014</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《爆炸危险环境电力装置设计规范》GB 50058-2014</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《电动汽车充电设施建设技术标准》DBJ50 218-2020</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《电动汽车充电设施建设技术标准》（DBJ50-218-2020）</w:t>
      </w:r>
    </w:p>
    <w:p>
      <w:pPr>
        <w:numPr>
          <w:numId w:val="0"/>
        </w:numPr>
        <w:ind w:firstLine="640" w:firstLineChars="200"/>
        <w:rPr>
          <w:rFonts w:hint="default" w:ascii="Times New Roman" w:hAnsi="Times New Roman" w:eastAsia="方正楷体_GBK" w:cs="Times New Roman"/>
          <w:b w:val="0"/>
          <w:bCs w:val="0"/>
          <w:sz w:val="32"/>
          <w:szCs w:val="32"/>
          <w:lang w:eastAsia="zh-CN"/>
        </w:rPr>
      </w:pPr>
      <w:r>
        <w:rPr>
          <w:rFonts w:hint="default" w:ascii="Times New Roman" w:hAnsi="Times New Roman" w:eastAsia="方正楷体_GBK" w:cs="Times New Roman"/>
          <w:b w:val="0"/>
          <w:bCs w:val="0"/>
          <w:sz w:val="32"/>
          <w:szCs w:val="32"/>
          <w:lang w:eastAsia="zh-CN"/>
        </w:rPr>
        <w:t>（二）相关规划及专业技术性文件</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《丰都县城乡总体规划》</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《丰都县城镇控制整合》</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相关区域已批控制性详细规划</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重庆市充电基础设施</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十四五</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发展规划（2021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2025年）</w:t>
      </w:r>
    </w:p>
    <w:p>
      <w:pPr>
        <w:numPr>
          <w:numId w:val="0"/>
        </w:numPr>
        <w:ind w:firstLine="640" w:firstLineChars="200"/>
        <w:rPr>
          <w:rFonts w:hint="default" w:ascii="Times New Roman" w:hAnsi="Times New Roman" w:eastAsia="方正楷体_GBK" w:cs="Times New Roman"/>
          <w:b w:val="0"/>
          <w:bCs w:val="0"/>
          <w:sz w:val="32"/>
          <w:szCs w:val="32"/>
          <w:lang w:eastAsia="zh-CN"/>
        </w:rPr>
      </w:pPr>
      <w:r>
        <w:rPr>
          <w:rFonts w:hint="default" w:ascii="Times New Roman" w:hAnsi="Times New Roman" w:eastAsia="方正楷体_GBK" w:cs="Times New Roman"/>
          <w:b w:val="0"/>
          <w:bCs w:val="0"/>
          <w:sz w:val="32"/>
          <w:szCs w:val="32"/>
          <w:lang w:eastAsia="zh-CN"/>
        </w:rPr>
        <w:t>（三）相关文件</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《财政部科技部关于开展节能与新能源汽车示范推广工作的通知》（财建[2009]6号）；</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国务院办公厅《关于加快电动汽车充电基础设施建设的指导意见》</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国家发展改革委、国家能源局、工业和信息化部和住房城乡建设部《电动汽车充电基础设施发展指南（2015</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2020年）》</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重庆市政府办公厅公文《关于协调电动车汽车充电站试点建设的有关问题的情况报告》；</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《重庆市经济与信息化委员会关于印发重庆市</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十二五</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电动汽车充电设施建设规划的通知》（渝经信电力</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(2011)1号</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《重庆市新能源汽车推广应用市级财政补贴实施细则（暂行）》（渝财企</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2014</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3号）</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《重庆市加快电动汽车充电基础设施建设实施方案》（渝府办发〔2015〕212号）</w:t>
      </w:r>
    </w:p>
    <w:p>
      <w:pPr>
        <w:pStyle w:val="5"/>
        <w:widowControl w:val="0"/>
        <w:wordWrap/>
        <w:adjustRightInd/>
        <w:snapToGrid/>
        <w:spacing w:before="0" w:after="0" w:line="570" w:lineRule="exact"/>
        <w:ind w:firstLine="640" w:firstLineChars="200"/>
        <w:textAlignment w:val="auto"/>
        <w:rPr>
          <w:rFonts w:hint="default" w:ascii="Times New Roman" w:hAnsi="Times New Roman" w:eastAsia="方正黑体_GBK" w:cs="Times New Roman"/>
          <w:b w:val="0"/>
          <w:bCs w:val="0"/>
          <w:color w:val="auto"/>
          <w:sz w:val="32"/>
          <w:szCs w:val="32"/>
          <w:lang w:val="zh-CN" w:eastAsia="zh-CN"/>
        </w:rPr>
      </w:pPr>
      <w:bookmarkStart w:id="25" w:name="_Toc15889"/>
      <w:bookmarkStart w:id="26" w:name="_Toc10503"/>
      <w:bookmarkStart w:id="27" w:name="_Toc31753"/>
      <w:bookmarkStart w:id="28" w:name="_Toc107219868"/>
      <w:bookmarkStart w:id="29" w:name="_Toc107129263"/>
      <w:bookmarkStart w:id="30" w:name="_Toc106636124"/>
      <w:r>
        <w:rPr>
          <w:rFonts w:hint="default" w:ascii="Times New Roman" w:hAnsi="Times New Roman" w:eastAsia="方正黑体_GBK" w:cs="Times New Roman"/>
          <w:b w:val="0"/>
          <w:bCs w:val="0"/>
          <w:color w:val="auto"/>
          <w:sz w:val="32"/>
          <w:szCs w:val="32"/>
          <w:lang w:val="zh-CN" w:eastAsia="zh-CN"/>
        </w:rPr>
        <w:t>6.5 规划深度</w:t>
      </w:r>
      <w:bookmarkEnd w:id="25"/>
      <w:bookmarkEnd w:id="26"/>
      <w:bookmarkEnd w:id="27"/>
    </w:p>
    <w:p>
      <w:pPr>
        <w:autoSpaceDE w:val="0"/>
        <w:autoSpaceDN w:val="0"/>
        <w:adjustRightInd w:val="0"/>
        <w:ind w:firstLine="640" w:firstLineChars="200"/>
        <w:rPr>
          <w:rFonts w:hint="default" w:ascii="Times New Roman" w:hAnsi="Times New Roman" w:eastAsia="方正仿宋_GBK" w:cs="Times New Roman"/>
          <w:sz w:val="32"/>
          <w:szCs w:val="32"/>
          <w:lang w:val="zh-CN"/>
        </w:rPr>
      </w:pPr>
      <w:r>
        <w:rPr>
          <w:rFonts w:hint="default" w:ascii="Times New Roman" w:hAnsi="Times New Roman" w:eastAsia="方正仿宋_GBK" w:cs="Times New Roman"/>
          <w:sz w:val="32"/>
          <w:szCs w:val="32"/>
          <w:lang w:val="zh-CN"/>
        </w:rPr>
        <w:t>本规划将中心城区充换电站具体落实在控制性详细规划管理层面，即充电站的规划布局落实到控制性详细规划地块中。其余各乡镇按照布局原则设置1—2座</w:t>
      </w:r>
      <w:r>
        <w:rPr>
          <w:rFonts w:hint="default" w:ascii="Times New Roman" w:hAnsi="Times New Roman" w:eastAsia="方正仿宋_GBK" w:cs="Times New Roman"/>
          <w:sz w:val="32"/>
          <w:szCs w:val="32"/>
        </w:rPr>
        <w:t>社会公共充电站，具体建设位置应根据实际需要和建设条件来确定，优先考虑在现有停车设施上进行布局。</w:t>
      </w:r>
    </w:p>
    <w:bookmarkEnd w:id="28"/>
    <w:bookmarkEnd w:id="29"/>
    <w:bookmarkEnd w:id="30"/>
    <w:p>
      <w:pPr>
        <w:pStyle w:val="5"/>
        <w:widowControl w:val="0"/>
        <w:wordWrap/>
        <w:adjustRightInd/>
        <w:snapToGrid/>
        <w:spacing w:before="0" w:after="0" w:line="570" w:lineRule="exact"/>
        <w:ind w:firstLine="640" w:firstLineChars="200"/>
        <w:textAlignment w:val="auto"/>
        <w:rPr>
          <w:rFonts w:hint="default" w:ascii="Times New Roman" w:hAnsi="Times New Roman" w:eastAsia="方正黑体_GBK" w:cs="Times New Roman"/>
          <w:b w:val="0"/>
          <w:bCs w:val="0"/>
          <w:color w:val="auto"/>
          <w:sz w:val="32"/>
          <w:szCs w:val="32"/>
          <w:lang w:val="zh-CN" w:eastAsia="zh-CN"/>
        </w:rPr>
      </w:pPr>
      <w:bookmarkStart w:id="31" w:name="_Toc2819"/>
      <w:r>
        <w:rPr>
          <w:rFonts w:hint="default" w:ascii="Times New Roman" w:hAnsi="Times New Roman" w:eastAsia="方正黑体_GBK" w:cs="Times New Roman"/>
          <w:b w:val="0"/>
          <w:bCs w:val="0"/>
          <w:color w:val="auto"/>
          <w:sz w:val="32"/>
          <w:szCs w:val="32"/>
          <w:lang w:val="zh-CN" w:eastAsia="zh-CN"/>
        </w:rPr>
        <w:t>6.6 总体原则</w:t>
      </w:r>
      <w:bookmarkEnd w:id="31"/>
    </w:p>
    <w:p>
      <w:pPr>
        <w:numPr>
          <w:numId w:val="0"/>
        </w:numPr>
        <w:ind w:firstLine="640" w:firstLineChars="200"/>
        <w:rPr>
          <w:rFonts w:hint="default" w:ascii="Times New Roman" w:hAnsi="Times New Roman" w:eastAsia="方正楷体_GBK" w:cs="Times New Roman"/>
          <w:b w:val="0"/>
          <w:bCs w:val="0"/>
          <w:sz w:val="32"/>
          <w:szCs w:val="32"/>
          <w:lang w:eastAsia="zh-CN"/>
        </w:rPr>
      </w:pPr>
      <w:r>
        <w:rPr>
          <w:rFonts w:hint="default" w:ascii="Times New Roman" w:hAnsi="Times New Roman" w:eastAsia="方正楷体_GBK" w:cs="Times New Roman"/>
          <w:b w:val="0"/>
          <w:bCs w:val="0"/>
          <w:sz w:val="32"/>
          <w:szCs w:val="32"/>
          <w:lang w:eastAsia="zh-CN"/>
        </w:rPr>
        <w:t>（一）新区优先原则</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当前，电动汽车产业处于发展初期，根据城市发展进程，新区用地宽裕，对充电站的需求增长迅速，更加适宜电动汽车充电基础设施的推广应用。同时，新兴的电动汽车普及与充电设施的不断完善带来优质的交通服务体验，对整个电动汽车行业起到良性的带动作用。</w:t>
      </w:r>
    </w:p>
    <w:p>
      <w:pPr>
        <w:numPr>
          <w:numId w:val="0"/>
        </w:numPr>
        <w:ind w:firstLine="640" w:firstLineChars="200"/>
        <w:rPr>
          <w:rFonts w:hint="default" w:ascii="Times New Roman" w:hAnsi="Times New Roman" w:eastAsia="方正楷体_GBK" w:cs="Times New Roman"/>
          <w:b w:val="0"/>
          <w:bCs w:val="0"/>
          <w:sz w:val="32"/>
          <w:szCs w:val="32"/>
          <w:lang w:eastAsia="zh-CN"/>
        </w:rPr>
      </w:pPr>
      <w:r>
        <w:rPr>
          <w:rFonts w:hint="default" w:ascii="Times New Roman" w:hAnsi="Times New Roman" w:eastAsia="方正楷体_GBK" w:cs="Times New Roman"/>
          <w:b w:val="0"/>
          <w:bCs w:val="0"/>
          <w:sz w:val="32"/>
          <w:szCs w:val="32"/>
          <w:lang w:eastAsia="zh-CN"/>
        </w:rPr>
        <w:t>（二）公交优先原则</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从国内相关城市调研和重庆市电动汽车发展实际情况来看，电动汽车发展初期主要以政府投入为主的纯电动公交车为主，随着社会认知度的提高以及技术进步带来的成本降低，其发展趋势将逐渐从公共交通领域向社会个体保有领域推进。在当前阶段，公交优先发展将作为引导电动汽车普及的先发因素。在此基础上，充换电站规划也优先保障公共交通领域纯电动公交车充换电需要，适应纯电动公交车发展。</w:t>
      </w:r>
    </w:p>
    <w:p>
      <w:pPr>
        <w:numPr>
          <w:numId w:val="0"/>
        </w:numPr>
        <w:ind w:firstLine="640" w:firstLineChars="200"/>
        <w:rPr>
          <w:rFonts w:hint="default" w:ascii="Times New Roman" w:hAnsi="Times New Roman" w:eastAsia="方正楷体_GBK" w:cs="Times New Roman"/>
          <w:b w:val="0"/>
          <w:bCs w:val="0"/>
          <w:sz w:val="32"/>
          <w:szCs w:val="32"/>
          <w:lang w:eastAsia="zh-CN"/>
        </w:rPr>
      </w:pPr>
      <w:r>
        <w:rPr>
          <w:rFonts w:hint="default" w:ascii="Times New Roman" w:hAnsi="Times New Roman" w:eastAsia="方正楷体_GBK" w:cs="Times New Roman"/>
          <w:b w:val="0"/>
          <w:bCs w:val="0"/>
          <w:sz w:val="32"/>
          <w:szCs w:val="32"/>
          <w:lang w:eastAsia="zh-CN"/>
        </w:rPr>
        <w:t xml:space="preserve"> （三）保障近期、引导发展原则</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优先保障近期拟投入社会运营的专用充电站建设，为纯电动公交车投入运营提供规划指导。而对于社会乘用车，当前虽然保有量较低，随着配套政策和技术进步，纯电动车辆社会化普及在未来极有可能</w:t>
      </w:r>
      <w:r>
        <w:rPr>
          <w:rFonts w:hint="default" w:ascii="Times New Roman" w:hAnsi="Times New Roman" w:eastAsia="方正仿宋_GBK" w:cs="Times New Roman"/>
          <w:sz w:val="32"/>
          <w:szCs w:val="32"/>
          <w:lang w:eastAsia="zh-CN"/>
        </w:rPr>
        <w:t>出现</w:t>
      </w:r>
      <w:r>
        <w:rPr>
          <w:rFonts w:hint="default" w:ascii="Times New Roman" w:hAnsi="Times New Roman" w:eastAsia="方正仿宋_GBK" w:cs="Times New Roman"/>
          <w:sz w:val="32"/>
          <w:szCs w:val="32"/>
        </w:rPr>
        <w:t xml:space="preserve">大规模爆发式增长的趋势。布点规划考虑引导私人购买纯电动乘用车和纯电动出租汽车发展，适度超前控制与预留，充分保障一定时期内社会化普及相适应的规模。 </w:t>
      </w:r>
    </w:p>
    <w:p>
      <w:pPr>
        <w:pStyle w:val="5"/>
        <w:widowControl w:val="0"/>
        <w:wordWrap/>
        <w:adjustRightInd/>
        <w:snapToGrid/>
        <w:spacing w:before="0" w:after="0" w:line="570" w:lineRule="exact"/>
        <w:ind w:firstLine="640" w:firstLineChars="200"/>
        <w:textAlignment w:val="auto"/>
        <w:rPr>
          <w:rFonts w:hint="default" w:ascii="Times New Roman" w:hAnsi="Times New Roman" w:eastAsia="方正黑体_GBK" w:cs="Times New Roman"/>
          <w:b w:val="0"/>
          <w:bCs w:val="0"/>
          <w:color w:val="auto"/>
          <w:sz w:val="32"/>
          <w:szCs w:val="32"/>
          <w:lang w:val="zh-CN" w:eastAsia="zh-CN"/>
        </w:rPr>
      </w:pPr>
      <w:bookmarkStart w:id="32" w:name="_Toc20755"/>
      <w:r>
        <w:rPr>
          <w:rFonts w:hint="default" w:ascii="Times New Roman" w:hAnsi="Times New Roman" w:eastAsia="方正黑体_GBK" w:cs="Times New Roman"/>
          <w:b w:val="0"/>
          <w:bCs w:val="0"/>
          <w:color w:val="auto"/>
          <w:sz w:val="32"/>
          <w:szCs w:val="32"/>
          <w:lang w:val="zh-CN" w:eastAsia="zh-CN"/>
        </w:rPr>
        <w:t>6.7 布局原则</w:t>
      </w:r>
      <w:bookmarkEnd w:id="32"/>
    </w:p>
    <w:p>
      <w:pPr>
        <w:numPr>
          <w:numId w:val="0"/>
        </w:numPr>
        <w:ind w:firstLine="640" w:firstLineChars="200"/>
        <w:rPr>
          <w:rFonts w:hint="default" w:ascii="Times New Roman" w:hAnsi="Times New Roman" w:eastAsia="方正楷体_GBK" w:cs="Times New Roman"/>
          <w:b w:val="0"/>
          <w:bCs w:val="0"/>
          <w:sz w:val="32"/>
          <w:szCs w:val="32"/>
          <w:lang w:eastAsia="zh-CN"/>
        </w:rPr>
      </w:pPr>
      <w:r>
        <w:rPr>
          <w:rFonts w:hint="default" w:ascii="Times New Roman" w:hAnsi="Times New Roman" w:eastAsia="方正楷体_GBK" w:cs="Times New Roman"/>
          <w:b w:val="0"/>
          <w:bCs w:val="0"/>
          <w:sz w:val="32"/>
          <w:szCs w:val="32"/>
          <w:lang w:eastAsia="zh-CN"/>
        </w:rPr>
        <w:t>（一）功能衔接原则</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该原则主要针对两个方面。</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充电站和分散式充电桩功能相互衔接：分散式充电桩提供个体性充电需求；充电站提供快速充换电需求。在用地紧张，城市建设密集区域，通过配套停车场内建设公共充电桩为主实现电动乘用车电能补充需要。</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充电站与变电站电源功能衔接：对于需要专用变压器独立供电的充换电站，邻近现状及规划的变电站选址，宜在不影响变电站扩建和出线的情况下紧靠变电站选址，实现电源的就近供给，增大变电站与周边地块的防护隔离区域。</w:t>
      </w:r>
    </w:p>
    <w:p>
      <w:pPr>
        <w:numPr>
          <w:numId w:val="0"/>
        </w:numPr>
        <w:ind w:firstLine="640" w:firstLineChars="200"/>
        <w:rPr>
          <w:rFonts w:hint="default" w:ascii="Times New Roman" w:hAnsi="Times New Roman" w:eastAsia="方正楷体_GBK" w:cs="Times New Roman"/>
          <w:b w:val="0"/>
          <w:bCs w:val="0"/>
          <w:sz w:val="32"/>
          <w:szCs w:val="32"/>
          <w:lang w:eastAsia="zh-CN"/>
        </w:rPr>
      </w:pPr>
      <w:r>
        <w:rPr>
          <w:rFonts w:hint="default" w:ascii="Times New Roman" w:hAnsi="Times New Roman" w:eastAsia="方正楷体_GBK" w:cs="Times New Roman"/>
          <w:b w:val="0"/>
          <w:bCs w:val="0"/>
          <w:sz w:val="32"/>
          <w:szCs w:val="32"/>
          <w:lang w:eastAsia="zh-CN"/>
        </w:rPr>
        <w:t>（二）均衡布局原则</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充电站使用功能上主要为满足各类型电动汽车快速能源补充需要。根据电动汽车续航能力，为提高其可达能力，充电站选点布局尽量考虑</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面上布点</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和均衡布局要求，即在满足服务半径的基础上尽量实现低密度、大面积覆盖城市建成和拟建区域。结合区域需求局部增加充电站服务密度，并与城市发展同步向外拓展服务半径。</w:t>
      </w:r>
    </w:p>
    <w:p>
      <w:pPr>
        <w:pStyle w:val="5"/>
        <w:widowControl w:val="0"/>
        <w:wordWrap/>
        <w:adjustRightInd/>
        <w:snapToGrid/>
        <w:spacing w:before="0" w:after="0" w:line="570" w:lineRule="exact"/>
        <w:ind w:firstLine="640" w:firstLineChars="200"/>
        <w:textAlignment w:val="auto"/>
        <w:rPr>
          <w:rFonts w:hint="default" w:ascii="Times New Roman" w:hAnsi="Times New Roman" w:eastAsia="方正黑体_GBK" w:cs="Times New Roman"/>
          <w:b w:val="0"/>
          <w:bCs w:val="0"/>
          <w:color w:val="auto"/>
          <w:sz w:val="32"/>
          <w:szCs w:val="32"/>
          <w:lang w:val="zh-CN" w:eastAsia="zh-CN"/>
        </w:rPr>
      </w:pPr>
      <w:bookmarkStart w:id="33" w:name="_Toc3670"/>
      <w:r>
        <w:rPr>
          <w:rFonts w:hint="default" w:ascii="Times New Roman" w:hAnsi="Times New Roman" w:eastAsia="方正黑体_GBK" w:cs="Times New Roman"/>
          <w:b w:val="0"/>
          <w:bCs w:val="0"/>
          <w:color w:val="auto"/>
          <w:sz w:val="32"/>
          <w:szCs w:val="32"/>
          <w:lang w:val="zh-CN" w:eastAsia="zh-CN"/>
        </w:rPr>
        <w:t>6.8 布点选址方式</w:t>
      </w:r>
      <w:bookmarkEnd w:id="33"/>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结合丰都县电动汽车充电设施发展实际情况，在满足充电站选址相关要求和总体原则的基础上，各类型充换电站布点选址方式如下：</w:t>
      </w:r>
    </w:p>
    <w:p>
      <w:pPr>
        <w:numPr>
          <w:numId w:val="0"/>
        </w:numPr>
        <w:ind w:firstLine="640" w:firstLineChars="200"/>
        <w:rPr>
          <w:rFonts w:hint="default" w:ascii="Times New Roman" w:hAnsi="Times New Roman" w:eastAsia="方正楷体_GBK" w:cs="Times New Roman"/>
          <w:b w:val="0"/>
          <w:bCs w:val="0"/>
          <w:sz w:val="32"/>
          <w:szCs w:val="32"/>
          <w:lang w:eastAsia="zh-CN"/>
        </w:rPr>
      </w:pPr>
      <w:r>
        <w:rPr>
          <w:rFonts w:hint="default" w:ascii="Times New Roman" w:hAnsi="Times New Roman" w:eastAsia="方正楷体_GBK" w:cs="Times New Roman"/>
          <w:b w:val="0"/>
          <w:bCs w:val="0"/>
          <w:sz w:val="32"/>
          <w:szCs w:val="32"/>
          <w:lang w:eastAsia="zh-CN"/>
        </w:rPr>
        <w:t>（一）社会公共充电站</w:t>
      </w:r>
    </w:p>
    <w:p>
      <w:pPr>
        <w:autoSpaceDE w:val="0"/>
        <w:autoSpaceDN w:val="0"/>
        <w:adjustRightInd w:val="0"/>
        <w:ind w:firstLine="643" w:firstLineChars="20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val="en-US" w:eastAsia="zh-CN"/>
        </w:rPr>
        <w:t>1.</w:t>
      </w:r>
      <w:r>
        <w:rPr>
          <w:rFonts w:hint="default" w:ascii="Times New Roman" w:hAnsi="Times New Roman" w:eastAsia="方正仿宋_GBK" w:cs="Times New Roman"/>
          <w:b/>
          <w:bCs/>
          <w:sz w:val="32"/>
          <w:szCs w:val="32"/>
        </w:rPr>
        <w:t>结合变电站选址</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考虑乘用车充换电站在不影响变电站建设和出线的情况下，在变电站防护绿地和紧邻未发件的其他城市用地选址。</w:t>
      </w:r>
    </w:p>
    <w:p>
      <w:pPr>
        <w:autoSpaceDE w:val="0"/>
        <w:autoSpaceDN w:val="0"/>
        <w:adjustRightInd w:val="0"/>
        <w:ind w:firstLine="643" w:firstLineChars="200"/>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2.在公共停车场、加油加气站及未开发建设用地内选址</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实现电动汽车停车与充电的有机结合，在满足条件的规划确定的公共停车场和加油加气站内进行选址。根据服务半径需要布局而周边无满足条件的公共停车场用地区域，在满足条件的未开发实施的居住用地、商业用地、工业用地、广场用地和公共绿地内选址。</w:t>
      </w:r>
    </w:p>
    <w:p>
      <w:pPr>
        <w:autoSpaceDE w:val="0"/>
        <w:autoSpaceDN w:val="0"/>
        <w:adjustRightInd w:val="0"/>
        <w:ind w:firstLine="643" w:firstLineChars="200"/>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3.位于现状路网较为完善的城市空间相对中心区域</w:t>
      </w:r>
    </w:p>
    <w:p>
      <w:pPr>
        <w:rPr>
          <w:rFonts w:hint="default" w:ascii="Times New Roman" w:hAnsi="Times New Roman" w:eastAsia="方正仿宋_GBK" w:cs="Times New Roman"/>
          <w:sz w:val="32"/>
          <w:szCs w:val="32"/>
        </w:rPr>
      </w:pPr>
      <w:r>
        <w:rPr>
          <w:rFonts w:hint="default" w:ascii="Times New Roman" w:hAnsi="Times New Roman" w:cs="Times New Roman"/>
          <w:sz w:val="28"/>
          <w:szCs w:val="28"/>
        </w:rPr>
        <w:t xml:space="preserve">    </w:t>
      </w:r>
      <w:r>
        <w:rPr>
          <w:rFonts w:hint="default" w:ascii="Times New Roman" w:hAnsi="Times New Roman" w:eastAsia="方正仿宋_GBK" w:cs="Times New Roman"/>
          <w:sz w:val="32"/>
          <w:szCs w:val="32"/>
        </w:rPr>
        <w:t>为实现对均衡布局的充电需要，宜布局于城市空间相对中心区域，周边有便利的主次干道与城市道路交通网络实现快速衔接。</w:t>
      </w:r>
    </w:p>
    <w:p>
      <w:pPr>
        <w:numPr>
          <w:numId w:val="0"/>
        </w:numPr>
        <w:ind w:firstLine="640" w:firstLineChars="200"/>
        <w:rPr>
          <w:rFonts w:hint="default" w:ascii="Times New Roman" w:hAnsi="Times New Roman" w:eastAsia="方正楷体_GBK" w:cs="Times New Roman"/>
          <w:b w:val="0"/>
          <w:bCs w:val="0"/>
          <w:sz w:val="32"/>
          <w:szCs w:val="32"/>
          <w:lang w:eastAsia="zh-CN"/>
        </w:rPr>
      </w:pPr>
      <w:r>
        <w:rPr>
          <w:rFonts w:hint="default" w:ascii="Times New Roman" w:hAnsi="Times New Roman" w:eastAsia="方正楷体_GBK" w:cs="Times New Roman"/>
          <w:b w:val="0"/>
          <w:bCs w:val="0"/>
          <w:sz w:val="32"/>
          <w:szCs w:val="32"/>
          <w:lang w:eastAsia="zh-CN"/>
        </w:rPr>
        <w:t>（二）专用充电站</w:t>
      </w:r>
    </w:p>
    <w:p>
      <w:pPr>
        <w:autoSpaceDE w:val="0"/>
        <w:autoSpaceDN w:val="0"/>
        <w:adjustRightInd w:val="0"/>
        <w:ind w:firstLine="643" w:firstLineChars="200"/>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1.与当前纯电动汽车技术特点相适应</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当前重庆市已投入运行的纯电动公交车采用短距快充模式，单次充电里程基本满足公交线路长距离单向或单次往返行驶需要。因此，公交车充电站结合公交线路，在其首末站选址能够实现电能补充最优化。</w:t>
      </w:r>
    </w:p>
    <w:p>
      <w:pPr>
        <w:autoSpaceDE w:val="0"/>
        <w:autoSpaceDN w:val="0"/>
        <w:adjustRightInd w:val="0"/>
        <w:ind w:firstLine="643" w:firstLineChars="200"/>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2.原则上在专用车辆集中停放场所选址</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结合纯电动公交技术特点和运营区域，公交车充电站原则上均在规划确定的公交枢纽站场内选址。物流车、出租车、网约车等专用充电站与所在地块的整体开发设计相结合，同步建设或增建，共用停车泊位，并采用独立变压器单独供电。</w:t>
      </w:r>
    </w:p>
    <w:p>
      <w:pPr>
        <w:numPr>
          <w:numId w:val="0"/>
        </w:numPr>
        <w:ind w:firstLine="640" w:firstLineChars="200"/>
        <w:rPr>
          <w:rFonts w:hint="default" w:ascii="Times New Roman" w:hAnsi="Times New Roman" w:eastAsia="方正楷体_GBK" w:cs="Times New Roman"/>
          <w:b w:val="0"/>
          <w:bCs w:val="0"/>
          <w:sz w:val="32"/>
          <w:szCs w:val="32"/>
          <w:lang w:eastAsia="zh-CN"/>
        </w:rPr>
      </w:pPr>
      <w:r>
        <w:rPr>
          <w:rFonts w:hint="default" w:ascii="Times New Roman" w:hAnsi="Times New Roman" w:eastAsia="方正楷体_GBK" w:cs="Times New Roman"/>
          <w:b w:val="0"/>
          <w:bCs w:val="0"/>
          <w:sz w:val="32"/>
          <w:szCs w:val="32"/>
          <w:lang w:eastAsia="zh-CN"/>
        </w:rPr>
        <w:t>（三）分散式充电桩</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在居民区、公共机构、企事业单位、写字楼、工业园区等内部停车场和交通枢纽、大型文体设施、城市绿地、大型建筑物配建停车场、路边停车位等城市公共停车场所配建。</w:t>
      </w:r>
    </w:p>
    <w:p>
      <w:pPr>
        <w:pStyle w:val="5"/>
        <w:widowControl w:val="0"/>
        <w:wordWrap/>
        <w:adjustRightInd/>
        <w:snapToGrid/>
        <w:spacing w:before="0" w:after="0" w:line="570" w:lineRule="exact"/>
        <w:ind w:firstLine="640" w:firstLineChars="200"/>
        <w:textAlignment w:val="auto"/>
        <w:rPr>
          <w:rFonts w:hint="default" w:ascii="Times New Roman" w:hAnsi="Times New Roman" w:eastAsia="方正黑体_GBK" w:cs="Times New Roman"/>
          <w:b w:val="0"/>
          <w:bCs w:val="0"/>
          <w:color w:val="auto"/>
          <w:sz w:val="32"/>
          <w:szCs w:val="32"/>
          <w:lang w:val="zh-CN" w:eastAsia="zh-CN"/>
        </w:rPr>
      </w:pPr>
      <w:bookmarkStart w:id="34" w:name="_Toc12006"/>
      <w:r>
        <w:rPr>
          <w:rFonts w:hint="default" w:ascii="Times New Roman" w:hAnsi="Times New Roman" w:eastAsia="方正黑体_GBK" w:cs="Times New Roman"/>
          <w:b w:val="0"/>
          <w:bCs w:val="0"/>
          <w:color w:val="auto"/>
          <w:sz w:val="32"/>
          <w:szCs w:val="32"/>
          <w:lang w:val="zh-CN" w:eastAsia="zh-CN"/>
        </w:rPr>
        <w:t>6.9 充电站布局</w:t>
      </w:r>
      <w:bookmarkEnd w:id="34"/>
    </w:p>
    <w:p>
      <w:pPr>
        <w:numPr>
          <w:numId w:val="0"/>
        </w:numPr>
        <w:ind w:firstLine="640" w:firstLineChars="200"/>
        <w:rPr>
          <w:rFonts w:hint="default" w:ascii="Times New Roman" w:hAnsi="Times New Roman" w:eastAsia="方正楷体_GBK" w:cs="Times New Roman"/>
          <w:b w:val="0"/>
          <w:bCs w:val="0"/>
          <w:sz w:val="32"/>
          <w:szCs w:val="32"/>
          <w:lang w:eastAsia="zh-CN"/>
        </w:rPr>
      </w:pPr>
      <w:r>
        <w:rPr>
          <w:rFonts w:hint="default" w:ascii="Times New Roman" w:hAnsi="Times New Roman" w:eastAsia="方正楷体_GBK" w:cs="Times New Roman"/>
          <w:b w:val="0"/>
          <w:bCs w:val="0"/>
          <w:sz w:val="32"/>
          <w:szCs w:val="32"/>
          <w:lang w:eastAsia="zh-CN"/>
        </w:rPr>
        <w:t>（一）整体布局情况</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布点规划原则，结合现状及已有规划情况，全县规划布局充电站61座（共计充电桩659个），各景区根据需要结合游客接待中心停车场单独设置充电设施。其中，社会公共充电站51座（含高速公路服务区2座），公交客运车辆充电站6座，物流车充电站4座，分散式充电桩3430个。</w:t>
      </w:r>
    </w:p>
    <w:p>
      <w:pPr>
        <w:numPr>
          <w:numId w:val="0"/>
        </w:numPr>
        <w:ind w:firstLine="640" w:firstLineChars="200"/>
        <w:rPr>
          <w:rFonts w:hint="default" w:ascii="Times New Roman" w:hAnsi="Times New Roman" w:eastAsia="方正楷体_GBK" w:cs="Times New Roman"/>
          <w:b w:val="0"/>
          <w:bCs w:val="0"/>
          <w:sz w:val="32"/>
          <w:szCs w:val="32"/>
          <w:lang w:eastAsia="zh-CN"/>
        </w:rPr>
      </w:pPr>
      <w:r>
        <w:rPr>
          <w:rFonts w:hint="default" w:ascii="Times New Roman" w:hAnsi="Times New Roman" w:eastAsia="方正楷体_GBK" w:cs="Times New Roman"/>
          <w:b w:val="0"/>
          <w:bCs w:val="0"/>
          <w:sz w:val="32"/>
          <w:szCs w:val="32"/>
          <w:lang w:eastAsia="zh-CN"/>
        </w:rPr>
        <w:t>（二）社会公共充电站布局</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共规划社会公共充电站51座。每座设置充电桩4</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80个，每日提供40-800车次充电能力。社会公共充电站具体布点情况如下：</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中心城区布局21座，共计充电桩309个。其中，丁庄溪片区2座，峡南溪组团1座，王家渡组团4座，龙河东组团5座，水天坪组团3座，镇江组团1座，名山组团3座，厢坝组团2座。</w:t>
      </w:r>
    </w:p>
    <w:p>
      <w:pPr>
        <w:jc w:val="center"/>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表6-1中心城区社会公共充电站布置一览表</w:t>
      </w:r>
    </w:p>
    <w:tbl>
      <w:tblPr>
        <w:tblStyle w:val="14"/>
        <w:tblW w:w="84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8"/>
        <w:gridCol w:w="1580"/>
        <w:gridCol w:w="1100"/>
        <w:gridCol w:w="1488"/>
        <w:gridCol w:w="1234"/>
        <w:gridCol w:w="20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blHeader/>
        </w:trPr>
        <w:tc>
          <w:tcPr>
            <w:tcW w:w="988" w:type="dxa"/>
            <w:tcBorders>
              <w:top w:val="single" w:color="auto" w:sz="4" w:space="0"/>
              <w:left w:val="single" w:color="auto" w:sz="4" w:space="0"/>
              <w:bottom w:val="single" w:color="auto" w:sz="4" w:space="0"/>
              <w:right w:val="single" w:color="auto" w:sz="4" w:space="0"/>
            </w:tcBorders>
            <w:shd w:val="clear" w:color="000000" w:fill="C0C0C0"/>
            <w:vAlign w:val="center"/>
          </w:tcPr>
          <w:p>
            <w:pPr>
              <w:widowControl/>
              <w:wordWrap/>
              <w:adjustRightInd/>
              <w:snapToGrid/>
              <w:spacing w:line="400" w:lineRule="exact"/>
              <w:jc w:val="center"/>
              <w:textAlignment w:val="auto"/>
              <w:rPr>
                <w:rFonts w:hint="default" w:ascii="Times New Roman" w:hAnsi="Times New Roman" w:eastAsia="方正仿宋_GBK" w:cs="Times New Roman"/>
                <w:b/>
                <w:bCs/>
                <w:kern w:val="0"/>
                <w:sz w:val="22"/>
                <w:szCs w:val="22"/>
              </w:rPr>
            </w:pPr>
            <w:r>
              <w:rPr>
                <w:rFonts w:hint="default" w:ascii="Times New Roman" w:hAnsi="Times New Roman" w:eastAsia="方正仿宋_GBK" w:cs="Times New Roman"/>
                <w:b/>
                <w:bCs/>
                <w:kern w:val="0"/>
                <w:sz w:val="22"/>
                <w:szCs w:val="22"/>
              </w:rPr>
              <w:t>充电站编号</w:t>
            </w:r>
          </w:p>
        </w:tc>
        <w:tc>
          <w:tcPr>
            <w:tcW w:w="1580" w:type="dxa"/>
            <w:tcBorders>
              <w:top w:val="single" w:color="auto" w:sz="4" w:space="0"/>
              <w:left w:val="nil"/>
              <w:bottom w:val="single" w:color="auto" w:sz="4" w:space="0"/>
              <w:right w:val="single" w:color="auto" w:sz="4" w:space="0"/>
            </w:tcBorders>
            <w:shd w:val="clear" w:color="000000" w:fill="C0C0C0"/>
            <w:vAlign w:val="center"/>
          </w:tcPr>
          <w:p>
            <w:pPr>
              <w:widowControl/>
              <w:wordWrap/>
              <w:adjustRightInd/>
              <w:snapToGrid/>
              <w:spacing w:line="400" w:lineRule="exact"/>
              <w:jc w:val="center"/>
              <w:textAlignment w:val="auto"/>
              <w:rPr>
                <w:rFonts w:hint="default" w:ascii="Times New Roman" w:hAnsi="Times New Roman" w:eastAsia="方正仿宋_GBK" w:cs="Times New Roman"/>
                <w:b/>
                <w:bCs/>
                <w:kern w:val="0"/>
                <w:sz w:val="22"/>
                <w:szCs w:val="22"/>
              </w:rPr>
            </w:pPr>
            <w:r>
              <w:rPr>
                <w:rFonts w:hint="default" w:ascii="Times New Roman" w:hAnsi="Times New Roman" w:eastAsia="方正仿宋_GBK" w:cs="Times New Roman"/>
                <w:b/>
                <w:bCs/>
                <w:kern w:val="0"/>
                <w:sz w:val="22"/>
                <w:szCs w:val="22"/>
              </w:rPr>
              <w:t>涉及控规地块编号</w:t>
            </w:r>
          </w:p>
        </w:tc>
        <w:tc>
          <w:tcPr>
            <w:tcW w:w="1100" w:type="dxa"/>
            <w:tcBorders>
              <w:top w:val="single" w:color="auto" w:sz="4" w:space="0"/>
              <w:left w:val="nil"/>
              <w:bottom w:val="single" w:color="auto" w:sz="4" w:space="0"/>
              <w:right w:val="single" w:color="auto" w:sz="4" w:space="0"/>
            </w:tcBorders>
            <w:shd w:val="clear" w:color="000000" w:fill="C0C0C0"/>
            <w:vAlign w:val="center"/>
          </w:tcPr>
          <w:p>
            <w:pPr>
              <w:widowControl/>
              <w:wordWrap/>
              <w:adjustRightInd/>
              <w:snapToGrid/>
              <w:spacing w:line="400" w:lineRule="exact"/>
              <w:jc w:val="center"/>
              <w:textAlignment w:val="auto"/>
              <w:rPr>
                <w:rFonts w:hint="default" w:ascii="Times New Roman" w:hAnsi="Times New Roman" w:eastAsia="方正仿宋_GBK" w:cs="Times New Roman"/>
                <w:b/>
                <w:bCs/>
                <w:kern w:val="0"/>
                <w:sz w:val="22"/>
                <w:szCs w:val="22"/>
              </w:rPr>
            </w:pPr>
            <w:r>
              <w:rPr>
                <w:rFonts w:hint="default" w:ascii="Times New Roman" w:hAnsi="Times New Roman" w:eastAsia="方正仿宋_GBK" w:cs="Times New Roman"/>
                <w:b/>
                <w:bCs/>
                <w:kern w:val="0"/>
                <w:sz w:val="22"/>
                <w:szCs w:val="22"/>
              </w:rPr>
              <w:t>用地性质</w:t>
            </w:r>
          </w:p>
        </w:tc>
        <w:tc>
          <w:tcPr>
            <w:tcW w:w="1488" w:type="dxa"/>
            <w:tcBorders>
              <w:top w:val="single" w:color="auto" w:sz="4" w:space="0"/>
              <w:left w:val="nil"/>
              <w:bottom w:val="single" w:color="auto" w:sz="4" w:space="0"/>
              <w:right w:val="single" w:color="auto" w:sz="4" w:space="0"/>
            </w:tcBorders>
            <w:shd w:val="clear" w:color="000000" w:fill="C0C0C0"/>
            <w:vAlign w:val="center"/>
          </w:tcPr>
          <w:p>
            <w:pPr>
              <w:widowControl/>
              <w:wordWrap/>
              <w:adjustRightInd/>
              <w:snapToGrid/>
              <w:spacing w:line="400" w:lineRule="exact"/>
              <w:jc w:val="center"/>
              <w:textAlignment w:val="auto"/>
              <w:rPr>
                <w:rFonts w:hint="default" w:ascii="Times New Roman" w:hAnsi="Times New Roman" w:eastAsia="方正仿宋_GBK" w:cs="Times New Roman"/>
                <w:b/>
                <w:bCs/>
                <w:kern w:val="0"/>
                <w:sz w:val="22"/>
                <w:szCs w:val="22"/>
              </w:rPr>
            </w:pPr>
            <w:r>
              <w:rPr>
                <w:rFonts w:hint="default" w:ascii="Times New Roman" w:hAnsi="Times New Roman" w:eastAsia="方正仿宋_GBK" w:cs="Times New Roman"/>
                <w:b/>
                <w:bCs/>
                <w:kern w:val="0"/>
                <w:sz w:val="22"/>
                <w:szCs w:val="22"/>
              </w:rPr>
              <w:t>充电桩数量（个）</w:t>
            </w:r>
          </w:p>
        </w:tc>
        <w:tc>
          <w:tcPr>
            <w:tcW w:w="1234" w:type="dxa"/>
            <w:tcBorders>
              <w:top w:val="single" w:color="auto" w:sz="4" w:space="0"/>
              <w:left w:val="nil"/>
              <w:bottom w:val="single" w:color="auto" w:sz="4" w:space="0"/>
              <w:right w:val="single" w:color="auto" w:sz="4" w:space="0"/>
            </w:tcBorders>
            <w:shd w:val="clear" w:color="000000" w:fill="C0C0C0"/>
            <w:vAlign w:val="center"/>
          </w:tcPr>
          <w:p>
            <w:pPr>
              <w:widowControl/>
              <w:wordWrap/>
              <w:adjustRightInd/>
              <w:snapToGrid/>
              <w:spacing w:line="400" w:lineRule="exact"/>
              <w:jc w:val="center"/>
              <w:textAlignment w:val="auto"/>
              <w:rPr>
                <w:rFonts w:hint="default" w:ascii="Times New Roman" w:hAnsi="Times New Roman" w:eastAsia="方正仿宋_GBK" w:cs="Times New Roman"/>
                <w:b/>
                <w:bCs/>
                <w:kern w:val="0"/>
                <w:sz w:val="22"/>
                <w:szCs w:val="22"/>
              </w:rPr>
            </w:pPr>
            <w:r>
              <w:rPr>
                <w:rFonts w:hint="default" w:ascii="Times New Roman" w:hAnsi="Times New Roman" w:eastAsia="方正仿宋_GBK" w:cs="Times New Roman"/>
                <w:b/>
                <w:bCs/>
                <w:kern w:val="0"/>
                <w:sz w:val="22"/>
                <w:szCs w:val="22"/>
              </w:rPr>
              <w:t>地块面积（公顷）</w:t>
            </w:r>
          </w:p>
        </w:tc>
        <w:tc>
          <w:tcPr>
            <w:tcW w:w="2013" w:type="dxa"/>
            <w:tcBorders>
              <w:top w:val="single" w:color="auto" w:sz="4" w:space="0"/>
              <w:left w:val="nil"/>
              <w:bottom w:val="single" w:color="auto" w:sz="4" w:space="0"/>
              <w:right w:val="single" w:color="auto" w:sz="4" w:space="0"/>
            </w:tcBorders>
            <w:shd w:val="clear" w:color="000000" w:fill="C0C0C0"/>
            <w:vAlign w:val="center"/>
          </w:tcPr>
          <w:p>
            <w:pPr>
              <w:widowControl/>
              <w:wordWrap/>
              <w:adjustRightInd/>
              <w:snapToGrid/>
              <w:spacing w:line="400" w:lineRule="exact"/>
              <w:jc w:val="center"/>
              <w:textAlignment w:val="auto"/>
              <w:rPr>
                <w:rFonts w:hint="default" w:ascii="Times New Roman" w:hAnsi="Times New Roman" w:eastAsia="方正仿宋_GBK" w:cs="Times New Roman"/>
                <w:b/>
                <w:bCs/>
                <w:kern w:val="0"/>
                <w:sz w:val="22"/>
                <w:szCs w:val="22"/>
              </w:rPr>
            </w:pPr>
            <w:r>
              <w:rPr>
                <w:rFonts w:hint="default" w:ascii="Times New Roman" w:hAnsi="Times New Roman" w:eastAsia="方正仿宋_GBK" w:cs="Times New Roman"/>
                <w:b/>
                <w:bCs/>
                <w:kern w:val="0"/>
                <w:sz w:val="22"/>
                <w:szCs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988" w:type="dxa"/>
            <w:tcBorders>
              <w:top w:val="nil"/>
              <w:left w:val="single" w:color="auto" w:sz="4" w:space="0"/>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S-1</w:t>
            </w:r>
          </w:p>
        </w:tc>
        <w:tc>
          <w:tcPr>
            <w:tcW w:w="1580"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w:t>
            </w:r>
          </w:p>
        </w:tc>
        <w:tc>
          <w:tcPr>
            <w:tcW w:w="1100"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w:t>
            </w:r>
          </w:p>
        </w:tc>
        <w:tc>
          <w:tcPr>
            <w:tcW w:w="1488"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10</w:t>
            </w:r>
          </w:p>
        </w:tc>
        <w:tc>
          <w:tcPr>
            <w:tcW w:w="1234"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 xml:space="preserve">0.75 </w:t>
            </w:r>
          </w:p>
        </w:tc>
        <w:tc>
          <w:tcPr>
            <w:tcW w:w="2013"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规划新增，国空用地性质为留白用地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988" w:type="dxa"/>
            <w:tcBorders>
              <w:top w:val="nil"/>
              <w:left w:val="single" w:color="auto" w:sz="4" w:space="0"/>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S-2</w:t>
            </w:r>
          </w:p>
        </w:tc>
        <w:tc>
          <w:tcPr>
            <w:tcW w:w="1580"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A1-14</w:t>
            </w:r>
          </w:p>
        </w:tc>
        <w:tc>
          <w:tcPr>
            <w:tcW w:w="1100"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R2</w:t>
            </w:r>
          </w:p>
        </w:tc>
        <w:tc>
          <w:tcPr>
            <w:tcW w:w="1488"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10</w:t>
            </w:r>
          </w:p>
        </w:tc>
        <w:tc>
          <w:tcPr>
            <w:tcW w:w="1234"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 xml:space="preserve">0.96 </w:t>
            </w:r>
          </w:p>
        </w:tc>
        <w:tc>
          <w:tcPr>
            <w:tcW w:w="2013"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988" w:type="dxa"/>
            <w:tcBorders>
              <w:top w:val="nil"/>
              <w:left w:val="single" w:color="auto" w:sz="4" w:space="0"/>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S-3</w:t>
            </w:r>
          </w:p>
        </w:tc>
        <w:tc>
          <w:tcPr>
            <w:tcW w:w="1580"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DZX-10-7-1</w:t>
            </w:r>
          </w:p>
        </w:tc>
        <w:tc>
          <w:tcPr>
            <w:tcW w:w="1100"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S42</w:t>
            </w:r>
          </w:p>
        </w:tc>
        <w:tc>
          <w:tcPr>
            <w:tcW w:w="1488"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w:t>
            </w:r>
          </w:p>
        </w:tc>
        <w:tc>
          <w:tcPr>
            <w:tcW w:w="1234"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 xml:space="preserve">2.10 </w:t>
            </w:r>
          </w:p>
        </w:tc>
        <w:tc>
          <w:tcPr>
            <w:tcW w:w="2013"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988" w:type="dxa"/>
            <w:tcBorders>
              <w:top w:val="nil"/>
              <w:left w:val="single" w:color="auto" w:sz="4" w:space="0"/>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S-4</w:t>
            </w:r>
          </w:p>
        </w:tc>
        <w:tc>
          <w:tcPr>
            <w:tcW w:w="1580"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D1-01</w:t>
            </w:r>
          </w:p>
        </w:tc>
        <w:tc>
          <w:tcPr>
            <w:tcW w:w="1100"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B41</w:t>
            </w:r>
          </w:p>
        </w:tc>
        <w:tc>
          <w:tcPr>
            <w:tcW w:w="1488"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4</w:t>
            </w:r>
          </w:p>
        </w:tc>
        <w:tc>
          <w:tcPr>
            <w:tcW w:w="1234"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 xml:space="preserve">0.38 </w:t>
            </w:r>
          </w:p>
        </w:tc>
        <w:tc>
          <w:tcPr>
            <w:tcW w:w="2013"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规划新增。现状加油站用地，本次规划不新增建设用地前提下新增电动汽车充电站设施。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988" w:type="dxa"/>
            <w:tcBorders>
              <w:top w:val="nil"/>
              <w:left w:val="single" w:color="auto" w:sz="4" w:space="0"/>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S-5</w:t>
            </w:r>
          </w:p>
        </w:tc>
        <w:tc>
          <w:tcPr>
            <w:tcW w:w="1580"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B31-5/02</w:t>
            </w:r>
          </w:p>
        </w:tc>
        <w:tc>
          <w:tcPr>
            <w:tcW w:w="1100"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B41</w:t>
            </w:r>
          </w:p>
        </w:tc>
        <w:tc>
          <w:tcPr>
            <w:tcW w:w="1488"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6</w:t>
            </w:r>
          </w:p>
        </w:tc>
        <w:tc>
          <w:tcPr>
            <w:tcW w:w="1234"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 xml:space="preserve">0.40 </w:t>
            </w:r>
          </w:p>
        </w:tc>
        <w:tc>
          <w:tcPr>
            <w:tcW w:w="2013"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988" w:type="dxa"/>
            <w:tcBorders>
              <w:top w:val="nil"/>
              <w:left w:val="single" w:color="auto" w:sz="4" w:space="0"/>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S-6</w:t>
            </w:r>
          </w:p>
        </w:tc>
        <w:tc>
          <w:tcPr>
            <w:tcW w:w="1580"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w:t>
            </w:r>
          </w:p>
        </w:tc>
        <w:tc>
          <w:tcPr>
            <w:tcW w:w="1100"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G1</w:t>
            </w:r>
          </w:p>
        </w:tc>
        <w:tc>
          <w:tcPr>
            <w:tcW w:w="1488"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10</w:t>
            </w:r>
          </w:p>
        </w:tc>
        <w:tc>
          <w:tcPr>
            <w:tcW w:w="1234"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 xml:space="preserve">11.69 </w:t>
            </w:r>
          </w:p>
        </w:tc>
        <w:tc>
          <w:tcPr>
            <w:tcW w:w="2013"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现状扩建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988" w:type="dxa"/>
            <w:tcBorders>
              <w:top w:val="nil"/>
              <w:left w:val="single" w:color="auto" w:sz="4" w:space="0"/>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S-7</w:t>
            </w:r>
          </w:p>
        </w:tc>
        <w:tc>
          <w:tcPr>
            <w:tcW w:w="1580"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w:t>
            </w:r>
          </w:p>
        </w:tc>
        <w:tc>
          <w:tcPr>
            <w:tcW w:w="1100"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A4</w:t>
            </w:r>
          </w:p>
        </w:tc>
        <w:tc>
          <w:tcPr>
            <w:tcW w:w="1488"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10</w:t>
            </w:r>
          </w:p>
        </w:tc>
        <w:tc>
          <w:tcPr>
            <w:tcW w:w="1234"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 xml:space="preserve">5.43 </w:t>
            </w:r>
          </w:p>
        </w:tc>
        <w:tc>
          <w:tcPr>
            <w:tcW w:w="2013"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988" w:type="dxa"/>
            <w:tcBorders>
              <w:top w:val="nil"/>
              <w:left w:val="single" w:color="auto" w:sz="4" w:space="0"/>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S-8</w:t>
            </w:r>
          </w:p>
        </w:tc>
        <w:tc>
          <w:tcPr>
            <w:tcW w:w="1580"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C6-10/02</w:t>
            </w:r>
          </w:p>
        </w:tc>
        <w:tc>
          <w:tcPr>
            <w:tcW w:w="1100"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S42</w:t>
            </w:r>
          </w:p>
        </w:tc>
        <w:tc>
          <w:tcPr>
            <w:tcW w:w="1488"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10</w:t>
            </w:r>
          </w:p>
        </w:tc>
        <w:tc>
          <w:tcPr>
            <w:tcW w:w="1234"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 xml:space="preserve">0.43 </w:t>
            </w:r>
          </w:p>
        </w:tc>
        <w:tc>
          <w:tcPr>
            <w:tcW w:w="2013"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988" w:type="dxa"/>
            <w:tcBorders>
              <w:top w:val="nil"/>
              <w:left w:val="single" w:color="auto" w:sz="4" w:space="0"/>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S-9</w:t>
            </w:r>
          </w:p>
        </w:tc>
        <w:tc>
          <w:tcPr>
            <w:tcW w:w="1580"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w:t>
            </w:r>
          </w:p>
        </w:tc>
        <w:tc>
          <w:tcPr>
            <w:tcW w:w="1100"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S3</w:t>
            </w:r>
          </w:p>
        </w:tc>
        <w:tc>
          <w:tcPr>
            <w:tcW w:w="1488"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10</w:t>
            </w:r>
          </w:p>
        </w:tc>
        <w:tc>
          <w:tcPr>
            <w:tcW w:w="1234"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 xml:space="preserve">0.83 </w:t>
            </w:r>
          </w:p>
        </w:tc>
        <w:tc>
          <w:tcPr>
            <w:tcW w:w="2013"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现状扩建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988" w:type="dxa"/>
            <w:tcBorders>
              <w:top w:val="nil"/>
              <w:left w:val="single" w:color="auto" w:sz="4" w:space="0"/>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S-10</w:t>
            </w:r>
          </w:p>
        </w:tc>
        <w:tc>
          <w:tcPr>
            <w:tcW w:w="1580"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w:t>
            </w:r>
          </w:p>
        </w:tc>
        <w:tc>
          <w:tcPr>
            <w:tcW w:w="1100"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A1</w:t>
            </w:r>
          </w:p>
        </w:tc>
        <w:tc>
          <w:tcPr>
            <w:tcW w:w="1488"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5</w:t>
            </w:r>
          </w:p>
        </w:tc>
        <w:tc>
          <w:tcPr>
            <w:tcW w:w="1234"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 xml:space="preserve">2.81 </w:t>
            </w:r>
          </w:p>
        </w:tc>
        <w:tc>
          <w:tcPr>
            <w:tcW w:w="2013"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现状保留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988" w:type="dxa"/>
            <w:tcBorders>
              <w:top w:val="nil"/>
              <w:left w:val="single" w:color="auto" w:sz="4" w:space="0"/>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S-11</w:t>
            </w:r>
          </w:p>
        </w:tc>
        <w:tc>
          <w:tcPr>
            <w:tcW w:w="1580"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B2-10/02</w:t>
            </w:r>
          </w:p>
        </w:tc>
        <w:tc>
          <w:tcPr>
            <w:tcW w:w="1100"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G3</w:t>
            </w:r>
          </w:p>
        </w:tc>
        <w:tc>
          <w:tcPr>
            <w:tcW w:w="1488"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10</w:t>
            </w:r>
          </w:p>
        </w:tc>
        <w:tc>
          <w:tcPr>
            <w:tcW w:w="1234"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 xml:space="preserve">0.79 </w:t>
            </w:r>
          </w:p>
        </w:tc>
        <w:tc>
          <w:tcPr>
            <w:tcW w:w="2013"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988" w:type="dxa"/>
            <w:tcBorders>
              <w:top w:val="nil"/>
              <w:left w:val="single" w:color="auto" w:sz="4" w:space="0"/>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S-12</w:t>
            </w:r>
          </w:p>
        </w:tc>
        <w:tc>
          <w:tcPr>
            <w:tcW w:w="1580"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A9-07/02</w:t>
            </w:r>
          </w:p>
        </w:tc>
        <w:tc>
          <w:tcPr>
            <w:tcW w:w="1100"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S42</w:t>
            </w:r>
          </w:p>
        </w:tc>
        <w:tc>
          <w:tcPr>
            <w:tcW w:w="1488"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10</w:t>
            </w:r>
          </w:p>
        </w:tc>
        <w:tc>
          <w:tcPr>
            <w:tcW w:w="1234"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 xml:space="preserve">0.73 </w:t>
            </w:r>
          </w:p>
        </w:tc>
        <w:tc>
          <w:tcPr>
            <w:tcW w:w="2013"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988" w:type="dxa"/>
            <w:tcBorders>
              <w:top w:val="nil"/>
              <w:left w:val="single" w:color="auto" w:sz="4" w:space="0"/>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S-13</w:t>
            </w:r>
          </w:p>
        </w:tc>
        <w:tc>
          <w:tcPr>
            <w:tcW w:w="1580"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D7-05/01</w:t>
            </w:r>
          </w:p>
        </w:tc>
        <w:tc>
          <w:tcPr>
            <w:tcW w:w="1100"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S42</w:t>
            </w:r>
          </w:p>
        </w:tc>
        <w:tc>
          <w:tcPr>
            <w:tcW w:w="1488"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10</w:t>
            </w:r>
          </w:p>
        </w:tc>
        <w:tc>
          <w:tcPr>
            <w:tcW w:w="1234"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 xml:space="preserve">0.69 </w:t>
            </w:r>
          </w:p>
        </w:tc>
        <w:tc>
          <w:tcPr>
            <w:tcW w:w="2013"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988" w:type="dxa"/>
            <w:tcBorders>
              <w:top w:val="nil"/>
              <w:left w:val="single" w:color="auto" w:sz="4" w:space="0"/>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S-14</w:t>
            </w:r>
          </w:p>
        </w:tc>
        <w:tc>
          <w:tcPr>
            <w:tcW w:w="1580"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A1-09/02</w:t>
            </w:r>
          </w:p>
        </w:tc>
        <w:tc>
          <w:tcPr>
            <w:tcW w:w="1100"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S42</w:t>
            </w:r>
          </w:p>
        </w:tc>
        <w:tc>
          <w:tcPr>
            <w:tcW w:w="1488"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10</w:t>
            </w:r>
          </w:p>
        </w:tc>
        <w:tc>
          <w:tcPr>
            <w:tcW w:w="1234"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 xml:space="preserve">0.95 </w:t>
            </w:r>
          </w:p>
        </w:tc>
        <w:tc>
          <w:tcPr>
            <w:tcW w:w="2013"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988" w:type="dxa"/>
            <w:tcBorders>
              <w:top w:val="nil"/>
              <w:left w:val="single" w:color="auto" w:sz="4" w:space="0"/>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S-15</w:t>
            </w:r>
          </w:p>
        </w:tc>
        <w:tc>
          <w:tcPr>
            <w:tcW w:w="1580"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H02-5/01</w:t>
            </w:r>
          </w:p>
        </w:tc>
        <w:tc>
          <w:tcPr>
            <w:tcW w:w="1100"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B41</w:t>
            </w:r>
          </w:p>
        </w:tc>
        <w:tc>
          <w:tcPr>
            <w:tcW w:w="1488"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4</w:t>
            </w:r>
          </w:p>
        </w:tc>
        <w:tc>
          <w:tcPr>
            <w:tcW w:w="1234"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 xml:space="preserve">0.20 </w:t>
            </w:r>
          </w:p>
        </w:tc>
        <w:tc>
          <w:tcPr>
            <w:tcW w:w="2013"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规划新增。现状加油站用地，本次规划不新增建设用地前提下新增电动汽车充电站设施。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988" w:type="dxa"/>
            <w:tcBorders>
              <w:top w:val="nil"/>
              <w:left w:val="single" w:color="auto" w:sz="4" w:space="0"/>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S-16</w:t>
            </w:r>
          </w:p>
        </w:tc>
        <w:tc>
          <w:tcPr>
            <w:tcW w:w="1580"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H02-2/01</w:t>
            </w:r>
          </w:p>
        </w:tc>
        <w:tc>
          <w:tcPr>
            <w:tcW w:w="1100"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B41</w:t>
            </w:r>
          </w:p>
        </w:tc>
        <w:tc>
          <w:tcPr>
            <w:tcW w:w="1488"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10</w:t>
            </w:r>
          </w:p>
        </w:tc>
        <w:tc>
          <w:tcPr>
            <w:tcW w:w="1234"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 xml:space="preserve">1.31 </w:t>
            </w:r>
          </w:p>
        </w:tc>
        <w:tc>
          <w:tcPr>
            <w:tcW w:w="2013"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988" w:type="dxa"/>
            <w:tcBorders>
              <w:top w:val="nil"/>
              <w:left w:val="single" w:color="auto" w:sz="4" w:space="0"/>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S-17</w:t>
            </w:r>
          </w:p>
        </w:tc>
        <w:tc>
          <w:tcPr>
            <w:tcW w:w="1580"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w:t>
            </w:r>
          </w:p>
        </w:tc>
        <w:tc>
          <w:tcPr>
            <w:tcW w:w="1100"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G2</w:t>
            </w:r>
          </w:p>
        </w:tc>
        <w:tc>
          <w:tcPr>
            <w:tcW w:w="1488"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10</w:t>
            </w:r>
          </w:p>
        </w:tc>
        <w:tc>
          <w:tcPr>
            <w:tcW w:w="1234"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 xml:space="preserve">1.13 </w:t>
            </w:r>
          </w:p>
        </w:tc>
        <w:tc>
          <w:tcPr>
            <w:tcW w:w="2013"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现状保留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988" w:type="dxa"/>
            <w:tcBorders>
              <w:top w:val="nil"/>
              <w:left w:val="single" w:color="auto" w:sz="4" w:space="0"/>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S-18</w:t>
            </w:r>
          </w:p>
        </w:tc>
        <w:tc>
          <w:tcPr>
            <w:tcW w:w="1580"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A01-4/01</w:t>
            </w:r>
          </w:p>
        </w:tc>
        <w:tc>
          <w:tcPr>
            <w:tcW w:w="1100"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S42</w:t>
            </w:r>
          </w:p>
        </w:tc>
        <w:tc>
          <w:tcPr>
            <w:tcW w:w="1488"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10</w:t>
            </w:r>
          </w:p>
        </w:tc>
        <w:tc>
          <w:tcPr>
            <w:tcW w:w="1234"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 xml:space="preserve">0.06 </w:t>
            </w:r>
          </w:p>
        </w:tc>
        <w:tc>
          <w:tcPr>
            <w:tcW w:w="2013"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988" w:type="dxa"/>
            <w:tcBorders>
              <w:top w:val="nil"/>
              <w:left w:val="single" w:color="auto" w:sz="4" w:space="0"/>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S-19</w:t>
            </w:r>
          </w:p>
        </w:tc>
        <w:tc>
          <w:tcPr>
            <w:tcW w:w="1580" w:type="dxa"/>
            <w:tcBorders>
              <w:top w:val="nil"/>
              <w:left w:val="nil"/>
              <w:bottom w:val="single" w:color="auto" w:sz="4" w:space="0"/>
              <w:right w:val="single" w:color="auto" w:sz="4" w:space="0"/>
            </w:tcBorders>
            <w:vAlign w:val="center"/>
          </w:tcPr>
          <w:p>
            <w:pPr>
              <w:widowControl/>
              <w:wordWrap/>
              <w:adjustRightInd/>
              <w:snapToGrid/>
              <w:spacing w:after="240"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B04-1</w:t>
            </w:r>
          </w:p>
        </w:tc>
        <w:tc>
          <w:tcPr>
            <w:tcW w:w="1100" w:type="dxa"/>
            <w:tcBorders>
              <w:top w:val="nil"/>
              <w:left w:val="nil"/>
              <w:bottom w:val="single" w:color="auto" w:sz="4" w:space="0"/>
              <w:right w:val="single" w:color="auto" w:sz="4" w:space="0"/>
            </w:tcBorders>
            <w:vAlign w:val="center"/>
          </w:tcPr>
          <w:p>
            <w:pPr>
              <w:widowControl/>
              <w:wordWrap/>
              <w:adjustRightInd/>
              <w:snapToGrid/>
              <w:spacing w:after="240"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S42</w:t>
            </w:r>
          </w:p>
        </w:tc>
        <w:tc>
          <w:tcPr>
            <w:tcW w:w="1488"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10</w:t>
            </w:r>
          </w:p>
        </w:tc>
        <w:tc>
          <w:tcPr>
            <w:tcW w:w="1234"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 xml:space="preserve">2.05 </w:t>
            </w:r>
          </w:p>
        </w:tc>
        <w:tc>
          <w:tcPr>
            <w:tcW w:w="2013" w:type="dxa"/>
            <w:tcBorders>
              <w:top w:val="nil"/>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9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S-20</w:t>
            </w:r>
          </w:p>
        </w:tc>
        <w:tc>
          <w:tcPr>
            <w:tcW w:w="1580" w:type="dxa"/>
            <w:tcBorders>
              <w:top w:val="single" w:color="auto" w:sz="4" w:space="0"/>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w:t>
            </w:r>
          </w:p>
        </w:tc>
        <w:tc>
          <w:tcPr>
            <w:tcW w:w="1100" w:type="dxa"/>
            <w:tcBorders>
              <w:top w:val="single" w:color="auto" w:sz="4" w:space="0"/>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w:t>
            </w:r>
          </w:p>
        </w:tc>
        <w:tc>
          <w:tcPr>
            <w:tcW w:w="1488" w:type="dxa"/>
            <w:tcBorders>
              <w:top w:val="single" w:color="auto" w:sz="4" w:space="0"/>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50</w:t>
            </w:r>
          </w:p>
        </w:tc>
        <w:tc>
          <w:tcPr>
            <w:tcW w:w="1234" w:type="dxa"/>
            <w:tcBorders>
              <w:top w:val="single" w:color="auto" w:sz="4" w:space="0"/>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w:t>
            </w:r>
          </w:p>
        </w:tc>
        <w:tc>
          <w:tcPr>
            <w:tcW w:w="2013" w:type="dxa"/>
            <w:tcBorders>
              <w:top w:val="single" w:color="auto" w:sz="4" w:space="0"/>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规划新增。名山景区停车场。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9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S-21</w:t>
            </w:r>
          </w:p>
        </w:tc>
        <w:tc>
          <w:tcPr>
            <w:tcW w:w="1580" w:type="dxa"/>
            <w:tcBorders>
              <w:top w:val="single" w:color="auto" w:sz="4" w:space="0"/>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w:t>
            </w:r>
          </w:p>
        </w:tc>
        <w:tc>
          <w:tcPr>
            <w:tcW w:w="1100" w:type="dxa"/>
            <w:tcBorders>
              <w:top w:val="single" w:color="auto" w:sz="4" w:space="0"/>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w:t>
            </w:r>
          </w:p>
        </w:tc>
        <w:tc>
          <w:tcPr>
            <w:tcW w:w="1488" w:type="dxa"/>
            <w:tcBorders>
              <w:top w:val="single" w:color="auto" w:sz="4" w:space="0"/>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80</w:t>
            </w:r>
          </w:p>
        </w:tc>
        <w:tc>
          <w:tcPr>
            <w:tcW w:w="1234" w:type="dxa"/>
            <w:tcBorders>
              <w:top w:val="single" w:color="auto" w:sz="4" w:space="0"/>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w:t>
            </w:r>
          </w:p>
        </w:tc>
        <w:tc>
          <w:tcPr>
            <w:tcW w:w="2013" w:type="dxa"/>
            <w:tcBorders>
              <w:top w:val="single" w:color="auto" w:sz="4" w:space="0"/>
              <w:left w:val="nil"/>
              <w:bottom w:val="single" w:color="auto" w:sz="4" w:space="0"/>
              <w:right w:val="single" w:color="auto" w:sz="4" w:space="0"/>
            </w:tcBorders>
            <w:vAlign w:val="center"/>
          </w:tcPr>
          <w:p>
            <w:pPr>
              <w:widowControl/>
              <w:wordWrap/>
              <w:adjustRightInd/>
              <w:snapToGrid/>
              <w:spacing w:line="4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规划新增。南天湖景区停车场。</w:t>
            </w:r>
          </w:p>
        </w:tc>
      </w:tr>
    </w:tbl>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其他各乡镇共布局30座社会公共充电站（含高速公路服务区2座），共计充电桩218个。</w:t>
      </w:r>
    </w:p>
    <w:p>
      <w:pPr>
        <w:jc w:val="center"/>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表6-2各乡镇社会公共充电站布置一览表</w:t>
      </w:r>
    </w:p>
    <w:tbl>
      <w:tblPr>
        <w:tblStyle w:val="14"/>
        <w:tblW w:w="90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76"/>
        <w:gridCol w:w="2963"/>
        <w:gridCol w:w="30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blHeader/>
        </w:trPr>
        <w:tc>
          <w:tcPr>
            <w:tcW w:w="3076" w:type="dxa"/>
            <w:tcBorders>
              <w:top w:val="single" w:color="auto" w:sz="4" w:space="0"/>
              <w:left w:val="single" w:color="auto" w:sz="4" w:space="0"/>
              <w:bottom w:val="single" w:color="auto" w:sz="4" w:space="0"/>
              <w:right w:val="single" w:color="auto" w:sz="4" w:space="0"/>
            </w:tcBorders>
            <w:shd w:val="clear" w:color="000000" w:fill="C0C0C0"/>
            <w:vAlign w:val="bottom"/>
          </w:tcPr>
          <w:p>
            <w:pPr>
              <w:widowControl/>
              <w:wordWrap/>
              <w:adjustRightInd/>
              <w:snapToGrid/>
              <w:spacing w:line="540" w:lineRule="exact"/>
              <w:jc w:val="center"/>
              <w:textAlignment w:val="auto"/>
              <w:rPr>
                <w:rFonts w:hint="default" w:ascii="Times New Roman" w:hAnsi="Times New Roman" w:eastAsia="方正仿宋_GBK" w:cs="Times New Roman"/>
                <w:b/>
                <w:bCs/>
                <w:kern w:val="0"/>
                <w:sz w:val="22"/>
                <w:szCs w:val="22"/>
              </w:rPr>
            </w:pPr>
            <w:r>
              <w:rPr>
                <w:rFonts w:hint="default" w:ascii="Times New Roman" w:hAnsi="Times New Roman" w:eastAsia="方正仿宋_GBK" w:cs="Times New Roman"/>
                <w:b/>
                <w:bCs/>
                <w:kern w:val="0"/>
                <w:sz w:val="22"/>
                <w:szCs w:val="22"/>
              </w:rPr>
              <w:t>乡镇名称</w:t>
            </w:r>
          </w:p>
        </w:tc>
        <w:tc>
          <w:tcPr>
            <w:tcW w:w="2963" w:type="dxa"/>
            <w:tcBorders>
              <w:top w:val="single" w:color="auto" w:sz="4" w:space="0"/>
              <w:left w:val="nil"/>
              <w:bottom w:val="single" w:color="auto" w:sz="4" w:space="0"/>
              <w:right w:val="single" w:color="auto" w:sz="4" w:space="0"/>
            </w:tcBorders>
            <w:shd w:val="clear" w:color="000000" w:fill="C0C0C0"/>
            <w:vAlign w:val="bottom"/>
          </w:tcPr>
          <w:p>
            <w:pPr>
              <w:widowControl/>
              <w:wordWrap/>
              <w:adjustRightInd/>
              <w:snapToGrid/>
              <w:spacing w:line="540" w:lineRule="exact"/>
              <w:jc w:val="center"/>
              <w:textAlignment w:val="auto"/>
              <w:rPr>
                <w:rFonts w:hint="default" w:ascii="Times New Roman" w:hAnsi="Times New Roman" w:eastAsia="方正仿宋_GBK" w:cs="Times New Roman"/>
                <w:b/>
                <w:bCs/>
                <w:kern w:val="0"/>
                <w:sz w:val="22"/>
                <w:szCs w:val="22"/>
              </w:rPr>
            </w:pPr>
            <w:r>
              <w:rPr>
                <w:rFonts w:hint="default" w:ascii="Times New Roman" w:hAnsi="Times New Roman" w:eastAsia="方正仿宋_GBK" w:cs="Times New Roman"/>
                <w:b/>
                <w:bCs/>
                <w:kern w:val="0"/>
                <w:sz w:val="22"/>
                <w:szCs w:val="22"/>
              </w:rPr>
              <w:t>规划充电桩数量（个）</w:t>
            </w:r>
          </w:p>
        </w:tc>
        <w:tc>
          <w:tcPr>
            <w:tcW w:w="3021" w:type="dxa"/>
            <w:tcBorders>
              <w:top w:val="single" w:color="auto" w:sz="4" w:space="0"/>
              <w:left w:val="nil"/>
              <w:bottom w:val="single" w:color="auto" w:sz="4" w:space="0"/>
              <w:right w:val="single" w:color="auto" w:sz="4" w:space="0"/>
            </w:tcBorders>
            <w:shd w:val="clear" w:color="000000" w:fill="C0C0C0"/>
            <w:vAlign w:val="bottom"/>
          </w:tcPr>
          <w:p>
            <w:pPr>
              <w:widowControl/>
              <w:wordWrap/>
              <w:adjustRightInd/>
              <w:snapToGrid/>
              <w:spacing w:line="540" w:lineRule="exact"/>
              <w:jc w:val="center"/>
              <w:textAlignment w:val="auto"/>
              <w:rPr>
                <w:rFonts w:hint="default" w:ascii="Times New Roman" w:hAnsi="Times New Roman" w:eastAsia="方正仿宋_GBK" w:cs="Times New Roman"/>
                <w:b/>
                <w:bCs/>
                <w:kern w:val="0"/>
                <w:sz w:val="22"/>
                <w:szCs w:val="22"/>
              </w:rPr>
            </w:pPr>
            <w:r>
              <w:rPr>
                <w:rFonts w:hint="default" w:ascii="Times New Roman" w:hAnsi="Times New Roman" w:eastAsia="方正仿宋_GBK" w:cs="Times New Roman"/>
                <w:b/>
                <w:bCs/>
                <w:kern w:val="0"/>
                <w:sz w:val="22"/>
                <w:szCs w:val="22"/>
              </w:rPr>
              <w:t>建设时序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076" w:type="dxa"/>
            <w:tcBorders>
              <w:top w:val="nil"/>
              <w:left w:val="single" w:color="auto" w:sz="4" w:space="0"/>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包鸾镇</w:t>
            </w:r>
          </w:p>
        </w:tc>
        <w:tc>
          <w:tcPr>
            <w:tcW w:w="2963"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6</w:t>
            </w:r>
          </w:p>
        </w:tc>
        <w:tc>
          <w:tcPr>
            <w:tcW w:w="3021"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076" w:type="dxa"/>
            <w:tcBorders>
              <w:top w:val="nil"/>
              <w:left w:val="single" w:color="auto" w:sz="4" w:space="0"/>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三建乡</w:t>
            </w:r>
          </w:p>
        </w:tc>
        <w:tc>
          <w:tcPr>
            <w:tcW w:w="2963"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6</w:t>
            </w:r>
          </w:p>
        </w:tc>
        <w:tc>
          <w:tcPr>
            <w:tcW w:w="3021"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076" w:type="dxa"/>
            <w:tcBorders>
              <w:top w:val="nil"/>
              <w:left w:val="single" w:color="auto" w:sz="4" w:space="0"/>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武平镇</w:t>
            </w:r>
          </w:p>
        </w:tc>
        <w:tc>
          <w:tcPr>
            <w:tcW w:w="2963"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6</w:t>
            </w:r>
          </w:p>
        </w:tc>
        <w:tc>
          <w:tcPr>
            <w:tcW w:w="3021"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现状扩建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076" w:type="dxa"/>
            <w:tcBorders>
              <w:top w:val="nil"/>
              <w:left w:val="single" w:color="auto" w:sz="4" w:space="0"/>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龙河镇</w:t>
            </w:r>
          </w:p>
        </w:tc>
        <w:tc>
          <w:tcPr>
            <w:tcW w:w="2963"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6</w:t>
            </w:r>
          </w:p>
        </w:tc>
        <w:tc>
          <w:tcPr>
            <w:tcW w:w="3021"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现状扩建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076" w:type="dxa"/>
            <w:tcBorders>
              <w:top w:val="nil"/>
              <w:left w:val="single" w:color="auto" w:sz="4" w:space="0"/>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江池镇</w:t>
            </w:r>
          </w:p>
        </w:tc>
        <w:tc>
          <w:tcPr>
            <w:tcW w:w="2963"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6</w:t>
            </w:r>
          </w:p>
        </w:tc>
        <w:tc>
          <w:tcPr>
            <w:tcW w:w="3021"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076" w:type="dxa"/>
            <w:tcBorders>
              <w:top w:val="nil"/>
              <w:left w:val="single" w:color="auto" w:sz="4" w:space="0"/>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高家镇</w:t>
            </w:r>
          </w:p>
        </w:tc>
        <w:tc>
          <w:tcPr>
            <w:tcW w:w="2963"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6</w:t>
            </w:r>
          </w:p>
        </w:tc>
        <w:tc>
          <w:tcPr>
            <w:tcW w:w="3021"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076" w:type="dxa"/>
            <w:tcBorders>
              <w:top w:val="nil"/>
              <w:left w:val="single" w:color="auto" w:sz="4" w:space="0"/>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龙孔乡</w:t>
            </w:r>
          </w:p>
        </w:tc>
        <w:tc>
          <w:tcPr>
            <w:tcW w:w="2963"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6</w:t>
            </w:r>
          </w:p>
        </w:tc>
        <w:tc>
          <w:tcPr>
            <w:tcW w:w="3021"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076" w:type="dxa"/>
            <w:tcBorders>
              <w:top w:val="nil"/>
              <w:left w:val="single" w:color="auto" w:sz="4" w:space="0"/>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十直镇</w:t>
            </w:r>
          </w:p>
        </w:tc>
        <w:tc>
          <w:tcPr>
            <w:tcW w:w="2963"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6</w:t>
            </w:r>
          </w:p>
        </w:tc>
        <w:tc>
          <w:tcPr>
            <w:tcW w:w="3021"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076" w:type="dxa"/>
            <w:tcBorders>
              <w:top w:val="nil"/>
              <w:left w:val="single" w:color="auto" w:sz="4" w:space="0"/>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树人镇</w:t>
            </w:r>
          </w:p>
        </w:tc>
        <w:tc>
          <w:tcPr>
            <w:tcW w:w="2963"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6</w:t>
            </w:r>
          </w:p>
        </w:tc>
        <w:tc>
          <w:tcPr>
            <w:tcW w:w="3021"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076" w:type="dxa"/>
            <w:tcBorders>
              <w:top w:val="nil"/>
              <w:left w:val="single" w:color="auto" w:sz="4" w:space="0"/>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虎威镇</w:t>
            </w:r>
          </w:p>
        </w:tc>
        <w:tc>
          <w:tcPr>
            <w:tcW w:w="2963"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6</w:t>
            </w:r>
          </w:p>
        </w:tc>
        <w:tc>
          <w:tcPr>
            <w:tcW w:w="3021"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076" w:type="dxa"/>
            <w:tcBorders>
              <w:top w:val="nil"/>
              <w:left w:val="single" w:color="auto" w:sz="4" w:space="0"/>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湛普镇</w:t>
            </w:r>
          </w:p>
        </w:tc>
        <w:tc>
          <w:tcPr>
            <w:tcW w:w="2963"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6</w:t>
            </w:r>
          </w:p>
        </w:tc>
        <w:tc>
          <w:tcPr>
            <w:tcW w:w="3021"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076" w:type="dxa"/>
            <w:tcBorders>
              <w:top w:val="nil"/>
              <w:left w:val="single" w:color="auto" w:sz="4" w:space="0"/>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社坛镇</w:t>
            </w:r>
          </w:p>
        </w:tc>
        <w:tc>
          <w:tcPr>
            <w:tcW w:w="2963"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6</w:t>
            </w:r>
          </w:p>
        </w:tc>
        <w:tc>
          <w:tcPr>
            <w:tcW w:w="3021"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076" w:type="dxa"/>
            <w:tcBorders>
              <w:top w:val="nil"/>
              <w:left w:val="single" w:color="auto" w:sz="4" w:space="0"/>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兴龙镇</w:t>
            </w:r>
          </w:p>
        </w:tc>
        <w:tc>
          <w:tcPr>
            <w:tcW w:w="2963"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6</w:t>
            </w:r>
          </w:p>
        </w:tc>
        <w:tc>
          <w:tcPr>
            <w:tcW w:w="3021"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trPr>
        <w:tc>
          <w:tcPr>
            <w:tcW w:w="3076" w:type="dxa"/>
            <w:tcBorders>
              <w:top w:val="nil"/>
              <w:left w:val="single" w:color="auto" w:sz="4" w:space="0"/>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仁沙镇</w:t>
            </w:r>
          </w:p>
        </w:tc>
        <w:tc>
          <w:tcPr>
            <w:tcW w:w="2963"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6</w:t>
            </w:r>
          </w:p>
        </w:tc>
        <w:tc>
          <w:tcPr>
            <w:tcW w:w="3021"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076" w:type="dxa"/>
            <w:tcBorders>
              <w:top w:val="nil"/>
              <w:left w:val="single" w:color="auto" w:sz="4" w:space="0"/>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许明寺镇</w:t>
            </w:r>
          </w:p>
        </w:tc>
        <w:tc>
          <w:tcPr>
            <w:tcW w:w="2963"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6</w:t>
            </w:r>
          </w:p>
        </w:tc>
        <w:tc>
          <w:tcPr>
            <w:tcW w:w="3021"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076" w:type="dxa"/>
            <w:tcBorders>
              <w:top w:val="nil"/>
              <w:left w:val="single" w:color="auto" w:sz="4" w:space="0"/>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董家镇</w:t>
            </w:r>
          </w:p>
        </w:tc>
        <w:tc>
          <w:tcPr>
            <w:tcW w:w="2963"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6</w:t>
            </w:r>
          </w:p>
        </w:tc>
        <w:tc>
          <w:tcPr>
            <w:tcW w:w="3021"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076" w:type="dxa"/>
            <w:tcBorders>
              <w:top w:val="nil"/>
              <w:left w:val="single" w:color="auto" w:sz="4" w:space="0"/>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保合镇</w:t>
            </w:r>
          </w:p>
        </w:tc>
        <w:tc>
          <w:tcPr>
            <w:tcW w:w="2963"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6</w:t>
            </w:r>
          </w:p>
        </w:tc>
        <w:tc>
          <w:tcPr>
            <w:tcW w:w="3021"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076" w:type="dxa"/>
            <w:tcBorders>
              <w:top w:val="nil"/>
              <w:left w:val="single" w:color="auto" w:sz="4" w:space="0"/>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双龙镇</w:t>
            </w:r>
          </w:p>
        </w:tc>
        <w:tc>
          <w:tcPr>
            <w:tcW w:w="2963"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6</w:t>
            </w:r>
          </w:p>
        </w:tc>
        <w:tc>
          <w:tcPr>
            <w:tcW w:w="3021"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076" w:type="dxa"/>
            <w:tcBorders>
              <w:top w:val="nil"/>
              <w:left w:val="single" w:color="auto" w:sz="4" w:space="0"/>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高速公路服务区（湖北方向）</w:t>
            </w:r>
          </w:p>
        </w:tc>
        <w:tc>
          <w:tcPr>
            <w:tcW w:w="2963"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w:t>
            </w:r>
          </w:p>
        </w:tc>
        <w:tc>
          <w:tcPr>
            <w:tcW w:w="3021"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现状扩建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076" w:type="dxa"/>
            <w:tcBorders>
              <w:top w:val="nil"/>
              <w:left w:val="single" w:color="auto" w:sz="4" w:space="0"/>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高速公路服务区（重庆方向）</w:t>
            </w:r>
          </w:p>
        </w:tc>
        <w:tc>
          <w:tcPr>
            <w:tcW w:w="2963"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w:t>
            </w:r>
          </w:p>
        </w:tc>
        <w:tc>
          <w:tcPr>
            <w:tcW w:w="3021"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现状扩建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076" w:type="dxa"/>
            <w:tcBorders>
              <w:top w:val="nil"/>
              <w:left w:val="single" w:color="auto" w:sz="4" w:space="0"/>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暨龙镇</w:t>
            </w:r>
          </w:p>
        </w:tc>
        <w:tc>
          <w:tcPr>
            <w:tcW w:w="2963"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6</w:t>
            </w:r>
          </w:p>
        </w:tc>
        <w:tc>
          <w:tcPr>
            <w:tcW w:w="3021"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076" w:type="dxa"/>
            <w:tcBorders>
              <w:top w:val="nil"/>
              <w:left w:val="single" w:color="auto" w:sz="4" w:space="0"/>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双路镇</w:t>
            </w:r>
          </w:p>
        </w:tc>
        <w:tc>
          <w:tcPr>
            <w:tcW w:w="2963"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10</w:t>
            </w:r>
          </w:p>
        </w:tc>
        <w:tc>
          <w:tcPr>
            <w:tcW w:w="3021"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076" w:type="dxa"/>
            <w:tcBorders>
              <w:top w:val="nil"/>
              <w:left w:val="single" w:color="auto" w:sz="4" w:space="0"/>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三元镇</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加油站</w:t>
            </w:r>
            <w:r>
              <w:rPr>
                <w:rFonts w:hint="default" w:ascii="Times New Roman" w:hAnsi="Times New Roman" w:eastAsia="方正仿宋_GBK" w:cs="Times New Roman"/>
                <w:kern w:val="0"/>
                <w:sz w:val="22"/>
                <w:szCs w:val="22"/>
                <w:lang w:eastAsia="zh-CN"/>
              </w:rPr>
              <w:t>）</w:t>
            </w:r>
          </w:p>
        </w:tc>
        <w:tc>
          <w:tcPr>
            <w:tcW w:w="2963"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6</w:t>
            </w:r>
          </w:p>
        </w:tc>
        <w:tc>
          <w:tcPr>
            <w:tcW w:w="3021"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076" w:type="dxa"/>
            <w:tcBorders>
              <w:top w:val="nil"/>
              <w:left w:val="single" w:color="auto" w:sz="4" w:space="0"/>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三元镇</w:t>
            </w:r>
          </w:p>
        </w:tc>
        <w:tc>
          <w:tcPr>
            <w:tcW w:w="2963"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6</w:t>
            </w:r>
          </w:p>
        </w:tc>
        <w:tc>
          <w:tcPr>
            <w:tcW w:w="3021"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076" w:type="dxa"/>
            <w:tcBorders>
              <w:top w:val="nil"/>
              <w:left w:val="single" w:color="auto" w:sz="4" w:space="0"/>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青龙乡</w:t>
            </w:r>
          </w:p>
        </w:tc>
        <w:tc>
          <w:tcPr>
            <w:tcW w:w="2963"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6</w:t>
            </w:r>
          </w:p>
        </w:tc>
        <w:tc>
          <w:tcPr>
            <w:tcW w:w="3021" w:type="dxa"/>
            <w:tcBorders>
              <w:top w:val="nil"/>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0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兴义镇</w:t>
            </w:r>
          </w:p>
        </w:tc>
        <w:tc>
          <w:tcPr>
            <w:tcW w:w="2963" w:type="dxa"/>
            <w:tcBorders>
              <w:top w:val="single" w:color="auto" w:sz="4" w:space="0"/>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6</w:t>
            </w:r>
          </w:p>
        </w:tc>
        <w:tc>
          <w:tcPr>
            <w:tcW w:w="3021" w:type="dxa"/>
            <w:tcBorders>
              <w:top w:val="single" w:color="auto" w:sz="4" w:space="0"/>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0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南天湖镇</w:t>
            </w:r>
          </w:p>
        </w:tc>
        <w:tc>
          <w:tcPr>
            <w:tcW w:w="2963" w:type="dxa"/>
            <w:tcBorders>
              <w:top w:val="single" w:color="auto" w:sz="4" w:space="0"/>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12</w:t>
            </w:r>
          </w:p>
        </w:tc>
        <w:tc>
          <w:tcPr>
            <w:tcW w:w="3021" w:type="dxa"/>
            <w:tcBorders>
              <w:top w:val="single" w:color="auto" w:sz="4" w:space="0"/>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0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都督乡</w:t>
            </w:r>
          </w:p>
        </w:tc>
        <w:tc>
          <w:tcPr>
            <w:tcW w:w="2963" w:type="dxa"/>
            <w:tcBorders>
              <w:top w:val="single" w:color="auto" w:sz="4" w:space="0"/>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6</w:t>
            </w:r>
          </w:p>
        </w:tc>
        <w:tc>
          <w:tcPr>
            <w:tcW w:w="3021" w:type="dxa"/>
            <w:tcBorders>
              <w:top w:val="single" w:color="auto" w:sz="4" w:space="0"/>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0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栗子乡</w:t>
            </w:r>
          </w:p>
        </w:tc>
        <w:tc>
          <w:tcPr>
            <w:tcW w:w="2963" w:type="dxa"/>
            <w:tcBorders>
              <w:top w:val="single" w:color="auto" w:sz="4" w:space="0"/>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6</w:t>
            </w:r>
          </w:p>
        </w:tc>
        <w:tc>
          <w:tcPr>
            <w:tcW w:w="3021" w:type="dxa"/>
            <w:tcBorders>
              <w:top w:val="single" w:color="auto" w:sz="4" w:space="0"/>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0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太平坝乡</w:t>
            </w:r>
          </w:p>
        </w:tc>
        <w:tc>
          <w:tcPr>
            <w:tcW w:w="2963" w:type="dxa"/>
            <w:tcBorders>
              <w:top w:val="single" w:color="auto" w:sz="4" w:space="0"/>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6</w:t>
            </w:r>
          </w:p>
        </w:tc>
        <w:tc>
          <w:tcPr>
            <w:tcW w:w="3021" w:type="dxa"/>
            <w:tcBorders>
              <w:top w:val="single" w:color="auto" w:sz="4" w:space="0"/>
              <w:left w:val="nil"/>
              <w:bottom w:val="single" w:color="auto" w:sz="4" w:space="0"/>
              <w:right w:val="single" w:color="auto" w:sz="4" w:space="0"/>
            </w:tcBorders>
            <w:vAlign w:val="center"/>
          </w:tcPr>
          <w:p>
            <w:pPr>
              <w:widowControl/>
              <w:wordWrap/>
              <w:adjustRightInd/>
              <w:snapToGrid/>
              <w:spacing w:line="54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bl>
    <w:p>
      <w:pPr>
        <w:numPr>
          <w:numId w:val="0"/>
        </w:numPr>
        <w:ind w:firstLine="640" w:firstLineChars="200"/>
        <w:rPr>
          <w:rFonts w:hint="default" w:ascii="Times New Roman" w:hAnsi="Times New Roman" w:eastAsia="方正楷体_GBK" w:cs="Times New Roman"/>
          <w:b w:val="0"/>
          <w:bCs w:val="0"/>
          <w:sz w:val="32"/>
          <w:szCs w:val="32"/>
          <w:lang w:eastAsia="zh-CN"/>
        </w:rPr>
      </w:pPr>
      <w:r>
        <w:rPr>
          <w:rFonts w:hint="default" w:ascii="Times New Roman" w:hAnsi="Times New Roman" w:eastAsia="方正楷体_GBK" w:cs="Times New Roman"/>
          <w:b w:val="0"/>
          <w:bCs w:val="0"/>
          <w:sz w:val="32"/>
          <w:szCs w:val="32"/>
          <w:lang w:eastAsia="zh-CN"/>
        </w:rPr>
        <w:t>（三）专用充电站布局</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本次布点规划共布局专用充电站10座。其中公交客运车辆充电站共计6座，每座设置充电桩10</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20个，共计85个专用充电桩。</w:t>
      </w:r>
    </w:p>
    <w:p>
      <w:pPr>
        <w:jc w:val="center"/>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表6-3公交客运车辆充电站布置一览表</w:t>
      </w:r>
    </w:p>
    <w:tbl>
      <w:tblPr>
        <w:tblStyle w:val="14"/>
        <w:tblW w:w="90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1"/>
        <w:gridCol w:w="1824"/>
        <w:gridCol w:w="1330"/>
        <w:gridCol w:w="2087"/>
        <w:gridCol w:w="1828"/>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881" w:type="dxa"/>
            <w:tcBorders>
              <w:top w:val="single" w:color="auto" w:sz="4" w:space="0"/>
              <w:left w:val="single" w:color="auto" w:sz="4" w:space="0"/>
              <w:bottom w:val="single" w:color="auto" w:sz="4" w:space="0"/>
              <w:right w:val="single" w:color="auto" w:sz="4" w:space="0"/>
            </w:tcBorders>
            <w:shd w:val="clear" w:color="000000" w:fill="C0C0C0"/>
            <w:vAlign w:val="center"/>
          </w:tcPr>
          <w:p>
            <w:pPr>
              <w:widowControl/>
              <w:wordWrap/>
              <w:adjustRightInd/>
              <w:snapToGrid/>
              <w:spacing w:line="400" w:lineRule="exact"/>
              <w:jc w:val="center"/>
              <w:textAlignment w:val="auto"/>
              <w:rPr>
                <w:rFonts w:hint="default" w:ascii="Times New Roman" w:hAnsi="Times New Roman" w:eastAsia="方正仿宋_GBK" w:cs="Times New Roman"/>
                <w:b/>
                <w:bCs/>
                <w:kern w:val="0"/>
                <w:sz w:val="22"/>
                <w:szCs w:val="22"/>
              </w:rPr>
            </w:pPr>
            <w:r>
              <w:rPr>
                <w:rFonts w:hint="default" w:ascii="Times New Roman" w:hAnsi="Times New Roman" w:eastAsia="方正仿宋_GBK" w:cs="Times New Roman"/>
                <w:b/>
                <w:bCs/>
                <w:kern w:val="0"/>
                <w:sz w:val="22"/>
                <w:szCs w:val="22"/>
              </w:rPr>
              <w:t>充电站编号</w:t>
            </w:r>
          </w:p>
        </w:tc>
        <w:tc>
          <w:tcPr>
            <w:tcW w:w="1824" w:type="dxa"/>
            <w:tcBorders>
              <w:top w:val="single" w:color="auto" w:sz="4" w:space="0"/>
              <w:left w:val="nil"/>
              <w:bottom w:val="single" w:color="auto" w:sz="4" w:space="0"/>
              <w:right w:val="single" w:color="auto" w:sz="4" w:space="0"/>
            </w:tcBorders>
            <w:shd w:val="clear" w:color="000000" w:fill="C0C0C0"/>
            <w:vAlign w:val="center"/>
          </w:tcPr>
          <w:p>
            <w:pPr>
              <w:widowControl/>
              <w:wordWrap/>
              <w:adjustRightInd/>
              <w:snapToGrid/>
              <w:spacing w:line="400" w:lineRule="exact"/>
              <w:jc w:val="center"/>
              <w:textAlignment w:val="auto"/>
              <w:rPr>
                <w:rFonts w:hint="default" w:ascii="Times New Roman" w:hAnsi="Times New Roman" w:eastAsia="方正仿宋_GBK" w:cs="Times New Roman"/>
                <w:b/>
                <w:bCs/>
                <w:kern w:val="0"/>
                <w:sz w:val="22"/>
                <w:szCs w:val="22"/>
              </w:rPr>
            </w:pPr>
            <w:r>
              <w:rPr>
                <w:rFonts w:hint="default" w:ascii="Times New Roman" w:hAnsi="Times New Roman" w:eastAsia="方正仿宋_GBK" w:cs="Times New Roman"/>
                <w:b/>
                <w:bCs/>
                <w:kern w:val="0"/>
                <w:sz w:val="22"/>
                <w:szCs w:val="22"/>
              </w:rPr>
              <w:t>涉及控规地块编号</w:t>
            </w:r>
          </w:p>
        </w:tc>
        <w:tc>
          <w:tcPr>
            <w:tcW w:w="1330" w:type="dxa"/>
            <w:tcBorders>
              <w:top w:val="single" w:color="auto" w:sz="4" w:space="0"/>
              <w:left w:val="nil"/>
              <w:bottom w:val="single" w:color="auto" w:sz="4" w:space="0"/>
              <w:right w:val="single" w:color="auto" w:sz="4" w:space="0"/>
            </w:tcBorders>
            <w:shd w:val="clear" w:color="000000" w:fill="C0C0C0"/>
            <w:vAlign w:val="center"/>
          </w:tcPr>
          <w:p>
            <w:pPr>
              <w:widowControl/>
              <w:wordWrap/>
              <w:adjustRightInd/>
              <w:snapToGrid/>
              <w:spacing w:line="400" w:lineRule="exact"/>
              <w:jc w:val="center"/>
              <w:textAlignment w:val="auto"/>
              <w:rPr>
                <w:rFonts w:hint="default" w:ascii="Times New Roman" w:hAnsi="Times New Roman" w:eastAsia="方正仿宋_GBK" w:cs="Times New Roman"/>
                <w:b/>
                <w:bCs/>
                <w:kern w:val="0"/>
                <w:sz w:val="22"/>
                <w:szCs w:val="22"/>
              </w:rPr>
            </w:pPr>
            <w:r>
              <w:rPr>
                <w:rFonts w:hint="default" w:ascii="Times New Roman" w:hAnsi="Times New Roman" w:eastAsia="方正仿宋_GBK" w:cs="Times New Roman"/>
                <w:b/>
                <w:bCs/>
                <w:kern w:val="0"/>
                <w:sz w:val="22"/>
                <w:szCs w:val="22"/>
              </w:rPr>
              <w:t>用地性质</w:t>
            </w:r>
          </w:p>
        </w:tc>
        <w:tc>
          <w:tcPr>
            <w:tcW w:w="2087" w:type="dxa"/>
            <w:tcBorders>
              <w:top w:val="single" w:color="auto" w:sz="4" w:space="0"/>
              <w:left w:val="nil"/>
              <w:bottom w:val="single" w:color="auto" w:sz="4" w:space="0"/>
              <w:right w:val="single" w:color="auto" w:sz="4" w:space="0"/>
            </w:tcBorders>
            <w:shd w:val="clear" w:color="000000" w:fill="C0C0C0"/>
            <w:vAlign w:val="center"/>
          </w:tcPr>
          <w:p>
            <w:pPr>
              <w:widowControl/>
              <w:wordWrap/>
              <w:adjustRightInd/>
              <w:snapToGrid/>
              <w:spacing w:line="400" w:lineRule="exact"/>
              <w:jc w:val="center"/>
              <w:textAlignment w:val="auto"/>
              <w:rPr>
                <w:rFonts w:hint="default" w:ascii="Times New Roman" w:hAnsi="Times New Roman" w:eastAsia="方正仿宋_GBK" w:cs="Times New Roman"/>
                <w:b/>
                <w:bCs/>
                <w:kern w:val="0"/>
                <w:sz w:val="22"/>
                <w:szCs w:val="22"/>
              </w:rPr>
            </w:pPr>
            <w:r>
              <w:rPr>
                <w:rFonts w:hint="default" w:ascii="Times New Roman" w:hAnsi="Times New Roman" w:eastAsia="方正仿宋_GBK" w:cs="Times New Roman"/>
                <w:b/>
                <w:bCs/>
                <w:kern w:val="0"/>
                <w:sz w:val="22"/>
                <w:szCs w:val="22"/>
              </w:rPr>
              <w:t>规划充电桩个数（个）</w:t>
            </w:r>
          </w:p>
        </w:tc>
        <w:tc>
          <w:tcPr>
            <w:tcW w:w="1828" w:type="dxa"/>
            <w:tcBorders>
              <w:top w:val="single" w:color="auto" w:sz="4" w:space="0"/>
              <w:left w:val="nil"/>
              <w:bottom w:val="single" w:color="auto" w:sz="4" w:space="0"/>
              <w:right w:val="single" w:color="auto" w:sz="4" w:space="0"/>
            </w:tcBorders>
            <w:shd w:val="clear" w:color="000000" w:fill="C0C0C0"/>
            <w:vAlign w:val="center"/>
          </w:tcPr>
          <w:p>
            <w:pPr>
              <w:widowControl/>
              <w:wordWrap/>
              <w:adjustRightInd/>
              <w:snapToGrid/>
              <w:spacing w:line="400" w:lineRule="exact"/>
              <w:jc w:val="center"/>
              <w:textAlignment w:val="auto"/>
              <w:rPr>
                <w:rFonts w:hint="default" w:ascii="Times New Roman" w:hAnsi="Times New Roman" w:eastAsia="方正仿宋_GBK" w:cs="Times New Roman"/>
                <w:b/>
                <w:bCs/>
                <w:kern w:val="0"/>
                <w:sz w:val="22"/>
                <w:szCs w:val="22"/>
              </w:rPr>
            </w:pPr>
            <w:r>
              <w:rPr>
                <w:rFonts w:hint="default" w:ascii="Times New Roman" w:hAnsi="Times New Roman" w:eastAsia="方正仿宋_GBK" w:cs="Times New Roman"/>
                <w:b/>
                <w:bCs/>
                <w:kern w:val="0"/>
                <w:sz w:val="22"/>
                <w:szCs w:val="22"/>
              </w:rPr>
              <w:t>地块面积（公顷）</w:t>
            </w:r>
          </w:p>
        </w:tc>
        <w:tc>
          <w:tcPr>
            <w:tcW w:w="1110" w:type="dxa"/>
            <w:tcBorders>
              <w:top w:val="single" w:color="auto" w:sz="4" w:space="0"/>
              <w:left w:val="nil"/>
              <w:bottom w:val="single" w:color="auto" w:sz="4" w:space="0"/>
              <w:right w:val="single" w:color="auto" w:sz="4" w:space="0"/>
            </w:tcBorders>
            <w:shd w:val="clear" w:color="000000" w:fill="C0C0C0"/>
            <w:vAlign w:val="center"/>
          </w:tcPr>
          <w:p>
            <w:pPr>
              <w:widowControl/>
              <w:wordWrap/>
              <w:adjustRightInd/>
              <w:snapToGrid/>
              <w:spacing w:line="400" w:lineRule="exact"/>
              <w:jc w:val="center"/>
              <w:textAlignment w:val="auto"/>
              <w:rPr>
                <w:rFonts w:hint="default" w:ascii="Times New Roman" w:hAnsi="Times New Roman" w:eastAsia="方正仿宋_GBK" w:cs="Times New Roman"/>
                <w:b/>
                <w:bCs/>
                <w:kern w:val="0"/>
                <w:sz w:val="22"/>
                <w:szCs w:val="22"/>
              </w:rPr>
            </w:pPr>
            <w:r>
              <w:rPr>
                <w:rFonts w:hint="default" w:ascii="Times New Roman" w:hAnsi="Times New Roman" w:eastAsia="方正仿宋_GBK" w:cs="Times New Roman"/>
                <w:b/>
                <w:bCs/>
                <w:kern w:val="0"/>
                <w:sz w:val="22"/>
                <w:szCs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881" w:type="dxa"/>
            <w:tcBorders>
              <w:top w:val="nil"/>
              <w:left w:val="single" w:color="auto" w:sz="4" w:space="0"/>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G-1</w:t>
            </w:r>
          </w:p>
        </w:tc>
        <w:tc>
          <w:tcPr>
            <w:tcW w:w="1824"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DZX-10-5</w:t>
            </w:r>
          </w:p>
        </w:tc>
        <w:tc>
          <w:tcPr>
            <w:tcW w:w="1330"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S3</w:t>
            </w:r>
          </w:p>
        </w:tc>
        <w:tc>
          <w:tcPr>
            <w:tcW w:w="2087"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15</w:t>
            </w:r>
          </w:p>
        </w:tc>
        <w:tc>
          <w:tcPr>
            <w:tcW w:w="1828"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 xml:space="preserve">2.57 </w:t>
            </w:r>
          </w:p>
        </w:tc>
        <w:tc>
          <w:tcPr>
            <w:tcW w:w="1110"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881" w:type="dxa"/>
            <w:tcBorders>
              <w:top w:val="nil"/>
              <w:left w:val="single" w:color="auto" w:sz="4" w:space="0"/>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G-2</w:t>
            </w:r>
          </w:p>
        </w:tc>
        <w:tc>
          <w:tcPr>
            <w:tcW w:w="1824"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A3-4</w:t>
            </w:r>
          </w:p>
        </w:tc>
        <w:tc>
          <w:tcPr>
            <w:tcW w:w="1330"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S3</w:t>
            </w:r>
          </w:p>
        </w:tc>
        <w:tc>
          <w:tcPr>
            <w:tcW w:w="2087"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10</w:t>
            </w:r>
          </w:p>
        </w:tc>
        <w:tc>
          <w:tcPr>
            <w:tcW w:w="1828"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 xml:space="preserve">0.47 </w:t>
            </w:r>
          </w:p>
        </w:tc>
        <w:tc>
          <w:tcPr>
            <w:tcW w:w="1110"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881" w:type="dxa"/>
            <w:tcBorders>
              <w:top w:val="nil"/>
              <w:left w:val="single" w:color="auto" w:sz="4" w:space="0"/>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G-3</w:t>
            </w:r>
          </w:p>
        </w:tc>
        <w:tc>
          <w:tcPr>
            <w:tcW w:w="1824"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B31-4/02</w:t>
            </w:r>
          </w:p>
        </w:tc>
        <w:tc>
          <w:tcPr>
            <w:tcW w:w="1330"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S3</w:t>
            </w:r>
          </w:p>
        </w:tc>
        <w:tc>
          <w:tcPr>
            <w:tcW w:w="2087"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w:t>
            </w:r>
          </w:p>
        </w:tc>
        <w:tc>
          <w:tcPr>
            <w:tcW w:w="1828"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 xml:space="preserve">4.00 </w:t>
            </w:r>
          </w:p>
        </w:tc>
        <w:tc>
          <w:tcPr>
            <w:tcW w:w="1110"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881" w:type="dxa"/>
            <w:tcBorders>
              <w:top w:val="nil"/>
              <w:left w:val="single" w:color="auto" w:sz="4" w:space="0"/>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G-4</w:t>
            </w:r>
          </w:p>
        </w:tc>
        <w:tc>
          <w:tcPr>
            <w:tcW w:w="1824"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C4-06/02</w:t>
            </w:r>
          </w:p>
        </w:tc>
        <w:tc>
          <w:tcPr>
            <w:tcW w:w="1330"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S3</w:t>
            </w:r>
          </w:p>
        </w:tc>
        <w:tc>
          <w:tcPr>
            <w:tcW w:w="2087"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15</w:t>
            </w:r>
          </w:p>
        </w:tc>
        <w:tc>
          <w:tcPr>
            <w:tcW w:w="1828"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 xml:space="preserve">4.38 </w:t>
            </w:r>
          </w:p>
        </w:tc>
        <w:tc>
          <w:tcPr>
            <w:tcW w:w="1110"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881" w:type="dxa"/>
            <w:tcBorders>
              <w:top w:val="nil"/>
              <w:left w:val="single" w:color="auto" w:sz="4" w:space="0"/>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G-5</w:t>
            </w:r>
          </w:p>
        </w:tc>
        <w:tc>
          <w:tcPr>
            <w:tcW w:w="1824"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D7-03/01</w:t>
            </w:r>
          </w:p>
        </w:tc>
        <w:tc>
          <w:tcPr>
            <w:tcW w:w="1330"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S41</w:t>
            </w:r>
          </w:p>
        </w:tc>
        <w:tc>
          <w:tcPr>
            <w:tcW w:w="2087"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15</w:t>
            </w:r>
          </w:p>
        </w:tc>
        <w:tc>
          <w:tcPr>
            <w:tcW w:w="1828"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 xml:space="preserve">0.69 </w:t>
            </w:r>
          </w:p>
        </w:tc>
        <w:tc>
          <w:tcPr>
            <w:tcW w:w="1110"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881" w:type="dxa"/>
            <w:tcBorders>
              <w:top w:val="nil"/>
              <w:left w:val="single" w:color="auto" w:sz="4" w:space="0"/>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G-6</w:t>
            </w:r>
          </w:p>
        </w:tc>
        <w:tc>
          <w:tcPr>
            <w:tcW w:w="1824"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A06-6</w:t>
            </w:r>
          </w:p>
        </w:tc>
        <w:tc>
          <w:tcPr>
            <w:tcW w:w="1330"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S41</w:t>
            </w:r>
          </w:p>
        </w:tc>
        <w:tc>
          <w:tcPr>
            <w:tcW w:w="2087"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10</w:t>
            </w:r>
          </w:p>
        </w:tc>
        <w:tc>
          <w:tcPr>
            <w:tcW w:w="1828"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 xml:space="preserve">1.60 </w:t>
            </w:r>
          </w:p>
        </w:tc>
        <w:tc>
          <w:tcPr>
            <w:tcW w:w="1110"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bl>
    <w:p>
      <w:pPr>
        <w:autoSpaceDE w:val="0"/>
        <w:autoSpaceDN w:val="0"/>
        <w:adjustRightInd w:val="0"/>
        <w:ind w:firstLine="640" w:firstLineChars="200"/>
        <w:rPr>
          <w:rFonts w:hint="default" w:ascii="Times New Roman" w:hAnsi="Times New Roman" w:cs="Times New Roman"/>
          <w:sz w:val="28"/>
          <w:szCs w:val="28"/>
        </w:rPr>
      </w:pPr>
      <w:r>
        <w:rPr>
          <w:rFonts w:hint="default" w:ascii="Times New Roman" w:hAnsi="Times New Roman" w:eastAsia="方正仿宋_GBK" w:cs="Times New Roman"/>
          <w:sz w:val="32"/>
          <w:szCs w:val="32"/>
        </w:rPr>
        <w:t>物流车充电站主要服务于物流电动汽车，为了方便物流电动汽车充电使其更好</w:t>
      </w:r>
      <w:r>
        <w:rPr>
          <w:rFonts w:hint="default" w:ascii="Times New Roman" w:hAnsi="Times New Roman" w:eastAsia="方正仿宋_GBK" w:cs="Times New Roman"/>
          <w:sz w:val="32"/>
          <w:szCs w:val="32"/>
          <w:lang w:eastAsia="zh-CN"/>
        </w:rPr>
        <w:t>地</w:t>
      </w:r>
      <w:r>
        <w:rPr>
          <w:rFonts w:hint="default" w:ascii="Times New Roman" w:hAnsi="Times New Roman" w:eastAsia="方正仿宋_GBK" w:cs="Times New Roman"/>
          <w:sz w:val="32"/>
          <w:szCs w:val="32"/>
        </w:rPr>
        <w:t>保障城市物资集散运输，该类充电站应当与物流用地紧密结合。本次规划布局物流车充电站4座，分别位于A15-1/03、C6-07-2/02、H01-13/01、A12-1/01地块，均位于城市边缘且周边均有大量物流用地，对外交通便捷，对城市内部交通影响较小。每座充电站设置充电桩8</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15个，共计48个专用充电桩。</w:t>
      </w:r>
    </w:p>
    <w:p>
      <w:pPr>
        <w:jc w:val="center"/>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表6-4物流车充电站布置一览表</w:t>
      </w:r>
    </w:p>
    <w:tbl>
      <w:tblPr>
        <w:tblStyle w:val="14"/>
        <w:tblW w:w="894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5"/>
        <w:gridCol w:w="1951"/>
        <w:gridCol w:w="1161"/>
        <w:gridCol w:w="2224"/>
        <w:gridCol w:w="1719"/>
        <w:gridCol w:w="1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785" w:type="dxa"/>
            <w:tcBorders>
              <w:top w:val="single" w:color="auto" w:sz="4" w:space="0"/>
              <w:left w:val="single" w:color="auto" w:sz="4" w:space="0"/>
              <w:bottom w:val="single" w:color="auto" w:sz="4" w:space="0"/>
              <w:right w:val="single" w:color="auto" w:sz="4" w:space="0"/>
            </w:tcBorders>
            <w:shd w:val="clear" w:color="000000" w:fill="C0C0C0"/>
            <w:vAlign w:val="center"/>
          </w:tcPr>
          <w:p>
            <w:pPr>
              <w:widowControl/>
              <w:wordWrap/>
              <w:adjustRightInd/>
              <w:snapToGrid/>
              <w:spacing w:line="400" w:lineRule="exact"/>
              <w:jc w:val="center"/>
              <w:textAlignment w:val="auto"/>
              <w:rPr>
                <w:rFonts w:hint="default" w:ascii="Times New Roman" w:hAnsi="Times New Roman" w:eastAsia="方正仿宋_GBK" w:cs="Times New Roman"/>
                <w:b/>
                <w:bCs/>
                <w:kern w:val="0"/>
                <w:sz w:val="22"/>
                <w:szCs w:val="22"/>
              </w:rPr>
            </w:pPr>
            <w:r>
              <w:rPr>
                <w:rFonts w:hint="default" w:ascii="Times New Roman" w:hAnsi="Times New Roman" w:eastAsia="方正仿宋_GBK" w:cs="Times New Roman"/>
                <w:b/>
                <w:bCs/>
                <w:kern w:val="0"/>
                <w:sz w:val="22"/>
                <w:szCs w:val="22"/>
              </w:rPr>
              <w:t>充电站编号</w:t>
            </w:r>
          </w:p>
        </w:tc>
        <w:tc>
          <w:tcPr>
            <w:tcW w:w="1951" w:type="dxa"/>
            <w:tcBorders>
              <w:top w:val="single" w:color="auto" w:sz="4" w:space="0"/>
              <w:left w:val="nil"/>
              <w:bottom w:val="single" w:color="auto" w:sz="4" w:space="0"/>
              <w:right w:val="single" w:color="auto" w:sz="4" w:space="0"/>
            </w:tcBorders>
            <w:shd w:val="clear" w:color="000000" w:fill="C0C0C0"/>
            <w:vAlign w:val="center"/>
          </w:tcPr>
          <w:p>
            <w:pPr>
              <w:widowControl/>
              <w:wordWrap/>
              <w:adjustRightInd/>
              <w:snapToGrid/>
              <w:spacing w:line="400" w:lineRule="exact"/>
              <w:jc w:val="center"/>
              <w:textAlignment w:val="auto"/>
              <w:rPr>
                <w:rFonts w:hint="default" w:ascii="Times New Roman" w:hAnsi="Times New Roman" w:eastAsia="方正仿宋_GBK" w:cs="Times New Roman"/>
                <w:b/>
                <w:bCs/>
                <w:kern w:val="0"/>
                <w:sz w:val="22"/>
                <w:szCs w:val="22"/>
              </w:rPr>
            </w:pPr>
            <w:r>
              <w:rPr>
                <w:rFonts w:hint="default" w:ascii="Times New Roman" w:hAnsi="Times New Roman" w:eastAsia="方正仿宋_GBK" w:cs="Times New Roman"/>
                <w:b/>
                <w:bCs/>
                <w:kern w:val="0"/>
                <w:sz w:val="22"/>
                <w:szCs w:val="22"/>
              </w:rPr>
              <w:t>涉及控规地块编号</w:t>
            </w:r>
          </w:p>
        </w:tc>
        <w:tc>
          <w:tcPr>
            <w:tcW w:w="1161" w:type="dxa"/>
            <w:tcBorders>
              <w:top w:val="single" w:color="auto" w:sz="4" w:space="0"/>
              <w:left w:val="nil"/>
              <w:bottom w:val="single" w:color="auto" w:sz="4" w:space="0"/>
              <w:right w:val="single" w:color="auto" w:sz="4" w:space="0"/>
            </w:tcBorders>
            <w:shd w:val="clear" w:color="000000" w:fill="C0C0C0"/>
            <w:vAlign w:val="center"/>
          </w:tcPr>
          <w:p>
            <w:pPr>
              <w:widowControl/>
              <w:wordWrap/>
              <w:adjustRightInd/>
              <w:snapToGrid/>
              <w:spacing w:line="400" w:lineRule="exact"/>
              <w:jc w:val="center"/>
              <w:textAlignment w:val="auto"/>
              <w:rPr>
                <w:rFonts w:hint="default" w:ascii="Times New Roman" w:hAnsi="Times New Roman" w:eastAsia="方正仿宋_GBK" w:cs="Times New Roman"/>
                <w:b/>
                <w:bCs/>
                <w:kern w:val="0"/>
                <w:sz w:val="22"/>
                <w:szCs w:val="22"/>
              </w:rPr>
            </w:pPr>
            <w:r>
              <w:rPr>
                <w:rFonts w:hint="default" w:ascii="Times New Roman" w:hAnsi="Times New Roman" w:eastAsia="方正仿宋_GBK" w:cs="Times New Roman"/>
                <w:b/>
                <w:bCs/>
                <w:kern w:val="0"/>
                <w:sz w:val="22"/>
                <w:szCs w:val="22"/>
              </w:rPr>
              <w:t>用地性质</w:t>
            </w:r>
          </w:p>
        </w:tc>
        <w:tc>
          <w:tcPr>
            <w:tcW w:w="2224" w:type="dxa"/>
            <w:tcBorders>
              <w:top w:val="single" w:color="auto" w:sz="4" w:space="0"/>
              <w:left w:val="nil"/>
              <w:bottom w:val="single" w:color="auto" w:sz="4" w:space="0"/>
              <w:right w:val="single" w:color="auto" w:sz="4" w:space="0"/>
            </w:tcBorders>
            <w:shd w:val="clear" w:color="000000" w:fill="C0C0C0"/>
            <w:vAlign w:val="center"/>
          </w:tcPr>
          <w:p>
            <w:pPr>
              <w:widowControl/>
              <w:wordWrap/>
              <w:adjustRightInd/>
              <w:snapToGrid/>
              <w:spacing w:line="400" w:lineRule="exact"/>
              <w:jc w:val="center"/>
              <w:textAlignment w:val="auto"/>
              <w:rPr>
                <w:rFonts w:hint="default" w:ascii="Times New Roman" w:hAnsi="Times New Roman" w:eastAsia="方正仿宋_GBK" w:cs="Times New Roman"/>
                <w:b/>
                <w:bCs/>
                <w:kern w:val="0"/>
                <w:sz w:val="22"/>
                <w:szCs w:val="22"/>
              </w:rPr>
            </w:pPr>
            <w:r>
              <w:rPr>
                <w:rFonts w:hint="default" w:ascii="Times New Roman" w:hAnsi="Times New Roman" w:eastAsia="方正仿宋_GBK" w:cs="Times New Roman"/>
                <w:b/>
                <w:bCs/>
                <w:kern w:val="0"/>
                <w:sz w:val="22"/>
                <w:szCs w:val="22"/>
              </w:rPr>
              <w:t>规划充电桩个数（个）</w:t>
            </w:r>
          </w:p>
        </w:tc>
        <w:tc>
          <w:tcPr>
            <w:tcW w:w="1719" w:type="dxa"/>
            <w:tcBorders>
              <w:top w:val="single" w:color="auto" w:sz="4" w:space="0"/>
              <w:left w:val="nil"/>
              <w:bottom w:val="single" w:color="auto" w:sz="4" w:space="0"/>
              <w:right w:val="single" w:color="auto" w:sz="4" w:space="0"/>
            </w:tcBorders>
            <w:shd w:val="clear" w:color="000000" w:fill="C0C0C0"/>
            <w:vAlign w:val="center"/>
          </w:tcPr>
          <w:p>
            <w:pPr>
              <w:widowControl/>
              <w:wordWrap/>
              <w:adjustRightInd/>
              <w:snapToGrid/>
              <w:spacing w:line="400" w:lineRule="exact"/>
              <w:jc w:val="center"/>
              <w:textAlignment w:val="auto"/>
              <w:rPr>
                <w:rFonts w:hint="default" w:ascii="Times New Roman" w:hAnsi="Times New Roman" w:eastAsia="方正仿宋_GBK" w:cs="Times New Roman"/>
                <w:b/>
                <w:bCs/>
                <w:kern w:val="0"/>
                <w:sz w:val="22"/>
                <w:szCs w:val="22"/>
              </w:rPr>
            </w:pPr>
            <w:r>
              <w:rPr>
                <w:rFonts w:hint="default" w:ascii="Times New Roman" w:hAnsi="Times New Roman" w:eastAsia="方正仿宋_GBK" w:cs="Times New Roman"/>
                <w:b/>
                <w:bCs/>
                <w:kern w:val="0"/>
                <w:sz w:val="22"/>
                <w:szCs w:val="22"/>
              </w:rPr>
              <w:t>地块面积（公顷）</w:t>
            </w:r>
          </w:p>
        </w:tc>
        <w:tc>
          <w:tcPr>
            <w:tcW w:w="1107" w:type="dxa"/>
            <w:tcBorders>
              <w:top w:val="single" w:color="auto" w:sz="4" w:space="0"/>
              <w:left w:val="nil"/>
              <w:bottom w:val="single" w:color="auto" w:sz="4" w:space="0"/>
              <w:right w:val="single" w:color="auto" w:sz="4" w:space="0"/>
            </w:tcBorders>
            <w:shd w:val="clear" w:color="000000" w:fill="C0C0C0"/>
            <w:vAlign w:val="center"/>
          </w:tcPr>
          <w:p>
            <w:pPr>
              <w:widowControl/>
              <w:wordWrap/>
              <w:adjustRightInd/>
              <w:snapToGrid/>
              <w:spacing w:line="400" w:lineRule="exact"/>
              <w:jc w:val="center"/>
              <w:textAlignment w:val="auto"/>
              <w:rPr>
                <w:rFonts w:hint="default" w:ascii="Times New Roman" w:hAnsi="Times New Roman" w:eastAsia="方正仿宋_GBK" w:cs="Times New Roman"/>
                <w:b/>
                <w:bCs/>
                <w:kern w:val="0"/>
                <w:sz w:val="22"/>
                <w:szCs w:val="22"/>
              </w:rPr>
            </w:pPr>
            <w:r>
              <w:rPr>
                <w:rFonts w:hint="default" w:ascii="Times New Roman" w:hAnsi="Times New Roman" w:eastAsia="方正仿宋_GBK" w:cs="Times New Roman"/>
                <w:b/>
                <w:bCs/>
                <w:kern w:val="0"/>
                <w:sz w:val="22"/>
                <w:szCs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785" w:type="dxa"/>
            <w:tcBorders>
              <w:top w:val="nil"/>
              <w:left w:val="single" w:color="auto" w:sz="4" w:space="0"/>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W-1</w:t>
            </w:r>
          </w:p>
        </w:tc>
        <w:tc>
          <w:tcPr>
            <w:tcW w:w="1951"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A15-1/03</w:t>
            </w:r>
          </w:p>
        </w:tc>
        <w:tc>
          <w:tcPr>
            <w:tcW w:w="1161"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W1</w:t>
            </w:r>
          </w:p>
        </w:tc>
        <w:tc>
          <w:tcPr>
            <w:tcW w:w="2224"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15</w:t>
            </w:r>
          </w:p>
        </w:tc>
        <w:tc>
          <w:tcPr>
            <w:tcW w:w="1719"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 xml:space="preserve">9.53 </w:t>
            </w:r>
          </w:p>
        </w:tc>
        <w:tc>
          <w:tcPr>
            <w:tcW w:w="1107"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785" w:type="dxa"/>
            <w:tcBorders>
              <w:top w:val="nil"/>
              <w:left w:val="single" w:color="auto" w:sz="4" w:space="0"/>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W-2</w:t>
            </w:r>
          </w:p>
        </w:tc>
        <w:tc>
          <w:tcPr>
            <w:tcW w:w="1951"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C6-07-2/02</w:t>
            </w:r>
          </w:p>
        </w:tc>
        <w:tc>
          <w:tcPr>
            <w:tcW w:w="1161"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W2</w:t>
            </w:r>
          </w:p>
        </w:tc>
        <w:tc>
          <w:tcPr>
            <w:tcW w:w="2224"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10</w:t>
            </w:r>
          </w:p>
        </w:tc>
        <w:tc>
          <w:tcPr>
            <w:tcW w:w="1719"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 xml:space="preserve">10.32 </w:t>
            </w:r>
          </w:p>
        </w:tc>
        <w:tc>
          <w:tcPr>
            <w:tcW w:w="1107"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785" w:type="dxa"/>
            <w:tcBorders>
              <w:top w:val="nil"/>
              <w:left w:val="single" w:color="auto" w:sz="4" w:space="0"/>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W-3</w:t>
            </w:r>
          </w:p>
        </w:tc>
        <w:tc>
          <w:tcPr>
            <w:tcW w:w="1951"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H01-13/01</w:t>
            </w:r>
          </w:p>
        </w:tc>
        <w:tc>
          <w:tcPr>
            <w:tcW w:w="1161"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W3</w:t>
            </w:r>
          </w:p>
        </w:tc>
        <w:tc>
          <w:tcPr>
            <w:tcW w:w="2224"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15</w:t>
            </w:r>
          </w:p>
        </w:tc>
        <w:tc>
          <w:tcPr>
            <w:tcW w:w="1719"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 xml:space="preserve">11.14 </w:t>
            </w:r>
          </w:p>
        </w:tc>
        <w:tc>
          <w:tcPr>
            <w:tcW w:w="1107"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785" w:type="dxa"/>
            <w:tcBorders>
              <w:top w:val="nil"/>
              <w:left w:val="single" w:color="auto" w:sz="4" w:space="0"/>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W-4</w:t>
            </w:r>
          </w:p>
        </w:tc>
        <w:tc>
          <w:tcPr>
            <w:tcW w:w="1951"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A12-1/01</w:t>
            </w:r>
          </w:p>
        </w:tc>
        <w:tc>
          <w:tcPr>
            <w:tcW w:w="1161"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W2/M2</w:t>
            </w:r>
          </w:p>
        </w:tc>
        <w:tc>
          <w:tcPr>
            <w:tcW w:w="2224"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8</w:t>
            </w:r>
          </w:p>
        </w:tc>
        <w:tc>
          <w:tcPr>
            <w:tcW w:w="1719"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 xml:space="preserve">20.26 </w:t>
            </w:r>
          </w:p>
        </w:tc>
        <w:tc>
          <w:tcPr>
            <w:tcW w:w="1107" w:type="dxa"/>
            <w:tcBorders>
              <w:top w:val="nil"/>
              <w:left w:val="nil"/>
              <w:bottom w:val="single" w:color="auto" w:sz="4" w:space="0"/>
              <w:right w:val="single" w:color="auto" w:sz="4" w:space="0"/>
            </w:tcBorders>
            <w:vAlign w:val="center"/>
          </w:tcPr>
          <w:p>
            <w:pPr>
              <w:widowControl/>
              <w:wordWrap/>
              <w:adjustRightInd/>
              <w:snapToGrid/>
              <w:spacing w:line="50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规划新增</w:t>
            </w:r>
          </w:p>
        </w:tc>
      </w:tr>
    </w:tbl>
    <w:p>
      <w:pPr>
        <w:pStyle w:val="5"/>
        <w:widowControl w:val="0"/>
        <w:wordWrap/>
        <w:adjustRightInd/>
        <w:snapToGrid/>
        <w:spacing w:before="0" w:after="0" w:line="570" w:lineRule="exact"/>
        <w:ind w:firstLine="640" w:firstLineChars="200"/>
        <w:textAlignment w:val="auto"/>
        <w:rPr>
          <w:rFonts w:hint="default" w:ascii="Times New Roman" w:hAnsi="Times New Roman" w:eastAsia="方正黑体_GBK" w:cs="Times New Roman"/>
          <w:b w:val="0"/>
          <w:bCs w:val="0"/>
          <w:color w:val="auto"/>
          <w:sz w:val="32"/>
          <w:szCs w:val="32"/>
          <w:lang w:val="zh-CN" w:eastAsia="zh-CN"/>
        </w:rPr>
      </w:pPr>
      <w:bookmarkStart w:id="35" w:name="_Toc28696"/>
      <w:r>
        <w:rPr>
          <w:rFonts w:hint="default" w:ascii="Times New Roman" w:hAnsi="Times New Roman" w:eastAsia="方正黑体_GBK" w:cs="Times New Roman"/>
          <w:b w:val="0"/>
          <w:bCs w:val="0"/>
          <w:color w:val="auto"/>
          <w:sz w:val="32"/>
          <w:szCs w:val="32"/>
          <w:lang w:val="zh-CN" w:eastAsia="zh-CN"/>
        </w:rPr>
        <w:t>6.10 充电桩布局</w:t>
      </w:r>
      <w:bookmarkEnd w:id="35"/>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本次规划分散式充电桩3430个。分布于全县的居民区、公共机构、企事业单位、写字楼、工业园区等内部停车场和交通枢纽、大型文体设施、城市绿地、大型建筑物配建停车场、路边停车位等城市公共停车场内。</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分散式充电桩建设指引：</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（1）各类新建项目建设停车位充电桩设置比例应当满足下列要求：</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住宅建筑配建停车库（场）一次配建比例不低于15%，具备安装条件的比例需达到100%；</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办公建筑配建停车库（场）一次配建比例不低于15%，具备安装条件的比例不低于30%；</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其他建筑配建停车库（场）一次配建比例不低于8%，具备安装条件的比例不低于20%；</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独立用地停车库（场）一次配建比例不低于8%，具备安装条件的比例不低于20%。</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鼓励在已建的居民区、写字楼、工业园区等内部停车场和交通枢纽、大型文体设施、城市绿地、大型建筑物配建停车场、路边停车位等城市公共停车场建设充电桩，可结合旧区改造、停车位改建、道路改建等实施。在现状建成区内配置分散式充电桩时原则上按照新建项目设置比例进行配置，确实无法满足要求的，其配建数量由相关部门在建设方案审查中具体确定。</w:t>
      </w:r>
    </w:p>
    <w:tbl>
      <w:tblPr>
        <w:tblStyle w:val="14"/>
        <w:tblpPr w:leftFromText="180" w:rightFromText="180" w:vertAnchor="text" w:horzAnchor="page" w:tblpX="1518" w:tblpY="616"/>
        <w:tblOverlap w:val="never"/>
        <w:tblW w:w="90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3"/>
        <w:gridCol w:w="4705"/>
        <w:gridCol w:w="34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913" w:type="dxa"/>
            <w:tcBorders>
              <w:top w:val="single" w:color="auto" w:sz="4" w:space="0"/>
              <w:left w:val="single" w:color="auto" w:sz="4" w:space="0"/>
              <w:bottom w:val="single" w:color="auto" w:sz="4" w:space="0"/>
              <w:right w:val="single" w:color="auto" w:sz="4" w:space="0"/>
            </w:tcBorders>
            <w:shd w:val="clear" w:color="auto" w:fill="D0CECE"/>
            <w:vAlign w:val="bottom"/>
          </w:tcPr>
          <w:p>
            <w:pPr>
              <w:widowControl/>
              <w:wordWrap/>
              <w:adjustRightInd/>
              <w:snapToGrid/>
              <w:spacing w:line="440" w:lineRule="exact"/>
              <w:jc w:val="center"/>
              <w:textAlignment w:val="auto"/>
              <w:rPr>
                <w:rFonts w:hint="default" w:ascii="Times New Roman" w:hAnsi="Times New Roman" w:eastAsia="方正仿宋_GBK" w:cs="Times New Roman"/>
                <w:b/>
                <w:bCs/>
                <w:color w:val="000000"/>
                <w:kern w:val="0"/>
                <w:sz w:val="22"/>
                <w:szCs w:val="22"/>
              </w:rPr>
            </w:pPr>
            <w:r>
              <w:rPr>
                <w:rFonts w:hint="default" w:ascii="Times New Roman" w:hAnsi="Times New Roman" w:eastAsia="方正仿宋_GBK" w:cs="Times New Roman"/>
                <w:b/>
                <w:bCs/>
                <w:color w:val="000000"/>
                <w:kern w:val="0"/>
                <w:sz w:val="22"/>
                <w:szCs w:val="22"/>
              </w:rPr>
              <w:t>序号</w:t>
            </w:r>
          </w:p>
        </w:tc>
        <w:tc>
          <w:tcPr>
            <w:tcW w:w="4705" w:type="dxa"/>
            <w:tcBorders>
              <w:top w:val="single" w:color="auto" w:sz="4" w:space="0"/>
              <w:left w:val="nil"/>
              <w:bottom w:val="single" w:color="auto" w:sz="4" w:space="0"/>
              <w:right w:val="single" w:color="auto" w:sz="4" w:space="0"/>
            </w:tcBorders>
            <w:shd w:val="clear" w:color="auto" w:fill="D0CECE"/>
            <w:vAlign w:val="bottom"/>
          </w:tcPr>
          <w:p>
            <w:pPr>
              <w:widowControl/>
              <w:wordWrap/>
              <w:adjustRightInd/>
              <w:snapToGrid/>
              <w:spacing w:line="440" w:lineRule="exact"/>
              <w:jc w:val="center"/>
              <w:textAlignment w:val="auto"/>
              <w:rPr>
                <w:rFonts w:hint="default" w:ascii="Times New Roman" w:hAnsi="Times New Roman" w:eastAsia="方正仿宋_GBK" w:cs="Times New Roman"/>
                <w:b/>
                <w:bCs/>
                <w:color w:val="000000"/>
                <w:kern w:val="0"/>
                <w:sz w:val="22"/>
                <w:szCs w:val="22"/>
              </w:rPr>
            </w:pPr>
            <w:r>
              <w:rPr>
                <w:rFonts w:hint="default" w:ascii="Times New Roman" w:hAnsi="Times New Roman" w:eastAsia="方正仿宋_GBK" w:cs="Times New Roman"/>
                <w:b/>
                <w:bCs/>
                <w:color w:val="000000"/>
                <w:kern w:val="0"/>
                <w:sz w:val="22"/>
                <w:szCs w:val="22"/>
              </w:rPr>
              <w:t>名称</w:t>
            </w:r>
          </w:p>
        </w:tc>
        <w:tc>
          <w:tcPr>
            <w:tcW w:w="3442" w:type="dxa"/>
            <w:tcBorders>
              <w:top w:val="single" w:color="auto" w:sz="4" w:space="0"/>
              <w:left w:val="nil"/>
              <w:bottom w:val="single" w:color="auto" w:sz="4" w:space="0"/>
              <w:right w:val="single" w:color="auto" w:sz="4" w:space="0"/>
            </w:tcBorders>
            <w:shd w:val="clear" w:color="auto" w:fill="D0CECE"/>
            <w:vAlign w:val="bottom"/>
          </w:tcPr>
          <w:p>
            <w:pPr>
              <w:widowControl/>
              <w:wordWrap/>
              <w:adjustRightInd/>
              <w:snapToGrid/>
              <w:spacing w:line="440" w:lineRule="exact"/>
              <w:jc w:val="center"/>
              <w:textAlignment w:val="auto"/>
              <w:rPr>
                <w:rFonts w:hint="default" w:ascii="Times New Roman" w:hAnsi="Times New Roman" w:eastAsia="方正仿宋_GBK" w:cs="Times New Roman"/>
                <w:b/>
                <w:bCs/>
                <w:color w:val="000000"/>
                <w:kern w:val="0"/>
                <w:sz w:val="22"/>
                <w:szCs w:val="22"/>
              </w:rPr>
            </w:pPr>
            <w:r>
              <w:rPr>
                <w:rFonts w:hint="default" w:ascii="Times New Roman" w:hAnsi="Times New Roman" w:eastAsia="方正仿宋_GBK" w:cs="Times New Roman"/>
                <w:b/>
                <w:bCs/>
                <w:color w:val="000000"/>
                <w:kern w:val="0"/>
                <w:sz w:val="22"/>
                <w:szCs w:val="22"/>
              </w:rPr>
              <w:t>充电桩数量（个）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913" w:type="dxa"/>
            <w:tcBorders>
              <w:top w:val="nil"/>
              <w:left w:val="single" w:color="auto" w:sz="4" w:space="0"/>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1</w:t>
            </w:r>
          </w:p>
        </w:tc>
        <w:tc>
          <w:tcPr>
            <w:tcW w:w="4705"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金色星城</w:t>
            </w:r>
          </w:p>
        </w:tc>
        <w:tc>
          <w:tcPr>
            <w:tcW w:w="3442"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913" w:type="dxa"/>
            <w:tcBorders>
              <w:top w:val="nil"/>
              <w:left w:val="single" w:color="auto" w:sz="4" w:space="0"/>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2</w:t>
            </w:r>
          </w:p>
        </w:tc>
        <w:tc>
          <w:tcPr>
            <w:tcW w:w="4705"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碧桂园</w:t>
            </w:r>
          </w:p>
        </w:tc>
        <w:tc>
          <w:tcPr>
            <w:tcW w:w="3442"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913" w:type="dxa"/>
            <w:tcBorders>
              <w:top w:val="nil"/>
              <w:left w:val="single" w:color="auto" w:sz="4" w:space="0"/>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3</w:t>
            </w:r>
          </w:p>
        </w:tc>
        <w:tc>
          <w:tcPr>
            <w:tcW w:w="4705"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东方明珠</w:t>
            </w:r>
          </w:p>
        </w:tc>
        <w:tc>
          <w:tcPr>
            <w:tcW w:w="3442"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913" w:type="dxa"/>
            <w:tcBorders>
              <w:top w:val="nil"/>
              <w:left w:val="single" w:color="auto" w:sz="4" w:space="0"/>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4</w:t>
            </w:r>
          </w:p>
        </w:tc>
        <w:tc>
          <w:tcPr>
            <w:tcW w:w="4705"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久恒城</w:t>
            </w:r>
          </w:p>
        </w:tc>
        <w:tc>
          <w:tcPr>
            <w:tcW w:w="3442"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913" w:type="dxa"/>
            <w:tcBorders>
              <w:top w:val="nil"/>
              <w:left w:val="single" w:color="auto" w:sz="4" w:space="0"/>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5</w:t>
            </w:r>
          </w:p>
        </w:tc>
        <w:tc>
          <w:tcPr>
            <w:tcW w:w="4705"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景典龙都</w:t>
            </w:r>
          </w:p>
        </w:tc>
        <w:tc>
          <w:tcPr>
            <w:tcW w:w="3442"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913" w:type="dxa"/>
            <w:tcBorders>
              <w:top w:val="nil"/>
              <w:left w:val="single" w:color="auto" w:sz="4" w:space="0"/>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6</w:t>
            </w:r>
          </w:p>
        </w:tc>
        <w:tc>
          <w:tcPr>
            <w:tcW w:w="4705"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帝景江山</w:t>
            </w:r>
          </w:p>
        </w:tc>
        <w:tc>
          <w:tcPr>
            <w:tcW w:w="3442"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913" w:type="dxa"/>
            <w:tcBorders>
              <w:top w:val="nil"/>
              <w:left w:val="single" w:color="auto" w:sz="4" w:space="0"/>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7</w:t>
            </w:r>
          </w:p>
        </w:tc>
        <w:tc>
          <w:tcPr>
            <w:tcW w:w="4705"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翡翠湾</w:t>
            </w:r>
          </w:p>
        </w:tc>
        <w:tc>
          <w:tcPr>
            <w:tcW w:w="3442"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913" w:type="dxa"/>
            <w:tcBorders>
              <w:top w:val="nil"/>
              <w:left w:val="single" w:color="auto" w:sz="4" w:space="0"/>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8</w:t>
            </w:r>
          </w:p>
        </w:tc>
        <w:tc>
          <w:tcPr>
            <w:tcW w:w="4705"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一品江山</w:t>
            </w:r>
          </w:p>
        </w:tc>
        <w:tc>
          <w:tcPr>
            <w:tcW w:w="3442"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913" w:type="dxa"/>
            <w:tcBorders>
              <w:top w:val="nil"/>
              <w:left w:val="single" w:color="auto" w:sz="4" w:space="0"/>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9</w:t>
            </w:r>
          </w:p>
        </w:tc>
        <w:tc>
          <w:tcPr>
            <w:tcW w:w="4705"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宏声花园</w:t>
            </w:r>
          </w:p>
        </w:tc>
        <w:tc>
          <w:tcPr>
            <w:tcW w:w="3442"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913" w:type="dxa"/>
            <w:tcBorders>
              <w:top w:val="nil"/>
              <w:left w:val="single" w:color="auto" w:sz="4" w:space="0"/>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10</w:t>
            </w:r>
          </w:p>
        </w:tc>
        <w:tc>
          <w:tcPr>
            <w:tcW w:w="4705"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阳光上海城</w:t>
            </w:r>
          </w:p>
        </w:tc>
        <w:tc>
          <w:tcPr>
            <w:tcW w:w="3442"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913" w:type="dxa"/>
            <w:tcBorders>
              <w:top w:val="nil"/>
              <w:left w:val="single" w:color="auto" w:sz="4" w:space="0"/>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11</w:t>
            </w:r>
          </w:p>
        </w:tc>
        <w:tc>
          <w:tcPr>
            <w:tcW w:w="4705"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恒安</w:t>
            </w:r>
          </w:p>
        </w:tc>
        <w:tc>
          <w:tcPr>
            <w:tcW w:w="3442"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913" w:type="dxa"/>
            <w:tcBorders>
              <w:top w:val="nil"/>
              <w:left w:val="single" w:color="auto" w:sz="4" w:space="0"/>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12</w:t>
            </w:r>
          </w:p>
        </w:tc>
        <w:tc>
          <w:tcPr>
            <w:tcW w:w="4705"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盛世和丰</w:t>
            </w:r>
          </w:p>
        </w:tc>
        <w:tc>
          <w:tcPr>
            <w:tcW w:w="3442"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913" w:type="dxa"/>
            <w:tcBorders>
              <w:top w:val="nil"/>
              <w:left w:val="single" w:color="auto" w:sz="4" w:space="0"/>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13</w:t>
            </w:r>
          </w:p>
        </w:tc>
        <w:tc>
          <w:tcPr>
            <w:tcW w:w="4705"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北城壹号</w:t>
            </w:r>
          </w:p>
        </w:tc>
        <w:tc>
          <w:tcPr>
            <w:tcW w:w="3442"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913" w:type="dxa"/>
            <w:tcBorders>
              <w:top w:val="nil"/>
              <w:left w:val="single" w:color="auto" w:sz="4" w:space="0"/>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14</w:t>
            </w:r>
          </w:p>
        </w:tc>
        <w:tc>
          <w:tcPr>
            <w:tcW w:w="4705"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海上海</w:t>
            </w:r>
          </w:p>
        </w:tc>
        <w:tc>
          <w:tcPr>
            <w:tcW w:w="3442"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913" w:type="dxa"/>
            <w:tcBorders>
              <w:top w:val="nil"/>
              <w:left w:val="single" w:color="auto" w:sz="4" w:space="0"/>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15</w:t>
            </w:r>
          </w:p>
        </w:tc>
        <w:tc>
          <w:tcPr>
            <w:tcW w:w="4705"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东麓国际</w:t>
            </w:r>
          </w:p>
        </w:tc>
        <w:tc>
          <w:tcPr>
            <w:tcW w:w="3442"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913" w:type="dxa"/>
            <w:tcBorders>
              <w:top w:val="nil"/>
              <w:left w:val="single" w:color="auto" w:sz="4" w:space="0"/>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16</w:t>
            </w:r>
          </w:p>
        </w:tc>
        <w:tc>
          <w:tcPr>
            <w:tcW w:w="4705"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金科</w:t>
            </w:r>
          </w:p>
        </w:tc>
        <w:tc>
          <w:tcPr>
            <w:tcW w:w="3442"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913" w:type="dxa"/>
            <w:tcBorders>
              <w:top w:val="nil"/>
              <w:left w:val="single" w:color="auto" w:sz="4" w:space="0"/>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17</w:t>
            </w:r>
          </w:p>
        </w:tc>
        <w:tc>
          <w:tcPr>
            <w:tcW w:w="4705"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重庆丰都北斗星城综合楼</w:t>
            </w:r>
          </w:p>
        </w:tc>
        <w:tc>
          <w:tcPr>
            <w:tcW w:w="3442"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913" w:type="dxa"/>
            <w:tcBorders>
              <w:top w:val="nil"/>
              <w:left w:val="single" w:color="auto" w:sz="4" w:space="0"/>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18</w:t>
            </w:r>
          </w:p>
        </w:tc>
        <w:tc>
          <w:tcPr>
            <w:tcW w:w="4705"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金地水天成</w:t>
            </w:r>
          </w:p>
        </w:tc>
        <w:tc>
          <w:tcPr>
            <w:tcW w:w="3442"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913" w:type="dxa"/>
            <w:tcBorders>
              <w:top w:val="nil"/>
              <w:left w:val="single" w:color="auto" w:sz="4" w:space="0"/>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19</w:t>
            </w:r>
          </w:p>
        </w:tc>
        <w:tc>
          <w:tcPr>
            <w:tcW w:w="4705"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龙城华府</w:t>
            </w:r>
          </w:p>
        </w:tc>
        <w:tc>
          <w:tcPr>
            <w:tcW w:w="3442"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913" w:type="dxa"/>
            <w:tcBorders>
              <w:top w:val="nil"/>
              <w:left w:val="single" w:color="auto" w:sz="4" w:space="0"/>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20</w:t>
            </w:r>
          </w:p>
        </w:tc>
        <w:tc>
          <w:tcPr>
            <w:tcW w:w="4705"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丰都古城</w:t>
            </w:r>
          </w:p>
        </w:tc>
        <w:tc>
          <w:tcPr>
            <w:tcW w:w="3442"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913" w:type="dxa"/>
            <w:tcBorders>
              <w:top w:val="nil"/>
              <w:left w:val="single" w:color="auto" w:sz="4" w:space="0"/>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21</w:t>
            </w:r>
          </w:p>
        </w:tc>
        <w:tc>
          <w:tcPr>
            <w:tcW w:w="4705"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麒麟名城</w:t>
            </w:r>
          </w:p>
        </w:tc>
        <w:tc>
          <w:tcPr>
            <w:tcW w:w="3442"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913" w:type="dxa"/>
            <w:tcBorders>
              <w:top w:val="nil"/>
              <w:left w:val="single" w:color="auto" w:sz="4" w:space="0"/>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22</w:t>
            </w:r>
          </w:p>
        </w:tc>
        <w:tc>
          <w:tcPr>
            <w:tcW w:w="4705"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望江小区</w:t>
            </w:r>
          </w:p>
        </w:tc>
        <w:tc>
          <w:tcPr>
            <w:tcW w:w="3442"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913" w:type="dxa"/>
            <w:tcBorders>
              <w:top w:val="nil"/>
              <w:left w:val="single" w:color="auto" w:sz="4" w:space="0"/>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23</w:t>
            </w:r>
          </w:p>
        </w:tc>
        <w:tc>
          <w:tcPr>
            <w:tcW w:w="4705"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合计</w:t>
            </w:r>
          </w:p>
        </w:tc>
        <w:tc>
          <w:tcPr>
            <w:tcW w:w="3442" w:type="dxa"/>
            <w:tcBorders>
              <w:top w:val="nil"/>
              <w:left w:val="nil"/>
              <w:bottom w:val="single" w:color="auto" w:sz="4" w:space="0"/>
              <w:right w:val="single" w:color="auto" w:sz="4" w:space="0"/>
            </w:tcBorders>
            <w:vAlign w:val="bottom"/>
          </w:tcPr>
          <w:p>
            <w:pPr>
              <w:widowControl/>
              <w:wordWrap/>
              <w:adjustRightInd/>
              <w:snapToGrid/>
              <w:spacing w:line="440" w:lineRule="exact"/>
              <w:jc w:val="center"/>
              <w:textAlignment w:val="auto"/>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2675</w:t>
            </w:r>
          </w:p>
        </w:tc>
      </w:tr>
    </w:tbl>
    <w:p>
      <w:pPr>
        <w:jc w:val="center"/>
        <w:rPr>
          <w:rFonts w:hint="default" w:ascii="Times New Roman" w:hAnsi="Times New Roman" w:cs="Times New Roman"/>
          <w:b/>
          <w:sz w:val="24"/>
        </w:rPr>
      </w:pPr>
      <w:r>
        <w:rPr>
          <w:rFonts w:hint="default" w:ascii="Times New Roman" w:hAnsi="Times New Roman" w:cs="Times New Roman"/>
          <w:b/>
          <w:sz w:val="24"/>
        </w:rPr>
        <w:t>表6-5 中心城区现状商业地产居住小区充电桩布局一览表</w:t>
      </w:r>
    </w:p>
    <w:p>
      <w:pPr>
        <w:pStyle w:val="4"/>
        <w:widowControl w:val="0"/>
        <w:numPr>
          <w:ilvl w:val="0"/>
          <w:numId w:val="1"/>
        </w:numPr>
        <w:wordWrap/>
        <w:adjustRightInd/>
        <w:snapToGrid/>
        <w:spacing w:before="0" w:after="0" w:line="480" w:lineRule="auto"/>
        <w:jc w:val="center"/>
        <w:textAlignment w:val="auto"/>
        <w:rPr>
          <w:rFonts w:hint="default" w:ascii="Times New Roman" w:hAnsi="Times New Roman" w:eastAsia="方正小标宋_GBK" w:cs="Times New Roman"/>
          <w:b w:val="0"/>
          <w:bCs/>
          <w:color w:val="auto"/>
          <w:sz w:val="44"/>
          <w:szCs w:val="44"/>
        </w:rPr>
      </w:pPr>
      <w:bookmarkStart w:id="36" w:name="_Toc15"/>
      <w:r>
        <w:rPr>
          <w:rFonts w:hint="default" w:ascii="Times New Roman" w:hAnsi="Times New Roman" w:eastAsia="方正小标宋_GBK" w:cs="Times New Roman"/>
          <w:b w:val="0"/>
          <w:bCs/>
          <w:color w:val="auto"/>
          <w:sz w:val="44"/>
          <w:szCs w:val="44"/>
        </w:rPr>
        <w:t>近期建设计划和远景展望</w:t>
      </w:r>
      <w:bookmarkEnd w:id="36"/>
    </w:p>
    <w:p>
      <w:pPr>
        <w:pStyle w:val="5"/>
        <w:widowControl w:val="0"/>
        <w:wordWrap/>
        <w:adjustRightInd/>
        <w:snapToGrid/>
        <w:spacing w:before="0" w:after="0" w:line="570" w:lineRule="exact"/>
        <w:textAlignment w:val="auto"/>
        <w:rPr>
          <w:rFonts w:hint="default" w:ascii="Times New Roman" w:hAnsi="Times New Roman" w:eastAsia="方正黑体_GBK" w:cs="Times New Roman"/>
          <w:b w:val="0"/>
          <w:bCs w:val="0"/>
          <w:color w:val="auto"/>
          <w:sz w:val="32"/>
          <w:szCs w:val="32"/>
          <w:lang w:val="zh-CN" w:eastAsia="zh-CN"/>
        </w:rPr>
      </w:pPr>
      <w:bookmarkStart w:id="37" w:name="_Toc24823"/>
      <w:r>
        <w:rPr>
          <w:rFonts w:hint="default" w:ascii="Times New Roman" w:hAnsi="Times New Roman" w:eastAsia="方正黑体_GBK" w:cs="Times New Roman"/>
          <w:b w:val="0"/>
          <w:bCs w:val="0"/>
          <w:color w:val="auto"/>
          <w:sz w:val="32"/>
          <w:szCs w:val="32"/>
          <w:lang w:val="zh-CN" w:eastAsia="zh-CN"/>
        </w:rPr>
        <w:t>7.1近期建设计划</w:t>
      </w:r>
      <w:bookmarkEnd w:id="37"/>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规划至2025年电动汽车充电基础设施满足投放的公交客运车辆、出租车、网约车、物流车、私家乘用车等充电需求，优先建设中心城区以及部分乡镇充电站和分散式充电桩，实现县域电动汽车充电网络基本覆盖。在现有充电设施基础上，新建和扩建51座充电站，充电桩570个。其中，中心城区26座，充电桩382个，乡镇25座，充电桩188个。</w:t>
      </w:r>
    </w:p>
    <w:p>
      <w:pPr>
        <w:jc w:val="center"/>
        <w:rPr>
          <w:rFonts w:hint="default" w:ascii="Times New Roman" w:hAnsi="Times New Roman" w:cs="Times New Roman"/>
          <w:b/>
          <w:color w:val="000000"/>
          <w:sz w:val="24"/>
        </w:rPr>
      </w:pPr>
      <w:r>
        <w:rPr>
          <w:rFonts w:hint="default" w:ascii="Times New Roman" w:hAnsi="Times New Roman" w:cs="Times New Roman"/>
          <w:b/>
          <w:color w:val="000000"/>
          <w:sz w:val="24"/>
        </w:rPr>
        <w:t>表7-1中心城区近期建设计划一览表</w:t>
      </w:r>
    </w:p>
    <w:tbl>
      <w:tblPr>
        <w:tblStyle w:val="14"/>
        <w:tblW w:w="90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4"/>
        <w:gridCol w:w="1803"/>
        <w:gridCol w:w="2125"/>
        <w:gridCol w:w="2618"/>
        <w:gridCol w:w="1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blHeader/>
        </w:trPr>
        <w:tc>
          <w:tcPr>
            <w:tcW w:w="754" w:type="dxa"/>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hint="default" w:ascii="Times New Roman" w:hAnsi="Times New Roman" w:eastAsia="方正仿宋_GBK" w:cs="Times New Roman"/>
                <w:b/>
                <w:bCs/>
                <w:color w:val="000000"/>
                <w:kern w:val="0"/>
                <w:sz w:val="22"/>
                <w:szCs w:val="22"/>
              </w:rPr>
            </w:pPr>
            <w:r>
              <w:rPr>
                <w:rFonts w:hint="default" w:ascii="Times New Roman" w:hAnsi="Times New Roman" w:eastAsia="方正仿宋_GBK" w:cs="Times New Roman"/>
                <w:b/>
                <w:bCs/>
                <w:color w:val="000000"/>
                <w:kern w:val="0"/>
                <w:sz w:val="22"/>
                <w:szCs w:val="22"/>
              </w:rPr>
              <w:t>区域</w:t>
            </w:r>
          </w:p>
        </w:tc>
        <w:tc>
          <w:tcPr>
            <w:tcW w:w="1803" w:type="dxa"/>
            <w:tcBorders>
              <w:top w:val="single" w:color="auto" w:sz="4" w:space="0"/>
              <w:left w:val="nil"/>
              <w:bottom w:val="single" w:color="auto" w:sz="4" w:space="0"/>
              <w:right w:val="single" w:color="auto" w:sz="4" w:space="0"/>
            </w:tcBorders>
            <w:shd w:val="clear" w:color="000000" w:fill="C0C0C0"/>
            <w:vAlign w:val="center"/>
          </w:tcPr>
          <w:p>
            <w:pPr>
              <w:widowControl/>
              <w:jc w:val="center"/>
              <w:rPr>
                <w:rFonts w:hint="default" w:ascii="Times New Roman" w:hAnsi="Times New Roman" w:eastAsia="方正仿宋_GBK" w:cs="Times New Roman"/>
                <w:b/>
                <w:bCs/>
                <w:color w:val="000000"/>
                <w:kern w:val="0"/>
                <w:sz w:val="22"/>
                <w:szCs w:val="22"/>
              </w:rPr>
            </w:pPr>
            <w:r>
              <w:rPr>
                <w:rFonts w:hint="default" w:ascii="Times New Roman" w:hAnsi="Times New Roman" w:eastAsia="方正仿宋_GBK" w:cs="Times New Roman"/>
                <w:b/>
                <w:bCs/>
                <w:color w:val="000000"/>
                <w:kern w:val="0"/>
                <w:sz w:val="22"/>
                <w:szCs w:val="22"/>
              </w:rPr>
              <w:t>充电站编号</w:t>
            </w:r>
          </w:p>
        </w:tc>
        <w:tc>
          <w:tcPr>
            <w:tcW w:w="2125" w:type="dxa"/>
            <w:tcBorders>
              <w:top w:val="single" w:color="auto" w:sz="4" w:space="0"/>
              <w:left w:val="nil"/>
              <w:bottom w:val="single" w:color="auto" w:sz="4" w:space="0"/>
              <w:right w:val="single" w:color="auto" w:sz="4" w:space="0"/>
            </w:tcBorders>
            <w:shd w:val="clear" w:color="000000" w:fill="C0C0C0"/>
            <w:vAlign w:val="center"/>
          </w:tcPr>
          <w:p>
            <w:pPr>
              <w:widowControl/>
              <w:jc w:val="center"/>
              <w:rPr>
                <w:rFonts w:hint="default" w:ascii="Times New Roman" w:hAnsi="Times New Roman" w:eastAsia="方正仿宋_GBK" w:cs="Times New Roman"/>
                <w:b/>
                <w:bCs/>
                <w:color w:val="000000"/>
                <w:kern w:val="0"/>
                <w:sz w:val="22"/>
                <w:szCs w:val="22"/>
              </w:rPr>
            </w:pPr>
            <w:r>
              <w:rPr>
                <w:rFonts w:hint="default" w:ascii="Times New Roman" w:hAnsi="Times New Roman" w:eastAsia="方正仿宋_GBK" w:cs="Times New Roman"/>
                <w:b/>
                <w:bCs/>
                <w:color w:val="000000"/>
                <w:kern w:val="0"/>
                <w:sz w:val="22"/>
                <w:szCs w:val="22"/>
              </w:rPr>
              <w:t>充电桩数量（个）</w:t>
            </w:r>
          </w:p>
        </w:tc>
        <w:tc>
          <w:tcPr>
            <w:tcW w:w="2618" w:type="dxa"/>
            <w:tcBorders>
              <w:top w:val="single" w:color="auto" w:sz="4" w:space="0"/>
              <w:left w:val="nil"/>
              <w:bottom w:val="single" w:color="auto" w:sz="4" w:space="0"/>
              <w:right w:val="single" w:color="auto" w:sz="4" w:space="0"/>
            </w:tcBorders>
            <w:shd w:val="clear" w:color="000000" w:fill="C0C0C0"/>
            <w:vAlign w:val="center"/>
          </w:tcPr>
          <w:p>
            <w:pPr>
              <w:widowControl/>
              <w:jc w:val="center"/>
              <w:rPr>
                <w:rFonts w:hint="default" w:ascii="Times New Roman" w:hAnsi="Times New Roman" w:eastAsia="方正仿宋_GBK" w:cs="Times New Roman"/>
                <w:b/>
                <w:bCs/>
                <w:color w:val="000000"/>
                <w:kern w:val="0"/>
                <w:sz w:val="22"/>
                <w:szCs w:val="22"/>
              </w:rPr>
            </w:pPr>
            <w:r>
              <w:rPr>
                <w:rFonts w:hint="default" w:ascii="Times New Roman" w:hAnsi="Times New Roman" w:eastAsia="方正仿宋_GBK" w:cs="Times New Roman"/>
                <w:b/>
                <w:bCs/>
                <w:color w:val="000000"/>
                <w:kern w:val="0"/>
                <w:sz w:val="22"/>
                <w:szCs w:val="22"/>
              </w:rPr>
              <w:t>充电站类型</w:t>
            </w:r>
          </w:p>
        </w:tc>
        <w:tc>
          <w:tcPr>
            <w:tcW w:w="1759" w:type="dxa"/>
            <w:tcBorders>
              <w:top w:val="single" w:color="auto" w:sz="4" w:space="0"/>
              <w:left w:val="nil"/>
              <w:bottom w:val="single" w:color="auto" w:sz="4" w:space="0"/>
              <w:right w:val="single" w:color="auto" w:sz="4" w:space="0"/>
            </w:tcBorders>
            <w:shd w:val="clear" w:color="000000" w:fill="C0C0C0"/>
            <w:vAlign w:val="center"/>
          </w:tcPr>
          <w:p>
            <w:pPr>
              <w:widowControl/>
              <w:jc w:val="center"/>
              <w:rPr>
                <w:rFonts w:hint="default" w:ascii="Times New Roman" w:hAnsi="Times New Roman" w:eastAsia="方正仿宋_GBK" w:cs="Times New Roman"/>
                <w:b/>
                <w:bCs/>
                <w:color w:val="000000"/>
                <w:kern w:val="0"/>
                <w:sz w:val="22"/>
                <w:szCs w:val="22"/>
              </w:rPr>
            </w:pPr>
            <w:r>
              <w:rPr>
                <w:rFonts w:hint="default" w:ascii="Times New Roman" w:hAnsi="Times New Roman" w:eastAsia="方正仿宋_GBK" w:cs="Times New Roman"/>
                <w:b/>
                <w:bCs/>
                <w:color w:val="000000"/>
                <w:kern w:val="0"/>
                <w:sz w:val="22"/>
                <w:szCs w:val="22"/>
              </w:rPr>
              <w:t>建设计划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restart"/>
            <w:tcBorders>
              <w:top w:val="nil"/>
              <w:left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城区</w:t>
            </w: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S-2</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10</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S-3</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20</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S-4</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4</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S-5</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6</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S-6</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10</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S-7</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10</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S-8</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10</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S-9</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10</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S-10</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5</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bottom w:val="single" w:color="000000"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S-11</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10</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restart"/>
            <w:tcBorders>
              <w:top w:val="nil"/>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城区</w:t>
            </w: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S-12</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10</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S-14</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10</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S-15</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4</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S-16</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10</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S-17</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10</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S-19</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10</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S-20</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50</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S-21</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80</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G-1</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15</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公交客运车辆充电站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G-2</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10</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公交客运车辆充电站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G-3</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20</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公交客运车辆充电站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G-4</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15</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公交客运车辆充电站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G-6</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10</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公交客运车辆充电站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W-1</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15</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物流车辆充电站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W-2</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10</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物流车辆充电站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bottom w:val="single" w:color="000000"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W-4</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8</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物流车辆充电站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restart"/>
            <w:tcBorders>
              <w:top w:val="nil"/>
              <w:left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乡镇</w:t>
            </w: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包鸾镇</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6</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三建乡</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6</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武平镇</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6</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restart"/>
            <w:tcBorders>
              <w:top w:val="nil"/>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乡镇</w:t>
            </w: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龙河镇</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6</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江池镇</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6</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高家镇</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6</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十直镇</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6</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树人镇</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6</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虎威镇</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6</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湛普镇</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6</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社坛镇</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6</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兴龙镇</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6</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仁沙镇</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6</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许明寺镇</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6</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董家镇</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6</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保合镇</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6</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双龙镇</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6</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高速公路服务区（湖北方向）</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20</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高速公路服务区（重庆方向）</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20</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暨龙镇</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6</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restart"/>
            <w:tcBorders>
              <w:top w:val="nil"/>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乡镇</w:t>
            </w: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双路镇</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10</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三元镇</w:t>
            </w:r>
            <w:r>
              <w:rPr>
                <w:rFonts w:hint="default" w:ascii="Times New Roman" w:hAnsi="Times New Roman" w:eastAsia="方正仿宋_GBK" w:cs="Times New Roman"/>
                <w:color w:val="000000"/>
                <w:kern w:val="0"/>
                <w:sz w:val="22"/>
                <w:szCs w:val="22"/>
                <w:lang w:eastAsia="zh-CN"/>
              </w:rPr>
              <w:t>（</w:t>
            </w:r>
            <w:r>
              <w:rPr>
                <w:rFonts w:hint="default" w:ascii="Times New Roman" w:hAnsi="Times New Roman" w:eastAsia="方正仿宋_GBK" w:cs="Times New Roman"/>
                <w:color w:val="000000"/>
                <w:kern w:val="0"/>
                <w:sz w:val="22"/>
                <w:szCs w:val="22"/>
              </w:rPr>
              <w:t>加油站</w:t>
            </w:r>
            <w:r>
              <w:rPr>
                <w:rFonts w:hint="default" w:ascii="Times New Roman" w:hAnsi="Times New Roman" w:eastAsia="方正仿宋_GBK" w:cs="Times New Roman"/>
                <w:color w:val="000000"/>
                <w:kern w:val="0"/>
                <w:sz w:val="22"/>
                <w:szCs w:val="22"/>
                <w:lang w:eastAsia="zh-CN"/>
              </w:rPr>
              <w:t>）</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6</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三元镇</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6</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兴义镇</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6</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754"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22"/>
                <w:szCs w:val="22"/>
              </w:rPr>
            </w:pPr>
          </w:p>
        </w:tc>
        <w:tc>
          <w:tcPr>
            <w:tcW w:w="18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南天湖镇</w:t>
            </w:r>
          </w:p>
        </w:tc>
        <w:tc>
          <w:tcPr>
            <w:tcW w:w="2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12</w:t>
            </w:r>
          </w:p>
        </w:tc>
        <w:tc>
          <w:tcPr>
            <w:tcW w:w="26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社会公共充电站</w:t>
            </w: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近期建设</w:t>
            </w:r>
          </w:p>
        </w:tc>
      </w:tr>
    </w:tbl>
    <w:p>
      <w:pPr>
        <w:pStyle w:val="5"/>
        <w:widowControl w:val="0"/>
        <w:wordWrap/>
        <w:adjustRightInd/>
        <w:snapToGrid/>
        <w:spacing w:before="0" w:after="0" w:line="570" w:lineRule="exact"/>
        <w:ind w:firstLine="640" w:firstLineChars="200"/>
        <w:textAlignment w:val="auto"/>
        <w:rPr>
          <w:rFonts w:hint="default" w:ascii="Times New Roman" w:hAnsi="Times New Roman" w:eastAsia="方正黑体_GBK" w:cs="Times New Roman"/>
          <w:b w:val="0"/>
          <w:bCs w:val="0"/>
          <w:color w:val="auto"/>
          <w:sz w:val="32"/>
          <w:szCs w:val="32"/>
          <w:lang w:val="zh-CN" w:eastAsia="zh-CN"/>
        </w:rPr>
      </w:pPr>
      <w:bookmarkStart w:id="38" w:name="_Toc10635"/>
      <w:r>
        <w:rPr>
          <w:rFonts w:hint="default" w:ascii="Times New Roman" w:hAnsi="Times New Roman" w:eastAsia="方正黑体_GBK" w:cs="Times New Roman"/>
          <w:b w:val="0"/>
          <w:bCs w:val="0"/>
          <w:color w:val="auto"/>
          <w:sz w:val="32"/>
          <w:szCs w:val="32"/>
          <w:lang w:val="zh-CN" w:eastAsia="zh-CN"/>
        </w:rPr>
        <w:t>7.2远景展望</w:t>
      </w:r>
      <w:bookmarkEnd w:id="38"/>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展望2035年，丰都县全面完成电动汽车充电基础设施建设，建立电动汽车充电设施安全评价、运维检修、现场检测、运行监测综合管理规范及制度体系，实现与周边区县城电动汽车充电基础设施网络连接。</w:t>
      </w:r>
    </w:p>
    <w:p>
      <w:pPr>
        <w:pStyle w:val="4"/>
        <w:widowControl w:val="0"/>
        <w:numPr>
          <w:ilvl w:val="0"/>
          <w:numId w:val="1"/>
        </w:numPr>
        <w:wordWrap/>
        <w:adjustRightInd/>
        <w:snapToGrid/>
        <w:spacing w:before="0" w:after="0" w:line="480" w:lineRule="auto"/>
        <w:jc w:val="center"/>
        <w:textAlignment w:val="auto"/>
        <w:rPr>
          <w:rFonts w:hint="default" w:ascii="Times New Roman" w:hAnsi="Times New Roman" w:eastAsia="方正小标宋_GBK" w:cs="Times New Roman"/>
          <w:b w:val="0"/>
          <w:bCs/>
          <w:color w:val="auto"/>
          <w:sz w:val="44"/>
          <w:szCs w:val="44"/>
        </w:rPr>
      </w:pPr>
      <w:bookmarkStart w:id="39" w:name="_Toc29910"/>
      <w:r>
        <w:rPr>
          <w:rFonts w:hint="default" w:ascii="Times New Roman" w:hAnsi="Times New Roman" w:eastAsia="方正小标宋_GBK" w:cs="Times New Roman"/>
          <w:b w:val="0"/>
          <w:bCs/>
          <w:color w:val="auto"/>
          <w:sz w:val="44"/>
          <w:szCs w:val="44"/>
        </w:rPr>
        <w:t>规划实施与保障措施</w:t>
      </w:r>
      <w:bookmarkEnd w:id="39"/>
    </w:p>
    <w:p>
      <w:pPr>
        <w:pStyle w:val="5"/>
        <w:widowControl w:val="0"/>
        <w:wordWrap/>
        <w:adjustRightInd/>
        <w:snapToGrid/>
        <w:spacing w:before="0" w:after="0" w:line="570" w:lineRule="exact"/>
        <w:ind w:firstLine="640" w:firstLineChars="200"/>
        <w:textAlignment w:val="auto"/>
        <w:rPr>
          <w:rFonts w:hint="default" w:ascii="Times New Roman" w:hAnsi="Times New Roman" w:eastAsia="方正黑体_GBK" w:cs="Times New Roman"/>
          <w:b w:val="0"/>
          <w:bCs w:val="0"/>
          <w:color w:val="auto"/>
          <w:sz w:val="32"/>
          <w:szCs w:val="32"/>
          <w:lang w:val="zh-CN" w:eastAsia="zh-CN"/>
        </w:rPr>
      </w:pPr>
      <w:bookmarkStart w:id="40" w:name="_Toc12042"/>
      <w:r>
        <w:rPr>
          <w:rFonts w:hint="default" w:ascii="Times New Roman" w:hAnsi="Times New Roman" w:eastAsia="方正黑体_GBK" w:cs="Times New Roman"/>
          <w:b w:val="0"/>
          <w:bCs w:val="0"/>
          <w:color w:val="auto"/>
          <w:sz w:val="32"/>
          <w:szCs w:val="32"/>
          <w:lang w:val="zh-CN" w:eastAsia="zh-CN"/>
        </w:rPr>
        <w:t>8.1 加强政策支持</w:t>
      </w:r>
      <w:bookmarkEnd w:id="40"/>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（一）积极贯彻落实国家和重庆市电动汽车充电基础设施建设的有关政策，出台相应配套政策。建立健全电动汽车应用的保障措施和产业</w:t>
      </w:r>
      <w:r>
        <w:rPr>
          <w:rFonts w:hint="default" w:ascii="Times New Roman" w:hAnsi="Times New Roman" w:eastAsia="方正仿宋_GBK" w:cs="Times New Roman"/>
          <w:sz w:val="32"/>
          <w:szCs w:val="32"/>
          <w:lang w:eastAsia="zh-CN"/>
        </w:rPr>
        <w:t>扶持</w:t>
      </w:r>
      <w:r>
        <w:rPr>
          <w:rFonts w:hint="default" w:ascii="Times New Roman" w:hAnsi="Times New Roman" w:eastAsia="方正仿宋_GBK" w:cs="Times New Roman"/>
          <w:sz w:val="32"/>
          <w:szCs w:val="32"/>
        </w:rPr>
        <w:t>政策，切实保障规划用地。</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（二）加大地方财政支持力度，出台补贴政策，加快推广应用。严格贯彻执行国务院《关于加快新能源汽车推广应用指导意见》（国办发〔201</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 35 号）及国家发改委的《关于电动汽车用电价格政策有关问题的通知》中关于充电价格方面的要求，合理制定充电服务费。</w:t>
      </w:r>
    </w:p>
    <w:p>
      <w:pPr>
        <w:pStyle w:val="5"/>
        <w:widowControl w:val="0"/>
        <w:wordWrap/>
        <w:adjustRightInd/>
        <w:snapToGrid/>
        <w:spacing w:before="0" w:after="0" w:line="570" w:lineRule="exact"/>
        <w:ind w:firstLine="640" w:firstLineChars="200"/>
        <w:textAlignment w:val="auto"/>
        <w:rPr>
          <w:rFonts w:hint="default" w:ascii="Times New Roman" w:hAnsi="Times New Roman" w:eastAsia="方正黑体_GBK" w:cs="Times New Roman"/>
          <w:b w:val="0"/>
          <w:bCs w:val="0"/>
          <w:color w:val="auto"/>
          <w:sz w:val="32"/>
          <w:szCs w:val="32"/>
          <w:lang w:val="zh-CN" w:eastAsia="zh-CN"/>
        </w:rPr>
      </w:pPr>
      <w:bookmarkStart w:id="41" w:name="_Toc19103"/>
      <w:r>
        <w:rPr>
          <w:rFonts w:hint="default" w:ascii="Times New Roman" w:hAnsi="Times New Roman" w:eastAsia="方正黑体_GBK" w:cs="Times New Roman"/>
          <w:b w:val="0"/>
          <w:bCs w:val="0"/>
          <w:color w:val="auto"/>
          <w:sz w:val="32"/>
          <w:szCs w:val="32"/>
          <w:lang w:val="zh-CN" w:eastAsia="zh-CN"/>
        </w:rPr>
        <w:t>8.2 完善建设审批手续</w:t>
      </w:r>
      <w:bookmarkEnd w:id="41"/>
    </w:p>
    <w:p>
      <w:pPr>
        <w:autoSpaceDE w:val="0"/>
        <w:autoSpaceDN w:val="0"/>
        <w:adjustRightInd w:val="0"/>
        <w:ind w:firstLine="640" w:firstLineChars="200"/>
        <w:rPr>
          <w:rFonts w:hint="default" w:ascii="Times New Roman" w:hAnsi="Times New Roman" w:eastAsia="方正仿宋_GBK" w:cs="Times New Roman"/>
          <w:sz w:val="32"/>
          <w:szCs w:val="32"/>
          <w:lang w:val="zh-CN" w:eastAsia="zh-CN"/>
        </w:rPr>
      </w:pPr>
      <w:r>
        <w:rPr>
          <w:rFonts w:hint="default" w:ascii="Times New Roman" w:hAnsi="Times New Roman" w:eastAsia="方正仿宋_GBK" w:cs="Times New Roman"/>
          <w:sz w:val="32"/>
          <w:szCs w:val="32"/>
        </w:rPr>
        <w:t>实行充电基础设施建设项目备案管理制度，商业运营的充电基础设施项目应由县主管部门报县政府同意后方可开工建设。个人在自有停车库、停车位，各居住区、单位在已有停车泊位安装电动汽车充电设施的，无需办理建设用地规划许可证、建设工程规划许可证和施工许可证。建设城市公共停车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楼</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时，无需为同步建设电动汽车充电基础设施单独办理建设工程规划许可证和施工许可证。新建单独占地的集中式充换电站应符合相关规划，并办理建设用地规划许可证、建设工程规划许可证和施工许可证。</w:t>
      </w:r>
    </w:p>
    <w:p>
      <w:pPr>
        <w:pStyle w:val="5"/>
        <w:widowControl w:val="0"/>
        <w:wordWrap/>
        <w:adjustRightInd/>
        <w:snapToGrid/>
        <w:spacing w:before="0" w:after="0" w:line="570" w:lineRule="exact"/>
        <w:ind w:firstLine="640" w:firstLineChars="200"/>
        <w:textAlignment w:val="auto"/>
        <w:rPr>
          <w:rFonts w:hint="default" w:ascii="Times New Roman" w:hAnsi="Times New Roman" w:eastAsia="方正黑体_GBK" w:cs="Times New Roman"/>
          <w:b w:val="0"/>
          <w:bCs w:val="0"/>
          <w:color w:val="auto"/>
          <w:sz w:val="32"/>
          <w:szCs w:val="32"/>
          <w:lang w:val="zh-CN" w:eastAsia="zh-CN"/>
        </w:rPr>
      </w:pPr>
      <w:bookmarkStart w:id="42" w:name="_Toc32252"/>
      <w:r>
        <w:rPr>
          <w:rFonts w:hint="default" w:ascii="Times New Roman" w:hAnsi="Times New Roman" w:eastAsia="方正黑体_GBK" w:cs="Times New Roman"/>
          <w:b w:val="0"/>
          <w:bCs w:val="0"/>
          <w:color w:val="auto"/>
          <w:sz w:val="32"/>
          <w:szCs w:val="32"/>
          <w:lang w:val="zh-CN" w:eastAsia="zh-CN"/>
        </w:rPr>
        <w:t>8.3弹性控制措施</w:t>
      </w:r>
      <w:bookmarkEnd w:id="42"/>
    </w:p>
    <w:p>
      <w:pPr>
        <w:autoSpaceDE w:val="0"/>
        <w:autoSpaceDN w:val="0"/>
        <w:adjustRightInd w:val="0"/>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（一）统筹建设</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充电站建设应与城市建设、道路建设相结合（如土地出让、住宅建设规划设计，作为必要的配套设施加以考虑），统一设计，统一建设，将电动汽车充电基础设施的建设纳入城乡大建设的统筹范围。</w:t>
      </w:r>
    </w:p>
    <w:p>
      <w:pPr>
        <w:autoSpaceDE w:val="0"/>
        <w:autoSpaceDN w:val="0"/>
        <w:adjustRightInd w:val="0"/>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（二）总量控制</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规划电动汽车充电设施的建设应当与城市开发建设相适应，规划服务能力原则上不应减少，可根据实际需求适当增加。</w:t>
      </w:r>
    </w:p>
    <w:p>
      <w:pPr>
        <w:autoSpaceDE w:val="0"/>
        <w:autoSpaceDN w:val="0"/>
        <w:adjustRightInd w:val="0"/>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（三）选址调整</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在满足电动汽车充电站服务范围和服务能力的前提下，规划充电站位置和数量可适当调整；已配套充电站的规划用地若需要规划调整，应一并考虑配套充电站的选址调整。</w:t>
      </w:r>
    </w:p>
    <w:p>
      <w:pPr>
        <w:autoSpaceDE w:val="0"/>
        <w:autoSpaceDN w:val="0"/>
        <w:adjustRightInd w:val="0"/>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（四）灵活布置</w:t>
      </w:r>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在满足充电站设施建设要求的前提下，规划充电设施可结合地块具体情况，可采取集中或分散方式在地块内灵活布置。</w:t>
      </w:r>
      <w:r>
        <w:rPr>
          <w:rFonts w:hint="default" w:ascii="Times New Roman" w:hAnsi="Times New Roman" w:eastAsia="方正仿宋_GBK" w:cs="Times New Roman"/>
          <w:sz w:val="32"/>
          <w:szCs w:val="32"/>
          <w:lang w:val="zh-CN"/>
        </w:rPr>
        <w:t>各乡镇按照布局原则设置1—2座</w:t>
      </w:r>
      <w:r>
        <w:rPr>
          <w:rFonts w:hint="default" w:ascii="Times New Roman" w:hAnsi="Times New Roman" w:eastAsia="方正仿宋_GBK" w:cs="Times New Roman"/>
          <w:sz w:val="32"/>
          <w:szCs w:val="32"/>
        </w:rPr>
        <w:t>社会公共充电站，具体建设位置应根据实际需要和建设条件来确定，优先考虑在现有停车设施上进行布局。</w:t>
      </w:r>
    </w:p>
    <w:p>
      <w:pPr>
        <w:pStyle w:val="4"/>
        <w:widowControl w:val="0"/>
        <w:numPr>
          <w:ilvl w:val="0"/>
          <w:numId w:val="1"/>
        </w:numPr>
        <w:wordWrap/>
        <w:adjustRightInd/>
        <w:snapToGrid/>
        <w:spacing w:before="0" w:after="0" w:line="480" w:lineRule="auto"/>
        <w:jc w:val="center"/>
        <w:textAlignment w:val="auto"/>
        <w:rPr>
          <w:rFonts w:hint="default" w:ascii="Times New Roman" w:hAnsi="Times New Roman" w:eastAsia="方正小标宋_GBK" w:cs="Times New Roman"/>
          <w:b w:val="0"/>
          <w:bCs/>
          <w:color w:val="auto"/>
          <w:sz w:val="44"/>
          <w:szCs w:val="44"/>
        </w:rPr>
      </w:pPr>
      <w:bookmarkStart w:id="43" w:name="_Toc25475"/>
      <w:r>
        <w:rPr>
          <w:rFonts w:hint="default" w:ascii="Times New Roman" w:hAnsi="Times New Roman" w:eastAsia="方正小标宋_GBK" w:cs="Times New Roman"/>
          <w:b w:val="0"/>
          <w:bCs/>
          <w:color w:val="auto"/>
          <w:sz w:val="44"/>
          <w:szCs w:val="44"/>
        </w:rPr>
        <w:t>附 则</w:t>
      </w:r>
      <w:bookmarkEnd w:id="43"/>
    </w:p>
    <w:p>
      <w:pPr>
        <w:autoSpaceDE w:val="0"/>
        <w:autoSpaceDN w:val="0"/>
        <w:adjustRightInd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（一）规划的成果包括《丰都县电动汽车充电基础设施专项规划》图纸（规划布局图、分图图则）和规划文本两部分，图纸和文本具有同等法律效力。</w:t>
      </w:r>
    </w:p>
    <w:p>
      <w:pPr>
        <w:autoSpaceDE w:val="0"/>
        <w:autoSpaceDN w:val="0"/>
        <w:adjustRightInd w:val="0"/>
        <w:ind w:firstLine="640" w:firstLineChars="200"/>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（二）本规划自重庆市丰都县人民政府批准之日起生效。</w:t>
      </w:r>
    </w:p>
    <w:p>
      <w:pPr>
        <w:pBdr>
          <w:bottom w:val="none" w:color="auto" w:sz="0" w:space="0"/>
        </w:pBdr>
        <w:autoSpaceDE w:val="0"/>
        <w:autoSpaceDN w:val="0"/>
        <w:adjustRightInd w:val="0"/>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附件：图集</w:t>
      </w:r>
    </w:p>
    <w:p>
      <w:pPr>
        <w:pBdr>
          <w:bottom w:val="none" w:color="auto" w:sz="0" w:space="0"/>
        </w:pBdr>
        <w:autoSpaceDE w:val="0"/>
        <w:autoSpaceDN w:val="0"/>
        <w:adjustRightInd w:val="0"/>
        <w:ind w:firstLine="640" w:firstLineChars="200"/>
        <w:rPr>
          <w:rFonts w:hint="default" w:ascii="Times New Roman" w:hAnsi="Times New Roman" w:eastAsia="方正仿宋_GBK" w:cs="Times New Roman"/>
          <w:sz w:val="32"/>
          <w:szCs w:val="32"/>
          <w:lang w:val="en-US" w:eastAsia="zh-CN"/>
        </w:rPr>
      </w:pPr>
    </w:p>
    <w:sectPr>
      <w:footerReference r:id="rId10" w:type="default"/>
      <w:footerReference r:id="rId11" w:type="even"/>
      <w:pgSz w:w="11906" w:h="16838"/>
      <w:pgMar w:top="2098" w:right="1531" w:bottom="1984" w:left="1531" w:header="851" w:footer="1417"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A00002EF" w:usb1="4000004B" w:usb2="00000000" w:usb3="00000000" w:csb0="200000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r>
      <w:rPr>
        <w:rFonts w:ascii="Calibri" w:hAnsi="Calibri" w:eastAsia="宋体" w:cs="黑体"/>
        <w:kern w:val="2"/>
        <w:sz w:val="18"/>
        <w:szCs w:val="18"/>
        <w:lang w:val="en-US" w:eastAsia="zh-CN" w:bidi="ar-SA"/>
      </w:rPr>
      <w:pict>
        <v:rect id="文本框 1" o:spid="_x0000_s1025" style="position:absolute;left:0;margin-left:380.7pt;margin-top:0pt;height:144pt;width:144pt;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7"/>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r>
      <w:rPr>
        <w:rFonts w:ascii="Calibri" w:hAnsi="Calibri" w:eastAsia="宋体" w:cs="黑体"/>
        <w:kern w:val="2"/>
        <w:sz w:val="18"/>
        <w:szCs w:val="18"/>
        <w:lang w:val="en-US" w:eastAsia="zh-CN" w:bidi="ar-SA"/>
      </w:rPr>
      <w:pict>
        <v:rect id="文本框 2" o:spid="_x0000_s1026" style="position:absolute;left:0;margin-left:12.75pt;margin-top:0pt;height:144pt;width:144pt;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7"/>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r>
      <w:rPr>
        <w:rFonts w:ascii="Calibri" w:hAnsi="Calibri" w:eastAsia="宋体" w:cs="黑体"/>
        <w:kern w:val="2"/>
        <w:sz w:val="18"/>
        <w:szCs w:val="18"/>
        <w:lang w:val="en-US" w:eastAsia="zh-CN" w:bidi="ar-SA"/>
      </w:rPr>
      <w:pict>
        <v:rect id="文本框 5" o:spid="_x0000_s1027" style="position:absolute;left:0;margin-left:381.45pt;margin-top:0pt;height:144pt;width:144pt;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7"/>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rect>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r>
      <w:rPr>
        <w:rFonts w:ascii="Calibri" w:hAnsi="Calibri" w:eastAsia="宋体" w:cs="黑体"/>
        <w:kern w:val="2"/>
        <w:sz w:val="18"/>
        <w:szCs w:val="18"/>
        <w:lang w:val="en-US" w:eastAsia="zh-CN" w:bidi="ar-SA"/>
      </w:rPr>
      <w:pict>
        <v:rect id="文本框 6" o:spid="_x0000_s1028" style="position:absolute;left:0;margin-left:12.75pt;margin-top:0pt;height:144pt;width:144pt;mso-position-horizontal-relative:margin;mso-wrap-style:none;rotation:0f;z-index:25166131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7"/>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
    <w:nsid w:val="00000014"/>
    <w:multiLevelType w:val="multilevel"/>
    <w:tmpl w:val="00000014"/>
    <w:lvl w:ilvl="0" w:tentative="1">
      <w:start w:val="1"/>
      <w:numFmt w:val="japaneseCounting"/>
      <w:lvlText w:val="第%1章"/>
      <w:lvlJc w:val="left"/>
      <w:pPr>
        <w:ind w:left="1080" w:hanging="108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MDFjM2ViZmIxNzQxOWZjOGJmOGU0NTUxNTczMmI4NTUifQ=="/>
  </w:docVars>
  <w:rsids>
    <w:rsidRoot w:val="09265D71"/>
    <w:rsid w:val="00CC007A"/>
    <w:rsid w:val="05FD2AB9"/>
    <w:rsid w:val="0680104B"/>
    <w:rsid w:val="070C3C1F"/>
    <w:rsid w:val="09265D71"/>
    <w:rsid w:val="0CD67089"/>
    <w:rsid w:val="0EAA0DDA"/>
    <w:rsid w:val="13D645ED"/>
    <w:rsid w:val="14CC517F"/>
    <w:rsid w:val="16125CF6"/>
    <w:rsid w:val="1CC45FBC"/>
    <w:rsid w:val="1CC47A8B"/>
    <w:rsid w:val="1D6B6EF8"/>
    <w:rsid w:val="20DE142F"/>
    <w:rsid w:val="24444B67"/>
    <w:rsid w:val="2ACC12CE"/>
    <w:rsid w:val="2B72297A"/>
    <w:rsid w:val="2FF40F74"/>
    <w:rsid w:val="369B5FA2"/>
    <w:rsid w:val="36E0362C"/>
    <w:rsid w:val="39183658"/>
    <w:rsid w:val="3D9758DD"/>
    <w:rsid w:val="41E257B9"/>
    <w:rsid w:val="42BE6BA7"/>
    <w:rsid w:val="430E3A66"/>
    <w:rsid w:val="46120D43"/>
    <w:rsid w:val="46CC55B7"/>
    <w:rsid w:val="4BD115F1"/>
    <w:rsid w:val="4CDF3C83"/>
    <w:rsid w:val="4D0326BF"/>
    <w:rsid w:val="4DBC1F35"/>
    <w:rsid w:val="4E2B0ECE"/>
    <w:rsid w:val="4F7B210D"/>
    <w:rsid w:val="50E05F3B"/>
    <w:rsid w:val="529C3865"/>
    <w:rsid w:val="55CE116B"/>
    <w:rsid w:val="576553EC"/>
    <w:rsid w:val="5A1B0365"/>
    <w:rsid w:val="5C7912D6"/>
    <w:rsid w:val="5E0778B6"/>
    <w:rsid w:val="63C90319"/>
    <w:rsid w:val="645A795A"/>
    <w:rsid w:val="64B0555C"/>
    <w:rsid w:val="64E52596"/>
    <w:rsid w:val="6AD85589"/>
    <w:rsid w:val="6B271EAD"/>
    <w:rsid w:val="6B596BBE"/>
    <w:rsid w:val="70844B5B"/>
    <w:rsid w:val="71C8610D"/>
    <w:rsid w:val="74235FBB"/>
    <w:rsid w:val="74593C2A"/>
    <w:rsid w:val="746900B9"/>
    <w:rsid w:val="751C7DAD"/>
    <w:rsid w:val="756A7665"/>
    <w:rsid w:val="76341608"/>
    <w:rsid w:val="769F6194"/>
    <w:rsid w:val="77A45665"/>
    <w:rsid w:val="78023259"/>
    <w:rsid w:val="7A481543"/>
    <w:rsid w:val="7B315DC6"/>
    <w:rsid w:val="7C090879"/>
    <w:rsid w:val="7D4D49BC"/>
    <w:rsid w:val="7E123328"/>
    <w:rsid w:val="7F07500E"/>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4">
    <w:name w:val="heading 1"/>
    <w:basedOn w:val="1"/>
    <w:next w:val="1"/>
    <w:qFormat/>
    <w:uiPriority w:val="0"/>
    <w:pPr>
      <w:keepNext/>
      <w:keepLines/>
      <w:spacing w:before="480" w:after="80"/>
      <w:outlineLvl w:val="0"/>
    </w:pPr>
    <w:rPr>
      <w:rFonts w:ascii="Calibri Light" w:hAnsi="Calibri Light" w:eastAsia="宋体" w:cs="黑体"/>
      <w:color w:val="2D539E"/>
      <w:sz w:val="48"/>
      <w:szCs w:val="48"/>
    </w:rPr>
  </w:style>
  <w:style w:type="paragraph" w:styleId="5">
    <w:name w:val="heading 2"/>
    <w:basedOn w:val="1"/>
    <w:next w:val="1"/>
    <w:unhideWhenUsed/>
    <w:qFormat/>
    <w:uiPriority w:val="0"/>
    <w:pPr>
      <w:keepNext/>
      <w:keepLines/>
      <w:spacing w:before="160" w:after="80"/>
      <w:outlineLvl w:val="1"/>
    </w:pPr>
    <w:rPr>
      <w:rFonts w:ascii="Calibri Light" w:hAnsi="Calibri Light" w:eastAsia="宋体" w:cs="黑体"/>
      <w:color w:val="2D539E"/>
      <w:sz w:val="40"/>
      <w:szCs w:val="40"/>
    </w:rPr>
  </w:style>
  <w:style w:type="character" w:default="1" w:styleId="12">
    <w:name w:val="Default Paragraph Font"/>
    <w:semiHidden/>
    <w:qFormat/>
    <w:uiPriority w:val="0"/>
  </w:style>
  <w:style w:type="table" w:default="1" w:styleId="14">
    <w:name w:val="Normal Table"/>
    <w:semiHidden/>
    <w:qFormat/>
    <w:uiPriority w:val="0"/>
    <w:tblPr>
      <w:tblStyle w:val="14"/>
      <w:tblLayout w:type="fixed"/>
      <w:tblCellMar>
        <w:top w:w="0" w:type="dxa"/>
        <w:left w:w="108" w:type="dxa"/>
        <w:bottom w:w="0" w:type="dxa"/>
        <w:right w:w="108" w:type="dxa"/>
      </w:tblCellMar>
    </w:tblPr>
    <w:tcPr>
      <w:textDirection w:val="lrTb"/>
    </w:tcPr>
  </w:style>
  <w:style w:type="paragraph" w:customStyle="1" w:styleId="2">
    <w:name w:val="Default"/>
    <w:next w:val="3"/>
    <w:qFormat/>
    <w:uiPriority w:val="99"/>
    <w:pPr>
      <w:widowControl w:val="0"/>
      <w:spacing w:line="240" w:lineRule="auto"/>
      <w:jc w:val="both"/>
    </w:pPr>
    <w:rPr>
      <w:rFonts w:ascii="仿宋_GB2312" w:hAnsi="仿宋_GB2312" w:eastAsia="仿宋_GB2312" w:cs="仿宋_GB2312"/>
      <w:color w:val="000000"/>
      <w:kern w:val="0"/>
      <w:sz w:val="24"/>
      <w:szCs w:val="24"/>
      <w:lang w:val="en-US" w:eastAsia="zh-CN" w:bidi="ar-SA"/>
    </w:rPr>
  </w:style>
  <w:style w:type="paragraph" w:styleId="3">
    <w:name w:val="Title"/>
    <w:basedOn w:val="1"/>
    <w:next w:val="1"/>
    <w:qFormat/>
    <w:uiPriority w:val="0"/>
    <w:pPr>
      <w:spacing w:before="240" w:after="60"/>
      <w:jc w:val="center"/>
      <w:outlineLvl w:val="0"/>
    </w:pPr>
    <w:rPr>
      <w:rFonts w:ascii="Cambria" w:hAnsi="Cambria" w:eastAsia="宋体" w:cs="Times New Roman"/>
      <w:b/>
      <w:bCs/>
      <w:szCs w:val="32"/>
    </w:rPr>
  </w:style>
  <w:style w:type="paragraph" w:styleId="6">
    <w:name w:val="Body Text"/>
    <w:basedOn w:val="1"/>
    <w:next w:val="1"/>
    <w:qFormat/>
    <w:uiPriority w:val="99"/>
    <w:pPr>
      <w:spacing w:after="120"/>
    </w:pPr>
    <w:rPr>
      <w:rFonts w:ascii="Times New Roman" w:hAnsi="Times New Roman"/>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uiPriority w:val="0"/>
  </w:style>
  <w:style w:type="paragraph" w:styleId="10">
    <w:name w:val="toc 2"/>
    <w:basedOn w:val="1"/>
    <w:next w:val="1"/>
    <w:uiPriority w:val="0"/>
    <w:pPr>
      <w:ind w:left="420" w:leftChars="200"/>
    </w:pPr>
  </w:style>
  <w:style w:type="paragraph" w:styleId="11">
    <w:name w:val="Body Text 2"/>
    <w:basedOn w:val="1"/>
    <w:qFormat/>
    <w:uiPriority w:val="0"/>
    <w:pPr>
      <w:spacing w:line="480" w:lineRule="auto"/>
    </w:pPr>
  </w:style>
  <w:style w:type="character" w:styleId="13">
    <w:name w:val="Hyperlink"/>
    <w:qFormat/>
    <w:uiPriority w:val="99"/>
    <w:rPr>
      <w:color w:val="0000FF"/>
      <w:u w:val="single"/>
    </w:rPr>
  </w:style>
  <w:style w:type="paragraph" w:customStyle="1" w:styleId="15">
    <w:name w:val="_Style 37"/>
    <w:basedOn w:val="1"/>
    <w:next w:val="1"/>
    <w:qFormat/>
    <w:uiPriority w:val="39"/>
    <w:pPr>
      <w:widowControl/>
      <w:tabs>
        <w:tab w:val="right" w:leader="dot" w:pos="9498"/>
      </w:tabs>
      <w:spacing w:before="156" w:after="156"/>
      <w:jc w:val="left"/>
    </w:pPr>
    <w:rPr>
      <w:rFonts w:ascii="Calibri" w:hAnsi="Calibri"/>
      <w:kern w:val="0"/>
      <w:sz w:val="22"/>
      <w:szCs w:val="22"/>
    </w:rPr>
  </w:style>
  <w:style w:type="paragraph" w:customStyle="1" w:styleId="16">
    <w:name w:val="段"/>
    <w:qFormat/>
    <w:uiPriority w:val="0"/>
    <w:pPr>
      <w:ind w:firstLine="200" w:firstLineChars="200"/>
      <w:jc w:val="both"/>
    </w:pPr>
    <w:rPr>
      <w:rFonts w:hint="eastAsia" w:ascii="宋体" w:hAnsi="Times New Roman" w:eastAsia="宋体" w:cs="Times New Roman"/>
      <w:kern w:val="0"/>
      <w:sz w:val="21"/>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2024-02-07T01:30:00Z</dcterms:created>
  <dc:creator>Administrator</dc:creator>
  <cp:lastModifiedBy>fdkx</cp:lastModifiedBy>
  <cp:lastPrinted>2024-03-19T07:07:00Z</cp:lastPrinted>
  <dcterms:modified xsi:type="dcterms:W3CDTF">2024-03-26T08:08:03Z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y fmtid="{D5CDD505-2E9C-101B-9397-08002B2CF9AE}" pid="3" name="ICV">
    <vt:lpwstr>DC8C7A79542B46DEBC3212B38FE1DB6C_11</vt:lpwstr>
  </property>
</Properties>
</file>