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3C1A8">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18</w:t>
      </w:r>
    </w:p>
    <w:p w14:paraId="797DE964">
      <w:pPr>
        <w:pStyle w:val="7"/>
        <w:jc w:val="left"/>
        <w:rPr>
          <w:rFonts w:ascii="方正公文小标宋" w:eastAsia="方正公文小标宋"/>
          <w:b w:val="0"/>
          <w:sz w:val="84"/>
          <w:szCs w:val="84"/>
          <w:lang w:eastAsia="zh-CN"/>
        </w:rPr>
      </w:pPr>
    </w:p>
    <w:p w14:paraId="5C2E6593">
      <w:pPr>
        <w:rPr>
          <w:rFonts w:ascii="方正公文小标宋" w:eastAsia="方正公文小标宋"/>
          <w:b w:val="0"/>
          <w:sz w:val="84"/>
          <w:szCs w:val="84"/>
          <w:lang w:eastAsia="zh-CN"/>
        </w:rPr>
      </w:pPr>
    </w:p>
    <w:p w14:paraId="46F0D960">
      <w:pPr>
        <w:pStyle w:val="12"/>
        <w:rPr>
          <w:lang w:eastAsia="zh-CN"/>
        </w:rPr>
      </w:pPr>
    </w:p>
    <w:p w14:paraId="1320835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72"/>
          <w:szCs w:val="72"/>
        </w:rPr>
        <w:t>重庆市丰都县三元镇履行职责事项清单</w:t>
      </w:r>
    </w:p>
    <w:p w14:paraId="50E31ED7">
      <w:pPr>
        <w:rPr>
          <w:rFonts w:ascii="方正公文小标宋" w:eastAsia="方正公文小标宋"/>
          <w:sz w:val="84"/>
          <w:szCs w:val="84"/>
          <w:lang w:eastAsia="zh-CN"/>
        </w:rPr>
      </w:pPr>
    </w:p>
    <w:p w14:paraId="14F10299">
      <w:pPr>
        <w:rPr>
          <w:rFonts w:ascii="方正公文小标宋" w:eastAsia="方正公文小标宋"/>
          <w:sz w:val="84"/>
          <w:szCs w:val="84"/>
          <w:lang w:eastAsia="zh-CN"/>
        </w:rPr>
      </w:pPr>
    </w:p>
    <w:p w14:paraId="1B89E27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518D0E9">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43529C48">
          <w:pPr>
            <w:pStyle w:val="12"/>
            <w:rPr>
              <w:rFonts w:hint="default" w:ascii="Times New Roman" w:hAnsi="Times New Roman" w:cs="Times New Roman"/>
              <w:color w:val="auto"/>
            </w:rPr>
          </w:pPr>
        </w:p>
        <w:p w14:paraId="53E44146">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1A41AE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319A48B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6AEBE34A">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76452758">
      <w:pPr>
        <w:pStyle w:val="7"/>
        <w:jc w:val="both"/>
        <w:rPr>
          <w:rFonts w:ascii="Times New Roman" w:hAnsi="Times New Roman" w:eastAsia="方正小标宋_GBK" w:cs="Times New Roman"/>
          <w:color w:val="auto"/>
          <w:spacing w:val="7"/>
          <w:sz w:val="44"/>
          <w:szCs w:val="44"/>
          <w:lang w:eastAsia="zh-CN"/>
        </w:rPr>
      </w:pPr>
    </w:p>
    <w:p w14:paraId="35076DC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FB5AEC0">
      <w:pPr>
        <w:pStyle w:val="2"/>
        <w:widowControl w:val="0"/>
        <w:kinsoku/>
        <w:autoSpaceDE/>
        <w:autoSpaceDN/>
        <w:adjustRightInd/>
        <w:snapToGrid/>
        <w:spacing w:before="0" w:after="0" w:line="240" w:lineRule="auto"/>
        <w:jc w:val="center"/>
        <w:textAlignment w:val="auto"/>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5359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F7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5F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事项名称</w:t>
            </w:r>
          </w:p>
        </w:tc>
      </w:tr>
      <w:tr w14:paraId="5D9EFD0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0100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一、党的建设（2</w:t>
            </w:r>
            <w:r>
              <w:rPr>
                <w:rFonts w:hint="eastAsia" w:ascii="Times New Roman" w:hAnsi="Times New Roman" w:eastAsia="方正黑体_GBK" w:cs="Times New Roman"/>
                <w:b w:val="0"/>
                <w:bCs w:val="0"/>
                <w:i w:val="0"/>
                <w:iCs w:val="0"/>
                <w:strike w:val="0"/>
                <w:dstrike w:val="0"/>
                <w:snapToGrid/>
                <w:color w:val="auto"/>
                <w:kern w:val="2"/>
                <w:sz w:val="21"/>
                <w:szCs w:val="21"/>
                <w:u w:val="none"/>
                <w:lang w:val="en-US" w:eastAsia="zh-CN" w:bidi="ar"/>
              </w:rPr>
              <w:t>3</w:t>
            </w: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项）</w:t>
            </w:r>
          </w:p>
        </w:tc>
      </w:tr>
      <w:tr w14:paraId="2CB296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70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B95BB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F6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1A80B4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A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6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0D929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92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7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65E355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D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5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4A6A43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3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E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3757AB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65A948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D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9AD99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6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6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540F8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5CBF61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6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B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7191A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C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D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49EAF8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8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7CD756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1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01748B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5A5CC0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E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307C85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3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354343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2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8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4FD3BC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73FB9A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F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6EEAA7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A1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2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30998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B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2F641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C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0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7AEFCA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E68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w:t>
            </w:r>
            <w:r>
              <w:rPr>
                <w:rFonts w:hint="eastAsia" w:ascii="Times New Roman" w:hAnsi="Times New Roman" w:eastAsia="方正黑体_GBK" w:cs="Times New Roman"/>
                <w:b w:val="0"/>
                <w:bCs w:val="0"/>
                <w:snapToGrid w:val="0"/>
                <w:color w:val="auto"/>
                <w:kern w:val="0"/>
                <w:sz w:val="21"/>
                <w:szCs w:val="21"/>
                <w:u w:val="none"/>
                <w:lang w:val="en-US" w:eastAsia="zh-CN" w:bidi="ar"/>
              </w:rPr>
              <w:t>10</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C534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4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A2852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6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9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7188A0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A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1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2A182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4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5FC5E9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E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B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4549D0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D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02C710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0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02481D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D6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30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4DAF25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0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C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2921B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D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05536C6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C2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三、民生服务（13项）</w:t>
            </w:r>
          </w:p>
        </w:tc>
      </w:tr>
      <w:tr w14:paraId="3B8C1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E7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2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332145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3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7699C9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DB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5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48A2AE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1D81A1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05E53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9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5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65AF2A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F2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55216F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6FAF6F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3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F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F7F4F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D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D8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1DE27A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2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479E3F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1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2C029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5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29DD90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47C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025CA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9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F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4B5614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E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1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129D51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bidi="ar-SA"/>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668BE9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2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AE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5C97AB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D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0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272C61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4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8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1EC787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B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189BC2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8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1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7D678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DC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788498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7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09E330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55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34BFB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D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457EA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1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70E10C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3C19A9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2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F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27D773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F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54F222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163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五、乡村振兴（9项）</w:t>
            </w:r>
          </w:p>
        </w:tc>
      </w:tr>
      <w:tr w14:paraId="0C467C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32B7F6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3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19AA42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8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5F8871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0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3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23CEAA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D2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8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5EC328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E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3DE51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7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A5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1D54D4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2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338173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99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负责红心柚产业规划，做好红心柚种植技术推广、病虫害防治、品牌建设、政策支持及后期管护工作。</w:t>
            </w:r>
          </w:p>
        </w:tc>
      </w:tr>
      <w:tr w14:paraId="1B6FF11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249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5EE5B0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4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AA5D7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4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77C25A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A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398B7F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8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2D41102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34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七、城乡建设（6项）</w:t>
            </w:r>
          </w:p>
        </w:tc>
      </w:tr>
      <w:tr w14:paraId="344089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29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CB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16B8D5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5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76FE70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4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8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0EBA8F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8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50CC1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C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0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0F08CD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8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B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4A125B4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B93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八、文化和旅游（2项）</w:t>
            </w:r>
          </w:p>
        </w:tc>
      </w:tr>
      <w:tr w14:paraId="714025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A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0BDD1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C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60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编制乡村旅游规划，推进文化旅游融合发展，做好文旅项目建设，开展红色资源保护利用，挖掘本地红心柚文化内涵，策划开展“红心柚文化艺术节”特色文旅活动。</w:t>
            </w:r>
          </w:p>
        </w:tc>
      </w:tr>
      <w:tr w14:paraId="48F1CCC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7AB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669BA8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3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7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446975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C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119FAF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5A418C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F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F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768A55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9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3F94A6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C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5AC34A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05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427270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D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D6927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3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3D9A11E1">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1B5021A">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F1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8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2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0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C0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79CAE8A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DF0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3F2E43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A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F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5499C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3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3BDE54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D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B9CD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A143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53E1C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98EB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6076A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9AC7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9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4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73DB88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C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2272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275E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121F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48B2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E8A5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8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299FA1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E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5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7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9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1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72F3BD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E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7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8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04AB08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5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7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A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9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0BC82A0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9DE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17350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8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5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A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D7CA7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C1D4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3022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CDED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B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C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403D76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E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7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A9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D3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3CBD4AD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2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F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0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4ADEF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0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599D8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E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D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DF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1397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C062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B511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81EA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2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72A4AD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6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47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1AC0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D4C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A14FF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BA02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86C3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96F3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1213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5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7E4DCB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E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4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53ADA8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3F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2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F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6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059B5A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3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8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C677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77D7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9BA4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DABC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25BE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6FBA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113F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3C1C9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1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E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56CBB5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D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7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97CB3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5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28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B6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1D344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8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0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8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7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76B37A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3A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F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11EDF4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4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2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8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191BE6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C8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B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DC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0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034541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5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9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7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46D3D9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1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A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084DD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C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0D731B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B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4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D613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5B925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5089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55F3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8D57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6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383841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E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75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E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387103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01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6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1C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5EC42B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0BB2F2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8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14A9EB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4EC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18</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156AA4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84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B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5818F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D5AA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D7A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0AB3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D9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p>
          <w:p w14:paraId="72AA4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00A210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3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5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A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3F90CE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4848D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D3BC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90B4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D3A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0369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B23D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4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669DC5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0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1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66DD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4C6DA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D0AB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52C4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0AFF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C0AEF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5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5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6E3796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0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A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19527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2E26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CE1D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6E428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A5A7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02D8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6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5A047EA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0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97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CFFA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市场监管局</w:t>
            </w:r>
          </w:p>
          <w:p w14:paraId="764E7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D49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F739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58B8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42B7F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A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279739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7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C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AE2E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5EE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0D22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5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D3164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0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F30C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0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D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31A18A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B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1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94F9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6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3CBCA4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2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4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3C43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3214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D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1A0C37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80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0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B7653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65C20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608B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BCAB6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106B8D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6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D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7DB1C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F0F8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A5A4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497CF3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4A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6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5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74B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6370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3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F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4E69E7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5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7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8A10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8499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6AE5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C499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D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493D8A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A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3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65C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1869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E87BC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192E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3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227383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1A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348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C282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47BE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929E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5E7D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EC431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6D6C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DC71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316E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3916F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62BE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55C5A1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E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D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0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7765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EB775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32B8C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E212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E033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FE83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7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4804B9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F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1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39103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8228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0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392C8A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27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9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F78A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C9CD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B0E8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EE11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D4B9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998C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42FA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111E4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4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1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1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6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779BD65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530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6F2F21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04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4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C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0D3B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1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57FF7A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5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318331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E4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21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62AD1F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4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B7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5D4A2B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bookmarkStart w:id="12" w:name="_GoBack"/>
            <w:bookmarkEnd w:id="12"/>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4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49EE90F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D09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64CE96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D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20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E9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34DD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C9A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94A2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E944D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714F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4BF57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3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9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0E07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5E43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3EDD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D9C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A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250354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F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9611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1457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BA7F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8393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0FCF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A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3A7A3C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F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0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BC35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A4E5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3BD8F5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F4CC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7A927D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F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5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3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0AD8FB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5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1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6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34130B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E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5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F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3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173B04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3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1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A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B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2399C98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8F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both"/>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5EDEBD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2B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0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30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D2CC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2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6B3D8E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21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1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C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4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548F1A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2B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16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8D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3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6556CCA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E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6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5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F8E8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6AF9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5286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4D5E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1B351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282E94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3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F21F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C58A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3C4D5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351E2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4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3C4D0C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9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D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1EACD1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C559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6FC1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B45E5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845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750F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D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3F3BA5F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DFF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3D287B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4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2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8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395DDBC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F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A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4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B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34F87F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5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0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5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D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5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7E8A66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6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E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D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6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3BD53D79">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39D396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FA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03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F2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5BD9C1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58F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3208F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C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0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0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AF58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B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1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E903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9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7EF05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B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4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D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376DE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4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E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2D2BE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E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ED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27C51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4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2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59E39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F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60925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999B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5952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14226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2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1E880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0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2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03A43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4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065E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A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3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8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7DA6A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6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6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65D2B6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DBC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72C36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5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7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581F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E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64F10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2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A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4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52D29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0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E1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0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0C39B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E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2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0244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0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2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02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58B3C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5241A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4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5A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5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276E4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1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27C67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1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8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73C68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B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3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16E2E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2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645BC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F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1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B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1025D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4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05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E53E5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17D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DCB9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B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1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47BB7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4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18AC1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D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EAF4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B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02CD6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8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530A3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2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EC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88E7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5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1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115FB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13F5E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9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D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4CE31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D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633B0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0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1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18754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8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E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9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2C04E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C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A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78C65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01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55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66B73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4C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65B02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0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5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F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71011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F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2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5F3C08F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C5F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59D57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9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6A754B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E3A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4B2D0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3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11BE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D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502C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0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1DB59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C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0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7AA71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F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412B0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2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7B1FC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6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4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42828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7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2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75E86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B8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F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202F9D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E9D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1FE2B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0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4C5F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6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E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5DC0C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7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5447A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2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4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2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2E7ED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8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7B6B342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1113">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9895B85">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9895B85">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3613">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E01D0E"/>
    <w:rsid w:val="02194F99"/>
    <w:rsid w:val="02612B5C"/>
    <w:rsid w:val="03340AC7"/>
    <w:rsid w:val="03DD65BE"/>
    <w:rsid w:val="06471FDD"/>
    <w:rsid w:val="066E1CEE"/>
    <w:rsid w:val="06A53C01"/>
    <w:rsid w:val="08407581"/>
    <w:rsid w:val="0A330660"/>
    <w:rsid w:val="0B287C86"/>
    <w:rsid w:val="0C126BE9"/>
    <w:rsid w:val="0DF345F6"/>
    <w:rsid w:val="0E341099"/>
    <w:rsid w:val="0F5C4941"/>
    <w:rsid w:val="10BF17A5"/>
    <w:rsid w:val="10E0217F"/>
    <w:rsid w:val="12A23A4F"/>
    <w:rsid w:val="12B25D6C"/>
    <w:rsid w:val="139A16DC"/>
    <w:rsid w:val="148E3042"/>
    <w:rsid w:val="1A7D053C"/>
    <w:rsid w:val="1AF04599"/>
    <w:rsid w:val="1B37398D"/>
    <w:rsid w:val="1BCB2B72"/>
    <w:rsid w:val="1DAA12D7"/>
    <w:rsid w:val="1E641526"/>
    <w:rsid w:val="28C7783A"/>
    <w:rsid w:val="2A6B59EA"/>
    <w:rsid w:val="2BDC3BDF"/>
    <w:rsid w:val="301F34FF"/>
    <w:rsid w:val="30B654E5"/>
    <w:rsid w:val="316669AC"/>
    <w:rsid w:val="31E13CDB"/>
    <w:rsid w:val="32F522F5"/>
    <w:rsid w:val="364A0BAA"/>
    <w:rsid w:val="36603F29"/>
    <w:rsid w:val="38AD7F4A"/>
    <w:rsid w:val="3B602C1D"/>
    <w:rsid w:val="41BE244C"/>
    <w:rsid w:val="451458F7"/>
    <w:rsid w:val="45977D70"/>
    <w:rsid w:val="45DB59D0"/>
    <w:rsid w:val="4A5C15F1"/>
    <w:rsid w:val="4CD47749"/>
    <w:rsid w:val="4E92278C"/>
    <w:rsid w:val="503B1F0D"/>
    <w:rsid w:val="533B7DA0"/>
    <w:rsid w:val="585B60A9"/>
    <w:rsid w:val="58AC4E81"/>
    <w:rsid w:val="58AE63FA"/>
    <w:rsid w:val="5B466887"/>
    <w:rsid w:val="5D2E03A5"/>
    <w:rsid w:val="5DA269FC"/>
    <w:rsid w:val="5EE3292D"/>
    <w:rsid w:val="632C5010"/>
    <w:rsid w:val="633F11E7"/>
    <w:rsid w:val="645C60CA"/>
    <w:rsid w:val="64750B5C"/>
    <w:rsid w:val="64E70858"/>
    <w:rsid w:val="6684398A"/>
    <w:rsid w:val="67053752"/>
    <w:rsid w:val="6EDD18B4"/>
    <w:rsid w:val="6F0B1103"/>
    <w:rsid w:val="70652058"/>
    <w:rsid w:val="71775FF0"/>
    <w:rsid w:val="75E51393"/>
    <w:rsid w:val="76AC673B"/>
    <w:rsid w:val="7B0A4DF1"/>
    <w:rsid w:val="7B0C33B1"/>
    <w:rsid w:val="7C3A20F4"/>
    <w:rsid w:val="7E372A17"/>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dcterms:modified xsi:type="dcterms:W3CDTF">2025-08-26T02:19:23Z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eyJoZGlkIjoiZTRmODFlMjYzZDU0MmY5NGU0NDQwN2RiNzIwZjYyMDMiLCJ1c2VySWQiOiI4Mjk5NjQ0NTAifQ==</vt:lpwstr>
  </property>
  <property fmtid="{D5CDD505-2E9C-101B-9397-08002B2CF9AE}" pid="3" name="KSOProductBuildVer">
    <vt:lpwstr>2052-12.1.0.22529</vt:lpwstr>
  </property>
  <property fmtid="{D5CDD505-2E9C-101B-9397-08002B2CF9AE}" pid="4" name="ICV">
    <vt:lpwstr>227CDA72EA384C2697B7E1EB9BC773EF_12</vt:lpwstr>
  </property>
</Properties>
</file>