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62F09">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附件11</w:t>
      </w:r>
    </w:p>
    <w:p w14:paraId="709D93BB">
      <w:pPr>
        <w:pStyle w:val="7"/>
        <w:jc w:val="left"/>
        <w:rPr>
          <w:rFonts w:hint="default" w:ascii="Times New Roman" w:hAnsi="Times New Roman" w:eastAsia="方正公文小标宋" w:cs="Times New Roman"/>
          <w:b w:val="0"/>
          <w:sz w:val="84"/>
          <w:szCs w:val="84"/>
          <w:lang w:eastAsia="zh-CN"/>
        </w:rPr>
      </w:pPr>
    </w:p>
    <w:p w14:paraId="1AB91A8B">
      <w:pPr>
        <w:adjustRightInd/>
        <w:snapToGrid/>
        <w:spacing w:before="0" w:beforeLines="0" w:after="0" w:afterLines="0"/>
        <w:jc w:val="center"/>
        <w:rPr>
          <w:rFonts w:hint="default" w:ascii="Times New Roman" w:hAnsi="Times New Roman" w:eastAsia="方正小标宋_GBK" w:cs="Times New Roman"/>
          <w:snapToGrid/>
          <w:kern w:val="0"/>
          <w:sz w:val="72"/>
          <w:szCs w:val="72"/>
        </w:rPr>
      </w:pPr>
    </w:p>
    <w:p w14:paraId="1DF01BFB">
      <w:pPr>
        <w:adjustRightInd/>
        <w:snapToGrid/>
        <w:spacing w:before="0" w:beforeLines="0" w:after="0" w:afterLines="0"/>
        <w:jc w:val="center"/>
        <w:rPr>
          <w:rFonts w:hint="default" w:ascii="Times New Roman" w:hAnsi="Times New Roman" w:eastAsia="方正小标宋_GBK" w:cs="Times New Roman"/>
          <w:snapToGrid/>
          <w:kern w:val="0"/>
          <w:sz w:val="72"/>
          <w:szCs w:val="72"/>
        </w:rPr>
      </w:pPr>
    </w:p>
    <w:p w14:paraId="40BA5B64">
      <w:pPr>
        <w:adjustRightInd/>
        <w:snapToGrid/>
        <w:spacing w:before="0" w:beforeLines="0" w:after="0" w:afterLines="0"/>
        <w:jc w:val="center"/>
        <w:rPr>
          <w:rFonts w:hint="default" w:ascii="Times New Roman" w:hAnsi="Times New Roman" w:eastAsia="方正小标宋_GBK" w:cs="Times New Roman"/>
          <w:snapToGrid/>
          <w:kern w:val="0"/>
          <w:sz w:val="72"/>
          <w:szCs w:val="72"/>
        </w:rPr>
      </w:pPr>
    </w:p>
    <w:p w14:paraId="01374E0B">
      <w:pPr>
        <w:adjustRightInd/>
        <w:snapToGrid/>
        <w:spacing w:before="0" w:beforeLines="0" w:after="0" w:afterLines="0"/>
        <w:jc w:val="center"/>
        <w:rPr>
          <w:rFonts w:hint="default" w:ascii="Times New Roman" w:hAnsi="Times New Roman" w:eastAsia="方正小标宋_GBK" w:cs="Times New Roman"/>
          <w:snapToGrid/>
          <w:kern w:val="0"/>
          <w:sz w:val="72"/>
          <w:szCs w:val="72"/>
        </w:rPr>
      </w:pPr>
      <w:r>
        <w:rPr>
          <w:rFonts w:hint="default" w:ascii="Times New Roman" w:hAnsi="Times New Roman" w:eastAsia="方正小标宋_GBK" w:cs="Times New Roman"/>
          <w:snapToGrid/>
          <w:kern w:val="0"/>
          <w:sz w:val="72"/>
          <w:szCs w:val="72"/>
        </w:rPr>
        <w:t>重庆市丰都县龙河镇履行职责事项清单</w:t>
      </w:r>
    </w:p>
    <w:p w14:paraId="186AB382">
      <w:pPr>
        <w:pStyle w:val="7"/>
        <w:rPr>
          <w:rFonts w:hint="default"/>
        </w:rPr>
        <w:sectPr>
          <w:pgSz w:w="16837" w:h="11905" w:orient="landscape"/>
          <w:pgMar w:top="1418" w:right="1418" w:bottom="1418" w:left="1418" w:header="851" w:footer="907" w:gutter="0"/>
          <w:pgNumType w:start="1"/>
          <w:cols w:space="720" w:num="1"/>
          <w:docGrid w:linePitch="312" w:charSpace="0"/>
        </w:sectPr>
      </w:pPr>
    </w:p>
    <w:p w14:paraId="1A87484E">
      <w:pPr>
        <w:rPr>
          <w:rFonts w:hint="default"/>
        </w:rPr>
      </w:pPr>
    </w:p>
    <w:p w14:paraId="2B9CA05C">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5F9F185C">
      <w:pPr>
        <w:pStyle w:val="12"/>
        <w:kinsoku/>
        <w:autoSpaceDE/>
        <w:autoSpaceDN/>
        <w:adjustRightInd/>
        <w:snapToGrid/>
        <w:textAlignment w:val="auto"/>
        <w:rPr>
          <w:rFonts w:hint="default" w:ascii="Times New Roman" w:hAnsi="Times New Roman" w:cs="Times New Roman"/>
          <w:snapToGrid/>
          <w:color w:val="auto"/>
        </w:rPr>
      </w:pPr>
    </w:p>
    <w:p w14:paraId="53597DF9">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33A01A1">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65E49E40">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125427B7">
      <w:pPr>
        <w:rPr>
          <w:rFonts w:hint="default" w:ascii="Times New Roman" w:hAnsi="Times New Roman" w:eastAsia="方正公文小标宋" w:cs="Times New Roman"/>
          <w:sz w:val="84"/>
          <w:szCs w:val="84"/>
          <w:lang w:eastAsia="zh-CN"/>
        </w:rPr>
      </w:pPr>
      <w:r>
        <w:rPr>
          <w:rFonts w:hint="default" w:ascii="Times New Roman" w:hAnsi="Times New Roman" w:eastAsia="方正仿宋_GBK" w:cs="Times New Roman"/>
          <w:snapToGrid/>
          <w:color w:val="auto"/>
          <w:spacing w:val="7"/>
          <w:sz w:val="32"/>
          <w:szCs w:val="32"/>
          <w:lang w:eastAsia="zh-CN"/>
        </w:rPr>
        <w:fldChar w:fldCharType="end"/>
      </w:r>
    </w:p>
    <w:p w14:paraId="7A1DF2A6">
      <w:pPr>
        <w:rPr>
          <w:rFonts w:hint="default" w:ascii="Times New Roman" w:hAnsi="Times New Roman" w:eastAsia="方正公文小标宋" w:cs="Times New Roman"/>
          <w:sz w:val="84"/>
          <w:szCs w:val="84"/>
          <w:lang w:eastAsia="zh-CN"/>
        </w:rPr>
      </w:pPr>
    </w:p>
    <w:p w14:paraId="4CEE0E21">
      <w:pPr>
        <w:pStyle w:val="2"/>
        <w:spacing w:before="0" w:after="0" w:line="240" w:lineRule="auto"/>
        <w:jc w:val="center"/>
        <w:rPr>
          <w:rFonts w:hint="default" w:ascii="Times New Roman" w:hAnsi="Times New Roman" w:eastAsia="方正小标宋_GBK" w:cs="Times New Roman"/>
          <w:b w:val="0"/>
          <w:sz w:val="44"/>
          <w:szCs w:val="44"/>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416"/>
      <w:bookmarkStart w:id="1" w:name="_Toc172077551"/>
      <w:bookmarkStart w:id="2" w:name="_Toc172533652"/>
      <w:bookmarkStart w:id="3" w:name="_Toc172077949"/>
    </w:p>
    <w:p w14:paraId="266CBB0B">
      <w:pPr>
        <w:pStyle w:val="2"/>
        <w:spacing w:before="0" w:after="0" w:line="240" w:lineRule="auto"/>
        <w:jc w:val="center"/>
        <w:rPr>
          <w:rFonts w:hint="default" w:ascii="Times New Roman" w:hAnsi="Times New Roman" w:eastAsia="方正小标宋_GBK" w:cs="Times New Roman"/>
          <w:b w:val="0"/>
          <w:color w:val="auto"/>
          <w:spacing w:val="7"/>
          <w:sz w:val="44"/>
          <w:szCs w:val="44"/>
          <w:lang w:eastAsia="zh-CN"/>
        </w:rPr>
      </w:pPr>
      <w:r>
        <w:rPr>
          <w:rFonts w:hint="default" w:ascii="Times New Roman" w:hAnsi="Times New Roman" w:eastAsia="方正小标宋_GBK" w:cs="Times New Roman"/>
          <w:b w:val="0"/>
          <w:sz w:val="44"/>
          <w:szCs w:val="44"/>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1B9815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89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05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r>
      <w:tr w14:paraId="0180C20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6A4E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65250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C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8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1AF81E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D0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C8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246495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50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3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0DEB02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83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12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5CFF43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4D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6D83CF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8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CB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329966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EF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8F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028ADB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1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9D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2DA2C1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3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A7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75A4A4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CC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8A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1248B0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DF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EA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34FA76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1C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95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12556B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CF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06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135787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DD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ED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3077B0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F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5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67F77B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A3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0F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2099DE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5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D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2E556E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C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9C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327597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2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666BFB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B0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9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44BA1E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F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CE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59604A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36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8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0B3B5E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5F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3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617D7AD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509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二、经济发展（</w:t>
            </w:r>
            <w:r>
              <w:rPr>
                <w:rFonts w:hint="eastAsia" w:ascii="Times New Roman" w:hAnsi="Times New Roman" w:eastAsia="方正黑体_GBK" w:cs="Times New Roman"/>
                <w:b w:val="0"/>
                <w:bCs w:val="0"/>
                <w:snapToGrid w:val="0"/>
                <w:color w:val="000000" w:themeColor="text1"/>
                <w:kern w:val="0"/>
                <w:sz w:val="21"/>
                <w:szCs w:val="21"/>
                <w:lang w:val="en-US" w:eastAsia="zh-CN" w:bidi="ar"/>
                <w14:textFill>
                  <w14:solidFill>
                    <w14:schemeClr w14:val="tx1"/>
                  </w14:solidFill>
                </w14:textFill>
              </w:rPr>
              <w:t>10</w:t>
            </w: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项）</w:t>
            </w:r>
          </w:p>
        </w:tc>
      </w:tr>
      <w:tr w14:paraId="1972C9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2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D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48103A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40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3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30A469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7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D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64F785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ED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8C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7E51D8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0B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AA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7CD29B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7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22F09A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0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F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367C03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5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7A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5D135F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D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E9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4F12A5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C8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D4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769E18D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732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232786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3D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3C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0B812A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E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D7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322C02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E9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7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4C37C7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9F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7B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7C3511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F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A8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7A9A62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7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BF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2DDACC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05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D6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288498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99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B9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4014E4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58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AB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3B74DA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91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B4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57875C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D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0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7EEEAF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D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D3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39A356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2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3D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2D0F5FD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41D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00E8C4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B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9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7C3D3A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97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90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13CB19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C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3A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566C74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A0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5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3EF057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D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430608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4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7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493D83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3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27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13F249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7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E6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7C8ED1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73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3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491150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A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7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23D386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B7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8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58FF6D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0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54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71F50E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2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2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0F25A9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9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B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0DACA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4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9E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4E0CE9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C5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F8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7250FC6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532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8</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5F8F3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8D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0D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7476DB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CA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5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2AD2BB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37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A2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2B70A2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68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5A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4E5884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38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6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61ACFD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B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2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15528A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A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1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365EA3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53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7C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0CA69C3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5E0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5F5970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F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5B7E83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3A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53A2D1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2F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84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704518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6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68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416A374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F45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5513BE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27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DC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48611A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F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60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1550A8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5C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C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1F951C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A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9B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3E7AB5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8E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6E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负责制定并组织实施本辖区村镇建设规划。</w:t>
            </w:r>
          </w:p>
        </w:tc>
      </w:tr>
      <w:tr w14:paraId="08D16F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B5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A6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负责辖区内农村道路建设规划编制，开展农村道路的建设、管理、养护工作，做好农村道路隐患排查整治、交通安全劝导。</w:t>
            </w:r>
          </w:p>
        </w:tc>
      </w:tr>
      <w:tr w14:paraId="0EFA158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0FB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八、文化和旅游（2项）</w:t>
            </w:r>
          </w:p>
        </w:tc>
      </w:tr>
      <w:tr w14:paraId="078604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8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2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0D2A7E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D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63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负责乡村旅游发展的规划编制、资源挖掘、宣传推介，策划开展“西瓜啤酒节”“亲子研学活动”“李花节”“我在涂溪等你来”等特色文旅活动。</w:t>
            </w:r>
          </w:p>
        </w:tc>
      </w:tr>
      <w:tr w14:paraId="51CBF44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3CE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九、综合政务（9项）</w:t>
            </w:r>
          </w:p>
        </w:tc>
      </w:tr>
      <w:tr w14:paraId="45A076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B5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15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644CF4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D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7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70B20D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45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422369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FF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1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7DEBAA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18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9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77D9A1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B7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A6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06200F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3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23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63C062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A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A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071104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6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1D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71B21FEA">
      <w:pPr>
        <w:pStyle w:val="2"/>
        <w:spacing w:before="0" w:after="0" w:line="240" w:lineRule="auto"/>
        <w:jc w:val="center"/>
        <w:rPr>
          <w:rFonts w:hint="default" w:ascii="Times New Roman" w:hAnsi="Times New Roman" w:eastAsia="方正小标宋_GBK" w:cs="Times New Roman"/>
          <w:color w:val="auto"/>
          <w:sz w:val="44"/>
          <w:szCs w:val="44"/>
          <w:lang w:eastAsia="zh-CN" w:bidi="ar"/>
        </w:rPr>
      </w:pPr>
      <w:r>
        <w:rPr>
          <w:rFonts w:hint="default" w:ascii="Times New Roman" w:hAnsi="Times New Roman" w:eastAsia="方正小标宋_GBK" w:cs="Times New Roman"/>
          <w:color w:val="auto"/>
          <w:sz w:val="44"/>
          <w:szCs w:val="44"/>
          <w:lang w:eastAsia="zh-CN" w:bidi="ar"/>
        </w:rPr>
        <w:br w:type="page"/>
      </w:r>
      <w:bookmarkStart w:id="4" w:name="_Toc172077417"/>
      <w:bookmarkStart w:id="5" w:name="_Toc172077552"/>
      <w:bookmarkStart w:id="6" w:name="_Toc172533653"/>
      <w:bookmarkStart w:id="7" w:name="_Toc172077950"/>
      <w:r>
        <w:rPr>
          <w:rFonts w:hint="default" w:ascii="Times New Roman" w:hAnsi="Times New Roman" w:eastAsia="方正小标宋_GBK" w:cs="Times New Roman"/>
          <w:b w:val="0"/>
          <w:sz w:val="44"/>
          <w:szCs w:val="44"/>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C77CFF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40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3E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B7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8B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21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镇配合职责</w:t>
            </w:r>
          </w:p>
        </w:tc>
      </w:tr>
      <w:tr w14:paraId="04D31B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EB4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2B89C79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5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B5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A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7BEAF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C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F5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60FBBAC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67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CC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BE4F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1D4A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县应急管理局</w:t>
            </w:r>
          </w:p>
          <w:p w14:paraId="5709EE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A239C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CE801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1D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7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7BC914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A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84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6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4F0C7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40E2E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AB2F6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08C15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0D683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5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9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1.开展成品油零售经营管理政策宣传。</w:t>
            </w:r>
          </w:p>
          <w:p w14:paraId="263EF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2.摸排、上报未经备案擅自设立储供油设施非法销售、柴油专项用户违法违规对外销售的问题线索。</w:t>
            </w:r>
          </w:p>
        </w:tc>
      </w:tr>
      <w:tr w14:paraId="41FF05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A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B3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24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F0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4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2E7581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4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66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7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CD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C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15FEDA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BA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EB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3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9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F8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3FFDED7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1B0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6ED5C3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B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4A382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E22C7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AA4F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4DBC27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A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3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68EB3E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F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D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1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AA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7CE639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15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BE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F6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2F0F9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98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8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688878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3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5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1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11294F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7525C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51AA60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
</w:t>
            </w:r>
          </w:p>
          <w:p w14:paraId="4F15B9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2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4C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7772F08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D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5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5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776F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E8E3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4B435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338CD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47E8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51B1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7B764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5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0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3D5475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8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F3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DE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54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3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0DD2BD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D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6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E2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1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9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293BA1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49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0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0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250C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C0D53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5CF9D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2363F5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99093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428E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344358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
</w:t>
            </w:r>
          </w:p>
          <w:p w14:paraId="49845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AB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8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2F2E62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0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4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2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B6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E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179286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D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D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3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E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2F1C9A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B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5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1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C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5A9F137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66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B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D3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7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D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2DAB91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20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E4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97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20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267D32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E2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CC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B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8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4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5E5B5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43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9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5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A7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44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0F40F48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8C6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7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C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DDD5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CE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C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11A74D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393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2A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74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0F79E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2D1D3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EFE8C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48C97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419B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A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BB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341238A9">
        <w:tblPrEx>
          <w:tblCellMar>
            <w:top w:w="0" w:type="dxa"/>
            <w:left w:w="108" w:type="dxa"/>
            <w:bottom w:w="0" w:type="dxa"/>
            <w:right w:w="108" w:type="dxa"/>
          </w:tblCellMar>
        </w:tblPrEx>
        <w:trPr>
          <w:trHeight w:val="35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D6A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4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C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D7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C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4.上报优抚对象服刑、死亡、考公等影响优抚待遇发放的情况。</w:t>
            </w:r>
          </w:p>
        </w:tc>
      </w:tr>
      <w:tr w14:paraId="129DB74B">
        <w:tblPrEx>
          <w:tblCellMar>
            <w:top w:w="0" w:type="dxa"/>
            <w:left w:w="108" w:type="dxa"/>
            <w:bottom w:w="0" w:type="dxa"/>
            <w:right w:w="108" w:type="dxa"/>
          </w:tblCellMar>
        </w:tblPrEx>
        <w:trPr>
          <w:trHeight w:val="44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00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1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B8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p w14:paraId="11E35C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0985B6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2C174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AA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58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451E9D0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F32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5A4D61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6F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5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7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28A6B1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7CC00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8DD9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0E863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D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C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270D82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EFA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8B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E8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690E9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
</w:t>
            </w:r>
          </w:p>
          <w:p w14:paraId="4770CC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D0328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37999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F544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0693CF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F156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E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EB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 xml:space="preserve">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5EC6617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77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0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F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7F074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0AAB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82D6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6CB1B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367C2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6887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7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B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3A5D096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11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9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6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1A87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0CC73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A30BC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11055A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066E83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07A12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0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3947BB6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71C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0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B2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446926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6F13B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4F2F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4A9BB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4621AB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172F1C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9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A2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51BDFB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E93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0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53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32410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633D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7E54E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B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3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3.在有溺水风险水域设置安全防护设施、警示标志和救护设备等。</w:t>
            </w:r>
          </w:p>
          <w:p w14:paraId="46D86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4FA6BC3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C0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F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3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C00B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9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3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3A7F42C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7E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F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8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481B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0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59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3E8292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9F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B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9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205291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C935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6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B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5E4193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37C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8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7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6D6D1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3A81D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A2092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
</w:t>
            </w:r>
          </w:p>
          <w:p w14:paraId="59AA9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0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0AD7E8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63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73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2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CA418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BC04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2F9F2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5B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2B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77A66A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49C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F8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E2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9FAD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66CD8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F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F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66A60A9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514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4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B1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6C38B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5BD0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33CB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FCFAC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4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56E19A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B2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D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B1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1D84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AD9B4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55A4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55116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E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7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41304C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28A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4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6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DB65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5F27E4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3967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0E280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CFCC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
</w:t>
            </w:r>
          </w:p>
          <w:p w14:paraId="6B9E9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353A9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0A037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23D2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
</w:t>
            </w:r>
          </w:p>
          <w:p w14:paraId="4823FA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BE46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负责流通领域烟花爆竹质量的监督检查，依法查处违法经营行为。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3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298D16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C32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8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1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A673C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195A1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C6DB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30023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B3C47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067D3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93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759D65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E0C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5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5B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8C0A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546B7C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D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1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74EABE67">
        <w:tblPrEx>
          <w:tblCellMar>
            <w:top w:w="0" w:type="dxa"/>
            <w:left w:w="108" w:type="dxa"/>
            <w:bottom w:w="0" w:type="dxa"/>
            <w:right w:w="108" w:type="dxa"/>
          </w:tblCellMar>
        </w:tblPrEx>
        <w:trPr>
          <w:trHeight w:val="41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2E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F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672CF5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28A163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6A3D25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144FDF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321AC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1317D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671A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3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2A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10DD9E3">
        <w:tblPrEx>
          <w:tblCellMar>
            <w:top w:w="0" w:type="dxa"/>
            <w:left w:w="108" w:type="dxa"/>
            <w:bottom w:w="0" w:type="dxa"/>
            <w:right w:w="108" w:type="dxa"/>
          </w:tblCellMar>
        </w:tblPrEx>
        <w:trPr>
          <w:trHeight w:val="19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C3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A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F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5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ED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021AA77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206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四、乡村振兴（4项）</w:t>
            </w:r>
          </w:p>
        </w:tc>
      </w:tr>
      <w:tr w14:paraId="1C3920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CD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48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7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3BF6E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6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FF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2F7D8421">
        <w:tblPrEx>
          <w:tblCellMar>
            <w:top w:w="0" w:type="dxa"/>
            <w:left w:w="108" w:type="dxa"/>
            <w:bottom w:w="0" w:type="dxa"/>
            <w:right w:w="108" w:type="dxa"/>
          </w:tblCellMar>
        </w:tblPrEx>
        <w:trPr>
          <w:trHeight w:val="33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D0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7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C4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9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7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959B532">
        <w:tblPrEx>
          <w:tblCellMar>
            <w:top w:w="0" w:type="dxa"/>
            <w:left w:w="108" w:type="dxa"/>
            <w:bottom w:w="0" w:type="dxa"/>
            <w:right w:w="108" w:type="dxa"/>
          </w:tblCellMar>
        </w:tblPrEx>
        <w:trPr>
          <w:trHeight w:val="23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520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0F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2F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4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F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6A54838C">
        <w:tblPrEx>
          <w:tblCellMar>
            <w:top w:w="0" w:type="dxa"/>
            <w:left w:w="108" w:type="dxa"/>
            <w:bottom w:w="0" w:type="dxa"/>
            <w:right w:w="108" w:type="dxa"/>
          </w:tblCellMar>
        </w:tblPrEx>
        <w:trPr>
          <w:trHeight w:val="22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50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B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7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6A2466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E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bookmarkStart w:id="12" w:name="_GoBack"/>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三在村</w:t>
            </w:r>
            <w:bookmarkEnd w:id="12"/>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4C4E5A6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FD2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五、生态环保（8项）</w:t>
            </w:r>
          </w:p>
        </w:tc>
      </w:tr>
      <w:tr w14:paraId="1DFF2F3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B4E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2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6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06403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8A12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5AB1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A845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5549AD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4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7.会同县发展改革委、县公安局、县住房城乡建委等部门按照各自职责做好大气污染防治工作。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2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0E7C9C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19F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4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48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9512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县卫生健康委
</w:t>
            </w:r>
          </w:p>
          <w:p w14:paraId="45C61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1FEA7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94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E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55A425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29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A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C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79822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D803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1F7E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78F63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65619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4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1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264737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C9B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9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3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2651F7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3E43A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36087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9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D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3726745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D62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D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D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3B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48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46E43A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8D5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8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90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23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A0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7A4E51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83B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D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6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05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6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789C7A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D5D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4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F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F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C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5C6DFFF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9FA6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六、城乡建设（6项）</w:t>
            </w:r>
          </w:p>
        </w:tc>
      </w:tr>
      <w:tr w14:paraId="2776DC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0D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D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4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445C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4A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9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1AC079E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66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10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1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C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2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4AA597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81E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00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D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2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144754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9B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11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E8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391BC1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09B57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73045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4881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C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负责征地安置人员的基本养老保险和促进就业工作。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 xml:space="preserve">                                         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7A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5627373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696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C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1F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52F25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3D7FDF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72EEF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593C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负有卫片图斑整</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76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63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48F192F1">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9D0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F8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5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7F024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71ABE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06CE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BC0A3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BC04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7D9BC2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3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770201A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334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七、文化和旅游（4项）</w:t>
            </w:r>
          </w:p>
        </w:tc>
      </w:tr>
      <w:tr w14:paraId="6052192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4A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0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5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9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C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3BCBB9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FD9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6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D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8D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73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74A9070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DC3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E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C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9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E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2E3FE6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9FB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4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A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D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0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14EA7A26">
      <w:pPr>
        <w:pStyle w:val="2"/>
        <w:spacing w:before="0" w:after="0" w:line="240" w:lineRule="auto"/>
        <w:jc w:val="center"/>
        <w:rPr>
          <w:rFonts w:hint="default" w:ascii="Times New Roman" w:hAnsi="Times New Roman" w:eastAsia="方正小标宋_GBK" w:cs="Times New Roman"/>
          <w:color w:val="auto"/>
          <w:spacing w:val="7"/>
          <w:sz w:val="44"/>
          <w:szCs w:val="44"/>
          <w:lang w:eastAsia="zh-CN"/>
        </w:rPr>
      </w:pPr>
      <w:r>
        <w:rPr>
          <w:rFonts w:hint="default" w:ascii="Times New Roman" w:hAnsi="Times New Roman" w:eastAsia="方正小标宋_GBK" w:cs="Times New Roman"/>
          <w:color w:val="auto"/>
          <w:spacing w:val="7"/>
          <w:sz w:val="44"/>
          <w:szCs w:val="44"/>
          <w:lang w:eastAsia="zh-CN"/>
        </w:rPr>
        <w:br w:type="page"/>
      </w:r>
      <w:bookmarkStart w:id="8" w:name="_Toc172077418"/>
      <w:bookmarkStart w:id="9" w:name="_Toc172077553"/>
      <w:bookmarkStart w:id="10" w:name="_Toc172077951"/>
      <w:bookmarkStart w:id="11" w:name="_Toc172533654"/>
      <w:r>
        <w:rPr>
          <w:rFonts w:hint="default" w:ascii="Times New Roman" w:hAnsi="Times New Roman" w:eastAsia="方正小标宋_GBK" w:cs="Times New Roman"/>
          <w:b w:val="0"/>
          <w:sz w:val="44"/>
          <w:szCs w:val="44"/>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A41787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F1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DB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67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6B0813B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116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20BB3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36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8E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E9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08B09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F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9F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1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0F770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68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DC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72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044D6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9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D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23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3659B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B8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4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E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17CD1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E0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1B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5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44D05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7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C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6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3EF35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5E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AD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2D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4AEA5A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A5E8C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415FF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6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E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8A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2A8AA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3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97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22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5F779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D6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77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2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7397B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29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4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B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0443F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B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BE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C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05FF8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5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F7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313F1BE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B6C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A231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63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74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F1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6CA7C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D0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27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1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5D3A7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F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5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6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04B2D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6F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65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7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495C4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E7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49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4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77982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E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5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C3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26FEF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A1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9E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B0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00D7C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9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E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D9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7E8FC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1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78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9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27606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ED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9B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D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407D6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2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09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B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5BC4B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4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F7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BC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17155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7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A7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2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218F5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EB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8F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6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720C3EB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25D5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B01C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7D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D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0CA3E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2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3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F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77979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F9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0E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E9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729F2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6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0B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03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166B5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B3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6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DF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244ED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53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AE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DE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63962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5B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46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B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569D2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B4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4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2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4825B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1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1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8F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31DAF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6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83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12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56641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56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6A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F9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3CF32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9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B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1A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657B8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16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F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7E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5D2B1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2A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A7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5A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75E2E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2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8B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D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07856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FD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F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11B17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A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02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D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15A8EC7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A45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6B5FA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C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6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5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78EF814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A67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4BBB5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8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50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4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0D858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F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2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F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1741F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1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1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2B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78D1B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5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B3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CC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52E00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FF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B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E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2EA0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0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82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E7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11F11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CA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1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66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50C19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5E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F6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6D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4FE04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5E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11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32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1047818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A2B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778AE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2A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F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4F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72118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7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5C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88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1666B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6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8B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20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4C55A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A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F7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F4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36202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9D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6A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FC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57C54C79">
      <w:pPr>
        <w:pStyle w:val="2"/>
        <w:spacing w:before="0" w:after="0" w:line="240" w:lineRule="auto"/>
        <w:jc w:val="center"/>
        <w:rPr>
          <w:rFonts w:hint="default" w:ascii="Times New Roman" w:hAnsi="Times New Roman" w:eastAsia="方正小标宋_GBK" w:cs="Times New Roman"/>
          <w:color w:val="auto"/>
          <w:spacing w:val="7"/>
          <w:lang w:eastAsia="zh-CN"/>
        </w:rPr>
      </w:pPr>
    </w:p>
    <w:p w14:paraId="3D4AEEF3">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6420">
    <w:pPr>
      <w:pStyle w:val="4"/>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F6C4">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  \* MERGEFORMAT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rFonts w:hint="default" w:ascii="Times New Roman" w:hAnsi="Times New Roman" w:cs="Times New Roman"/>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5OWZlZDgzYmFhNWRlNzdkM2MzMzdiMzE0NDcwMzE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ACC485F"/>
    <w:rsid w:val="0E680D42"/>
    <w:rsid w:val="0FC21BB2"/>
    <w:rsid w:val="12771554"/>
    <w:rsid w:val="1EB1715B"/>
    <w:rsid w:val="28B86934"/>
    <w:rsid w:val="296C5546"/>
    <w:rsid w:val="31816CE5"/>
    <w:rsid w:val="343E1A7A"/>
    <w:rsid w:val="3814146F"/>
    <w:rsid w:val="3ACC409C"/>
    <w:rsid w:val="3BCC52AB"/>
    <w:rsid w:val="3E3C0258"/>
    <w:rsid w:val="44774CF6"/>
    <w:rsid w:val="45274DE0"/>
    <w:rsid w:val="519B7D44"/>
    <w:rsid w:val="53B95711"/>
    <w:rsid w:val="53D77965"/>
    <w:rsid w:val="5512068D"/>
    <w:rsid w:val="5CE65212"/>
    <w:rsid w:val="5D683540"/>
    <w:rsid w:val="5D7F0889"/>
    <w:rsid w:val="5F7A5E0B"/>
    <w:rsid w:val="6350137D"/>
    <w:rsid w:val="64AB4F27"/>
    <w:rsid w:val="65DA0D53"/>
    <w:rsid w:val="691353B2"/>
    <w:rsid w:val="6D4C1ED9"/>
    <w:rsid w:val="711324EA"/>
    <w:rsid w:val="770D709B"/>
    <w:rsid w:val="78776C2D"/>
    <w:rsid w:val="7A5F0E4E"/>
    <w:rsid w:val="7A8A3BB6"/>
    <w:rsid w:val="7AAA795F"/>
    <w:rsid w:val="7D2A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4"/>
    <w:autoRedefine/>
    <w:semiHidden/>
    <w:qFormat/>
    <w:uiPriority w:val="0"/>
  </w:style>
  <w:style w:type="paragraph" w:styleId="4">
    <w:name w:val="footer"/>
    <w:basedOn w:val="1"/>
    <w:link w:val="15"/>
    <w:autoRedefine/>
    <w:qFormat/>
    <w:uiPriority w:val="0"/>
    <w:pPr>
      <w:tabs>
        <w:tab w:val="center" w:pos="4153"/>
        <w:tab w:val="right" w:pos="8306"/>
      </w:tabs>
    </w:pPr>
    <w:rPr>
      <w:sz w:val="18"/>
      <w:szCs w:val="18"/>
    </w:rPr>
  </w:style>
  <w:style w:type="paragraph" w:styleId="5">
    <w:name w:val="header"/>
    <w:basedOn w:val="1"/>
    <w:link w:val="21"/>
    <w:autoRedefine/>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autoRedefine/>
    <w:qFormat/>
    <w:uiPriority w:val="0"/>
    <w:pPr>
      <w:spacing w:before="240" w:after="60"/>
      <w:jc w:val="center"/>
      <w:outlineLvl w:val="0"/>
    </w:pPr>
    <w:rPr>
      <w:b/>
      <w:sz w:val="32"/>
    </w:rPr>
  </w:style>
  <w:style w:type="character" w:styleId="10">
    <w:name w:val="page number"/>
    <w:autoRedefine/>
    <w:qFormat/>
    <w:uiPriority w:val="0"/>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2">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autoRedefine/>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autoRedefine/>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autoRedefine/>
    <w:qFormat/>
    <w:uiPriority w:val="0"/>
    <w:rPr>
      <w:rFonts w:ascii="Arial" w:hAnsi="Arial" w:eastAsia="Arial" w:cs="Arial"/>
      <w:snapToGrid w:val="0"/>
      <w:color w:val="000000"/>
      <w:kern w:val="0"/>
      <w:sz w:val="18"/>
      <w:szCs w:val="18"/>
      <w:lang w:eastAsia="en-US"/>
    </w:rPr>
  </w:style>
  <w:style w:type="paragraph" w:customStyle="1" w:styleId="16">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autoRedefine/>
    <w:qFormat/>
    <w:uiPriority w:val="0"/>
    <w:rPr>
      <w:rFonts w:hint="default" w:ascii="Times New Roman" w:hAnsi="Times New Roman" w:cs="Times New Roman"/>
      <w:color w:val="000000"/>
      <w:sz w:val="24"/>
      <w:szCs w:val="24"/>
      <w:u w:val="none"/>
    </w:rPr>
  </w:style>
  <w:style w:type="character" w:customStyle="1" w:styleId="18">
    <w:name w:val="font101"/>
    <w:autoRedefine/>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autoRedefine/>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autoRedefine/>
    <w:qFormat/>
    <w:uiPriority w:val="99"/>
    <w:rPr>
      <w:rFonts w:ascii="Arial" w:hAnsi="Arial" w:eastAsia="Arial" w:cs="Arial"/>
      <w:snapToGrid w:val="0"/>
      <w:color w:val="000000"/>
      <w:kern w:val="0"/>
      <w:sz w:val="18"/>
      <w:szCs w:val="18"/>
      <w:lang w:eastAsia="en-US"/>
    </w:rPr>
  </w:style>
  <w:style w:type="paragraph" w:customStyle="1" w:styleId="22">
    <w:name w:val="WPSOffice手动目录 1"/>
    <w:autoRedefine/>
    <w:qFormat/>
    <w:uiPriority w:val="0"/>
    <w:pPr>
      <w:ind w:leftChars="0"/>
    </w:pPr>
    <w:rPr>
      <w:rFonts w:ascii="Calibri" w:hAnsi="Calibri" w:eastAsia="宋体" w:cs="Times New Roman"/>
      <w:sz w:val="20"/>
      <w:szCs w:val="20"/>
    </w:rPr>
  </w:style>
  <w:style w:type="character" w:customStyle="1" w:styleId="23">
    <w:name w:val="font212"/>
    <w:qFormat/>
    <w:uiPriority w:val="0"/>
    <w:rPr>
      <w:rFonts w:hint="eastAsia" w:ascii="方正仿宋_GBK" w:hAnsi="方正仿宋_GBK" w:eastAsia="方正仿宋_GBK" w:cs="方正仿宋_GBK"/>
      <w:color w:val="000000"/>
      <w:sz w:val="20"/>
      <w:szCs w:val="20"/>
      <w:u w:val="none"/>
    </w:rPr>
  </w:style>
  <w:style w:type="character" w:customStyle="1" w:styleId="24">
    <w:name w:val="font3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0</TotalTime>
  <ScaleCrop>false</ScaleCrop>
  <LinksUpToDate>false</LinksUpToDate>
  <CharactersWithSpaces>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2025-08-27T11:37:56Z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E33BE7032D534C47A7FCC815C856028E_12</vt:lpwstr>
  </property>
  <property fmtid="{D5CDD505-2E9C-101B-9397-08002B2CF9AE}" pid="4" name="KSOTemplateDocerSaveRecord">
    <vt:lpwstr>eyJoZGlkIjoiODgwNjNlMmNkZDA1MDQ0MzIzODk0M2VlNTI2YjgwYjMiLCJ1c2VySWQiOiIzMDc2MzAyOTgifQ==</vt:lpwstr>
  </property>
</Properties>
</file>