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5</w:t>
      </w:r>
    </w:p>
    <w:p w14:paraId="617B9F1F">
      <w:pPr>
        <w:pStyle w:val="7"/>
        <w:jc w:val="left"/>
        <w:rPr>
          <w:rFonts w:hint="default" w:ascii="Times New Roman" w:hAnsi="Times New Roman" w:eastAsia="方正公文小标宋" w:cs="Times New Roman"/>
          <w:b w:val="0"/>
          <w:sz w:val="84"/>
          <w:szCs w:val="84"/>
          <w:lang w:eastAsia="zh-CN"/>
        </w:rPr>
      </w:pPr>
    </w:p>
    <w:p w14:paraId="660A473F">
      <w:pPr>
        <w:pStyle w:val="7"/>
        <w:jc w:val="left"/>
        <w:rPr>
          <w:rFonts w:hint="default" w:ascii="Times New Roman" w:hAnsi="Times New Roman" w:eastAsia="方正公文小标宋" w:cs="Times New Roman"/>
          <w:b w:val="0"/>
          <w:sz w:val="84"/>
          <w:szCs w:val="84"/>
          <w:lang w:eastAsia="zh-CN"/>
        </w:rPr>
      </w:pPr>
    </w:p>
    <w:p w14:paraId="31A29601">
      <w:pPr>
        <w:widowControl w:val="0"/>
        <w:kinsoku/>
        <w:autoSpaceDE/>
        <w:autoSpaceDN/>
        <w:adjustRightInd/>
        <w:snapToGrid/>
        <w:jc w:val="center"/>
        <w:textAlignment w:val="auto"/>
        <w:rPr>
          <w:rFonts w:hint="default" w:ascii="Times New Roman" w:hAnsi="Times New Roman" w:eastAsia="方正小标宋_GBK" w:cs="Times New Roman"/>
          <w:snapToGrid/>
          <w:color w:val="auto"/>
          <w:kern w:val="2"/>
          <w:sz w:val="72"/>
          <w:szCs w:val="72"/>
          <w:lang w:val="en-US" w:eastAsia="zh-CN"/>
        </w:rPr>
      </w:pPr>
      <w:r>
        <w:rPr>
          <w:rFonts w:hint="default" w:ascii="Times New Roman" w:hAnsi="Times New Roman" w:eastAsia="方正小标宋_GBK" w:cs="Times New Roman"/>
          <w:snapToGrid/>
          <w:color w:val="auto"/>
          <w:kern w:val="2"/>
          <w:sz w:val="72"/>
          <w:szCs w:val="72"/>
          <w:lang w:val="en-US" w:eastAsia="zh-CN"/>
        </w:rPr>
        <w:t>重庆市丰都县兴义镇履行职责事项清单</w:t>
      </w:r>
    </w:p>
    <w:p w14:paraId="0C3AE556">
      <w:pPr>
        <w:adjustRightInd/>
        <w:snapToGrid/>
        <w:spacing w:before="0" w:beforeLines="0" w:after="0" w:afterLines="0"/>
        <w:jc w:val="center"/>
        <w:rPr>
          <w:rFonts w:hint="default" w:ascii="Times New Roman" w:hAnsi="Times New Roman" w:eastAsia="方正公文小标宋" w:cs="Times New Roman"/>
          <w:snapToGrid/>
          <w:kern w:val="0"/>
          <w:sz w:val="84"/>
          <w:szCs w:val="84"/>
          <w:lang w:eastAsia="zh-CN"/>
        </w:rPr>
      </w:pPr>
    </w:p>
    <w:p w14:paraId="197BCE8D">
      <w:pPr>
        <w:adjustRightInd/>
        <w:snapToGrid/>
        <w:spacing w:before="0" w:beforeLines="0" w:after="0" w:afterLines="0"/>
        <w:jc w:val="center"/>
        <w:rPr>
          <w:rFonts w:hint="default" w:ascii="Times New Roman" w:hAnsi="Times New Roman" w:eastAsia="方正公文小标宋" w:cs="Times New Roman"/>
          <w:snapToGrid/>
          <w:kern w:val="0"/>
          <w:sz w:val="84"/>
          <w:szCs w:val="84"/>
          <w:lang w:eastAsia="zh-CN"/>
        </w:rPr>
      </w:pPr>
    </w:p>
    <w:p w14:paraId="2067F78C">
      <w:pPr>
        <w:kinsoku/>
        <w:autoSpaceDE/>
        <w:autoSpaceDN/>
        <w:adjustRightInd/>
        <w:snapToGrid/>
        <w:textAlignment w:val="auto"/>
        <w:rPr>
          <w:rFonts w:hint="default" w:ascii="Times New Roman" w:hAnsi="Times New Roman" w:cs="Times New Roman" w:eastAsiaTheme="minorEastAsia"/>
          <w:b/>
          <w:sz w:val="32"/>
          <w:lang w:eastAsia="zh-CN"/>
        </w:rPr>
      </w:pPr>
      <w:r>
        <w:rPr>
          <w:rFonts w:hint="default" w:ascii="Times New Roman" w:hAnsi="Times New Roman" w:cs="Times New Roman" w:eastAsiaTheme="minorEastAsia"/>
          <w:lang w:eastAsia="zh-CN"/>
        </w:rPr>
        <w:br w:type="page"/>
      </w:r>
    </w:p>
    <w:p w14:paraId="792B1854">
      <w:pPr>
        <w:spacing w:before="0" w:beforeLines="0" w:after="0" w:afterLines="0" w:line="240" w:lineRule="auto"/>
        <w:ind w:left="0" w:leftChars="0" w:right="0" w:rightChars="0" w:firstLine="0" w:firstLine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目</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录</w:t>
      </w:r>
    </w:p>
    <w:sdt>
      <w:sdtPr>
        <w:rPr>
          <w:rFonts w:hint="default"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zh-CN" w:eastAsia="en-US"/>
        </w:rPr>
      </w:sdtEndPr>
      <w:sdtContent>
        <w:p w14:paraId="554A1AFA">
          <w:pPr>
            <w:pStyle w:val="20"/>
            <w:jc w:val="center"/>
            <w:rPr>
              <w:rFonts w:hint="default" w:ascii="Times New Roman" w:hAnsi="Times New Roman" w:eastAsia="方正小标宋_GBK" w:cs="Times New Roman"/>
              <w:b w:val="0"/>
              <w:bCs w:val="0"/>
              <w:snapToGrid/>
              <w:color w:val="auto"/>
              <w:kern w:val="2"/>
              <w:sz w:val="44"/>
              <w:szCs w:val="44"/>
              <w:lang w:val="zh-CN" w:eastAsia="zh-CN" w:bidi="ar-SA"/>
            </w:rPr>
          </w:pPr>
        </w:p>
        <w:p w14:paraId="28CC3B00">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775252EF">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9566A7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58</w:t>
          </w:r>
        </w:p>
        <w:p w14:paraId="4F0A5158">
          <w:pPr>
            <w:pStyle w:val="6"/>
            <w:numPr>
              <w:ilvl w:val="0"/>
              <w:numId w:val="0"/>
            </w:numPr>
            <w:ind w:leftChars="0"/>
            <w:rPr>
              <w:rFonts w:hint="default" w:ascii="Times New Roman" w:hAnsi="Times New Roman"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67FED4B3">
      <w:pPr>
        <w:pStyle w:val="7"/>
        <w:jc w:val="both"/>
        <w:rPr>
          <w:rFonts w:hint="default" w:ascii="Times New Roman" w:hAnsi="Times New Roman" w:eastAsia="方正小标宋_GBK" w:cs="Times New Roman"/>
          <w:color w:val="auto"/>
          <w:spacing w:val="7"/>
          <w:sz w:val="44"/>
          <w:szCs w:val="44"/>
          <w:lang w:eastAsia="zh-CN"/>
        </w:rPr>
      </w:pPr>
    </w:p>
    <w:p w14:paraId="33394730">
      <w:pPr>
        <w:jc w:val="center"/>
        <w:rPr>
          <w:rFonts w:hint="default" w:ascii="Times New Roman" w:hAnsi="Times New Roman" w:cs="Times New Roman"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FEF7087">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default" w:ascii="Times New Roman" w:hAnsi="Times New Roman" w:eastAsia="方正小标宋_GBK" w:cs="Times New Roman"/>
          <w:b w:val="0"/>
          <w:bCs w:val="0"/>
          <w:snapToGrid/>
          <w:color w:val="000000" w:themeColor="text1"/>
          <w:kern w:val="44"/>
          <w:sz w:val="44"/>
          <w:szCs w:val="44"/>
          <w:lang w:val="en-US" w:eastAsia="zh-CN" w:bidi="ar-SA"/>
          <w14:textFill>
            <w14:solidFill>
              <w14:schemeClr w14:val="tx1"/>
            </w14:solidFill>
          </w14:textFill>
        </w:rPr>
      </w:pPr>
      <w:r>
        <w:rPr>
          <w:rFonts w:hint="default" w:ascii="Times New Roman" w:hAnsi="Times New Roman" w:eastAsia="方正小标宋_GBK" w:cs="Times New Roman"/>
          <w:b w:val="0"/>
          <w:bCs w:val="0"/>
          <w:snapToGrid/>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50AB051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2D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A60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r>
      <w:tr w14:paraId="217FAC1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474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754B0D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F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03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5A52AC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BC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13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25F104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A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CD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65401B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12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AE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6E72A9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60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A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56D437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3A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58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363F0D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1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A1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167C71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F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1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6ACA9A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BB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03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7DC697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F2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D7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00B121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AC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D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0A1D15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7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3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2ADC79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F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4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1F98A2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E0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0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21FAF4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59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38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73CAAE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F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E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0D2062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3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A0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11F001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C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E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294D8A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3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DC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4CA92A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2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6D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5CC7B9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29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52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43CC37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5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81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36D7AB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D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6DD31B8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8E3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二、经济发展（10项）</w:t>
            </w:r>
          </w:p>
        </w:tc>
      </w:tr>
      <w:tr w14:paraId="770DB0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3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1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2E649B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70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56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7EFA9A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9E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E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108BE8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5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40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7CF32B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7C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E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271712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3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25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59C406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91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F8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7B0BA4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4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9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498BDC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2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9A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54E13F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90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开展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大中型水库移民后扶工作</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bookmarkStart w:id="0" w:name="_GoBack"/>
            <w:bookmarkEnd w:id="0"/>
          </w:p>
        </w:tc>
      </w:tr>
      <w:tr w14:paraId="170C148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127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三、民生服务（15项）</w:t>
            </w:r>
          </w:p>
        </w:tc>
      </w:tr>
      <w:tr w14:paraId="1B182D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68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7E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2E3500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B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5B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512A70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D7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87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385E31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D0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40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399492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EE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4F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6FEC17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A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C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33F790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2B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9B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385D8F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5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C6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05BC52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C2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1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2BA0D4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57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2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015A02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3F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AC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730362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99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F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1CDCD6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DB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E7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6DD668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69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46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3B084E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D4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5F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0FC7962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079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四、平安法治（16项）</w:t>
            </w:r>
          </w:p>
        </w:tc>
      </w:tr>
      <w:tr w14:paraId="6A71F4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35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CD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62E578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5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C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0B165F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C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C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342CB5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4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C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3AFC00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A0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EC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421E3A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0F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3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47A414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55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6F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0D39DE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CA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22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2393D2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9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8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191E4E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7A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1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718B18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3F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B1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065F1F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3A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DA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级人民调解委员会，开展人民调解工作，依法受理调解申请，调解成功的组织双方签订调解协议书，调解不成的指导双方到上级机构调解、申请仲裁或诉讼，定期回访跟踪调解协议履行情况，防止矛盾反弹。</w:t>
            </w:r>
          </w:p>
        </w:tc>
      </w:tr>
      <w:tr w14:paraId="1C42D4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A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C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39FECF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C3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5D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738B78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A2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7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4EDB74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47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A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78E61D3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7BE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五、乡村振兴（8项）</w:t>
            </w:r>
          </w:p>
        </w:tc>
      </w:tr>
      <w:tr w14:paraId="6B35B6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8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6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6E0E2A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1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3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396C18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D3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D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2FBDBD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FF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C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0E69E6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EB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1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42C83F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7B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DD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646599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F8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99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286B48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D8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6C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78B81B1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C397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六、生态环保（4项）</w:t>
            </w:r>
          </w:p>
        </w:tc>
      </w:tr>
      <w:tr w14:paraId="2DE4F4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FE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7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1E4A79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A5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7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0370D7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C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B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068F7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1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5C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923AC7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423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七、城乡建设（6项）</w:t>
            </w:r>
          </w:p>
        </w:tc>
      </w:tr>
      <w:tr w14:paraId="1A3079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C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D7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27CBA1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11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04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296342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F7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1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5A3124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9E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DB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3"/>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393193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84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59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67C8FA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2D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9E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23D09D9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DB8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八、文化和旅游（1项）</w:t>
            </w:r>
          </w:p>
        </w:tc>
      </w:tr>
      <w:tr w14:paraId="01C2AA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E2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7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负责辖区内公共文化场地的开放、管理和服务，组织开展文化娱乐活动。</w:t>
            </w:r>
          </w:p>
        </w:tc>
      </w:tr>
      <w:tr w14:paraId="0A6ABA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08D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九、综合政务（9项）</w:t>
            </w:r>
          </w:p>
        </w:tc>
      </w:tr>
      <w:tr w14:paraId="66C1B9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6A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643DC9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3C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4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280EFE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BD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A2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5B386C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07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4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3DAFBA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A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3B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417892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00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4D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0DB1E7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5D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F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542C18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4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C6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2E3DB4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EF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5B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09A2C55B">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default"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44"/>
          <w:sz w:val="21"/>
          <w:szCs w:val="21"/>
          <w:lang w:val="en-US" w:eastAsia="zh-CN" w:bidi="ar"/>
          <w14:textFill>
            <w14:solidFill>
              <w14:schemeClr w14:val="tx1"/>
            </w14:solidFill>
          </w14:textFill>
        </w:rPr>
        <w:br w:type="page"/>
      </w:r>
      <w:r>
        <w:rPr>
          <w:rFonts w:hint="default" w:ascii="Times New Roman" w:hAnsi="Times New Roman" w:eastAsia="方正小标宋_GBK" w:cs="Times New Roman"/>
          <w:b w:val="0"/>
          <w:bCs w:val="0"/>
          <w:snapToGrid/>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C2CBB0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C1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B5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08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8F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54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镇配合职责</w:t>
            </w:r>
          </w:p>
        </w:tc>
      </w:tr>
      <w:tr w14:paraId="5B79F32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1C25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5B0C32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9F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A0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0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4404B8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53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27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289E7A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E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B7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1E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2A95A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7ED72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DE92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D9EB3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031E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1F9E1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70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C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1411AD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8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89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36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03C8B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F522A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3B74A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2D911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1A69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F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E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35D3BD2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56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9B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18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4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B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51719D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23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8F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BE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C7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B7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76D00A2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8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1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6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B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4B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62E4A77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FE6F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DD0F9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0F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9C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CF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42106B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4A8D3F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C97FC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316D30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F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F2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0604F6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22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4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59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0D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5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5CAA52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E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B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B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C570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B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D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7FE5F3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CE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1F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00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2CA4F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270650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7C32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55B7B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3E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5A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564FB62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F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DB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A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7EA6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2753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67A3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0FA17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7C468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60852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6198BC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9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3E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6DDD96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A5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F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20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35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1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0CFD4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9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9F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A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6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B9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6E6571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3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3A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CC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36685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8B0B8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36D56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7411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1874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BE6F0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7466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42836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6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EA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5662EA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E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B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C6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D1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9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2759CBA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DC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AF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7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8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92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583628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FD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83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F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3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D7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1A0F555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D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91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AD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7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A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7ED27E6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FA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77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AE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8C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2E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440AAD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7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A2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C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3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5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79785AF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6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C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90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78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6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7D23BF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6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4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59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73CD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0C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4E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343168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F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34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AB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1B018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B7F9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B019F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5E5C7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34E84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76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D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15C95C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49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0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0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F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4F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45336FA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C0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A0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C1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6453A5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20C4F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0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56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3EF565F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4E39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A5BF0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E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60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D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3D93E1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6A4FA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D400D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60DF2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5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16038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A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07D743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F1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0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0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781966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747C6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2B5DA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7531E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57FC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E3C6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27513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4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3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2CB978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4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9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56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64EE1E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9965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07DBB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8CF6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6B0AC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E2B3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7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B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03C2D9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58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8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85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94A8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53DEA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34145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CE3B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57DE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48EC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1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4B46A3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29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F7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11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74D8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市场监管局</w:t>
            </w:r>
          </w:p>
          <w:p w14:paraId="25CFC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C2DF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D16D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9E73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8ED89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FB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52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636508B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5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7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38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85898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5C47B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14E49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E2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D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3CE188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F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4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B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EF7AD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7B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6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2CC65F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0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1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E3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CC8E7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A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5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35F021D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5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AB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E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B581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4181D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EF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3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66F15CB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A9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D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67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1C8D43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D65F9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FA28E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3BBFE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4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1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7759E9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7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90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9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70D4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118D0F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20A07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E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BF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65F67B0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E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B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3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6CB8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4293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3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81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35B2A1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9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AC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1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1BE1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7B104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9A3B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7FFE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7A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D6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22748FD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AE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62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4E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B6837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661EB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3C51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E233C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2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2C626C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E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9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B3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6ED4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3C8B7D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DBB0E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511F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A444E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25FA0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A318F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4E13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5A3C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147C34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9C0BC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3C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6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6DF20A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1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9D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DC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C0F1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48618B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EE52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644B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BB146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106BF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31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40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175D4A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E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58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E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14BB2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00929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A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F4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7662C2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59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B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E8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5C1F2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F1E6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706A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1B3DAF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70FF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6C79D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4CA4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7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5C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62809C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5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10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4F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1B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E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4A619F6F">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FA2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2200E67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BE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09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641EF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9F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0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7460AC2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D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7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36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30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7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3743C5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67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2B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23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74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4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6D1BBC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3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5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56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3E45C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2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三在村</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DB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002F9D9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88E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18E6DA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A9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3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6B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3A80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25CB4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1B0C9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ACC0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0C69F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2E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4B44EB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00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ED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9C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19B4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C0A4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10F5A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4610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8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D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4E7A4B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3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A0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1E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8AB06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140DB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F4B95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E567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621387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2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7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1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061330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28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5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6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7CD52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F871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31B7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811B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43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4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482ED5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B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72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7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D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F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7990DA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5F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8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7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53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0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7FD488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5D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C7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C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F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A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48FB9FE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92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C2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A9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44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4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48904F4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744B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40027C1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31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74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A2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AE7C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B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A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25A924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83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E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E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1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FD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567B20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AE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0C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2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68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8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19AFC3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D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1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E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97CA4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714A76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4F362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20A65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6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                                         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6B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738EA6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15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C6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F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1EB9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64847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246F2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AD020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1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5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4588601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3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69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92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3ECA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57DB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5A7B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18CAB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844A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0906E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7D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15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018059E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816CB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644FA9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49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9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04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0E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1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158316B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3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7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B3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58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9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07B2D9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C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C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5E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54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76CE71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D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6B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C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AB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B4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73E2E79E">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default" w:ascii="Times New Roman" w:hAnsi="Times New Roman" w:eastAsia="方正小标宋_GBK" w:cs="Times New Roman"/>
          <w:b w:val="0"/>
          <w:bCs w:val="0"/>
          <w:snapToGrid/>
          <w:color w:val="000000" w:themeColor="text1"/>
          <w:kern w:val="44"/>
          <w:sz w:val="44"/>
          <w:szCs w:val="44"/>
          <w:lang w:val="en-US" w:eastAsia="zh-CN" w:bidi="ar-SA"/>
          <w14:textFill>
            <w14:solidFill>
              <w14:schemeClr w14:val="tx1"/>
            </w14:solidFill>
          </w14:textFill>
        </w:rPr>
      </w:pPr>
      <w:r>
        <w:rPr>
          <w:rFonts w:hint="default"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default" w:ascii="Times New Roman" w:hAnsi="Times New Roman" w:eastAsia="方正小标宋_GBK" w:cs="Times New Roman"/>
          <w:b w:val="0"/>
          <w:bCs w:val="0"/>
          <w:snapToGrid/>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336675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F4B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EA3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B1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627EDE1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666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7300B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08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75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67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67BC3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0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87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F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6F8F7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3E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D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0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04B15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8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E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1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1C6B8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C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7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6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696B3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D1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D1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26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6F474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E7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2F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4F11B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6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DE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F8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5D2E37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13D6A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4A8B5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B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5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E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712C8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F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B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0B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29D85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A0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0F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38CBB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F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7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B5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73285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87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61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A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76C0A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4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35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0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76ADFD7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40F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14</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6AD69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2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0B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E3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提供追缴违规领取的高龄津贴名单。</w:t>
            </w:r>
          </w:p>
        </w:tc>
      </w:tr>
      <w:tr w14:paraId="56DE7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9A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F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68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6652B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A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E9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A7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172F8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63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5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52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19454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7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FF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3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74205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F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4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CA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协同开展相关服务活动。</w:t>
            </w:r>
          </w:p>
        </w:tc>
      </w:tr>
      <w:tr w14:paraId="4FFC6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8C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A9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5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44A95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7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4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F0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67D31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4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1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B4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589B3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4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48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0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76725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5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74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6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0EA94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6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EF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A7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4D374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C4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BC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0C48D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E4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9C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7C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58D190B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19F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405FC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7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5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66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32CA7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13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9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52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08931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E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6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5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0E902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C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2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4B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10EC8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8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F0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FD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51741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1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D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12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3DF1F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1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1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D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46533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F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9D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C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23685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B6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64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74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3B6C1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1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EB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3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4F4DB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4D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6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037A3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05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8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43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7B9BD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B4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E5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40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288E9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A6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A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E5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7C1CA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5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4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FD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017BD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0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2E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7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15C09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0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F5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04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56FF0FA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328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四、乡村振兴（1项）</w:t>
            </w:r>
          </w:p>
        </w:tc>
      </w:tr>
      <w:tr w14:paraId="7CDB3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41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13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E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13AE44E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42C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五、生态环保（9项）</w:t>
            </w:r>
          </w:p>
        </w:tc>
      </w:tr>
      <w:tr w14:paraId="36ED7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3B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0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4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1996B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5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4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63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3CE0A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B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68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39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2842C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7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5A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E3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7DF4B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B4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01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A7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22C13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B2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A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C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3EC7C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28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9E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D6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4083F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F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9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1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3C83D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DD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9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2C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76F6745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04F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六、城乡建设（5项）</w:t>
            </w:r>
          </w:p>
        </w:tc>
      </w:tr>
      <w:tr w14:paraId="7C5AB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72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2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52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0392A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3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5E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F4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362E8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7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FE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B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640B5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76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C7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18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6CB8E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A4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7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A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290B0D1D">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pPr>
    </w:p>
    <w:p w14:paraId="286CEFCE">
      <w:pPr>
        <w:pageBreakBefore w:val="0"/>
        <w:wordWrap/>
        <w:overflowPunct/>
        <w:topLinePunct w:val="0"/>
        <w:bidi w:val="0"/>
        <w:ind w:firstLine="0" w:firstLineChars="0"/>
        <w:rPr>
          <w:rFonts w:hint="default" w:ascii="Times New Roman" w:hAnsi="Times New Roman" w:eastAsia="方正仿宋_GBK" w:cs="Times New Roman"/>
          <w:sz w:val="21"/>
          <w:szCs w:val="21"/>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2068">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04B558D">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04B558D">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D271">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832D5B"/>
    <w:rsid w:val="08CF4683"/>
    <w:rsid w:val="098B02A3"/>
    <w:rsid w:val="10AB148B"/>
    <w:rsid w:val="14697291"/>
    <w:rsid w:val="15F7693B"/>
    <w:rsid w:val="1AC25D02"/>
    <w:rsid w:val="1E711515"/>
    <w:rsid w:val="21827535"/>
    <w:rsid w:val="22175CA4"/>
    <w:rsid w:val="237D7041"/>
    <w:rsid w:val="29F469B4"/>
    <w:rsid w:val="2DD9434E"/>
    <w:rsid w:val="30536D05"/>
    <w:rsid w:val="359758E5"/>
    <w:rsid w:val="46955E71"/>
    <w:rsid w:val="46F012F9"/>
    <w:rsid w:val="49DD7463"/>
    <w:rsid w:val="5A6E21B5"/>
    <w:rsid w:val="63927568"/>
    <w:rsid w:val="670E0E72"/>
    <w:rsid w:val="6B0C206C"/>
    <w:rsid w:val="6D5E5933"/>
    <w:rsid w:val="746635F8"/>
    <w:rsid w:val="791F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84</Characters>
  <Lines>1</Lines>
  <Paragraphs>1</Paragraphs>
  <TotalTime>0</TotalTime>
  <ScaleCrop>false</ScaleCrop>
  <LinksUpToDate>false</LinksUpToDate>
  <CharactersWithSpaces>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acer</cp:lastModifiedBy>
  <dcterms:modified xsi:type="dcterms:W3CDTF">2025-09-05T07:47:12Z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eyJoZGlkIjoiODcwYzlkMzE1YzkwNmVkZmY2NDlkMzNmZjgyODUzMTAifQ==</vt:lpwstr>
  </property>
  <property fmtid="{D5CDD505-2E9C-101B-9397-08002B2CF9AE}" pid="3" name="KSOProductBuildVer">
    <vt:lpwstr>2052-12.1.0.22529</vt:lpwstr>
  </property>
  <property fmtid="{D5CDD505-2E9C-101B-9397-08002B2CF9AE}" pid="4" name="ICV">
    <vt:lpwstr>C9E96E8530074C19BFEDAC5FDE5D1561_12</vt:lpwstr>
  </property>
</Properties>
</file>