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丰都县工商业联合会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eastAsia="zh-CN"/>
        </w:rPr>
        <w:t>公开</w:t>
      </w:r>
      <w:r>
        <w:rPr>
          <w:rFonts w:hint="eastAsia" w:ascii="方正小标宋_GBK" w:hAnsi="方正小标宋_GBK" w:eastAsia="方正小标宋_GBK" w:cs="方正小标宋_GBK"/>
          <w:sz w:val="36"/>
          <w:szCs w:val="36"/>
          <w:shd w:val="clear" w:color="auto" w:fill="FFFFFF"/>
        </w:rPr>
        <w:t>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lang w:eastAsia="zh-CN"/>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一、部门基本情况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（一）职能职责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一是</w:t>
      </w:r>
      <w:r>
        <w:rPr>
          <w:rFonts w:hint="eastAsia" w:ascii="Times New Roman" w:hAnsi="Times New Roman" w:eastAsia="方正仿宋_GBK" w:cs="方正仿宋_GBK"/>
          <w:sz w:val="32"/>
          <w:szCs w:val="32"/>
        </w:rPr>
        <w:t>参与本县政治、经济、社会重要问题的政治协商，发挥民主监督的作用，参政议政。</w:t>
      </w:r>
      <w:r>
        <w:rPr>
          <w:rFonts w:hint="eastAsia" w:ascii="Times New Roman" w:hAnsi="Times New Roman" w:eastAsia="方正仿宋_GBK" w:cs="方正仿宋_GBK"/>
          <w:b/>
          <w:bCs/>
          <w:sz w:val="32"/>
          <w:szCs w:val="32"/>
        </w:rPr>
        <w:t>二是</w:t>
      </w:r>
      <w:r>
        <w:rPr>
          <w:rFonts w:hint="eastAsia" w:ascii="Times New Roman" w:hAnsi="Times New Roman" w:eastAsia="方正仿宋_GBK" w:cs="方正仿宋_GBK"/>
          <w:sz w:val="32"/>
          <w:szCs w:val="32"/>
        </w:rPr>
        <w:t>引导会员积极参加经济建设，推动社会主义市场经济体制逐步完善，促进社会全面发展。</w:t>
      </w:r>
      <w:r>
        <w:rPr>
          <w:rFonts w:hint="eastAsia" w:ascii="Times New Roman" w:hAnsi="Times New Roman" w:eastAsia="方正仿宋_GBK" w:cs="方正仿宋_GBK"/>
          <w:b/>
          <w:bCs/>
          <w:sz w:val="32"/>
          <w:szCs w:val="32"/>
        </w:rPr>
        <w:t>三是</w:t>
      </w:r>
      <w:r>
        <w:rPr>
          <w:rFonts w:hint="eastAsia" w:ascii="Times New Roman" w:hAnsi="Times New Roman" w:eastAsia="方正仿宋_GBK" w:cs="方正仿宋_GBK"/>
          <w:sz w:val="32"/>
          <w:szCs w:val="32"/>
        </w:rPr>
        <w:t>做工商界代表人士政治安排的推荐工作。</w:t>
      </w:r>
      <w:r>
        <w:rPr>
          <w:rFonts w:hint="eastAsia" w:ascii="Times New Roman" w:hAnsi="Times New Roman" w:eastAsia="方正仿宋_GBK" w:cs="方正仿宋_GBK"/>
          <w:b/>
          <w:bCs/>
          <w:sz w:val="32"/>
          <w:szCs w:val="32"/>
        </w:rPr>
        <w:t>四是</w:t>
      </w:r>
      <w:r>
        <w:rPr>
          <w:rFonts w:hint="eastAsia" w:ascii="Times New Roman" w:hAnsi="Times New Roman" w:eastAsia="方正仿宋_GBK" w:cs="方正仿宋_GBK"/>
          <w:sz w:val="32"/>
          <w:szCs w:val="32"/>
        </w:rPr>
        <w:t>发扬自我教育的优良传统，宣传、贯彻党和国家的方针政策，加强和改进思想政治工作，提倡爱国、敬业、守法，提高会员素质，培养积极分子队伍。</w:t>
      </w:r>
      <w:r>
        <w:rPr>
          <w:rFonts w:hint="eastAsia" w:ascii="Times New Roman" w:hAnsi="Times New Roman" w:eastAsia="方正仿宋_GBK" w:cs="方正仿宋_GBK"/>
          <w:b/>
          <w:bCs/>
          <w:sz w:val="32"/>
          <w:szCs w:val="32"/>
        </w:rPr>
        <w:t>五是</w:t>
      </w:r>
      <w:r>
        <w:rPr>
          <w:rFonts w:hint="eastAsia" w:ascii="Times New Roman" w:hAnsi="Times New Roman" w:eastAsia="方正仿宋_GBK" w:cs="方正仿宋_GBK"/>
          <w:sz w:val="32"/>
          <w:szCs w:val="32"/>
        </w:rPr>
        <w:t>代表并维护会员的合法权益，反映会员意见、要求和建议。</w:t>
      </w:r>
      <w:r>
        <w:rPr>
          <w:rFonts w:hint="eastAsia" w:ascii="Times New Roman" w:hAnsi="Times New Roman" w:eastAsia="方正仿宋_GBK" w:cs="方正仿宋_GBK"/>
          <w:b/>
          <w:bCs/>
          <w:sz w:val="32"/>
          <w:szCs w:val="32"/>
        </w:rPr>
        <w:t>六是</w:t>
      </w:r>
      <w:r>
        <w:rPr>
          <w:rFonts w:hint="eastAsia" w:ascii="Times New Roman" w:hAnsi="Times New Roman" w:eastAsia="方正仿宋_GBK" w:cs="方正仿宋_GBK"/>
          <w:sz w:val="32"/>
          <w:szCs w:val="32"/>
        </w:rPr>
        <w:t>引导会员弘扬中华民族传统美德、先富帮后富，走共同富裕的道路，热心社会公益事业。</w:t>
      </w:r>
      <w:r>
        <w:rPr>
          <w:rFonts w:hint="eastAsia" w:ascii="Times New Roman" w:hAnsi="Times New Roman" w:eastAsia="方正仿宋_GBK" w:cs="方正仿宋_GBK"/>
          <w:b/>
          <w:bCs/>
          <w:sz w:val="32"/>
          <w:szCs w:val="32"/>
        </w:rPr>
        <w:t>七是</w:t>
      </w:r>
      <w:r>
        <w:rPr>
          <w:rFonts w:hint="eastAsia" w:ascii="Times New Roman" w:hAnsi="Times New Roman" w:eastAsia="方正仿宋_GBK" w:cs="方正仿宋_GBK"/>
          <w:sz w:val="32"/>
          <w:szCs w:val="32"/>
        </w:rPr>
        <w:t>为会员提供信息和科技、管理、法律、会计、审计、融资、咨询等服务。</w:t>
      </w:r>
      <w:r>
        <w:rPr>
          <w:rFonts w:hint="eastAsia" w:ascii="Times New Roman" w:hAnsi="Times New Roman" w:eastAsia="方正仿宋_GBK" w:cs="方正仿宋_GBK"/>
          <w:b/>
          <w:bCs/>
          <w:sz w:val="32"/>
          <w:szCs w:val="32"/>
        </w:rPr>
        <w:t>八是</w:t>
      </w:r>
      <w:r>
        <w:rPr>
          <w:rFonts w:hint="eastAsia" w:ascii="Times New Roman" w:hAnsi="Times New Roman" w:eastAsia="方正仿宋_GBK" w:cs="方正仿宋_GBK"/>
          <w:sz w:val="32"/>
          <w:szCs w:val="32"/>
        </w:rPr>
        <w:t>开展工商专业培训，帮助会员改进经营管理，完善财会管理、照章纳税，提高生产技术和产品质量。</w:t>
      </w:r>
      <w:r>
        <w:rPr>
          <w:rFonts w:hint="eastAsia" w:ascii="Times New Roman" w:hAnsi="Times New Roman" w:eastAsia="方正仿宋_GBK" w:cs="方正仿宋_GBK"/>
          <w:b/>
          <w:bCs/>
          <w:sz w:val="32"/>
          <w:szCs w:val="32"/>
        </w:rPr>
        <w:t>九是</w:t>
      </w:r>
      <w:r>
        <w:rPr>
          <w:rFonts w:hint="eastAsia" w:ascii="Times New Roman" w:hAnsi="Times New Roman" w:eastAsia="方正仿宋_GBK" w:cs="方正仿宋_GBK"/>
          <w:sz w:val="32"/>
          <w:szCs w:val="32"/>
        </w:rPr>
        <w:t>组织会员举办和参加各种对内对外展销会、交易会，组织会员外出考察访问，帮助会员开拓县外市场。</w:t>
      </w:r>
      <w:r>
        <w:rPr>
          <w:rFonts w:hint="eastAsia" w:ascii="Times New Roman" w:hAnsi="Times New Roman" w:eastAsia="方正仿宋_GBK" w:cs="方正仿宋_GBK"/>
          <w:b/>
          <w:bCs/>
          <w:sz w:val="32"/>
          <w:szCs w:val="32"/>
        </w:rPr>
        <w:t>十是</w:t>
      </w:r>
      <w:r>
        <w:rPr>
          <w:rFonts w:hint="eastAsia" w:ascii="Times New Roman" w:hAnsi="Times New Roman" w:eastAsia="方正仿宋_GBK" w:cs="方正仿宋_GBK"/>
          <w:sz w:val="32"/>
          <w:szCs w:val="32"/>
        </w:rPr>
        <w:t>增进与县外工商社团及工商经济界人士的联系和友谊，促进经济、技术和贸易合作的发展，协助引进资金、技术、人才。</w:t>
      </w:r>
      <w:r>
        <w:rPr>
          <w:rFonts w:hint="eastAsia" w:ascii="Times New Roman" w:hAnsi="Times New Roman" w:eastAsia="方正仿宋_GBK" w:cs="方正仿宋_GBK"/>
          <w:b/>
          <w:bCs/>
          <w:sz w:val="32"/>
          <w:szCs w:val="32"/>
        </w:rPr>
        <w:t>十一是</w:t>
      </w:r>
      <w:r>
        <w:rPr>
          <w:rFonts w:hint="eastAsia" w:ascii="Times New Roman" w:hAnsi="Times New Roman" w:eastAsia="方正仿宋_GBK" w:cs="方正仿宋_GBK"/>
          <w:sz w:val="32"/>
          <w:szCs w:val="32"/>
        </w:rPr>
        <w:t>为会员提供有关证明，协调关系，调解经济纠纷。</w:t>
      </w:r>
      <w:r>
        <w:rPr>
          <w:rFonts w:hint="eastAsia" w:ascii="Times New Roman" w:hAnsi="Times New Roman" w:eastAsia="方正仿宋_GBK" w:cs="方正仿宋_GBK"/>
          <w:b/>
          <w:bCs/>
          <w:sz w:val="32"/>
          <w:szCs w:val="32"/>
        </w:rPr>
        <w:t>十二是</w:t>
      </w:r>
      <w:r>
        <w:rPr>
          <w:rFonts w:hint="eastAsia" w:ascii="Times New Roman" w:hAnsi="Times New Roman" w:eastAsia="方正仿宋_GBK" w:cs="方正仿宋_GBK"/>
          <w:sz w:val="32"/>
          <w:szCs w:val="32"/>
        </w:rPr>
        <w:t>完成县委、县政府交办的事项和有关部门委托事项。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（二）机构设置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丰都县工商业联合会</w:t>
      </w:r>
      <w:r>
        <w:rPr>
          <w:rFonts w:hint="eastAsia" w:ascii="Times New Roman" w:hAnsi="Times New Roman" w:eastAsia="方正仿宋_GBK" w:cs="方正仿宋_GBK"/>
          <w:sz w:val="32"/>
          <w:szCs w:val="32"/>
        </w:rPr>
        <w:t>机关内设“办公室”一个科室，“办公室”加挂“会员联络科”牌子。因工作需要，新增下设事业单位一个，单位名称为丰都县民营经济发展中心。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二、部门决算</w:t>
      </w:r>
      <w:r>
        <w:rPr>
          <w:rFonts w:hint="eastAsia" w:ascii="Times New Roman" w:hAnsi="Times New Roman" w:eastAsia="方正黑体_GBK" w:cs="方正黑体_GBK"/>
          <w:sz w:val="32"/>
          <w:szCs w:val="32"/>
          <w:lang w:eastAsia="zh-CN"/>
        </w:rPr>
        <w:t>收支</w:t>
      </w:r>
      <w:r>
        <w:rPr>
          <w:rFonts w:hint="eastAsia" w:ascii="Times New Roman" w:hAnsi="Times New Roman" w:eastAsia="方正黑体_GBK" w:cs="方正黑体_GBK"/>
          <w:sz w:val="32"/>
          <w:szCs w:val="32"/>
        </w:rPr>
        <w:t>情况说明</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8"/>
          <w:rFonts w:hint="eastAsia" w:ascii="Times New Roman" w:hAnsi="Times New Roman" w:eastAsia="方正仿宋_GBK" w:cs="方正仿宋_GBK"/>
          <w:b w:val="0"/>
          <w:bCs/>
          <w:sz w:val="32"/>
          <w:szCs w:val="32"/>
          <w:shd w:val="clear" w:color="auto" w:fill="FFFFFF"/>
          <w:lang w:val="en-US" w:eastAsia="zh-CN"/>
        </w:rPr>
      </w:pPr>
      <w:r>
        <w:rPr>
          <w:rStyle w:val="8"/>
          <w:rFonts w:hint="eastAsia" w:ascii="Times New Roman" w:hAnsi="Times New Roman" w:eastAsia="方正仿宋_GBK" w:cs="方正仿宋_GBK"/>
          <w:b w:val="0"/>
          <w:bCs/>
          <w:sz w:val="32"/>
          <w:szCs w:val="32"/>
          <w:shd w:val="clear" w:color="auto" w:fill="FFFFFF"/>
          <w:lang w:val="en-US" w:eastAsia="zh-CN"/>
        </w:rPr>
        <w:t>2024年度收、支总计均为338.59万元。收、支与2023年度相比，增加103.09万元，增长43.8%，主要原因是</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Style w:val="8"/>
          <w:rFonts w:hint="eastAsia" w:ascii="Times New Roman" w:hAnsi="Times New Roman" w:eastAsia="方正仿宋_GBK" w:cs="方正仿宋_GBK"/>
          <w:b w:val="0"/>
          <w:bCs/>
          <w:sz w:val="32"/>
          <w:szCs w:val="32"/>
          <w:shd w:val="clear" w:color="auto" w:fill="FFFFFF"/>
          <w:lang w:val="en-US" w:eastAsia="zh-CN"/>
        </w:rPr>
        <w:t>人员工资及五险一金基数调整、项目经费增加。</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Style w:val="8"/>
          <w:rFonts w:hint="eastAsia" w:ascii="Times New Roman" w:hAnsi="Times New Roman" w:eastAsia="方正仿宋_GBK" w:cs="方正仿宋_GBK"/>
          <w:b w:val="0"/>
          <w:bCs/>
          <w:sz w:val="32"/>
          <w:szCs w:val="32"/>
          <w:shd w:val="clear" w:color="auto" w:fill="FFFFFF"/>
          <w:lang w:val="en-US" w:eastAsia="zh-CN"/>
        </w:rPr>
      </w:pPr>
      <w:r>
        <w:rPr>
          <w:rStyle w:val="8"/>
          <w:rFonts w:hint="eastAsia" w:ascii="Times New Roman" w:hAnsi="Times New Roman" w:eastAsia="方正仿宋_GBK" w:cs="方正仿宋_GBK"/>
          <w:b/>
          <w:bCs w:val="0"/>
          <w:sz w:val="32"/>
          <w:szCs w:val="32"/>
          <w:shd w:val="clear" w:color="auto" w:fill="FFFFFF"/>
          <w:lang w:val="en-US" w:eastAsia="zh-CN"/>
        </w:rPr>
        <w:t>1.收入情况。</w:t>
      </w:r>
      <w:r>
        <w:rPr>
          <w:rStyle w:val="8"/>
          <w:rFonts w:hint="eastAsia" w:ascii="Times New Roman" w:hAnsi="Times New Roman" w:eastAsia="方正仿宋_GBK" w:cs="方正仿宋_GBK"/>
          <w:b w:val="0"/>
          <w:bCs/>
          <w:sz w:val="32"/>
          <w:szCs w:val="32"/>
          <w:shd w:val="clear" w:color="auto" w:fill="FFFFFF"/>
          <w:lang w:val="en-US" w:eastAsia="zh-CN"/>
        </w:rPr>
        <w:t>2024年度收入合计337.41万元，与2023年度相比，增加102.00万元，增长43.3%，主要原因是</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Style w:val="8"/>
          <w:rFonts w:hint="eastAsia" w:ascii="Times New Roman" w:hAnsi="Times New Roman" w:eastAsia="方正仿宋_GBK" w:cs="方正仿宋_GBK"/>
          <w:b w:val="0"/>
          <w:bCs/>
          <w:sz w:val="32"/>
          <w:szCs w:val="32"/>
          <w:shd w:val="clear" w:color="auto" w:fill="FFFFFF"/>
          <w:lang w:val="en-US" w:eastAsia="zh-CN"/>
        </w:rPr>
        <w:t>人员工资及五险一金基数调整、项目经费增加。其中：财政拨款收入337.41万元，占100.0%；事业收入0.00万元，占0.0%；经营收入0.00万元，占0.0%；其他收入0.00万元，占0.0%。此外，使用非财政拨款结余（含专用结余）0.00万元，年初结转和结余1.18万元。</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sz w:val="32"/>
          <w:szCs w:val="32"/>
          <w:shd w:val="clear" w:color="auto" w:fill="FFFFFF"/>
        </w:rPr>
      </w:pPr>
      <w:r>
        <w:rPr>
          <w:rStyle w:val="8"/>
          <w:rFonts w:hint="eastAsia" w:ascii="Times New Roman" w:hAnsi="Times New Roman" w:eastAsia="方正仿宋_GBK" w:cs="方正仿宋_GBK"/>
          <w:sz w:val="32"/>
          <w:szCs w:val="32"/>
          <w:shd w:val="clear" w:color="auto" w:fill="FFFFFF"/>
          <w:lang w:val="en-US" w:eastAsia="zh-CN"/>
        </w:rPr>
        <w:t>2</w:t>
      </w:r>
      <w:r>
        <w:rPr>
          <w:rStyle w:val="8"/>
          <w:rFonts w:hint="eastAsia" w:ascii="Times New Roman" w:hAnsi="Times New Roman" w:eastAsia="方正仿宋_GBK" w:cs="方正仿宋_GBK"/>
          <w:sz w:val="32"/>
          <w:szCs w:val="32"/>
          <w:shd w:val="clear" w:color="auto" w:fill="FFFFFF"/>
        </w:rPr>
        <w:t>.支出情况。</w:t>
      </w:r>
      <w:r>
        <w:rPr>
          <w:rFonts w:hint="eastAsia" w:ascii="Times New Roman" w:hAnsi="Times New Roman" w:eastAsia="方正仿宋_GBK" w:cs="方正仿宋_GBK"/>
          <w:sz w:val="32"/>
          <w:szCs w:val="32"/>
          <w:shd w:val="clear" w:color="auto" w:fill="FFFFFF"/>
        </w:rPr>
        <w:t>2024年度支出合计338.59万元，与2023年度相比，增加103.18万元，增长43.8%，主要原因是2024年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Style w:val="8"/>
          <w:rFonts w:hint="eastAsia" w:ascii="Times New Roman" w:hAnsi="Times New Roman" w:eastAsia="方正仿宋_GBK" w:cs="方正仿宋_GBK"/>
          <w:b w:val="0"/>
          <w:bCs/>
          <w:sz w:val="32"/>
          <w:szCs w:val="32"/>
          <w:shd w:val="clear" w:color="auto" w:fill="FFFFFF"/>
          <w:lang w:val="en-US" w:eastAsia="zh-CN"/>
        </w:rPr>
        <w:t>人员工资及五险一金基数调整、项目经费增加。</w:t>
      </w:r>
      <w:r>
        <w:rPr>
          <w:rFonts w:hint="eastAsia" w:ascii="Times New Roman" w:hAnsi="Times New Roman" w:eastAsia="方正仿宋_GBK" w:cs="方正仿宋_GBK"/>
          <w:sz w:val="32"/>
          <w:szCs w:val="32"/>
          <w:shd w:val="clear" w:color="auto" w:fill="FFFFFF"/>
        </w:rPr>
        <w:t>其中：基本支出281.33万元，占83.1%；项目支出57.26万元，占16.9%；经营支出</w:t>
      </w:r>
      <w:r>
        <w:rPr>
          <w:rFonts w:hint="eastAsia" w:ascii="Times New Roman" w:hAnsi="Times New Roman" w:eastAsia="方正仿宋_GBK" w:cs="方正仿宋_GBK"/>
          <w:sz w:val="32"/>
          <w:szCs w:val="32"/>
        </w:rPr>
        <w:t>0.00</w:t>
      </w:r>
      <w:r>
        <w:rPr>
          <w:rFonts w:hint="eastAsia" w:ascii="Times New Roman" w:hAnsi="Times New Roman" w:eastAsia="方正仿宋_GBK" w:cs="方正仿宋_GBK"/>
          <w:sz w:val="32"/>
          <w:szCs w:val="32"/>
          <w:shd w:val="clear" w:color="auto" w:fill="FFFFFF"/>
        </w:rPr>
        <w:t>万元，占0.0%。此外，结余分配0.00万元。</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eastAsia" w:ascii="Times New Roman" w:hAnsi="Times New Roman" w:eastAsia="方正仿宋_GBK" w:cs="方正仿宋_GBK"/>
          <w:sz w:val="32"/>
          <w:szCs w:val="32"/>
        </w:rPr>
      </w:pPr>
      <w:r>
        <w:rPr>
          <w:rStyle w:val="8"/>
          <w:rFonts w:hint="eastAsia" w:ascii="Times New Roman" w:hAnsi="Times New Roman" w:eastAsia="方正仿宋_GBK" w:cs="方正仿宋_GBK"/>
          <w:sz w:val="32"/>
          <w:szCs w:val="32"/>
          <w:shd w:val="clear" w:color="auto" w:fill="FFFFFF"/>
          <w:lang w:val="en-US" w:eastAsia="zh-CN"/>
        </w:rPr>
        <w:t>3</w:t>
      </w:r>
      <w:r>
        <w:rPr>
          <w:rStyle w:val="8"/>
          <w:rFonts w:hint="eastAsia" w:ascii="Times New Roman" w:hAnsi="Times New Roman" w:eastAsia="方正仿宋_GBK" w:cs="方正仿宋_GBK"/>
          <w:sz w:val="32"/>
          <w:szCs w:val="32"/>
          <w:shd w:val="clear" w:color="auto" w:fill="FFFFFF"/>
        </w:rPr>
        <w:t>.结转结余情况。</w:t>
      </w:r>
      <w:r>
        <w:rPr>
          <w:rFonts w:hint="eastAsia" w:ascii="Times New Roman" w:hAnsi="Times New Roman" w:eastAsia="方正仿宋_GBK" w:cs="方正仿宋_GBK"/>
          <w:sz w:val="32"/>
          <w:szCs w:val="32"/>
          <w:shd w:val="clear" w:color="auto" w:fill="FFFFFF"/>
        </w:rPr>
        <w:t>2024年度年末结转和结余0.00万元，与2023年度相比，减少0.09万元，下降100.0%，主要原因是按规定结余资金已支出。</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（二）财政拨款收入支出决算总体情况说明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338.59</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财政拨款收、支总计各增加103.09万元，增长43.8%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Style w:val="8"/>
          <w:rFonts w:hint="eastAsia" w:ascii="Times New Roman" w:hAnsi="Times New Roman" w:eastAsia="方正仿宋_GBK" w:cs="方正仿宋_GBK"/>
          <w:b w:val="0"/>
          <w:bCs/>
          <w:sz w:val="32"/>
          <w:szCs w:val="32"/>
          <w:shd w:val="clear" w:color="auto" w:fill="FFFFFF"/>
          <w:lang w:val="en-US" w:eastAsia="zh-CN"/>
        </w:rPr>
        <w:t>人员工资及五险一金基数调整、项目经费增加。</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337.41</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与2023年度相比，增加102.00万元，增长43.3%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Style w:val="8"/>
          <w:rFonts w:hint="eastAsia" w:ascii="Times New Roman" w:hAnsi="Times New Roman" w:eastAsia="方正仿宋_GBK" w:cs="方正仿宋_GBK"/>
          <w:b w:val="0"/>
          <w:bCs/>
          <w:sz w:val="32"/>
          <w:szCs w:val="32"/>
          <w:shd w:val="clear" w:color="auto" w:fill="FFFFFF"/>
          <w:lang w:val="en-US" w:eastAsia="zh-CN"/>
        </w:rPr>
        <w:t>人员工资及五险一金基数调整、项目经费增加。</w:t>
      </w:r>
      <w:r>
        <w:rPr>
          <w:rFonts w:hint="default" w:ascii="Times New Roman" w:hAnsi="Times New Roman" w:eastAsia="方正仿宋_GBK"/>
          <w:sz w:val="32"/>
          <w:szCs w:val="32"/>
          <w:shd w:val="clear" w:color="auto" w:fill="FFFFFF"/>
        </w:rPr>
        <w:t>较年初预算数增加98.53万元，增长41.3%</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Fonts w:hint="eastAsia" w:ascii="Times New Roman" w:hAnsi="Times New Roman" w:eastAsia="方正仿宋_GBK" w:cs="方正仿宋_GBK"/>
          <w:sz w:val="32"/>
          <w:szCs w:val="32"/>
          <w:shd w:val="clear" w:color="auto" w:fill="FFFFFF"/>
          <w:lang w:val="en-US" w:eastAsia="zh-CN"/>
        </w:rPr>
        <w:t>项目经费增加。</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1.18</w:t>
      </w:r>
      <w:r>
        <w:rPr>
          <w:rFonts w:ascii="Times New Roman" w:hAnsi="Times New Roman" w:eastAsia="方正仿宋_GBK" w:cs="方正仿宋_GBK"/>
          <w:sz w:val="32"/>
          <w:szCs w:val="32"/>
          <w:shd w:val="clear" w:color="auto" w:fill="FFFFFF"/>
        </w:rPr>
        <w:t>万元。</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ascii="Times New Roman" w:hAnsi="Times New Roman"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338.59</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与2023年度相比，增加103.18万元，增长43.8%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Style w:val="8"/>
          <w:rFonts w:hint="eastAsia" w:ascii="Times New Roman" w:hAnsi="Times New Roman" w:eastAsia="方正仿宋_GBK" w:cs="方正仿宋_GBK"/>
          <w:b w:val="0"/>
          <w:bCs/>
          <w:sz w:val="32"/>
          <w:szCs w:val="32"/>
          <w:shd w:val="clear" w:color="auto" w:fill="FFFFFF"/>
          <w:lang w:val="en-US" w:eastAsia="zh-CN"/>
        </w:rPr>
        <w:t>人员工资及五险一金基数调整、项目经费增加。</w:t>
      </w:r>
      <w:r>
        <w:rPr>
          <w:rFonts w:hint="default" w:ascii="Times New Roman" w:hAnsi="Times New Roman" w:eastAsia="方正仿宋_GBK"/>
          <w:sz w:val="32"/>
          <w:szCs w:val="32"/>
          <w:shd w:val="clear" w:color="auto" w:fill="FFFFFF"/>
        </w:rPr>
        <w:t>较年初预算数增加99.71万元，增长41.7%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2024年</w:t>
      </w:r>
      <w:r>
        <w:rPr>
          <w:rFonts w:hint="eastAsia" w:ascii="Times New Roman" w:hAnsi="Times New Roman" w:eastAsia="方正仿宋_GBK" w:cs="方正仿宋_GBK"/>
          <w:sz w:val="32"/>
          <w:szCs w:val="32"/>
          <w:shd w:val="clear" w:color="auto" w:fill="FFFFFF"/>
          <w:lang w:val="en-US" w:eastAsia="zh-CN"/>
        </w:rPr>
        <w:t>调入</w:t>
      </w:r>
      <w:r>
        <w:rPr>
          <w:rFonts w:hint="eastAsia" w:ascii="Times New Roman" w:hAnsi="Times New Roman" w:eastAsia="方正仿宋_GBK" w:cs="方正仿宋_GBK"/>
          <w:sz w:val="32"/>
          <w:szCs w:val="32"/>
          <w:shd w:val="clear" w:color="auto" w:fill="FFFFFF"/>
        </w:rPr>
        <w:t>4名人员同步增加人员经费和公用经费、</w:t>
      </w:r>
      <w:r>
        <w:rPr>
          <w:rFonts w:hint="eastAsia" w:ascii="Times New Roman" w:hAnsi="Times New Roman" w:eastAsia="方正仿宋_GBK" w:cs="方正仿宋_GBK"/>
          <w:sz w:val="32"/>
          <w:szCs w:val="32"/>
          <w:shd w:val="clear" w:color="auto" w:fill="FFFFFF"/>
          <w:lang w:val="en-US" w:eastAsia="zh-CN"/>
        </w:rPr>
        <w:t>项目经费增加。</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255.12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较年初预算数增加79.69万元，增长45.4%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w:t>
      </w:r>
      <w:r>
        <w:rPr>
          <w:rFonts w:hint="eastAsia" w:ascii="Times New Roman" w:hAnsi="Times New Roman" w:eastAsia="方正仿宋_GBK"/>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val="en-US" w:eastAsia="zh-CN" w:bidi="ar-SA"/>
        </w:rPr>
        <w:t>考调</w:t>
      </w:r>
      <w:r>
        <w:rPr>
          <w:rFonts w:hint="eastAsia" w:ascii="Times New Roman" w:hAnsi="Times New Roman" w:eastAsia="方正仿宋_GBK"/>
          <w:sz w:val="32"/>
          <w:szCs w:val="32"/>
          <w:shd w:val="clear" w:color="auto" w:fill="FFFFFF"/>
          <w:lang w:val="en-US" w:eastAsia="zh-CN"/>
        </w:rPr>
        <w:t>人员，导致经费增加、项目经费增加</w:t>
      </w:r>
      <w:r>
        <w:rPr>
          <w:rFonts w:ascii="Times New Roman" w:hAnsi="Times New Roman" w:eastAsia="方正仿宋_GBK" w:cs="方正仿宋_GBK"/>
          <w:sz w:val="32"/>
          <w:szCs w:val="32"/>
          <w:shd w:val="clear" w:color="auto" w:fill="FFFFFF"/>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52.93</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较年初预算数增加12.82万元，增长32.0%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2024年</w:t>
      </w:r>
      <w:r>
        <w:rPr>
          <w:rFonts w:hint="eastAsia" w:ascii="Times New Roman" w:hAnsi="Times New Roman" w:eastAsia="方正仿宋_GBK"/>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val="en-US" w:eastAsia="zh-CN" w:bidi="ar-SA"/>
        </w:rPr>
        <w:t>考调</w:t>
      </w:r>
      <w:r>
        <w:rPr>
          <w:rFonts w:hint="eastAsia" w:ascii="Times New Roman" w:hAnsi="Times New Roman" w:eastAsia="方正仿宋_GBK"/>
          <w:sz w:val="32"/>
          <w:szCs w:val="32"/>
          <w:shd w:val="clear" w:color="auto" w:fill="FFFFFF"/>
          <w:lang w:val="en-US" w:eastAsia="zh-CN"/>
        </w:rPr>
        <w:t>人员</w:t>
      </w:r>
      <w:r>
        <w:rPr>
          <w:rFonts w:hint="eastAsia"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sz w:val="32"/>
          <w:szCs w:val="32"/>
          <w:shd w:val="clear" w:color="auto" w:fill="FFFFFF"/>
        </w:rPr>
        <w:t>人员五险基数调整</w:t>
      </w:r>
      <w:r>
        <w:rPr>
          <w:rFonts w:hint="eastAsia" w:ascii="Times New Roman" w:hAnsi="Times New Roman" w:eastAsia="方正仿宋_GBK"/>
          <w:sz w:val="32"/>
          <w:szCs w:val="32"/>
          <w:shd w:val="clear" w:color="auto" w:fill="FFFFFF"/>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15.55</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较年初预算数增加3.42万元，增长28.2%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bidi="ar-SA"/>
        </w:rPr>
        <w:t>2024年</w:t>
      </w:r>
      <w:r>
        <w:rPr>
          <w:rFonts w:hint="eastAsia" w:ascii="Times New Roman" w:hAnsi="Times New Roman" w:eastAsia="方正仿宋_GBK"/>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val="en-US" w:eastAsia="zh-CN" w:bidi="ar-SA"/>
        </w:rPr>
        <w:t>考调</w:t>
      </w:r>
      <w:r>
        <w:rPr>
          <w:rFonts w:hint="eastAsia" w:ascii="Times New Roman" w:hAnsi="Times New Roman" w:eastAsia="方正仿宋_GBK"/>
          <w:sz w:val="32"/>
          <w:szCs w:val="32"/>
          <w:shd w:val="clear" w:color="auto" w:fill="FFFFFF"/>
          <w:lang w:val="en-US" w:eastAsia="zh-CN"/>
        </w:rPr>
        <w:t>人员</w:t>
      </w:r>
      <w:r>
        <w:rPr>
          <w:rFonts w:hint="eastAsia" w:ascii="Times New Roman" w:hAnsi="Times New Roman" w:eastAsia="方正仿宋_GBK" w:cs="Times New Roman"/>
          <w:sz w:val="32"/>
          <w:szCs w:val="32"/>
          <w:shd w:val="clear" w:color="auto" w:fill="FFFFFF"/>
          <w:lang w:val="en-US" w:eastAsia="zh-CN" w:bidi="ar-SA"/>
        </w:rPr>
        <w:t>、</w:t>
      </w:r>
      <w:r>
        <w:rPr>
          <w:rFonts w:hint="eastAsia" w:ascii="Times New Roman" w:hAnsi="Times New Roman" w:eastAsia="方正仿宋_GBK"/>
          <w:sz w:val="32"/>
          <w:szCs w:val="32"/>
          <w:shd w:val="clear" w:color="auto" w:fill="FFFFFF"/>
        </w:rPr>
        <w:t>人员五险基数调整</w:t>
      </w:r>
      <w:r>
        <w:rPr>
          <w:rFonts w:hint="eastAsia" w:ascii="Times New Roman" w:hAnsi="Times New Roman" w:eastAsia="方正仿宋_GBK"/>
          <w:sz w:val="32"/>
          <w:szCs w:val="32"/>
          <w:shd w:val="clear" w:color="auto" w:fill="FFFFFF"/>
          <w:lang w:eastAsia="zh-CN"/>
        </w:rPr>
        <w:t>。</w:t>
      </w:r>
    </w:p>
    <w:p>
      <w:pPr>
        <w:keepNext w:val="0"/>
        <w:keepLines w:val="0"/>
        <w:pageBreakBefore w:val="0"/>
        <w:kinsoku/>
        <w:wordWrap/>
        <w:overflowPunct/>
        <w:topLinePunct w:val="0"/>
        <w:autoSpaceDN/>
        <w:bidi w:val="0"/>
        <w:adjustRightInd/>
        <w:spacing w:line="600" w:lineRule="exact"/>
        <w:ind w:firstLine="640" w:firstLineChars="200"/>
        <w:jc w:val="both"/>
        <w:textAlignment w:val="auto"/>
        <w:rPr>
          <w:rFonts w:hint="default" w:ascii="Times New Roman" w:hAnsi="Times New Roman" w:eastAsia="方正仿宋_GBK" w:cs="方正仿宋_GBK"/>
          <w:color w:val="FF0000"/>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14.99</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较年初预算数增加3.78万元，增长33.7%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w:t>
      </w:r>
      <w:r>
        <w:rPr>
          <w:rFonts w:hint="eastAsia" w:ascii="Times New Roman" w:hAnsi="Times New Roman" w:eastAsia="方正仿宋_GBK"/>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val="en-US" w:eastAsia="zh-CN" w:bidi="ar-SA"/>
        </w:rPr>
        <w:t>考调</w:t>
      </w:r>
      <w:r>
        <w:rPr>
          <w:rFonts w:hint="eastAsia" w:ascii="Times New Roman" w:hAnsi="Times New Roman" w:eastAsia="方正仿宋_GBK"/>
          <w:sz w:val="32"/>
          <w:szCs w:val="32"/>
          <w:shd w:val="clear" w:color="auto" w:fill="FFFFFF"/>
          <w:lang w:val="en-US" w:eastAsia="zh-CN"/>
        </w:rPr>
        <w:t>人员、</w:t>
      </w:r>
      <w:r>
        <w:rPr>
          <w:rFonts w:hint="eastAsia" w:ascii="Times New Roman" w:hAnsi="Times New Roman" w:eastAsia="方正仿宋_GBK"/>
          <w:sz w:val="32"/>
          <w:szCs w:val="32"/>
          <w:shd w:val="clear" w:color="auto" w:fill="FFFFFF"/>
        </w:rPr>
        <w:t>人员</w:t>
      </w:r>
      <w:r>
        <w:rPr>
          <w:rFonts w:hint="eastAsia" w:ascii="Times New Roman" w:hAnsi="Times New Roman" w:eastAsia="方正仿宋_GBK"/>
          <w:sz w:val="32"/>
          <w:szCs w:val="32"/>
          <w:shd w:val="clear" w:color="auto" w:fill="FFFFFF"/>
          <w:lang w:val="en-US" w:eastAsia="zh-CN"/>
        </w:rPr>
        <w:t>工资调整，导致住房公积金增加。</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2" w:firstLineChars="200"/>
        <w:jc w:val="both"/>
        <w:textAlignment w:val="auto"/>
        <w:rPr>
          <w:rFonts w:hint="default" w:ascii="Times New Roman" w:hAnsi="Times New Roman"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与2023年度相比，减少0.09万元，下降100.0%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按规定结余资金已支出。</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281.33</w:t>
      </w:r>
      <w:r>
        <w:rPr>
          <w:rFonts w:ascii="Times New Roman" w:hAnsi="Times New Roman"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color w:val="FF0000"/>
          <w:sz w:val="32"/>
          <w:szCs w:val="32"/>
          <w:shd w:val="clear" w:color="auto" w:fill="FFFFFF"/>
          <w:lang w:val="en-US" w:eastAsia="zh-CN"/>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245.76</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与2023年度相比，增加80.48万元，增长48.7%</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新考调</w:t>
      </w:r>
      <w:r>
        <w:rPr>
          <w:rFonts w:hint="eastAsia" w:ascii="Times New Roman" w:hAnsi="Times New Roman" w:eastAsia="方正仿宋_GBK" w:cs="Times New Roman"/>
          <w:sz w:val="32"/>
          <w:szCs w:val="32"/>
          <w:shd w:val="clear" w:color="auto" w:fill="FFFFFF"/>
        </w:rPr>
        <w:t>3</w:t>
      </w:r>
      <w:r>
        <w:rPr>
          <w:rFonts w:hint="eastAsia" w:ascii="Times New Roman" w:hAnsi="Times New Roman" w:eastAsia="方正仿宋_GBK" w:cs="方正仿宋_GBK"/>
          <w:sz w:val="32"/>
          <w:szCs w:val="32"/>
          <w:shd w:val="clear" w:color="auto" w:fill="FFFFFF"/>
        </w:rPr>
        <w:t>名人员、基本工资调增、人员社保公积金基数调增</w:t>
      </w:r>
      <w:r>
        <w:rPr>
          <w:rFonts w:ascii="Times New Roman" w:hAnsi="Times New Roman" w:eastAsia="方正仿宋_GBK" w:cs="方正仿宋_GBK"/>
          <w:sz w:val="32"/>
          <w:szCs w:val="32"/>
          <w:shd w:val="clear" w:color="auto" w:fill="FFFFFF"/>
        </w:rPr>
        <w:t>。人员经费用途主要包括</w:t>
      </w:r>
      <w:r>
        <w:rPr>
          <w:rFonts w:hint="eastAsia" w:ascii="Times New Roman" w:hAnsi="Times New Roman" w:eastAsia="方正仿宋_GBK" w:cs="方正仿宋_GBK"/>
          <w:sz w:val="32"/>
          <w:szCs w:val="32"/>
        </w:rPr>
        <w:t>基本工资、津贴补贴、奖金、社会保障缴费等支出</w:t>
      </w:r>
      <w:r>
        <w:rPr>
          <w:rFonts w:hint="eastAsia" w:ascii="Times New Roman" w:hAnsi="Times New Roman" w:eastAsia="方正仿宋_GBK" w:cs="方正仿宋_GBK"/>
          <w:sz w:val="32"/>
          <w:szCs w:val="32"/>
          <w:lang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35.57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与2023年度相比，增加3.36万元，增长10.4%</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保障部门正常运转的各项商品服务支出增加</w:t>
      </w:r>
      <w:r>
        <w:rPr>
          <w:rFonts w:hint="eastAsia" w:ascii="Times New Roman" w:hAnsi="Times New Roman" w:eastAsia="方正仿宋_GBK" w:cs="方正仿宋_GBK"/>
          <w:sz w:val="32"/>
          <w:szCs w:val="32"/>
          <w:shd w:val="clear" w:color="auto" w:fill="FFFFFF"/>
          <w:lang w:eastAsia="zh-CN"/>
        </w:rPr>
        <w:t>。</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rPr>
        <w:t>办公费、差旅费、水电费、邮电费、手续费等支出。</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本部门2024年度无政府性基金预算财政拨款收支。</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ascii="Times New Roman" w:hAnsi="Times New Roman" w:eastAsia="楷体" w:cs="楷体"/>
          <w:b w:val="0"/>
          <w:bCs w:val="0"/>
          <w:sz w:val="32"/>
          <w:szCs w:val="32"/>
          <w:shd w:val="clear" w:color="auto" w:fill="FFFFFF"/>
        </w:rPr>
      </w:pPr>
      <w:r>
        <w:rPr>
          <w:rFonts w:hint="eastAsia" w:ascii="Times New Roman" w:hAnsi="Times New Roman" w:eastAsia="楷体" w:cs="楷体"/>
          <w:b w:val="0"/>
          <w:bCs w:val="0"/>
          <w:sz w:val="32"/>
          <w:szCs w:val="32"/>
          <w:shd w:val="clear" w:color="auto" w:fill="FFFFFF"/>
        </w:rPr>
        <w:t>（六）国有资本经营预算财政拨款支出决算情况说明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本部门</w:t>
      </w:r>
      <w:r>
        <w:rPr>
          <w:rFonts w:hint="default" w:ascii="Times New Roman" w:hAnsi="Times New Roman" w:eastAsia="方正仿宋_GBK" w:cs="方正仿宋_GBK"/>
          <w:sz w:val="32"/>
          <w:szCs w:val="32"/>
          <w:shd w:val="clear" w:color="auto" w:fill="FFFFFF"/>
        </w:rPr>
        <w:t>2024</w:t>
      </w:r>
      <w:r>
        <w:rPr>
          <w:rFonts w:ascii="Times New Roman" w:hAnsi="Times New Roman" w:eastAsia="方正仿宋_GBK" w:cs="方正仿宋_GBK"/>
          <w:sz w:val="32"/>
          <w:szCs w:val="32"/>
          <w:shd w:val="clear" w:color="auto" w:fill="FFFFFF"/>
        </w:rPr>
        <w:t>年度无国有资本经营预算财政拨款支出。</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w:t>
      </w:r>
      <w:r>
        <w:rPr>
          <w:rFonts w:hint="eastAsia" w:ascii="Times New Roman" w:hAnsi="Times New Roman" w:eastAsia="方正黑体_GBK" w:cs="方正黑体_GBK"/>
          <w:sz w:val="32"/>
          <w:szCs w:val="32"/>
          <w:lang w:eastAsia="zh-CN"/>
        </w:rPr>
        <w:t>财政拨款</w:t>
      </w:r>
      <w:r>
        <w:rPr>
          <w:rFonts w:hint="eastAsia" w:ascii="Times New Roman" w:hAnsi="Times New Roman" w:eastAsia="方正黑体_GBK" w:cs="方正黑体_GBK"/>
          <w:sz w:val="32"/>
          <w:szCs w:val="32"/>
        </w:rPr>
        <w:t>“三公”经费情况说明</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（一）“三公”经费支出总体情况说明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2.50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保障公务接待必要开支</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方正仿宋_GBK"/>
          <w:sz w:val="32"/>
          <w:szCs w:val="32"/>
          <w:shd w:val="clear" w:color="auto" w:fill="FFFFFF"/>
        </w:rPr>
        <w:t>较上年支出数增加</w:t>
      </w:r>
      <w:r>
        <w:rPr>
          <w:rFonts w:hint="default" w:ascii="Times New Roman" w:hAnsi="Times New Roman" w:eastAsia="方正仿宋_GBK" w:cs="Times New Roman"/>
          <w:sz w:val="32"/>
          <w:szCs w:val="32"/>
          <w:shd w:val="clear" w:color="auto" w:fill="FFFFFF"/>
        </w:rPr>
        <w:t>1.78万元，增长247.2%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今年接待批次和人数增加。</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（二）“三公”经费分项支出情况</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年未发生因公出国（境）费支出，与上年决算数持平。</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年未发生公务车购置费支出，与上年决算数持平。</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本部门202</w:t>
      </w:r>
      <w:r>
        <w:rPr>
          <w:rFonts w:hint="eastAsia" w:ascii="Times New Roman" w:hAnsi="Times New Roman" w:eastAsia="方正仿宋_GBK"/>
          <w:sz w:val="32"/>
          <w:szCs w:val="32"/>
          <w:shd w:val="clear" w:color="auto" w:fill="FFFFFF"/>
          <w:lang w:val="en-US" w:eastAsia="zh-CN"/>
        </w:rPr>
        <w:t>4</w:t>
      </w:r>
      <w:r>
        <w:rPr>
          <w:rFonts w:hint="default" w:ascii="Times New Roman" w:hAnsi="Times New Roman" w:eastAsia="方正仿宋_GBK"/>
          <w:sz w:val="32"/>
          <w:szCs w:val="32"/>
          <w:shd w:val="clear" w:color="auto" w:fill="FFFFFF"/>
        </w:rPr>
        <w:t>年未发生公务车运行维护费支出，与上年决算数持平。</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2.50</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sz w:val="32"/>
          <w:szCs w:val="32"/>
          <w:shd w:val="clear" w:color="auto" w:fill="FFFFFF"/>
          <w:lang w:val="en-US" w:eastAsia="zh-CN"/>
        </w:rPr>
        <w:t>异地商会及企业回丰考察</w:t>
      </w:r>
      <w:r>
        <w:rPr>
          <w:rFonts w:ascii="Times New Roman" w:hAnsi="Times New Roman" w:eastAsia="方正仿宋_GBK" w:cs="方正仿宋_GBK"/>
          <w:i w:val="0"/>
          <w:iCs w:val="0"/>
          <w:caps w:val="0"/>
          <w:color w:val="333333"/>
          <w:spacing w:val="0"/>
          <w:sz w:val="32"/>
          <w:szCs w:val="32"/>
          <w:shd w:val="clear" w:fill="FFFFFF"/>
        </w:rPr>
        <w:t>和其他区县来丰调研工作</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保障公务接待必要开支</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sz w:val="32"/>
          <w:szCs w:val="32"/>
          <w:shd w:val="clear" w:color="auto" w:fill="FFFFFF"/>
        </w:rPr>
        <w:t>较上年支出数增加1.78万元，增长247.2%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今年接待批次和人数增加</w:t>
      </w:r>
      <w:r>
        <w:rPr>
          <w:rFonts w:hint="eastAsia" w:ascii="Times New Roman" w:hAnsi="Times New Roman" w:eastAsia="方正仿宋_GBK" w:cs="方正仿宋_GBK"/>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279</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89.61</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（一）财政拨款会议费、培训费和差旅费情况说明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sz w:val="32"/>
          <w:szCs w:val="32"/>
          <w:shd w:val="clear" w:color="auto" w:fill="FFFFFF"/>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2.20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与2023年度相比，减少2.70万元，下降55.1%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严控</w:t>
      </w:r>
      <w:r>
        <w:rPr>
          <w:rFonts w:hint="eastAsia" w:ascii="Times New Roman" w:hAnsi="Times New Roman" w:eastAsia="方正仿宋_GBK" w:cs="方正仿宋_GBK"/>
          <w:sz w:val="32"/>
          <w:szCs w:val="32"/>
          <w:shd w:val="clear" w:color="auto" w:fill="FFFFFF"/>
          <w:lang w:val="en-US" w:eastAsia="zh-CN"/>
        </w:rPr>
        <w:t>会议</w:t>
      </w:r>
      <w:r>
        <w:rPr>
          <w:rFonts w:hint="eastAsia" w:ascii="Times New Roman" w:hAnsi="Times New Roman" w:eastAsia="方正仿宋_GBK" w:cs="方正仿宋_GBK"/>
          <w:sz w:val="32"/>
          <w:szCs w:val="32"/>
          <w:shd w:val="clear" w:color="auto" w:fill="FFFFFF"/>
        </w:rPr>
        <w:t>经费，故</w:t>
      </w:r>
      <w:r>
        <w:rPr>
          <w:rFonts w:hint="eastAsia" w:ascii="Times New Roman" w:hAnsi="Times New Roman" w:eastAsia="方正仿宋_GBK" w:cs="方正仿宋_GBK"/>
          <w:sz w:val="32"/>
          <w:szCs w:val="32"/>
          <w:shd w:val="clear" w:color="auto" w:fill="FFFFFF"/>
          <w:lang w:val="en-US" w:eastAsia="zh-CN"/>
        </w:rPr>
        <w:t>会议</w:t>
      </w:r>
      <w:r>
        <w:rPr>
          <w:rFonts w:hint="eastAsia" w:ascii="Times New Roman" w:hAnsi="Times New Roman" w:eastAsia="方正仿宋_GBK" w:cs="方正仿宋_GBK"/>
          <w:sz w:val="32"/>
          <w:szCs w:val="32"/>
          <w:shd w:val="clear" w:color="auto" w:fill="FFFFFF"/>
        </w:rPr>
        <w:t>费减少</w:t>
      </w:r>
      <w:r>
        <w:rPr>
          <w:rFonts w:ascii="Times New Roman" w:hAnsi="Times New Roman"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0.24</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与2023年度相比，增加0.23万元，增长2300.0%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rPr>
        <w:t>本年度培训种类和次数增加</w:t>
      </w:r>
      <w:r>
        <w:rPr>
          <w:rFonts w:ascii="Times New Roman" w:hAnsi="Times New Roman"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10.68</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与2023年度相比，增加3.77万元，增长54.6%</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走访调研企业次数增多</w:t>
      </w:r>
      <w:r>
        <w:rPr>
          <w:rFonts w:hint="default" w:ascii="Times New Roman" w:hAnsi="Times New Roman" w:eastAsia="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20.38</w:t>
      </w:r>
      <w:r>
        <w:rPr>
          <w:rFonts w:ascii="Times New Roman" w:hAnsi="Times New Roman" w:eastAsia="方正仿宋_GBK" w:cs="方正仿宋_GBK"/>
          <w:sz w:val="32"/>
          <w:szCs w:val="32"/>
          <w:shd w:val="clear" w:color="auto" w:fill="FFFFFF"/>
        </w:rPr>
        <w:t>万元，机关运行经费主要用于开支</w:t>
      </w:r>
      <w:r>
        <w:rPr>
          <w:rFonts w:hint="eastAsia" w:ascii="Times New Roman" w:hAnsi="Times New Roman" w:eastAsia="方正仿宋_GBK" w:cs="方正仿宋_GBK"/>
          <w:sz w:val="32"/>
          <w:szCs w:val="32"/>
        </w:rPr>
        <w:t>办公费、水电物业费和差旅费等维持部门正常运转经费支出</w:t>
      </w:r>
      <w:r>
        <w:rPr>
          <w:rFonts w:ascii="Times New Roman" w:hAnsi="Times New Roman"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较上年支出数增加0.82万元，增长4.2%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业务活动增加，故运行经费增加</w:t>
      </w:r>
      <w:r>
        <w:rPr>
          <w:rFonts w:hint="eastAsia" w:ascii="Times New Roman" w:hAnsi="Times New Roman" w:eastAsia="方正仿宋_GBK" w:cs="方正仿宋_GBK"/>
          <w:sz w:val="32"/>
          <w:szCs w:val="32"/>
          <w:lang w:val="en-US" w:eastAsia="zh-CN"/>
        </w:rPr>
        <w:t>。</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pPr>
        <w:pStyle w:val="5"/>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napToGrid/>
        <w:spacing w:line="60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cs="方正仿宋_GBK"/>
          <w:b/>
          <w:bCs/>
          <w:color w:val="auto"/>
          <w:sz w:val="32"/>
          <w:szCs w:val="32"/>
          <w:highlight w:val="yellow"/>
          <w:shd w:val="clear" w:color="auto" w:fill="FFFFFF"/>
        </w:rPr>
      </w:pPr>
      <w:r>
        <w:rPr>
          <w:rFonts w:hint="eastAsia" w:ascii="Times New Roman" w:hAnsi="Times New Roman" w:eastAsia="方正仿宋_GBK" w:cs="方正仿宋_GBK"/>
          <w:sz w:val="32"/>
          <w:szCs w:val="32"/>
        </w:rPr>
        <w:t>2024年度我部门未发生政府采购事项，无相关经费支出。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lang w:val="en-US" w:eastAsia="zh-CN"/>
        </w:rPr>
        <w:t>五、</w:t>
      </w:r>
      <w:r>
        <w:rPr>
          <w:rFonts w:hint="eastAsia" w:ascii="Times New Roman" w:hAnsi="Times New Roman" w:eastAsia="方正黑体_GBK" w:cs="方正黑体_GBK"/>
          <w:sz w:val="32"/>
          <w:szCs w:val="32"/>
        </w:rPr>
        <w:t>预算绩效管理情况说明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（一）部门自评情况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rPr>
        <w:t>根据预算绩效管理要求，我部门对部门整体和</w:t>
      </w:r>
      <w:bookmarkStart w:id="0" w:name="_GoBack"/>
      <w:bookmarkEnd w:id="0"/>
      <w:r>
        <w:rPr>
          <w:rFonts w:hint="eastAsia" w:ascii="Times New Roman" w:hAnsi="Times New Roman" w:eastAsia="方正仿宋_GBK" w:cs="方正仿宋_GBK"/>
          <w:sz w:val="32"/>
          <w:szCs w:val="32"/>
          <w:lang w:val="en-US" w:eastAsia="zh-CN"/>
        </w:rPr>
        <w:t>6个</w:t>
      </w:r>
      <w:r>
        <w:rPr>
          <w:rFonts w:hint="eastAsia" w:ascii="Times New Roman" w:hAnsi="Times New Roman" w:eastAsia="方正仿宋_GBK" w:cs="方正仿宋_GBK"/>
          <w:sz w:val="32"/>
          <w:szCs w:val="32"/>
        </w:rPr>
        <w:t>项目开展了绩效自评，涉及财政拨款项目支出资金</w:t>
      </w:r>
      <w:r>
        <w:rPr>
          <w:rFonts w:hint="eastAsia" w:ascii="Times New Roman" w:hAnsi="Times New Roman" w:eastAsia="方正仿宋_GBK" w:cs="方正仿宋_GBK"/>
          <w:sz w:val="32"/>
          <w:szCs w:val="32"/>
          <w:lang w:val="en-US" w:eastAsia="zh-CN"/>
        </w:rPr>
        <w:t>57.26</w:t>
      </w:r>
      <w:r>
        <w:rPr>
          <w:rFonts w:hint="eastAsia" w:ascii="Times New Roman" w:hAnsi="Times New Roman" w:eastAsia="方正仿宋_GBK" w:cs="方正仿宋_GBK"/>
          <w:sz w:val="32"/>
          <w:szCs w:val="32"/>
        </w:rPr>
        <w:t>万元</w:t>
      </w:r>
      <w:r>
        <w:rPr>
          <w:rFonts w:hint="eastAsia" w:ascii="Times New Roman" w:hAnsi="Times New Roman"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（详见附件：丰都县工商联2024年度部门整体绩效和项目绩效自评情况表）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（二）部门绩效评价情况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我部门未组织开展绩效评价。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（三）财政绩效评价情况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县</w:t>
      </w:r>
      <w:r>
        <w:rPr>
          <w:rFonts w:hint="eastAsia" w:ascii="Times New Roman" w:hAnsi="Times New Roman" w:eastAsia="方正仿宋_GBK" w:cs="方正仿宋_GBK"/>
          <w:sz w:val="32"/>
          <w:szCs w:val="32"/>
        </w:rPr>
        <w:t>财政局未委托第三方对我部门开展绩效评价。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六、专业名词解释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（一）财政拨款收入：</w:t>
      </w:r>
      <w:r>
        <w:rPr>
          <w:rFonts w:hint="eastAsia" w:ascii="Times New Roman" w:hAnsi="Times New Roman" w:eastAsia="方正仿宋_GBK" w:cs="方正仿宋_GBK"/>
          <w:sz w:val="32"/>
          <w:szCs w:val="32"/>
        </w:rPr>
        <w:t>指本年度从本级财政部门取得的财政拨款，包括一般公共预算财政拨款和政府性基金预算财政拨款。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楷体_GBK" w:cs="方正楷体_GBK"/>
          <w:sz w:val="32"/>
          <w:szCs w:val="32"/>
        </w:rPr>
        <w:t>（二）事业收入：</w:t>
      </w:r>
      <w:r>
        <w:rPr>
          <w:rFonts w:hint="eastAsia" w:ascii="Times New Roman" w:hAnsi="Times New Roman" w:eastAsia="方正仿宋_GBK" w:cs="方正仿宋_GBK"/>
          <w:sz w:val="32"/>
          <w:szCs w:val="32"/>
        </w:rPr>
        <w:t>指事业单位开展专业业务活动及其辅助活动取得的现金流入；事业单位收到的财政专户实际核拨的教育收费等资金在此反映。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（三）经营收入：</w:t>
      </w:r>
      <w:r>
        <w:rPr>
          <w:rFonts w:hint="eastAsia" w:ascii="Times New Roman" w:hAnsi="Times New Roman" w:eastAsia="方正仿宋_GBK" w:cs="方正仿宋_GBK"/>
          <w:sz w:val="32"/>
          <w:szCs w:val="32"/>
        </w:rPr>
        <w:t>指事业单位在专业业务活动及其辅助活动之外开展非独立核算经营活动取得的现金流入。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楷体_GBK" w:cs="方正楷体_GBK"/>
          <w:sz w:val="32"/>
          <w:szCs w:val="32"/>
        </w:rPr>
        <w:t>（四）其他收入：</w:t>
      </w:r>
      <w:r>
        <w:rPr>
          <w:rFonts w:hint="eastAsia" w:ascii="Times New Roman" w:hAnsi="Times New Roman" w:eastAsia="方正仿宋_GBK" w:cs="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（五）使用非财政拨款结余：</w:t>
      </w:r>
      <w:r>
        <w:rPr>
          <w:rFonts w:hint="eastAsia" w:ascii="Times New Roman" w:hAnsi="Times New Roman" w:eastAsia="方正仿宋_GBK" w:cs="方正仿宋_GBK"/>
          <w:sz w:val="32"/>
          <w:szCs w:val="32"/>
        </w:rPr>
        <w:t>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楷体_GBK" w:cs="方正楷体_GBK"/>
          <w:sz w:val="32"/>
          <w:szCs w:val="32"/>
        </w:rPr>
        <w:t>（六）年初结转和结余：</w:t>
      </w:r>
      <w:r>
        <w:rPr>
          <w:rFonts w:hint="eastAsia" w:ascii="Times New Roman" w:hAnsi="Times New Roman" w:eastAsia="方正仿宋_GBK" w:cs="方正仿宋_GBK"/>
          <w:sz w:val="32"/>
          <w:szCs w:val="32"/>
        </w:rPr>
        <w:t>指单位上年结转本年使用的基本支出结转、项目支出结转和结余、经营结余。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（七）结余分配：</w:t>
      </w:r>
      <w:r>
        <w:rPr>
          <w:rFonts w:hint="eastAsia" w:ascii="Times New Roman" w:hAnsi="Times New Roman" w:eastAsia="方正仿宋_GBK" w:cs="方正仿宋_GBK"/>
          <w:sz w:val="32"/>
          <w:szCs w:val="32"/>
        </w:rPr>
        <w:t>指单位按照国家有关规定，缴纳所得税、提取专用基金、转入非财政拨款结余等当年结余的分配情况。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（八）年末结转和结余：</w:t>
      </w:r>
      <w:r>
        <w:rPr>
          <w:rFonts w:hint="eastAsia" w:ascii="Times New Roman" w:hAnsi="Times New Roman" w:eastAsia="方正仿宋_GBK" w:cs="方正仿宋_GBK"/>
          <w:sz w:val="32"/>
          <w:szCs w:val="32"/>
        </w:rPr>
        <w:t>指单位结转下年的基本支出结转、项目支出结转和结余、经营结余。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（九）基本支出：</w:t>
      </w:r>
      <w:r>
        <w:rPr>
          <w:rFonts w:hint="eastAsia" w:ascii="Times New Roman" w:hAnsi="Times New Roman" w:eastAsia="方正仿宋_GBK" w:cs="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楷体_GBK" w:cs="方正楷体_GBK"/>
          <w:sz w:val="32"/>
          <w:szCs w:val="32"/>
        </w:rPr>
        <w:t>（十）项目支出：</w:t>
      </w:r>
      <w:r>
        <w:rPr>
          <w:rFonts w:hint="eastAsia" w:ascii="Times New Roman" w:hAnsi="Times New Roman" w:eastAsia="方正仿宋_GBK" w:cs="方正仿宋_GBK"/>
          <w:sz w:val="32"/>
          <w:szCs w:val="32"/>
        </w:rPr>
        <w:t>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（十一）经营支出：</w:t>
      </w:r>
      <w:r>
        <w:rPr>
          <w:rFonts w:hint="eastAsia" w:ascii="Times New Roman" w:hAnsi="Times New Roman" w:eastAsia="方正仿宋_GBK" w:cs="方正仿宋_GBK"/>
          <w:sz w:val="32"/>
          <w:szCs w:val="32"/>
        </w:rPr>
        <w:t>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（十二）“三公”经费：</w:t>
      </w:r>
      <w:r>
        <w:rPr>
          <w:rFonts w:hint="eastAsia" w:ascii="Times New Roman" w:hAnsi="Times New Roman" w:eastAsia="方正仿宋_GBK" w:cs="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楷体_GBK" w:cs="方正楷体_GBK"/>
          <w:sz w:val="32"/>
          <w:szCs w:val="32"/>
        </w:rPr>
        <w:t>（十三）机关运行经费：</w:t>
      </w:r>
      <w:r>
        <w:rPr>
          <w:rFonts w:hint="eastAsia" w:ascii="Times New Roman" w:hAnsi="Times New Roman" w:eastAsia="方正仿宋_GBK" w:cs="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（十四）工资福利支出（支出经济分类科目类级）：</w:t>
      </w:r>
      <w:r>
        <w:rPr>
          <w:rFonts w:hint="eastAsia" w:ascii="Times New Roman" w:hAnsi="Times New Roman" w:eastAsia="方正仿宋_GBK" w:cs="方正仿宋_GBK"/>
          <w:sz w:val="32"/>
          <w:szCs w:val="32"/>
        </w:rPr>
        <w:t>反映单位开支的在职职工和编制外长期聘用人员的各类劳动报酬，以及为上述人员缴纳的各项社会保险费等。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（十五）商品和服务支出（支出经济分类科目类级）：</w:t>
      </w:r>
      <w:r>
        <w:rPr>
          <w:rFonts w:hint="eastAsia" w:ascii="Times New Roman" w:hAnsi="Times New Roman" w:eastAsia="方正仿宋_GBK" w:cs="方正仿宋_GBK"/>
          <w:sz w:val="32"/>
          <w:szCs w:val="32"/>
        </w:rPr>
        <w:t>反映单位购买商品和服务的支出（不包括用于购置固定资产的支出、战略性和应急储备支出）。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 （十六）对个人和家庭的补助（支出经济分类科目类级）：</w:t>
      </w:r>
      <w:r>
        <w:rPr>
          <w:rFonts w:hint="eastAsia" w:ascii="Times New Roman" w:hAnsi="Times New Roman" w:eastAsia="方正仿宋_GBK" w:cs="方正仿宋_GBK"/>
          <w:sz w:val="32"/>
          <w:szCs w:val="32"/>
        </w:rPr>
        <w:t>反映用于对个人和家庭的补助支出。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 </w:t>
      </w:r>
      <w:r>
        <w:rPr>
          <w:rFonts w:hint="eastAsia" w:ascii="Times New Roman" w:hAnsi="Times New Roman" w:eastAsia="方正楷体_GBK" w:cs="方正楷体_GBK"/>
          <w:sz w:val="32"/>
          <w:szCs w:val="32"/>
        </w:rPr>
        <w:t>（十七）其他资本性支出（支出经济分类科目类级）：</w:t>
      </w:r>
      <w:r>
        <w:rPr>
          <w:rFonts w:hint="eastAsia" w:ascii="Times New Roman" w:hAnsi="Times New Roman" w:eastAsia="方正仿宋_GBK" w:cs="方正仿宋_GBK"/>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七、决算公开联系方式及信息反馈渠道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方正仿宋_GBK"/>
          <w:sz w:val="32"/>
          <w:szCs w:val="32"/>
          <w:lang w:val="en-US"/>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lang w:val="en-US" w:eastAsia="zh-CN"/>
        </w:rPr>
        <w:t>张瑜   70700507</w:t>
      </w:r>
    </w:p>
    <w:tbl>
      <w:tblPr>
        <w:tblStyle w:val="6"/>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丰都县工商业联合会</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337.41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338.59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338.59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338.59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6"/>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丰都县工商业联合会</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337.41</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337.41</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253.94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6"/>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丰都县工商业联合会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12"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338.59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281.33</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57.26</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255.12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197.86</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57.26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6"/>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丰都县工商业联合会</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337.41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338.59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6"/>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丰都县工商业联合会</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338.59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281.33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57.26</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22.43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14.99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firstLine="600" w:firstLineChars="300"/>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6"/>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丰都县工商业联合会</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10.14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245.76</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6"/>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丰都县工商业联合会</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6"/>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丰都县工商业联合会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6"/>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丰都县工商业联合会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20.38</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10.68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ascii="宋体" w:hAnsi="宋体" w:eastAsia="宋体" w:cs="宋体"/>
          <w:sz w:val="21"/>
          <w:szCs w:val="21"/>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J/hIwIAADc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jr0h06MPErs6lRyl0265v&#10;dWvKIzp15kwVb/m6Rikb5sMjc+AGygffwwMOqQxSml6ipDLu89/eoz9GBislLbhWUI1loES90xhl&#10;pOUguEHYDoLeN3cG5B1jjyxPIj64oAZROtN8whKsYg7JlEdgpjmyYVCDeBeg9UYsExer1UXfW1fv&#10;qutnENOysNFPlvejjuh5u9oHoJ2GEDE7A4XhRQXsTGPsNynS/1c9eV33ffkM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s0lY7tAAAAAFAQAADwAAAAAAAAABACAAAAA4AAAAZHJzL2Rvd25yZXYueG1s&#10;UEsBAhQAFAAAAAgAh07iQJe4n+EjAgAANwQAAA4AAAAAAAAAAQAgAAAANQEAAGRycy9lMm9Eb2Mu&#10;eG1sUEsFBgAAAAAGAAYAWQEAAMoFA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BdXZQgdAgAAJgQA&#10;AA4AAABkcnMvZTJvRG9jLnhtbK1TS44TMRDdI3EHy3vSnSBGIUpnFGYUhDRiRgqIteO2k5b8k+2k&#10;OxwAbsCKDfs5V87Bs9OdQcAKsbGrXOX6vVfz604rchA+NNZUdDwqKRGG27ox24p+/LB6MaUkRGZq&#10;pqwRFT2KQK8Xz5/NWzcTE7uzqhaeIIgJs9ZVdBejmxVF4DuhWRhZJwyM0nrNIlS/LWrPWkTXqpiU&#10;5VXRWl87b7kIAa+3ZyNd5PhSCh7vpQwiElVR1Bbz6fO5SWexmLPZ1jO3a3hfBvuHKjRrDJJeQt2y&#10;yMjeN3+E0g33NlgZR9zqwkrZcJF7QDfj8rdu1jvmRO4FwwnuMqbw/8Ly94cHT5oa2FFimAZEp29f&#10;T98fTz++kHEaT+vCDF5rB7/YvbFdRaPfi8EU8J4a76TX6UZLBC6Y9fEyX9FFwvE4nk6m0xImDttk&#10;Ur6eZgCKp9/Oh/hWWE2SUFEP/PJY2eEuRBQD18ElJTN21SiVMVSGtBW9evmqzB8uFvxQJvmKzIY+&#10;TGrqXHmSYrfp+k43tj6iUW/PTAmOrxqUcsdCfGAe1ED1oHu8xyGVRUrbS5TsrP/8t/fkD8RgpaQF&#10;1SpqsAuUqHcGSCZWDoIfhM0gmL2+seAu0EEtWcQHH9UgSm/1J+zAMuWQTAUEZoYjG3AaxJsIrTdi&#10;l7hYLi86eOhYvDNrx3tkz5Nd7qOVTR56mtF5MEAgKSBjxqJfnMT2X/Xs9bTei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4DVRU2AAAAAoBAAAPAAAAAAAAAAEAIAAAADgAAABkcnMvZG93bnJldi54&#10;bWxQSwECFAAUAAAACACHTuJAF1dlCB0CAAAmBAAADgAAAAAAAAABACAAAAA9AQAAZHJzL2Uyb0Rv&#10;Yy54bWxQSwUGAAAAAAYABgBZAQAAzA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900015"/>
    <w:rsid w:val="01F3521E"/>
    <w:rsid w:val="03E3214F"/>
    <w:rsid w:val="04446191"/>
    <w:rsid w:val="044C50BA"/>
    <w:rsid w:val="0536621F"/>
    <w:rsid w:val="05E71467"/>
    <w:rsid w:val="06A2550B"/>
    <w:rsid w:val="06F80EE2"/>
    <w:rsid w:val="07001CCA"/>
    <w:rsid w:val="075321D2"/>
    <w:rsid w:val="075678DB"/>
    <w:rsid w:val="07932335"/>
    <w:rsid w:val="07E560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3A1109"/>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125DB9"/>
    <w:rsid w:val="1C253D99"/>
    <w:rsid w:val="1CE157EE"/>
    <w:rsid w:val="1D014A01"/>
    <w:rsid w:val="1D022362"/>
    <w:rsid w:val="1D091B60"/>
    <w:rsid w:val="1D794AE5"/>
    <w:rsid w:val="1DD26311"/>
    <w:rsid w:val="1DE57DAF"/>
    <w:rsid w:val="1EF67CA4"/>
    <w:rsid w:val="1F213FD9"/>
    <w:rsid w:val="1FCD26AF"/>
    <w:rsid w:val="20642787"/>
    <w:rsid w:val="20C83310"/>
    <w:rsid w:val="20EC77A3"/>
    <w:rsid w:val="21556F04"/>
    <w:rsid w:val="21AB4400"/>
    <w:rsid w:val="22403BD3"/>
    <w:rsid w:val="23A92F1C"/>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BF74C39"/>
    <w:rsid w:val="2C6762A3"/>
    <w:rsid w:val="2D5F4C37"/>
    <w:rsid w:val="2DF7040A"/>
    <w:rsid w:val="2FE029D7"/>
    <w:rsid w:val="2FF06E00"/>
    <w:rsid w:val="315F0B22"/>
    <w:rsid w:val="31BE24D6"/>
    <w:rsid w:val="31D84415"/>
    <w:rsid w:val="31EC5D1B"/>
    <w:rsid w:val="32285F6F"/>
    <w:rsid w:val="32770556"/>
    <w:rsid w:val="329C0913"/>
    <w:rsid w:val="3337290D"/>
    <w:rsid w:val="33B006D5"/>
    <w:rsid w:val="34127D96"/>
    <w:rsid w:val="352930DB"/>
    <w:rsid w:val="35573069"/>
    <w:rsid w:val="358C217E"/>
    <w:rsid w:val="359E7284"/>
    <w:rsid w:val="359F188C"/>
    <w:rsid w:val="36C9128A"/>
    <w:rsid w:val="37366437"/>
    <w:rsid w:val="37841E99"/>
    <w:rsid w:val="379C594F"/>
    <w:rsid w:val="37BF1123"/>
    <w:rsid w:val="37C85E36"/>
    <w:rsid w:val="38BE4696"/>
    <w:rsid w:val="391C7FBD"/>
    <w:rsid w:val="39B82A39"/>
    <w:rsid w:val="39F33306"/>
    <w:rsid w:val="3B1705E5"/>
    <w:rsid w:val="3B18334B"/>
    <w:rsid w:val="3B36794F"/>
    <w:rsid w:val="3B544954"/>
    <w:rsid w:val="3B793FF0"/>
    <w:rsid w:val="3B97076E"/>
    <w:rsid w:val="3BAA5C47"/>
    <w:rsid w:val="3BB21F2A"/>
    <w:rsid w:val="3C5A5928"/>
    <w:rsid w:val="3C6A5B02"/>
    <w:rsid w:val="3C6D114E"/>
    <w:rsid w:val="3D2757A1"/>
    <w:rsid w:val="3D3D4FC4"/>
    <w:rsid w:val="3D602062"/>
    <w:rsid w:val="3DDF3AB1"/>
    <w:rsid w:val="3DE60B7E"/>
    <w:rsid w:val="3E1D0952"/>
    <w:rsid w:val="3E42660A"/>
    <w:rsid w:val="3E7555B1"/>
    <w:rsid w:val="3EA72472"/>
    <w:rsid w:val="3EB56089"/>
    <w:rsid w:val="3EDE1208"/>
    <w:rsid w:val="3F0527E5"/>
    <w:rsid w:val="3F16459E"/>
    <w:rsid w:val="4004000C"/>
    <w:rsid w:val="40253294"/>
    <w:rsid w:val="411B6CE5"/>
    <w:rsid w:val="412070D7"/>
    <w:rsid w:val="41314E40"/>
    <w:rsid w:val="415C674B"/>
    <w:rsid w:val="426C1EA8"/>
    <w:rsid w:val="42E86A87"/>
    <w:rsid w:val="43136432"/>
    <w:rsid w:val="443A3B12"/>
    <w:rsid w:val="44487B36"/>
    <w:rsid w:val="4490472F"/>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CC622FE"/>
    <w:rsid w:val="4DAC4ACA"/>
    <w:rsid w:val="4DD06F63"/>
    <w:rsid w:val="4E043596"/>
    <w:rsid w:val="4EA8523F"/>
    <w:rsid w:val="4F186D58"/>
    <w:rsid w:val="4F224836"/>
    <w:rsid w:val="508509E1"/>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BB64C5"/>
    <w:rsid w:val="56C250FB"/>
    <w:rsid w:val="56EE372E"/>
    <w:rsid w:val="5842572D"/>
    <w:rsid w:val="598A28E2"/>
    <w:rsid w:val="5A272BC1"/>
    <w:rsid w:val="5C1336B7"/>
    <w:rsid w:val="5C263CE4"/>
    <w:rsid w:val="5C5D2777"/>
    <w:rsid w:val="5C722D7F"/>
    <w:rsid w:val="5CE50174"/>
    <w:rsid w:val="5D1D4950"/>
    <w:rsid w:val="5D290C69"/>
    <w:rsid w:val="5E14674B"/>
    <w:rsid w:val="5EFA176D"/>
    <w:rsid w:val="5F0247F9"/>
    <w:rsid w:val="5F2D4A41"/>
    <w:rsid w:val="5F3E4D18"/>
    <w:rsid w:val="601C34ED"/>
    <w:rsid w:val="60632F76"/>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C76F9C"/>
    <w:rsid w:val="66EE5541"/>
    <w:rsid w:val="67086152"/>
    <w:rsid w:val="687E45FE"/>
    <w:rsid w:val="692172FD"/>
    <w:rsid w:val="6A0E546F"/>
    <w:rsid w:val="6A3829EE"/>
    <w:rsid w:val="6A717754"/>
    <w:rsid w:val="6A924CB7"/>
    <w:rsid w:val="6AE0292E"/>
    <w:rsid w:val="6B474EF5"/>
    <w:rsid w:val="6BC27679"/>
    <w:rsid w:val="6BC54EFE"/>
    <w:rsid w:val="6C560CAE"/>
    <w:rsid w:val="6CD15296"/>
    <w:rsid w:val="6D903FF5"/>
    <w:rsid w:val="6DA955B8"/>
    <w:rsid w:val="6DE346AB"/>
    <w:rsid w:val="6FFB2E76"/>
    <w:rsid w:val="7036111C"/>
    <w:rsid w:val="70AB70D6"/>
    <w:rsid w:val="70DE5507"/>
    <w:rsid w:val="71C34D91"/>
    <w:rsid w:val="71ED38AA"/>
    <w:rsid w:val="72DB435C"/>
    <w:rsid w:val="74E16108"/>
    <w:rsid w:val="74ED1B1B"/>
    <w:rsid w:val="750837F0"/>
    <w:rsid w:val="75EB1C30"/>
    <w:rsid w:val="762A73EF"/>
    <w:rsid w:val="7631412E"/>
    <w:rsid w:val="764F62AB"/>
    <w:rsid w:val="765C45EC"/>
    <w:rsid w:val="768A7619"/>
    <w:rsid w:val="7714640F"/>
    <w:rsid w:val="771A5781"/>
    <w:rsid w:val="77EA362A"/>
    <w:rsid w:val="7875383E"/>
    <w:rsid w:val="796D60A4"/>
    <w:rsid w:val="79A031D5"/>
    <w:rsid w:val="79A52681"/>
    <w:rsid w:val="79C61613"/>
    <w:rsid w:val="7A1525F7"/>
    <w:rsid w:val="7A3E6CB6"/>
    <w:rsid w:val="7A99799F"/>
    <w:rsid w:val="7ACF05A9"/>
    <w:rsid w:val="7B420052"/>
    <w:rsid w:val="7B7D43A1"/>
    <w:rsid w:val="7BD06A28"/>
    <w:rsid w:val="7C1E4CD7"/>
    <w:rsid w:val="7C3A7C0B"/>
    <w:rsid w:val="7C5248E4"/>
    <w:rsid w:val="7C566698"/>
    <w:rsid w:val="7CE56AF6"/>
    <w:rsid w:val="7CF02E5B"/>
    <w:rsid w:val="7D213FB2"/>
    <w:rsid w:val="7FF723E4"/>
    <w:rsid w:val="FC5FDE31"/>
    <w:rsid w:val="FDDF6F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8026</Words>
  <Characters>10533</Characters>
  <Lines>161</Lines>
  <Paragraphs>45</Paragraphs>
  <TotalTime>1</TotalTime>
  <ScaleCrop>false</ScaleCrop>
  <LinksUpToDate>false</LinksUpToDate>
  <CharactersWithSpaces>11364</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user</cp:lastModifiedBy>
  <dcterms:modified xsi:type="dcterms:W3CDTF">2025-09-17T15:20:10Z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7457E441C6764E37AC613BC893E87750_13</vt:lpwstr>
  </property>
  <property fmtid="{D5CDD505-2E9C-101B-9397-08002B2CF9AE}" pid="4" name="KSOTemplateDocerSaveRecord">
    <vt:lpwstr>eyJoZGlkIjoiMTFkZjYzNGMzYjk4ZGI2NTMxYjc2NGM5MzJlYzgwYzQiLCJ1c2VySWQiOiIyNTk1NzkxNjkifQ==</vt:lpwstr>
  </property>
</Properties>
</file>