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topLinePunct w:val="0"/>
        <w:bidi w:val="0"/>
        <w:adjustRightInd/>
        <w:spacing w:before="0" w:beforeAutospacing="0" w:after="0" w:afterAutospacing="0" w:line="594" w:lineRule="exact"/>
        <w:jc w:val="both"/>
        <w:textAlignment w:val="auto"/>
        <w:rPr>
          <w:rFonts w:hint="eastAsia" w:ascii="方正小标宋_GBK" w:hAnsi="方正小标宋_GBK" w:eastAsia="方正小标宋_GBK" w:cs="方正小标宋_GBK"/>
          <w:b w:val="0"/>
          <w:bCs w:val="0"/>
          <w:color w:val="000000" w:themeColor="text1"/>
          <w:spacing w:val="-1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11"/>
          <w:sz w:val="44"/>
          <w:szCs w:val="44"/>
          <w14:textFill>
            <w14:solidFill>
              <w14:schemeClr w14:val="tx1"/>
            </w14:solidFill>
          </w14:textFill>
        </w:rPr>
        <w:t>中国人民政治协商会议丰都县委员会办公室</w:t>
      </w:r>
    </w:p>
    <w:p>
      <w:pPr>
        <w:pStyle w:val="10"/>
        <w:keepNext w:val="0"/>
        <w:keepLines w:val="0"/>
        <w:pageBreakBefore w:val="0"/>
        <w:kinsoku/>
        <w:wordWrap/>
        <w:topLinePunct w:val="0"/>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一、</w:t>
      </w:r>
      <w:r>
        <w:rPr>
          <w:rStyle w:val="14"/>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部门</w:t>
      </w: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基本情况</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Style w:val="14"/>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（一）职能职责</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办公室负责承办县政协各种会议的会务工作，负责县政协重要活动有关具体工作；负责机关秘书事务、行政事务和接待工作；负责机关党务、组织、人事、机构编制、宣传及群团工作；负责机关安全、保密、信访、信息、达标创建等工作；负责对外联谊交流工作和与其他单位的工作协调联系；承办政协常委会、主席会交办的任务。</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提案联络委员会办公室负责做好提案委员会、学习和联络委员会的联系服务和日常工作；配合开展调研、视察及委员管理服务、活动组织、委员档案管理等工作；承办拟定政协提案、联络年度工作计划、上报相关资料和总结、征集委员提案、督促提案办理等工作；拟定调研、视察、协商报告；完成政协常委会、主席会交办的任务。</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经济委员会办公室负责做好经济委员会、农业和农村委员会的联系服务和日常工作；配合开展调研、视察及委员管理服务、活动组织、委员档案管理等工作；承办经济发展和“三农”工作等方面的调研、视察、协商、民主监督、参政议政等活动；拟定调研、视察、协商报告；完成政协常委会、主席会交办的任务。</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教科文卫委员会办公室负责做好教科卫体和文化文史委员会的联系服务和日常工作；配合开展调研、视察及委员管理服务、活动组织、委员档案管理等工作；承办教、科、文、卫、体等方面的调研、视察、协商、民主监督、参政议政等活动；拟定调研、视察、协商报告；完成政协常委会、主席会交办的任务。</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资源环境和法制委员会办公室负责做好资源环境建设委员会、社会法制和民族宗教委员会的联系服务和日常工作；配合开展调研、视察及委员管理服务、活动组织、委员档案管理等工作；承办自然资源、环境和城乡建设、交通、社会法制和民族宗教等方面的调研、视察、协商、民主监督、参政议政等活动；拟定调研、视察、协商报告；完成政协常委会、主席会交办的任务。</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社情民意信息中心主要负责社情民意信息采编、报送、指导工作，协助做好县政协的新闻宣传工作，负责政协机关信息化建设，管理和维护政协机关信息网络平台，采编县政协公开的信息和刊物。了解市政协和周边区县政协工作动态。</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Style w:val="14"/>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（二）机构设置</w:t>
      </w:r>
    </w:p>
    <w:p>
      <w:pPr>
        <w:pStyle w:val="10"/>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snapToGrid/>
        <w:spacing w:beforeAutospacing="0" w:after="0" w:afterAutospacing="0" w:line="594" w:lineRule="exact"/>
        <w:ind w:firstLine="640" w:firstLineChars="200"/>
        <w:jc w:val="both"/>
        <w:textAlignment w:val="auto"/>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pPr>
      <w:r>
        <w:rPr>
          <w:rStyle w:val="14"/>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县政协机关设置综合办事机构1个，即县政协办公室；设置专门委员会7个，即提案委员会、经济委员会、农业和农村委员会、资源环境和建设委员会、教科卫体和文化文史委员会、学习和联络委员会、社会法制和民族宗教委员会；设置专委会办事机构4个，即县政协提案联络委员会办公室、县政协经济委员会办公室、县政协教科文卫委员会办公室、县政协资源环境和法制委员会办公室。设置事业单位1个，即社情民意信息中心。</w:t>
      </w: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部门</w:t>
      </w: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决算</w:t>
      </w:r>
      <w:r>
        <w:rPr>
          <w:rStyle w:val="14"/>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收支</w:t>
      </w: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情况说明</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pPr>
        <w:pStyle w:val="10"/>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总计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均为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1222.13万元。收、支与2023年度相比，减少175.28万元，下降12.5%，主要原因是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p>
    <w:p>
      <w:pPr>
        <w:pStyle w:val="10"/>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1</w:t>
      </w: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2024年度收入合计1222.13万元，与2023年度相比，减少175.28万元，下降12.5%，主要原因是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其中：财政拨款收入1222.13万元，占100.0%；事业收入0.00万元，占0.0%；经营收入0.00万元，占0.0%；其他收入0.00万元，占0.0%。此外，使用非财政拨款结余（含专用结余）0.00万元，年初结转和结余0.00万元。</w:t>
      </w:r>
    </w:p>
    <w:p>
      <w:pPr>
        <w:pStyle w:val="10"/>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2024年度支出合计1222.13万元，与2023年度相比，减少175.28万元，下降12.5%，主要原因是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其中：基本支出1066.36万元，占87.3%；项目支出155.77万元，占12.8%；经营支出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0.00</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万元，占0.0%。此外，结余分配0.00万元。</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2024年度年末结转和结余0.00万元，与2023年度相比，无增减。</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pPr>
        <w:pStyle w:val="10"/>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2024年度财政拨款收、支总计均为1222.13万元。与2023年</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相比，财政拨款收、支总计各减少175.28万元，下降12.5%。主要原因是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pPr>
        <w:pStyle w:val="10"/>
        <w:keepNext w:val="0"/>
        <w:keepLines w:val="0"/>
        <w:pageBreakBefore w:val="0"/>
        <w:shd w:val="clear" w:color="auto" w:fill="FFFFFF"/>
        <w:kinsoku/>
        <w:wordWrap/>
        <w:topLinePunct w:val="0"/>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2024年度一般公共预算财政拨款收入1222.13万元，与2023年度相比，减少175.28万元，下降12.5%。主要原因是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较年初预算数增加74.80万元，增长6.5%。主要原因是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增加职工政策性调资</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和项目经费</w:t>
      </w:r>
      <w:r>
        <w:rPr>
          <w:rFonts w:hint="eastAsia"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的追加</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此外，年初财政拨款结转和结余0.00万元。</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2024年度一般公共预算财政拨款支出1222.13万元，与2023年度相比，减少175.28万元，下降12.5%。主要原因是</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调出和项目经费减少。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较年初预算数增加74.80万元，增长6.5%。主要原因是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增加职工政策性调资</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和项目经费的追加</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一般公共预算财政拨款支出主要</w:t>
      </w:r>
      <w:r>
        <w:rPr>
          <w:rFonts w:hint="default" w:ascii="Times New Roman" w:hAnsi="Times New Roman" w:eastAsia="方正仿宋_GBK" w:cs="Times New Roman"/>
          <w:b w:val="0"/>
          <w:bCs w:val="0"/>
          <w:color w:val="000000" w:themeColor="text1"/>
          <w:sz w:val="32"/>
          <w:szCs w:val="32"/>
          <w:highlight w:val="none"/>
          <w:shd w:val="clear" w:color="auto" w:fill="FFFFFF"/>
          <w:lang w:eastAsia="zh-CN"/>
          <w14:textFill>
            <w14:solidFill>
              <w14:schemeClr w14:val="tx1"/>
            </w14:solidFill>
          </w14:textFill>
        </w:rPr>
        <w:t>用途如下</w:t>
      </w:r>
      <w:r>
        <w:rPr>
          <w:rFonts w:hint="default" w:ascii="Times New Roman" w:hAnsi="Times New Roman" w:eastAsia="方正仿宋_GBK" w:cs="Times New Roman"/>
          <w:b w:val="0"/>
          <w:bCs w:val="0"/>
          <w:color w:val="000000" w:themeColor="text1"/>
          <w:sz w:val="32"/>
          <w:szCs w:val="32"/>
          <w:highlight w:val="none"/>
          <w:shd w:val="clear" w:color="auto" w:fill="FFFFFF"/>
          <w14:textFill>
            <w14:solidFill>
              <w14:schemeClr w14:val="tx1"/>
            </w14:solidFill>
          </w14:textFill>
        </w:rPr>
        <w:t>：</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（1）一般公共服务支出895.75万元，占73.3%，较年初预算数增加54.27万元，增长6.5%，主要原因是职工政策性调资</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和项目经费的追加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）社会保障</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就业支出215.27万元，占17.6%，较年初预算数增加28.44万元，增长15.2%，主要原因是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w:t>
      </w:r>
      <w:r>
        <w:rPr>
          <w:rFonts w:hint="default" w:ascii="Times New Roman" w:hAnsi="Times New Roman" w:eastAsia="方正仿宋_GBK" w:cs="Times New Roman"/>
          <w:b w:val="0"/>
          <w:bCs w:val="0"/>
          <w:i w:val="0"/>
          <w:iCs w:val="0"/>
          <w:caps w:val="0"/>
          <w:color w:val="000000" w:themeColor="text1"/>
          <w:spacing w:val="0"/>
          <w:sz w:val="31"/>
          <w:szCs w:val="31"/>
          <w:shd w:val="clear" w:fill="FFFFFF"/>
          <w:lang w:val="en-US" w:eastAsia="zh-CN"/>
          <w14:textFill>
            <w14:solidFill>
              <w14:schemeClr w14:val="tx1"/>
            </w14:solidFill>
          </w14:textFill>
        </w:rPr>
        <w:t>调入人员</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导致社保费用增加。</w:t>
      </w:r>
    </w:p>
    <w:p>
      <w:pPr>
        <w:keepNext w:val="0"/>
        <w:keepLines w:val="0"/>
        <w:pageBreakBefore w:val="0"/>
        <w:kinsoku/>
        <w:wordWrap/>
        <w:topLinePunct w:val="0"/>
        <w:bidi w:val="0"/>
        <w:adjustRightInd/>
        <w:spacing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）卫生健康支出57.63万元，占4.7%，较年初预算数减少3.81万元，下降6.2%，主要原因是2024年</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新增</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和</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退休人员死亡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topLinePunct w:val="0"/>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53.47万元，占4.4%，较年初预算数减少4.12万元，下降7.2%，主要原因是2024年</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新增</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退休人员</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2024年度年末一般公共预算财政拨款结转和结余0.00万元，与2023年度相比，无增减</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2024年度一般公共财政拨款基本支出1066.36万元。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其中：</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人员经费862.16万元，与2023年度相比，减少178.03万元，下降17.1%，主要原因是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有人员调出和</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人员退休。</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职</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工</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基本工资、津贴补贴、奖金、基本医疗保险、机关事业单位基本养老保险、职业年金缴费、住房公积金等。</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公用经费204.20万元，与2023年度相比，增加6.98万元，增长3.5%，主要原因</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严格按照相关</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控制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三公</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经费的支出，厉行节约思想。公用经费用途主要</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包括办公费、水费、电费、邮电费、劳务费、差旅费、公务接待费、培训费、其他交通费等费用。</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本部门2024年度无政府性基金预算财政拨款收支。</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本部门2024年度无国有资本经营预算财政拨款支出。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三、</w:t>
      </w:r>
      <w:r>
        <w:rPr>
          <w:rStyle w:val="14"/>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财政拨款</w:t>
      </w: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“三公”经费情况说明</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2024年度“三公”经费支出共计12.01万元，较年初预算数减少6.79万元，下降36.1%，主要原因是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严格</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按照年初</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预算执行</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较上年支出数减少29.03万元，下降70.7%，主要原因是严格按照相关</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规定</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控制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三公</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经费的支出，厉行节约思想。</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年度未发生因公出国（境）费用支出，与上年决算数持平。  </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用</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车购置费0.00万元</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费用支出较年初预算数无增减，主要原因是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本年度未购置新车。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较上年支出数减少24.38万元，下降100.0%，主要原因是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本年度未购置新车</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用</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车运行维护费10.41万元，主要用于</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燃料费、路桥费、车辆维修维护费、停车费、保险费用支出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。费用支出较年初预算数减少4.39万元，下降29.7%，主要原因是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进一步规范了公务用车运行管理，公务车运行维护费做到打紧开支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。较上年支出数减少5.49万元，下降34.5%，主要原因</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进一步规范了公务用车运行管理，公务车运行维护费做到打紧开支</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0"/>
        <w:keepNext w:val="0"/>
        <w:keepLines w:val="0"/>
        <w:pageBreakBefore w:val="0"/>
        <w:widowControl w:val="0"/>
        <w:kinsoku/>
        <w:wordWrap/>
        <w:overflowPunct w:val="0"/>
        <w:topLinePunct w:val="0"/>
        <w:autoSpaceDE w:val="0"/>
        <w:autoSpaceDN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公务接待费1.60万元，主要用于接</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待</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市政协、区县友好政协来丰指导、学习考察发生的接待支出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。费用支出较年初预算数减少2.40万元，下降60.0%，主要原因是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较上年支出数增加0.85万元，增长113.3%，主要原因是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本年公务接待数量增加</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w:t>
      </w:r>
    </w:p>
    <w:p>
      <w:pPr>
        <w:pStyle w:val="15"/>
        <w:keepNext w:val="0"/>
        <w:keepLines w:val="0"/>
        <w:pageBreakBefore w:val="0"/>
        <w:widowControl/>
        <w:kinsoku/>
        <w:wordWrap/>
        <w:overflowPunct/>
        <w:topLinePunct w:val="0"/>
        <w:autoSpaceDE w:val="0"/>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本部门因公出国（境）共计0个团组，0人；公务用车购置0辆，公务车保有量为4辆；国内公务接待45批次500人，其中：国内外事接待0批次，0人；国（境）外公务接待0批次，0人。2024年本部门人均接待费32.03元，车均购置费0万元，车均维护费2.60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（一）财政拨款会议费、培训费和差旅费情况说明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本年度会议费支出34.93万元，与2023年度相比，增加11.82万元，增长51.2%，主要原因是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本年度</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政协</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会议</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较上年有</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增加</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本年度培训费支出44.77万元，与2023年度相比，增加37.13万元，增长486.0%，主要原因是</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本年度政协</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培训次数较上年有</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增加</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本年度差旅费支出26.88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万元，</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与2023年度相比，减少17.16万元，下降39.0%，主要原因</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是</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本年度</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出差</w:t>
      </w:r>
      <w:r>
        <w:rPr>
          <w:rFonts w:hint="default" w:ascii="Times New Roman" w:hAnsi="Times New Roman" w:eastAsia="方正仿宋_GBK"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次数和</w:t>
      </w:r>
      <w:r>
        <w:rPr>
          <w:rFonts w:hint="default" w:ascii="Times New Roman" w:hAnsi="Times New Roman" w:eastAsia="方正仿宋_GBK" w:cs="Times New Roman"/>
          <w:b w:val="0"/>
          <w:bCs w:val="0"/>
          <w:i w:val="0"/>
          <w:iCs w:val="0"/>
          <w:caps w:val="0"/>
          <w:color w:val="000000" w:themeColor="text1"/>
          <w:spacing w:val="0"/>
          <w:sz w:val="32"/>
          <w:szCs w:val="32"/>
          <w:shd w:val="clear" w:fill="FFFFFF"/>
          <w14:textFill>
            <w14:solidFill>
              <w14:schemeClr w14:val="tx1"/>
            </w14:solidFill>
          </w14:textFill>
        </w:rPr>
        <w:t>出差人数减少。</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2024年度本部门机关运行经费支出192.20万元，机关运行经费主要用于开支</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办公费、水电费、邮电费和差旅费、工会经费、其他交通费用等维持</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t>正常运转经费支出。</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机关运行经费较上年支出数减少4.21万元，下降2.1%，主要原因是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严</w:t>
      </w:r>
      <w:r>
        <w:rPr>
          <w:rFonts w:hint="default" w:ascii="Times New Roman" w:hAnsi="Times New Roman" w:eastAsia="方正仿宋_GBK" w:cs="Times New Roman"/>
          <w:b w:val="0"/>
          <w:bCs w:val="0"/>
          <w:i w:val="0"/>
          <w:iCs w:val="0"/>
          <w:caps w:val="0"/>
          <w:color w:val="000000" w:themeColor="text1"/>
          <w:spacing w:val="0"/>
          <w:sz w:val="31"/>
          <w:szCs w:val="31"/>
          <w:shd w:val="clear" w:fill="FFFFFF"/>
          <w14:textFill>
            <w14:solidFill>
              <w14:schemeClr w14:val="tx1"/>
            </w14:solidFill>
          </w14:textFill>
        </w:rPr>
        <w:t>格控制日常经费支出，落实节俭要求。</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截至2024年12月31日，本部门共有车辆4辆，其中，副部（省）级及以上领导用车0辆、主要负责人用车0辆、机要通信用车0辆、应急保障用车4辆、执法执勤用车0辆，特种专业技术用车0辆，离退休干部用车0辆。单价100万元（含）以上专用设备0台（套）。</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pPr>
        <w:pStyle w:val="10"/>
        <w:keepNext w:val="0"/>
        <w:keepLines w:val="0"/>
        <w:pageBreakBefore w:val="0"/>
        <w:kinsoku/>
        <w:wordWrap/>
        <w:topLinePunct w:val="0"/>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2024年度我部门未发生政府采购事项，无相关经费支</w:t>
      </w:r>
      <w:r>
        <w:rPr>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color w:val="000000" w:themeColor="text1"/>
          <w:kern w:val="0"/>
          <w:sz w:val="32"/>
          <w:szCs w:val="32"/>
          <w:highlight w:val="yellow"/>
          <w:shd w:val="clear" w:fill="FFFFFF"/>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（一）</w:t>
      </w:r>
      <w:r>
        <w:rPr>
          <w:rFonts w:hint="eastAsia"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部门</w:t>
      </w: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自评情况</w:t>
      </w:r>
    </w:p>
    <w:p>
      <w:pPr>
        <w:keepNext w:val="0"/>
        <w:keepLines w:val="0"/>
        <w:pageBreakBefore w:val="0"/>
        <w:widowControl w:val="0"/>
        <w:suppressLineNumbers w:val="0"/>
        <w:kinsoku/>
        <w:wordWrap/>
        <w:overflowPunct w:val="0"/>
        <w:topLinePunct w:val="0"/>
        <w:autoSpaceDE w:val="0"/>
        <w:autoSpaceDN w:val="0"/>
        <w:bidi w:val="0"/>
        <w:adjustRightInd/>
        <w:spacing w:afterAutospacing="0" w:line="594" w:lineRule="exact"/>
        <w:ind w:left="0" w:firstLine="640" w:firstLineChars="200"/>
        <w:jc w:val="both"/>
        <w:textAlignment w:val="auto"/>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t>根据预算绩效管理要求，我部门对部门整体和11个项目开展了绩效自评，涉及资金255.77万元；从评价情况来看，项目立项较为规范，绩效目标明确，预算编制合理，管理科学规范，资金到位及时，总体完成情况较好，有力保障了工作顺利开展，项目基本达到了预期绩效目标。</w:t>
      </w:r>
    </w:p>
    <w:p>
      <w:pPr>
        <w:keepNext w:val="0"/>
        <w:keepLines w:val="0"/>
        <w:pageBreakBefore w:val="0"/>
        <w:kinsoku/>
        <w:wordWrap/>
        <w:topLinePunct w:val="0"/>
        <w:bidi w:val="0"/>
        <w:adjustRightInd/>
        <w:spacing w:line="594" w:lineRule="exact"/>
        <w:textAlignment w:val="auto"/>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drawing>
          <wp:inline distT="0" distB="0" distL="114300" distR="114300">
            <wp:extent cx="8824595" cy="5273040"/>
            <wp:effectExtent l="0" t="0" r="14605" b="3810"/>
            <wp:docPr id="10" name="图片 10" descr="17579241233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1757924123395"/>
                    <pic:cNvPicPr>
                      <a:picLocks noChangeAspect="true"/>
                    </pic:cNvPicPr>
                  </pic:nvPicPr>
                  <pic:blipFill>
                    <a:blip r:embed="rId8"/>
                    <a:stretch>
                      <a:fillRect/>
                    </a:stretch>
                  </pic:blipFill>
                  <pic:spPr>
                    <a:xfrm>
                      <a:off x="0" y="0"/>
                      <a:ext cx="8824595" cy="5273040"/>
                    </a:xfrm>
                    <a:prstGeom prst="rect">
                      <a:avLst/>
                    </a:prstGeom>
                  </pic:spPr>
                </pic:pic>
              </a:graphicData>
            </a:graphic>
          </wp:inline>
        </w:drawing>
      </w:r>
    </w:p>
    <w:p>
      <w:pP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pacing w:val="0"/>
          <w:kern w:val="2"/>
          <w:sz w:val="32"/>
          <w:szCs w:val="32"/>
          <w:u w:val="none" w:color="000000"/>
          <w:lang w:val="en-US" w:eastAsia="zh-CN" w:bidi="ar-SA"/>
          <w14:textFill>
            <w14:solidFill>
              <w14:schemeClr w14:val="tx1"/>
            </w14:solidFill>
          </w14:textFill>
        </w:rPr>
        <w:drawing>
          <wp:inline distT="0" distB="0" distL="114300" distR="114300">
            <wp:extent cx="9034780" cy="5040630"/>
            <wp:effectExtent l="0" t="0" r="13970" b="7620"/>
            <wp:docPr id="5" name="图片 5" descr="17576642730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757664273016"/>
                    <pic:cNvPicPr>
                      <a:picLocks noChangeAspect="true"/>
                    </pic:cNvPicPr>
                  </pic:nvPicPr>
                  <pic:blipFill>
                    <a:blip r:embed="rId9"/>
                    <a:stretch>
                      <a:fillRect/>
                    </a:stretch>
                  </pic:blipFill>
                  <pic:spPr>
                    <a:xfrm>
                      <a:off x="0" y="0"/>
                      <a:ext cx="9034780" cy="5040630"/>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drawing>
          <wp:inline distT="0" distB="0" distL="114300" distR="114300">
            <wp:extent cx="8856345" cy="5149215"/>
            <wp:effectExtent l="0" t="0" r="1905" b="13335"/>
            <wp:docPr id="3" name="图片 3" descr="17579895156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757989515649"/>
                    <pic:cNvPicPr>
                      <a:picLocks noChangeAspect="true"/>
                    </pic:cNvPicPr>
                  </pic:nvPicPr>
                  <pic:blipFill>
                    <a:blip r:embed="rId10"/>
                    <a:stretch>
                      <a:fillRect/>
                    </a:stretch>
                  </pic:blipFill>
                  <pic:spPr>
                    <a:xfrm>
                      <a:off x="0" y="0"/>
                      <a:ext cx="8856345" cy="5149215"/>
                    </a:xfrm>
                    <a:prstGeom prst="rect">
                      <a:avLst/>
                    </a:prstGeom>
                  </pic:spPr>
                </pic:pic>
              </a:graphicData>
            </a:graphic>
          </wp:inline>
        </w:drawing>
      </w: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br w:type="page"/>
      </w:r>
    </w:p>
    <w:p>
      <w:pPr>
        <w:rPr>
          <w:rFonts w:hint="eastAsia"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eastAsia"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3170" cy="5158740"/>
            <wp:effectExtent l="0" t="0" r="5080" b="3810"/>
            <wp:docPr id="4" name="图片 4" descr="17579895804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1757989580464"/>
                    <pic:cNvPicPr>
                      <a:picLocks noChangeAspect="true"/>
                    </pic:cNvPicPr>
                  </pic:nvPicPr>
                  <pic:blipFill>
                    <a:blip r:embed="rId11"/>
                    <a:stretch>
                      <a:fillRect/>
                    </a:stretch>
                  </pic:blipFill>
                  <pic:spPr>
                    <a:xfrm>
                      <a:off x="0" y="0"/>
                      <a:ext cx="8853170" cy="5158740"/>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62060" cy="5107940"/>
            <wp:effectExtent l="0" t="0" r="15240" b="16510"/>
            <wp:docPr id="6" name="图片 6" descr="17579896607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1757989660750"/>
                    <pic:cNvPicPr>
                      <a:picLocks noChangeAspect="true"/>
                    </pic:cNvPicPr>
                  </pic:nvPicPr>
                  <pic:blipFill>
                    <a:blip r:embed="rId12"/>
                    <a:stretch>
                      <a:fillRect/>
                    </a:stretch>
                  </pic:blipFill>
                  <pic:spPr>
                    <a:xfrm>
                      <a:off x="0" y="0"/>
                      <a:ext cx="8862060" cy="5107940"/>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4440" cy="5178425"/>
            <wp:effectExtent l="0" t="0" r="3810" b="3175"/>
            <wp:docPr id="7" name="图片 7" descr="175798969869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1757989698696"/>
                    <pic:cNvPicPr>
                      <a:picLocks noChangeAspect="true"/>
                    </pic:cNvPicPr>
                  </pic:nvPicPr>
                  <pic:blipFill>
                    <a:blip r:embed="rId13"/>
                    <a:stretch>
                      <a:fillRect/>
                    </a:stretch>
                  </pic:blipFill>
                  <pic:spPr>
                    <a:xfrm>
                      <a:off x="0" y="0"/>
                      <a:ext cx="8854440" cy="5178425"/>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6345" cy="5222875"/>
            <wp:effectExtent l="0" t="0" r="1905" b="15875"/>
            <wp:docPr id="8" name="图片 8" descr="17579897359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1757989735987"/>
                    <pic:cNvPicPr>
                      <a:picLocks noChangeAspect="true"/>
                    </pic:cNvPicPr>
                  </pic:nvPicPr>
                  <pic:blipFill>
                    <a:blip r:embed="rId14"/>
                    <a:stretch>
                      <a:fillRect/>
                    </a:stretch>
                  </pic:blipFill>
                  <pic:spPr>
                    <a:xfrm>
                      <a:off x="0" y="0"/>
                      <a:ext cx="8856345" cy="5222875"/>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62695" cy="5213350"/>
            <wp:effectExtent l="0" t="0" r="14605" b="6350"/>
            <wp:docPr id="14" name="图片 14" descr="17579900233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1757990023370"/>
                    <pic:cNvPicPr>
                      <a:picLocks noChangeAspect="true"/>
                    </pic:cNvPicPr>
                  </pic:nvPicPr>
                  <pic:blipFill>
                    <a:blip r:embed="rId15"/>
                    <a:stretch>
                      <a:fillRect/>
                    </a:stretch>
                  </pic:blipFill>
                  <pic:spPr>
                    <a:xfrm>
                      <a:off x="0" y="0"/>
                      <a:ext cx="8862695" cy="5213350"/>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3805" cy="5194935"/>
            <wp:effectExtent l="0" t="0" r="4445" b="5715"/>
            <wp:docPr id="11" name="图片 11" descr="17579898238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1757989823858"/>
                    <pic:cNvPicPr>
                      <a:picLocks noChangeAspect="true"/>
                    </pic:cNvPicPr>
                  </pic:nvPicPr>
                  <pic:blipFill>
                    <a:blip r:embed="rId16"/>
                    <a:stretch>
                      <a:fillRect/>
                    </a:stretch>
                  </pic:blipFill>
                  <pic:spPr>
                    <a:xfrm>
                      <a:off x="0" y="0"/>
                      <a:ext cx="8853805" cy="5194935"/>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0630" cy="5149850"/>
            <wp:effectExtent l="0" t="0" r="7620" b="12700"/>
            <wp:docPr id="12" name="图片 12" descr="175798985329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1757989853295"/>
                    <pic:cNvPicPr>
                      <a:picLocks noChangeAspect="true"/>
                    </pic:cNvPicPr>
                  </pic:nvPicPr>
                  <pic:blipFill>
                    <a:blip r:embed="rId17"/>
                    <a:stretch>
                      <a:fillRect/>
                    </a:stretch>
                  </pic:blipFill>
                  <pic:spPr>
                    <a:xfrm>
                      <a:off x="0" y="0"/>
                      <a:ext cx="8850630" cy="5149850"/>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br w:type="page"/>
      </w: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7615" cy="5189855"/>
            <wp:effectExtent l="0" t="0" r="635" b="10795"/>
            <wp:docPr id="13" name="图片 13" descr="175798988438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1757989884388"/>
                    <pic:cNvPicPr>
                      <a:picLocks noChangeAspect="true"/>
                    </pic:cNvPicPr>
                  </pic:nvPicPr>
                  <pic:blipFill>
                    <a:blip r:embed="rId18"/>
                    <a:stretch>
                      <a:fillRect/>
                    </a:stretch>
                  </pic:blipFill>
                  <pic:spPr>
                    <a:xfrm>
                      <a:off x="0" y="0"/>
                      <a:ext cx="8857615" cy="5189855"/>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br w:type="page"/>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drawing>
          <wp:inline distT="0" distB="0" distL="114300" distR="114300">
            <wp:extent cx="8850630" cy="5201285"/>
            <wp:effectExtent l="0" t="0" r="7620" b="18415"/>
            <wp:docPr id="17" name="图片 17" descr="17576649847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1757664984770"/>
                    <pic:cNvPicPr>
                      <a:picLocks noChangeAspect="true"/>
                    </pic:cNvPicPr>
                  </pic:nvPicPr>
                  <pic:blipFill>
                    <a:blip r:embed="rId19"/>
                    <a:stretch>
                      <a:fillRect/>
                    </a:stretch>
                  </pic:blipFill>
                  <pic:spPr>
                    <a:xfrm>
                      <a:off x="0" y="0"/>
                      <a:ext cx="8850630" cy="5201285"/>
                    </a:xfrm>
                    <a:prstGeom prst="rect">
                      <a:avLst/>
                    </a:prstGeom>
                  </pic:spPr>
                </pic:pic>
              </a:graphicData>
            </a:graphic>
          </wp:inline>
        </w:drawing>
      </w:r>
    </w:p>
    <w:p>
      <w:pP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br w:type="page"/>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楷体" w:cs="Times New Roman"/>
          <w:b w:val="0"/>
          <w:bCs w:val="0"/>
          <w:color w:val="000000" w:themeColor="text1"/>
          <w:kern w:val="0"/>
          <w:sz w:val="32"/>
          <w:szCs w:val="32"/>
          <w:shd w:val="clear" w:fill="FFFFFF"/>
          <w:lang w:eastAsia="zh-CN"/>
          <w14:textFill>
            <w14:solidFill>
              <w14:schemeClr w14:val="tx1"/>
            </w14:solidFill>
          </w14:textFill>
        </w:rPr>
        <w:sectPr>
          <w:footerReference r:id="rId4" w:type="default"/>
          <w:pgSz w:w="16838" w:h="11917" w:orient="landscape"/>
          <w:pgMar w:top="1803" w:right="1440" w:bottom="1803" w:left="1440" w:header="850" w:footer="992" w:gutter="0"/>
          <w:pgNumType w:fmt="numberInDash"/>
          <w:cols w:space="0" w:num="1"/>
          <w:rtlGutter w:val="0"/>
          <w:docGrid w:type="lines" w:linePitch="332" w:charSpace="0"/>
        </w:sectPr>
      </w:pP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（二）部门绩效评价情况</w:t>
      </w:r>
    </w:p>
    <w:p>
      <w:pPr>
        <w:pStyle w:val="10"/>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我</w:t>
      </w:r>
      <w:r>
        <w:rPr>
          <w:rStyle w:val="14"/>
          <w:rFonts w:hint="default" w:ascii="Times New Roman" w:hAnsi="Times New Roman" w:eastAsia="方正仿宋_GBK" w:cs="Times New Roman"/>
          <w:b w:val="0"/>
          <w:bCs w:val="0"/>
          <w:color w:val="000000" w:themeColor="text1"/>
          <w:sz w:val="32"/>
          <w:szCs w:val="32"/>
          <w:shd w:val="clear" w:color="auto" w:fill="FFFFFF"/>
          <w:lang w:val="en-US" w:eastAsia="zh-CN"/>
          <w14:textFill>
            <w14:solidFill>
              <w14:schemeClr w14:val="tx1"/>
            </w14:solidFill>
          </w14:textFill>
        </w:rPr>
        <w:t>部门</w:t>
      </w: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未组织开展绩效评价。</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（三）财政</w:t>
      </w:r>
      <w:bookmarkStart w:id="0" w:name="_GoBack"/>
      <w:bookmarkEnd w:id="0"/>
      <w:r>
        <w:rPr>
          <w:rFonts w:hint="default"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绩效评价情况</w:t>
      </w:r>
    </w:p>
    <w:p>
      <w:pPr>
        <w:pStyle w:val="10"/>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Style w:val="14"/>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县财政局未委托第三方对我部门开展绩效评价。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Style w:val="17"/>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 xml:space="preserve"> </w:t>
      </w:r>
      <w:r>
        <w:rPr>
          <w:rStyle w:val="17"/>
          <w:rFonts w:hint="eastAsia" w:ascii="方正黑体_GBK" w:hAnsi="方正黑体_GBK" w:eastAsia="方正黑体_GBK" w:cs="方正黑体_GBK"/>
          <w:b w:val="0"/>
          <w:bCs w:val="0"/>
          <w:color w:val="000000" w:themeColor="text1"/>
          <w:sz w:val="32"/>
          <w:szCs w:val="32"/>
          <w:shd w:val="clear" w:fill="FFFFFF"/>
          <w:lang w:val="en-US" w:eastAsia="zh-CN"/>
          <w14:textFill>
            <w14:solidFill>
              <w14:schemeClr w14:val="tx1"/>
            </w14:solidFill>
          </w14:textFill>
        </w:rPr>
        <w:t xml:space="preserve">  </w:t>
      </w:r>
      <w:r>
        <w:rPr>
          <w:rStyle w:val="14"/>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（一）财政拨款收入：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（二）事业收入：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（三）经营收入：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（四）其他收入：</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（五）使用非财政拨款结余（含专用结余）：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（六）年初结转和结余：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（七）结余分配：</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（八）年末结转和结余：</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（九）基本支出：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（十）项目支出：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（十一）经营支出：</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（十二）“三公”经费：</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（十三）机关运行经费：</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（十四）工资福利支出（支出经济分类科目类级）：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（十五）商品和服务支出（支出经济分类科目类级）：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（十六）对个人和家庭的补助（支出经济分类科目类级）：</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kern w:val="0"/>
          <w:sz w:val="32"/>
          <w:szCs w:val="32"/>
          <w:shd w:val="clear" w:fill="FFFFFF"/>
          <w:lang w:val="en-US" w:eastAsia="zh-CN"/>
          <w14:textFill>
            <w14:solidFill>
              <w14:schemeClr w14:val="tx1"/>
            </w14:solidFill>
          </w14:textFill>
        </w:rPr>
        <w:t>（十七）其他资本性支出（支出经济分类科目类级）</w:t>
      </w:r>
      <w:r>
        <w:rPr>
          <w:rStyle w:val="14"/>
          <w:rFonts w:hint="default" w:ascii="Times New Roman" w:hAnsi="Times New Roman" w:eastAsia="楷体" w:cs="Times New Roman"/>
          <w:b w:val="0"/>
          <w:bCs w:val="0"/>
          <w:color w:val="000000" w:themeColor="text1"/>
          <w:sz w:val="32"/>
          <w:szCs w:val="32"/>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color="auto" w:fill="FFFFFF"/>
          <w:lang w:val="en-US" w:eastAsia="zh-CN" w:bidi="ar-SA"/>
          <w14:textFill>
            <w14:solidFill>
              <w14:schemeClr w14:val="tx1"/>
            </w14:solidFill>
          </w14:textFill>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本</w:t>
      </w:r>
      <w:r>
        <w:rPr>
          <w:rFonts w:hint="eastAsia"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部门</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决算公开信息反馈和联系方式：</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周洋</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 xml:space="preserve">   023-</w:t>
      </w:r>
      <w:r>
        <w:rPr>
          <w:rFonts w:hint="default" w:ascii="Times New Roman" w:hAnsi="Times New Roman" w:eastAsia="方正仿宋_GBK" w:cs="Times New Roman"/>
          <w:b w:val="0"/>
          <w:bCs w:val="0"/>
          <w:color w:val="000000" w:themeColor="text1"/>
          <w:kern w:val="0"/>
          <w:sz w:val="32"/>
          <w:szCs w:val="32"/>
          <w:shd w:val="clear" w:fill="FFFFFF"/>
          <w:lang w:val="en-US" w:eastAsia="zh-CN"/>
          <w14:textFill>
            <w14:solidFill>
              <w14:schemeClr w14:val="tx1"/>
            </w14:solidFill>
          </w14:textFill>
        </w:rPr>
        <w:t>70605905</w:t>
      </w:r>
    </w:p>
    <w:p>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sectPr>
          <w:headerReference r:id="rId5" w:type="default"/>
          <w:footerReference r:id="rId6" w:type="default"/>
          <w:pgSz w:w="11917" w:h="16838"/>
          <w:pgMar w:top="1440" w:right="1803" w:bottom="1440" w:left="1803" w:header="850" w:footer="992" w:gutter="0"/>
          <w:pgNumType w:fmt="numberInDash"/>
          <w:cols w:space="0" w:num="1"/>
          <w:rtlGutter w:val="0"/>
          <w:docGrid w:type="lines" w:linePitch="33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920"/>
        <w:gridCol w:w="3248"/>
        <w:gridCol w:w="3692"/>
        <w:gridCol w:w="259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p>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page"/>
      </w:r>
    </w:p>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tbl>
      <w:tblPr>
        <w:tblStyle w:val="11"/>
        <w:tblW w:w="5059" w:type="pct"/>
        <w:tblInd w:w="0" w:type="dxa"/>
        <w:tblLayout w:type="fixed"/>
        <w:tblCellMar>
          <w:top w:w="0" w:type="dxa"/>
          <w:left w:w="0" w:type="dxa"/>
          <w:bottom w:w="0" w:type="dxa"/>
          <w:right w:w="0" w:type="dxa"/>
        </w:tblCellMar>
      </w:tblPr>
      <w:tblGrid>
        <w:gridCol w:w="1243"/>
        <w:gridCol w:w="2714"/>
        <w:gridCol w:w="1258"/>
        <w:gridCol w:w="1306"/>
        <w:gridCol w:w="1338"/>
        <w:gridCol w:w="1239"/>
        <w:gridCol w:w="1263"/>
        <w:gridCol w:w="1147"/>
        <w:gridCol w:w="1147"/>
        <w:gridCol w:w="149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ind w:left="600" w:hanging="600" w:hangingChars="300"/>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备注：1.本表反映部门本年度取得的各项收入情况。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br w:type="page"/>
      </w:r>
    </w:p>
    <w:tbl>
      <w:tblPr>
        <w:tblStyle w:val="11"/>
        <w:tblW w:w="5000" w:type="pct"/>
        <w:tblInd w:w="0" w:type="dxa"/>
        <w:tblLayout w:type="fixed"/>
        <w:tblCellMar>
          <w:top w:w="0" w:type="dxa"/>
          <w:left w:w="0" w:type="dxa"/>
          <w:bottom w:w="0" w:type="dxa"/>
          <w:right w:w="0" w:type="dxa"/>
        </w:tblCellMar>
      </w:tblPr>
      <w:tblGrid>
        <w:gridCol w:w="1128"/>
        <w:gridCol w:w="3575"/>
        <w:gridCol w:w="1643"/>
        <w:gridCol w:w="1590"/>
        <w:gridCol w:w="1435"/>
        <w:gridCol w:w="1377"/>
        <w:gridCol w:w="1526"/>
        <w:gridCol w:w="171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 xml:space="preserve">中国人民政治协商会议丰都县委员会办公室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公开03表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1,066.36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739.98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739.98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备注：1.本表反映部门本年度各项支出情况。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p>
      <w:pPr>
        <w:rPr>
          <w:rFonts w:hint="default" w:ascii="Times New Roman" w:hAnsi="Times New Roman" w:cs="Times New Roman"/>
          <w:b w:val="0"/>
          <w:bCs w:val="0"/>
          <w:color w:val="000000" w:themeColor="text1"/>
          <w:sz w:val="21"/>
          <w:szCs w:val="21"/>
          <w14:textFill>
            <w14:solidFill>
              <w14:schemeClr w14:val="tx1"/>
            </w14:solidFill>
          </w14:textFill>
        </w:rPr>
      </w:pPr>
    </w:p>
    <w:tbl>
      <w:tblPr>
        <w:tblStyle w:val="11"/>
        <w:tblW w:w="4790" w:type="pct"/>
        <w:tblInd w:w="0" w:type="dxa"/>
        <w:tblLayout w:type="autofit"/>
        <w:tblCellMar>
          <w:top w:w="0" w:type="dxa"/>
          <w:left w:w="0" w:type="dxa"/>
          <w:bottom w:w="0" w:type="dxa"/>
          <w:right w:w="0" w:type="dxa"/>
        </w:tblCellMar>
      </w:tblPr>
      <w:tblGrid>
        <w:gridCol w:w="2710"/>
        <w:gridCol w:w="1388"/>
        <w:gridCol w:w="2903"/>
        <w:gridCol w:w="1546"/>
        <w:gridCol w:w="1546"/>
        <w:gridCol w:w="1546"/>
        <w:gridCol w:w="1762"/>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895.75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895.75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215.27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215.27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57.63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57.63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53.47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53.47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1,222.13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pPr>
        <w:spacing w:line="24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1"/>
        <w:tblW w:w="5000" w:type="pct"/>
        <w:tblInd w:w="0" w:type="dxa"/>
        <w:tblLayout w:type="autofit"/>
        <w:tblCellMar>
          <w:top w:w="0" w:type="dxa"/>
          <w:left w:w="0" w:type="dxa"/>
          <w:bottom w:w="0" w:type="dxa"/>
          <w:right w:w="0" w:type="dxa"/>
        </w:tblCellMar>
      </w:tblPr>
      <w:tblGrid>
        <w:gridCol w:w="1192"/>
        <w:gridCol w:w="3718"/>
        <w:gridCol w:w="3019"/>
        <w:gridCol w:w="3010"/>
        <w:gridCol w:w="3049"/>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1,222.13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1,066.36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739.98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895.75</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739.98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155.77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679.89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政协会议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45.00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委员视察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58.16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60.09</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2010299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其他政协事务支出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52.61</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215.27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95.24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72.83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40.28</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6.93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57.63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35.26</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2.33</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20.04</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53.47</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备注：1.本表反映部门本年度一般公共预算财政拨款支出情况。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ind w:firstLine="630" w:firstLineChars="30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1"/>
        <w:tblW w:w="4994" w:type="pct"/>
        <w:tblInd w:w="0" w:type="dxa"/>
        <w:tblLayout w:type="autofit"/>
        <w:tblCellMar>
          <w:top w:w="0" w:type="dxa"/>
          <w:left w:w="0" w:type="dxa"/>
          <w:bottom w:w="0" w:type="dxa"/>
          <w:right w:w="0" w:type="dxa"/>
        </w:tblCellMar>
      </w:tblPr>
      <w:tblGrid>
        <w:gridCol w:w="667"/>
        <w:gridCol w:w="2730"/>
        <w:gridCol w:w="1340"/>
        <w:gridCol w:w="731"/>
        <w:gridCol w:w="1830"/>
        <w:gridCol w:w="1189"/>
        <w:gridCol w:w="731"/>
        <w:gridCol w:w="3451"/>
        <w:gridCol w:w="130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w:t>
            </w:r>
            <w:r>
              <w:rPr>
                <w:rFonts w:hint="eastAsia" w:ascii="Times New Roman" w:hAnsi="Times New Roman" w:cs="Times New Roman"/>
                <w:b w:val="0"/>
                <w:bCs w:val="0"/>
                <w:color w:val="000000" w:themeColor="text1"/>
                <w:sz w:val="18"/>
                <w:szCs w:val="18"/>
                <w:lang w:val="en-US" w:eastAsia="zh-CN"/>
                <w14:textFill>
                  <w14:solidFill>
                    <w14:schemeClr w14:val="tx1"/>
                  </w14:solidFill>
                </w14:textFill>
              </w:rPr>
              <w:t>科目</w:t>
            </w:r>
            <w:r>
              <w:rPr>
                <w:rFonts w:hint="default" w:ascii="Times New Roman" w:hAnsi="Times New Roman" w:cs="Times New Roman"/>
                <w:b w:val="0"/>
                <w:bCs w:val="0"/>
                <w:color w:val="000000" w:themeColor="text1"/>
                <w:sz w:val="18"/>
                <w:szCs w:val="18"/>
                <w14:textFill>
                  <w14:solidFill>
                    <w14:schemeClr w14:val="tx1"/>
                  </w14:solidFill>
                </w14:textFill>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经济分类科目（按“款”级</w:t>
            </w:r>
            <w:r>
              <w:rPr>
                <w:rFonts w:hint="default" w:ascii="Times New Roman" w:hAnsi="Times New Roman" w:cs="Times New Roman"/>
                <w:b w:val="0"/>
                <w:bCs w:val="0"/>
                <w:color w:val="000000" w:themeColor="text1"/>
                <w:sz w:val="18"/>
                <w:szCs w:val="18"/>
                <w:lang w:val="en-US" w:eastAsia="zh-CN"/>
                <w14:textFill>
                  <w14:solidFill>
                    <w14:schemeClr w14:val="tx1"/>
                  </w14:solidFill>
                </w14:textFill>
              </w:rPr>
              <w:t>经济</w:t>
            </w:r>
            <w:r>
              <w:rPr>
                <w:rFonts w:hint="default" w:ascii="Times New Roman" w:hAnsi="Times New Roman" w:cs="Times New Roman"/>
                <w:b w:val="0"/>
                <w:bCs w:val="0"/>
                <w:color w:val="000000" w:themeColor="text1"/>
                <w:sz w:val="18"/>
                <w:szCs w:val="18"/>
                <w14:textFill>
                  <w14:solidFill>
                    <w14:schemeClr w14:val="tx1"/>
                  </w14:solidFill>
                </w14:textFill>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759.99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204.20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131.23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26.43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105.72</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202.38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0.18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18.40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0.40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84.49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3.34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45.17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30.56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12.02</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22.83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103.25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17.19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102.17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0.35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0.79</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24.53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8.37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8.02</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69.27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37.07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0.26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6.96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33.57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b w:val="0"/>
                <w:bCs w:val="0"/>
                <w:color w:val="000000" w:themeColor="text1"/>
                <w:sz w:val="18"/>
                <w:szCs w:val="18"/>
                <w14:textFill>
                  <w14:solidFill>
                    <w14:schemeClr w14:val="tx1"/>
                  </w14:solidFill>
                </w14:textFill>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b w:val="0"/>
                <w:bCs w:val="0"/>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862.16</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204.20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备注：1.本表反映部门本年度一般公共预算财政拨款基本支出明细情况。</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1"/>
        <w:tblW w:w="5000" w:type="pct"/>
        <w:tblInd w:w="0" w:type="dxa"/>
        <w:tblLayout w:type="autofit"/>
        <w:tblCellMar>
          <w:top w:w="0" w:type="dxa"/>
          <w:left w:w="0" w:type="dxa"/>
          <w:bottom w:w="0" w:type="dxa"/>
          <w:right w:w="0" w:type="dxa"/>
        </w:tblCellMar>
      </w:tblPr>
      <w:tblGrid>
        <w:gridCol w:w="1266"/>
        <w:gridCol w:w="3220"/>
        <w:gridCol w:w="1553"/>
        <w:gridCol w:w="1553"/>
        <w:gridCol w:w="1553"/>
        <w:gridCol w:w="1553"/>
        <w:gridCol w:w="1611"/>
        <w:gridCol w:w="167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备注：本表反映部门本年度政府性基金预算财政拨款收入支出及结转和结余情况。本部门无政府性基金收支，故本表无数据。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1"/>
        <w:tblW w:w="5000" w:type="pct"/>
        <w:tblInd w:w="0" w:type="dxa"/>
        <w:tblLayout w:type="fixed"/>
        <w:tblCellMar>
          <w:top w:w="0" w:type="dxa"/>
          <w:left w:w="0" w:type="dxa"/>
          <w:bottom w:w="0" w:type="dxa"/>
          <w:right w:w="0" w:type="dxa"/>
        </w:tblCellMar>
      </w:tblPr>
      <w:tblGrid>
        <w:gridCol w:w="1191"/>
        <w:gridCol w:w="3290"/>
        <w:gridCol w:w="2988"/>
        <w:gridCol w:w="173"/>
        <w:gridCol w:w="3161"/>
        <w:gridCol w:w="79"/>
        <w:gridCol w:w="3106"/>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b w:val="0"/>
                <w:bCs w:val="0"/>
                <w:color w:val="000000" w:themeColor="text1"/>
                <w:sz w:val="20"/>
                <w:szCs w:val="20"/>
                <w14:textFill>
                  <w14:solidFill>
                    <w14:schemeClr w14:val="tx1"/>
                  </w14:solidFill>
                </w14:textFill>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0.00</w:t>
            </w:r>
            <w:r>
              <w:rPr>
                <w:rFonts w:hint="default" w:ascii="Times New Roman" w:hAnsi="Times New Roman" w:cs="Times New Roman"/>
                <w:b w:val="0"/>
                <w:bCs w:val="0"/>
                <w:color w:val="000000" w:themeColor="text1"/>
                <w:sz w:val="20"/>
                <w:u w:color="auto"/>
                <w14:textFill>
                  <w14:solidFill>
                    <w14:schemeClr w14:val="tx1"/>
                  </w14:solidFill>
                </w14:textFill>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b w:val="0"/>
                <w:bCs w:val="0"/>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val="0"/>
                <w:bCs w:val="0"/>
                <w:color w:val="000000" w:themeColor="text1"/>
                <w:sz w:val="20"/>
                <w:szCs w:val="20"/>
                <w14:textFill>
                  <w14:solidFill>
                    <w14:schemeClr w14:val="tx1"/>
                  </w14:solidFill>
                </w14:textFill>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备注：本表反映部门本年度国有资本经营预算财政拨款支出情况。本部门无国有资本经营收支，故本表无数据。</w:t>
      </w:r>
      <w:r>
        <w:rPr>
          <w:rFonts w:hint="default" w:ascii="Times New Roman" w:hAnsi="Times New Roman" w:cs="Times New Roman"/>
          <w:b w:val="0"/>
          <w:bCs w:val="0"/>
          <w:color w:val="000000" w:themeColor="text1"/>
          <w:sz w:val="20"/>
          <w:szCs w:val="20"/>
          <w14:textFill>
            <w14:solidFill>
              <w14:schemeClr w14:val="tx1"/>
            </w14:solidFill>
          </w14:textFill>
        </w:rPr>
        <w:br w:type="textWrapping"/>
      </w:r>
      <w:r>
        <w:rPr>
          <w:rFonts w:hint="default" w:ascii="Times New Roman" w:hAnsi="Times New Roman" w:cs="Times New Roman"/>
          <w:b w:val="0"/>
          <w:bCs w:val="0"/>
          <w:color w:val="000000" w:themeColor="text1"/>
          <w:sz w:val="20"/>
          <w:szCs w:val="20"/>
          <w14:textFill>
            <w14:solidFill>
              <w14:schemeClr w14:val="tx1"/>
            </w14:solidFill>
          </w14:textFill>
        </w:rPr>
        <w:br w:type="textWrapping"/>
      </w:r>
    </w:p>
    <w:p>
      <w:pP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br w:type="page"/>
      </w:r>
    </w:p>
    <w:tbl>
      <w:tblPr>
        <w:tblStyle w:val="11"/>
        <w:tblW w:w="4611" w:type="pct"/>
        <w:tblInd w:w="0" w:type="dxa"/>
        <w:tblLayout w:type="autofit"/>
        <w:tblCellMar>
          <w:top w:w="0" w:type="dxa"/>
          <w:left w:w="170" w:type="dxa"/>
          <w:bottom w:w="0" w:type="dxa"/>
          <w:right w:w="170" w:type="dxa"/>
        </w:tblCellMar>
      </w:tblPr>
      <w:tblGrid>
        <w:gridCol w:w="2910"/>
        <w:gridCol w:w="2083"/>
        <w:gridCol w:w="2044"/>
        <w:gridCol w:w="3710"/>
        <w:gridCol w:w="215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val="0"/>
                <w:bCs w:val="0"/>
                <w:color w:val="000000" w:themeColor="text1"/>
                <w:kern w:val="2"/>
                <w:sz w:val="32"/>
                <w:szCs w:val="32"/>
                <w14:textFill>
                  <w14:solidFill>
                    <w14:schemeClr w14:val="tx1"/>
                  </w14:solidFill>
                </w14:textFill>
              </w:rPr>
            </w:pPr>
            <w:r>
              <w:rPr>
                <w:rFonts w:hint="default" w:ascii="Times New Roman" w:hAnsi="Times New Roman" w:cs="Times New Roman"/>
                <w:b w:val="0"/>
                <w:bCs w:val="0"/>
                <w:color w:val="000000" w:themeColor="text1"/>
                <w:kern w:val="2"/>
                <w:sz w:val="32"/>
                <w:szCs w:val="32"/>
                <w14:textFill>
                  <w14:solidFill>
                    <w14:schemeClr w14:val="tx1"/>
                  </w14:solidFill>
                </w14:textFill>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sz w:val="20"/>
                <w:szCs w:val="20"/>
                <w:lang w:eastAsia="zh-CN"/>
                <w14:textFill>
                  <w14:solidFill>
                    <w14:schemeClr w14:val="tx1"/>
                  </w14:solidFill>
                </w14:textFill>
              </w:rPr>
              <w:t>部门</w:t>
            </w:r>
            <w:r>
              <w:rPr>
                <w:rFonts w:hint="default" w:ascii="Times New Roman" w:hAnsi="Times New Roman" w:cs="Times New Roman"/>
                <w:b w:val="0"/>
                <w:bCs w:val="0"/>
                <w:color w:val="000000" w:themeColor="text1"/>
                <w:kern w:val="2"/>
                <w:sz w:val="20"/>
                <w:szCs w:val="20"/>
                <w14:textFill>
                  <w14:solidFill>
                    <w14:schemeClr w14:val="tx1"/>
                  </w14:solidFill>
                </w14:textFill>
              </w:rPr>
              <w:t>：</w:t>
            </w:r>
            <w:r>
              <w:rPr>
                <w:rFonts w:hint="default" w:ascii="Times New Roman" w:hAnsi="Times New Roman" w:cs="Times New Roman"/>
                <w:b w:val="0"/>
                <w:bCs w:val="0"/>
                <w:color w:val="000000" w:themeColor="text1"/>
                <w:sz w:val="20"/>
                <w:u w:color="auto"/>
                <w14:textFill>
                  <w14:solidFill>
                    <w14:schemeClr w14:val="tx1"/>
                  </w14:solidFill>
                </w14:textFill>
              </w:rPr>
              <w:t>中国人民政治协商会议丰都县委员会办公室</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b w:val="0"/>
                <w:bCs w:val="0"/>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b w:val="0"/>
                <w:bCs w:val="0"/>
                <w:color w:val="000000" w:themeColor="text1"/>
                <w:kern w:val="2"/>
                <w:sz w:val="20"/>
                <w:szCs w:val="20"/>
                <w14:textFill>
                  <w14:solidFill>
                    <w14:schemeClr w14:val="tx1"/>
                  </w14:solidFill>
                </w14:textFill>
              </w:rPr>
            </w:pPr>
            <w:r>
              <w:rPr>
                <w:rFonts w:hint="default" w:ascii="Times New Roman" w:hAnsi="Times New Roman" w:cs="Times New Roman"/>
                <w:b w:val="0"/>
                <w:bCs w:val="0"/>
                <w:color w:val="000000" w:themeColor="text1"/>
                <w:kern w:val="2"/>
                <w:sz w:val="20"/>
                <w:szCs w:val="20"/>
                <w14:textFill>
                  <w14:solidFill>
                    <w14:schemeClr w14:val="tx1"/>
                  </w14:solidFill>
                </w14:textFill>
              </w:rPr>
              <w:t>单位：万元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12.01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12.01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192.20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10.41</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1.60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45</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500</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34.93</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kern w:val="2"/>
                <w:sz w:val="16"/>
                <w:szCs w:val="16"/>
                <w14:textFill>
                  <w14:solidFill>
                    <w14:schemeClr w14:val="tx1"/>
                  </w14:solidFill>
                </w14:textFill>
              </w:rPr>
            </w:pPr>
            <w:r>
              <w:rPr>
                <w:rFonts w:hint="default" w:ascii="Times New Roman" w:hAnsi="Times New Roman" w:cs="Times New Roman"/>
                <w:b w:val="0"/>
                <w:bCs w:val="0"/>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kern w:val="2"/>
                <w:sz w:val="18"/>
                <w:szCs w:val="18"/>
                <w14:textFill>
                  <w14:solidFill>
                    <w14:schemeClr w14:val="tx1"/>
                  </w14:solidFill>
                </w14:textFill>
              </w:rPr>
            </w:pPr>
            <w:r>
              <w:rPr>
                <w:rFonts w:hint="default" w:ascii="Times New Roman" w:hAnsi="Times New Roman" w:cs="Times New Roman"/>
                <w:b w:val="0"/>
                <w:bCs w:val="0"/>
                <w:color w:val="000000" w:themeColor="text1"/>
                <w:kern w:val="2"/>
                <w:sz w:val="18"/>
                <w:szCs w:val="18"/>
                <w14:textFill>
                  <w14:solidFill>
                    <w14:schemeClr w14:val="tx1"/>
                  </w14:solidFill>
                </w14:textFill>
              </w:rPr>
              <w:t>44.77</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val="0"/>
                <w:bCs w:val="0"/>
                <w:color w:val="000000" w:themeColor="text1"/>
                <w:sz w:val="16"/>
                <w:szCs w:val="16"/>
                <w14:textFill>
                  <w14:solidFill>
                    <w14:schemeClr w14:val="tx1"/>
                  </w14:solidFill>
                </w14:textFill>
              </w:rPr>
            </w:pPr>
            <w:r>
              <w:rPr>
                <w:rFonts w:hint="default" w:ascii="Times New Roman" w:hAnsi="Times New Roman" w:cs="Times New Roman"/>
                <w:b w:val="0"/>
                <w:bCs w:val="0"/>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26.88</w:t>
            </w:r>
            <w:r>
              <w:rPr>
                <w:rFonts w:hint="default" w:ascii="Times New Roman" w:hAnsi="Times New Roman" w:cs="Times New Roman"/>
                <w:b w:val="0"/>
                <w:bCs w:val="0"/>
                <w:color w:val="000000" w:themeColor="text1"/>
                <w:sz w:val="18"/>
                <w:u w:color="auto"/>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b w:val="0"/>
                <w:bCs w:val="0"/>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b w:val="0"/>
                <w:bCs w:val="0"/>
                <w:color w:val="000000" w:themeColor="text1"/>
                <w:sz w:val="16"/>
                <w:szCs w:val="16"/>
                <w14:textFill>
                  <w14:solidFill>
                    <w14:schemeClr w14:val="tx1"/>
                  </w14:solidFill>
                </w14:textFill>
              </w:rPr>
            </w:pPr>
          </w:p>
        </w:tc>
      </w:tr>
    </w:tbl>
    <w:p>
      <w:pP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b w:val="0"/>
          <w:bCs w:val="0"/>
          <w:color w:val="000000" w:themeColor="text1"/>
          <w:sz w:val="18"/>
          <w:szCs w:val="18"/>
          <w14:textFill>
            <w14:solidFill>
              <w14:schemeClr w14:val="tx1"/>
            </w14:solidFill>
          </w14:textFill>
        </w:rPr>
        <w:br w:type="textWrapping"/>
      </w:r>
      <w:r>
        <w:rPr>
          <w:rFonts w:hint="default" w:ascii="Times New Roman" w:hAnsi="Times New Roman" w:cs="Times New Roman"/>
          <w:b w:val="0"/>
          <w:bCs w:val="0"/>
          <w:color w:val="000000" w:themeColor="text1"/>
          <w:sz w:val="18"/>
          <w:szCs w:val="18"/>
          <w14:textFill>
            <w14:solidFill>
              <w14:schemeClr w14:val="tx1"/>
            </w14:solidFill>
          </w14:textFill>
        </w:rPr>
        <w:t xml:space="preserve">      2.本套报表金额单位转换时可能存在尾数误差。</w:t>
      </w:r>
      <w:r>
        <w:rPr>
          <w:rFonts w:hint="default" w:ascii="Times New Roman" w:hAnsi="Times New Roman" w:cs="Times New Roman"/>
          <w:b w:val="0"/>
          <w:bCs w:val="0"/>
          <w:color w:val="000000" w:themeColor="text1"/>
          <w:sz w:val="18"/>
          <w:szCs w:val="18"/>
          <w14:textFill>
            <w14:solidFill>
              <w14:schemeClr w14:val="tx1"/>
            </w14:solidFill>
          </w14:textFill>
        </w:rPr>
        <w:br w:type="textWrapping"/>
      </w:r>
      <w:r>
        <w:rPr>
          <w:rFonts w:hint="default" w:ascii="Times New Roman" w:hAnsi="Times New Roman" w:cs="Times New Roman"/>
          <w:b w:val="0"/>
          <w:bCs w:val="0"/>
          <w:color w:val="000000" w:themeColor="text1"/>
          <w:sz w:val="18"/>
          <w:szCs w:val="18"/>
          <w14:textFill>
            <w14:solidFill>
              <w14:schemeClr w14:val="tx1"/>
            </w14:solidFill>
          </w14:textFill>
        </w:rPr>
        <w:br w:type="textWrapping"/>
      </w:r>
    </w:p>
    <w:sectPr>
      <w:pgSz w:w="16838" w:h="11917" w:orient="landscape"/>
      <w:pgMar w:top="1803" w:right="1440" w:bottom="1803" w:left="1440" w:header="850" w:footer="992"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D4647"/>
    <w:multiLevelType w:val="singleLevel"/>
    <w:tmpl w:val="95BD46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6"/>
  <w:displayHorizontalDrawingGridEvery w:val="1"/>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06415"/>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7F329CA"/>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A660D"/>
    <w:rsid w:val="1E5E27E3"/>
    <w:rsid w:val="1EA33588"/>
    <w:rsid w:val="1EB57761"/>
    <w:rsid w:val="1ECF0A66"/>
    <w:rsid w:val="1EF67CA4"/>
    <w:rsid w:val="1F020D3A"/>
    <w:rsid w:val="1F2C5189"/>
    <w:rsid w:val="1F4B0B02"/>
    <w:rsid w:val="1FBB35CD"/>
    <w:rsid w:val="1FCD26AF"/>
    <w:rsid w:val="20642787"/>
    <w:rsid w:val="20F4064E"/>
    <w:rsid w:val="21556F04"/>
    <w:rsid w:val="220E1991"/>
    <w:rsid w:val="22403BD3"/>
    <w:rsid w:val="22717D6E"/>
    <w:rsid w:val="23DA37D9"/>
    <w:rsid w:val="24437F51"/>
    <w:rsid w:val="24B92327"/>
    <w:rsid w:val="24C14514"/>
    <w:rsid w:val="2533755C"/>
    <w:rsid w:val="25791755"/>
    <w:rsid w:val="26396DF4"/>
    <w:rsid w:val="27167136"/>
    <w:rsid w:val="2792758F"/>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7F6063"/>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D7E5FF"/>
    <w:rsid w:val="3B1705E5"/>
    <w:rsid w:val="3B18334B"/>
    <w:rsid w:val="3B36794F"/>
    <w:rsid w:val="3C566AD6"/>
    <w:rsid w:val="3C6A5B02"/>
    <w:rsid w:val="3C891496"/>
    <w:rsid w:val="3D2757A1"/>
    <w:rsid w:val="3D346110"/>
    <w:rsid w:val="3D3D4FC4"/>
    <w:rsid w:val="3DDF3AB1"/>
    <w:rsid w:val="3E1D0952"/>
    <w:rsid w:val="3E3A13D5"/>
    <w:rsid w:val="3E42660A"/>
    <w:rsid w:val="3E554F02"/>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735459"/>
    <w:rsid w:val="41E0734B"/>
    <w:rsid w:val="426554D0"/>
    <w:rsid w:val="426C1EA8"/>
    <w:rsid w:val="42736402"/>
    <w:rsid w:val="42E86A87"/>
    <w:rsid w:val="42F246C4"/>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242D6A"/>
    <w:rsid w:val="4DAC4ACA"/>
    <w:rsid w:val="4DBE01D2"/>
    <w:rsid w:val="4EC92552"/>
    <w:rsid w:val="4EFC6D10"/>
    <w:rsid w:val="4F0C6BA3"/>
    <w:rsid w:val="4F10477D"/>
    <w:rsid w:val="4F186D58"/>
    <w:rsid w:val="4FEA65B7"/>
    <w:rsid w:val="5042146E"/>
    <w:rsid w:val="50F06B6E"/>
    <w:rsid w:val="51165E00"/>
    <w:rsid w:val="51530621"/>
    <w:rsid w:val="52234D33"/>
    <w:rsid w:val="52261ABA"/>
    <w:rsid w:val="522F6E0C"/>
    <w:rsid w:val="52463BA1"/>
    <w:rsid w:val="526C4F83"/>
    <w:rsid w:val="5298794F"/>
    <w:rsid w:val="529D4133"/>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2E6E76"/>
    <w:rsid w:val="5C5D2777"/>
    <w:rsid w:val="5CF60E57"/>
    <w:rsid w:val="5CF66BF3"/>
    <w:rsid w:val="5D290C69"/>
    <w:rsid w:val="5E124106"/>
    <w:rsid w:val="5F2D4A41"/>
    <w:rsid w:val="60C74F6C"/>
    <w:rsid w:val="61025A59"/>
    <w:rsid w:val="613D5BBC"/>
    <w:rsid w:val="61536C39"/>
    <w:rsid w:val="61E64F4A"/>
    <w:rsid w:val="623E0993"/>
    <w:rsid w:val="62944DD7"/>
    <w:rsid w:val="6319381F"/>
    <w:rsid w:val="63236436"/>
    <w:rsid w:val="63A27412"/>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D24120"/>
    <w:rsid w:val="66EE5541"/>
    <w:rsid w:val="66F06F7D"/>
    <w:rsid w:val="671F041C"/>
    <w:rsid w:val="67924660"/>
    <w:rsid w:val="67A755AC"/>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B75398"/>
    <w:rsid w:val="77EB79F7"/>
    <w:rsid w:val="796D60A4"/>
    <w:rsid w:val="79A031D5"/>
    <w:rsid w:val="7A1525F7"/>
    <w:rsid w:val="7A615123"/>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7FF547F2"/>
    <w:rsid w:val="FFA3D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widowControl w:val="0"/>
      <w:spacing w:before="260" w:after="260" w:line="415" w:lineRule="auto"/>
      <w:jc w:val="both"/>
      <w:outlineLvl w:val="1"/>
    </w:pPr>
    <w:rPr>
      <w:rFonts w:ascii="Arial" w:hAnsi="Arial" w:eastAsia="黑体"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4077</Words>
  <Characters>4589</Characters>
  <Lines>186</Lines>
  <Paragraphs>52</Paragraphs>
  <TotalTime>4</TotalTime>
  <ScaleCrop>false</ScaleCrop>
  <LinksUpToDate>false</LinksUpToDate>
  <CharactersWithSpaces>4595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user</cp:lastModifiedBy>
  <dcterms:modified xsi:type="dcterms:W3CDTF">2025-09-16T19:34:48Z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C7D6C4E6F89A4201A91E7BE44A0894B6_13</vt:lpwstr>
  </property>
  <property fmtid="{D5CDD505-2E9C-101B-9397-08002B2CF9AE}" pid="4" name="KSOTemplateDocerSaveRecord">
    <vt:lpwstr>eyJoZGlkIjoiMmIxN2Y5ZDFhMDczY2NlOWEzN2RmOTcyZThkOTI4MGQiLCJ1c2VySWQiOiI1Mzg5NDQ1NTQifQ==</vt:lpwstr>
  </property>
</Properties>
</file>