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丰都县人大常委会信息中心</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Times New Roman"/>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ascii="Times New Roman" w:hAnsi="Times New Roman" w:eastAsia="方正黑体_GBK" w:cs="Times New Roman"/>
          <w:b w:val="0"/>
          <w:bCs/>
          <w:sz w:val="32"/>
          <w:szCs w:val="32"/>
          <w:shd w:val="clear" w:color="auto" w:fill="FFFFFF"/>
        </w:rPr>
        <w:t>一、</w:t>
      </w:r>
      <w:r>
        <w:rPr>
          <w:rStyle w:val="13"/>
          <w:rFonts w:hint="eastAsia" w:ascii="Times New Roman" w:hAnsi="Times New Roman" w:eastAsia="方正黑体_GBK" w:cs="Times New Roman"/>
          <w:b w:val="0"/>
          <w:bCs/>
          <w:sz w:val="32"/>
          <w:szCs w:val="32"/>
          <w:shd w:val="clear" w:color="auto" w:fill="FFFFFF"/>
          <w:lang w:eastAsia="zh-CN"/>
        </w:rPr>
        <w:t>单位</w:t>
      </w:r>
      <w:r>
        <w:rPr>
          <w:rStyle w:val="13"/>
          <w:rFonts w:ascii="Times New Roman" w:hAnsi="Times New Roman" w:eastAsia="方正黑体_GBK" w:cs="Times New Roman"/>
          <w:b w:val="0"/>
          <w:bCs/>
          <w:sz w:val="32"/>
          <w:szCs w:val="32"/>
          <w:shd w:val="clear" w:color="auto" w:fill="FFFFFF"/>
        </w:rPr>
        <w:t>基本情况</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（一）职能职责</w:t>
      </w:r>
    </w:p>
    <w:p>
      <w:pPr>
        <w:keepNext w:val="0"/>
        <w:keepLines w:val="0"/>
        <w:pageBreakBefore w:val="0"/>
        <w:kinsoku/>
        <w:wordWrap/>
        <w:overflowPunct/>
        <w:topLinePunct w:val="0"/>
        <w:autoSpaceDN/>
        <w:bidi w:val="0"/>
        <w:adjustRightInd/>
        <w:spacing w:line="600" w:lineRule="exact"/>
        <w:ind w:firstLine="640"/>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lang w:val="en-US" w:eastAsia="zh-CN"/>
        </w:rPr>
        <w:t>丰都</w:t>
      </w:r>
      <w:r>
        <w:rPr>
          <w:rFonts w:hint="eastAsia" w:ascii="Times New Roman" w:hAnsi="Times New Roman" w:eastAsia="方正仿宋_GBK" w:cs="Times New Roman"/>
          <w:b w:val="0"/>
          <w:i w:val="0"/>
          <w:color w:val="000000"/>
          <w:sz w:val="32"/>
          <w:szCs w:val="32"/>
        </w:rPr>
        <w:t>县人大常委会</w:t>
      </w:r>
      <w:r>
        <w:rPr>
          <w:rFonts w:hint="eastAsia" w:ascii="Times New Roman" w:hAnsi="Times New Roman" w:eastAsia="方正仿宋_GBK" w:cs="Times New Roman"/>
          <w:b w:val="0"/>
          <w:i w:val="0"/>
          <w:color w:val="000000"/>
          <w:sz w:val="32"/>
          <w:szCs w:val="32"/>
          <w:lang w:val="en-US" w:eastAsia="zh-CN"/>
        </w:rPr>
        <w:t>信息中心</w:t>
      </w:r>
      <w:r>
        <w:rPr>
          <w:rFonts w:hint="eastAsia" w:ascii="Times New Roman" w:hAnsi="Times New Roman" w:eastAsia="方正仿宋_GBK" w:cs="Times New Roman"/>
          <w:b w:val="0"/>
          <w:i w:val="0"/>
          <w:color w:val="000000"/>
          <w:sz w:val="32"/>
          <w:szCs w:val="32"/>
        </w:rPr>
        <w:t>主要职责，</w:t>
      </w:r>
      <w:r>
        <w:rPr>
          <w:rFonts w:ascii="Times New Roman" w:hAnsi="Times New Roman" w:eastAsia="方正仿宋_GBK" w:cs="Times New Roman"/>
          <w:sz w:val="32"/>
          <w:szCs w:val="32"/>
        </w:rPr>
        <w:t>负责县人大常委会的新闻宣传和人大</w:t>
      </w:r>
      <w:r>
        <w:rPr>
          <w:rFonts w:hint="eastAsia" w:ascii="Times New Roman" w:hAnsi="Times New Roman" w:eastAsia="方正仿宋_GBK" w:cs="Times New Roman"/>
          <w:sz w:val="32"/>
          <w:szCs w:val="32"/>
          <w:lang w:val="en-US" w:eastAsia="zh-CN"/>
        </w:rPr>
        <w:t>常委会</w:t>
      </w:r>
      <w:r>
        <w:rPr>
          <w:rFonts w:ascii="Times New Roman" w:hAnsi="Times New Roman" w:eastAsia="方正仿宋_GBK" w:cs="Times New Roman"/>
          <w:sz w:val="32"/>
          <w:szCs w:val="32"/>
        </w:rPr>
        <w:t>机关信息化建设，管理和维护人大</w:t>
      </w:r>
      <w:r>
        <w:rPr>
          <w:rFonts w:hint="eastAsia" w:ascii="Times New Roman" w:hAnsi="Times New Roman" w:eastAsia="方正仿宋_GBK" w:cs="Times New Roman"/>
          <w:sz w:val="32"/>
          <w:szCs w:val="32"/>
          <w:lang w:val="en-US" w:eastAsia="zh-CN"/>
        </w:rPr>
        <w:t>常委会</w:t>
      </w:r>
      <w:r>
        <w:rPr>
          <w:rFonts w:ascii="Times New Roman" w:hAnsi="Times New Roman" w:eastAsia="方正仿宋_GBK" w:cs="Times New Roman"/>
          <w:sz w:val="32"/>
          <w:szCs w:val="32"/>
        </w:rPr>
        <w:t>机关信息网络平台，采编人大常委会法定公开的信息和刊物，了解和掌握市人大相关委室的工作动态。</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（二）机构设置</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Fonts w:hint="eastAsia" w:ascii="Times New Roman" w:hAnsi="Times New Roman" w:eastAsia="方正仿宋_GBK" w:cs="Times New Roman"/>
          <w:b w:val="0"/>
          <w:i w:val="0"/>
          <w:color w:val="000000"/>
          <w:sz w:val="32"/>
          <w:szCs w:val="32"/>
          <w:lang w:val="en-US" w:eastAsia="zh-CN" w:bidi="ar-SA"/>
        </w:rPr>
        <w:t>丰都县人大常委会信息中心全额事业编制为4名，其中设主任1名、副主任1名。2024年末县人大常委会信息中心在编在职人员3人。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ascii="Times New Roman" w:hAnsi="Times New Roman" w:eastAsia="方正黑体_GBK" w:cs="Times New Roman"/>
          <w:b w:val="0"/>
          <w:bCs/>
          <w:sz w:val="32"/>
          <w:szCs w:val="32"/>
          <w:shd w:val="clear" w:color="auto" w:fill="FFFFFF"/>
        </w:rPr>
        <w:t>二、</w:t>
      </w:r>
      <w:r>
        <w:rPr>
          <w:rStyle w:val="13"/>
          <w:rFonts w:hint="eastAsia" w:ascii="Times New Roman" w:hAnsi="Times New Roman" w:eastAsia="方正黑体_GBK" w:cs="Times New Roman"/>
          <w:b w:val="0"/>
          <w:bCs/>
          <w:sz w:val="32"/>
          <w:szCs w:val="32"/>
          <w:shd w:val="clear" w:color="auto" w:fill="FFFFFF"/>
          <w:lang w:eastAsia="zh-CN"/>
        </w:rPr>
        <w:t>单位</w:t>
      </w:r>
      <w:r>
        <w:rPr>
          <w:rStyle w:val="13"/>
          <w:rFonts w:ascii="Times New Roman" w:hAnsi="Times New Roman" w:eastAsia="方正黑体_GBK" w:cs="Times New Roman"/>
          <w:b w:val="0"/>
          <w:bCs/>
          <w:sz w:val="32"/>
          <w:szCs w:val="32"/>
          <w:shd w:val="clear" w:color="auto" w:fill="FFFFFF"/>
        </w:rPr>
        <w:t>决算</w:t>
      </w:r>
      <w:r>
        <w:rPr>
          <w:rStyle w:val="13"/>
          <w:rFonts w:hint="eastAsia" w:ascii="Times New Roman" w:hAnsi="Times New Roman" w:eastAsia="方正黑体_GBK" w:cs="Times New Roman"/>
          <w:b w:val="0"/>
          <w:bCs/>
          <w:sz w:val="32"/>
          <w:szCs w:val="32"/>
          <w:shd w:val="clear" w:color="auto" w:fill="FFFFFF"/>
          <w:lang w:eastAsia="zh-CN"/>
        </w:rPr>
        <w:t>收支</w:t>
      </w:r>
      <w:r>
        <w:rPr>
          <w:rStyle w:val="13"/>
          <w:rFonts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（一）收入支出决算总体情况说明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Fonts w:hint="default" w:ascii="Times New Roman" w:hAnsi="Times New Roman" w:eastAsia="方正仿宋_GBK" w:cs="Times New Roman"/>
          <w:b w:val="0"/>
          <w:i w:val="0"/>
          <w:color w:val="000000"/>
          <w:sz w:val="32"/>
          <w:szCs w:val="32"/>
          <w:lang w:val="en-US" w:eastAsia="zh-CN" w:bidi="ar-SA"/>
        </w:rPr>
        <w:t>2024</w:t>
      </w:r>
      <w:r>
        <w:rPr>
          <w:rFonts w:hint="eastAsia" w:ascii="Times New Roman" w:hAnsi="Times New Roman" w:eastAsia="方正仿宋_GBK" w:cs="Times New Roman"/>
          <w:b w:val="0"/>
          <w:i w:val="0"/>
          <w:color w:val="000000"/>
          <w:sz w:val="32"/>
          <w:szCs w:val="32"/>
          <w:lang w:val="en-US" w:eastAsia="zh-CN" w:bidi="ar-SA"/>
        </w:rPr>
        <w:t>年度收、支总计均为</w:t>
      </w:r>
      <w:r>
        <w:rPr>
          <w:rFonts w:hint="default" w:ascii="Times New Roman" w:hAnsi="Times New Roman" w:eastAsia="方正仿宋_GBK" w:cs="Times New Roman"/>
          <w:b w:val="0"/>
          <w:i w:val="0"/>
          <w:color w:val="000000"/>
          <w:sz w:val="32"/>
          <w:szCs w:val="32"/>
          <w:lang w:val="en-US" w:eastAsia="zh-CN" w:bidi="ar-SA"/>
        </w:rPr>
        <w:t>59.25</w:t>
      </w:r>
      <w:r>
        <w:rPr>
          <w:rFonts w:hint="eastAsia" w:ascii="Times New Roman" w:hAnsi="Times New Roman" w:eastAsia="方正仿宋_GBK" w:cs="Times New Roman"/>
          <w:b w:val="0"/>
          <w:i w:val="0"/>
          <w:color w:val="000000"/>
          <w:sz w:val="32"/>
          <w:szCs w:val="32"/>
          <w:lang w:val="en-US" w:eastAsia="zh-CN" w:bidi="ar-SA"/>
        </w:rPr>
        <w:t>万元。</w:t>
      </w:r>
      <w:r>
        <w:rPr>
          <w:rFonts w:hint="default" w:ascii="Times New Roman" w:hAnsi="Times New Roman" w:eastAsia="方正仿宋_GBK" w:cs="Times New Roman"/>
          <w:b w:val="0"/>
          <w:i w:val="0"/>
          <w:color w:val="000000"/>
          <w:sz w:val="32"/>
          <w:szCs w:val="32"/>
          <w:lang w:val="en-US" w:eastAsia="zh-CN" w:bidi="ar-SA"/>
        </w:rPr>
        <w:t>收、支与2023年度相比，增加59.25万元，增长100.0%</w:t>
      </w:r>
      <w:r>
        <w:rPr>
          <w:rFonts w:hint="eastAsia" w:ascii="Times New Roman" w:hAnsi="Times New Roman" w:eastAsia="方正仿宋_GBK" w:cs="Times New Roman"/>
          <w:b w:val="0"/>
          <w:i w:val="0"/>
          <w:color w:val="000000"/>
          <w:sz w:val="32"/>
          <w:szCs w:val="32"/>
          <w:lang w:val="en-US" w:eastAsia="zh-CN" w:bidi="ar-SA"/>
        </w:rPr>
        <w:t>，主要原因是本单位从2024年开始独立核算。</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sz w:val="32"/>
          <w:szCs w:val="32"/>
          <w:lang w:val="en-US" w:eastAsia="zh-CN" w:bidi="ar-SA"/>
        </w:rPr>
        <w:t>2024年度收入合计59.25万元，与2023年度相比，增加59.25万元，增长100.0%，主要原因是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r>
        <w:rPr>
          <w:rFonts w:hint="default" w:ascii="Times New Roman" w:hAnsi="Times New Roman" w:eastAsia="方正仿宋_GBK" w:cs="Times New Roman"/>
          <w:b w:val="0"/>
          <w:i w:val="0"/>
          <w:color w:val="000000"/>
          <w:sz w:val="32"/>
          <w:szCs w:val="32"/>
          <w:lang w:val="en-US" w:eastAsia="zh-CN" w:bidi="ar-SA"/>
        </w:rPr>
        <w:t>其中：财政拨款收入59.25万元，占100.0%；事业收入0.00万元，占0.0%；经营收入0.00万元，占0.0%；其他收入0.00万元，占0.0%。此外，</w:t>
      </w:r>
      <w:r>
        <w:rPr>
          <w:rFonts w:hint="eastAsia" w:ascii="Times New Roman" w:hAnsi="Times New Roman" w:eastAsia="方正仿宋_GBK" w:cs="Times New Roman"/>
          <w:b w:val="0"/>
          <w:i w:val="0"/>
          <w:color w:val="000000"/>
          <w:sz w:val="32"/>
          <w:szCs w:val="32"/>
          <w:lang w:val="en-US" w:eastAsia="zh-CN" w:bidi="ar-SA"/>
        </w:rPr>
        <w:t>使用非财政拨款结余（含专用结余）</w:t>
      </w:r>
      <w:r>
        <w:rPr>
          <w:rFonts w:hint="default" w:ascii="Times New Roman" w:hAnsi="Times New Roman" w:eastAsia="方正仿宋_GBK" w:cs="Times New Roman"/>
          <w:b w:val="0"/>
          <w:i w:val="0"/>
          <w:color w:val="000000"/>
          <w:sz w:val="32"/>
          <w:szCs w:val="32"/>
          <w:lang w:val="en-US" w:eastAsia="zh-CN" w:bidi="ar-SA"/>
        </w:rPr>
        <w:t>0.00万元，年初结转和结余0.00万元。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b w:val="0"/>
          <w:i w:val="0"/>
          <w:color w:val="000000"/>
          <w:sz w:val="32"/>
          <w:szCs w:val="32"/>
          <w:lang w:val="en-US" w:eastAsia="zh-CN" w:bidi="ar-SA"/>
        </w:rPr>
        <w:t>2024年度支出合计59.25万元，与2023年度相比，增加59.25万元，增长100.0%，主要原因是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r>
        <w:rPr>
          <w:rFonts w:hint="default" w:ascii="Times New Roman" w:hAnsi="Times New Roman" w:eastAsia="方正仿宋_GBK" w:cs="Times New Roman"/>
          <w:b w:val="0"/>
          <w:i w:val="0"/>
          <w:color w:val="000000"/>
          <w:sz w:val="32"/>
          <w:szCs w:val="32"/>
          <w:lang w:val="en-US" w:eastAsia="zh-CN" w:bidi="ar-SA"/>
        </w:rPr>
        <w:t>其中：基本支出59.25万元，占100.0%；项目支出0.00万元，占0.0%；经营支出0.00万元，占0.0%。此外，结余分配0.00万元。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b w:val="0"/>
          <w:i w:val="0"/>
          <w:color w:val="00000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b w:val="0"/>
          <w:i w:val="0"/>
          <w:color w:val="000000"/>
          <w:sz w:val="32"/>
          <w:szCs w:val="32"/>
          <w:lang w:val="en-US" w:eastAsia="zh-CN" w:bidi="ar-SA"/>
        </w:rPr>
        <w:t>2024年度年末结转和结余0.00万元，与2023年度相比，无增减</w:t>
      </w:r>
      <w:r>
        <w:rPr>
          <w:rFonts w:hint="eastAsia" w:ascii="Times New Roman" w:hAnsi="Times New Roman" w:eastAsia="方正仿宋_GBK" w:cs="Times New Roman"/>
          <w:b w:val="0"/>
          <w:i w:val="0"/>
          <w:color w:val="000000"/>
          <w:sz w:val="32"/>
          <w:szCs w:val="32"/>
          <w:lang w:val="en-US" w:eastAsia="zh-CN" w:bidi="ar-SA"/>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Fonts w:hint="default" w:ascii="Times New Roman" w:hAnsi="Times New Roman" w:eastAsia="方正仿宋_GBK" w:cs="Times New Roman"/>
          <w:b w:val="0"/>
          <w:i w:val="0"/>
          <w:color w:val="000000"/>
          <w:sz w:val="32"/>
          <w:szCs w:val="32"/>
          <w:lang w:val="en-US" w:eastAsia="zh-CN" w:bidi="ar-SA"/>
        </w:rPr>
        <w:t>2024年度财政拨款收、支总计均为59.25万元。与2023年</w:t>
      </w:r>
      <w:r>
        <w:rPr>
          <w:rFonts w:hint="eastAsia" w:ascii="Times New Roman" w:hAnsi="Times New Roman" w:eastAsia="方正仿宋_GBK" w:cs="Times New Roman"/>
          <w:b w:val="0"/>
          <w:i w:val="0"/>
          <w:color w:val="000000"/>
          <w:sz w:val="32"/>
          <w:szCs w:val="32"/>
          <w:lang w:val="en-US" w:eastAsia="zh-CN" w:bidi="ar-SA"/>
        </w:rPr>
        <w:t>度</w:t>
      </w:r>
      <w:r>
        <w:rPr>
          <w:rFonts w:hint="default" w:ascii="Times New Roman" w:hAnsi="Times New Roman" w:eastAsia="方正仿宋_GBK" w:cs="Times New Roman"/>
          <w:b w:val="0"/>
          <w:i w:val="0"/>
          <w:color w:val="000000"/>
          <w:sz w:val="32"/>
          <w:szCs w:val="32"/>
          <w:lang w:val="en-US" w:eastAsia="zh-CN" w:bidi="ar-SA"/>
        </w:rPr>
        <w:t>相比，财政拨款收、支总计各增加59.25万元，增长100.0%。主要原因是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Style w:val="13"/>
          <w:rFonts w:hint="default" w:ascii="Times New Roman" w:hAnsi="Times New Roman" w:eastAsia="方正仿宋_GBK" w:cs="Times New Roman"/>
          <w:sz w:val="32"/>
          <w:szCs w:val="32"/>
          <w:shd w:val="clear" w:color="auto" w:fill="FFFFFF"/>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sz w:val="32"/>
          <w:szCs w:val="32"/>
          <w:lang w:val="en-US" w:eastAsia="zh-CN" w:bidi="ar-SA"/>
        </w:rPr>
        <w:t>2024年度一般公共预算财政拨款收入59.25万元，与2023年度相比，增加59.25万元，增长100.0%。主要原因是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r>
        <w:rPr>
          <w:rFonts w:hint="default" w:ascii="Times New Roman" w:hAnsi="Times New Roman" w:eastAsia="方正仿宋_GBK" w:cs="Times New Roman"/>
          <w:b w:val="0"/>
          <w:i w:val="0"/>
          <w:color w:val="000000"/>
          <w:sz w:val="32"/>
          <w:szCs w:val="32"/>
          <w:lang w:val="en-US" w:eastAsia="zh-CN" w:bidi="ar-SA"/>
        </w:rPr>
        <w:t>较年初预算数增加40.56万元，增长217.0%。主要原因是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r>
        <w:rPr>
          <w:rFonts w:hint="default" w:ascii="Times New Roman" w:hAnsi="Times New Roman" w:eastAsia="方正仿宋_GBK" w:cs="Times New Roman"/>
          <w:b w:val="0"/>
          <w:i w:val="0"/>
          <w:color w:val="000000"/>
          <w:sz w:val="32"/>
          <w:szCs w:val="32"/>
          <w:lang w:val="en-US" w:eastAsia="zh-CN" w:bidi="ar-SA"/>
        </w:rPr>
        <w:t>此外，年初财政拨款结转和结余0.00万元。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sz w:val="32"/>
          <w:szCs w:val="32"/>
          <w:lang w:val="en-US" w:eastAsia="zh-CN" w:bidi="ar-SA"/>
        </w:rPr>
      </w:pPr>
      <w:r>
        <w:rPr>
          <w:rStyle w:val="13"/>
          <w:rFonts w:hint="default" w:ascii="Times New Roman" w:hAnsi="Times New Roman" w:eastAsia="方正仿宋_GBK" w:cs="Times New Roman"/>
          <w:sz w:val="32"/>
          <w:szCs w:val="32"/>
          <w:shd w:val="clear" w:color="auto" w:fill="FFFFFF"/>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b w:val="0"/>
          <w:i w:val="0"/>
          <w:color w:val="000000"/>
          <w:sz w:val="32"/>
          <w:szCs w:val="32"/>
          <w:lang w:val="en-US" w:eastAsia="zh-CN" w:bidi="ar-SA"/>
        </w:rPr>
        <w:t>2024年度一般公共预算财政拨款支出59.25万元，与2023年度相比，增加59.25万元，增长100.0%。主要原因是</w:t>
      </w:r>
      <w:r>
        <w:rPr>
          <w:rFonts w:hint="eastAsia" w:ascii="Times New Roman" w:hAnsi="Times New Roman" w:eastAsia="方正仿宋_GBK" w:cs="Times New Roman"/>
          <w:b w:val="0"/>
          <w:i w:val="0"/>
          <w:color w:val="000000"/>
          <w:sz w:val="32"/>
          <w:szCs w:val="32"/>
          <w:lang w:val="en-US" w:eastAsia="zh-CN" w:bidi="ar-SA"/>
        </w:rPr>
        <w:t>本单位从2024年开始独立核算。</w:t>
      </w:r>
      <w:r>
        <w:rPr>
          <w:rFonts w:hint="default" w:ascii="Times New Roman" w:hAnsi="Times New Roman" w:eastAsia="方正仿宋_GBK" w:cs="Times New Roman"/>
          <w:b w:val="0"/>
          <w:i w:val="0"/>
          <w:color w:val="000000"/>
          <w:sz w:val="32"/>
          <w:szCs w:val="32"/>
          <w:lang w:val="en-US" w:eastAsia="zh-CN" w:bidi="ar-SA"/>
        </w:rPr>
        <w:t>较年初预算数增加40.56万元，增长217.0%。主要原因</w:t>
      </w:r>
      <w:r>
        <w:rPr>
          <w:rFonts w:hint="eastAsia" w:ascii="Times New Roman" w:hAnsi="Times New Roman" w:eastAsia="方正仿宋_GBK" w:cs="Times New Roman"/>
          <w:b w:val="0"/>
          <w:i w:val="0"/>
          <w:color w:val="000000"/>
          <w:sz w:val="32"/>
          <w:szCs w:val="32"/>
          <w:lang w:val="en-US" w:eastAsia="zh-CN" w:bidi="ar-SA"/>
        </w:rPr>
        <w:t>：一</w:t>
      </w:r>
      <w:r>
        <w:rPr>
          <w:rFonts w:hint="default" w:ascii="Times New Roman" w:hAnsi="Times New Roman" w:eastAsia="方正仿宋_GBK" w:cs="Times New Roman"/>
          <w:b w:val="0"/>
          <w:i w:val="0"/>
          <w:color w:val="000000"/>
          <w:sz w:val="32"/>
          <w:szCs w:val="32"/>
          <w:lang w:val="en-US" w:eastAsia="zh-CN" w:bidi="ar-SA"/>
        </w:rPr>
        <w:t>是</w:t>
      </w:r>
      <w:r>
        <w:rPr>
          <w:rFonts w:hint="eastAsia" w:ascii="Times New Roman" w:hAnsi="Times New Roman" w:eastAsia="方正仿宋_GBK" w:cs="Times New Roman"/>
          <w:b w:val="0"/>
          <w:i w:val="0"/>
          <w:color w:val="000000"/>
          <w:sz w:val="32"/>
          <w:szCs w:val="32"/>
          <w:lang w:val="en-US" w:eastAsia="zh-CN" w:bidi="ar-SA"/>
        </w:rPr>
        <w:t>本单位从2024年开始独立核算，二是新增加2名人员。</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z w:val="32"/>
          <w:szCs w:val="32"/>
          <w:highlight w:val="none"/>
          <w:shd w:val="clear" w:color="auto" w:fill="FFFFFF"/>
        </w:rPr>
      </w:pPr>
      <w:r>
        <w:rPr>
          <w:rFonts w:ascii="Times New Roman" w:hAnsi="Times New Roman" w:eastAsia="方正仿宋_GBK" w:cs="Times New Roman"/>
          <w:sz w:val="32"/>
          <w:szCs w:val="32"/>
          <w:highlight w:val="none"/>
          <w:shd w:val="clear" w:color="auto" w:fill="FFFFFF"/>
        </w:rPr>
        <w:t>一般公共预算财政拨款支出主要</w:t>
      </w:r>
      <w:r>
        <w:rPr>
          <w:rFonts w:hint="eastAsia" w:ascii="Times New Roman" w:hAnsi="Times New Roman" w:eastAsia="方正仿宋_GBK" w:cs="Times New Roman"/>
          <w:sz w:val="32"/>
          <w:szCs w:val="32"/>
          <w:highlight w:val="none"/>
          <w:shd w:val="clear" w:color="auto" w:fill="FFFFFF"/>
          <w:lang w:eastAsia="zh-CN"/>
        </w:rPr>
        <w:t>用途如下</w:t>
      </w:r>
      <w:r>
        <w:rPr>
          <w:rFonts w:ascii="Times New Roman" w:hAnsi="Times New Roman" w:eastAsia="方正仿宋_GBK" w:cs="Times New Roman"/>
          <w:sz w:val="32"/>
          <w:szCs w:val="32"/>
          <w:highlight w:val="none"/>
          <w:shd w:val="clear" w:color="auto" w:fill="FFFFFF"/>
        </w:rPr>
        <w:t>：</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46.79</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79.0%</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较年初预算数增加31.52万元，增长206.4%</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一</w:t>
      </w:r>
      <w:r>
        <w:rPr>
          <w:rFonts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本单位从2024年开始独立核算，二是新增加2名人员。</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ascii="Times New Roman" w:hAnsi="Times New Roman" w:eastAsia="方正仿宋_GBK" w:cs="Times New Roman"/>
          <w:sz w:val="32"/>
          <w:szCs w:val="32"/>
          <w:shd w:val="clear" w:color="auto" w:fill="FFFFFF"/>
        </w:rPr>
        <w:t>社会保障</w:t>
      </w:r>
      <w:r>
        <w:rPr>
          <w:rFonts w:hint="eastAsia" w:ascii="Times New Roman" w:hAnsi="Times New Roman" w:eastAsia="方正仿宋_GBK" w:cs="Times New Roman"/>
          <w:sz w:val="32"/>
          <w:szCs w:val="32"/>
          <w:shd w:val="clear" w:color="auto" w:fill="FFFFFF"/>
          <w:lang w:eastAsia="zh-CN"/>
        </w:rPr>
        <w:t>和</w:t>
      </w:r>
      <w:r>
        <w:rPr>
          <w:rFonts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7.38</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12.5%</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较年初预算数增加5.69万元，增长336.7%</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一</w:t>
      </w:r>
      <w:r>
        <w:rPr>
          <w:rFonts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本单位从2024年开始独立核算，二是新增加2名人员。</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2.60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较年初预算数增加1.72万元，增长195.5%</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一</w:t>
      </w:r>
      <w:r>
        <w:rPr>
          <w:rFonts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本单位从2024年开始独立核算，二是新增加2名人员。</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2.47</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较年初预算数增加1.63万元，增长194.1%</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一</w:t>
      </w:r>
      <w:r>
        <w:rPr>
          <w:rFonts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val="en-US" w:eastAsia="zh-CN"/>
        </w:rPr>
        <w:t>本单位从2024年开始独立核算，二是新增加2名人员。</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eastAsia" w:ascii="Times New Roman" w:hAnsi="Times New Roman" w:eastAsia="方正仿宋_GBK" w:cs="Times New Roman"/>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楷体" w:cs="Times New Roman"/>
          <w:b/>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59.25</w:t>
      </w:r>
      <w:r>
        <w:rPr>
          <w:rFonts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其中：人员经费</w:t>
      </w:r>
      <w:r>
        <w:rPr>
          <w:rFonts w:hint="default" w:ascii="Times New Roman" w:hAnsi="Times New Roman" w:eastAsia="方正仿宋_GBK" w:cs="Times New Roman"/>
          <w:sz w:val="32"/>
          <w:szCs w:val="32"/>
          <w:shd w:val="clear" w:color="auto" w:fill="FFFFFF"/>
        </w:rPr>
        <w:t>52.75</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与2023年度相比，增加52.75万元，增长100.0%</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本单位从2024年开始独立核算。</w:t>
      </w:r>
      <w:r>
        <w:rPr>
          <w:rFonts w:ascii="Times New Roman" w:hAnsi="Times New Roman" w:eastAsia="方正仿宋_GBK" w:cs="Times New Roman"/>
          <w:sz w:val="32"/>
          <w:szCs w:val="32"/>
          <w:shd w:val="clear" w:color="auto" w:fill="FFFFFF"/>
        </w:rPr>
        <w:t>人员经费用途主要包括</w:t>
      </w:r>
      <w:r>
        <w:rPr>
          <w:rFonts w:hint="eastAsia" w:ascii="Times New Roman" w:hAnsi="Times New Roman" w:eastAsia="方正仿宋_GBK" w:cs="Times New Roman"/>
          <w:b w:val="0"/>
          <w:i w:val="0"/>
          <w:color w:val="000000"/>
          <w:sz w:val="32"/>
          <w:szCs w:val="32"/>
        </w:rPr>
        <w:t>基本工资、津贴补贴、</w:t>
      </w:r>
      <w:r>
        <w:rPr>
          <w:rFonts w:hint="eastAsia" w:ascii="Times New Roman" w:hAnsi="Times New Roman" w:eastAsia="方正仿宋_GBK" w:cs="Times New Roman"/>
          <w:b w:val="0"/>
          <w:i w:val="0"/>
          <w:color w:val="000000"/>
          <w:sz w:val="32"/>
          <w:szCs w:val="32"/>
          <w:lang w:val="en-US" w:eastAsia="zh-CN"/>
        </w:rPr>
        <w:t>绩效、</w:t>
      </w:r>
      <w:r>
        <w:rPr>
          <w:rFonts w:hint="eastAsia" w:ascii="Times New Roman" w:hAnsi="Times New Roman" w:eastAsia="方正仿宋_GBK" w:cs="Times New Roman"/>
          <w:b w:val="0"/>
          <w:i w:val="0"/>
          <w:color w:val="000000"/>
          <w:sz w:val="32"/>
          <w:szCs w:val="32"/>
        </w:rPr>
        <w:t>社会保障缴费、其他工资福利支出。</w:t>
      </w:r>
      <w:r>
        <w:rPr>
          <w:rFonts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6.50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与2023年度相比，增加6.50万元，增长100.0%</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本单位从2024年开始独立核算。</w:t>
      </w:r>
      <w:r>
        <w:rPr>
          <w:rFonts w:hint="eastAsia" w:ascii="Times New Roman" w:hAnsi="Times New Roman" w:eastAsia="方正仿宋_GBK" w:cs="Times New Roman"/>
          <w:sz w:val="32"/>
          <w:szCs w:val="32"/>
          <w:shd w:val="clear" w:color="auto" w:fill="FFFFFF"/>
        </w:rPr>
        <w:t>公用经费用途主要包括</w:t>
      </w:r>
      <w:r>
        <w:rPr>
          <w:rFonts w:hint="eastAsia" w:ascii="Times New Roman" w:hAnsi="Times New Roman" w:eastAsia="方正仿宋_GBK" w:cs="Times New Roman"/>
          <w:b w:val="0"/>
          <w:i w:val="0"/>
          <w:color w:val="000000"/>
          <w:sz w:val="32"/>
          <w:szCs w:val="32"/>
        </w:rPr>
        <w:t>办公费、水、电费、通讯费、差旅费</w:t>
      </w:r>
      <w:r>
        <w:rPr>
          <w:rFonts w:hint="eastAsia" w:ascii="Times New Roman" w:hAnsi="Times New Roman" w:eastAsia="方正仿宋_GBK" w:cs="Times New Roman"/>
          <w:b w:val="0"/>
          <w:i w:val="0"/>
          <w:color w:val="000000"/>
          <w:sz w:val="32"/>
          <w:szCs w:val="32"/>
          <w:lang w:eastAsia="zh-CN"/>
        </w:rPr>
        <w:t>、劳务费</w:t>
      </w:r>
      <w:r>
        <w:rPr>
          <w:rFonts w:hint="eastAsia" w:ascii="Times New Roman" w:hAnsi="Times New Roman" w:eastAsia="方正仿宋_GBK" w:cs="Times New Roman"/>
          <w:b w:val="0"/>
          <w:i w:val="0"/>
          <w:color w:val="000000"/>
          <w:sz w:val="32"/>
          <w:szCs w:val="32"/>
        </w:rPr>
        <w:t>等。</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rPr>
        <w:t>本</w:t>
      </w:r>
      <w:r>
        <w:rPr>
          <w:rFonts w:hint="eastAsia" w:ascii="Times New Roman" w:hAnsi="Times New Roman" w:eastAsia="方正仿宋_GBK" w:cs="Times New Roman"/>
          <w:b w:val="0"/>
          <w:i w:val="0"/>
          <w:color w:val="000000"/>
          <w:sz w:val="32"/>
          <w:szCs w:val="32"/>
          <w:lang w:val="en-US" w:eastAsia="zh-CN"/>
        </w:rPr>
        <w:t>单位</w:t>
      </w:r>
      <w:r>
        <w:rPr>
          <w:rFonts w:hint="default" w:ascii="Times New Roman" w:hAnsi="Times New Roman" w:cs="Times New Roman"/>
          <w:b w:val="0"/>
          <w:i w:val="0"/>
          <w:color w:val="000000"/>
          <w:sz w:val="32"/>
          <w:szCs w:val="32"/>
        </w:rPr>
        <w:t>202</w:t>
      </w:r>
      <w:r>
        <w:rPr>
          <w:rFonts w:hint="eastAsia" w:ascii="Times New Roman" w:hAnsi="Times New Roman" w:cs="Times New Roman"/>
          <w:b w:val="0"/>
          <w:i w:val="0"/>
          <w:color w:val="000000"/>
          <w:sz w:val="32"/>
          <w:szCs w:val="32"/>
          <w:lang w:val="en-US" w:eastAsia="zh-CN"/>
        </w:rPr>
        <w:t>4</w:t>
      </w:r>
      <w:r>
        <w:rPr>
          <w:rFonts w:hint="eastAsia" w:ascii="Times New Roman" w:hAnsi="Times New Roman" w:eastAsia="方正仿宋_GBK" w:cs="Times New Roman"/>
          <w:b w:val="0"/>
          <w:i w:val="0"/>
          <w:color w:val="000000"/>
          <w:sz w:val="32"/>
          <w:szCs w:val="32"/>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b w:val="0"/>
          <w:i w:val="0"/>
          <w:color w:val="000000"/>
          <w:sz w:val="32"/>
          <w:szCs w:val="32"/>
        </w:rPr>
        <w:t>本</w:t>
      </w:r>
      <w:r>
        <w:rPr>
          <w:rFonts w:hint="eastAsia" w:ascii="Times New Roman" w:hAnsi="Times New Roman" w:eastAsia="方正仿宋_GBK" w:cs="Times New Roman"/>
          <w:b w:val="0"/>
          <w:i w:val="0"/>
          <w:color w:val="000000"/>
          <w:sz w:val="32"/>
          <w:szCs w:val="32"/>
          <w:lang w:val="en-US" w:eastAsia="zh-CN"/>
        </w:rPr>
        <w:t>单位</w:t>
      </w:r>
      <w:r>
        <w:rPr>
          <w:rFonts w:hint="default" w:ascii="Times New Roman" w:hAnsi="Times New Roman" w:cs="Times New Roman"/>
          <w:b w:val="0"/>
          <w:i w:val="0"/>
          <w:color w:val="000000"/>
          <w:sz w:val="32"/>
          <w:szCs w:val="32"/>
        </w:rPr>
        <w:t>202</w:t>
      </w:r>
      <w:r>
        <w:rPr>
          <w:rFonts w:hint="eastAsia" w:ascii="Times New Roman" w:hAnsi="Times New Roman" w:cs="Times New Roman"/>
          <w:b w:val="0"/>
          <w:i w:val="0"/>
          <w:color w:val="000000"/>
          <w:sz w:val="32"/>
          <w:szCs w:val="32"/>
          <w:lang w:val="en-US" w:eastAsia="zh-CN"/>
        </w:rPr>
        <w:t>4</w:t>
      </w:r>
      <w:r>
        <w:rPr>
          <w:rFonts w:hint="eastAsia" w:ascii="Times New Roman" w:hAnsi="Times New Roman" w:eastAsia="方正仿宋_GBK" w:cs="Times New Roman"/>
          <w:b w:val="0"/>
          <w:i w:val="0"/>
          <w:color w:val="000000"/>
          <w:sz w:val="32"/>
          <w:szCs w:val="32"/>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ascii="Times New Roman" w:hAnsi="Times New Roman" w:eastAsia="方正黑体_GBK" w:cs="Times New Roman"/>
          <w:b w:val="0"/>
          <w:bCs/>
          <w:sz w:val="32"/>
          <w:szCs w:val="32"/>
          <w:shd w:val="clear" w:color="auto" w:fill="FFFFFF"/>
        </w:rPr>
        <w:t>三、</w:t>
      </w:r>
      <w:r>
        <w:rPr>
          <w:rStyle w:val="13"/>
          <w:rFonts w:hint="eastAsia" w:ascii="Times New Roman" w:hAnsi="Times New Roman" w:eastAsia="方正黑体_GBK" w:cs="Times New Roman"/>
          <w:b w:val="0"/>
          <w:bCs/>
          <w:sz w:val="32"/>
          <w:szCs w:val="32"/>
          <w:shd w:val="clear" w:color="auto" w:fill="FFFFFF"/>
          <w:lang w:eastAsia="zh-CN"/>
        </w:rPr>
        <w:t>财政拨款</w:t>
      </w:r>
      <w:r>
        <w:rPr>
          <w:rStyle w:val="13"/>
          <w:rFonts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（一）“三公”经费支出总体情况说明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eastAsia" w:ascii="Times New Roman" w:hAnsi="Times New Roman" w:eastAsia="方正仿宋_GBK" w:cs="Times New Roman"/>
          <w:sz w:val="32"/>
          <w:szCs w:val="32"/>
          <w:shd w:val="clear" w:color="auto" w:fill="FFFFFF"/>
        </w:rPr>
        <w:t>2024年“三公”经费</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（二）“三公”经费分项支出情况</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年度未发生因公出国（境）费用支出</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与上年决算数持平。</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rPr>
        <w:t>未发生公务车购置费支出</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与上年决算数持平。</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车运行维护费0.00万元，费用支出较年初预算数无增减，主要原因是</w:t>
      </w:r>
      <w:r>
        <w:rPr>
          <w:rFonts w:hint="eastAsia" w:ascii="Times New Roman" w:hAnsi="Times New Roman" w:eastAsia="方正仿宋_GBK" w:cs="Times New Roman"/>
          <w:sz w:val="32"/>
          <w:szCs w:val="32"/>
          <w:shd w:val="clear" w:color="auto" w:fill="FFFFFF"/>
        </w:rPr>
        <w:t>2024年“三公”经费</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较上年支出数无增减，主要原因是</w:t>
      </w:r>
      <w:r>
        <w:rPr>
          <w:rFonts w:hint="eastAsia"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rPr>
        <w:t>年“三公”经费</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p>
    <w:p>
      <w:pPr>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br w:type="page"/>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公务接待费0.00万元，费用支出较年初预算数无增减，主要</w:t>
      </w:r>
      <w:r>
        <w:rPr>
          <w:rFonts w:hint="eastAsia" w:ascii="Times New Roman" w:hAnsi="Times New Roman" w:eastAsia="方正仿宋_GBK" w:cs="Times New Roman"/>
          <w:sz w:val="32"/>
          <w:szCs w:val="32"/>
          <w:shd w:val="clear" w:color="auto" w:fill="FFFFFF"/>
          <w:lang w:val="en-US" w:eastAsia="zh-CN"/>
        </w:rPr>
        <w:t>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rPr>
        <w:t>2024年“三公”经费</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较上年支出数无增减，主要原因是</w:t>
      </w:r>
      <w:r>
        <w:rPr>
          <w:rFonts w:hint="eastAsia"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rPr>
        <w:t>年“三公”经费</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（三）“三公”经费实物量情况</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eastAsia"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eastAsia"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ascii="Times New Roman" w:hAnsi="Times New Roman" w:eastAsia="方正黑体_GBK" w:cs="Times New Roman"/>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本年度培训费支出0.00万元，与2023年度相比，无变化，主要原因是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本年度差旅费支出0.00万元，与2023年度相比，无变化，主要原因是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机关运行经费支出0.00万元，机关运行经费主要用于开支</w:t>
      </w:r>
      <w:r>
        <w:rPr>
          <w:rFonts w:hint="eastAsia" w:ascii="Times New Roman" w:hAnsi="Times New Roman" w:eastAsia="方正仿宋_GBK" w:cs="Times New Roman"/>
          <w:sz w:val="32"/>
          <w:szCs w:val="32"/>
          <w:shd w:val="clear" w:color="auto" w:fill="FFFFFF"/>
        </w:rPr>
        <w:t>办公费、水费、电费、通讯费、差旅费、公务车运行维护费。</w:t>
      </w:r>
      <w:r>
        <w:rPr>
          <w:rFonts w:hint="default" w:ascii="Times New Roman" w:hAnsi="Times New Roman" w:eastAsia="方正仿宋_GBK" w:cs="Times New Roman"/>
          <w:sz w:val="32"/>
          <w:szCs w:val="32"/>
          <w:shd w:val="clear" w:color="auto" w:fill="FFFFFF"/>
        </w:rPr>
        <w:t>机关运行经费较上年支出数无增减，主要原因是</w:t>
      </w:r>
      <w:r>
        <w:rPr>
          <w:rFonts w:hint="eastAsia"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eastAsia="zh-CN"/>
        </w:rPr>
        <w:t>与本级合并核</w:t>
      </w:r>
      <w:r>
        <w:rPr>
          <w:rFonts w:hint="eastAsia" w:ascii="Times New Roman" w:hAnsi="Times New Roman" w:eastAsia="方正仿宋_GBK" w:cs="Times New Roman"/>
          <w:sz w:val="32"/>
          <w:szCs w:val="32"/>
          <w:shd w:val="clear" w:color="auto" w:fill="FFFFFF"/>
        </w:rPr>
        <w:t>算</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未单</w:t>
      </w:r>
      <w:r>
        <w:rPr>
          <w:rFonts w:hint="eastAsia" w:ascii="Times New Roman" w:hAnsi="Times New Roman" w:eastAsia="方正仿宋_GBK" w:cs="Times New Roman"/>
          <w:sz w:val="32"/>
          <w:szCs w:val="32"/>
          <w:shd w:val="clear" w:color="auto" w:fill="FFFFFF"/>
          <w:lang w:eastAsia="zh-CN"/>
        </w:rPr>
        <w:t>独预算。</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r>
        <w:rPr>
          <w:rFonts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（四）政府采购支出情况说明</w:t>
      </w:r>
    </w:p>
    <w:p>
      <w:pPr>
        <w:pStyle w:val="14"/>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年度</w:t>
      </w:r>
      <w:r>
        <w:rPr>
          <w:rFonts w:hint="eastAsia" w:ascii="Times New Roman" w:hAnsi="Times New Roman" w:eastAsia="方正仿宋_GBK" w:cs="Times New Roman"/>
          <w:sz w:val="32"/>
          <w:szCs w:val="32"/>
          <w:shd w:val="clear" w:color="auto" w:fill="FFFFFF"/>
          <w:lang w:val="en-US" w:eastAsia="zh-CN" w:bidi="ar-SA"/>
        </w:rPr>
        <w:t>本</w:t>
      </w:r>
      <w:r>
        <w:rPr>
          <w:rFonts w:hint="default" w:ascii="Times New Roman" w:hAnsi="Times New Roman" w:eastAsia="方正仿宋_GBK" w:cs="Times New Roman"/>
          <w:sz w:val="32"/>
          <w:szCs w:val="32"/>
          <w:shd w:val="clear" w:color="auto" w:fill="FFFFFF"/>
          <w:lang w:val="en-US" w:eastAsia="zh-CN" w:bidi="ar-SA"/>
        </w:rPr>
        <w:t>单位未发生政府采购事项，无相关经费支出。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rPr>
      </w:pPr>
      <w:r>
        <w:rPr>
          <w:rStyle w:val="13"/>
          <w:rFonts w:hint="eastAsia" w:ascii="Times New Roman" w:hAnsi="Times New Roman" w:eastAsia="方正黑体_GBK" w:cs="Times New Roman"/>
          <w:b w:val="0"/>
          <w:bCs/>
          <w:sz w:val="32"/>
          <w:szCs w:val="32"/>
          <w:shd w:val="clear" w:color="auto" w:fill="FFFFFF"/>
          <w:lang w:val="en-US" w:eastAsia="zh-CN"/>
        </w:rPr>
        <w:t>五、2024年度预算绩效管理情况说明</w:t>
      </w:r>
    </w:p>
    <w:p>
      <w:pPr>
        <w:pStyle w:val="14"/>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2024年度本单位无项目资金支出，未开展绩效自评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Times New Roman"/>
          <w:kern w:val="0"/>
          <w:sz w:val="32"/>
          <w:szCs w:val="32"/>
        </w:rPr>
      </w:pPr>
      <w:r>
        <w:rPr>
          <w:rStyle w:val="16"/>
          <w:rFonts w:hint="eastAsia" w:ascii="Times New Roman" w:hAnsi="Times New Roman" w:eastAsia="方正仿宋_GBK" w:cs="Times New Roman"/>
          <w:b/>
          <w:bCs/>
          <w:sz w:val="32"/>
          <w:szCs w:val="32"/>
          <w:shd w:val="clear" w:fill="FFFFFF"/>
        </w:rPr>
        <w:t xml:space="preserve"> </w:t>
      </w:r>
      <w:r>
        <w:rPr>
          <w:rStyle w:val="16"/>
          <w:rFonts w:hint="eastAsia" w:ascii="Times New Roman" w:hAnsi="Times New Roman" w:eastAsia="方正仿宋_GBK" w:cs="Times New Roman"/>
          <w:b/>
          <w:bCs/>
          <w:sz w:val="32"/>
          <w:szCs w:val="32"/>
          <w:shd w:val="clear" w:fill="FFFFFF"/>
          <w:lang w:val="en-US" w:eastAsia="zh-CN"/>
        </w:rPr>
        <w:t xml:space="preserve">  </w:t>
      </w:r>
      <w:r>
        <w:rPr>
          <w:rStyle w:val="13"/>
          <w:rFonts w:hint="eastAsia"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4"/>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（一）财政拨款收入：</w:t>
      </w:r>
      <w:r>
        <w:rPr>
          <w:rFonts w:hint="eastAsia"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（二）事业收入：</w:t>
      </w:r>
      <w:r>
        <w:rPr>
          <w:rFonts w:hint="eastAsia" w:ascii="Times New Roman" w:hAnsi="Times New Roman" w:eastAsia="方正仿宋_GBK" w:cs="Times New Roman"/>
          <w:kern w:val="0"/>
          <w:sz w:val="32"/>
          <w:szCs w:val="32"/>
          <w:shd w:val="clear" w:fill="FFFFFF"/>
          <w:lang w:val="en-US" w:eastAsia="zh-CN" w:bidi="ar-SA"/>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（三）经营收入：</w:t>
      </w:r>
      <w:r>
        <w:rPr>
          <w:rFonts w:hint="eastAsia" w:ascii="Times New Roman" w:hAnsi="Times New Roman" w:eastAsia="方正仿宋_GBK" w:cs="Times New Roman"/>
          <w:kern w:val="0"/>
          <w:sz w:val="32"/>
          <w:szCs w:val="32"/>
          <w:shd w:val="clear" w:fill="FFFFFF"/>
          <w:lang w:val="en-US" w:eastAsia="zh-CN" w:bidi="ar-SA"/>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（四）其他收入：</w:t>
      </w:r>
      <w:r>
        <w:rPr>
          <w:rFonts w:hint="eastAsia" w:ascii="Times New Roman" w:hAnsi="Times New Roman" w:eastAsia="方正仿宋_GBK" w:cs="Times New Roman"/>
          <w:kern w:val="0"/>
          <w:sz w:val="32"/>
          <w:szCs w:val="32"/>
          <w:shd w:val="clear"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eastAsia" w:ascii="Times New Roman" w:hAnsi="Times New Roman" w:eastAsia="方正仿宋_GBK" w:cs="Times New Roman"/>
          <w:kern w:val="0"/>
          <w:sz w:val="32"/>
          <w:szCs w:val="32"/>
          <w:shd w:val="clear"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（六）年初结转和结余：</w:t>
      </w:r>
      <w:r>
        <w:rPr>
          <w:rFonts w:hint="eastAsia" w:ascii="Times New Roman" w:hAnsi="Times New Roman" w:eastAsia="方正仿宋_GBK" w:cs="Times New Roman"/>
          <w:kern w:val="0"/>
          <w:sz w:val="32"/>
          <w:szCs w:val="32"/>
          <w:shd w:val="clear" w:fill="FFFFFF"/>
          <w:lang w:val="en-US" w:eastAsia="zh-CN" w:bidi="ar-SA"/>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（七）结余分配：</w:t>
      </w:r>
      <w:r>
        <w:rPr>
          <w:rFonts w:hint="eastAsia" w:ascii="Times New Roman" w:hAnsi="Times New Roman" w:eastAsia="方正仿宋_GBK" w:cs="Times New Roman"/>
          <w:kern w:val="0"/>
          <w:sz w:val="32"/>
          <w:szCs w:val="32"/>
          <w:shd w:val="clear" w:fill="FFFFFF"/>
          <w:lang w:val="en-US" w:eastAsia="zh-CN" w:bidi="ar-SA"/>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（八）年末结转和结余：</w:t>
      </w:r>
      <w:r>
        <w:rPr>
          <w:rFonts w:hint="eastAsia" w:ascii="Times New Roman" w:hAnsi="Times New Roman" w:eastAsia="方正仿宋_GBK" w:cs="Times New Roman"/>
          <w:kern w:val="0"/>
          <w:sz w:val="32"/>
          <w:szCs w:val="32"/>
          <w:shd w:val="clear" w:fill="FFFFFF"/>
          <w:lang w:val="en-US" w:eastAsia="zh-CN" w:bidi="ar-SA"/>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（九）基本支出：</w:t>
      </w:r>
      <w:r>
        <w:rPr>
          <w:rFonts w:hint="eastAsia" w:ascii="Times New Roman" w:hAnsi="Times New Roman" w:eastAsia="方正仿宋_GBK" w:cs="Times New Roman"/>
          <w:kern w:val="0"/>
          <w:sz w:val="32"/>
          <w:szCs w:val="32"/>
          <w:shd w:val="clear"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（十）项目支出：</w:t>
      </w:r>
      <w:r>
        <w:rPr>
          <w:rFonts w:hint="eastAsia" w:ascii="Times New Roman" w:hAnsi="Times New Roman" w:eastAsia="方正仿宋_GBK" w:cs="Times New Roman"/>
          <w:kern w:val="0"/>
          <w:sz w:val="32"/>
          <w:szCs w:val="32"/>
          <w:shd w:val="clear" w:fill="FFFFFF"/>
          <w:lang w:val="en-US" w:eastAsia="zh-CN" w:bidi="ar-SA"/>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（十一）经营支出：</w:t>
      </w:r>
      <w:r>
        <w:rPr>
          <w:rFonts w:hint="eastAsia" w:ascii="Times New Roman" w:hAnsi="Times New Roman" w:eastAsia="方正仿宋_GBK" w:cs="Times New Roman"/>
          <w:kern w:val="0"/>
          <w:sz w:val="32"/>
          <w:szCs w:val="32"/>
          <w:shd w:val="clear" w:fill="FFFFFF"/>
          <w:lang w:val="en-US" w:eastAsia="zh-CN" w:bidi="ar-SA"/>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（十二）“三公”经费：</w:t>
      </w:r>
      <w:r>
        <w:rPr>
          <w:rFonts w:hint="eastAsia" w:ascii="Times New Roman" w:hAnsi="Times New Roman" w:eastAsia="方正仿宋_GBK" w:cs="Times New Roman"/>
          <w:kern w:val="0"/>
          <w:sz w:val="32"/>
          <w:szCs w:val="32"/>
          <w:shd w:val="clear"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（十三）机关运行经费：</w:t>
      </w:r>
      <w:r>
        <w:rPr>
          <w:rFonts w:hint="eastAsia" w:ascii="Times New Roman" w:hAnsi="Times New Roman" w:eastAsia="方正仿宋_GBK" w:cs="Times New Roman"/>
          <w:kern w:val="0"/>
          <w:sz w:val="32"/>
          <w:szCs w:val="32"/>
          <w:shd w:val="clear"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kern w:val="0"/>
          <w:sz w:val="32"/>
          <w:szCs w:val="32"/>
          <w:shd w:val="clear" w:fill="FFFFFF"/>
          <w:lang w:val="en-US" w:eastAsia="zh-CN" w:bidi="ar-SA"/>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kern w:val="0"/>
          <w:sz w:val="32"/>
          <w:szCs w:val="32"/>
          <w:shd w:val="clear" w:fill="FFFFFF"/>
          <w:lang w:val="en-US" w:eastAsia="zh-CN" w:bidi="ar-SA"/>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Times New Roman"/>
          <w:kern w:val="0"/>
          <w:sz w:val="32"/>
          <w:szCs w:val="32"/>
          <w:shd w:val="clear" w:fill="FFFFFF"/>
          <w:lang w:val="en-US" w:eastAsia="zh-CN" w:bidi="ar-SA"/>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kern w:val="0"/>
          <w:sz w:val="32"/>
          <w:szCs w:val="32"/>
          <w:shd w:val="clear"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Times New Roman" w:hAnsi="Times New Roman" w:eastAsia="方正仿宋_GBK" w:cs="Times New Roman"/>
          <w:kern w:val="0"/>
          <w:sz w:val="32"/>
          <w:szCs w:val="32"/>
          <w:shd w:val="clear" w:fill="FFFFFF"/>
          <w:lang w:val="en-US" w:eastAsia="zh-CN" w:bidi="ar-SA"/>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bidi="ar-SA"/>
        </w:rPr>
        <w:t>陈思利   023-70605913</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3"/>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丰都县人大常委会信息中心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丰都县人大常委会信息中心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丰都县人大常委会信息中心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丰都县人大常委会信息中心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丰都县人大常委会信息中心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丰都县人大常委会信息中心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丰都县人大常委会信息中心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丰都县人大常委会信息中心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丰都县人大常委会信息中心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w:t>
      </w:r>
      <w:r>
        <w:rPr>
          <w:rFonts w:cs="宋体"/>
          <w:sz w:val="20"/>
          <w:szCs w:val="20"/>
        </w:rPr>
        <w:t>本单位</w:t>
      </w:r>
      <w:r>
        <w:rPr>
          <w:rFonts w:hint="eastAsia" w:cs="宋体"/>
          <w:sz w:val="20"/>
          <w:szCs w:val="20"/>
          <w:lang w:val="en-US" w:eastAsia="zh-CN"/>
        </w:rPr>
        <w:t>无相关数据</w:t>
      </w:r>
      <w:r>
        <w:rPr>
          <w:rFonts w:cs="宋体"/>
          <w:sz w:val="20"/>
          <w:szCs w:val="20"/>
        </w:rPr>
        <w:t>，故本表</w:t>
      </w:r>
      <w:r>
        <w:rPr>
          <w:rFonts w:hint="eastAsia" w:cs="宋体"/>
          <w:sz w:val="20"/>
          <w:szCs w:val="20"/>
          <w:lang w:val="en-US" w:eastAsia="zh-CN"/>
        </w:rPr>
        <w:t>为空</w:t>
      </w:r>
      <w:r>
        <w:rPr>
          <w:rFonts w:cs="宋体"/>
          <w:sz w:val="20"/>
          <w:szCs w:val="20"/>
        </w:rPr>
        <w:t>。</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18E57"/>
    <w:multiLevelType w:val="singleLevel"/>
    <w:tmpl w:val="E8818E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1D2252"/>
    <w:rsid w:val="12C921C4"/>
    <w:rsid w:val="13871C70"/>
    <w:rsid w:val="13A71CB4"/>
    <w:rsid w:val="13AF1D43"/>
    <w:rsid w:val="13CE1647"/>
    <w:rsid w:val="13FD55AB"/>
    <w:rsid w:val="14200702"/>
    <w:rsid w:val="14370EA1"/>
    <w:rsid w:val="161544B7"/>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DD3732F"/>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80B73"/>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725C66"/>
    <w:rsid w:val="2DCB524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F866C0"/>
    <w:rsid w:val="3C566AD6"/>
    <w:rsid w:val="3C594871"/>
    <w:rsid w:val="3C6A5B02"/>
    <w:rsid w:val="3D083B3A"/>
    <w:rsid w:val="3D2757A1"/>
    <w:rsid w:val="3D3D4FC4"/>
    <w:rsid w:val="3DDF3AB1"/>
    <w:rsid w:val="3E1D0952"/>
    <w:rsid w:val="3E42660A"/>
    <w:rsid w:val="3E7555B1"/>
    <w:rsid w:val="3E787ED9"/>
    <w:rsid w:val="3EDBA8FA"/>
    <w:rsid w:val="3F032E93"/>
    <w:rsid w:val="3F0527E5"/>
    <w:rsid w:val="3F4C52C6"/>
    <w:rsid w:val="3F694D83"/>
    <w:rsid w:val="3F885DCC"/>
    <w:rsid w:val="3FCD675E"/>
    <w:rsid w:val="4004000C"/>
    <w:rsid w:val="400956C4"/>
    <w:rsid w:val="40760DD1"/>
    <w:rsid w:val="40BD5482"/>
    <w:rsid w:val="411B6CE5"/>
    <w:rsid w:val="412070D7"/>
    <w:rsid w:val="41314E40"/>
    <w:rsid w:val="41E0734B"/>
    <w:rsid w:val="426C1EA8"/>
    <w:rsid w:val="42736402"/>
    <w:rsid w:val="42E86A87"/>
    <w:rsid w:val="43307B09"/>
    <w:rsid w:val="439A3EB9"/>
    <w:rsid w:val="43BB152F"/>
    <w:rsid w:val="44C37687"/>
    <w:rsid w:val="454C1EA4"/>
    <w:rsid w:val="45CB699A"/>
    <w:rsid w:val="46423C66"/>
    <w:rsid w:val="465B470D"/>
    <w:rsid w:val="469D6AD4"/>
    <w:rsid w:val="471E6C84"/>
    <w:rsid w:val="4748792B"/>
    <w:rsid w:val="475D719D"/>
    <w:rsid w:val="47674801"/>
    <w:rsid w:val="48225EF7"/>
    <w:rsid w:val="488F422B"/>
    <w:rsid w:val="48E36915"/>
    <w:rsid w:val="48EB6572"/>
    <w:rsid w:val="491C6E71"/>
    <w:rsid w:val="495C4A24"/>
    <w:rsid w:val="497135DF"/>
    <w:rsid w:val="4A263DF2"/>
    <w:rsid w:val="4A2F278B"/>
    <w:rsid w:val="4A6F6675"/>
    <w:rsid w:val="4B135857"/>
    <w:rsid w:val="4B7951CB"/>
    <w:rsid w:val="4B7C315C"/>
    <w:rsid w:val="4BEAF8F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6B03D9"/>
    <w:rsid w:val="54861779"/>
    <w:rsid w:val="55084A4C"/>
    <w:rsid w:val="552256E1"/>
    <w:rsid w:val="554E5773"/>
    <w:rsid w:val="555829E0"/>
    <w:rsid w:val="555A3CBC"/>
    <w:rsid w:val="5582012B"/>
    <w:rsid w:val="558E4E05"/>
    <w:rsid w:val="55BE2E85"/>
    <w:rsid w:val="56530F5D"/>
    <w:rsid w:val="567700D3"/>
    <w:rsid w:val="56FF7E9E"/>
    <w:rsid w:val="578867FC"/>
    <w:rsid w:val="579F1870"/>
    <w:rsid w:val="5842572D"/>
    <w:rsid w:val="59152272"/>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FF57D3"/>
    <w:rsid w:val="750837F0"/>
    <w:rsid w:val="754758CF"/>
    <w:rsid w:val="75595ECD"/>
    <w:rsid w:val="764F62AB"/>
    <w:rsid w:val="765C45EC"/>
    <w:rsid w:val="768A7619"/>
    <w:rsid w:val="76B468F0"/>
    <w:rsid w:val="76BD23AB"/>
    <w:rsid w:val="76DC7B40"/>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p30"/>
    <w:basedOn w:val="1"/>
    <w:qFormat/>
    <w:uiPriority w:val="0"/>
    <w:pPr>
      <w:spacing w:before="0" w:beforeLines="0" w:beforeAutospacing="0" w:after="0" w:afterLines="0" w:afterAutospacing="0"/>
      <w:jc w:val="left"/>
    </w:pPr>
    <w:rPr>
      <w:rFonts w:hint="eastAsia" w:ascii="宋体" w:hAnsi="宋体" w:eastAsia="宋体" w:cs="宋体"/>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4270</Words>
  <Characters>4767</Characters>
  <Lines>186</Lines>
  <Paragraphs>52</Paragraphs>
  <TotalTime>4</TotalTime>
  <ScaleCrop>false</ScaleCrop>
  <LinksUpToDate>false</LinksUpToDate>
  <CharactersWithSpaces>4816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2025-09-16T19:20:34Z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eyJoZGlkIjoiNjc0MTY4YTI4NjVjOTVkNzJiMzllMzU1MDMwYmEzNGQifQ==</vt:lpwstr>
  </property>
</Properties>
</file>