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Times New Roman"/>
          <w:b w:val="0"/>
          <w:bCs w:val="0"/>
          <w:sz w:val="44"/>
          <w:szCs w:val="44"/>
        </w:rPr>
      </w:pPr>
      <w:bookmarkStart w:id="0" w:name="_GoBack"/>
      <w:bookmarkEnd w:id="0"/>
      <w:r>
        <w:rPr>
          <w:rFonts w:ascii="Times New Roman" w:hAnsi="Times New Roman" w:eastAsia="方正小标宋_GBK" w:cs="Times New Roman"/>
          <w:b w:val="0"/>
          <w:bCs w:val="0"/>
          <w:sz w:val="44"/>
          <w:szCs w:val="44"/>
        </w:rPr>
        <w:t>丰都县人民代表大会常务委员会办公室</w:t>
      </w:r>
    </w:p>
    <w:p>
      <w:pPr>
        <w:pStyle w:val="9"/>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Times New Roman" w:hAnsi="Times New Roman" w:eastAsia="方正小标宋_GBK" w:cs="Times New Roman"/>
          <w:b w:val="0"/>
          <w:bCs w:val="0"/>
          <w:sz w:val="44"/>
          <w:szCs w:val="44"/>
          <w:shd w:val="clear" w:color="auto" w:fill="FFFFFF"/>
        </w:rPr>
        <w:t>年度决算公开说明</w:t>
      </w:r>
    </w:p>
    <w:p>
      <w:pPr>
        <w:pStyle w:val="9"/>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shd w:val="clear" w:color="auto" w:fill="FFFFFF"/>
        </w:rPr>
      </w:pP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一、</w:t>
      </w:r>
      <w:r>
        <w:rPr>
          <w:rStyle w:val="13"/>
          <w:rFonts w:hint="eastAsia" w:ascii="Times New Roman" w:hAnsi="Times New Roman" w:eastAsia="方正黑体_GBK" w:cs="Times New Roman"/>
          <w:b w:val="0"/>
          <w:bCs/>
          <w:sz w:val="32"/>
          <w:szCs w:val="32"/>
          <w:highlight w:val="none"/>
          <w:shd w:val="clear" w:color="auto" w:fill="FFFFFF"/>
          <w:lang w:val="en-US" w:eastAsia="zh-CN" w:bidi="ar-SA"/>
        </w:rPr>
        <w:t>部门</w:t>
      </w:r>
      <w:r>
        <w:rPr>
          <w:rStyle w:val="13"/>
          <w:rFonts w:hint="eastAsia" w:ascii="Times New Roman" w:hAnsi="Times New Roman" w:eastAsia="方正黑体_GBK" w:cs="Times New Roman"/>
          <w:b w:val="0"/>
          <w:bCs/>
          <w:sz w:val="32"/>
          <w:szCs w:val="32"/>
          <w:shd w:val="clear" w:color="auto" w:fill="FFFFFF"/>
          <w:lang w:val="en-US" w:eastAsia="zh-CN" w:bidi="ar-SA"/>
        </w:rPr>
        <w:t>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楷体_GBK" w:cs="Times New Roman"/>
          <w:b w:val="0"/>
          <w:bCs/>
          <w:sz w:val="32"/>
          <w:szCs w:val="32"/>
        </w:rPr>
      </w:pPr>
      <w:r>
        <w:rPr>
          <w:rStyle w:val="13"/>
          <w:rFonts w:hint="eastAsia" w:ascii="Times New Roman" w:hAnsi="Times New Roman" w:eastAsia="方正楷体_GBK" w:cs="Times New Roman"/>
          <w:b w:val="0"/>
          <w:bCs/>
          <w:sz w:val="32"/>
          <w:szCs w:val="32"/>
          <w:shd w:val="clear" w:color="auto" w:fill="FFFFFF"/>
        </w:rPr>
        <w:t>（一）职能职责</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rPr>
        <w:t>县人大常委会主要职责，根据地方组织法有关规定，可以归纳为以下</w:t>
      </w:r>
      <w:r>
        <w:rPr>
          <w:rFonts w:hint="default" w:ascii="Times New Roman" w:hAnsi="Times New Roman" w:eastAsia="方正仿宋_GBK" w:cs="Times New Roman"/>
          <w:b w:val="0"/>
          <w:i w:val="0"/>
          <w:color w:val="000000"/>
          <w:sz w:val="32"/>
          <w:szCs w:val="32"/>
        </w:rPr>
        <w:t>5</w:t>
      </w:r>
      <w:r>
        <w:rPr>
          <w:rFonts w:hint="eastAsia" w:ascii="Times New Roman" w:hAnsi="Times New Roman" w:eastAsia="方正仿宋_GBK" w:cs="Times New Roman"/>
          <w:b w:val="0"/>
          <w:i w:val="0"/>
          <w:color w:val="000000"/>
          <w:sz w:val="32"/>
          <w:szCs w:val="32"/>
        </w:rPr>
        <w:t>个方面：</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在本行政区域内保证宪法、法规、行政法规和上级人大及其常委会决议的遵守和执行；</w:t>
      </w:r>
      <w:r>
        <w:rPr>
          <w:rFonts w:hint="default" w:ascii="Times New Roman" w:hAnsi="Times New Roman" w:eastAsia="方正仿宋_GBK" w:cs="Times New Roman"/>
          <w:b w:val="0"/>
          <w:i w:val="0"/>
          <w:color w:val="000000"/>
          <w:sz w:val="32"/>
          <w:szCs w:val="32"/>
        </w:rPr>
        <w:t>2</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决定本行政区域内各项工作的重大事项；</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审查和批准本行政区域内的国民经济和社会发展计划、财政预决算及其执行情况；</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选举和任免本行政区域内“一府一委两院”的正、副职领导，任命政府组成部门领导；</w:t>
      </w:r>
      <w:r>
        <w:rPr>
          <w:rFonts w:hint="default" w:ascii="Times New Roman" w:hAnsi="Times New Roman" w:eastAsia="方正仿宋_GBK" w:cs="Times New Roman"/>
          <w:b w:val="0"/>
          <w:i w:val="0"/>
          <w:color w:val="000000"/>
          <w:sz w:val="32"/>
          <w:szCs w:val="32"/>
        </w:rPr>
        <w:t>5</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监督本行政区域内“一府一委两院”工作；</w:t>
      </w:r>
      <w:r>
        <w:rPr>
          <w:rFonts w:hint="default" w:ascii="Times New Roman" w:hAnsi="Times New Roman" w:eastAsia="方正仿宋_GBK" w:cs="Times New Roman"/>
          <w:b w:val="0"/>
          <w:i w:val="0"/>
          <w:color w:val="000000"/>
          <w:sz w:val="32"/>
          <w:szCs w:val="32"/>
        </w:rPr>
        <w:t>6</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撤销本级人民政府的不适当的决定和命令。</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（二）机构设置</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rPr>
        <w:t>县人大常委会办公室是县人大常委会机关的综合办事机构；县人大监察和法制委员会办公室是县人大监察和法制委员会的办事机构；县人大财政经济委员会办公室是县人大财政经济委员会的办事机构；县人大农业与农村委员会办公室是县人大农业与农村委员会的办事机构；县人大社会建设委员会办公室是县人大社会建设委员会的办事机构，加挂县人大常委会信访办公室牌子；县人大常委会代表工作委员会是县人大常委会机关的工作机构；县人大常委会预算工作委员会是县人大常委会机关的工作机构；县人大常委会城乡建设环境保护工作委员会是县人大常委会机关的工作机构；</w:t>
      </w:r>
      <w:r>
        <w:rPr>
          <w:rFonts w:hint="eastAsia" w:ascii="Times New Roman" w:hAnsi="Times New Roman" w:eastAsia="方正仿宋_GBK" w:cs="Times New Roman"/>
          <w:b w:val="0"/>
          <w:i w:val="0"/>
          <w:color w:val="000000"/>
          <w:sz w:val="32"/>
          <w:szCs w:val="32"/>
          <w:lang w:eastAsia="zh-CN"/>
        </w:rPr>
        <w:t>县人大常委会法制工作委员会是</w:t>
      </w:r>
      <w:r>
        <w:rPr>
          <w:rFonts w:hint="eastAsia" w:ascii="Times New Roman" w:hAnsi="Times New Roman" w:eastAsia="方正仿宋_GBK" w:cs="Times New Roman"/>
          <w:b w:val="0"/>
          <w:i w:val="0"/>
          <w:color w:val="000000"/>
          <w:sz w:val="32"/>
          <w:szCs w:val="32"/>
        </w:rPr>
        <w:t>县人大常委会机关的工作机构</w:t>
      </w:r>
      <w:r>
        <w:rPr>
          <w:rFonts w:hint="eastAsia" w:ascii="Times New Roman" w:hAnsi="Times New Roman" w:eastAsia="方正仿宋_GBK" w:cs="Times New Roman"/>
          <w:b w:val="0"/>
          <w:i w:val="0"/>
          <w:color w:val="000000"/>
          <w:sz w:val="32"/>
          <w:szCs w:val="32"/>
          <w:lang w:eastAsia="zh-CN"/>
        </w:rPr>
        <w:t>；</w:t>
      </w:r>
      <w:r>
        <w:rPr>
          <w:rFonts w:hint="eastAsia" w:ascii="Times New Roman" w:hAnsi="Times New Roman" w:eastAsia="方正仿宋_GBK" w:cs="Times New Roman"/>
          <w:b w:val="0"/>
          <w:i w:val="0"/>
          <w:color w:val="000000"/>
          <w:sz w:val="32"/>
          <w:szCs w:val="32"/>
        </w:rPr>
        <w:t>县人大</w:t>
      </w:r>
      <w:r>
        <w:rPr>
          <w:rFonts w:hint="eastAsia" w:ascii="Times New Roman" w:hAnsi="Times New Roman" w:eastAsia="方正仿宋_GBK" w:cs="Times New Roman"/>
          <w:b w:val="0"/>
          <w:i w:val="0"/>
          <w:color w:val="000000"/>
          <w:sz w:val="32"/>
          <w:szCs w:val="32"/>
          <w:lang w:eastAsia="zh-CN"/>
        </w:rPr>
        <w:t>常委会</w:t>
      </w:r>
      <w:r>
        <w:rPr>
          <w:rFonts w:hint="eastAsia" w:ascii="Times New Roman" w:hAnsi="Times New Roman" w:eastAsia="方正仿宋_GBK" w:cs="Times New Roman"/>
          <w:b w:val="0"/>
          <w:i w:val="0"/>
          <w:color w:val="000000"/>
          <w:sz w:val="32"/>
          <w:szCs w:val="32"/>
        </w:rPr>
        <w:t>机关行政编制人数</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8</w:t>
      </w:r>
      <w:r>
        <w:rPr>
          <w:rFonts w:hint="eastAsia" w:ascii="Times New Roman" w:hAnsi="Times New Roman" w:eastAsia="方正仿宋_GBK" w:cs="Times New Roman"/>
          <w:b w:val="0"/>
          <w:i w:val="0"/>
          <w:color w:val="000000"/>
          <w:sz w:val="32"/>
          <w:szCs w:val="32"/>
        </w:rPr>
        <w:t>名，县人大常委会信息中心是常委会独立的事业单位，事业编制</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rPr>
        <w:t>名。</w:t>
      </w:r>
      <w:r>
        <w:rPr>
          <w:rFonts w:hint="default" w:ascii="Times New Roman" w:hAnsi="Times New Roman" w:eastAsia="方正仿宋_GBK" w:cs="Times New Roman"/>
          <w:b w:val="0"/>
          <w:i w:val="0"/>
          <w:color w:val="000000"/>
          <w:sz w:val="32"/>
          <w:szCs w:val="32"/>
        </w:rPr>
        <w:t>202</w:t>
      </w:r>
      <w:r>
        <w:rPr>
          <w:rFonts w:hint="eastAsia" w:ascii="Times New Roman" w:hAnsi="Times New Roman" w:eastAsia="方正仿宋_GBK" w:cs="Times New Roman"/>
          <w:b w:val="0"/>
          <w:i w:val="0"/>
          <w:color w:val="000000"/>
          <w:sz w:val="32"/>
          <w:szCs w:val="32"/>
          <w:lang w:val="en-US" w:eastAsia="zh-CN"/>
        </w:rPr>
        <w:t>4年末在编在职人员36人，</w:t>
      </w:r>
      <w:r>
        <w:rPr>
          <w:rFonts w:hint="eastAsia" w:ascii="Times New Roman" w:hAnsi="Times New Roman" w:eastAsia="方正仿宋_GBK" w:cs="Times New Roman"/>
          <w:b w:val="0"/>
          <w:i w:val="0"/>
          <w:color w:val="000000"/>
          <w:sz w:val="32"/>
          <w:szCs w:val="32"/>
        </w:rPr>
        <w:t>编制未在人大的常委专职委员</w:t>
      </w:r>
      <w:r>
        <w:rPr>
          <w:rFonts w:hint="eastAsia" w:ascii="Times New Roman" w:hAnsi="Times New Roman" w:eastAsia="方正仿宋_GBK" w:cs="Times New Roman"/>
          <w:b w:val="0"/>
          <w:i w:val="0"/>
          <w:color w:val="000000"/>
          <w:sz w:val="32"/>
          <w:szCs w:val="32"/>
          <w:lang w:val="en-US" w:eastAsia="zh-CN"/>
        </w:rPr>
        <w:t>2</w:t>
      </w:r>
      <w:r>
        <w:rPr>
          <w:rFonts w:hint="eastAsia" w:ascii="Times New Roman" w:hAnsi="Times New Roman" w:eastAsia="方正仿宋_GBK" w:cs="Times New Roman"/>
          <w:b w:val="0"/>
          <w:i w:val="0"/>
          <w:color w:val="000000"/>
          <w:sz w:val="32"/>
          <w:szCs w:val="32"/>
        </w:rPr>
        <w:t>人，工委正、副主任</w:t>
      </w:r>
      <w:r>
        <w:rPr>
          <w:rFonts w:hint="eastAsia" w:ascii="Times New Roman" w:hAnsi="Times New Roman" w:eastAsia="方正仿宋_GBK" w:cs="Times New Roman"/>
          <w:b w:val="0"/>
          <w:i w:val="0"/>
          <w:color w:val="000000"/>
          <w:sz w:val="32"/>
          <w:szCs w:val="32"/>
          <w:lang w:val="en-US" w:eastAsia="zh-CN"/>
        </w:rPr>
        <w:t>16</w:t>
      </w:r>
      <w:r>
        <w:rPr>
          <w:rFonts w:hint="eastAsia" w:ascii="Times New Roman" w:hAnsi="Times New Roman" w:eastAsia="方正仿宋_GBK" w:cs="Times New Roman"/>
          <w:b w:val="0"/>
          <w:i w:val="0"/>
          <w:color w:val="000000"/>
          <w:sz w:val="32"/>
          <w:szCs w:val="32"/>
        </w:rPr>
        <w:t>人</w:t>
      </w:r>
      <w:r>
        <w:rPr>
          <w:rFonts w:hint="eastAsia" w:ascii="Times New Roman" w:hAnsi="Times New Roman" w:eastAsia="方正仿宋_GBK" w:cs="Times New Roman"/>
          <w:b w:val="0"/>
          <w:i w:val="0"/>
          <w:color w:val="000000"/>
          <w:sz w:val="32"/>
          <w:szCs w:val="32"/>
          <w:lang w:eastAsia="zh-CN"/>
        </w:rPr>
        <w:t>、工委改非领导</w:t>
      </w:r>
      <w:r>
        <w:rPr>
          <w:rFonts w:hint="eastAsia" w:ascii="Times New Roman" w:hAnsi="Times New Roman" w:eastAsia="方正仿宋_GBK" w:cs="Times New Roman"/>
          <w:b w:val="0"/>
          <w:i w:val="0"/>
          <w:color w:val="000000"/>
          <w:sz w:val="32"/>
          <w:szCs w:val="32"/>
          <w:lang w:val="en-US" w:eastAsia="zh-CN"/>
        </w:rPr>
        <w:t>1</w:t>
      </w:r>
      <w:r>
        <w:rPr>
          <w:rFonts w:hint="eastAsia" w:ascii="Times New Roman" w:hAnsi="Times New Roman" w:eastAsia="方正仿宋_GBK" w:cs="Times New Roman"/>
          <w:b w:val="0"/>
          <w:i w:val="0"/>
          <w:color w:val="000000"/>
          <w:sz w:val="32"/>
          <w:szCs w:val="32"/>
        </w:rPr>
        <w:t>人，驾驶员</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rPr>
        <w:t>人，借用人员</w:t>
      </w:r>
      <w:r>
        <w:rPr>
          <w:rFonts w:hint="eastAsia" w:ascii="Times New Roman" w:hAnsi="Times New Roman" w:eastAsia="方正仿宋_GBK" w:cs="Times New Roman"/>
          <w:b w:val="0"/>
          <w:i w:val="0"/>
          <w:color w:val="000000"/>
          <w:sz w:val="32"/>
          <w:szCs w:val="32"/>
          <w:lang w:val="en-US" w:eastAsia="zh-CN"/>
        </w:rPr>
        <w:t>1</w:t>
      </w:r>
      <w:r>
        <w:rPr>
          <w:rFonts w:hint="eastAsia" w:ascii="Times New Roman" w:hAnsi="Times New Roman" w:eastAsia="方正仿宋_GBK" w:cs="Times New Roman"/>
          <w:b w:val="0"/>
          <w:i w:val="0"/>
          <w:color w:val="000000"/>
          <w:sz w:val="32"/>
          <w:szCs w:val="32"/>
        </w:rPr>
        <w:t>人，劳务派遣人员</w:t>
      </w:r>
      <w:r>
        <w:rPr>
          <w:rFonts w:hint="default" w:ascii="Times New Roman" w:hAnsi="Times New Roman" w:eastAsia="方正仿宋_GBK" w:cs="Times New Roman"/>
          <w:b w:val="0"/>
          <w:i w:val="0"/>
          <w:color w:val="000000"/>
          <w:sz w:val="32"/>
          <w:szCs w:val="32"/>
        </w:rPr>
        <w:t>2</w:t>
      </w:r>
      <w:r>
        <w:rPr>
          <w:rFonts w:hint="eastAsia" w:ascii="Times New Roman" w:hAnsi="Times New Roman" w:eastAsia="方正仿宋_GBK" w:cs="Times New Roman"/>
          <w:b w:val="0"/>
          <w:i w:val="0"/>
          <w:color w:val="000000"/>
          <w:sz w:val="32"/>
          <w:szCs w:val="32"/>
        </w:rPr>
        <w:t>人，西部计划志愿者（区县计划）2人，编制在人大未在人大工作的1人</w:t>
      </w:r>
      <w:r>
        <w:rPr>
          <w:rFonts w:hint="eastAsia" w:ascii="Times New Roman" w:hAnsi="Times New Roman" w:eastAsia="方正仿宋_GBK" w:cs="Times New Roman"/>
          <w:b w:val="0"/>
          <w:i w:val="0"/>
          <w:color w:val="000000"/>
          <w:sz w:val="32"/>
          <w:szCs w:val="32"/>
          <w:lang w:eastAsia="zh-CN"/>
        </w:rPr>
        <w:t>，</w:t>
      </w:r>
      <w:r>
        <w:rPr>
          <w:rFonts w:hint="eastAsia" w:ascii="Times New Roman" w:hAnsi="Times New Roman" w:eastAsia="方正仿宋_GBK" w:cs="Times New Roman"/>
          <w:b w:val="0"/>
          <w:i w:val="0"/>
          <w:color w:val="000000"/>
          <w:sz w:val="32"/>
          <w:szCs w:val="32"/>
        </w:rPr>
        <w:t>实有人数</w:t>
      </w:r>
      <w:r>
        <w:rPr>
          <w:rFonts w:hint="eastAsia" w:ascii="Times New Roman" w:hAnsi="Times New Roman" w:eastAsia="方正仿宋_GBK" w:cs="Times New Roman"/>
          <w:b w:val="0"/>
          <w:i w:val="0"/>
          <w:color w:val="000000"/>
          <w:sz w:val="32"/>
          <w:szCs w:val="32"/>
          <w:lang w:val="en-US" w:eastAsia="zh-CN"/>
        </w:rPr>
        <w:t>61</w:t>
      </w:r>
      <w:r>
        <w:rPr>
          <w:rFonts w:hint="eastAsia" w:ascii="Times New Roman" w:hAnsi="Times New Roman" w:eastAsia="方正仿宋_GBK" w:cs="Times New Roman"/>
          <w:b w:val="0"/>
          <w:i w:val="0"/>
          <w:color w:val="000000"/>
          <w:sz w:val="32"/>
          <w:szCs w:val="32"/>
        </w:rPr>
        <w:t>人；离休人员</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rPr>
        <w:t>人，退休副厅级人员</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rPr>
        <w:t>人，退休县级领导和享受县级待遇人员</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6</w:t>
      </w:r>
      <w:r>
        <w:rPr>
          <w:rFonts w:hint="eastAsia" w:ascii="Times New Roman" w:hAnsi="Times New Roman" w:eastAsia="方正仿宋_GBK" w:cs="Times New Roman"/>
          <w:b w:val="0"/>
          <w:i w:val="0"/>
          <w:color w:val="000000"/>
          <w:sz w:val="32"/>
          <w:szCs w:val="32"/>
        </w:rPr>
        <w:t>人，退休科级人员</w:t>
      </w:r>
      <w:r>
        <w:rPr>
          <w:rFonts w:hint="eastAsia" w:ascii="Times New Roman" w:hAnsi="Times New Roman" w:eastAsia="方正仿宋_GBK" w:cs="Times New Roman"/>
          <w:b w:val="0"/>
          <w:i w:val="0"/>
          <w:color w:val="000000"/>
          <w:sz w:val="32"/>
          <w:szCs w:val="32"/>
          <w:lang w:val="en-US" w:eastAsia="zh-CN"/>
        </w:rPr>
        <w:t>12</w:t>
      </w:r>
      <w:r>
        <w:rPr>
          <w:rFonts w:hint="eastAsia" w:ascii="Times New Roman" w:hAnsi="Times New Roman" w:eastAsia="方正仿宋_GBK" w:cs="Times New Roman"/>
          <w:b w:val="0"/>
          <w:i w:val="0"/>
          <w:color w:val="000000"/>
          <w:sz w:val="32"/>
          <w:szCs w:val="32"/>
        </w:rPr>
        <w:t>人，共有离退休人员</w:t>
      </w:r>
      <w:r>
        <w:rPr>
          <w:rFonts w:hint="eastAsia" w:ascii="Times New Roman" w:hAnsi="Times New Roman" w:eastAsia="方正仿宋_GBK" w:cs="Times New Roman"/>
          <w:b w:val="0"/>
          <w:i w:val="0"/>
          <w:color w:val="000000"/>
          <w:sz w:val="32"/>
          <w:szCs w:val="32"/>
          <w:lang w:val="en-US" w:eastAsia="zh-CN"/>
        </w:rPr>
        <w:t>53</w:t>
      </w:r>
      <w:r>
        <w:rPr>
          <w:rFonts w:hint="eastAsia" w:ascii="Times New Roman" w:hAnsi="Times New Roman" w:eastAsia="方正仿宋_GBK" w:cs="Times New Roman"/>
          <w:b w:val="0"/>
          <w:i w:val="0"/>
          <w:color w:val="000000"/>
          <w:sz w:val="32"/>
          <w:szCs w:val="32"/>
        </w:rPr>
        <w:t>人；县人大</w:t>
      </w:r>
      <w:r>
        <w:rPr>
          <w:rFonts w:hint="eastAsia" w:ascii="Times New Roman" w:hAnsi="Times New Roman" w:eastAsia="方正仿宋_GBK" w:cs="Times New Roman"/>
          <w:b w:val="0"/>
          <w:i w:val="0"/>
          <w:color w:val="000000"/>
          <w:sz w:val="32"/>
          <w:szCs w:val="32"/>
          <w:lang w:eastAsia="zh-CN"/>
        </w:rPr>
        <w:t>常委会</w:t>
      </w:r>
      <w:r>
        <w:rPr>
          <w:rFonts w:hint="eastAsia" w:ascii="Times New Roman" w:hAnsi="Times New Roman" w:eastAsia="方正仿宋_GBK" w:cs="Times New Roman"/>
          <w:b w:val="0"/>
          <w:i w:val="0"/>
          <w:color w:val="000000"/>
          <w:sz w:val="32"/>
          <w:szCs w:val="32"/>
        </w:rPr>
        <w:t>机关在编与离退休人员共</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lang w:val="en-US" w:eastAsia="zh-CN"/>
        </w:rPr>
        <w:t>15</w:t>
      </w:r>
      <w:r>
        <w:rPr>
          <w:rFonts w:hint="eastAsia" w:ascii="Times New Roman" w:hAnsi="Times New Roman" w:eastAsia="方正仿宋_GBK" w:cs="Times New Roman"/>
          <w:b w:val="0"/>
          <w:i w:val="0"/>
          <w:color w:val="000000"/>
          <w:sz w:val="32"/>
          <w:szCs w:val="32"/>
        </w:rPr>
        <w:t>人（含未在编和借用、劳务派遣人员共</w:t>
      </w:r>
      <w:r>
        <w:rPr>
          <w:rFonts w:hint="eastAsia" w:ascii="Times New Roman" w:hAnsi="Times New Roman" w:eastAsia="方正仿宋_GBK" w:cs="Times New Roman"/>
          <w:b w:val="0"/>
          <w:i w:val="0"/>
          <w:color w:val="000000"/>
          <w:sz w:val="32"/>
          <w:szCs w:val="32"/>
          <w:lang w:val="en-US" w:eastAsia="zh-CN"/>
        </w:rPr>
        <w:t>25</w:t>
      </w:r>
      <w:r>
        <w:rPr>
          <w:rFonts w:hint="eastAsia" w:ascii="Times New Roman" w:hAnsi="Times New Roman" w:eastAsia="方正仿宋_GBK" w:cs="Times New Roman"/>
          <w:b w:val="0"/>
          <w:i w:val="0"/>
          <w:color w:val="000000"/>
          <w:sz w:val="32"/>
          <w:szCs w:val="32"/>
        </w:rPr>
        <w:t>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二、部门决算收支情况说明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（一）收入支出决算总体情况说明</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default" w:ascii="Times New Roman" w:hAnsi="Times New Roman" w:eastAsia="方正仿宋_GBK" w:cs="Times New Roman"/>
          <w:b w:val="0"/>
          <w:i w:val="0"/>
          <w:color w:val="000000"/>
          <w:sz w:val="32"/>
          <w:szCs w:val="32"/>
        </w:rPr>
      </w:pPr>
      <w:r>
        <w:rPr>
          <w:rFonts w:hint="default" w:ascii="Times New Roman" w:hAnsi="Times New Roman" w:eastAsia="方正仿宋_GBK" w:cs="Times New Roman"/>
          <w:b w:val="0"/>
          <w:i w:val="0"/>
          <w:color w:val="000000"/>
          <w:sz w:val="32"/>
          <w:szCs w:val="32"/>
        </w:rPr>
        <w:t>2024</w:t>
      </w:r>
      <w:r>
        <w:rPr>
          <w:rFonts w:hint="eastAsia" w:ascii="Times New Roman" w:hAnsi="Times New Roman" w:eastAsia="方正仿宋_GBK" w:cs="Times New Roman"/>
          <w:b w:val="0"/>
          <w:i w:val="0"/>
          <w:color w:val="000000"/>
          <w:sz w:val="32"/>
          <w:szCs w:val="32"/>
        </w:rPr>
        <w:t>年度收</w:t>
      </w:r>
      <w:r>
        <w:rPr>
          <w:rFonts w:hint="eastAsia" w:ascii="Times New Roman" w:hAnsi="Times New Roman" w:eastAsia="方正仿宋_GBK" w:cs="Times New Roman"/>
          <w:b w:val="0"/>
          <w:i w:val="0"/>
          <w:color w:val="000000"/>
          <w:sz w:val="32"/>
          <w:szCs w:val="32"/>
          <w:lang w:eastAsia="zh-CN"/>
        </w:rPr>
        <w:t>、支</w:t>
      </w:r>
      <w:r>
        <w:rPr>
          <w:rFonts w:hint="eastAsia" w:ascii="Times New Roman" w:hAnsi="Times New Roman" w:eastAsia="方正仿宋_GBK" w:cs="Times New Roman"/>
          <w:b w:val="0"/>
          <w:i w:val="0"/>
          <w:color w:val="000000"/>
          <w:sz w:val="32"/>
          <w:szCs w:val="32"/>
        </w:rPr>
        <w:t>总计</w:t>
      </w:r>
      <w:r>
        <w:rPr>
          <w:rFonts w:hint="eastAsia" w:ascii="Times New Roman" w:hAnsi="Times New Roman" w:eastAsia="方正仿宋_GBK" w:cs="Times New Roman"/>
          <w:b w:val="0"/>
          <w:i w:val="0"/>
          <w:color w:val="000000"/>
          <w:sz w:val="32"/>
          <w:szCs w:val="32"/>
          <w:lang w:eastAsia="zh-CN"/>
        </w:rPr>
        <w:t>均为</w:t>
      </w:r>
      <w:r>
        <w:rPr>
          <w:rFonts w:hint="default" w:ascii="Times New Roman" w:hAnsi="Times New Roman" w:eastAsia="方正仿宋_GBK" w:cs="Times New Roman"/>
          <w:b w:val="0"/>
          <w:i w:val="0"/>
          <w:color w:val="000000"/>
          <w:sz w:val="32"/>
          <w:szCs w:val="32"/>
        </w:rPr>
        <w:t>1508.81</w:t>
      </w:r>
      <w:r>
        <w:rPr>
          <w:rFonts w:hint="eastAsia" w:ascii="Times New Roman" w:hAnsi="Times New Roman" w:eastAsia="方正仿宋_GBK" w:cs="Times New Roman"/>
          <w:b w:val="0"/>
          <w:i w:val="0"/>
          <w:color w:val="000000"/>
          <w:sz w:val="32"/>
          <w:szCs w:val="32"/>
        </w:rPr>
        <w:t>万元。</w:t>
      </w:r>
      <w:r>
        <w:rPr>
          <w:rFonts w:hint="default" w:ascii="Times New Roman" w:hAnsi="Times New Roman" w:eastAsia="方正仿宋_GBK" w:cs="Times New Roman"/>
          <w:b w:val="0"/>
          <w:i w:val="0"/>
          <w:color w:val="000000"/>
          <w:sz w:val="32"/>
          <w:szCs w:val="32"/>
        </w:rPr>
        <w:t>收、支与2023年度相比，减少103.38万元，下降6.4%</w:t>
      </w:r>
      <w:r>
        <w:rPr>
          <w:rFonts w:hint="eastAsia" w:ascii="Times New Roman" w:hAnsi="Times New Roman" w:eastAsia="方正仿宋_GBK" w:cs="Times New Roman"/>
          <w:b w:val="0"/>
          <w:i w:val="0"/>
          <w:color w:val="000000"/>
          <w:sz w:val="32"/>
          <w:szCs w:val="32"/>
        </w:rPr>
        <w:t>，主要原因</w:t>
      </w:r>
      <w:r>
        <w:rPr>
          <w:rFonts w:hint="eastAsia" w:ascii="Times New Roman" w:hAnsi="Times New Roman" w:eastAsia="方正仿宋_GBK" w:cs="Times New Roman"/>
          <w:b w:val="0"/>
          <w:i w:val="0"/>
          <w:color w:val="000000"/>
          <w:sz w:val="32"/>
          <w:szCs w:val="32"/>
          <w:lang w:val="en-US" w:eastAsia="zh-CN"/>
        </w:rPr>
        <w:t>是人员减少。</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kern w:val="0"/>
          <w:sz w:val="32"/>
          <w:szCs w:val="32"/>
          <w:lang w:val="en-US" w:eastAsia="zh-CN" w:bidi="ar-SA"/>
        </w:rPr>
        <w:t>2024年度收入合计1463.41万元，与2023年度相比，减少98.27万元，下降6.3%，主要原因是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其中：财政拨款收入1463.41万元，占100.0%；事业收入0.00万元，占0.0%；经营收入0.00万元，占0.0%；其他收入0.00万元，占0.0%。此外，</w:t>
      </w:r>
      <w:r>
        <w:rPr>
          <w:rFonts w:hint="eastAsia" w:ascii="Times New Roman" w:hAnsi="Times New Roman" w:eastAsia="方正仿宋_GBK" w:cs="Times New Roman"/>
          <w:b w:val="0"/>
          <w:i w:val="0"/>
          <w:color w:val="000000"/>
          <w:kern w:val="0"/>
          <w:sz w:val="32"/>
          <w:szCs w:val="32"/>
          <w:lang w:val="en-US" w:eastAsia="zh-CN" w:bidi="ar-SA"/>
        </w:rPr>
        <w:t>使用非财政拨款结余（含专用结余）</w:t>
      </w:r>
      <w:r>
        <w:rPr>
          <w:rFonts w:hint="default" w:ascii="Times New Roman" w:hAnsi="Times New Roman" w:eastAsia="方正仿宋_GBK" w:cs="Times New Roman"/>
          <w:b w:val="0"/>
          <w:i w:val="0"/>
          <w:color w:val="000000"/>
          <w:kern w:val="0"/>
          <w:sz w:val="32"/>
          <w:szCs w:val="32"/>
          <w:lang w:val="en-US" w:eastAsia="zh-CN" w:bidi="ar-SA"/>
        </w:rPr>
        <w:t>0.00万元，年初结转和结余45.40万元。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b w:val="0"/>
          <w:i w:val="0"/>
          <w:color w:val="000000"/>
          <w:kern w:val="0"/>
          <w:sz w:val="32"/>
          <w:szCs w:val="32"/>
          <w:lang w:val="en-US" w:eastAsia="zh-CN" w:bidi="ar-SA"/>
        </w:rPr>
        <w:t>2024年度支出合计1508.81万元，与2023年度相比，减少103.38万元，下降6.4%，主要原因是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其中：基本支出1232.21万元，占81.7%；项目支出276.60万元，占18.3%；经营支出0.00万元，占0.0%。此外，结余分配0.00万元。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b w:val="0"/>
          <w:i w:val="0"/>
          <w:color w:val="000000"/>
          <w:kern w:val="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b w:val="0"/>
          <w:i w:val="0"/>
          <w:color w:val="000000"/>
          <w:kern w:val="0"/>
          <w:sz w:val="32"/>
          <w:szCs w:val="32"/>
          <w:lang w:val="en-US" w:eastAsia="zh-CN" w:bidi="ar-SA"/>
        </w:rPr>
        <w:t>2024年度年末结转和结余0.00万元，与2023年度相比，无增减</w:t>
      </w:r>
      <w:r>
        <w:rPr>
          <w:rFonts w:hint="eastAsia" w:ascii="Times New Roman" w:hAnsi="Times New Roman" w:eastAsia="方正仿宋_GBK" w:cs="Times New Roman"/>
          <w:b w:val="0"/>
          <w:i w:val="0"/>
          <w:color w:val="000000"/>
          <w:kern w:val="0"/>
          <w:sz w:val="32"/>
          <w:szCs w:val="32"/>
          <w:lang w:val="en-US" w:eastAsia="zh-CN" w:bidi="ar-SA"/>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Fonts w:hint="default" w:ascii="Times New Roman" w:hAnsi="Times New Roman" w:eastAsia="方正仿宋_GBK" w:cs="Times New Roman"/>
          <w:b w:val="0"/>
          <w:i w:val="0"/>
          <w:color w:val="000000"/>
          <w:kern w:val="0"/>
          <w:sz w:val="32"/>
          <w:szCs w:val="32"/>
          <w:lang w:val="en-US" w:eastAsia="zh-CN" w:bidi="ar-SA"/>
        </w:rPr>
        <w:t>2024年度财政拨款收、支总计均为1508.81万元。与2023年</w:t>
      </w:r>
      <w:r>
        <w:rPr>
          <w:rFonts w:hint="eastAsia" w:ascii="Times New Roman" w:hAnsi="Times New Roman" w:eastAsia="方正仿宋_GBK" w:cs="Times New Roman"/>
          <w:b w:val="0"/>
          <w:i w:val="0"/>
          <w:color w:val="000000"/>
          <w:kern w:val="0"/>
          <w:sz w:val="32"/>
          <w:szCs w:val="32"/>
          <w:lang w:val="en-US" w:eastAsia="zh-CN" w:bidi="ar-SA"/>
        </w:rPr>
        <w:t>度</w:t>
      </w:r>
      <w:r>
        <w:rPr>
          <w:rFonts w:hint="default" w:ascii="Times New Roman" w:hAnsi="Times New Roman" w:eastAsia="方正仿宋_GBK" w:cs="Times New Roman"/>
          <w:b w:val="0"/>
          <w:i w:val="0"/>
          <w:color w:val="000000"/>
          <w:kern w:val="0"/>
          <w:sz w:val="32"/>
          <w:szCs w:val="32"/>
          <w:lang w:val="en-US" w:eastAsia="zh-CN" w:bidi="ar-SA"/>
        </w:rPr>
        <w:t>相比，财政拨款收、支总计各减少103.38万元，下降6.4%。主要原因是</w:t>
      </w:r>
      <w:r>
        <w:rPr>
          <w:rFonts w:hint="eastAsia" w:ascii="Times New Roman" w:hAnsi="Times New Roman" w:eastAsia="方正仿宋_GBK" w:cs="Times New Roman"/>
          <w:b w:val="0"/>
          <w:i w:val="0"/>
          <w:color w:val="000000"/>
          <w:kern w:val="0"/>
          <w:sz w:val="32"/>
          <w:szCs w:val="32"/>
          <w:lang w:val="en-US" w:eastAsia="zh-CN" w:bidi="ar-SA"/>
        </w:rPr>
        <w:t>人员减少。</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Style w:val="13"/>
          <w:rFonts w:hint="default" w:ascii="Times New Roman" w:hAnsi="Times New Roman" w:eastAsia="方正仿宋_GBK" w:cs="Times New Roman"/>
          <w:sz w:val="32"/>
          <w:szCs w:val="32"/>
          <w:shd w:val="clear" w:color="auto" w:fill="FFFFFF"/>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kern w:val="0"/>
          <w:sz w:val="32"/>
          <w:szCs w:val="32"/>
          <w:lang w:val="en-US" w:eastAsia="zh-CN" w:bidi="ar-SA"/>
        </w:rPr>
        <w:t>2024年度一般公共预算财政拨款收入1463.41万元，与2023年度相比，减少98.27万元，下降6.3%。主要原因是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。较年初预算数增加183.13万元，增长14.3%。主要原因</w:t>
      </w:r>
      <w:r>
        <w:rPr>
          <w:rFonts w:hint="eastAsia" w:ascii="Times New Roman" w:hAnsi="Times New Roman" w:eastAsia="方正仿宋_GBK" w:cs="Times New Roman"/>
          <w:b w:val="0"/>
          <w:i w:val="0"/>
          <w:color w:val="000000"/>
          <w:kern w:val="0"/>
          <w:sz w:val="32"/>
          <w:szCs w:val="32"/>
          <w:lang w:val="en-US" w:eastAsia="zh-CN" w:bidi="ar-SA"/>
        </w:rPr>
        <w:t>是编制未在人大的工委正、副主任的日常公用经费由原预算单位调整到了本单位。</w:t>
      </w:r>
      <w:r>
        <w:rPr>
          <w:rFonts w:hint="default" w:ascii="Times New Roman" w:hAnsi="Times New Roman" w:eastAsia="方正仿宋_GBK" w:cs="Times New Roman"/>
          <w:b w:val="0"/>
          <w:i w:val="0"/>
          <w:color w:val="000000"/>
          <w:kern w:val="0"/>
          <w:sz w:val="32"/>
          <w:szCs w:val="32"/>
          <w:lang w:val="en-US" w:eastAsia="zh-CN" w:bidi="ar-SA"/>
        </w:rPr>
        <w:t>此外，年初财政拨款结转和结余45.40万元。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1508.81</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与2023年度相比，减少103.38万元，下降6.4%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i w:val="0"/>
          <w:color w:val="000000"/>
          <w:kern w:val="0"/>
          <w:sz w:val="32"/>
          <w:szCs w:val="32"/>
          <w:lang w:val="en-US" w:eastAsia="zh-CN" w:bidi="ar-SA"/>
        </w:rPr>
        <w:t>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sz w:val="32"/>
          <w:szCs w:val="32"/>
          <w:shd w:val="clear" w:color="auto" w:fill="FFFFFF"/>
        </w:rPr>
        <w:t>较年初预算数增加228.53万元，增长17.9%</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val="en-US" w:eastAsia="zh-CN"/>
        </w:rPr>
        <w:t>是</w:t>
      </w:r>
      <w:r>
        <w:rPr>
          <w:rFonts w:hint="eastAsia" w:ascii="Times New Roman" w:hAnsi="Times New Roman" w:eastAsia="方正仿宋_GBK" w:cs="Times New Roman"/>
          <w:b w:val="0"/>
          <w:i w:val="0"/>
          <w:color w:val="000000"/>
          <w:kern w:val="0"/>
          <w:sz w:val="32"/>
          <w:szCs w:val="32"/>
          <w:lang w:val="en-US" w:eastAsia="zh-CN" w:bidi="ar-SA"/>
        </w:rPr>
        <w:t>编制未在人大的工委正、副主任的日常公用经费由原预算单位调整到了本单位。</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z w:val="32"/>
          <w:szCs w:val="32"/>
          <w:highlight w:val="none"/>
          <w:shd w:val="clear" w:color="auto" w:fill="FFFFFF"/>
        </w:rPr>
      </w:pPr>
      <w:r>
        <w:rPr>
          <w:rFonts w:ascii="Times New Roman" w:hAnsi="Times New Roman" w:eastAsia="方正仿宋_GBK" w:cs="Times New Roman"/>
          <w:sz w:val="32"/>
          <w:szCs w:val="32"/>
          <w:highlight w:val="none"/>
          <w:shd w:val="clear" w:color="auto" w:fill="FFFFFF"/>
        </w:rPr>
        <w:t>一般公共预算财政拨款支出主要</w:t>
      </w:r>
      <w:r>
        <w:rPr>
          <w:rFonts w:hint="eastAsia" w:ascii="Times New Roman" w:hAnsi="Times New Roman" w:eastAsia="方正仿宋_GBK" w:cs="Times New Roman"/>
          <w:sz w:val="32"/>
          <w:szCs w:val="32"/>
          <w:highlight w:val="none"/>
          <w:shd w:val="clear" w:color="auto" w:fill="FFFFFF"/>
          <w:lang w:eastAsia="zh-CN"/>
        </w:rPr>
        <w:t>用途如下</w:t>
      </w:r>
      <w:r>
        <w:rPr>
          <w:rFonts w:ascii="Times New Roman" w:hAnsi="Times New Roman" w:eastAsia="方正仿宋_GBK" w:cs="Times New Roman"/>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1）</w:t>
      </w:r>
      <w:r>
        <w:rPr>
          <w:rFonts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1081.04</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71.7%</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较年初预算数增加162.84万元，增长17.7%</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编制未在人大的工委正、副主任的</w:t>
      </w:r>
      <w:r>
        <w:rPr>
          <w:rFonts w:hint="eastAsia" w:ascii="Times New Roman" w:hAnsi="Times New Roman" w:eastAsia="方正仿宋_GBK" w:cs="Times New Roman"/>
          <w:sz w:val="32"/>
          <w:szCs w:val="32"/>
          <w:shd w:val="clear" w:color="auto" w:fill="FFFFFF"/>
          <w:lang w:eastAsia="zh-CN"/>
        </w:rPr>
        <w:t>日常</w:t>
      </w:r>
      <w:r>
        <w:rPr>
          <w:rFonts w:hint="eastAsia"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eastAsia="zh-CN"/>
        </w:rPr>
        <w:t>由原预算单位调整到了本单位。</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ind w:left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2）</w:t>
      </w:r>
      <w:r>
        <w:rPr>
          <w:rFonts w:ascii="Times New Roman" w:hAnsi="Times New Roman" w:eastAsia="方正仿宋_GBK" w:cs="Times New Roman"/>
          <w:sz w:val="32"/>
          <w:szCs w:val="32"/>
          <w:shd w:val="clear" w:color="auto" w:fill="FFFFFF"/>
        </w:rPr>
        <w:t>社会保障</w:t>
      </w:r>
      <w:r>
        <w:rPr>
          <w:rFonts w:hint="eastAsia" w:ascii="Times New Roman" w:hAnsi="Times New Roman" w:eastAsia="方正仿宋_GBK" w:cs="Times New Roman"/>
          <w:sz w:val="32"/>
          <w:szCs w:val="32"/>
          <w:shd w:val="clear" w:color="auto" w:fill="FFFFFF"/>
          <w:lang w:eastAsia="zh-CN"/>
        </w:rPr>
        <w:t>和</w:t>
      </w:r>
      <w:r>
        <w:rPr>
          <w:rFonts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299.51</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19.9%</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jc w:val="both"/>
        <w:textAlignment w:val="auto"/>
        <w:rPr>
          <w:rFonts w:hint="eastAsia" w:ascii="Times New Roman" w:hAnsi="Times New Roman" w:eastAsia="方正仿宋_GBK" w:cs="Times New Roman"/>
          <w:b w:val="0"/>
          <w:i w:val="0"/>
          <w:color w:val="000000"/>
          <w:sz w:val="32"/>
          <w:szCs w:val="32"/>
        </w:rPr>
      </w:pPr>
      <w:r>
        <w:rPr>
          <w:rFonts w:hint="default" w:ascii="Times New Roman" w:hAnsi="Times New Roman" w:eastAsia="方正仿宋_GBK" w:cs="Times New Roman"/>
          <w:sz w:val="32"/>
          <w:szCs w:val="32"/>
          <w:shd w:val="clear" w:color="auto" w:fill="FFFFFF"/>
        </w:rPr>
        <w:t>初预算数增加64.59万元，增长27.5%</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b w:val="0"/>
          <w:i w:val="0"/>
          <w:color w:val="000000"/>
          <w:sz w:val="32"/>
          <w:szCs w:val="32"/>
        </w:rPr>
        <w:t>工资提高增加养老保险、职业年金和退休健康休养费标准提高。</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Chars="200"/>
        <w:jc w:val="both"/>
        <w:textAlignment w:val="auto"/>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65.10</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4.3%</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增加0.72万元，增长1.1%</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工资</w:t>
      </w:r>
      <w:r>
        <w:rPr>
          <w:rFonts w:hint="eastAsia" w:ascii="Times New Roman" w:hAnsi="Times New Roman" w:eastAsia="方正仿宋_GBK" w:cs="Times New Roman"/>
          <w:sz w:val="32"/>
          <w:szCs w:val="32"/>
          <w:shd w:val="clear" w:color="auto" w:fill="FFFFFF"/>
          <w:lang w:val="en-US" w:eastAsia="zh-CN"/>
        </w:rPr>
        <w:t>调标后医保</w:t>
      </w:r>
      <w:r>
        <w:rPr>
          <w:rFonts w:hint="eastAsia" w:ascii="Times New Roman" w:hAnsi="Times New Roman" w:eastAsia="方正仿宋_GBK" w:cs="Times New Roman"/>
          <w:sz w:val="32"/>
          <w:szCs w:val="32"/>
          <w:shd w:val="clear" w:color="auto" w:fill="FFFFFF"/>
        </w:rPr>
        <w:t>标准提高。</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Chars="200"/>
        <w:jc w:val="both"/>
        <w:textAlignment w:val="auto"/>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住房保障支出</w:t>
      </w:r>
      <w:r>
        <w:rPr>
          <w:rFonts w:hint="default" w:ascii="Times New Roman" w:hAnsi="Times New Roman" w:eastAsia="方正仿宋_GBK" w:cs="Times New Roman"/>
          <w:sz w:val="32"/>
          <w:szCs w:val="32"/>
          <w:shd w:val="clear" w:color="auto" w:fill="FFFFFF"/>
        </w:rPr>
        <w:t>63.17</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p>
    <w:p>
      <w:pPr>
        <w:pStyle w:val="9"/>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增加0.39万元，增长0.6%</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工资</w:t>
      </w:r>
      <w:r>
        <w:rPr>
          <w:rFonts w:hint="eastAsia" w:ascii="Times New Roman" w:hAnsi="Times New Roman" w:eastAsia="方正仿宋_GBK" w:cs="Times New Roman"/>
          <w:sz w:val="32"/>
          <w:szCs w:val="32"/>
          <w:shd w:val="clear" w:color="auto" w:fill="FFFFFF"/>
          <w:lang w:val="en-US" w:eastAsia="zh-CN"/>
        </w:rPr>
        <w:t>调标后公积金</w:t>
      </w:r>
      <w:r>
        <w:rPr>
          <w:rFonts w:hint="eastAsia" w:ascii="Times New Roman" w:hAnsi="Times New Roman" w:eastAsia="方正仿宋_GBK" w:cs="Times New Roman"/>
          <w:sz w:val="32"/>
          <w:szCs w:val="32"/>
          <w:shd w:val="clear" w:color="auto" w:fill="FFFFFF"/>
        </w:rPr>
        <w:t>标准提高。</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eastAsia" w:ascii="Times New Roman" w:hAnsi="Times New Roman" w:eastAsia="方正仿宋_GBK" w:cs="Times New Roman"/>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1232.21</w:t>
      </w:r>
      <w:r>
        <w:rPr>
          <w:rFonts w:ascii="Times New Roman" w:hAnsi="Times New Roman" w:eastAsia="方正仿宋_GBK" w:cs="Times New Roman"/>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1021.23</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与2023年度相比，减少140.33万元，下降12.1%</w:t>
      </w:r>
      <w:r>
        <w:rPr>
          <w:rFonts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val="en-US" w:eastAsia="zh-CN"/>
        </w:rPr>
        <w:t>人员减少。</w:t>
      </w:r>
      <w:r>
        <w:rPr>
          <w:rFonts w:ascii="Times New Roman" w:hAnsi="Times New Roman" w:eastAsia="方正仿宋_GBK" w:cs="Times New Roman"/>
          <w:sz w:val="32"/>
          <w:szCs w:val="32"/>
          <w:shd w:val="clear" w:color="auto" w:fill="FFFFFF"/>
        </w:rPr>
        <w:t>人员经费用途</w:t>
      </w:r>
      <w:r>
        <w:rPr>
          <w:rFonts w:hint="default" w:ascii="Times New Roman" w:hAnsi="Times New Roman" w:eastAsia="方正仿宋_GBK" w:cs="Times New Roman"/>
          <w:sz w:val="32"/>
          <w:szCs w:val="32"/>
          <w:shd w:val="clear" w:color="auto" w:fill="FFFFFF"/>
        </w:rPr>
        <w:t>主要包括</w:t>
      </w:r>
      <w:r>
        <w:rPr>
          <w:rFonts w:hint="eastAsia" w:ascii="Times New Roman" w:hAnsi="Times New Roman" w:eastAsia="方正仿宋_GBK" w:cs="Times New Roman"/>
          <w:sz w:val="32"/>
          <w:szCs w:val="32"/>
          <w:shd w:val="clear" w:color="auto" w:fill="FFFFFF"/>
        </w:rPr>
        <w:t>基本工资、津贴补贴、奖金、社会保障缴费、其他工资福利支出。</w:t>
      </w:r>
      <w:r>
        <w:rPr>
          <w:rFonts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210.98</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与2023年度相比，增加19.95万元，增长10.4%</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编制未在人大的工委正、副主任的</w:t>
      </w:r>
      <w:r>
        <w:rPr>
          <w:rFonts w:hint="eastAsia" w:ascii="Times New Roman" w:hAnsi="Times New Roman" w:eastAsia="方正仿宋_GBK" w:cs="Times New Roman"/>
          <w:sz w:val="32"/>
          <w:szCs w:val="32"/>
          <w:shd w:val="clear" w:color="auto" w:fill="FFFFFF"/>
          <w:lang w:eastAsia="zh-CN"/>
        </w:rPr>
        <w:t>日常</w:t>
      </w:r>
      <w:r>
        <w:rPr>
          <w:rFonts w:hint="eastAsia"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eastAsia="zh-CN"/>
        </w:rPr>
        <w:t>由原预算单位调整到了本单位。</w:t>
      </w:r>
      <w:r>
        <w:rPr>
          <w:rFonts w:hint="eastAsia" w:ascii="Times New Roman" w:hAnsi="Times New Roman" w:eastAsia="方正仿宋_GBK" w:cs="Times New Roman"/>
          <w:sz w:val="32"/>
          <w:szCs w:val="32"/>
          <w:shd w:val="clear" w:color="auto" w:fill="FFFFFF"/>
        </w:rPr>
        <w:t>公用经费用途主要包括办公费、水、电费、通讯费、差旅费</w:t>
      </w:r>
      <w:r>
        <w:rPr>
          <w:rFonts w:hint="eastAsia" w:ascii="Times New Roman" w:hAnsi="Times New Roman" w:eastAsia="方正仿宋_GBK" w:cs="Times New Roman"/>
          <w:sz w:val="32"/>
          <w:szCs w:val="32"/>
          <w:shd w:val="clear" w:color="auto" w:fill="FFFFFF"/>
          <w:lang w:eastAsia="zh-CN"/>
        </w:rPr>
        <w:t>、劳务费</w:t>
      </w:r>
      <w:r>
        <w:rPr>
          <w:rFonts w:hint="eastAsia" w:ascii="Times New Roman" w:hAnsi="Times New Roman" w:eastAsia="方正仿宋_GBK" w:cs="Times New Roman"/>
          <w:sz w:val="32"/>
          <w:szCs w:val="32"/>
          <w:shd w:val="clear" w:color="auto" w:fill="FFFFFF"/>
        </w:rPr>
        <w:t>等。</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4年度无政府性基金预算财政拨款收支。</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right="0" w:rightChars="0"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（六）国有资本经营预算财政拨款支出决算情况说明</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楷体" w:cs="Times New Roman"/>
          <w:b/>
          <w:bCs/>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4年度无国有资本经营预算财政拨款支出。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三、财政拨款“三公”经费情况说明</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（一）“三公”经费支出总体情况说明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15.02</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较年初预算数减少1.28万元，下降7.9%</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较上年支出数增加0.43万元，增长3.0%</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val="en-US" w:eastAsia="zh-CN" w:bidi="ar-SA"/>
        </w:rPr>
        <w:t>是2024年下乡镇调研、视察等工作增加导致所需车辆的燃料费、维修费、过桥过路费等费用增加。</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（二）“三公”经费分项支出情况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4年度未发生因公出国（境）费用支出，与上年决算数持平。</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4未发生公务车购置费支出，与上年决算数持平。</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ascii="Times New Roman" w:hAnsi="Times New Roman" w:eastAsia="方正仿宋_GBK" w:cs="Times New Roman"/>
          <w:sz w:val="32"/>
          <w:szCs w:val="32"/>
          <w:shd w:val="clear" w:color="auto" w:fill="FFFFFF"/>
        </w:rPr>
        <w:t>公务</w:t>
      </w:r>
      <w:r>
        <w:rPr>
          <w:rFonts w:hint="eastAsia" w:ascii="Times New Roman" w:hAnsi="Times New Roman" w:eastAsia="方正仿宋_GBK" w:cs="Times New Roman"/>
          <w:sz w:val="32"/>
          <w:szCs w:val="32"/>
          <w:shd w:val="clear" w:color="auto" w:fill="FFFFFF"/>
          <w:lang w:eastAsia="zh-CN"/>
        </w:rPr>
        <w:t>用</w:t>
      </w:r>
      <w:r>
        <w:rPr>
          <w:rFonts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13.14</w:t>
      </w:r>
      <w:r>
        <w:rPr>
          <w:rFonts w:ascii="Times New Roman" w:hAnsi="Times New Roman" w:eastAsia="方正仿宋_GBK" w:cs="Times New Roman"/>
          <w:sz w:val="32"/>
          <w:szCs w:val="32"/>
          <w:shd w:val="clear" w:color="auto" w:fill="FFFFFF"/>
        </w:rPr>
        <w:t>万元，主要用于</w:t>
      </w:r>
      <w:r>
        <w:rPr>
          <w:rFonts w:hint="eastAsia" w:ascii="Times New Roman" w:hAnsi="Times New Roman" w:eastAsia="方正仿宋_GBK" w:cs="Times New Roman"/>
          <w:sz w:val="32"/>
          <w:szCs w:val="32"/>
          <w:shd w:val="clear" w:color="auto" w:fill="FFFFFF"/>
          <w:lang w:val="en-US" w:eastAsia="zh-CN" w:bidi="ar-SA"/>
        </w:rPr>
        <w:t>市内因公出行、人大常委会调研、视察等工作所需车辆的燃料费、维修费、过桥过路费、保险费等。</w:t>
      </w:r>
      <w:r>
        <w:rPr>
          <w:rFonts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较年初预算数减少1.66万元，下降11.2%</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认真贯彻落实中央八项规定精神，全年实际支出较预算有所下降，严格落实公车使用规定，公车运行维护成本大幅下降。</w:t>
      </w:r>
      <w:r>
        <w:rPr>
          <w:rFonts w:hint="default" w:ascii="Times New Roman" w:hAnsi="Times New Roman" w:eastAsia="方正仿宋_GBK" w:cs="Times New Roman"/>
          <w:sz w:val="32"/>
          <w:szCs w:val="32"/>
          <w:shd w:val="clear" w:color="auto" w:fill="FFFFFF"/>
        </w:rPr>
        <w:t>较上年支出数减少1.32万元，下降9.1%</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认真贯彻落实中央八项规定精神，全年实际支出较预算有所下降，严格落实公车使用规定，公车运行维护成本大幅下降。</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1.88</w:t>
      </w:r>
      <w:r>
        <w:rPr>
          <w:rFonts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shd w:val="clear" w:color="auto" w:fill="FFFFFF"/>
          <w:lang w:val="en-US" w:eastAsia="zh-CN" w:bidi="ar-SA"/>
        </w:rPr>
        <w:t>市县外人大来丰考察学习。</w:t>
      </w:r>
      <w:r>
        <w:rPr>
          <w:rFonts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较年初预算数增加0.38万元，增长25.3%</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市县外人大来丰考察调研较多。</w:t>
      </w:r>
      <w:r>
        <w:rPr>
          <w:rFonts w:hint="default" w:ascii="Times New Roman" w:hAnsi="Times New Roman" w:eastAsia="方正仿宋_GBK" w:cs="Times New Roman"/>
          <w:sz w:val="32"/>
          <w:szCs w:val="32"/>
          <w:shd w:val="clear" w:color="auto" w:fill="FFFFFF"/>
        </w:rPr>
        <w:t>较上年支出数增加1.75万元，增长1346.2%</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val="en-US" w:eastAsia="zh-CN" w:bidi="ar-SA"/>
        </w:rPr>
        <w:t>是市县外人大来丰考察调研较上年增加。</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35</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280</w:t>
      </w:r>
      <w:r>
        <w:rPr>
          <w:rFonts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67.11</w:t>
      </w:r>
      <w:r>
        <w:rPr>
          <w:rFonts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3.28</w:t>
      </w:r>
      <w:r>
        <w:rPr>
          <w:rFonts w:ascii="Times New Roman" w:hAnsi="Times New Roman" w:eastAsia="方正仿宋_GBK" w:cs="Times New Roman"/>
          <w:sz w:val="32"/>
          <w:szCs w:val="32"/>
          <w:shd w:val="clear" w:color="auto" w:fill="FFFFFF"/>
        </w:rPr>
        <w:t>万元。</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四、其他需要说明的事项</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default"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（一）财政拨款会议费、培训费和差旅费情况说明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yellow"/>
        </w:rPr>
      </w:pPr>
      <w:r>
        <w:rPr>
          <w:rFonts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127.79</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与2023年度相比，增加16.61万元，增长14.9%</w:t>
      </w:r>
      <w:r>
        <w:rPr>
          <w:rFonts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会议人数、规模较上年度增加。</w:t>
      </w:r>
      <w:r>
        <w:rPr>
          <w:rFonts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50.64</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与2023年度相比，增加45.64万元，增长912.8%</w:t>
      </w:r>
      <w:r>
        <w:rPr>
          <w:rFonts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val="en-US" w:eastAsia="zh-CN"/>
        </w:rPr>
        <w:t>是</w:t>
      </w:r>
      <w:r>
        <w:rPr>
          <w:rFonts w:hint="eastAsia" w:ascii="Times New Roman" w:hAnsi="Times New Roman" w:eastAsia="方正仿宋_GBK" w:cs="Times New Roman"/>
          <w:sz w:val="32"/>
          <w:szCs w:val="32"/>
          <w:shd w:val="clear" w:color="auto" w:fill="FFFFFF"/>
          <w:lang w:val="en-US" w:eastAsia="zh-CN" w:bidi="ar-SA"/>
        </w:rPr>
        <w:t>较上年度增加了一次县外人大代表履职能力提升培训。</w:t>
      </w:r>
      <w:r>
        <w:rPr>
          <w:rFonts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21.00</w:t>
      </w:r>
      <w:r>
        <w:rPr>
          <w:rFonts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与2023年度相比，减少12.73万元，下降37.7%</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主要原因</w:t>
      </w:r>
      <w:r>
        <w:rPr>
          <w:rFonts w:hint="eastAsia" w:ascii="Times New Roman" w:hAnsi="Times New Roman" w:eastAsia="方正仿宋_GBK" w:cs="Times New Roman"/>
          <w:sz w:val="32"/>
          <w:szCs w:val="32"/>
          <w:shd w:val="clear" w:color="auto" w:fill="FFFFFF"/>
          <w:lang w:val="en-US" w:eastAsia="zh-CN" w:bidi="ar-SA"/>
        </w:rPr>
        <w:t>是严格执行差旅报销制度。</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shd w:val="clear" w:color="auto" w:fill="FFFFFF"/>
        </w:rPr>
        <w:t>204.48</w:t>
      </w:r>
      <w:r>
        <w:rPr>
          <w:rFonts w:ascii="Times New Roman" w:hAnsi="Times New Roman" w:eastAsia="方正仿宋_GBK" w:cs="Times New Roman"/>
          <w:sz w:val="32"/>
          <w:szCs w:val="32"/>
          <w:shd w:val="clear" w:color="auto" w:fill="FFFFFF"/>
        </w:rPr>
        <w:t>万元，机关运行经费主要用于</w:t>
      </w:r>
      <w:r>
        <w:rPr>
          <w:rFonts w:hint="eastAsia" w:ascii="Times New Roman" w:hAnsi="Times New Roman" w:eastAsia="方正仿宋_GBK" w:cs="Times New Roman"/>
          <w:sz w:val="32"/>
          <w:szCs w:val="32"/>
          <w:shd w:val="clear" w:color="auto" w:fill="FFFFFF"/>
          <w:lang w:val="en-US" w:eastAsia="zh-CN" w:bidi="ar-SA"/>
        </w:rPr>
        <w:t>开支办公费、水费、电费、通讯费、差旅费、公务车运行维护费。</w:t>
      </w:r>
      <w:r>
        <w:rPr>
          <w:rFonts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较上年支出数增加13.45万元，增长7.0%</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编制未在人大的工委正、副主任的日常公用经费由原预算单位调整到了本单位。</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（三）国有资产占用情况说明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2024年12月31日，本部门共有车辆4辆，其中，副部（省）级及以上领导用车0辆、主要负责人用车0辆、机要通信用车0辆、应急保障用车4辆、执法执勤用车0辆，特种专业技术用车0辆，离退休干部用车0辆。单价100万元（含）以上专用设备0台（套）。</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（四）政府采购支出情况说明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年度</w:t>
      </w:r>
      <w:r>
        <w:rPr>
          <w:rFonts w:hint="eastAsia" w:ascii="Times New Roman" w:hAnsi="Times New Roman" w:eastAsia="方正仿宋_GBK" w:cs="Times New Roman"/>
          <w:sz w:val="32"/>
          <w:szCs w:val="32"/>
          <w:shd w:val="clear" w:color="auto" w:fill="FFFFFF"/>
          <w:lang w:val="en-US" w:eastAsia="zh-CN" w:bidi="ar-SA"/>
        </w:rPr>
        <w:t>本部门</w:t>
      </w:r>
      <w:r>
        <w:rPr>
          <w:rFonts w:hint="default" w:ascii="Times New Roman" w:hAnsi="Times New Roman" w:eastAsia="方正仿宋_GBK" w:cs="Times New Roman"/>
          <w:sz w:val="32"/>
          <w:szCs w:val="32"/>
          <w:shd w:val="clear" w:color="auto" w:fill="FFFFFF"/>
          <w:lang w:val="en-US" w:eastAsia="zh-CN" w:bidi="ar-SA"/>
        </w:rPr>
        <w:t>未发生政府采购事项，无相关经费支出。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（一）部门自评情况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根据预算绩效管理要求，</w:t>
      </w:r>
      <w:r>
        <w:rPr>
          <w:rFonts w:hint="eastAsia" w:ascii="Times New Roman" w:hAnsi="Times New Roman" w:eastAsia="方正仿宋_GBK" w:cs="Times New Roman"/>
          <w:sz w:val="32"/>
          <w:szCs w:val="32"/>
          <w:highlight w:val="none"/>
          <w:shd w:val="clear" w:color="auto" w:fill="FFFFFF"/>
          <w:lang w:val="en-US" w:eastAsia="zh-CN" w:bidi="ar-SA"/>
        </w:rPr>
        <w:t>本部门对部门</w:t>
      </w:r>
      <w:r>
        <w:rPr>
          <w:rFonts w:hint="eastAsia" w:ascii="Times New Roman" w:hAnsi="Times New Roman" w:eastAsia="方正仿宋_GBK" w:cs="Times New Roman"/>
          <w:sz w:val="32"/>
          <w:szCs w:val="32"/>
          <w:shd w:val="clear" w:color="auto" w:fill="FFFFFF"/>
          <w:lang w:val="en-US" w:eastAsia="zh-CN" w:bidi="ar-SA"/>
        </w:rPr>
        <w:t>整体和7个项目开展了绩效自评，涉及财政拨款项目支出资金284.55万元。</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2" w:firstLineChars="200"/>
        <w:jc w:val="left"/>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rPr>
        <w:t>部门整体绩效自评</w:t>
      </w:r>
      <w:r>
        <w:rPr>
          <w:rFonts w:hint="eastAsia" w:ascii="Times New Roman" w:hAnsi="Times New Roman" w:eastAsia="方正仿宋_GBK" w:cs="Times New Roman"/>
          <w:b/>
          <w:bCs/>
          <w:kern w:val="0"/>
          <w:sz w:val="32"/>
          <w:szCs w:val="32"/>
          <w:shd w:val="clear" w:fill="FFFFFF"/>
          <w:lang w:eastAsia="zh-CN"/>
        </w:rPr>
        <w:t>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jc w:val="left"/>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4945" cy="3183890"/>
            <wp:effectExtent l="0" t="0" r="1905" b="16510"/>
            <wp:docPr id="10" name="图片 10" descr="部门整体"/>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部门整体"/>
                    <pic:cNvPicPr>
                      <a:picLocks noChangeAspect="true"/>
                    </pic:cNvPicPr>
                  </pic:nvPicPr>
                  <pic:blipFill>
                    <a:blip r:embed="rId7"/>
                    <a:stretch>
                      <a:fillRect/>
                    </a:stretch>
                  </pic:blipFill>
                  <pic:spPr>
                    <a:xfrm>
                      <a:off x="0" y="0"/>
                      <a:ext cx="5274945" cy="3183890"/>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Times New Roman"/>
          <w:b/>
          <w:bCs/>
          <w:kern w:val="0"/>
          <w:sz w:val="32"/>
          <w:szCs w:val="32"/>
          <w:shd w:val="clear" w:fill="FFFFFF"/>
        </w:rPr>
      </w:pPr>
      <w:r>
        <w:rPr>
          <w:rFonts w:hint="eastAsia" w:ascii="Times New Roman" w:hAnsi="Times New Roman" w:eastAsia="方正仿宋_GBK" w:cs="Times New Roman"/>
          <w:b/>
          <w:bCs/>
          <w:kern w:val="0"/>
          <w:sz w:val="32"/>
          <w:szCs w:val="32"/>
          <w:shd w:val="clear" w:fill="FFFFFF"/>
        </w:rPr>
        <w:t>项目支出绩效自评表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4945" cy="2795905"/>
            <wp:effectExtent l="0" t="0" r="1905" b="4445"/>
            <wp:docPr id="11" name="图片 11" descr="代表调研"/>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代表调研"/>
                    <pic:cNvPicPr>
                      <a:picLocks noChangeAspect="true"/>
                    </pic:cNvPicPr>
                  </pic:nvPicPr>
                  <pic:blipFill>
                    <a:blip r:embed="rId8"/>
                    <a:stretch>
                      <a:fillRect/>
                    </a:stretch>
                  </pic:blipFill>
                  <pic:spPr>
                    <a:xfrm>
                      <a:off x="0" y="0"/>
                      <a:ext cx="5274945" cy="279590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6215" cy="2824480"/>
            <wp:effectExtent l="0" t="0" r="635" b="13970"/>
            <wp:docPr id="12" name="图片 12" descr="代表履职"/>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代表履职"/>
                    <pic:cNvPicPr>
                      <a:picLocks noChangeAspect="true"/>
                    </pic:cNvPicPr>
                  </pic:nvPicPr>
                  <pic:blipFill>
                    <a:blip r:embed="rId9"/>
                    <a:stretch>
                      <a:fillRect/>
                    </a:stretch>
                  </pic:blipFill>
                  <pic:spPr>
                    <a:xfrm>
                      <a:off x="0" y="0"/>
                      <a:ext cx="5276215" cy="2824480"/>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4310" cy="2808605"/>
            <wp:effectExtent l="0" t="0" r="2540" b="10795"/>
            <wp:docPr id="13" name="图片 13" descr="代表四次会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代表四次会议"/>
                    <pic:cNvPicPr>
                      <a:picLocks noChangeAspect="true"/>
                    </pic:cNvPicPr>
                  </pic:nvPicPr>
                  <pic:blipFill>
                    <a:blip r:embed="rId10"/>
                    <a:stretch>
                      <a:fillRect/>
                    </a:stretch>
                  </pic:blipFill>
                  <pic:spPr>
                    <a:xfrm>
                      <a:off x="0" y="0"/>
                      <a:ext cx="5274310" cy="280860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9390" cy="2804160"/>
            <wp:effectExtent l="0" t="0" r="16510" b="15240"/>
            <wp:docPr id="14" name="图片 14" descr="联网监督"/>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联网监督"/>
                    <pic:cNvPicPr>
                      <a:picLocks noChangeAspect="true"/>
                    </pic:cNvPicPr>
                  </pic:nvPicPr>
                  <pic:blipFill>
                    <a:blip r:embed="rId11"/>
                    <a:stretch>
                      <a:fillRect/>
                    </a:stretch>
                  </pic:blipFill>
                  <pic:spPr>
                    <a:xfrm>
                      <a:off x="0" y="0"/>
                      <a:ext cx="5279390" cy="2804160"/>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3040" cy="2766695"/>
            <wp:effectExtent l="0" t="0" r="3810" b="14605"/>
            <wp:docPr id="15" name="图片 15" descr="临聘人员"/>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临聘人员"/>
                    <pic:cNvPicPr>
                      <a:picLocks noChangeAspect="true"/>
                    </pic:cNvPicPr>
                  </pic:nvPicPr>
                  <pic:blipFill>
                    <a:blip r:embed="rId12"/>
                    <a:stretch>
                      <a:fillRect/>
                    </a:stretch>
                  </pic:blipFill>
                  <pic:spPr>
                    <a:xfrm>
                      <a:off x="0" y="0"/>
                      <a:ext cx="5273040" cy="276669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4945" cy="2792095"/>
            <wp:effectExtent l="0" t="0" r="1905" b="8255"/>
            <wp:docPr id="16" name="图片 16" descr="五次会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五次会议"/>
                    <pic:cNvPicPr>
                      <a:picLocks noChangeAspect="true"/>
                    </pic:cNvPicPr>
                  </pic:nvPicPr>
                  <pic:blipFill>
                    <a:blip r:embed="rId13"/>
                    <a:stretch>
                      <a:fillRect/>
                    </a:stretch>
                  </pic:blipFill>
                  <pic:spPr>
                    <a:xfrm>
                      <a:off x="0" y="0"/>
                      <a:ext cx="5274945" cy="279209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eastAsia" w:ascii="Times New Roman" w:hAnsi="Times New Roman" w:eastAsia="方正仿宋_GBK" w:cs="Times New Roman"/>
          <w:b/>
          <w:bCs/>
          <w:kern w:val="0"/>
          <w:sz w:val="32"/>
          <w:szCs w:val="32"/>
          <w:shd w:val="clear" w:fill="FFFFFF"/>
          <w:lang w:eastAsia="zh-CN"/>
        </w:rPr>
        <w:drawing>
          <wp:inline distT="0" distB="0" distL="114300" distR="114300">
            <wp:extent cx="5274945" cy="2799080"/>
            <wp:effectExtent l="0" t="0" r="1905" b="1270"/>
            <wp:docPr id="17" name="图片 17" descr="驻村"/>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驻村"/>
                    <pic:cNvPicPr>
                      <a:picLocks noChangeAspect="true"/>
                    </pic:cNvPicPr>
                  </pic:nvPicPr>
                  <pic:blipFill>
                    <a:blip r:embed="rId14"/>
                    <a:stretch>
                      <a:fillRect/>
                    </a:stretch>
                  </pic:blipFill>
                  <pic:spPr>
                    <a:xfrm>
                      <a:off x="0" y="0"/>
                      <a:ext cx="5274945" cy="2799080"/>
                    </a:xfrm>
                    <a:prstGeom prst="rect">
                      <a:avLst/>
                    </a:prstGeom>
                  </pic:spPr>
                </pic:pic>
              </a:graphicData>
            </a:graphic>
          </wp:inline>
        </w:drawing>
      </w:r>
    </w:p>
    <w:p>
      <w:pPr>
        <w:pStyle w:val="19"/>
        <w:keepNext w:val="0"/>
        <w:keepLines w:val="0"/>
        <w:pageBreakBefore w:val="0"/>
        <w:widowControl/>
        <w:numPr>
          <w:ilvl w:val="0"/>
          <w:numId w:val="0"/>
        </w:numPr>
        <w:kinsoku/>
        <w:wordWrap/>
        <w:overflowPunct/>
        <w:topLinePunct w:val="0"/>
        <w:autoSpaceDE w:val="0"/>
        <w:autoSpaceDN/>
        <w:bidi w:val="0"/>
        <w:adjustRightInd/>
        <w:snapToGrid/>
        <w:spacing w:after="0" w:afterAutospacing="0" w:line="600" w:lineRule="exact"/>
        <w:ind w:leftChars="200" w:right="0" w:rightChars="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本部门未组织开展绩效评价。</w:t>
      </w:r>
    </w:p>
    <w:p>
      <w:pPr>
        <w:pStyle w:val="19"/>
        <w:keepNext w:val="0"/>
        <w:keepLines w:val="0"/>
        <w:pageBreakBefore w:val="0"/>
        <w:widowControl/>
        <w:numPr>
          <w:ilvl w:val="0"/>
          <w:numId w:val="2"/>
        </w:numPr>
        <w:kinsoku/>
        <w:wordWrap/>
        <w:overflowPunct/>
        <w:topLinePunct w:val="0"/>
        <w:autoSpaceDE w:val="0"/>
        <w:autoSpaceDN/>
        <w:bidi w:val="0"/>
        <w:adjustRightInd/>
        <w:snapToGrid/>
        <w:spacing w:after="0" w:afterAutospacing="0" w:line="600" w:lineRule="exact"/>
        <w:ind w:left="0" w:firstLine="640" w:firstLineChars="200"/>
        <w:textAlignment w:val="auto"/>
        <w:rPr>
          <w:rStyle w:val="13"/>
          <w:rFonts w:hint="eastAsia" w:ascii="Times New Roman" w:hAnsi="Times New Roman" w:eastAsia="方正楷体_GBK" w:cs="Times New Roman"/>
          <w:b w:val="0"/>
          <w:bCs/>
          <w:kern w:val="0"/>
          <w:sz w:val="32"/>
          <w:szCs w:val="32"/>
          <w:shd w:val="clear" w:color="auto" w:fill="FFFFFF"/>
          <w:lang w:val="en-US" w:eastAsia="zh-CN" w:bidi="ar-SA"/>
        </w:rPr>
      </w:pPr>
      <w:r>
        <w:rPr>
          <w:rStyle w:val="13"/>
          <w:rFonts w:hint="eastAsia" w:ascii="Times New Roman" w:hAnsi="Times New Roman" w:eastAsia="方正楷体_GBK" w:cs="Times New Roman"/>
          <w:b w:val="0"/>
          <w:bCs/>
          <w:kern w:val="0"/>
          <w:sz w:val="32"/>
          <w:szCs w:val="32"/>
          <w:shd w:val="clear" w:color="auto" w:fill="FFFFFF"/>
          <w:lang w:val="en-US" w:eastAsia="zh-CN" w:bidi="ar-SA"/>
        </w:rPr>
        <w:t>财政绩效评价情况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楷体" w:cs="Times New Roman"/>
          <w:b/>
          <w:bCs/>
          <w:kern w:val="0"/>
          <w:sz w:val="32"/>
          <w:szCs w:val="32"/>
          <w:shd w:val="clear" w:fill="FFFFFF"/>
          <w:lang w:val="en-US" w:eastAsia="zh-CN" w:bidi="ar"/>
        </w:rPr>
      </w:pPr>
      <w:r>
        <w:rPr>
          <w:rFonts w:hint="eastAsia" w:ascii="Times New Roman" w:hAnsi="Times New Roman" w:eastAsia="方正仿宋_GBK" w:cs="Times New Roman"/>
          <w:sz w:val="32"/>
          <w:szCs w:val="32"/>
          <w:shd w:val="clear" w:color="auto" w:fill="FFFFFF"/>
          <w:lang w:val="en-US" w:eastAsia="zh-CN" w:bidi="ar-SA"/>
        </w:rPr>
        <w:t>县财政局未委托第三方对本部门开展绩效评价。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（一）财政拨款收入：</w:t>
      </w:r>
      <w:r>
        <w:rPr>
          <w:rFonts w:hint="eastAsia"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（二）事业收入：</w:t>
      </w:r>
      <w:r>
        <w:rPr>
          <w:rFonts w:hint="eastAsia"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（三）经营收入：</w:t>
      </w:r>
      <w:r>
        <w:rPr>
          <w:rFonts w:hint="eastAsia"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（四）其他收入：</w:t>
      </w:r>
      <w:r>
        <w:rPr>
          <w:rFonts w:hint="eastAsia"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eastAsia"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（六）年初结转和结余：</w:t>
      </w:r>
      <w:r>
        <w:rPr>
          <w:rFonts w:hint="eastAsia"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（七）结余分配：</w:t>
      </w:r>
      <w:r>
        <w:rPr>
          <w:rFonts w:hint="eastAsia"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（八）年末结转和结余：</w:t>
      </w:r>
      <w:r>
        <w:rPr>
          <w:rFonts w:hint="eastAsia"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（九）基本支出：</w:t>
      </w:r>
      <w:r>
        <w:rPr>
          <w:rFonts w:hint="eastAsia"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（十）项目支出：</w:t>
      </w:r>
      <w:r>
        <w:rPr>
          <w:rFonts w:hint="eastAsia"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（十一）经营支出：</w:t>
      </w:r>
      <w:r>
        <w:rPr>
          <w:rFonts w:hint="eastAsia"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（十二）“三公”经费：</w:t>
      </w:r>
      <w:r>
        <w:rPr>
          <w:rFonts w:hint="eastAsia"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（十三）机关运行经费：</w:t>
      </w:r>
      <w:r>
        <w:rPr>
          <w:rFonts w:hint="eastAsia"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color w:val="auto"/>
          <w:kern w:val="0"/>
          <w:sz w:val="32"/>
          <w:szCs w:val="32"/>
          <w:shd w:val="clear" w:fill="FFFFFF"/>
          <w:lang w:val="en-US" w:eastAsia="zh-CN"/>
        </w:rPr>
      </w:pPr>
      <w:r>
        <w:rPr>
          <w:rFonts w:hint="eastAsia" w:ascii="Times New Roman" w:hAnsi="Times New Roman" w:eastAsia="方正仿宋_GBK" w:cs="Times New Roman"/>
          <w:color w:val="auto"/>
          <w:kern w:val="0"/>
          <w:sz w:val="32"/>
          <w:szCs w:val="32"/>
          <w:shd w:val="clear" w:fill="FFFFFF"/>
          <w:lang w:val="en-US" w:eastAsia="zh-CN"/>
        </w:rPr>
        <w:t>陈思利</w:t>
      </w:r>
      <w:r>
        <w:rPr>
          <w:rFonts w:hint="eastAsia" w:ascii="Times New Roman" w:hAnsi="Times New Roman" w:eastAsia="方正仿宋_GBK" w:cs="Times New Roman"/>
          <w:color w:val="auto"/>
          <w:kern w:val="0"/>
          <w:sz w:val="32"/>
          <w:szCs w:val="32"/>
          <w:shd w:val="clear" w:fill="FFFFFF"/>
        </w:rPr>
        <w:t xml:space="preserve">   023-</w:t>
      </w:r>
      <w:r>
        <w:rPr>
          <w:rFonts w:hint="eastAsia" w:ascii="Times New Roman" w:hAnsi="Times New Roman" w:eastAsia="方正仿宋_GBK" w:cs="Times New Roman"/>
          <w:color w:val="auto"/>
          <w:kern w:val="0"/>
          <w:sz w:val="32"/>
          <w:szCs w:val="32"/>
          <w:shd w:val="clear" w:fill="FFFFFF"/>
          <w:lang w:val="en-US" w:eastAsia="zh-CN"/>
        </w:rPr>
        <w:t>70605913</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eastAsia" w:ascii="Times New Roman" w:hAnsi="Times New Roman" w:eastAsia="方正仿宋_GBK" w:cs="Times New Roman"/>
          <w:color w:val="FF0000"/>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pPr>
        <w:pStyle w:val="14"/>
        <w:autoSpaceDE w:val="0"/>
        <w:spacing w:line="596" w:lineRule="exact"/>
        <w:ind w:left="0" w:leftChars="0" w:firstLine="0" w:firstLineChars="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丰都县人民代表大会常务委员会办公室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1,463.41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1,463.41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1,508.81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丰都县人民代表大会常务委员会办公室</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1,463.41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1,463.41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1,035.64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丰都县人民代表大会常务委员会办公室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1,508.81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1,232.21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276.60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丰都县人民代表大会常务委员会办公室</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丰都县人民代表大会常务委员会办公室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1,508.81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1,232.21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丰都县人民代表大会常务委员会办公室</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1,021.23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丰都县人民代表大会常务委员会办公室</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丰都县人民代表大会常务委员会办公室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丰都县人民代表大会常务委员会办公室</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E9145"/>
    <w:multiLevelType w:val="singleLevel"/>
    <w:tmpl w:val="ABCE9145"/>
    <w:lvl w:ilvl="0" w:tentative="0">
      <w:start w:val="3"/>
      <w:numFmt w:val="chineseCounting"/>
      <w:suff w:val="nothing"/>
      <w:lvlText w:val="（%1）"/>
      <w:lvlJc w:val="left"/>
      <w:rPr>
        <w:rFonts w:hint="eastAsia"/>
      </w:rPr>
    </w:lvl>
  </w:abstractNum>
  <w:abstractNum w:abstractNumId="1">
    <w:nsid w:val="D41C40AC"/>
    <w:multiLevelType w:val="singleLevel"/>
    <w:tmpl w:val="D41C40A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8F3690"/>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601CB0"/>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04579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129E9"/>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793C60"/>
    <w:rsid w:val="5A3B59D6"/>
    <w:rsid w:val="5AD134D8"/>
    <w:rsid w:val="5B6503B1"/>
    <w:rsid w:val="5C0F7EC4"/>
    <w:rsid w:val="5C263CE4"/>
    <w:rsid w:val="5C5D2777"/>
    <w:rsid w:val="5CD8405E"/>
    <w:rsid w:val="5CF66BF3"/>
    <w:rsid w:val="5D290C69"/>
    <w:rsid w:val="5F2D4A41"/>
    <w:rsid w:val="5FA03AAE"/>
    <w:rsid w:val="60C74F6C"/>
    <w:rsid w:val="60F37820"/>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A6208C"/>
    <w:rsid w:val="65C031CA"/>
    <w:rsid w:val="65CE6852"/>
    <w:rsid w:val="66267C04"/>
    <w:rsid w:val="663F505A"/>
    <w:rsid w:val="66967186"/>
    <w:rsid w:val="66EE5541"/>
    <w:rsid w:val="67924660"/>
    <w:rsid w:val="683200C2"/>
    <w:rsid w:val="68407834"/>
    <w:rsid w:val="6883293E"/>
    <w:rsid w:val="688412AD"/>
    <w:rsid w:val="68EB1B71"/>
    <w:rsid w:val="690C4A5D"/>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AE640C"/>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7601CD"/>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p30"/>
    <w:basedOn w:val="1"/>
    <w:qFormat/>
    <w:uiPriority w:val="0"/>
    <w:pPr>
      <w:spacing w:before="0" w:beforeLines="0" w:beforeAutospacing="0" w:after="0" w:afterLines="0" w:afterAutospacing="0"/>
      <w:jc w:val="left"/>
    </w:pPr>
    <w:rPr>
      <w:rFonts w:hint="eastAsia" w:ascii="宋体" w:hAnsi="宋体" w:eastAsia="宋体" w:cs="宋体"/>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5451</Words>
  <Characters>6043</Characters>
  <Lines>186</Lines>
  <Paragraphs>52</Paragraphs>
  <TotalTime>40</TotalTime>
  <ScaleCrop>false</ScaleCrop>
  <LinksUpToDate>false</LinksUpToDate>
  <CharactersWithSpaces>6089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user</cp:lastModifiedBy>
  <dcterms:modified xsi:type="dcterms:W3CDTF">2025-09-16T19:06:12Z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eyJoZGlkIjoiNjc0MTY4YTI4NjVjOTVkNzJiMzllMzU1MDMwYmEzNGQifQ==</vt:lpwstr>
  </property>
</Properties>
</file>