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中国共产党丰都县委员政法委员会</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60" w:lineRule="exact"/>
        <w:ind w:firstLine="642" w:firstLineChars="200"/>
        <w:jc w:val="both"/>
        <w:rPr>
          <w:rStyle w:val="10"/>
          <w:rFonts w:hint="default" w:ascii="黑体" w:hAnsi="黑体" w:eastAsia="黑体" w:cs="黑体"/>
          <w:sz w:val="32"/>
          <w:szCs w:val="32"/>
          <w:shd w:val="clear" w:color="auto" w:fill="FFFFFF"/>
        </w:rPr>
      </w:pPr>
    </w:p>
    <w:p>
      <w:pPr>
        <w:pStyle w:val="6"/>
        <w:shd w:val="clear" w:color="auto" w:fill="FFFFFF"/>
        <w:spacing w:before="0" w:beforeAutospacing="0" w:after="0" w:afterAutospacing="0" w:line="580" w:lineRule="exact"/>
        <w:ind w:firstLine="642"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6"/>
        <w:shd w:val="clear" w:color="auto" w:fill="FFFFFF"/>
        <w:spacing w:before="0" w:beforeAutospacing="0" w:after="0" w:afterAutospacing="0" w:line="580" w:lineRule="exact"/>
        <w:ind w:firstLine="42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widowControl w:val="0"/>
        <w:snapToGrid w:val="0"/>
        <w:spacing w:line="580" w:lineRule="exact"/>
        <w:ind w:firstLine="640" w:firstLineChars="200"/>
        <w:jc w:val="both"/>
        <w:rPr>
          <w:rFonts w:hint="default" w:ascii="Times New Roman" w:hAnsi="Times New Roman" w:eastAsia="方正楷体_GBK"/>
          <w:sz w:val="32"/>
          <w:szCs w:val="32"/>
        </w:rPr>
      </w:pPr>
      <w:r>
        <w:rPr>
          <w:rFonts w:ascii="方正仿宋_GBK" w:hAnsi="方正仿宋_GBK" w:eastAsia="方正仿宋_GBK" w:cs="方正仿宋_GBK"/>
          <w:sz w:val="32"/>
          <w:szCs w:val="32"/>
        </w:rPr>
        <w:t>县委政法委是县委领导政法工作的职能部门，为正科级，列县委工作机关序列。近年来，县委政法委始终坚持党对政法工作的绝对领导，把党的绝对领导落实到政法工作各方面和全过程，以更加坚定的信念决心、更加有力的工作举措、更加完善的体制机制持续推动政法工作，为推动丰都经济社会持续健康稳定发展提供坚强有力保障。</w:t>
      </w:r>
    </w:p>
    <w:p>
      <w:pPr>
        <w:pStyle w:val="6"/>
        <w:shd w:val="clear" w:color="auto" w:fill="FFFFFF"/>
        <w:spacing w:before="0" w:beforeAutospacing="0" w:after="0" w:afterAutospacing="0" w:line="580" w:lineRule="exact"/>
        <w:ind w:firstLine="420"/>
        <w:jc w:val="both"/>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80" w:lineRule="exact"/>
        <w:ind w:firstLine="640" w:firstLineChars="200"/>
        <w:jc w:val="both"/>
        <w:rPr>
          <w:rFonts w:hint="default" w:ascii="Times New Roman" w:hAnsi="Times New Roman" w:eastAsia="方正楷体_GBK"/>
          <w:sz w:val="32"/>
          <w:szCs w:val="32"/>
        </w:rPr>
      </w:pPr>
      <w:r>
        <w:rPr>
          <w:rFonts w:hint="default" w:ascii="Times New Roman" w:hAnsi="Times New Roman" w:eastAsia="方正仿宋_GBK"/>
          <w:sz w:val="32"/>
          <w:szCs w:val="32"/>
        </w:rPr>
        <w:t>县委政法委设办公室、政治处、维稳安全科、基层指导科、执法监督科5个内设机构，核定委机关行政编制13名（实有11名，空缺2名），机关工勤编制1名（实有1名）。领导职数配备书记1名（由县领导兼任），副书记3名，政治处主任1名。代管人民团体1个（县法学会），县法学会机关事业编制7名（实有3名，空缺4名）。县委平安办、县扫黑办设在县委政法委，由县委政法委承担相应日常工作</w:t>
      </w:r>
      <w:r>
        <w:rPr>
          <w:rFonts w:hint="default" w:ascii="Times New Roman" w:hAnsi="Times New Roman" w:eastAsia="仿宋_GB2312"/>
          <w:kern w:val="2"/>
          <w:sz w:val="32"/>
          <w:szCs w:val="22"/>
        </w:rPr>
        <w:t>。</w:t>
      </w:r>
    </w:p>
    <w:p>
      <w:pPr>
        <w:pStyle w:val="6"/>
        <w:shd w:val="clear" w:color="auto" w:fill="FFFFFF"/>
        <w:spacing w:before="0" w:beforeAutospacing="0" w:after="0" w:afterAutospacing="0" w:line="580" w:lineRule="exact"/>
        <w:ind w:firstLine="642"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w:t>
      </w:r>
      <w:r>
        <w:rPr>
          <w:rFonts w:ascii="Times New Roman" w:hAnsi="Times New Roman" w:eastAsia="方正仿宋_GBK"/>
          <w:sz w:val="32"/>
          <w:szCs w:val="32"/>
          <w:shd w:val="clear" w:color="auto" w:fill="FFFFFF"/>
        </w:rPr>
        <w:t>收入减少82.25万元，下降13.2%；支出</w:t>
      </w:r>
      <w:r>
        <w:rPr>
          <w:rFonts w:hint="default" w:ascii="Times New Roman" w:hAnsi="Times New Roman" w:eastAsia="方正仿宋_GBK"/>
          <w:sz w:val="32"/>
          <w:szCs w:val="32"/>
          <w:shd w:val="clear" w:color="auto" w:fill="FFFFFF"/>
        </w:rPr>
        <w:t>减少95.28万元，下降15.0%</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一是2023年追加了2022年度开支的</w:t>
      </w:r>
      <w:r>
        <w:rPr>
          <w:rFonts w:hint="eastAsia" w:ascii="Times New Roman" w:hAnsi="Times New Roman" w:eastAsia="方正仿宋_GBK"/>
          <w:sz w:val="32"/>
          <w:szCs w:val="32"/>
          <w:shd w:val="clear" w:color="auto" w:fill="FFFFFF"/>
          <w:lang w:eastAsia="zh-CN"/>
        </w:rPr>
        <w:t>党的二十大</w:t>
      </w:r>
      <w:r>
        <w:rPr>
          <w:rFonts w:ascii="Times New Roman" w:hAnsi="Times New Roman" w:eastAsia="方正仿宋_GBK"/>
          <w:sz w:val="32"/>
          <w:szCs w:val="32"/>
          <w:shd w:val="clear" w:color="auto" w:fill="FFFFFF"/>
        </w:rPr>
        <w:t>安保</w:t>
      </w:r>
      <w:r>
        <w:rPr>
          <w:rFonts w:ascii="方正仿宋_GBK" w:hAnsi="方正仿宋_GBK" w:eastAsia="方正仿宋_GBK" w:cs="方正仿宋_GBK"/>
          <w:sz w:val="32"/>
          <w:szCs w:val="32"/>
          <w:shd w:val="clear" w:color="auto" w:fill="FFFFFF"/>
        </w:rPr>
        <w:t>维稳、养老诈骗专项行动等一次性项目，二是厉行节约。</w:t>
      </w:r>
    </w:p>
    <w:p>
      <w:pPr>
        <w:pStyle w:val="6"/>
        <w:shd w:val="clear" w:color="auto" w:fill="FFFFFF"/>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与2023年度相比，减少82.25万元，下降13.2%</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主要原因：一是2023年追加了2022年度开支</w:t>
      </w:r>
      <w:r>
        <w:rPr>
          <w:rFonts w:hint="eastAsia" w:ascii="Times New Roman" w:hAnsi="Times New Roman" w:eastAsia="方正仿宋_GBK"/>
          <w:sz w:val="32"/>
          <w:szCs w:val="32"/>
          <w:shd w:val="clear" w:color="auto" w:fill="FFFFFF"/>
          <w:lang w:eastAsia="zh-CN"/>
        </w:rPr>
        <w:t>党的二十大</w:t>
      </w:r>
      <w:r>
        <w:rPr>
          <w:rFonts w:ascii="Times New Roman" w:hAnsi="Times New Roman" w:eastAsia="方正仿宋_GBK"/>
          <w:sz w:val="32"/>
          <w:szCs w:val="32"/>
          <w:shd w:val="clear" w:color="auto" w:fill="FFFFFF"/>
        </w:rPr>
        <w:t>安保维稳、养老诈骗专项行动等一次性项目，</w:t>
      </w:r>
      <w:r>
        <w:rPr>
          <w:rFonts w:ascii="方正仿宋_GBK" w:hAnsi="方正仿宋_GBK" w:eastAsia="方正仿宋_GBK" w:cs="方正仿宋_GBK"/>
          <w:sz w:val="32"/>
          <w:szCs w:val="32"/>
          <w:shd w:val="clear" w:color="auto" w:fill="FFFFFF"/>
        </w:rPr>
        <w:t>二是厉行节约。其中：财政拨款收入</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与2023年度相比，减少95.28万元，下降15.0%</w:t>
      </w:r>
      <w:r>
        <w:rPr>
          <w:rFonts w:ascii="方正仿宋_GBK" w:hAnsi="方正仿宋_GBK" w:eastAsia="方正仿宋_GBK" w:cs="方正仿宋_GBK"/>
          <w:sz w:val="32"/>
          <w:szCs w:val="32"/>
          <w:shd w:val="clear" w:color="auto" w:fill="FFFFFF"/>
        </w:rPr>
        <w:t>，主要原因：一</w:t>
      </w:r>
      <w:r>
        <w:rPr>
          <w:rFonts w:ascii="Times New Roman" w:hAnsi="Times New Roman" w:eastAsia="方正仿宋_GBK"/>
          <w:sz w:val="32"/>
          <w:szCs w:val="32"/>
          <w:shd w:val="clear" w:color="auto" w:fill="FFFFFF"/>
        </w:rPr>
        <w:t>是2023年追加了2022年度开支的</w:t>
      </w:r>
      <w:r>
        <w:rPr>
          <w:rFonts w:hint="eastAsia" w:ascii="Times New Roman" w:hAnsi="Times New Roman" w:eastAsia="方正仿宋_GBK"/>
          <w:sz w:val="32"/>
          <w:szCs w:val="32"/>
          <w:shd w:val="clear" w:color="auto" w:fill="FFFFFF"/>
          <w:lang w:eastAsia="zh-CN"/>
        </w:rPr>
        <w:t>党的二十大</w:t>
      </w:r>
      <w:r>
        <w:rPr>
          <w:rFonts w:ascii="Times New Roman" w:hAnsi="Times New Roman" w:eastAsia="方正仿宋_GBK"/>
          <w:sz w:val="32"/>
          <w:szCs w:val="32"/>
          <w:shd w:val="clear" w:color="auto" w:fill="FFFFFF"/>
        </w:rPr>
        <w:t>安保维稳、养老诈骗专项行动等一次性</w:t>
      </w:r>
      <w:r>
        <w:rPr>
          <w:rFonts w:ascii="方正仿宋_GBK" w:hAnsi="方正仿宋_GBK" w:eastAsia="方正仿宋_GBK" w:cs="方正仿宋_GBK"/>
          <w:sz w:val="32"/>
          <w:szCs w:val="32"/>
          <w:shd w:val="clear" w:color="auto" w:fill="FFFFFF"/>
        </w:rPr>
        <w:t>项目，二是厉行节约。其中：基本支出</w:t>
      </w:r>
      <w:r>
        <w:rPr>
          <w:rFonts w:hint="default" w:ascii="Times New Roman" w:hAnsi="Times New Roman" w:eastAsia="方正仿宋_GBK"/>
          <w:sz w:val="32"/>
          <w:szCs w:val="32"/>
          <w:shd w:val="clear" w:color="auto" w:fill="FFFFFF"/>
        </w:rPr>
        <w:t>424.66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116.66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ind w:firstLine="642" w:firstLineChars="200"/>
        <w:jc w:val="both"/>
        <w:rPr>
          <w:rFonts w:hint="default" w:ascii="Times New Roman" w:hAnsi="Times New Roman" w:eastAsia="方正仿宋_GBK"/>
          <w:sz w:val="32"/>
          <w:szCs w:val="32"/>
          <w:shd w:val="clear" w:color="auto" w:fill="FFFFFF"/>
        </w:rPr>
      </w:pPr>
      <w:r>
        <w:rPr>
          <w:rStyle w:val="10"/>
          <w:rFonts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2024年度年末结转和结余0.00万元，与上年决算数持平。</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收入减少82.25万元，下降13.2%；支出</w:t>
      </w:r>
      <w:r>
        <w:rPr>
          <w:rFonts w:hint="default" w:ascii="Times New Roman" w:hAnsi="Times New Roman" w:eastAsia="方正仿宋_GBK"/>
          <w:sz w:val="32"/>
          <w:szCs w:val="32"/>
          <w:shd w:val="clear" w:color="auto" w:fill="FFFFFF"/>
        </w:rPr>
        <w:t>减少95.28万元，下降15.0%</w:t>
      </w:r>
      <w:r>
        <w:rPr>
          <w:rFonts w:ascii="方正仿宋_GBK" w:hAnsi="方正仿宋_GBK" w:eastAsia="方正仿宋_GBK" w:cs="方正仿宋_GBK"/>
          <w:sz w:val="32"/>
          <w:szCs w:val="32"/>
          <w:shd w:val="clear" w:color="auto" w:fill="FFFFFF"/>
        </w:rPr>
        <w:t>。主</w:t>
      </w:r>
      <w:r>
        <w:rPr>
          <w:rFonts w:ascii="Times New Roman" w:hAnsi="Times New Roman" w:eastAsia="方正仿宋_GBK"/>
          <w:sz w:val="32"/>
          <w:szCs w:val="32"/>
          <w:shd w:val="clear" w:color="auto" w:fill="FFFFFF"/>
        </w:rPr>
        <w:t>要原因：一是2023年追加了2022年度开支的</w:t>
      </w:r>
      <w:r>
        <w:rPr>
          <w:rFonts w:hint="eastAsia" w:ascii="Times New Roman" w:hAnsi="Times New Roman" w:eastAsia="方正仿宋_GBK"/>
          <w:sz w:val="32"/>
          <w:szCs w:val="32"/>
          <w:shd w:val="clear" w:color="auto" w:fill="FFFFFF"/>
          <w:lang w:eastAsia="zh-CN"/>
        </w:rPr>
        <w:t>党的二十大</w:t>
      </w:r>
      <w:r>
        <w:rPr>
          <w:rFonts w:ascii="Times New Roman" w:hAnsi="Times New Roman" w:eastAsia="方正仿宋_GBK"/>
          <w:sz w:val="32"/>
          <w:szCs w:val="32"/>
          <w:shd w:val="clear" w:color="auto" w:fill="FFFFFF"/>
        </w:rPr>
        <w:t>安保</w:t>
      </w:r>
      <w:r>
        <w:rPr>
          <w:rFonts w:ascii="方正仿宋_GBK" w:hAnsi="方正仿宋_GBK" w:eastAsia="方正仿宋_GBK" w:cs="方正仿宋_GBK"/>
          <w:sz w:val="32"/>
          <w:szCs w:val="32"/>
          <w:shd w:val="clear" w:color="auto" w:fill="FFFFFF"/>
        </w:rPr>
        <w:t>维稳、养老诈骗专项行动等一次性项目，二是厉行节约。</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80" w:lineRule="exact"/>
        <w:ind w:firstLine="642"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与2023年度相比，减少82.25万元，下降13.2%</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一是2023年追加了2022年度开支的</w:t>
      </w:r>
      <w:r>
        <w:rPr>
          <w:rFonts w:hint="eastAsia" w:ascii="Times New Roman" w:hAnsi="Times New Roman" w:eastAsia="方正仿宋_GBK"/>
          <w:sz w:val="32"/>
          <w:szCs w:val="32"/>
          <w:shd w:val="clear" w:color="auto" w:fill="FFFFFF"/>
          <w:lang w:eastAsia="zh-CN"/>
        </w:rPr>
        <w:t>党的二十大</w:t>
      </w:r>
      <w:r>
        <w:rPr>
          <w:rFonts w:ascii="Times New Roman" w:hAnsi="Times New Roman" w:eastAsia="方正仿宋_GBK"/>
          <w:sz w:val="32"/>
          <w:szCs w:val="32"/>
          <w:shd w:val="clear" w:color="auto" w:fill="FFFFFF"/>
        </w:rPr>
        <w:t>安保维稳、养老诈骗专项行动等临时性项目资金，二是厉行节约。</w:t>
      </w:r>
      <w:r>
        <w:rPr>
          <w:rFonts w:hint="default" w:ascii="Times New Roman" w:hAnsi="Times New Roman" w:eastAsia="方正仿宋_GBK"/>
          <w:sz w:val="32"/>
          <w:szCs w:val="32"/>
          <w:shd w:val="clear" w:color="auto" w:fill="FFFFFF"/>
        </w:rPr>
        <w:t>较年初预算数增加27.00万元，增长5.3%</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一是部门职工工资自然增长，导致保险、公积金等人员经费的增长，二是年中追加了市级转移支付资</w:t>
      </w:r>
      <w:r>
        <w:rPr>
          <w:rFonts w:ascii="Times New Roman" w:hAnsi="Times New Roman" w:eastAsia="方正仿宋_GBK"/>
          <w:spacing w:val="0"/>
          <w:kern w:val="0"/>
          <w:sz w:val="32"/>
          <w:szCs w:val="32"/>
          <w:shd w:val="clear" w:color="auto" w:fill="FFFFFF"/>
          <w:fitText w:val="1120" w:id="-645733887"/>
        </w:rPr>
        <w:t>金16万</w:t>
      </w:r>
      <w:r>
        <w:rPr>
          <w:rFonts w:ascii="Times New Roman" w:hAnsi="Times New Roman" w:eastAsia="方正仿宋_GBK"/>
          <w:sz w:val="32"/>
          <w:szCs w:val="32"/>
          <w:shd w:val="clear" w:color="auto" w:fill="FFFFFF"/>
        </w:rPr>
        <w:t>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ind w:firstLine="642"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541.32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与2023年度相比，减少95.28万元，下降15.0%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ascii="Times New Roman" w:hAnsi="Times New Roman" w:eastAsia="方正仿宋_GBK"/>
          <w:sz w:val="32"/>
          <w:szCs w:val="32"/>
          <w:shd w:val="clear" w:color="auto" w:fill="FFFFFF"/>
        </w:rPr>
        <w:t>一是2023年追加了2022年度开支的</w:t>
      </w:r>
      <w:r>
        <w:rPr>
          <w:rFonts w:hint="eastAsia" w:ascii="Times New Roman" w:hAnsi="Times New Roman" w:eastAsia="方正仿宋_GBK"/>
          <w:sz w:val="32"/>
          <w:szCs w:val="32"/>
          <w:shd w:val="clear" w:color="auto" w:fill="FFFFFF"/>
          <w:lang w:eastAsia="zh-CN"/>
        </w:rPr>
        <w:t>党的二十大</w:t>
      </w:r>
      <w:r>
        <w:rPr>
          <w:rFonts w:ascii="Times New Roman" w:hAnsi="Times New Roman" w:eastAsia="方正仿宋_GBK"/>
          <w:sz w:val="32"/>
          <w:szCs w:val="32"/>
          <w:shd w:val="clear" w:color="auto" w:fill="FFFFFF"/>
        </w:rPr>
        <w:t>安保维稳、养老诈骗专项行动等临时性项目资金，二是厉行节约。</w:t>
      </w:r>
      <w:r>
        <w:rPr>
          <w:rFonts w:hint="default" w:ascii="Times New Roman" w:hAnsi="Times New Roman" w:eastAsia="方正仿宋_GBK"/>
          <w:sz w:val="32"/>
          <w:szCs w:val="32"/>
          <w:shd w:val="clear" w:color="auto" w:fill="FFFFFF"/>
        </w:rPr>
        <w:t>较年初预算数增加27.00万元，增长5.3%</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一是部门职工工资自然增长，导致保险、公积金等人员经费的增长，二是年中追加了市级转移支付资金16万元。</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409.90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较年初预算数增加409.90万元，增长100.0%</w:t>
      </w:r>
      <w:r>
        <w:rPr>
          <w:rFonts w:ascii="方正仿宋_GBK" w:hAnsi="方正仿宋_GBK" w:eastAsia="方正仿宋_GBK" w:cs="方正仿宋_GBK"/>
          <w:sz w:val="32"/>
          <w:szCs w:val="32"/>
          <w:shd w:val="clear" w:color="auto" w:fill="FFFFFF"/>
        </w:rPr>
        <w:t>，主要原因是根据相关规</w:t>
      </w:r>
      <w:r>
        <w:rPr>
          <w:rFonts w:ascii="Times New Roman" w:hAnsi="Times New Roman" w:eastAsia="方正仿宋_GBK"/>
          <w:sz w:val="32"/>
          <w:szCs w:val="32"/>
          <w:shd w:val="clear" w:color="auto" w:fill="FFFFFF"/>
        </w:rPr>
        <w:t>定本部门主科目从公共安全支出调整到了一般公共服务支出。</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16.00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较年初预算数减少385.47万元，下降96.0%</w:t>
      </w:r>
      <w:r>
        <w:rPr>
          <w:rFonts w:ascii="方正仿宋_GBK" w:hAnsi="方正仿宋_GBK" w:eastAsia="方正仿宋_GBK" w:cs="方正仿宋_GBK"/>
          <w:sz w:val="32"/>
          <w:szCs w:val="32"/>
          <w:shd w:val="clear" w:color="auto" w:fill="FFFFFF"/>
        </w:rPr>
        <w:t>，主要原因是根据相关规</w:t>
      </w:r>
      <w:r>
        <w:rPr>
          <w:rFonts w:ascii="Times New Roman" w:hAnsi="Times New Roman" w:eastAsia="方正仿宋_GBK"/>
          <w:sz w:val="32"/>
          <w:szCs w:val="32"/>
          <w:shd w:val="clear" w:color="auto" w:fill="FFFFFF"/>
        </w:rPr>
        <w:t>定本部门主科目从公共安全支出调整到了一般公共服务支出。</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68.98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较年初预算数增加3.75万元，增长5.8%</w:t>
      </w:r>
      <w:r>
        <w:rPr>
          <w:rFonts w:ascii="方正仿宋_GBK" w:hAnsi="方正仿宋_GBK" w:eastAsia="方正仿宋_GBK" w:cs="方正仿宋_GBK"/>
          <w:sz w:val="32"/>
          <w:szCs w:val="32"/>
          <w:shd w:val="clear" w:color="auto" w:fill="FFFFFF"/>
        </w:rPr>
        <w:t>，主要原因：一是职工养老保险和职业年金调标，二是本年度退休一名职工，该职工为职业年金准备期应记实人员，本年度退休时补缴了职业年金。</w:t>
      </w:r>
    </w:p>
    <w:p>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21.52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较年初预算数减少0.47万元，下降2.1%</w:t>
      </w:r>
      <w:r>
        <w:rPr>
          <w:rFonts w:ascii="方正仿宋_GBK" w:hAnsi="方正仿宋_GBK" w:eastAsia="方正仿宋_GBK" w:cs="方正仿宋_GBK"/>
          <w:sz w:val="32"/>
          <w:szCs w:val="32"/>
          <w:shd w:val="clear" w:color="auto" w:fill="FFFFFF"/>
        </w:rPr>
        <w:t>，主要</w:t>
      </w:r>
      <w:r>
        <w:rPr>
          <w:rFonts w:ascii="Times New Roman" w:hAnsi="Times New Roman" w:eastAsia="方正仿宋_GBK"/>
          <w:sz w:val="32"/>
          <w:szCs w:val="32"/>
          <w:shd w:val="clear" w:color="auto" w:fill="FFFFFF"/>
        </w:rPr>
        <w:t>原因是本年度退休一名职工。</w:t>
      </w:r>
    </w:p>
    <w:p>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较年初预算数减少0.72万元，下降2.8%</w:t>
      </w:r>
      <w:r>
        <w:rPr>
          <w:rFonts w:ascii="方正仿宋_GBK" w:hAnsi="方正仿宋_GBK" w:eastAsia="方正仿宋_GBK" w:cs="方正仿宋_GBK"/>
          <w:sz w:val="32"/>
          <w:szCs w:val="32"/>
          <w:shd w:val="clear" w:color="auto" w:fill="FFFFFF"/>
        </w:rPr>
        <w:t>，主要</w:t>
      </w:r>
      <w:r>
        <w:rPr>
          <w:rFonts w:ascii="Times New Roman" w:hAnsi="Times New Roman" w:eastAsia="方正仿宋_GBK"/>
          <w:sz w:val="32"/>
          <w:szCs w:val="32"/>
          <w:shd w:val="clear" w:color="auto" w:fill="FFFFFF"/>
        </w:rPr>
        <w:t>原因是本年度退休一名职工。</w:t>
      </w:r>
    </w:p>
    <w:p>
      <w:pPr>
        <w:pStyle w:val="6"/>
        <w:snapToGrid w:val="0"/>
        <w:spacing w:before="0" w:beforeAutospacing="0" w:after="0" w:afterAutospacing="0" w:line="580" w:lineRule="exact"/>
        <w:ind w:firstLine="642"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2024年度年末结转和结余0.00万元，与上年决算数持平。</w:t>
      </w:r>
    </w:p>
    <w:p>
      <w:pPr>
        <w:pStyle w:val="6"/>
        <w:snapToGrid w:val="0"/>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424.66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8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383.98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与2023年度相比，减少52.81万元，下降12.1%</w:t>
      </w:r>
      <w:r>
        <w:rPr>
          <w:rFonts w:ascii="Times New Roman" w:hAnsi="Times New Roman" w:eastAsia="方正仿宋_GBK"/>
          <w:sz w:val="32"/>
          <w:szCs w:val="32"/>
          <w:shd w:val="clear" w:color="auto" w:fill="FFFFFF"/>
        </w:rPr>
        <w:t>，主要原因一是部门减少2名在职职工，部门本年度退休一名职工，调出一名职工，二是2023年度清算了以前年度的部门职工的绩效奖，补缴了以前年度的职业年金，补缴了上年度的养老保险职业年金，支付了一名退休职工丧葬费，</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基本工资、津贴补贴、奖金、机关事业单位基本养老保险缴费、职业年金缴费、职工基本医疗保险缴费、其他社会保障缴费、住房公积金、医疗费、抚恤金等。</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40.68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与2023年度相比，减少1.47万元，下降3.5%</w:t>
      </w:r>
      <w:r>
        <w:rPr>
          <w:rFonts w:ascii="方正仿宋_GBK" w:hAnsi="方正仿宋_GBK" w:eastAsia="方正仿宋_GBK" w:cs="方正仿宋_GBK"/>
          <w:sz w:val="32"/>
          <w:szCs w:val="32"/>
          <w:shd w:val="clear" w:color="auto" w:fill="FFFFFF"/>
        </w:rPr>
        <w:t xml:space="preserve">，主要原因是厉行节约。公用经费用途主要包括办公费、印刷费、水费、电费、邮电费、差旅费、培训费、工会经费、福利费、公务用车运行维护费、其他交通费等。    </w:t>
      </w:r>
    </w:p>
    <w:p>
      <w:pPr>
        <w:pStyle w:val="6"/>
        <w:snapToGrid w:val="0"/>
        <w:spacing w:before="0" w:beforeAutospacing="0" w:after="0" w:afterAutospacing="0" w:line="58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本部门2024年度无政府性基金预算财政拨款收支。</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本部门2024年度无国有资本经营预算财政拨款支出。</w:t>
      </w:r>
    </w:p>
    <w:p>
      <w:pPr>
        <w:pStyle w:val="6"/>
        <w:shd w:val="clear" w:color="auto" w:fill="FFFFFF"/>
        <w:spacing w:before="0" w:beforeAutospacing="0" w:after="0" w:afterAutospacing="0" w:line="580" w:lineRule="exact"/>
        <w:ind w:firstLine="642"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较年初预算数减少2.16万元，下降32.2%</w:t>
      </w:r>
      <w:r>
        <w:rPr>
          <w:rFonts w:ascii="方正仿宋_GBK" w:hAnsi="方正仿宋_GBK" w:eastAsia="方正仿宋_GBK" w:cs="方正仿宋_GBK"/>
          <w:sz w:val="32"/>
          <w:szCs w:val="32"/>
          <w:shd w:val="clear" w:color="auto" w:fill="FFFFFF"/>
        </w:rPr>
        <w:t>，主要原因：一是部分</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经费发票未在本年度支出，二是厉行节约。</w:t>
      </w:r>
      <w:r>
        <w:rPr>
          <w:rFonts w:hint="default" w:ascii="方正仿宋_GBK" w:hAnsi="方正仿宋_GBK" w:eastAsia="方正仿宋_GBK" w:cs="方正仿宋_GBK"/>
          <w:sz w:val="32"/>
          <w:szCs w:val="32"/>
          <w:shd w:val="clear" w:color="auto" w:fill="FFFFFF"/>
        </w:rPr>
        <w:t>较</w:t>
      </w:r>
      <w:r>
        <w:rPr>
          <w:rFonts w:hint="default" w:ascii="Times New Roman" w:hAnsi="Times New Roman" w:eastAsia="方正仿宋_GBK"/>
          <w:sz w:val="32"/>
          <w:szCs w:val="32"/>
          <w:shd w:val="clear" w:color="auto" w:fill="FFFFFF"/>
        </w:rPr>
        <w:t>上年支出数减少3.46万元，下降43.3%</w:t>
      </w:r>
      <w:r>
        <w:rPr>
          <w:rFonts w:ascii="Times New Roman" w:hAnsi="Times New Roman" w:eastAsia="方正仿宋_GBK"/>
          <w:sz w:val="32"/>
          <w:szCs w:val="32"/>
          <w:shd w:val="clear" w:color="auto" w:fill="FFFFFF"/>
        </w:rPr>
        <w:t>，主要原因是厉行节约。</w:t>
      </w:r>
    </w:p>
    <w:p>
      <w:pPr>
        <w:pStyle w:val="6"/>
        <w:snapToGrid w:val="0"/>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，与上年决算数持平。</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，与上年决算数持平。</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万元，主要用于本部门公务公车燃油费、过路过桥费、保险费等。费用支出</w:t>
      </w:r>
      <w:r>
        <w:rPr>
          <w:rFonts w:hint="default" w:ascii="Times New Roman" w:hAnsi="Times New Roman" w:eastAsia="方正仿宋_GBK"/>
          <w:sz w:val="32"/>
          <w:szCs w:val="32"/>
          <w:shd w:val="clear" w:color="auto" w:fill="FFFFFF"/>
        </w:rPr>
        <w:t>较年初预算数减少0.25万元，下降6.8%</w:t>
      </w:r>
      <w:r>
        <w:rPr>
          <w:rFonts w:ascii="方正仿宋_GBK" w:hAnsi="方正仿宋_GBK" w:eastAsia="方正仿宋_GBK" w:cs="方正仿宋_GBK"/>
          <w:sz w:val="32"/>
          <w:szCs w:val="32"/>
          <w:shd w:val="clear" w:color="auto" w:fill="FFFFFF"/>
        </w:rPr>
        <w:t>，主要原因是厉行节约。</w:t>
      </w:r>
      <w:r>
        <w:rPr>
          <w:rFonts w:hint="default" w:ascii="Times New Roman" w:hAnsi="Times New Roman" w:eastAsia="方正仿宋_GBK"/>
          <w:sz w:val="32"/>
          <w:szCs w:val="32"/>
          <w:shd w:val="clear" w:color="auto" w:fill="FFFFFF"/>
        </w:rPr>
        <w:t>较上年支出数减少0.60万元，下降14.8%</w:t>
      </w:r>
      <w:r>
        <w:rPr>
          <w:rFonts w:ascii="方正仿宋_GBK" w:hAnsi="方正仿宋_GBK" w:eastAsia="方正仿宋_GBK" w:cs="方正仿宋_GBK"/>
          <w:sz w:val="32"/>
          <w:szCs w:val="32"/>
          <w:shd w:val="clear" w:color="auto" w:fill="FFFFFF"/>
        </w:rPr>
        <w:t>，主要原因是厉行节约。</w:t>
      </w:r>
    </w:p>
    <w:p>
      <w:pPr>
        <w:pStyle w:val="6"/>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shd w:val="clear" w:color="auto" w:fill="FFFFFF"/>
        </w:rPr>
        <w:t>上级单位对政法工作、平安建设等工作的调研、督查接待。</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较年初预算数减少1.91万元，下降63.7%</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一是部分接待票据本年未支出，二是厉行节约。</w:t>
      </w:r>
      <w:r>
        <w:rPr>
          <w:rFonts w:hint="default" w:ascii="Times New Roman" w:hAnsi="Times New Roman" w:eastAsia="方正仿宋_GBK"/>
          <w:sz w:val="32"/>
          <w:szCs w:val="32"/>
          <w:shd w:val="clear" w:color="auto" w:fill="FFFFFF"/>
        </w:rPr>
        <w:t>较上年支出数减少2.86万元，下降72.4%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主要原因是厉行节约。</w:t>
      </w:r>
    </w:p>
    <w:p>
      <w:pPr>
        <w:pStyle w:val="6"/>
        <w:snapToGrid w:val="0"/>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167</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65.45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80" w:lineRule="exact"/>
        <w:ind w:firstLine="963" w:firstLineChars="3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shd w:val="clear" w:color="auto" w:fill="FFFFFF"/>
        <w:spacing w:before="0" w:beforeAutospacing="0" w:after="0" w:afterAutospacing="0" w:line="58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与2023年度相比，减少2.77万元，下降68.2%</w:t>
      </w:r>
      <w:r>
        <w:rPr>
          <w:rFonts w:ascii="方正仿宋_GBK" w:hAnsi="方正仿宋_GBK" w:eastAsia="方正仿宋_GBK" w:cs="方正仿宋_GBK"/>
          <w:sz w:val="32"/>
          <w:szCs w:val="32"/>
          <w:shd w:val="clear" w:color="auto" w:fill="FFFFFF"/>
        </w:rPr>
        <w:t>，主要原因一是部分会议支出票据未报账，二是厉行节约。本年度培训费支出</w:t>
      </w:r>
      <w:r>
        <w:rPr>
          <w:rFonts w:hint="default" w:ascii="Times New Roman" w:hAnsi="Times New Roman" w:eastAsia="方正仿宋_GBK"/>
          <w:sz w:val="32"/>
          <w:szCs w:val="32"/>
          <w:shd w:val="clear" w:color="auto" w:fill="FFFFFF"/>
        </w:rPr>
        <w:t>0.91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与2023年度相比，减少0.43万元，下降32.1%</w:t>
      </w:r>
      <w:r>
        <w:rPr>
          <w:rFonts w:ascii="方正仿宋_GBK" w:hAnsi="方正仿宋_GBK" w:eastAsia="方正仿宋_GBK" w:cs="方正仿宋_GBK"/>
          <w:sz w:val="32"/>
          <w:szCs w:val="32"/>
          <w:shd w:val="clear" w:color="auto" w:fill="FFFFFF"/>
        </w:rPr>
        <w:t>，主要原因部分培训费支出票据未报账，本年度差旅费支出</w:t>
      </w:r>
      <w:r>
        <w:rPr>
          <w:rFonts w:hint="default" w:ascii="Times New Roman" w:hAnsi="Times New Roman" w:eastAsia="方正仿宋_GBK"/>
          <w:sz w:val="32"/>
          <w:szCs w:val="32"/>
          <w:shd w:val="clear" w:color="auto" w:fill="FFFFFF"/>
        </w:rPr>
        <w:t>17.00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与2023年度相比，增加0.73万元，增长4.5%</w:t>
      </w:r>
      <w:r>
        <w:rPr>
          <w:rFonts w:ascii="方正仿宋_GBK" w:hAnsi="方正仿宋_GBK" w:eastAsia="方正仿宋_GBK" w:cs="方正仿宋_GBK"/>
          <w:sz w:val="32"/>
          <w:szCs w:val="32"/>
          <w:shd w:val="clear" w:color="auto" w:fill="FFFFFF"/>
        </w:rPr>
        <w:t>，主要原因是到上级单位对接工作、到乡镇督导工作次数、人数增加。</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40.68</w:t>
      </w:r>
      <w:r>
        <w:rPr>
          <w:rFonts w:ascii="方正仿宋_GBK" w:hAnsi="方正仿宋_GBK" w:eastAsia="方正仿宋_GBK" w:cs="方正仿宋_GBK"/>
          <w:sz w:val="32"/>
          <w:szCs w:val="32"/>
          <w:shd w:val="clear" w:color="auto" w:fill="FFFFFF"/>
        </w:rPr>
        <w:t>万元，机关运行经费主要用于开支办公费、水费、电费、邮电费、物管费、差旅费、维修（护）费、培训费、工会经费、公车运行维护费、其他交通费用、其他商品和服务支出。机关运行经费</w:t>
      </w:r>
      <w:r>
        <w:rPr>
          <w:rFonts w:hint="default" w:ascii="Times New Roman" w:hAnsi="Times New Roman" w:eastAsia="方正仿宋_GBK"/>
          <w:sz w:val="32"/>
          <w:szCs w:val="32"/>
          <w:shd w:val="clear" w:color="auto" w:fill="FFFFFF"/>
        </w:rPr>
        <w:t>较上年支出数减少1.47万元，下降3.5%</w:t>
      </w:r>
      <w:r>
        <w:rPr>
          <w:rFonts w:ascii="方正仿宋_GBK" w:hAnsi="方正仿宋_GBK" w:eastAsia="方正仿宋_GBK" w:cs="方正仿宋_GBK"/>
          <w:sz w:val="32"/>
          <w:szCs w:val="32"/>
          <w:shd w:val="clear" w:color="auto" w:fill="FFFFFF"/>
        </w:rPr>
        <w:t>，主要原因是厉行节约。</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autoSpaceDE w:val="0"/>
        <w:spacing w:line="580" w:lineRule="exact"/>
        <w:ind w:firstLine="643"/>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8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。主要用于采购日常办公的电脑及打印机等设备。</w:t>
      </w:r>
    </w:p>
    <w:p>
      <w:pPr>
        <w:pStyle w:val="6"/>
        <w:snapToGrid w:val="0"/>
        <w:spacing w:before="0" w:beforeAutospacing="0" w:after="0" w:afterAutospacing="0" w:line="580" w:lineRule="exact"/>
        <w:ind w:firstLine="642"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80" w:lineRule="exact"/>
        <w:ind w:firstLine="642"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根据预算绩效管理要求，我部门对部门整体绩效及9个项目开展了绩效自评，涉及财政拨款支出资金541.69万元。</w:t>
      </w:r>
    </w:p>
    <w:p>
      <w:pPr>
        <w:pStyle w:val="12"/>
        <w:spacing w:before="0" w:beforeAutospacing="0" w:after="0" w:afterAutospacing="0" w:line="596" w:lineRule="exact"/>
        <w:ind w:firstLine="642"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5000" w:type="pct"/>
        <w:tblInd w:w="0" w:type="dxa"/>
        <w:tblLayout w:type="autofit"/>
        <w:tblCellMar>
          <w:top w:w="0" w:type="dxa"/>
          <w:left w:w="108" w:type="dxa"/>
          <w:bottom w:w="0" w:type="dxa"/>
          <w:right w:w="108" w:type="dxa"/>
        </w:tblCellMar>
      </w:tblPr>
      <w:tblGrid>
        <w:gridCol w:w="1400"/>
        <w:gridCol w:w="1020"/>
        <w:gridCol w:w="1020"/>
        <w:gridCol w:w="1086"/>
        <w:gridCol w:w="638"/>
        <w:gridCol w:w="709"/>
        <w:gridCol w:w="793"/>
        <w:gridCol w:w="658"/>
        <w:gridCol w:w="554"/>
        <w:gridCol w:w="723"/>
        <w:gridCol w:w="638"/>
      </w:tblGrid>
      <w:tr>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077"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中国共产党丰都县委员政法委员会整体监控</w:t>
            </w:r>
          </w:p>
        </w:tc>
        <w:tc>
          <w:tcPr>
            <w:tcW w:w="550"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757"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50023000024P000022</w:t>
            </w:r>
          </w:p>
        </w:tc>
        <w:tc>
          <w:tcPr>
            <w:tcW w:w="426"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711"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95.65</w:t>
            </w:r>
          </w:p>
        </w:tc>
        <w:tc>
          <w:tcPr>
            <w:tcW w:w="402"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356" w:type="pct"/>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077"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138-中国共产党丰都县委员政法委员会</w:t>
            </w:r>
          </w:p>
        </w:tc>
        <w:tc>
          <w:tcPr>
            <w:tcW w:w="550"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757"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001-行政政法科</w:t>
            </w:r>
          </w:p>
        </w:tc>
        <w:tc>
          <w:tcPr>
            <w:tcW w:w="426"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711"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吴让丹</w:t>
            </w:r>
          </w:p>
        </w:tc>
        <w:tc>
          <w:tcPr>
            <w:tcW w:w="402"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356" w:type="pct"/>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70606816</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2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1088"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757"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82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402" w:type="pct"/>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53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539"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55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5,143,228.27 </w:t>
            </w:r>
          </w:p>
        </w:tc>
        <w:tc>
          <w:tcPr>
            <w:tcW w:w="356"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9,586,907.89 </w:t>
            </w:r>
          </w:p>
        </w:tc>
        <w:tc>
          <w:tcPr>
            <w:tcW w:w="426"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5,416,907.89 </w:t>
            </w:r>
          </w:p>
        </w:tc>
        <w:tc>
          <w:tcPr>
            <w:tcW w:w="310"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2"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53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539"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55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5,143,228.27 </w:t>
            </w:r>
          </w:p>
        </w:tc>
        <w:tc>
          <w:tcPr>
            <w:tcW w:w="356"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9,586,907.89 </w:t>
            </w:r>
          </w:p>
        </w:tc>
        <w:tc>
          <w:tcPr>
            <w:tcW w:w="426"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5,416,907.89 </w:t>
            </w:r>
          </w:p>
        </w:tc>
        <w:tc>
          <w:tcPr>
            <w:tcW w:w="31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56.5</w:t>
            </w:r>
          </w:p>
        </w:tc>
        <w:tc>
          <w:tcPr>
            <w:tcW w:w="402"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5.65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53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539"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55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5,143,228.27 </w:t>
            </w:r>
          </w:p>
        </w:tc>
        <w:tc>
          <w:tcPr>
            <w:tcW w:w="356"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9,586,907.89 </w:t>
            </w:r>
          </w:p>
        </w:tc>
        <w:tc>
          <w:tcPr>
            <w:tcW w:w="426"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01"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5,416,907.89 </w:t>
            </w:r>
          </w:p>
        </w:tc>
        <w:tc>
          <w:tcPr>
            <w:tcW w:w="31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56.5</w:t>
            </w:r>
          </w:p>
        </w:tc>
        <w:tc>
          <w:tcPr>
            <w:tcW w:w="402"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234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584"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068"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2348" w:type="pct"/>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hint="eastAsia" w:cs="宋体"/>
                <w:color w:val="000000"/>
                <w:sz w:val="22"/>
                <w:szCs w:val="22"/>
                <w:lang w:eastAsia="zh-CN"/>
              </w:rPr>
              <w:t>学习</w:t>
            </w:r>
            <w:r>
              <w:rPr>
                <w:rFonts w:cs="宋体"/>
                <w:color w:val="000000"/>
                <w:sz w:val="22"/>
                <w:szCs w:val="22"/>
              </w:rPr>
              <w:t>贯彻习近平新时代中国特色社会主义思想，坚定党对政法工作的绝对领导，坚决执行党的路线方针政策和党中央重大决策部署。贯彻党中央以及上级党组织决定，研究协调政法单位之间有关重大事项，统一政法单位思想和行动，协助党委决策和统筹推进政法改革等各项工作。了解掌握和分析研判社会稳定形势、政法工作情况动态、创新完善多部门参与的平安建设工作协调机制，协调推动预防、化解影响稳定的社会矛盾和风险，协调应对和妥善处置重大突发事件。加强对政法工作的督查，指导和推动政法单位党的建设和政法队伍建设。完成县委交办的其他任务。组织召开协调会80次，到各乡镇、政法各单位调研督导60次，使政法队伍建设人民群众满意度达90%以上，群众安全感达95%以上，司法公信力达95%以上。</w:t>
            </w:r>
          </w:p>
        </w:tc>
        <w:tc>
          <w:tcPr>
            <w:tcW w:w="1584" w:type="pct"/>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1068" w:type="pct"/>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组织召开全县政法工作会议1次，召开协调会80次，到各乡镇、政法各单位调研督导60次，使政法队伍建设人民群众满意度达90%以上，群众安全感达95%以上，司法公信力达95%以上。</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55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0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42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40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31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40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356"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召开全县政法工作会议</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2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31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40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组织召开各类协调会</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次</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80</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2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31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40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指标执行完成时限</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5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2024年12月31日前</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2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1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40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群众安全感</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98</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3.16</w:t>
            </w:r>
          </w:p>
        </w:tc>
        <w:tc>
          <w:tcPr>
            <w:tcW w:w="42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w:t>
            </w:r>
          </w:p>
        </w:tc>
        <w:tc>
          <w:tcPr>
            <w:tcW w:w="31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w:t>
            </w:r>
          </w:p>
        </w:tc>
        <w:tc>
          <w:tcPr>
            <w:tcW w:w="40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司法公信力</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2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w:t>
            </w:r>
          </w:p>
        </w:tc>
        <w:tc>
          <w:tcPr>
            <w:tcW w:w="31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w:t>
            </w:r>
          </w:p>
        </w:tc>
        <w:tc>
          <w:tcPr>
            <w:tcW w:w="40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721"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政法队伍建设人民群众满意度</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3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5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26"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40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1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40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356"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7"/>
        <w:tblW w:w="5000" w:type="pct"/>
        <w:tblInd w:w="0" w:type="dxa"/>
        <w:tblLayout w:type="autofit"/>
        <w:tblCellMar>
          <w:top w:w="0" w:type="dxa"/>
          <w:left w:w="108" w:type="dxa"/>
          <w:bottom w:w="0" w:type="dxa"/>
          <w:right w:w="108" w:type="dxa"/>
        </w:tblCellMar>
      </w:tblPr>
      <w:tblGrid>
        <w:gridCol w:w="1333"/>
        <w:gridCol w:w="1206"/>
        <w:gridCol w:w="956"/>
        <w:gridCol w:w="853"/>
        <w:gridCol w:w="671"/>
        <w:gridCol w:w="747"/>
        <w:gridCol w:w="837"/>
        <w:gridCol w:w="623"/>
        <w:gridCol w:w="580"/>
        <w:gridCol w:w="762"/>
        <w:gridCol w:w="671"/>
      </w:tblGrid>
      <w:tr>
        <w:tblPrEx>
          <w:tblCellMar>
            <w:top w:w="0" w:type="dxa"/>
            <w:left w:w="108" w:type="dxa"/>
            <w:bottom w:w="0" w:type="dxa"/>
            <w:right w:w="108" w:type="dxa"/>
          </w:tblCellMar>
        </w:tblPrEx>
        <w:trPr>
          <w:trHeight w:val="7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tblPrEx>
          <w:tblCellMar>
            <w:top w:w="0" w:type="dxa"/>
            <w:left w:w="108" w:type="dxa"/>
            <w:bottom w:w="0" w:type="dxa"/>
            <w:right w:w="108" w:type="dxa"/>
          </w:tblCellMar>
        </w:tblPrEx>
        <w:trPr>
          <w:trHeight w:val="499"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015"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流动人口协管员与铁路护路人员工资及五险</w:t>
            </w:r>
          </w:p>
        </w:tc>
        <w:tc>
          <w:tcPr>
            <w:tcW w:w="464"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794"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50023023T000003462364</w:t>
            </w:r>
          </w:p>
        </w:tc>
        <w:tc>
          <w:tcPr>
            <w:tcW w:w="432"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601"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90.63</w:t>
            </w:r>
          </w:p>
        </w:tc>
        <w:tc>
          <w:tcPr>
            <w:tcW w:w="399"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444" w:type="pct"/>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015"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138-中国共产党丰都县委员政法委员会</w:t>
            </w:r>
          </w:p>
        </w:tc>
        <w:tc>
          <w:tcPr>
            <w:tcW w:w="464"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794"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001-行政政法科</w:t>
            </w:r>
          </w:p>
        </w:tc>
        <w:tc>
          <w:tcPr>
            <w:tcW w:w="432"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601"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薛存洁</w:t>
            </w:r>
          </w:p>
        </w:tc>
        <w:tc>
          <w:tcPr>
            <w:tcW w:w="399"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444" w:type="pct"/>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70605677</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42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905"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79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764"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26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399" w:type="pct"/>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44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574"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41"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64"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334"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60"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144,000.00 </w:t>
            </w:r>
          </w:p>
        </w:tc>
        <w:tc>
          <w:tcPr>
            <w:tcW w:w="432"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32"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144,000.00 </w:t>
            </w:r>
          </w:p>
        </w:tc>
        <w:tc>
          <w:tcPr>
            <w:tcW w:w="26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9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574"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41"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64"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334"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60"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144,000.00 </w:t>
            </w:r>
          </w:p>
        </w:tc>
        <w:tc>
          <w:tcPr>
            <w:tcW w:w="432"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32"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144,000.00 </w:t>
            </w:r>
          </w:p>
        </w:tc>
        <w:tc>
          <w:tcPr>
            <w:tcW w:w="269"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39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574"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41"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64"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0.00 </w:t>
            </w:r>
          </w:p>
        </w:tc>
        <w:tc>
          <w:tcPr>
            <w:tcW w:w="334"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60"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144,000.00 </w:t>
            </w:r>
          </w:p>
        </w:tc>
        <w:tc>
          <w:tcPr>
            <w:tcW w:w="432"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32"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144,000.00 </w:t>
            </w:r>
          </w:p>
        </w:tc>
        <w:tc>
          <w:tcPr>
            <w:tcW w:w="269"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399"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233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558"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1111"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2331" w:type="pct"/>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sans-serif" w:hAnsi="sans-serif" w:eastAsia="sans-serif" w:cs="sans-serif"/>
                <w:i w:val="0"/>
                <w:iCs w:val="0"/>
                <w:caps w:val="0"/>
                <w:color w:val="171A1D"/>
                <w:spacing w:val="0"/>
                <w:kern w:val="0"/>
                <w:sz w:val="21"/>
                <w:szCs w:val="21"/>
                <w:shd w:val="clear" w:fill="FFFFFF"/>
                <w:lang w:val="en-US" w:eastAsia="zh-CN" w:bidi="ar"/>
              </w:rPr>
            </w:pPr>
            <w:r>
              <w:rPr>
                <w:rFonts w:hint="eastAsia" w:ascii="sans-serif" w:hAnsi="sans-serif" w:eastAsia="sans-serif" w:cs="sans-serif"/>
                <w:i w:val="0"/>
                <w:iCs w:val="0"/>
                <w:caps w:val="0"/>
                <w:color w:val="171A1D"/>
                <w:spacing w:val="0"/>
                <w:kern w:val="0"/>
                <w:sz w:val="21"/>
                <w:szCs w:val="21"/>
                <w:shd w:val="clear" w:fill="FFFFFF"/>
                <w:lang w:val="en-US" w:eastAsia="zh-CN" w:bidi="ar"/>
              </w:rPr>
              <w:t>采集本辖区内流动人口和出租房屋信息，督促流动人口主动申报居住、工作情况及办理居住证等相关事宜，督促房屋出租人和用工单位负责人落实承租人信息和用工信息申报及其它相关治安责任，及时向公安机关报告可疑情况和违法犯罪线索，协助政法、公安部门对出租房屋、施工工地、城乡接合部、公共复杂场所、校园周边、集贸市场、文化娱乐场所等流动人口落脚点和聚居区进行清理整治，及时发现各种安全隐患，督促房屋出租人落实安全防范措施，做好相关法律法规的宣传等工作。全县聘用32名专职流动人口协管员兼禁毒社区人员，涉及任务较重的七个乡镇街道32个社区，确保流动人口服务管理和禁毒工作的有序推进。开展年度护路工作基础调研，做好涉路矛盾纠纷排查调处,持续抓实线路巡防守护，并稳步推进；完成年度爱路护路宣传工作，在辖区内广泛开展爱路护路宣传活动；做好年度各阶段重大安保工作和节假日及敏感时期的值班守护。维护铁路护路视频监控系统。对全县所有护路点桥梁、隧道（洞）的全天候、全时段、宽范围的安全监控，加强铁路沿线的日常巡逻、维护及其他必要支出，及时发现问题、隐患，确保铁路运行绝对安全。</w:t>
            </w:r>
          </w:p>
        </w:tc>
        <w:tc>
          <w:tcPr>
            <w:tcW w:w="1558" w:type="pct"/>
            <w:gridSpan w:val="4"/>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jc w:val="left"/>
              <w:rPr>
                <w:rFonts w:hint="default" w:ascii="sans-serif" w:hAnsi="sans-serif" w:eastAsia="sans-serif" w:cs="sans-serif"/>
                <w:i w:val="0"/>
                <w:iCs w:val="0"/>
                <w:caps w:val="0"/>
                <w:color w:val="171A1D"/>
                <w:spacing w:val="0"/>
                <w:kern w:val="0"/>
                <w:sz w:val="21"/>
                <w:szCs w:val="21"/>
                <w:shd w:val="clear" w:fill="FFFFFF"/>
                <w:lang w:val="en-US" w:eastAsia="zh-CN" w:bidi="ar"/>
              </w:rPr>
            </w:pPr>
            <w:r>
              <w:rPr>
                <w:rFonts w:hint="eastAsia" w:ascii="sans-serif" w:hAnsi="sans-serif" w:eastAsia="sans-serif" w:cs="sans-serif"/>
                <w:i w:val="0"/>
                <w:iCs w:val="0"/>
                <w:caps w:val="0"/>
                <w:color w:val="171A1D"/>
                <w:spacing w:val="0"/>
                <w:kern w:val="0"/>
                <w:sz w:val="21"/>
                <w:szCs w:val="21"/>
                <w:shd w:val="clear" w:fill="FFFFFF"/>
                <w:lang w:val="en-US" w:eastAsia="zh-CN" w:bidi="ar"/>
              </w:rPr>
              <w:t>采集本辖区内流动人口和出租房屋信息，督促流动人口主动申报居住、工作情况及办理居住证等相关事宜，督促房屋出租人和用工单位负责人落实承租人信息和用工信息申报及其它相关治安责任，及时向公安机关报告可疑情况和违法犯罪线索，协助政法、公安部门对出租房屋、施工工地、城乡接合部、公共复杂场所、校园周边、集贸市场、文化娱乐场所等流动人口落脚点和聚居区进行清理整治，及时发现各种安全隐患，督促房屋出租人落实安全防范措施，做好相关法律法规的宣传等工作。全县聘用32名专职流动人口协管员兼禁毒社区人员，涉及任务较重的七个乡镇街道32个社区，确保流动人口服务管理和禁毒工作的有序推进。开展年度护路工作基础调研，做好涉路矛盾纠纷排查调处,持续抓实线路巡防守护，并稳步推进；完成年度爱路护路宣传工作，在辖区内广泛开展爱路护路宣传活动；做好年度各阶段重大安保工作和节假日及敏感时期的值班守护。维护铁路护路视频监控系统。对全县所有护路点桥梁、隧道（洞）的全天候、全时段、宽范围的安全监控，加强铁路沿线的日常巡逻、维护及其他必要支出，及时发现问题、隐患，确保铁路运行绝对安全。</w:t>
            </w:r>
          </w:p>
        </w:tc>
        <w:tc>
          <w:tcPr>
            <w:tcW w:w="1111" w:type="pct"/>
            <w:gridSpan w:val="3"/>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jc w:val="left"/>
            </w:pPr>
            <w:r>
              <w:rPr>
                <w:rFonts w:hint="eastAsia" w:ascii="sans-serif" w:hAnsi="sans-serif" w:eastAsia="sans-serif" w:cs="sans-serif"/>
                <w:i w:val="0"/>
                <w:iCs w:val="0"/>
                <w:caps w:val="0"/>
                <w:color w:val="171A1D"/>
                <w:spacing w:val="0"/>
                <w:kern w:val="0"/>
                <w:sz w:val="21"/>
                <w:szCs w:val="21"/>
                <w:shd w:val="clear" w:fill="FFFFFF"/>
                <w:lang w:val="en-US" w:eastAsia="zh-CN" w:bidi="ar"/>
              </w:rPr>
              <w:t>2024年全县聘用专职流动人口协管员32名和地方铁路护路联防队员19名，涉及专职流动人口协管员的有7个乡镇街道32个社区，涉铁路护路联防队员的有县委政法委和6个乡镇街道。人年均标准3.60万元。渝利高铁丰都段线路全长49.219公里，通过铁路护路联防队员对铁路沿线巡防值守，加强对铁路沿线的安全管控，确保群众出行安全率高达95%，服务对象满意度高达90%，铁路损坏率低于5%。</w:t>
            </w:r>
          </w:p>
          <w:p>
            <w:pPr>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57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44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46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33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46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43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33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26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39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44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覆盖社区数</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32</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32</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护路里程</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公里</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49</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49</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聘请流动人口协管员人数</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32</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29</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9.37</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6.3</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0.63</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聘请铁路护路人员人数</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19</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19</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32个社区流动人口管理率</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铁路损坏率</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保障群众出行安全率</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95</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52" w:type="pct"/>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年人均标准</w:t>
            </w:r>
          </w:p>
        </w:tc>
        <w:tc>
          <w:tcPr>
            <w:tcW w:w="57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万元/人</w:t>
            </w:r>
          </w:p>
        </w:tc>
        <w:tc>
          <w:tcPr>
            <w:tcW w:w="441"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46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3.6</w:t>
            </w:r>
          </w:p>
        </w:tc>
        <w:tc>
          <w:tcPr>
            <w:tcW w:w="33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3.6</w:t>
            </w:r>
          </w:p>
        </w:tc>
        <w:tc>
          <w:tcPr>
            <w:tcW w:w="46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4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332"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6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9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444"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autoSpaceDE w:val="0"/>
        <w:spacing w:before="0" w:beforeAutospacing="0" w:after="0" w:afterAutospacing="0" w:line="596" w:lineRule="exact"/>
        <w:rPr>
          <w:rStyle w:val="13"/>
          <w:rFonts w:hint="eastAsia" w:ascii="方正仿宋_GBK" w:hAnsi="方正仿宋_GBK" w:eastAsia="方正仿宋_GBK" w:cs="方正仿宋_GBK"/>
          <w:color w:val="FF0000"/>
          <w:sz w:val="32"/>
          <w:szCs w:val="32"/>
          <w:shd w:val="clear" w:color="auto" w:fill="FFFFFF"/>
        </w:rPr>
      </w:pPr>
    </w:p>
    <w:p>
      <w:pPr>
        <w:pStyle w:val="12"/>
        <w:autoSpaceDE w:val="0"/>
        <w:spacing w:before="0" w:beforeAutospacing="0" w:after="0" w:afterAutospacing="0" w:line="596" w:lineRule="exact"/>
        <w:rPr>
          <w:rStyle w:val="13"/>
          <w:rFonts w:hint="eastAsia" w:ascii="方正仿宋_GBK" w:hAnsi="方正仿宋_GBK" w:eastAsia="方正仿宋_GBK" w:cs="方正仿宋_GBK"/>
          <w:color w:val="FF0000"/>
          <w:sz w:val="32"/>
          <w:szCs w:val="32"/>
          <w:shd w:val="clear" w:color="auto" w:fill="FFFFFF"/>
        </w:rPr>
      </w:pPr>
    </w:p>
    <w:p>
      <w:pPr>
        <w:pStyle w:val="12"/>
        <w:autoSpaceDE w:val="0"/>
        <w:spacing w:before="0" w:beforeAutospacing="0" w:after="0" w:afterAutospacing="0" w:line="596" w:lineRule="exact"/>
        <w:rPr>
          <w:rStyle w:val="13"/>
          <w:rFonts w:ascii="方正仿宋_GBK" w:hAnsi="方正仿宋_GBK" w:eastAsia="方正仿宋_GBK" w:cs="方正仿宋_GBK"/>
          <w:color w:val="FF0000"/>
          <w:sz w:val="32"/>
          <w:szCs w:val="32"/>
          <w:shd w:val="clear" w:color="auto" w:fill="FFFFFF"/>
        </w:rPr>
      </w:pPr>
    </w:p>
    <w:tbl>
      <w:tblPr>
        <w:tblStyle w:val="7"/>
        <w:tblW w:w="5000" w:type="pct"/>
        <w:tblInd w:w="0" w:type="dxa"/>
        <w:tblLayout w:type="fixed"/>
        <w:tblCellMar>
          <w:top w:w="0" w:type="dxa"/>
          <w:left w:w="108" w:type="dxa"/>
          <w:bottom w:w="0" w:type="dxa"/>
          <w:right w:w="108" w:type="dxa"/>
        </w:tblCellMar>
      </w:tblPr>
      <w:tblGrid>
        <w:gridCol w:w="1652"/>
        <w:gridCol w:w="307"/>
        <w:gridCol w:w="1517"/>
        <w:gridCol w:w="255"/>
        <w:gridCol w:w="225"/>
        <w:gridCol w:w="212"/>
        <w:gridCol w:w="689"/>
        <w:gridCol w:w="636"/>
        <w:gridCol w:w="519"/>
        <w:gridCol w:w="549"/>
        <w:gridCol w:w="606"/>
        <w:gridCol w:w="519"/>
        <w:gridCol w:w="462"/>
        <w:gridCol w:w="577"/>
        <w:gridCol w:w="514"/>
      </w:tblGrid>
      <w:tr>
        <w:tblPrEx>
          <w:tblCellMar>
            <w:top w:w="0" w:type="dxa"/>
            <w:left w:w="108" w:type="dxa"/>
            <w:bottom w:w="0" w:type="dxa"/>
            <w:right w:w="108" w:type="dxa"/>
          </w:tblCellMar>
        </w:tblPrEx>
        <w:trPr>
          <w:trHeight w:val="799"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2024年度项目绩效自评表</w:t>
            </w:r>
          </w:p>
        </w:tc>
      </w:tr>
      <w:tr>
        <w:tblPrEx>
          <w:tblCellMar>
            <w:top w:w="0" w:type="dxa"/>
            <w:left w:w="108" w:type="dxa"/>
            <w:bottom w:w="0" w:type="dxa"/>
            <w:right w:w="108" w:type="dxa"/>
          </w:tblCellMar>
        </w:tblPrEx>
        <w:trPr>
          <w:trHeight w:val="499"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0" w:firstLineChars="100"/>
              <w:jc w:val="right"/>
              <w:rPr>
                <w:rFonts w:hint="default" w:cs="宋体"/>
                <w:b/>
                <w:bCs/>
                <w:color w:val="DA3232"/>
                <w:sz w:val="22"/>
                <w:szCs w:val="22"/>
              </w:rPr>
            </w:pPr>
          </w:p>
        </w:tc>
      </w:tr>
      <w:tr>
        <w:tblPrEx>
          <w:tblCellMar>
            <w:top w:w="0" w:type="dxa"/>
            <w:left w:w="108" w:type="dxa"/>
            <w:bottom w:w="0" w:type="dxa"/>
            <w:right w:w="108" w:type="dxa"/>
          </w:tblCellMar>
        </w:tblPrEx>
        <w:trPr>
          <w:trHeight w:val="499" w:hRule="atLeast"/>
        </w:trPr>
        <w:tc>
          <w:tcPr>
            <w:tcW w:w="894" w:type="pct"/>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247" w:type="pct"/>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铁路护路市级转移支付资金</w:t>
            </w:r>
          </w:p>
        </w:tc>
        <w:tc>
          <w:tcPr>
            <w:tcW w:w="831" w:type="pct"/>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578"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50023024T000004227058</w:t>
            </w:r>
          </w:p>
        </w:tc>
        <w:tc>
          <w:tcPr>
            <w:tcW w:w="328"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531" w:type="pct"/>
            <w:gridSpan w:val="2"/>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100.00</w:t>
            </w:r>
          </w:p>
        </w:tc>
        <w:tc>
          <w:tcPr>
            <w:tcW w:w="312"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　</w:t>
            </w:r>
          </w:p>
        </w:tc>
        <w:tc>
          <w:tcPr>
            <w:tcW w:w="279" w:type="pct"/>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894" w:type="pct"/>
            <w:tcBorders>
              <w:top w:val="nil"/>
              <w:left w:val="single" w:color="auto" w:sz="4" w:space="0"/>
              <w:bottom w:val="single" w:color="auto" w:sz="4" w:space="0"/>
              <w:right w:val="single" w:color="auto" w:sz="4" w:space="0"/>
            </w:tcBorders>
            <w:shd w:val="clear" w:color="auto" w:fill="auto"/>
            <w:noWrap/>
            <w:vAlign w:val="center"/>
          </w:tcPr>
          <w:p>
            <w:pPr>
              <w:ind w:right="220"/>
              <w:jc w:val="right"/>
              <w:rPr>
                <w:rFonts w:hint="default" w:cs="宋体"/>
                <w:b/>
                <w:bCs/>
                <w:color w:val="000000"/>
                <w:sz w:val="22"/>
                <w:szCs w:val="22"/>
              </w:rPr>
            </w:pPr>
            <w:r>
              <w:rPr>
                <w:rFonts w:cs="宋体"/>
                <w:b/>
                <w:bCs/>
                <w:color w:val="000000"/>
                <w:sz w:val="22"/>
                <w:szCs w:val="22"/>
              </w:rPr>
              <w:t>项目主管部门：</w:t>
            </w:r>
          </w:p>
        </w:tc>
        <w:tc>
          <w:tcPr>
            <w:tcW w:w="1247" w:type="pct"/>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138-中国共产党丰都县委员政法委员会</w:t>
            </w:r>
          </w:p>
        </w:tc>
        <w:tc>
          <w:tcPr>
            <w:tcW w:w="831" w:type="pct"/>
            <w:gridSpan w:val="3"/>
            <w:tcBorders>
              <w:top w:val="nil"/>
              <w:left w:val="nil"/>
              <w:bottom w:val="single" w:color="auto" w:sz="4" w:space="0"/>
              <w:right w:val="single" w:color="auto" w:sz="4" w:space="0"/>
            </w:tcBorders>
            <w:shd w:val="clear" w:color="auto" w:fill="auto"/>
            <w:noWrap/>
            <w:vAlign w:val="center"/>
          </w:tcPr>
          <w:p>
            <w:pPr>
              <w:ind w:right="221"/>
              <w:jc w:val="right"/>
              <w:rPr>
                <w:rFonts w:hint="default" w:cs="宋体"/>
                <w:b/>
                <w:bCs/>
                <w:color w:val="000000"/>
                <w:sz w:val="22"/>
                <w:szCs w:val="22"/>
              </w:rPr>
            </w:pPr>
            <w:r>
              <w:rPr>
                <w:rFonts w:cs="宋体"/>
                <w:b/>
                <w:bCs/>
                <w:color w:val="000000"/>
                <w:sz w:val="22"/>
                <w:szCs w:val="22"/>
              </w:rPr>
              <w:t>财政归口处室：</w:t>
            </w:r>
          </w:p>
        </w:tc>
        <w:tc>
          <w:tcPr>
            <w:tcW w:w="578" w:type="pct"/>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001-行政政法科</w:t>
            </w:r>
          </w:p>
        </w:tc>
        <w:tc>
          <w:tcPr>
            <w:tcW w:w="328"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531" w:type="pct"/>
            <w:gridSpan w:val="2"/>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薛存洁</w:t>
            </w:r>
          </w:p>
        </w:tc>
        <w:tc>
          <w:tcPr>
            <w:tcW w:w="312" w:type="pct"/>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279" w:type="pct"/>
            <w:tcBorders>
              <w:top w:val="nil"/>
              <w:left w:val="nil"/>
              <w:bottom w:val="single" w:color="auto" w:sz="4" w:space="0"/>
              <w:right w:val="single" w:color="auto" w:sz="4" w:space="0"/>
            </w:tcBorders>
            <w:shd w:val="clear" w:color="auto" w:fill="auto"/>
            <w:vAlign w:val="center"/>
          </w:tcPr>
          <w:p>
            <w:pPr>
              <w:rPr>
                <w:rFonts w:hint="default" w:cs="宋体"/>
                <w:color w:val="000000"/>
                <w:sz w:val="22"/>
                <w:szCs w:val="22"/>
              </w:rPr>
            </w:pPr>
            <w:r>
              <w:rPr>
                <w:rFonts w:cs="宋体"/>
                <w:color w:val="000000"/>
                <w:sz w:val="22"/>
                <w:szCs w:val="22"/>
              </w:rPr>
              <w:t>70605677</w:t>
            </w:r>
          </w:p>
        </w:tc>
      </w:tr>
      <w:tr>
        <w:tblPrEx>
          <w:tblCellMar>
            <w:top w:w="0" w:type="dxa"/>
            <w:left w:w="108" w:type="dxa"/>
            <w:bottom w:w="0" w:type="dxa"/>
            <w:right w:w="108" w:type="dxa"/>
          </w:tblCellMar>
        </w:tblPrEx>
        <w:trPr>
          <w:trHeight w:val="60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0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1912" w:type="pct"/>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578"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609"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25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312" w:type="pct"/>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27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138"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609" w:type="pct"/>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44"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160,000.00 </w:t>
            </w:r>
          </w:p>
        </w:tc>
        <w:tc>
          <w:tcPr>
            <w:tcW w:w="281"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97"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160,000.00 </w:t>
            </w:r>
          </w:p>
        </w:tc>
        <w:tc>
          <w:tcPr>
            <w:tcW w:w="328"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81"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160,000.00 </w:t>
            </w:r>
          </w:p>
        </w:tc>
        <w:tc>
          <w:tcPr>
            <w:tcW w:w="250"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12"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138"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609" w:type="pct"/>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44"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160,000.00 </w:t>
            </w:r>
          </w:p>
        </w:tc>
        <w:tc>
          <w:tcPr>
            <w:tcW w:w="281"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97"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160,000.00 </w:t>
            </w:r>
          </w:p>
        </w:tc>
        <w:tc>
          <w:tcPr>
            <w:tcW w:w="328"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81"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160,000.00 </w:t>
            </w:r>
          </w:p>
        </w:tc>
        <w:tc>
          <w:tcPr>
            <w:tcW w:w="25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312"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138"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609" w:type="pct"/>
            <w:gridSpan w:val="3"/>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344"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160,000.00 </w:t>
            </w:r>
          </w:p>
        </w:tc>
        <w:tc>
          <w:tcPr>
            <w:tcW w:w="281"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97" w:type="pct"/>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160,000.00 </w:t>
            </w:r>
          </w:p>
        </w:tc>
        <w:tc>
          <w:tcPr>
            <w:tcW w:w="328" w:type="pct"/>
            <w:tcBorders>
              <w:top w:val="nil"/>
              <w:left w:val="nil"/>
              <w:bottom w:val="single" w:color="auto" w:sz="4" w:space="0"/>
              <w:right w:val="nil"/>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81"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160,000.00 </w:t>
            </w:r>
          </w:p>
        </w:tc>
        <w:tc>
          <w:tcPr>
            <w:tcW w:w="250" w:type="pct"/>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312" w:type="pct"/>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2972"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1187"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841"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2" w:hRule="atLeast"/>
        </w:trPr>
        <w:tc>
          <w:tcPr>
            <w:tcW w:w="2972" w:type="pct"/>
            <w:gridSpan w:val="8"/>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xml:space="preserve">为进一步加强铁路护路联防工作，确保铁路运输安全畅通，沿线治安大局平稳。对丰都县护路办给予16万元的运转经费补助，用于开展涉铁重点排查整治、护路队员培训、爱路护路宣传等铁路护路联防工作。 </w:t>
            </w:r>
          </w:p>
        </w:tc>
        <w:tc>
          <w:tcPr>
            <w:tcW w:w="1187" w:type="pct"/>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　</w:t>
            </w:r>
          </w:p>
        </w:tc>
        <w:tc>
          <w:tcPr>
            <w:tcW w:w="841" w:type="pct"/>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渝利高铁丰都段线路全长49.219公里，线路途经7个乡镇（街道）。2024年全县配备护路队员20名和保安16名。县护路办按照统一部署，开展了以“进企业、进学校、进农村、进社区、进家庭”为主题的铁路安全宣传活动，受教群众达2500余人，受益群体满意度达85%以上，提升铁路沿线群众、单位、企业的铁路安全意识和法治意识，营造爱路护路浓厚的社会氛围，保障铁路运输安全和沿线社会稳定。2024年我县管内渝利铁路实现了路伤零发生、人员（动物）零上道、危行案件零发案的良好成绩。</w:t>
            </w:r>
          </w:p>
        </w:tc>
      </w:tr>
      <w:tr>
        <w:tblPrEx>
          <w:tblCellMar>
            <w:top w:w="0" w:type="dxa"/>
            <w:left w:w="108" w:type="dxa"/>
            <w:bottom w:w="0" w:type="dxa"/>
            <w:right w:w="108" w:type="dxa"/>
          </w:tblCellMar>
        </w:tblPrEx>
        <w:trPr>
          <w:trHeight w:val="60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375" w:type="pct"/>
            <w:gridSpan w:val="3"/>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373"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344"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297"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328"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250"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312"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279" w:type="pct"/>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护路里程</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公里</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49</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22.5</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宣传对象</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2500</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专职护路队员、铁路保安人数</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36</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36</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防止发生因涉铁矛盾纠纷化解不及时引发的群体性拦车断道事件</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防止发生因治安问题引发的重特大安全事故</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工作任务及时完成率</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提升铁路沿线群众、单位、企业的铁路安全意识和法治意识，营造爱路护路浓厚的社会氛围，保障铁路运输安全和沿线社会稳定。</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1000</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499" w:hRule="atLeast"/>
        </w:trPr>
        <w:tc>
          <w:tcPr>
            <w:tcW w:w="1881" w:type="pct"/>
            <w:gridSpan w:val="3"/>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受益群体满意度</w:t>
            </w:r>
          </w:p>
        </w:tc>
        <w:tc>
          <w:tcPr>
            <w:tcW w:w="375" w:type="pct"/>
            <w:gridSpan w:val="3"/>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73"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344"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297"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328"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281"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250" w:type="pct"/>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312"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279" w:type="pct"/>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r>
    </w:tbl>
    <w:p>
      <w:pPr>
        <w:pStyle w:val="12"/>
        <w:autoSpaceDE w:val="0"/>
        <w:spacing w:before="0" w:beforeAutospacing="0" w:after="0" w:afterAutospacing="0" w:line="596"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800" w:firstLineChars="25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吴让丹   023-70605906</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2041" w:right="1418" w:bottom="2041" w:left="1474"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中国共产党丰都县委员政法委员会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541.32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541.32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中国共产党丰都县委员政法委员会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541.32</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541.32</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中国共产党丰都县委员政法委员会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541.32</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424.66</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116.66</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409.90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309.24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276.64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100.66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中国共产党丰都县委员政法委员会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中国共产党丰都县委员政法委员会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424.66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中国共产党丰都县委员政法委员会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383.98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中国共产党丰都县委员政法委员会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中国共产党丰都县委员政法委员会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中国共产党丰都县委员政法委员会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40.68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30.59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sans-serif">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43A7E"/>
    <w:rsid w:val="000C01CC"/>
    <w:rsid w:val="000D7702"/>
    <w:rsid w:val="000F2B44"/>
    <w:rsid w:val="000F6721"/>
    <w:rsid w:val="00157C0D"/>
    <w:rsid w:val="00162D78"/>
    <w:rsid w:val="001632EC"/>
    <w:rsid w:val="00164921"/>
    <w:rsid w:val="00261065"/>
    <w:rsid w:val="002D0E5A"/>
    <w:rsid w:val="002D71F4"/>
    <w:rsid w:val="002E5443"/>
    <w:rsid w:val="0032196C"/>
    <w:rsid w:val="00363653"/>
    <w:rsid w:val="0046731D"/>
    <w:rsid w:val="004852DA"/>
    <w:rsid w:val="004C12FF"/>
    <w:rsid w:val="004D0390"/>
    <w:rsid w:val="00525226"/>
    <w:rsid w:val="00550ABE"/>
    <w:rsid w:val="00572585"/>
    <w:rsid w:val="005A3022"/>
    <w:rsid w:val="005B023C"/>
    <w:rsid w:val="005C7238"/>
    <w:rsid w:val="00600322"/>
    <w:rsid w:val="006137D7"/>
    <w:rsid w:val="00634FA8"/>
    <w:rsid w:val="0063613A"/>
    <w:rsid w:val="006814FF"/>
    <w:rsid w:val="0068170B"/>
    <w:rsid w:val="006E2034"/>
    <w:rsid w:val="007108B2"/>
    <w:rsid w:val="00732392"/>
    <w:rsid w:val="00792285"/>
    <w:rsid w:val="00794421"/>
    <w:rsid w:val="007A0D2E"/>
    <w:rsid w:val="007A3314"/>
    <w:rsid w:val="007B419D"/>
    <w:rsid w:val="007C5C5B"/>
    <w:rsid w:val="007F73D6"/>
    <w:rsid w:val="00810F13"/>
    <w:rsid w:val="00820C98"/>
    <w:rsid w:val="00826B47"/>
    <w:rsid w:val="00893689"/>
    <w:rsid w:val="008B58E2"/>
    <w:rsid w:val="008F2CDC"/>
    <w:rsid w:val="0091400B"/>
    <w:rsid w:val="00940231"/>
    <w:rsid w:val="00944711"/>
    <w:rsid w:val="009574D5"/>
    <w:rsid w:val="009821E3"/>
    <w:rsid w:val="00984852"/>
    <w:rsid w:val="009B37A6"/>
    <w:rsid w:val="009B67B8"/>
    <w:rsid w:val="00A02724"/>
    <w:rsid w:val="00A03B1E"/>
    <w:rsid w:val="00A5507B"/>
    <w:rsid w:val="00A67739"/>
    <w:rsid w:val="00A820B7"/>
    <w:rsid w:val="00A830E1"/>
    <w:rsid w:val="00AC5566"/>
    <w:rsid w:val="00B03CCD"/>
    <w:rsid w:val="00B059BD"/>
    <w:rsid w:val="00B104B0"/>
    <w:rsid w:val="00B40138"/>
    <w:rsid w:val="00B97B6E"/>
    <w:rsid w:val="00BE4DB2"/>
    <w:rsid w:val="00BF5A85"/>
    <w:rsid w:val="00C22E6A"/>
    <w:rsid w:val="00C307F6"/>
    <w:rsid w:val="00C96B11"/>
    <w:rsid w:val="00C97747"/>
    <w:rsid w:val="00CC1052"/>
    <w:rsid w:val="00CC6B99"/>
    <w:rsid w:val="00D51BD2"/>
    <w:rsid w:val="00D556B3"/>
    <w:rsid w:val="00DB4C48"/>
    <w:rsid w:val="00DE34F7"/>
    <w:rsid w:val="00DF7706"/>
    <w:rsid w:val="00E031F3"/>
    <w:rsid w:val="00E05175"/>
    <w:rsid w:val="00E41237"/>
    <w:rsid w:val="00E5150C"/>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94D96"/>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BB71E6"/>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1CDAB7"/>
    <w:rsid w:val="764F62AB"/>
    <w:rsid w:val="765C45EC"/>
    <w:rsid w:val="768A7619"/>
    <w:rsid w:val="76AA36E6"/>
    <w:rsid w:val="772E1EBA"/>
    <w:rsid w:val="77303AE2"/>
    <w:rsid w:val="77DE35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DF50032"/>
    <w:rsid w:val="7DFAFA2E"/>
    <w:rsid w:val="7F446A19"/>
    <w:rsid w:val="7F7452B9"/>
    <w:rsid w:val="7F8401D1"/>
    <w:rsid w:val="7FAC32D7"/>
    <w:rsid w:val="7FEBE639"/>
    <w:rsid w:val="BB7D9CC6"/>
    <w:rsid w:val="FFFFC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2893</Words>
  <Characters>16495</Characters>
  <Lines>137</Lines>
  <Paragraphs>38</Paragraphs>
  <TotalTime>7</TotalTime>
  <ScaleCrop>false</ScaleCrop>
  <LinksUpToDate>false</LinksUpToDate>
  <CharactersWithSpaces>19350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2025-06-27T15:40:00Z</dcterms:created>
  <dc:creator>Administrator</dc:creator>
  <cp:lastModifiedBy>user</cp:lastModifiedBy>
  <cp:lastPrinted>2025-09-17T11:41:00Z</cp:lastPrinted>
  <dcterms:modified xsi:type="dcterms:W3CDTF">2025-09-16T18:49:33Z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