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587" w:lineRule="exact"/>
        <w:ind w:firstLine="880" w:firstLineChars="20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w:t>
      </w:r>
      <w:r>
        <w:rPr>
          <w:rFonts w:hint="eastAsia" w:ascii="Times New Roman" w:hAnsi="Times New Roman" w:eastAsia="方正小标宋_GBK" w:cs="Times New Roman"/>
          <w:color w:val="auto"/>
          <w:sz w:val="44"/>
          <w:szCs w:val="44"/>
          <w:lang w:eastAsia="zh-CN"/>
        </w:rPr>
        <w:t>共</w:t>
      </w:r>
      <w:r>
        <w:rPr>
          <w:rFonts w:hint="default" w:ascii="Times New Roman" w:hAnsi="Times New Roman" w:eastAsia="方正小标宋_GBK" w:cs="Times New Roman"/>
          <w:color w:val="auto"/>
          <w:sz w:val="44"/>
          <w:szCs w:val="44"/>
        </w:rPr>
        <w:t>丰都县纪律检查委员会</w:t>
      </w:r>
    </w:p>
    <w:p>
      <w:pPr>
        <w:pStyle w:val="6"/>
        <w:keepNext w:val="0"/>
        <w:keepLines w:val="0"/>
        <w:pageBreakBefore w:val="0"/>
        <w:widowControl/>
        <w:kinsoku/>
        <w:overflowPunct/>
        <w:topLinePunct w:val="0"/>
        <w:autoSpaceDN/>
        <w:bidi w:val="0"/>
        <w:adjustRightInd/>
        <w:spacing w:before="0" w:beforeAutospacing="0" w:after="0" w:afterAutospacing="0" w:line="587" w:lineRule="exact"/>
        <w:ind w:firstLine="880" w:firstLineChars="200"/>
        <w:jc w:val="cente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Fonts w:hint="default" w:ascii="Times New Roman" w:hAnsi="Times New Roman" w:eastAsia="黑体" w:cs="Times New Roman"/>
          <w:color w:val="auto"/>
          <w:sz w:val="32"/>
          <w:szCs w:val="32"/>
        </w:rPr>
      </w:pPr>
      <w:r>
        <w:rPr>
          <w:rStyle w:val="10"/>
          <w:rFonts w:hint="default" w:ascii="Times New Roman" w:hAnsi="Times New Roman" w:eastAsia="黑体" w:cs="Times New Roman"/>
          <w:color w:val="auto"/>
          <w:sz w:val="32"/>
          <w:szCs w:val="32"/>
          <w:shd w:val="clear" w:color="auto" w:fill="FFFFFF"/>
        </w:rPr>
        <w:t>一、部门基本情况</w:t>
      </w:r>
      <w:bookmarkStart w:id="0" w:name="_GoBack"/>
      <w:bookmarkEnd w:id="0"/>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楷体" w:cs="Times New Roman"/>
          <w:color w:val="auto"/>
          <w:sz w:val="32"/>
          <w:szCs w:val="32"/>
          <w:shd w:val="clear" w:color="auto" w:fill="FFFFFF"/>
        </w:rPr>
      </w:pPr>
      <w:r>
        <w:rPr>
          <w:rStyle w:val="10"/>
          <w:rFonts w:hint="default" w:ascii="Times New Roman" w:hAnsi="Times New Roman" w:eastAsia="楷体" w:cs="Times New Roman"/>
          <w:color w:val="auto"/>
          <w:sz w:val="32"/>
          <w:szCs w:val="32"/>
          <w:shd w:val="clear" w:color="auto" w:fill="FFFFFF"/>
        </w:rPr>
        <w:t>（一）职能职责</w:t>
      </w:r>
    </w:p>
    <w:p>
      <w:pPr>
        <w:spacing w:line="587"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县纪委的职责：维护党的章程和其他党内法规，检查党的路线、方针、政策和决议的执行情况，协助县委推进全面从严治党、加强党风建设和组织协调反腐败工作</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履行监督</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执纪、问责职责。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spacing w:line="587" w:lineRule="exact"/>
        <w:ind w:firstLine="640" w:firstLineChars="200"/>
        <w:jc w:val="both"/>
        <w:rPr>
          <w:rFonts w:ascii="Times New Roman" w:hAnsi="Times New Roman" w:eastAsia="方正仿宋_GBK"/>
          <w:color w:val="auto"/>
          <w:sz w:val="32"/>
          <w:szCs w:val="32"/>
        </w:rPr>
      </w:pPr>
      <w:r>
        <w:rPr>
          <w:rFonts w:ascii="Times New Roman" w:hAnsi="Times New Roman" w:eastAsia="方正仿宋_GBK"/>
          <w:color w:val="auto"/>
          <w:sz w:val="32"/>
          <w:szCs w:val="32"/>
        </w:rPr>
        <w:t>县监委的职责：维护宪法和法律法规权威；依法监察公职人员行使公权力情况，调查职务违法和职务犯罪；开展廉政建设和反腐败工作。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spacing w:line="587" w:lineRule="exact"/>
        <w:ind w:firstLine="640" w:firstLineChars="200"/>
        <w:jc w:val="both"/>
        <w:rPr>
          <w:rStyle w:val="10"/>
          <w:rFonts w:hint="default" w:ascii="Times New Roman" w:hAnsi="Times New Roman" w:eastAsia="楷体" w:cs="Times New Roman"/>
          <w:color w:val="auto"/>
          <w:sz w:val="32"/>
          <w:szCs w:val="32"/>
          <w:shd w:val="clear" w:color="auto" w:fill="FFFFFF"/>
        </w:rPr>
      </w:pPr>
      <w:r>
        <w:rPr>
          <w:rFonts w:ascii="Times New Roman" w:hAnsi="Times New Roman" w:eastAsia="方正仿宋_GBK"/>
          <w:color w:val="auto"/>
          <w:sz w:val="32"/>
          <w:szCs w:val="32"/>
        </w:rPr>
        <w:t>履行有关法律法规赋予的其他职能职责。</w:t>
      </w: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楷体" w:cs="Times New Roman"/>
          <w:color w:val="auto"/>
          <w:sz w:val="32"/>
          <w:szCs w:val="32"/>
          <w:shd w:val="clear" w:color="auto" w:fill="FFFFFF"/>
        </w:rPr>
      </w:pPr>
      <w:r>
        <w:rPr>
          <w:rStyle w:val="10"/>
          <w:rFonts w:hint="default" w:ascii="Times New Roman" w:hAnsi="Times New Roman" w:eastAsia="楷体" w:cs="Times New Roman"/>
          <w:color w:val="auto"/>
          <w:sz w:val="32"/>
          <w:szCs w:val="32"/>
          <w:shd w:val="clear" w:color="auto" w:fill="FFFFFF"/>
        </w:rPr>
        <w:t>机构设置</w:t>
      </w:r>
    </w:p>
    <w:p>
      <w:pPr>
        <w:spacing w:line="587" w:lineRule="exact"/>
        <w:ind w:firstLine="640" w:firstLineChars="200"/>
        <w:rPr>
          <w:rStyle w:val="10"/>
          <w:rFonts w:hint="default" w:ascii="Times New Roman" w:hAnsi="Times New Roman" w:eastAsia="楷体" w:cs="Times New Roman"/>
          <w:color w:val="auto"/>
          <w:sz w:val="32"/>
          <w:szCs w:val="32"/>
          <w:shd w:val="clear" w:color="auto" w:fill="FFFFFF"/>
        </w:rPr>
      </w:pPr>
      <w:r>
        <w:rPr>
          <w:rFonts w:ascii="Times New Roman" w:hAnsi="Times New Roman" w:eastAsia="方正仿宋_GBK"/>
          <w:color w:val="auto"/>
          <w:sz w:val="32"/>
          <w:szCs w:val="32"/>
        </w:rPr>
        <w:t> </w:t>
      </w:r>
      <w:r>
        <w:rPr>
          <w:rFonts w:hint="eastAsia" w:ascii="Times New Roman" w:hAnsi="Times New Roman" w:eastAsia="方正仿宋_GBK"/>
          <w:color w:val="auto"/>
          <w:sz w:val="32"/>
          <w:szCs w:val="32"/>
        </w:rPr>
        <w:t>丰都</w:t>
      </w:r>
      <w:r>
        <w:rPr>
          <w:rFonts w:ascii="Times New Roman" w:hAnsi="Times New Roman" w:eastAsia="方正仿宋_GBK"/>
          <w:color w:val="auto"/>
          <w:sz w:val="32"/>
          <w:szCs w:val="32"/>
        </w:rPr>
        <w:t>县纪委、县监委机关设18个部室</w:t>
      </w:r>
      <w:r>
        <w:rPr>
          <w:rFonts w:hint="eastAsia" w:ascii="Times New Roman" w:hAnsi="Times New Roman" w:eastAsia="方正仿宋_GBK"/>
          <w:color w:val="auto"/>
          <w:sz w:val="32"/>
          <w:szCs w:val="32"/>
        </w:rPr>
        <w:t>，1个直属事业单位（即丰都县廉政教育中心），</w:t>
      </w:r>
      <w:r>
        <w:rPr>
          <w:rFonts w:ascii="Times New Roman" w:hAnsi="Times New Roman" w:eastAsia="方正仿宋_GBK"/>
          <w:color w:val="auto"/>
          <w:sz w:val="32"/>
          <w:szCs w:val="32"/>
        </w:rPr>
        <w:t>设县纪委监委派驻纪检监察组13个，设县监委派出监察室6个。</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二、部门决算情况说明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2023年度收入总计4355.02万元，支出总计</w:t>
      </w:r>
      <w:r>
        <w:rPr>
          <w:rFonts w:hint="default" w:ascii="Times New Roman" w:hAnsi="Times New Roman" w:eastAsia="方正仿宋_GBK" w:cs="Times New Roman"/>
          <w:color w:val="auto"/>
          <w:sz w:val="32"/>
          <w:szCs w:val="32"/>
        </w:rPr>
        <w:t>4355.02</w:t>
      </w:r>
      <w:r>
        <w:rPr>
          <w:rFonts w:hint="default" w:ascii="Times New Roman" w:hAnsi="Times New Roman" w:eastAsia="方正仿宋_GBK" w:cs="Times New Roman"/>
          <w:color w:val="auto"/>
          <w:sz w:val="32"/>
          <w:szCs w:val="32"/>
          <w:shd w:val="clear" w:color="auto" w:fill="FFFFFF"/>
        </w:rPr>
        <w:t>万元。收支较上年决算数增加843.99万元，增长24.04%，主要原因是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2023年度收入合计4355.02万元，较上年决算数增加855.07万元，增长24.43%，主要原因是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4355.02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4349.97</w:t>
      </w:r>
      <w:r>
        <w:rPr>
          <w:rFonts w:hint="default" w:ascii="Times New Roman" w:hAnsi="Times New Roman" w:eastAsia="方正仿宋_GBK" w:cs="Times New Roman"/>
          <w:color w:val="auto"/>
          <w:sz w:val="32"/>
          <w:szCs w:val="32"/>
          <w:shd w:val="clear" w:color="auto" w:fill="FFFFFF"/>
        </w:rPr>
        <w:t>万元，较上年决算数增加838.94万元，增长23.89%，主要原因是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3531.80</w:t>
      </w:r>
      <w:r>
        <w:rPr>
          <w:rFonts w:hint="default" w:ascii="Times New Roman" w:hAnsi="Times New Roman" w:eastAsia="方正仿宋_GBK" w:cs="Times New Roman"/>
          <w:color w:val="auto"/>
          <w:sz w:val="32"/>
          <w:szCs w:val="32"/>
          <w:shd w:val="clear" w:color="auto" w:fill="FFFFFF"/>
        </w:rPr>
        <w:t>万元，占81.19%；项目支出</w:t>
      </w:r>
      <w:r>
        <w:rPr>
          <w:rFonts w:hint="default" w:ascii="Times New Roman" w:hAnsi="Times New Roman" w:eastAsia="方正仿宋_GBK" w:cs="Times New Roman"/>
          <w:color w:val="auto"/>
          <w:sz w:val="32"/>
          <w:szCs w:val="32"/>
        </w:rPr>
        <w:t>818.18</w:t>
      </w:r>
      <w:r>
        <w:rPr>
          <w:rFonts w:hint="default" w:ascii="Times New Roman" w:hAnsi="Times New Roman" w:eastAsia="方正仿宋_GBK" w:cs="Times New Roman"/>
          <w:color w:val="auto"/>
          <w:sz w:val="32"/>
          <w:szCs w:val="32"/>
          <w:shd w:val="clear" w:color="auto" w:fill="FFFFFF"/>
        </w:rPr>
        <w:t>万元，占18.81%。此外，结余分配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eastAsia"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5.04</w:t>
      </w:r>
      <w:r>
        <w:rPr>
          <w:rFonts w:hint="default" w:ascii="Times New Roman" w:hAnsi="Times New Roman" w:eastAsia="方正仿宋_GBK" w:cs="Times New Roman"/>
          <w:color w:val="auto"/>
          <w:sz w:val="32"/>
          <w:szCs w:val="32"/>
          <w:shd w:val="clear" w:color="auto" w:fill="FFFFFF"/>
        </w:rPr>
        <w:t>万元，较上年决算数增加5.04万元，增长100.00%，</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年底收回当年支出形成结转结余。</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2023年度财政拨款收、支总计4355.02万元。与2022年相比，财政拨款收、支总计各增加843.99万元，增长24.04%。主要原因是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4355.02</w:t>
      </w:r>
      <w:r>
        <w:rPr>
          <w:rFonts w:hint="default" w:ascii="Times New Roman" w:hAnsi="Times New Roman" w:eastAsia="方正仿宋_GBK" w:cs="Times New Roman"/>
          <w:color w:val="auto"/>
          <w:sz w:val="32"/>
          <w:szCs w:val="32"/>
          <w:shd w:val="clear" w:color="auto" w:fill="FFFFFF"/>
        </w:rPr>
        <w:t>万元，较上年决算数增加855.07万元，增长24.43%。主要原因是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r>
        <w:rPr>
          <w:rFonts w:hint="default" w:ascii="Times New Roman" w:hAnsi="Times New Roman" w:eastAsia="方正仿宋_GBK" w:cs="Times New Roman"/>
          <w:color w:val="auto"/>
          <w:sz w:val="32"/>
          <w:szCs w:val="32"/>
          <w:shd w:val="clear" w:color="auto" w:fill="FFFFFF"/>
        </w:rPr>
        <w:t>较年初预算数增加678.16万元，增长18.44%。主要原因是</w:t>
      </w:r>
      <w:r>
        <w:rPr>
          <w:rFonts w:hint="eastAsia" w:ascii="Times New Roman" w:hAnsi="Times New Roman" w:eastAsia="方正仿宋_GBK" w:cs="Times New Roman"/>
          <w:color w:val="auto"/>
          <w:sz w:val="32"/>
          <w:szCs w:val="32"/>
          <w:shd w:val="clear" w:color="auto" w:fill="FFFFFF"/>
          <w:lang w:eastAsia="zh-CN"/>
        </w:rPr>
        <w:t>年中人员变动、专项工作经费增加。</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4349.97</w:t>
      </w:r>
      <w:r>
        <w:rPr>
          <w:rFonts w:hint="default" w:ascii="Times New Roman" w:hAnsi="Times New Roman" w:eastAsia="方正仿宋_GBK" w:cs="Times New Roman"/>
          <w:color w:val="auto"/>
          <w:sz w:val="32"/>
          <w:szCs w:val="32"/>
          <w:shd w:val="clear" w:color="auto" w:fill="FFFFFF"/>
        </w:rPr>
        <w:t>万元，较上年决算数增加838.94万元，增长23.89%。主要原因是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县委巡察经费、纪检监察转移支付资金等费用增加。</w:t>
      </w:r>
      <w:r>
        <w:rPr>
          <w:rFonts w:hint="default" w:ascii="Times New Roman" w:hAnsi="Times New Roman" w:eastAsia="方正仿宋_GBK" w:cs="Times New Roman"/>
          <w:color w:val="auto"/>
          <w:sz w:val="32"/>
          <w:szCs w:val="32"/>
          <w:shd w:val="clear" w:color="auto" w:fill="FFFFFF"/>
        </w:rPr>
        <w:t>较年初预算数增加673.11万元，增长18.31%。主要原因是</w:t>
      </w:r>
      <w:r>
        <w:rPr>
          <w:rFonts w:hint="eastAsia" w:ascii="Times New Roman" w:hAnsi="Times New Roman" w:eastAsia="方正仿宋_GBK" w:cs="Times New Roman"/>
          <w:color w:val="auto"/>
          <w:sz w:val="32"/>
          <w:szCs w:val="32"/>
          <w:shd w:val="clear" w:color="auto" w:fill="FFFFFF"/>
          <w:lang w:eastAsia="zh-CN"/>
        </w:rPr>
        <w:t>年中人员变动、专项工作经费增加。</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eastAsia"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5.04</w:t>
      </w:r>
      <w:r>
        <w:rPr>
          <w:rFonts w:hint="default" w:ascii="Times New Roman" w:hAnsi="Times New Roman" w:eastAsia="方正仿宋_GBK" w:cs="Times New Roman"/>
          <w:color w:val="auto"/>
          <w:sz w:val="32"/>
          <w:szCs w:val="32"/>
          <w:shd w:val="clear" w:color="auto" w:fill="FFFFFF"/>
        </w:rPr>
        <w:t>万元，较上年决算数增加5.04万元，增长100.00%，</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年底收回当年支出形成结转结余。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本部门2023年度一般公共预算财政拨款支出主要用于以下几个方面：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3466.35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79.69</w:t>
      </w:r>
      <w:r>
        <w:rPr>
          <w:rFonts w:hint="default" w:ascii="Times New Roman" w:hAnsi="Times New Roman" w:eastAsia="方正仿宋_GBK" w:cs="Times New Roman"/>
          <w:color w:val="auto"/>
          <w:sz w:val="32"/>
          <w:szCs w:val="32"/>
          <w:shd w:val="clear" w:color="auto" w:fill="FFFFFF"/>
        </w:rPr>
        <w:t>%，较年初预算数增加586.80万元，增长20.38%，主要原因是</w:t>
      </w:r>
      <w:r>
        <w:rPr>
          <w:rFonts w:hint="eastAsia" w:ascii="Times New Roman" w:hAnsi="Times New Roman" w:eastAsia="方正仿宋_GBK" w:cs="Times New Roman"/>
          <w:color w:val="auto"/>
          <w:sz w:val="32"/>
          <w:szCs w:val="32"/>
          <w:shd w:val="clear" w:color="auto" w:fill="FFFFFF"/>
          <w:lang w:eastAsia="zh-CN"/>
        </w:rPr>
        <w:t>县委巡察经费、纪检监察转移支付资金等项目经费增加。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574.31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13.20</w:t>
      </w:r>
      <w:r>
        <w:rPr>
          <w:rFonts w:hint="default" w:ascii="Times New Roman" w:hAnsi="Times New Roman" w:eastAsia="方正仿宋_GBK" w:cs="Times New Roman"/>
          <w:color w:val="auto"/>
          <w:sz w:val="32"/>
          <w:szCs w:val="32"/>
          <w:shd w:val="clear" w:color="auto" w:fill="FFFFFF"/>
        </w:rPr>
        <w:t>%，较年初预算数增加131.81万元，增长29.79%，</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人员工资基数增加。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136.25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3.13</w:t>
      </w:r>
      <w:r>
        <w:rPr>
          <w:rFonts w:hint="default" w:ascii="Times New Roman" w:hAnsi="Times New Roman" w:eastAsia="方正仿宋_GBK" w:cs="Times New Roman"/>
          <w:color w:val="auto"/>
          <w:sz w:val="32"/>
          <w:szCs w:val="32"/>
          <w:shd w:val="clear" w:color="auto" w:fill="FFFFFF"/>
        </w:rPr>
        <w:t>%，较年初预算数无增减</w:t>
      </w:r>
      <w:r>
        <w:rPr>
          <w:rFonts w:hint="eastAsia"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kinsoku/>
        <w:overflowPunct/>
        <w:topLinePunct w:val="0"/>
        <w:autoSpaceDN/>
        <w:bidi w:val="0"/>
        <w:adjustRightInd/>
        <w:spacing w:beforeAutospacing="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住房保障支出173.06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3.98</w:t>
      </w:r>
      <w:r>
        <w:rPr>
          <w:rFonts w:hint="default" w:ascii="Times New Roman" w:hAnsi="Times New Roman" w:eastAsia="方正仿宋_GBK" w:cs="Times New Roman"/>
          <w:color w:val="auto"/>
          <w:sz w:val="32"/>
          <w:szCs w:val="32"/>
          <w:shd w:val="clear" w:color="auto" w:fill="FFFFFF"/>
        </w:rPr>
        <w:t>%，较年初预算数减少45.49万元，下降20.81%，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基数调整。</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3531.80</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3149.55</w:t>
      </w:r>
      <w:r>
        <w:rPr>
          <w:rFonts w:hint="default" w:ascii="Times New Roman" w:hAnsi="Times New Roman" w:eastAsia="方正仿宋_GBK" w:cs="Times New Roman"/>
          <w:color w:val="auto"/>
          <w:sz w:val="32"/>
          <w:szCs w:val="32"/>
          <w:shd w:val="clear" w:color="auto" w:fill="FFFFFF"/>
        </w:rPr>
        <w:t>万元，较上年决算数增加316.23万元，增长11.16%，</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人员正常增减及调资晋级。</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基本工资、津贴补贴、奖金、社会保障缴费等支出。</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382.24</w:t>
      </w:r>
      <w:r>
        <w:rPr>
          <w:rFonts w:hint="default" w:ascii="Times New Roman" w:hAnsi="Times New Roman" w:eastAsia="方正仿宋_GBK" w:cs="Times New Roman"/>
          <w:color w:val="auto"/>
          <w:sz w:val="32"/>
          <w:szCs w:val="32"/>
          <w:shd w:val="clear" w:color="auto" w:fill="FFFFFF"/>
        </w:rPr>
        <w:t>万元，较上年决算数增加14.76万元，增长4.02%，主要原因是</w:t>
      </w:r>
      <w:r>
        <w:rPr>
          <w:rFonts w:hint="eastAsia" w:ascii="Times New Roman" w:hAnsi="Times New Roman" w:eastAsia="方正仿宋_GBK" w:cs="Times New Roman"/>
          <w:color w:val="auto"/>
          <w:sz w:val="32"/>
          <w:szCs w:val="32"/>
          <w:shd w:val="clear" w:color="auto" w:fill="FFFFFF"/>
          <w:lang w:eastAsia="zh-CN"/>
        </w:rPr>
        <w:t>本年度异地办案数量增加，加大了公用经费开支。</w:t>
      </w:r>
      <w:r>
        <w:rPr>
          <w:rFonts w:hint="default" w:ascii="Times New Roman" w:hAnsi="Times New Roman" w:eastAsia="方正仿宋_GBK" w:cs="Times New Roman"/>
          <w:color w:val="auto"/>
          <w:sz w:val="32"/>
          <w:szCs w:val="32"/>
          <w:shd w:val="clear" w:color="auto" w:fill="FFFFFF"/>
        </w:rPr>
        <w:t>公用经费用途主要包</w:t>
      </w:r>
      <w:r>
        <w:rPr>
          <w:rFonts w:hint="default" w:ascii="Times New Roman" w:hAnsi="Times New Roman" w:eastAsia="方正仿宋_GBK" w:cs="Times New Roman"/>
          <w:color w:val="auto"/>
          <w:sz w:val="32"/>
          <w:szCs w:val="32"/>
          <w:shd w:val="clear" w:color="auto" w:fill="FFFFFF"/>
        </w:rPr>
        <w:t>括</w:t>
      </w:r>
      <w:r>
        <w:rPr>
          <w:rFonts w:hint="eastAsia" w:ascii="Times New Roman" w:hAnsi="Times New Roman" w:eastAsia="方正仿宋_GBK" w:cs="Times New Roman"/>
          <w:color w:val="auto"/>
          <w:sz w:val="32"/>
          <w:szCs w:val="32"/>
          <w:shd w:val="clear" w:color="auto" w:fill="FFFFFF"/>
          <w:lang w:eastAsia="zh-CN"/>
        </w:rPr>
        <w:t>办公费、邮电费、差旅费、印刷费、公务用车运行维护费、其他商品和服务支出等支出。</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rPr>
          <w:rFonts w:hint="eastAsia"/>
          <w:color w:val="auto"/>
          <w:lang w:val="en-US" w:eastAsia="zh-CN"/>
        </w:rPr>
      </w:pPr>
      <w:r>
        <w:rPr>
          <w:rFonts w:hint="default" w:ascii="Times New Roman" w:hAnsi="Times New Roman" w:eastAsia="楷体" w:cs="Times New Roman"/>
          <w:b/>
          <w:bCs/>
          <w:color w:val="auto"/>
          <w:sz w:val="32"/>
          <w:szCs w:val="32"/>
          <w:shd w:val="clear" w:color="auto" w:fill="FFFFFF"/>
        </w:rPr>
        <w:t>（五）政府性基金预算收支决算情况说明</w:t>
      </w:r>
    </w:p>
    <w:p>
      <w:pPr>
        <w:ind w:firstLine="640" w:firstLineChars="200"/>
        <w:rPr>
          <w:rStyle w:val="10"/>
          <w:rFonts w:hint="default" w:ascii="Times New Roman" w:hAnsi="Times New Roman" w:eastAsia="方正仿宋_GBK" w:cs="Times New Roman"/>
          <w:color w:val="auto"/>
          <w:sz w:val="32"/>
          <w:szCs w:val="32"/>
          <w:shd w:val="clear" w:color="auto" w:fill="FFFF00"/>
        </w:rPr>
      </w:pPr>
      <w:r>
        <w:rPr>
          <w:rFonts w:hint="eastAsia" w:ascii="Times New Roman" w:hAnsi="Times New Roman" w:eastAsia="方正仿宋_GBK" w:cs="Times New Roman"/>
          <w:color w:val="auto"/>
          <w:sz w:val="32"/>
          <w:szCs w:val="32"/>
          <w:shd w:val="clear" w:color="auto" w:fill="FFFFFF"/>
          <w:lang w:val="en-US" w:eastAsia="zh-CN" w:bidi="ar-SA"/>
        </w:rPr>
        <w:t>本单位2023年度无政府性基金预算财政</w:t>
      </w:r>
      <w:r>
        <w:rPr>
          <w:rFonts w:hint="eastAsia" w:ascii="Times New Roman" w:hAnsi="Times New Roman" w:eastAsia="方正仿宋_GBK" w:cs="Times New Roman"/>
          <w:color w:val="auto"/>
          <w:sz w:val="32"/>
          <w:szCs w:val="32"/>
          <w:shd w:val="clear" w:color="auto" w:fill="FFFFFF"/>
          <w:lang w:val="en-US" w:eastAsia="zh-CN" w:bidi="ar-SA"/>
        </w:rPr>
        <w:t>拨款收支。</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rPr>
          <w:rFonts w:hint="eastAsia"/>
          <w:color w:val="auto"/>
          <w:lang w:val="en-US" w:eastAsia="zh-CN"/>
        </w:rPr>
      </w:pPr>
      <w:r>
        <w:rPr>
          <w:rFonts w:hint="default" w:ascii="Times New Roman" w:hAnsi="Times New Roman" w:eastAsia="楷体" w:cs="Times New Roman"/>
          <w:b/>
          <w:bCs/>
          <w:color w:val="auto"/>
          <w:sz w:val="32"/>
          <w:szCs w:val="32"/>
          <w:shd w:val="clear" w:color="auto" w:fill="FFFFFF"/>
        </w:rPr>
        <w:t>（六）国有资本经营预算财政拨款支出决算情况说明</w:t>
      </w:r>
    </w:p>
    <w:p>
      <w:pPr>
        <w:ind w:firstLine="640" w:firstLineChars="200"/>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本单位2023年度无国有资本经营预算财政拨款支出。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55.23</w:t>
      </w:r>
      <w:r>
        <w:rPr>
          <w:rFonts w:hint="default" w:ascii="Times New Roman" w:hAnsi="Times New Roman" w:eastAsia="方正仿宋_GBK" w:cs="Times New Roman"/>
          <w:color w:val="auto"/>
          <w:sz w:val="32"/>
          <w:szCs w:val="32"/>
          <w:shd w:val="clear" w:color="auto" w:fill="FFFFFF"/>
        </w:rPr>
        <w:t>万元，较年初预算数减少7.77万元，下降12.33%</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较上年支出数减少3.67万元，下降6.23%，</w:t>
      </w:r>
      <w:r>
        <w:rPr>
          <w:rFonts w:hint="eastAsia" w:ascii="Times New Roman" w:hAnsi="Times New Roman" w:eastAsia="方正仿宋_GBK" w:cs="Times New Roman"/>
          <w:color w:val="auto"/>
          <w:sz w:val="32"/>
          <w:szCs w:val="32"/>
          <w:shd w:val="clear" w:color="auto" w:fill="FFFFFF"/>
          <w:lang w:eastAsia="zh-CN"/>
        </w:rPr>
        <w:t>较年初预算和上年决算下降的</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认真贯彻落实中央八项规定精神和厉行节约要求，从严控制三公经费。</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lang w:eastAsia="zh-CN"/>
        </w:rPr>
        <w:t>本部门</w:t>
      </w:r>
      <w:r>
        <w:rPr>
          <w:rFonts w:hint="default" w:ascii="Times New Roman" w:hAnsi="Times New Roman" w:eastAsia="方正仿宋_GBK" w:cs="Times New Roman"/>
          <w:color w:val="auto"/>
          <w:sz w:val="32"/>
          <w:szCs w:val="32"/>
          <w:shd w:val="clear" w:color="auto" w:fill="FFFFFF"/>
        </w:rPr>
        <w:t>2023年度</w:t>
      </w:r>
      <w:r>
        <w:rPr>
          <w:rFonts w:hint="eastAsia" w:ascii="Times New Roman" w:hAnsi="Times New Roman" w:eastAsia="方正仿宋_GBK" w:cs="Times New Roman"/>
          <w:color w:val="auto"/>
          <w:sz w:val="32"/>
          <w:szCs w:val="32"/>
          <w:shd w:val="clear" w:color="auto" w:fill="FFFFFF"/>
          <w:lang w:eastAsia="zh-CN"/>
        </w:rPr>
        <w:t>未发生</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shd w:val="clear" w:color="auto" w:fill="FFFFFF"/>
          <w:lang w:eastAsia="zh-CN"/>
        </w:rPr>
        <w:t>，与上年决算数持平。</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0.77</w:t>
      </w:r>
      <w:r>
        <w:rPr>
          <w:rFonts w:hint="default" w:ascii="Times New Roman" w:hAnsi="Times New Roman" w:eastAsia="方正仿宋_GBK" w:cs="Times New Roman"/>
          <w:color w:val="auto"/>
          <w:sz w:val="32"/>
          <w:szCs w:val="32"/>
          <w:shd w:val="clear" w:color="auto" w:fill="FFFFFF"/>
        </w:rPr>
        <w:t>万元，主要用于</w:t>
      </w:r>
      <w:r>
        <w:rPr>
          <w:rFonts w:hint="eastAsia" w:ascii="Times New Roman" w:hAnsi="Times New Roman" w:eastAsia="方正仿宋_GBK" w:cs="Times New Roman"/>
          <w:color w:val="auto"/>
          <w:sz w:val="32"/>
          <w:szCs w:val="32"/>
          <w:shd w:val="clear" w:color="auto" w:fill="FFFFFF"/>
          <w:lang w:val="en-US" w:eastAsia="zh-CN"/>
        </w:rPr>
        <w:t>2022年底购置一线执法执勤用车剩余未结算费用</w:t>
      </w:r>
      <w:r>
        <w:rPr>
          <w:rFonts w:hint="default" w:ascii="Times New Roman" w:hAnsi="Times New Roman" w:eastAsia="方正仿宋_GBK" w:cs="Times New Roman"/>
          <w:color w:val="auto"/>
          <w:sz w:val="32"/>
          <w:szCs w:val="32"/>
          <w:shd w:val="clear" w:color="auto" w:fill="FFFFFF"/>
        </w:rPr>
        <w:t>。费用支出较年初预算数减少17.23万元，下降95.72%</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较上年支出数减少16.42万元，下降95.52%，</w:t>
      </w:r>
      <w:r>
        <w:rPr>
          <w:rFonts w:hint="eastAsia" w:ascii="Times New Roman" w:hAnsi="Times New Roman" w:eastAsia="方正仿宋_GBK" w:cs="Times New Roman"/>
          <w:color w:val="auto"/>
          <w:sz w:val="32"/>
          <w:szCs w:val="32"/>
          <w:shd w:val="clear" w:color="auto" w:fill="FFFFFF"/>
          <w:lang w:eastAsia="zh-CN"/>
        </w:rPr>
        <w:t>较年初预算和上年决算下降的</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本年度未购置公务用车。</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51.81</w:t>
      </w:r>
      <w:r>
        <w:rPr>
          <w:rFonts w:hint="default" w:ascii="Times New Roman" w:hAnsi="Times New Roman" w:eastAsia="方正仿宋_GBK" w:cs="Times New Roman"/>
          <w:color w:val="auto"/>
          <w:sz w:val="32"/>
          <w:szCs w:val="32"/>
          <w:shd w:val="clear" w:color="auto" w:fill="FFFFFF"/>
        </w:rPr>
        <w:t>万元，主要用于</w:t>
      </w:r>
      <w:r>
        <w:rPr>
          <w:rFonts w:hint="eastAsia" w:ascii="Times New Roman" w:hAnsi="Times New Roman" w:eastAsia="方正仿宋_GBK" w:cs="Times New Roman"/>
          <w:color w:val="auto"/>
          <w:sz w:val="32"/>
          <w:szCs w:val="32"/>
          <w:shd w:val="clear" w:color="auto" w:fill="FFFFFF"/>
          <w:lang w:eastAsia="zh-CN"/>
        </w:rPr>
        <w:t>执法执勤及办案工作所需车辆的燃料费、维修费、过路过桥费及保险费等。</w:t>
      </w:r>
      <w:r>
        <w:rPr>
          <w:rFonts w:hint="default" w:ascii="Times New Roman" w:hAnsi="Times New Roman" w:eastAsia="方正仿宋_GBK" w:cs="Times New Roman"/>
          <w:color w:val="auto"/>
          <w:sz w:val="32"/>
          <w:szCs w:val="32"/>
          <w:shd w:val="clear" w:color="auto" w:fill="FFFFFF"/>
        </w:rPr>
        <w:t>费用支出较年初预算数增加14.31万元，增长38.16%</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较上年支出数增加12.41万元，增长31.50%，</w:t>
      </w:r>
      <w:r>
        <w:rPr>
          <w:rFonts w:hint="eastAsia" w:ascii="Times New Roman" w:hAnsi="Times New Roman" w:eastAsia="方正仿宋_GBK" w:cs="Times New Roman"/>
          <w:color w:val="auto"/>
          <w:sz w:val="32"/>
          <w:szCs w:val="32"/>
          <w:shd w:val="clear" w:color="auto" w:fill="FFFFFF"/>
          <w:lang w:eastAsia="zh-CN"/>
        </w:rPr>
        <w:t>较年初预算和上年决算增长的主要原因是本年度</w:t>
      </w:r>
      <w:r>
        <w:rPr>
          <w:rFonts w:hint="default" w:ascii="Times New Roman" w:hAnsi="Times New Roman" w:eastAsia="方正仿宋_GBK" w:cs="Times New Roman"/>
          <w:color w:val="auto"/>
          <w:sz w:val="32"/>
          <w:szCs w:val="32"/>
          <w:shd w:val="clear" w:color="auto" w:fill="FFFFFF"/>
        </w:rPr>
        <w:t>留置办案任务加重，办案人员往返留置点、到县外出差频率高、次数多，公车油耗提高，公车燃油费、过路过桥费增加；再加上</w:t>
      </w:r>
      <w:r>
        <w:rPr>
          <w:rFonts w:hint="eastAsia" w:ascii="Times New Roman" w:hAnsi="Times New Roman" w:eastAsia="方正仿宋_GBK" w:cs="Times New Roman"/>
          <w:color w:val="auto"/>
          <w:sz w:val="32"/>
          <w:szCs w:val="32"/>
          <w:shd w:val="clear" w:color="auto" w:fill="FFFFFF"/>
          <w:lang w:eastAsia="zh-CN"/>
        </w:rPr>
        <w:t>车辆</w:t>
      </w:r>
      <w:r>
        <w:rPr>
          <w:rFonts w:hint="default" w:ascii="Times New Roman" w:hAnsi="Times New Roman" w:eastAsia="方正仿宋_GBK" w:cs="Times New Roman"/>
          <w:color w:val="auto"/>
          <w:sz w:val="32"/>
          <w:szCs w:val="32"/>
          <w:shd w:val="clear" w:color="auto" w:fill="FFFFFF"/>
        </w:rPr>
        <w:t>老化严重，维修维护成本偏高。</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2.65</w:t>
      </w:r>
      <w:r>
        <w:rPr>
          <w:rFonts w:hint="default" w:ascii="Times New Roman" w:hAnsi="Times New Roman" w:eastAsia="方正仿宋_GBK" w:cs="Times New Roman"/>
          <w:color w:val="auto"/>
          <w:sz w:val="32"/>
          <w:szCs w:val="32"/>
          <w:shd w:val="clear" w:color="auto" w:fill="FFFFFF"/>
        </w:rPr>
        <w:t>万元，主要用于接待</w:t>
      </w:r>
      <w:r>
        <w:rPr>
          <w:rFonts w:hint="eastAsia" w:ascii="Times New Roman" w:hAnsi="Times New Roman" w:eastAsia="方正仿宋_GBK" w:cs="Times New Roman"/>
          <w:color w:val="auto"/>
          <w:sz w:val="32"/>
          <w:szCs w:val="32"/>
          <w:shd w:val="clear" w:color="auto" w:fill="FFFFFF"/>
          <w:lang w:eastAsia="zh-CN"/>
        </w:rPr>
        <w:t>相关部门检查指导工作发生的接待支出。</w:t>
      </w:r>
      <w:r>
        <w:rPr>
          <w:rFonts w:hint="default" w:ascii="Times New Roman" w:hAnsi="Times New Roman" w:eastAsia="方正仿宋_GBK" w:cs="Times New Roman"/>
          <w:color w:val="auto"/>
          <w:sz w:val="32"/>
          <w:szCs w:val="32"/>
          <w:shd w:val="clear" w:color="auto" w:fill="FFFFFF"/>
        </w:rPr>
        <w:t>费用支出较年初预算数减少4.85万元，下降64.67%，主要原因是</w:t>
      </w:r>
      <w:r>
        <w:rPr>
          <w:rFonts w:hint="eastAsia" w:ascii="Times New Roman" w:hAnsi="Times New Roman" w:eastAsia="方正仿宋_GBK" w:cs="Times New Roman"/>
          <w:color w:val="auto"/>
          <w:sz w:val="32"/>
          <w:szCs w:val="32"/>
          <w:shd w:val="clear" w:color="auto" w:fill="FFFFFF"/>
          <w:lang w:eastAsia="zh-CN"/>
        </w:rPr>
        <w:t>强化公务接待支出管理，严格遵守公务接待开支范围和标准。</w:t>
      </w:r>
      <w:r>
        <w:rPr>
          <w:rFonts w:hint="default" w:ascii="Times New Roman" w:hAnsi="Times New Roman" w:eastAsia="方正仿宋_GBK" w:cs="Times New Roman"/>
          <w:color w:val="auto"/>
          <w:sz w:val="32"/>
          <w:szCs w:val="32"/>
          <w:shd w:val="clear" w:color="auto" w:fill="FFFFFF"/>
        </w:rPr>
        <w:t>较上年支出数增加0.34万元，增长14.72%，主要原因是接待</w:t>
      </w:r>
      <w:r>
        <w:rPr>
          <w:rFonts w:hint="eastAsia" w:ascii="Times New Roman" w:hAnsi="Times New Roman" w:eastAsia="方正仿宋_GBK" w:cs="Times New Roman"/>
          <w:color w:val="auto"/>
          <w:sz w:val="32"/>
          <w:szCs w:val="32"/>
          <w:shd w:val="clear" w:color="auto" w:fill="FFFFFF"/>
          <w:lang w:eastAsia="zh-CN"/>
        </w:rPr>
        <w:t>相关部门检查指导工作发生的接待支出增加。</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53</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265</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99.98</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5.18</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87" w:lineRule="exact"/>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（一）财政拨款会议费和培训费情况说明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9.05</w:t>
      </w:r>
      <w:r>
        <w:rPr>
          <w:rFonts w:hint="default" w:ascii="Times New Roman" w:hAnsi="Times New Roman" w:eastAsia="方正仿宋_GBK" w:cs="Times New Roman"/>
          <w:color w:val="auto"/>
          <w:sz w:val="32"/>
          <w:szCs w:val="32"/>
          <w:shd w:val="clear" w:color="auto" w:fill="FFFFFF"/>
        </w:rPr>
        <w:t>万元，较上年决算数增加9.05万元，增长100.00%，2022年工作人员更换频繁，未收到相关会议费支付票据，故2022年无会议费产生，导致2023年会议费增加。本年度培训费支出</w:t>
      </w:r>
      <w:r>
        <w:rPr>
          <w:rFonts w:hint="default" w:ascii="Times New Roman" w:hAnsi="Times New Roman" w:eastAsia="方正仿宋_GBK" w:cs="Times New Roman"/>
          <w:color w:val="auto"/>
          <w:sz w:val="32"/>
          <w:szCs w:val="32"/>
        </w:rPr>
        <w:t>29.90</w:t>
      </w:r>
      <w:r>
        <w:rPr>
          <w:rFonts w:hint="default" w:ascii="Times New Roman" w:hAnsi="Times New Roman" w:eastAsia="方正仿宋_GBK" w:cs="Times New Roman"/>
          <w:color w:val="auto"/>
          <w:sz w:val="32"/>
          <w:szCs w:val="32"/>
          <w:shd w:val="clear" w:color="auto" w:fill="FFFFFF"/>
        </w:rPr>
        <w:t>万元，较上年决算数增加7.00万元，增长30.57%，2023年举办纪检监察系统学习贯彻习近平新时代中国特色社会主义思想和党的二十大精神研讨班、开展十五届县委第三、四轮巡察工作培训，导致相应培训费用增加。再加上单位职工参加中国纪检监察学院举办的培训也增多，导致培训费用增长。</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366.71</w:t>
      </w:r>
      <w:r>
        <w:rPr>
          <w:rFonts w:hint="default" w:ascii="Times New Roman" w:hAnsi="Times New Roman" w:eastAsia="方正仿宋_GBK" w:cs="Times New Roman"/>
          <w:color w:val="auto"/>
          <w:sz w:val="32"/>
          <w:szCs w:val="32"/>
          <w:shd w:val="clear" w:color="auto" w:fill="FFFFFF"/>
        </w:rPr>
        <w:t>万元，机关运行</w:t>
      </w:r>
      <w:r>
        <w:rPr>
          <w:rFonts w:hint="default" w:ascii="Times New Roman" w:hAnsi="Times New Roman" w:eastAsia="方正仿宋_GBK" w:cs="Times New Roman"/>
          <w:color w:val="auto"/>
          <w:sz w:val="32"/>
          <w:szCs w:val="32"/>
          <w:shd w:val="clear" w:color="auto" w:fill="FFFFFF"/>
        </w:rPr>
        <w:t>经费主要用于开支</w:t>
      </w:r>
      <w:r>
        <w:rPr>
          <w:rFonts w:hint="eastAsia" w:ascii="Times New Roman" w:hAnsi="Times New Roman" w:eastAsia="方正仿宋_GBK" w:cs="Times New Roman"/>
          <w:color w:val="auto"/>
          <w:sz w:val="32"/>
          <w:szCs w:val="32"/>
          <w:shd w:val="clear" w:color="auto" w:fill="FFFFFF"/>
          <w:lang w:eastAsia="zh-CN"/>
        </w:rPr>
        <w:t>办公费、印刷费、水电费、邮电费、差旅费、公务接待费、公务用车运行维护费等维持部门正常运转经费</w:t>
      </w:r>
      <w:r>
        <w:rPr>
          <w:rFonts w:hint="default" w:ascii="Times New Roman" w:hAnsi="Times New Roman" w:eastAsia="方正仿宋_GBK" w:cs="Times New Roman"/>
          <w:color w:val="auto"/>
          <w:sz w:val="32"/>
          <w:szCs w:val="32"/>
          <w:shd w:val="clear" w:color="auto" w:fill="FFFFFF"/>
        </w:rPr>
        <w:t>。机关运行经费较上年支出数增加33.05万元，增长9.91%，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本年度异地办案数量增加，加大了公用经费开支。</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截至2023年12月31日，本部门共有车辆</w:t>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xml:space="preserve"> 2023年度本单位政府采购支出总额</w:t>
      </w:r>
      <w:r>
        <w:rPr>
          <w:rFonts w:hint="default" w:ascii="Times New Roman" w:hAnsi="Times New Roman" w:eastAsia="方正仿宋_GBK" w:cs="Times New Roman"/>
          <w:color w:val="auto"/>
          <w:sz w:val="32"/>
          <w:szCs w:val="32"/>
        </w:rPr>
        <w:t>20.11</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20.11</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20.11万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20.11</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 xml:space="preserve"> %。主要用</w:t>
      </w:r>
      <w:r>
        <w:rPr>
          <w:rFonts w:hint="default" w:ascii="Times New Roman" w:hAnsi="Times New Roman" w:eastAsia="方正仿宋_GBK" w:cs="Times New Roman"/>
          <w:color w:val="auto"/>
          <w:sz w:val="32"/>
          <w:szCs w:val="32"/>
          <w:shd w:val="clear" w:color="auto" w:fill="FFFFFF"/>
        </w:rPr>
        <w:t>于采购</w:t>
      </w:r>
      <w:r>
        <w:rPr>
          <w:rFonts w:hint="eastAsia" w:ascii="Times New Roman" w:hAnsi="Times New Roman" w:eastAsia="方正仿宋_GBK" w:cs="Times New Roman"/>
          <w:color w:val="auto"/>
          <w:sz w:val="32"/>
          <w:szCs w:val="32"/>
          <w:shd w:val="clear" w:color="auto" w:fill="FFFFFF"/>
          <w:lang w:eastAsia="zh-CN"/>
        </w:rPr>
        <w:t>办公用电脑。</w:t>
      </w:r>
    </w:p>
    <w:p>
      <w:pPr>
        <w:pStyle w:val="6"/>
        <w:keepNext w:val="0"/>
        <w:keepLines w:val="0"/>
        <w:pageBreakBefore w:val="0"/>
        <w:widowControl/>
        <w:numPr>
          <w:ilvl w:val="0"/>
          <w:numId w:val="2"/>
        </w:numPr>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（一）部门自评情况</w:t>
      </w:r>
    </w:p>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根据预算绩效管理要求，我部门对部门整体和</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个项目开展了绩效自评，涉及财政拨款项目支出资金</w:t>
      </w:r>
      <w:r>
        <w:rPr>
          <w:rFonts w:hint="eastAsia" w:ascii="Times New Roman" w:hAnsi="Times New Roman" w:eastAsia="方正仿宋_GBK" w:cs="Times New Roman"/>
          <w:color w:val="auto"/>
          <w:sz w:val="32"/>
          <w:szCs w:val="32"/>
          <w:shd w:val="clear" w:color="auto" w:fill="FFFFFF"/>
          <w:lang w:val="en-US" w:eastAsia="zh-CN"/>
        </w:rPr>
        <w:t>818.18</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1016"/>
        <w:gridCol w:w="1012"/>
        <w:gridCol w:w="803"/>
        <w:gridCol w:w="635"/>
        <w:gridCol w:w="759"/>
        <w:gridCol w:w="761"/>
        <w:gridCol w:w="759"/>
        <w:gridCol w:w="551"/>
        <w:gridCol w:w="719"/>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中国共产党丰都县纪律检查委员会整体自评</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50023000023P000092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81.99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谭曦</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70605661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505"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0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36,768,570.32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43,553,064.86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43,550,175.38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505"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0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36,768,570.32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43,553,064.86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43,550,175.38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99.99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505"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0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36,768,570.32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43,553,064.86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1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43,550,175.38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99.99</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10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3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坚持以习近平新时代中国特色社会主义思想为指导，增强“四个意识”、坚定“四个自信”、做到“两个维护”，坚持稳中求进工作总基调，立足新发展阶段，完整、准确、全面贯彻新发展理念，坚持全面从严治党战略方针，持续净化政治生态，坚定不移将党风廉政建设和反腐败斗争进行到底，持续深化不敢腐、不能腐、不想腐一体推进，惩治震慑、制度约束、提高觉悟一体发力，努力取得更多制度性成果和更大治理成效，加强纪检监察机关规范化法治化正规化建设，更好发挥监督保障执行、促进完善发展作用，在市纪委监委和县委的坚强领导下，忠诚履职、团结奋斗，坚定信心、勇毅笃行，为全面建设现代化的美丽丰都提供坚强保障。</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2"/>
                <w:szCs w:val="22"/>
                <w:u w:val="none"/>
              </w:rPr>
            </w:pPr>
          </w:p>
        </w:tc>
        <w:tc>
          <w:tcPr>
            <w:tcW w:w="106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2023年，在市纪委监委和县委的坚强领导下，全县纪检监察机关坚定不移正风肃纪反腐，一体推进不敢腐、不能腐、不想腐，涵养良好政治生态，推进纪检监察工作高质量发展取得新成效。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挽回经济损失</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万元</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23.14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政治生态清廉率</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反腐败持续深入</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优良中低差</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人民群众对纪检监察机关满意度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9"/>
        <w:gridCol w:w="887"/>
        <w:gridCol w:w="887"/>
        <w:gridCol w:w="768"/>
        <w:gridCol w:w="610"/>
        <w:gridCol w:w="687"/>
        <w:gridCol w:w="728"/>
        <w:gridCol w:w="687"/>
        <w:gridCol w:w="531"/>
        <w:gridCol w:w="689"/>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纪检监察转移支付资金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50023023T000002908808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70605661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1,698,551.00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1,698,551.00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1,670,000.00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1,698,551.00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切实保障纪检监察办案等业务工作开展和纪检监察能力建设提升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切实保障纪检监察办案等业务工作开展和纪检监察能力建设提升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纪检监察转移支付资金用于我单位开展纪检监察相关工作，资金拨付率100%，切实保障了纪检监察办案等业务工作开展和纪检监察能力建设提升。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支持地方纪检监察机关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用于纪检监察工作资金率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支持并提高纪检监察部门办案装备经费保障水平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提高纪检监察机关经费保障水平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稳步提升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7"/>
        <w:gridCol w:w="902"/>
        <w:gridCol w:w="903"/>
        <w:gridCol w:w="781"/>
        <w:gridCol w:w="619"/>
        <w:gridCol w:w="698"/>
        <w:gridCol w:w="740"/>
        <w:gridCol w:w="698"/>
        <w:gridCol w:w="539"/>
        <w:gridCol w:w="700"/>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县委巡察经费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50023022T000000143486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70605661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1,591,906.53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1,596,786.53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1,591,906.53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1,596,786.53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1,600,000.00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1,591,906.53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1,596,786.53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保障2023年常规巡察、专项巡察、“机动式”巡察、巡察“回头看”任务圆满完成。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保障2023年常规巡察、专项巡察、“机动式”巡察、巡察“回头看”任务圆满完成。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坚持涵养风清气正的政治生态，巡察利剑作用充分发挥，组织开展十五届县委第三轮、第四轮巡察，每轮巡察持续2.5至3个月，对14个县级部门、12个乡镇街道、129个村（社区）党组织开展常规巡察，到武隆区开展提级交叉巡察，推动全县巡察工作高质量发展取得新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巡察轮次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度量单位为：轮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完成巡察任务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高质量完成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按计划时间完成每轮巡察任务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营造风清气正、海晏河清的政治生态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有力营造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被巡察单位对巡察工作的满意度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jc w:val="both"/>
        <w:rPr>
          <w:rFonts w:hint="eastAsia" w:ascii="Times New Roman" w:hAnsi="Times New Roman" w:eastAsia="方正仿宋_GBK" w:cs="Times New Roman"/>
          <w:color w:val="auto"/>
          <w:sz w:val="32"/>
          <w:szCs w:val="32"/>
          <w:shd w:val="clear" w:color="auto" w:fill="FFFFFF"/>
          <w:lang w:eastAsia="zh-CN"/>
        </w:rPr>
      </w:pPr>
    </w:p>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6"/>
        <w:gridCol w:w="986"/>
        <w:gridCol w:w="898"/>
        <w:gridCol w:w="813"/>
        <w:gridCol w:w="648"/>
        <w:gridCol w:w="685"/>
        <w:gridCol w:w="770"/>
        <w:gridCol w:w="640"/>
        <w:gridCol w:w="557"/>
        <w:gridCol w:w="727"/>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50023023T000003461982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70605661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194,541.99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194,541.99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230,400.00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164,000.00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194,541.99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临聘人员经费。年人均4.32万=月工资3598.36元*12个月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临聘人员经费。年人均4.32万=月工资3598.36元*12个月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2023年委机关劳务派遣司机5名，全年费用支出21.93万元。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协助执纪人员完成各项任务工作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高质量完成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协助完成执纪审查及调查工作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不断加强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执纪办案人员对临聘人员工作满意度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临聘人员人年均标准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4.385196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2"/>
        <w:gridCol w:w="929"/>
        <w:gridCol w:w="929"/>
        <w:gridCol w:w="802"/>
        <w:gridCol w:w="637"/>
        <w:gridCol w:w="679"/>
        <w:gridCol w:w="760"/>
        <w:gridCol w:w="632"/>
        <w:gridCol w:w="551"/>
        <w:gridCol w:w="718"/>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nil"/>
              <w:left w:val="nil"/>
              <w:bottom w:val="nil"/>
              <w:right w:val="nil"/>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廉政教育中心运行经费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50023022T000000143821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13512318330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122,820.00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122,820.00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122,820.00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122,820.00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122,820.00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122,820.00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做好全年电子信息技术服务、廉政教育衔接服务及纪检监察保障服务工作。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做好全年电子信息技术服务、廉政教育衔接服务及纪检监察保障服务工作。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年对廉洁文化的挖掘创建和宣传推广，承办巴渝风2023清廉重庆微视频大赛，打造县级清廉单元示范点25个，以及对相关部门履职情况的信息化监督，拍摄警示教育片1部，推动全县开展警示教育300余场次、受教育对象1.5万余人次，高质量完成2023年纪检监察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拍摄警示教育宣传片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办案场所公共设施设备维护保养完好率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推动全县“以案示说”警示教育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6"/>
        <w:gridCol w:w="1009"/>
        <w:gridCol w:w="996"/>
        <w:gridCol w:w="862"/>
        <w:gridCol w:w="680"/>
        <w:gridCol w:w="727"/>
        <w:gridCol w:w="816"/>
        <w:gridCol w:w="630"/>
        <w:gridCol w:w="585"/>
        <w:gridCol w:w="770"/>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11"/>
            <w:tcBorders>
              <w:top w:val="nil"/>
              <w:left w:val="nil"/>
              <w:bottom w:val="nil"/>
              <w:right w:val="nil"/>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编外人员经费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50023023T000003461209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105-中国共产党丰都县纪律检查委员会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001-行政政法科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13512318330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33,056.88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33,056.88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33,056.88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33,056.88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38,400.00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33,056.88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33,056.88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1名临聘人员经费，年人均3.84万=（月工资2200元+五险1000元）*12个月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1名临聘人员经费，年人均3.84万=（月工资2200元+五险1000元）*12个月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中心劳务派遣驾驶员1名圆满完成当年出车任务，保障纪检监察办案出勤效率。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1名编外人员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提高全年后勤工作质量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激励导向作用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满意度90%以上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r>
    </w:tbl>
    <w:p>
      <w:pPr>
        <w:pStyle w:val="12"/>
        <w:keepNext w:val="0"/>
        <w:keepLines w:val="0"/>
        <w:pageBreakBefore w:val="0"/>
        <w:widowControl/>
        <w:kinsoku/>
        <w:overflowPunct/>
        <w:topLinePunct w:val="0"/>
        <w:autoSpaceDE w:val="0"/>
        <w:autoSpaceDN/>
        <w:bidi w:val="0"/>
        <w:adjustRightInd/>
        <w:spacing w:before="0" w:beforeAutospacing="0" w:after="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left="0" w:leftChars="0" w:firstLine="643"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（二）部门绩效评价情况</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我部门未组织开展绩效评价。</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（三）财政绩效评价情况</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eastAsia" w:ascii="Times New Roman" w:hAnsi="Times New Roman" w:eastAsia="方正仿宋_GBK" w:cs="Times New Roman"/>
          <w:color w:val="auto"/>
          <w:sz w:val="32"/>
          <w:szCs w:val="32"/>
          <w:shd w:val="clear" w:color="auto" w:fill="FFFFFF"/>
          <w:lang w:val="en-US" w:eastAsia="zh-CN" w:bidi="ar-SA"/>
        </w:rPr>
        <w:t>县</w:t>
      </w:r>
      <w:r>
        <w:rPr>
          <w:rFonts w:hint="default" w:ascii="Times New Roman" w:hAnsi="Times New Roman" w:eastAsia="方正仿宋_GBK" w:cs="Times New Roman"/>
          <w:color w:val="auto"/>
          <w:sz w:val="32"/>
          <w:szCs w:val="32"/>
          <w:shd w:val="clear" w:color="auto" w:fill="FFFFFF"/>
          <w:lang w:val="en-US" w:eastAsia="zh-CN" w:bidi="ar-SA"/>
        </w:rPr>
        <w:t>财政局未委托第三方对我部门开展绩效评价。</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黑体" w:cs="Times New Roman"/>
          <w:color w:val="auto"/>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rPr>
        <w:t> </w:t>
      </w:r>
      <w:r>
        <w:rPr>
          <w:rFonts w:hint="default" w:ascii="Times New Roman" w:hAnsi="Times New Roman" w:eastAsia="楷体" w:cs="Times New Roman"/>
          <w:b/>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（二）事业收入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（三）经营收入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（四）其他收入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（五）使用非财政拨款结余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（六）年初结转和结余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（七）结余分配</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（九）基本支出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（十）项目支出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（十一）经营支出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（十二）“三公”经费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（十三）机关运行经费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（十四）工资福利支出（支出经济分类科目类级）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（十五）商品和服务支出（支出经济分类科目类级）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楷体" w:cs="Times New Roman"/>
          <w:color w:val="auto"/>
          <w:sz w:val="32"/>
          <w:szCs w:val="32"/>
          <w:shd w:val="clear" w:color="auto" w:fill="FFFFFF"/>
        </w:rPr>
        <w:t> （十六）对个人和家庭的补助（支出经济分类科目类级）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 </w:t>
      </w:r>
      <w:r>
        <w:rPr>
          <w:rStyle w:val="10"/>
          <w:rFonts w:hint="default" w:ascii="Times New Roman" w:hAnsi="Times New Roman" w:eastAsia="楷体" w:cs="Times New Roman"/>
          <w:color w:val="auto"/>
          <w:sz w:val="32"/>
          <w:szCs w:val="32"/>
          <w:shd w:val="clear" w:color="auto" w:fill="FFFFFF"/>
        </w:rPr>
        <w:t>（十七）其他资本性支出（支出经济分类科目类级）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587" w:lineRule="exact"/>
        <w:ind w:firstLine="643" w:firstLineChars="200"/>
        <w:jc w:val="both"/>
        <w:rPr>
          <w:rStyle w:val="10"/>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w:t>
      </w:r>
      <w:r>
        <w:rPr>
          <w:rStyle w:val="10"/>
          <w:rFonts w:hint="default" w:ascii="Times New Roman" w:hAnsi="Times New Roman" w:eastAsia="黑体" w:cs="Times New Roman"/>
          <w:color w:val="auto"/>
          <w:sz w:val="32"/>
          <w:szCs w:val="32"/>
          <w:shd w:val="clear" w:color="auto" w:fill="FFFFFF"/>
        </w:rPr>
        <w:t>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587"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0" w:firstLineChars="200"/>
        <w:jc w:val="both"/>
        <w:rPr>
          <w:rStyle w:val="10"/>
          <w:rFonts w:hint="default" w:ascii="Times New Roman" w:hAnsi="Times New Roman" w:eastAsia="方正仿宋_GBK" w:cs="Times New Roman"/>
          <w:color w:val="auto"/>
          <w:sz w:val="32"/>
          <w:szCs w:val="32"/>
          <w:shd w:val="clear" w:color="auto" w:fill="FFFF00"/>
        </w:rPr>
      </w:pPr>
      <w:r>
        <w:rPr>
          <w:rFonts w:hint="eastAsia" w:ascii="Times New Roman" w:hAnsi="Times New Roman" w:eastAsia="方正仿宋_GBK" w:cs="Times New Roman"/>
          <w:color w:val="auto"/>
          <w:sz w:val="32"/>
          <w:szCs w:val="32"/>
          <w:shd w:val="clear" w:color="auto" w:fill="FFFFFF"/>
          <w:lang w:eastAsia="zh-CN"/>
        </w:rPr>
        <w:t>谭曦</w:t>
      </w:r>
      <w:r>
        <w:rPr>
          <w:rFonts w:hint="eastAsia" w:ascii="Times New Roman" w:hAnsi="Times New Roman" w:eastAsia="方正仿宋_GBK" w:cs="Times New Roman"/>
          <w:color w:val="auto"/>
          <w:sz w:val="32"/>
          <w:szCs w:val="32"/>
          <w:shd w:val="clear" w:color="auto" w:fill="FFFFFF"/>
          <w:lang w:val="en-US" w:eastAsia="zh-CN"/>
        </w:rPr>
        <w:t xml:space="preserve">   023-70605661</w:t>
      </w:r>
    </w:p>
    <w:p>
      <w:pPr>
        <w:pStyle w:val="11"/>
        <w:keepNext w:val="0"/>
        <w:keepLines w:val="0"/>
        <w:pageBreakBefore w:val="0"/>
        <w:widowControl/>
        <w:kinsoku/>
        <w:overflowPunct/>
        <w:topLinePunct w:val="0"/>
        <w:autoSpaceDE w:val="0"/>
        <w:autoSpaceDN/>
        <w:bidi w:val="0"/>
        <w:adjustRightInd/>
        <w:spacing w:beforeAutospacing="0" w:afterAutospacing="0" w:line="587" w:lineRule="exact"/>
        <w:ind w:firstLine="643" w:firstLineChars="200"/>
        <w:jc w:val="both"/>
        <w:rPr>
          <w:rStyle w:val="10"/>
          <w:rFonts w:hint="default" w:ascii="Times New Roman" w:hAnsi="Times New Roman" w:eastAsia="方正仿宋_GBK" w:cs="Times New Roman"/>
          <w:color w:val="auto"/>
          <w:sz w:val="32"/>
          <w:szCs w:val="32"/>
          <w:shd w:val="clear" w:color="auto" w:fill="FFFF00"/>
        </w:rPr>
        <w:sectPr>
          <w:footerReference r:id="rId3" w:type="default"/>
          <w:pgSz w:w="11915" w:h="16840"/>
          <w:pgMar w:top="1928" w:right="1474" w:bottom="1984" w:left="1531" w:header="851" w:footer="992" w:gutter="0"/>
          <w:pgNumType w:fmt="numberInDash"/>
          <w:cols w:space="720" w:num="1"/>
          <w:docGrid w:type="lines" w:linePitch="312" w:charSpace="0"/>
        </w:sectPr>
      </w:pP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p>
    <w:tbl>
      <w:tblPr>
        <w:tblStyle w:val="7"/>
        <w:tblW w:w="5005" w:type="pct"/>
        <w:tblInd w:w="0" w:type="dxa"/>
        <w:tblLayout w:type="autofit"/>
        <w:tblCellMar>
          <w:top w:w="0" w:type="dxa"/>
          <w:left w:w="0" w:type="dxa"/>
          <w:bottom w:w="0" w:type="dxa"/>
          <w:right w:w="0" w:type="dxa"/>
        </w:tblCellMar>
      </w:tblPr>
      <w:tblGrid>
        <w:gridCol w:w="4600"/>
        <w:gridCol w:w="1813"/>
        <w:gridCol w:w="4318"/>
        <w:gridCol w:w="309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中国共产党丰都县纪律检查委员会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40" w:firstLineChars="200"/>
              <w:jc w:val="both"/>
              <w:rPr>
                <w:rFonts w:hint="default" w:ascii="Times New Roman" w:hAnsi="Times New Roman" w:cs="Times New Roman"/>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4,355.02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3,466.35</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574.31</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136.25</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173.06</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4,355.02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4,349.97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4,355.02</w:t>
            </w:r>
            <w:r>
              <w:rPr>
                <w:rFonts w:hint="default" w:ascii="Times New Roman" w:hAnsi="Times New Roman" w:cs="Times New Roman"/>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4,355.02</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527"/>
        <w:gridCol w:w="2847"/>
        <w:gridCol w:w="1108"/>
        <w:gridCol w:w="1108"/>
        <w:gridCol w:w="1108"/>
        <w:gridCol w:w="1108"/>
        <w:gridCol w:w="1227"/>
        <w:gridCol w:w="1173"/>
        <w:gridCol w:w="1292"/>
        <w:gridCol w:w="131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中国共产党丰都县纪律检查委员会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4,355.02</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4,355.02</w:t>
            </w: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3,471.39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3,471.39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纪检监察事务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3,471.39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3,471.39</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2,490.62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2,490.62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162.60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162.60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其他纪检监察事务支出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818.18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818.18</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317.73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317.73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172.66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172.66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5.73</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50.00</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173.06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173.06</w:t>
            </w: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left="600"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3710"/>
        <w:gridCol w:w="1299"/>
        <w:gridCol w:w="1300"/>
        <w:gridCol w:w="1300"/>
        <w:gridCol w:w="1286"/>
        <w:gridCol w:w="1286"/>
        <w:gridCol w:w="151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 xml:space="preserve">中国共产党丰都县纪律检查委员会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4,349.97</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3,531.80</w:t>
            </w:r>
            <w:r>
              <w:rPr>
                <w:rFonts w:hint="default" w:ascii="Times New Roman" w:hAnsi="Times New Roman" w:cs="Times New Roman"/>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818.18</w:t>
            </w: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3,466.35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2,648.17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818.18</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纪检监察事务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3,466.35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2,648.17</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818.18</w:t>
            </w:r>
            <w:r>
              <w:rPr>
                <w:rFonts w:hint="default" w:ascii="Times New Roman" w:hAnsi="Times New Roman" w:cs="Times New Roman"/>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162.60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162.60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其他纪检监察事务支出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818.18</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818.18</w:t>
            </w: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317.73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317.73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172.66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172.66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5.73</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50.00</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173.06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173.06</w:t>
            </w:r>
            <w:r>
              <w:rPr>
                <w:rFonts w:hint="default" w:ascii="Times New Roman" w:hAnsi="Times New Roman" w:cs="Times New Roman"/>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p>
    <w:tbl>
      <w:tblPr>
        <w:tblStyle w:val="7"/>
        <w:tblW w:w="4790" w:type="pct"/>
        <w:tblInd w:w="0" w:type="dxa"/>
        <w:tblLayout w:type="autofit"/>
        <w:tblCellMar>
          <w:top w:w="0" w:type="dxa"/>
          <w:left w:w="0" w:type="dxa"/>
          <w:bottom w:w="0" w:type="dxa"/>
          <w:right w:w="0" w:type="dxa"/>
        </w:tblCellMar>
      </w:tblPr>
      <w:tblGrid>
        <w:gridCol w:w="3030"/>
        <w:gridCol w:w="1229"/>
        <w:gridCol w:w="3210"/>
        <w:gridCol w:w="1387"/>
        <w:gridCol w:w="1387"/>
        <w:gridCol w:w="1387"/>
        <w:gridCol w:w="1598"/>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中国共产党丰都县纪律检查委员会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4,355.02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3,466.35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3,466.35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574.31</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574.31</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136.25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136.25</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173.06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173.06</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4,355.02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4,349.97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4,349.97</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5.04</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4,355.02</w:t>
            </w:r>
            <w:r>
              <w:rPr>
                <w:rFonts w:hint="default" w:ascii="Times New Roman" w:hAnsi="Times New Roman" w:cs="Times New Roman"/>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4,355.02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4,355.02</w:t>
            </w:r>
            <w:r>
              <w:rPr>
                <w:rFonts w:hint="default" w:ascii="Times New Roman" w:hAnsi="Times New Roman" w:cs="Times New Roman"/>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537"/>
        <w:gridCol w:w="3710"/>
        <w:gridCol w:w="2849"/>
        <w:gridCol w:w="2849"/>
        <w:gridCol w:w="286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中国共产党丰都县纪律检查委员会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4,349.97</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3,531.80</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818.18</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3,466.35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2,648.17</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818.18</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纪检监察事务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3,466.35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2,648.17</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818.18</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2,485.58</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162.60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162.60</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其他纪检监察事务支出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818.18</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818.18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574.31</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14.22</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317.73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317.73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172.66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172.66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69.69</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136.25</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80.53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5.73</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5.73</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50.00</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50.00</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173.06</w:t>
            </w:r>
            <w:r>
              <w:rPr>
                <w:rFonts w:hint="default" w:ascii="Times New Roman" w:hAnsi="Times New Roman" w:cs="Times New Roman"/>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173.06</w:t>
            </w:r>
            <w:r>
              <w:rPr>
                <w:rFonts w:hint="default" w:ascii="Times New Roman" w:hAnsi="Times New Roman" w:cs="Times New Roman"/>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173.06</w:t>
            </w:r>
            <w:r>
              <w:rPr>
                <w:rFonts w:hint="default" w:ascii="Times New Roman" w:hAnsi="Times New Roman" w:cs="Times New Roman"/>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0"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备注：1.本表反映部门本年度一般公共预算财政拨款支出情况。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543"/>
        <w:gridCol w:w="2460"/>
        <w:gridCol w:w="1235"/>
        <w:gridCol w:w="751"/>
        <w:gridCol w:w="1727"/>
        <w:gridCol w:w="1487"/>
        <w:gridCol w:w="725"/>
        <w:gridCol w:w="3167"/>
        <w:gridCol w:w="1696"/>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中国共产党丰都县纪律检查委员会</w:t>
            </w: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w:t>
            </w:r>
            <w:r>
              <w:rPr>
                <w:rFonts w:hint="eastAsia" w:ascii="Times New Roman" w:hAnsi="Times New Roman" w:cs="Times New Roman"/>
                <w:b/>
                <w:color w:val="auto"/>
                <w:sz w:val="18"/>
                <w:szCs w:val="18"/>
                <w:lang w:eastAsia="zh-CN"/>
              </w:rPr>
              <w:t>经济</w:t>
            </w:r>
            <w:r>
              <w:rPr>
                <w:rFonts w:hint="default" w:ascii="Times New Roman" w:hAnsi="Times New Roman" w:cs="Times New Roman"/>
                <w:b/>
                <w:color w:val="auto"/>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w:t>
            </w:r>
            <w:r>
              <w:rPr>
                <w:rFonts w:hint="eastAsia" w:ascii="Times New Roman" w:hAnsi="Times New Roman" w:cs="Times New Roman"/>
                <w:b/>
                <w:color w:val="auto"/>
                <w:sz w:val="18"/>
                <w:szCs w:val="18"/>
                <w:lang w:eastAsia="zh-CN"/>
              </w:rPr>
              <w:t>经济</w:t>
            </w:r>
            <w:r>
              <w:rPr>
                <w:rFonts w:hint="default" w:ascii="Times New Roman" w:hAnsi="Times New Roman" w:cs="Times New Roman"/>
                <w:b/>
                <w:color w:val="auto"/>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w:t>
            </w:r>
            <w:r>
              <w:rPr>
                <w:rFonts w:hint="eastAsia" w:ascii="Times New Roman" w:hAnsi="Times New Roman" w:cs="Times New Roman"/>
                <w:b/>
                <w:color w:val="auto"/>
                <w:sz w:val="18"/>
                <w:szCs w:val="18"/>
                <w:lang w:eastAsia="zh-CN"/>
              </w:rPr>
              <w:t>经济</w:t>
            </w:r>
            <w:r>
              <w:rPr>
                <w:rFonts w:hint="default" w:ascii="Times New Roman" w:hAnsi="Times New Roman" w:cs="Times New Roman"/>
                <w:b/>
                <w:color w:val="auto"/>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rPr>
                <w:rFonts w:hint="default" w:ascii="Times New Roman" w:hAnsi="Times New Roman" w:cs="Times New Roman"/>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3,059.47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366.03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16.22</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530.17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22.91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548.40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10.56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15.11</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828.01</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80.20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393.33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7.85</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0.33</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219.42</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51.80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155.26</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52.29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29.83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226.75</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25.64</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8.28</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0.77</w:t>
            </w: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90.08</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12.67</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1.32</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0.77</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22.00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48.53</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0.40</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41.33</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6.49</w:t>
            </w: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39.01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107.76</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34.91</w:t>
            </w: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0" w:firstLineChars="200"/>
              <w:jc w:val="both"/>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3,149.55</w:t>
            </w:r>
            <w:r>
              <w:rPr>
                <w:rFonts w:hint="default" w:ascii="Times New Roman" w:hAnsi="Times New Roman" w:cs="Times New Roman"/>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61" w:firstLineChars="200"/>
              <w:jc w:val="both"/>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360" w:firstLineChars="200"/>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382.24</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664"/>
        <w:gridCol w:w="2772"/>
        <w:gridCol w:w="1533"/>
        <w:gridCol w:w="1533"/>
        <w:gridCol w:w="1533"/>
        <w:gridCol w:w="1533"/>
        <w:gridCol w:w="1591"/>
        <w:gridCol w:w="164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中国共产党丰都县纪律检查委员会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689"/>
        <w:gridCol w:w="2748"/>
        <w:gridCol w:w="2941"/>
        <w:gridCol w:w="180"/>
        <w:gridCol w:w="3121"/>
        <w:gridCol w:w="69"/>
        <w:gridCol w:w="306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中国共产党丰都县纪律检查委员会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w:t>
            </w:r>
            <w:r>
              <w:rPr>
                <w:rFonts w:hint="default" w:ascii="Times New Roman" w:hAnsi="Times New Roman" w:cs="Times New Roman"/>
                <w:color w:val="auto"/>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402" w:firstLineChars="200"/>
              <w:jc w:val="both"/>
              <w:rPr>
                <w:rFonts w:hint="default" w:ascii="Times New Roman" w:hAnsi="Times New Roman" w:cs="Times New Roman"/>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afterAutospacing="0" w:line="587" w:lineRule="exact"/>
              <w:ind w:firstLine="402" w:firstLineChars="200"/>
              <w:jc w:val="both"/>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备注：本表反映部门本年度国有资本经营预算财政拨款支出情况。本部门无国有资本经营收支，故本表无数据。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587"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7"/>
        <w:tblW w:w="4850" w:type="pct"/>
        <w:tblInd w:w="0" w:type="dxa"/>
        <w:tblLayout w:type="fixed"/>
        <w:tblCellMar>
          <w:top w:w="0" w:type="dxa"/>
          <w:left w:w="170" w:type="dxa"/>
          <w:bottom w:w="0" w:type="dxa"/>
          <w:right w:w="170" w:type="dxa"/>
        </w:tblCellMar>
      </w:tblPr>
      <w:tblGrid>
        <w:gridCol w:w="3609"/>
        <w:gridCol w:w="1934"/>
        <w:gridCol w:w="1886"/>
        <w:gridCol w:w="4039"/>
        <w:gridCol w:w="192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643" w:firstLineChars="200"/>
              <w:jc w:val="center"/>
              <w:textAlignment w:val="bottom"/>
              <w:rPr>
                <w:rFonts w:hint="default" w:ascii="Times New Roman" w:hAnsi="Times New Roman" w:cs="Times New Roman"/>
                <w:b/>
                <w:color w:val="auto"/>
                <w:kern w:val="2"/>
                <w:sz w:val="32"/>
                <w:szCs w:val="32"/>
              </w:rPr>
            </w:pPr>
            <w:r>
              <w:rPr>
                <w:rFonts w:hint="default" w:ascii="Times New Roman" w:hAnsi="Times New Roman" w:cs="Times New Roman"/>
                <w:b/>
                <w:color w:val="auto"/>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kern w:val="2"/>
                <w:sz w:val="20"/>
                <w:szCs w:val="20"/>
              </w:rPr>
            </w:pPr>
          </w:p>
        </w:tc>
        <w:tc>
          <w:tcPr>
            <w:tcW w:w="722"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kern w:val="2"/>
                <w:sz w:val="20"/>
                <w:szCs w:val="20"/>
              </w:rPr>
            </w:pPr>
          </w:p>
        </w:tc>
        <w:tc>
          <w:tcPr>
            <w:tcW w:w="704"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kern w:val="2"/>
                <w:sz w:val="20"/>
                <w:szCs w:val="20"/>
              </w:rPr>
            </w:pPr>
          </w:p>
        </w:tc>
        <w:tc>
          <w:tcPr>
            <w:tcW w:w="1508"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kern w:val="2"/>
                <w:sz w:val="20"/>
                <w:szCs w:val="20"/>
              </w:rPr>
            </w:pPr>
          </w:p>
        </w:tc>
        <w:tc>
          <w:tcPr>
            <w:tcW w:w="719" w:type="pct"/>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公开部门</w:t>
            </w:r>
            <w:r>
              <w:rPr>
                <w:rFonts w:hint="default" w:ascii="Times New Roman" w:hAnsi="Times New Roman" w:cs="Times New Roman"/>
                <w:color w:val="auto"/>
                <w:kern w:val="2"/>
                <w:sz w:val="20"/>
                <w:szCs w:val="20"/>
              </w:rPr>
              <w:t xml:space="preserve">： </w:t>
            </w:r>
            <w:r>
              <w:rPr>
                <w:rFonts w:hint="default" w:ascii="Times New Roman" w:hAnsi="Times New Roman" w:cs="Times New Roman"/>
                <w:color w:val="auto"/>
                <w:sz w:val="20"/>
                <w:u w:color="auto"/>
              </w:rPr>
              <w:t>中国共产党丰都县纪律检查委员会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单位：</w:t>
            </w:r>
            <w:r>
              <w:rPr>
                <w:rFonts w:hint="default" w:ascii="Times New Roman" w:hAnsi="Times New Roman" w:cs="Times New Roman"/>
                <w:color w:val="auto"/>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1" w:firstLineChars="200"/>
              <w:jc w:val="both"/>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366.71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55.23</w:t>
            </w:r>
            <w:r>
              <w:rPr>
                <w:rFonts w:hint="default" w:ascii="Times New Roman" w:hAnsi="Times New Roman" w:cs="Times New Roman"/>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55.23</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366.71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52.58</w:t>
            </w:r>
            <w:r>
              <w:rPr>
                <w:rFonts w:hint="default" w:ascii="Times New Roman" w:hAnsi="Times New Roman" w:cs="Times New Roman"/>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52.58</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0.77</w:t>
            </w:r>
            <w:r>
              <w:rPr>
                <w:rFonts w:hint="default" w:ascii="Times New Roman" w:hAnsi="Times New Roman" w:cs="Times New Roman"/>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0.77</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10</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51.81</w:t>
            </w:r>
            <w:r>
              <w:rPr>
                <w:rFonts w:hint="default" w:ascii="Times New Roman" w:hAnsi="Times New Roman" w:cs="Times New Roman"/>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51.81</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2.65</w:t>
            </w:r>
            <w:r>
              <w:rPr>
                <w:rFonts w:hint="default" w:ascii="Times New Roman" w:hAnsi="Times New Roman" w:cs="Times New Roman"/>
                <w:color w:val="auto"/>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2.65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2.65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7</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53</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265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20.11</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9.05</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29.90</w:t>
            </w:r>
            <w:r>
              <w:rPr>
                <w:rFonts w:hint="default" w:ascii="Times New Roman" w:hAnsi="Times New Roman" w:cs="Times New Roman"/>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587" w:lineRule="exact"/>
              <w:ind w:firstLine="320" w:firstLineChars="200"/>
              <w:jc w:val="both"/>
              <w:rPr>
                <w:rFonts w:hint="default" w:ascii="Times New Roman" w:hAnsi="Times New Roman" w:cs="Times New Roman"/>
                <w:color w:val="auto"/>
                <w:kern w:val="2"/>
                <w:sz w:val="16"/>
                <w:szCs w:val="16"/>
              </w:rPr>
            </w:pPr>
          </w:p>
        </w:tc>
      </w:tr>
    </w:tbl>
    <w:p>
      <w:pPr>
        <w:keepNext w:val="0"/>
        <w:keepLines w:val="0"/>
        <w:pageBreakBefore w:val="0"/>
        <w:widowControl/>
        <w:kinsoku/>
        <w:overflowPunct/>
        <w:topLinePunct w:val="0"/>
        <w:autoSpaceDN/>
        <w:bidi w:val="0"/>
        <w:adjustRightInd/>
        <w:spacing w:beforeAutospacing="0" w:afterAutospacing="0" w:line="587" w:lineRule="exact"/>
        <w:ind w:firstLine="400" w:firstLineChars="200"/>
        <w:jc w:val="both"/>
        <w:rPr>
          <w:rFonts w:hint="default" w:ascii="Times New Roman" w:hAnsi="Times New Roman" w:cs="Times New Roman"/>
          <w:color w:val="auto"/>
        </w:rPr>
      </w:pPr>
      <w:r>
        <w:rPr>
          <w:rFonts w:hint="default" w:ascii="Times New Roman" w:hAnsi="Times New Roman" w:cs="Times New Roman"/>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footerReference r:id="rId5" w:type="default"/>
      <w:pgSz w:w="16783" w:h="11850" w:orient="landscape"/>
      <w:pgMar w:top="1928" w:right="1474" w:bottom="1984" w:left="1531"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37.1pt;width:39.7pt;mso-position-horizontal:outside;mso-position-horizontal-relative:margin;z-index:251661312;mso-width-relative:page;mso-height-relative:page;" filled="f" stroked="f" coordsize="21600,21600">
          <v:path/>
          <v:fill on="f" focussize="0,0"/>
          <v:stroke on="f" weight="0.5pt"/>
          <v:imagedata o:title=""/>
          <o:lock v:ext="edit" aspectratio="f"/>
          <v:textbox inset="0mm,0mm,0mm,0mm">
            <w:txbxContent>
              <w:p>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- 24 -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3"/>
                  <w:rPr>
                    <w:rFonts w:hint="default"/>
                    <w:sz w:val="28"/>
                    <w:szCs w:val="28"/>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25 -</w:t>
                </w:r>
                <w:r>
                  <w:rPr>
                    <w:sz w:val="28"/>
                    <w:szCs w:val="28"/>
                  </w:rPr>
                  <w:fldChar w:fldCharType="end"/>
                </w:r>
                <w:r>
                  <w:rPr>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12E01BF1"/>
    <w:multiLevelType w:val="singleLevel"/>
    <w:tmpl w:val="12E01BF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wYzg4OGUwZDZmNzczMGJkNzUyMDhjOGZlNDEzZjA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A8406D"/>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5323FE"/>
    <w:rsid w:val="1890511D"/>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996F5F"/>
    <w:rsid w:val="21335E91"/>
    <w:rsid w:val="21556F04"/>
    <w:rsid w:val="22403BD3"/>
    <w:rsid w:val="23DA37D9"/>
    <w:rsid w:val="24B92327"/>
    <w:rsid w:val="24C14514"/>
    <w:rsid w:val="2533755C"/>
    <w:rsid w:val="25791755"/>
    <w:rsid w:val="26396DF4"/>
    <w:rsid w:val="27167136"/>
    <w:rsid w:val="27B23302"/>
    <w:rsid w:val="29310A5F"/>
    <w:rsid w:val="29C37A35"/>
    <w:rsid w:val="29EB0F24"/>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17AD5"/>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774E87"/>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4FC197C"/>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1E57E3"/>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BC5C0B"/>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CDF007C"/>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BF8745B"/>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12512</Words>
  <Characters>16053</Characters>
  <Lines>194</Lines>
  <Paragraphs>54</Paragraphs>
  <TotalTime>1</TotalTime>
  <ScaleCrop>false</ScaleCrop>
  <LinksUpToDate>false</LinksUpToDate>
  <CharactersWithSpaces>17225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2024-09-27T01:28:10Z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BB46EABDBB2749749395447164B066B3_12</vt:lpwstr>
  </property>
</Properties>
</file>