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中国共产党丰都县委员会政法委员会（本级）</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ind w:firstLine="630" w:firstLineChars="196"/>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widowControl w:val="0"/>
        <w:snapToGrid w:val="0"/>
        <w:spacing w:line="570" w:lineRule="exact"/>
        <w:ind w:firstLine="640" w:firstLineChars="200"/>
        <w:jc w:val="both"/>
        <w:rPr>
          <w:rFonts w:hint="default" w:ascii="Times New Roman" w:hAnsi="Times New Roman" w:eastAsia="方正楷体_GBK"/>
          <w:sz w:val="32"/>
          <w:szCs w:val="32"/>
        </w:rPr>
      </w:pPr>
      <w:r>
        <w:rPr>
          <w:rFonts w:ascii="方正仿宋_GBK" w:hAnsi="方正仿宋_GBK" w:eastAsia="方正仿宋_GBK" w:cs="方正仿宋_GBK"/>
          <w:sz w:val="32"/>
          <w:szCs w:val="32"/>
        </w:rPr>
        <w:t>县委政法委是县委领导政法工作的职能部门，为正科级，列县委工作机关序列。近年来，县委政法委始终坚持党对政法工作的绝对领导，把党的绝对领导落实到政法工</w:t>
      </w:r>
      <w:bookmarkStart w:id="0" w:name="_GoBack"/>
      <w:bookmarkEnd w:id="0"/>
      <w:r>
        <w:rPr>
          <w:rFonts w:ascii="方正仿宋_GBK" w:hAnsi="方正仿宋_GBK" w:eastAsia="方正仿宋_GBK" w:cs="方正仿宋_GBK"/>
          <w:sz w:val="32"/>
          <w:szCs w:val="32"/>
        </w:rPr>
        <w:t>作各方面和全过程，以更加坚定的信念决心、更加有力的工作举措、更加完善的体制机制持续推动政法工作，为推动丰都经济社会持续健康稳定发展提供坚强有力保障。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594" w:lineRule="exact"/>
        <w:ind w:firstLine="640" w:firstLineChars="200"/>
        <w:rPr>
          <w:rFonts w:hint="default" w:ascii="Times New Roman" w:hAnsi="Times New Roman" w:eastAsia="方正楷体_GBK"/>
          <w:sz w:val="32"/>
          <w:szCs w:val="32"/>
        </w:rPr>
      </w:pPr>
      <w:r>
        <w:rPr>
          <w:rFonts w:hint="default" w:ascii="方正仿宋_GBK" w:hAnsi="方正仿宋_GBK" w:eastAsia="方正仿宋_GBK" w:cs="方正仿宋_GBK"/>
          <w:sz w:val="32"/>
          <w:szCs w:val="32"/>
        </w:rPr>
        <w:t>县委</w:t>
      </w:r>
      <w:r>
        <w:rPr>
          <w:rFonts w:ascii="方正仿宋_GBK" w:hAnsi="方正仿宋_GBK" w:eastAsia="方正仿宋_GBK" w:cs="方正仿宋_GBK"/>
          <w:sz w:val="32"/>
          <w:szCs w:val="32"/>
        </w:rPr>
        <w:t>政法委设办公室、政治处、维稳安全科、基层指导科、执法监督科5个内设机构，核定委机关行政编制13名（实有1</w:t>
      </w:r>
      <w:r>
        <w:rPr>
          <w:rFonts w:hint="default" w:ascii="方正仿宋_GBK" w:hAnsi="方正仿宋_GBK" w:eastAsia="方正仿宋_GBK" w:cs="方正仿宋_GBK"/>
          <w:sz w:val="32"/>
          <w:szCs w:val="32"/>
        </w:rPr>
        <w:t>2</w:t>
      </w:r>
      <w:r>
        <w:rPr>
          <w:rFonts w:ascii="方正仿宋_GBK" w:hAnsi="方正仿宋_GBK" w:eastAsia="方正仿宋_GBK" w:cs="方正仿宋_GBK"/>
          <w:sz w:val="32"/>
          <w:szCs w:val="32"/>
        </w:rPr>
        <w:t>名，空缺</w:t>
      </w:r>
      <w:r>
        <w:rPr>
          <w:rFonts w:hint="default" w:ascii="方正仿宋_GBK" w:hAnsi="方正仿宋_GBK" w:eastAsia="方正仿宋_GBK" w:cs="方正仿宋_GBK"/>
          <w:sz w:val="32"/>
          <w:szCs w:val="32"/>
        </w:rPr>
        <w:t>1</w:t>
      </w:r>
      <w:r>
        <w:rPr>
          <w:rFonts w:ascii="方正仿宋_GBK" w:hAnsi="方正仿宋_GBK" w:eastAsia="方正仿宋_GBK" w:cs="方正仿宋_GBK"/>
          <w:sz w:val="32"/>
          <w:szCs w:val="32"/>
        </w:rPr>
        <w:t>名），机关工勤编制1名（实有1名）。领导职数配备书记1名（由县领导兼任），副书记3名，政治处主任1名。代管人民团体1个（县法学会），县法学会机关事业编制</w:t>
      </w:r>
      <w:r>
        <w:rPr>
          <w:rFonts w:hint="default" w:ascii="方正仿宋_GBK" w:hAnsi="方正仿宋_GBK" w:eastAsia="方正仿宋_GBK" w:cs="方正仿宋_GBK"/>
          <w:sz w:val="32"/>
          <w:szCs w:val="32"/>
        </w:rPr>
        <w:t>7</w:t>
      </w:r>
      <w:r>
        <w:rPr>
          <w:rFonts w:ascii="方正仿宋_GBK" w:hAnsi="方正仿宋_GBK" w:eastAsia="方正仿宋_GBK" w:cs="方正仿宋_GBK"/>
          <w:sz w:val="32"/>
          <w:szCs w:val="32"/>
        </w:rPr>
        <w:t>名</w:t>
      </w:r>
      <w:r>
        <w:rPr>
          <w:rFonts w:hint="default" w:ascii="方正仿宋_GBK" w:hAnsi="方正仿宋_GBK" w:eastAsia="方正仿宋_GBK" w:cs="方正仿宋_GBK"/>
          <w:sz w:val="32"/>
          <w:szCs w:val="32"/>
        </w:rPr>
        <w:t>（实有3名，空缺4名）</w:t>
      </w:r>
      <w:r>
        <w:rPr>
          <w:rFonts w:ascii="方正仿宋_GBK" w:hAnsi="方正仿宋_GBK" w:eastAsia="方正仿宋_GBK" w:cs="方正仿宋_GBK"/>
          <w:sz w:val="32"/>
          <w:szCs w:val="32"/>
        </w:rPr>
        <w:t>。</w:t>
      </w:r>
      <w:r>
        <w:rPr>
          <w:rFonts w:hint="default" w:eastAsia="方正仿宋_GBK"/>
          <w:sz w:val="32"/>
          <w:szCs w:val="32"/>
        </w:rPr>
        <w:t>县委平安办、县扫黑办</w:t>
      </w:r>
      <w:r>
        <w:rPr>
          <w:rFonts w:eastAsia="方正仿宋_GBK"/>
          <w:sz w:val="32"/>
          <w:szCs w:val="32"/>
        </w:rPr>
        <w:t>设在县委政法委，</w:t>
      </w:r>
      <w:r>
        <w:rPr>
          <w:rFonts w:hint="default" w:eastAsia="方正仿宋_GBK"/>
          <w:sz w:val="32"/>
          <w:szCs w:val="32"/>
        </w:rPr>
        <w:t>由县委政法委</w:t>
      </w:r>
      <w:r>
        <w:rPr>
          <w:rFonts w:eastAsia="方正仿宋_GBK"/>
          <w:sz w:val="32"/>
          <w:szCs w:val="32"/>
        </w:rPr>
        <w:t>承担</w:t>
      </w:r>
      <w:r>
        <w:rPr>
          <w:rFonts w:hint="default" w:eastAsia="方正仿宋_GBK"/>
          <w:sz w:val="32"/>
          <w:szCs w:val="32"/>
        </w:rPr>
        <w:t>相应日常</w:t>
      </w:r>
      <w:r>
        <w:rPr>
          <w:rFonts w:eastAsia="方正仿宋_GBK"/>
          <w:sz w:val="32"/>
          <w:szCs w:val="32"/>
        </w:rPr>
        <w:t>工作</w:t>
      </w:r>
      <w:r>
        <w:rPr>
          <w:rFonts w:hint="default" w:ascii="仿宋_GB2312" w:hAnsi="仿宋_GB2312" w:eastAsia="仿宋_GB2312" w:cs="仿宋_GB2312"/>
          <w:kern w:val="2"/>
          <w:sz w:val="32"/>
          <w:szCs w:val="22"/>
        </w:rPr>
        <w:t>。</w:t>
      </w:r>
    </w:p>
    <w:p>
      <w:pPr>
        <w:pStyle w:val="6"/>
        <w:shd w:val="clear" w:color="auto" w:fill="FFFFFF"/>
        <w:ind w:firstLine="790" w:firstLineChars="246"/>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2023年度收入总计636.60万元，支出总计</w:t>
      </w:r>
      <w:r>
        <w:rPr>
          <w:rFonts w:ascii="方正仿宋_GBK" w:hAnsi="方正仿宋_GBK" w:eastAsia="方正仿宋_GBK" w:cs="方正仿宋_GBK"/>
          <w:sz w:val="32"/>
          <w:szCs w:val="32"/>
        </w:rPr>
        <w:t>636.60</w:t>
      </w:r>
      <w:r>
        <w:rPr>
          <w:rFonts w:ascii="方正仿宋_GBK" w:hAnsi="方正仿宋_GBK" w:eastAsia="方正仿宋_GBK" w:cs="方正仿宋_GBK"/>
          <w:sz w:val="32"/>
          <w:szCs w:val="32"/>
          <w:shd w:val="clear" w:color="auto" w:fill="FFFFFF"/>
        </w:rPr>
        <w:t>万元。收支较上年决算数增加186.33万元，增长41.38%，主要原因</w:t>
      </w:r>
      <w:r>
        <w:rPr>
          <w:rFonts w:ascii="方正仿宋_GBK" w:eastAsia="方正仿宋_GBK"/>
          <w:sz w:val="32"/>
          <w:szCs w:val="32"/>
        </w:rPr>
        <w:t>是调整预算收入增加了清算以前年度的单位职工的绩效奖，补缴了以前年度的职业年金，补缴了上年度的养老保险职业年金，退休职工丧葬费、2022年度</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安保、疫情防控经费、养老诈骗等项目支出纳入2023年支出等项目。</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2023年度收入合计623.57万元，较上年决算数增加187.80万元，增长43.10%，</w:t>
      </w:r>
      <w:r>
        <w:rPr>
          <w:rFonts w:hint="eastAsia" w:ascii="方正仿宋_GBK" w:hAnsi="方正仿宋_GBK" w:eastAsia="方正仿宋_GBK" w:cs="方正仿宋_GBK"/>
          <w:sz w:val="32"/>
          <w:szCs w:val="32"/>
          <w:shd w:val="clear" w:color="auto" w:fill="FFFFFF"/>
          <w:lang w:eastAsia="zh-CN"/>
        </w:rPr>
        <w:t>主要原因是</w:t>
      </w:r>
      <w:r>
        <w:rPr>
          <w:rFonts w:ascii="方正仿宋_GBK" w:eastAsia="方正仿宋_GBK"/>
          <w:sz w:val="32"/>
          <w:szCs w:val="32"/>
        </w:rPr>
        <w:t>调整预算收入增加了清算了以前年度的单位职工的绩效奖，补缴了以前年度的职业年金，补缴了上年度的养老保险职业年金，退休职工丧葬费等项目。</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623.57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13.03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636.60</w:t>
      </w:r>
      <w:r>
        <w:rPr>
          <w:rFonts w:ascii="方正仿宋_GBK" w:hAnsi="方正仿宋_GBK" w:eastAsia="方正仿宋_GBK" w:cs="方正仿宋_GBK"/>
          <w:sz w:val="32"/>
          <w:szCs w:val="32"/>
          <w:shd w:val="clear" w:color="auto" w:fill="FFFFFF"/>
        </w:rPr>
        <w:t>万元，较上年决算数增加186.33万元，增长41.38%，</w:t>
      </w:r>
      <w:r>
        <w:rPr>
          <w:rFonts w:ascii="方正仿宋_GBK" w:eastAsia="方正仿宋_GBK"/>
          <w:sz w:val="32"/>
          <w:szCs w:val="32"/>
        </w:rPr>
        <w:t>主要原因是2023年度人员经费支出增加90余万元，2022年度发生的</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安保、疫情防控经费、养老诈骗等项目支出87.84万元纳入2023年支出。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478.94</w:t>
      </w:r>
      <w:r>
        <w:rPr>
          <w:rFonts w:ascii="方正仿宋_GBK" w:hAnsi="方正仿宋_GBK" w:eastAsia="方正仿宋_GBK" w:cs="方正仿宋_GBK"/>
          <w:sz w:val="32"/>
          <w:szCs w:val="32"/>
          <w:shd w:val="clear" w:color="auto" w:fill="FFFFFF"/>
        </w:rPr>
        <w:t>万元，占75.23%；项目支出</w:t>
      </w:r>
      <w:r>
        <w:rPr>
          <w:rFonts w:ascii="方正仿宋_GBK" w:hAnsi="方正仿宋_GBK" w:eastAsia="方正仿宋_GBK" w:cs="方正仿宋_GBK"/>
          <w:sz w:val="32"/>
          <w:szCs w:val="32"/>
        </w:rPr>
        <w:t>157.66</w:t>
      </w:r>
      <w:r>
        <w:rPr>
          <w:rFonts w:ascii="方正仿宋_GBK" w:hAnsi="方正仿宋_GBK" w:eastAsia="方正仿宋_GBK" w:cs="方正仿宋_GBK"/>
          <w:sz w:val="32"/>
          <w:szCs w:val="32"/>
          <w:shd w:val="clear" w:color="auto" w:fill="FFFFFF"/>
        </w:rPr>
        <w:t>万元，占24.77%；经营支出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年</w:t>
      </w:r>
      <w:r>
        <w:rPr>
          <w:rFonts w:ascii="方正仿宋_GBK" w:eastAsia="方正仿宋_GBK"/>
          <w:sz w:val="32"/>
          <w:szCs w:val="32"/>
        </w:rPr>
        <w:t>度年末结转和结余</w:t>
      </w:r>
      <w:r>
        <w:rPr>
          <w:rFonts w:hint="eastAsia" w:ascii="方正仿宋_GBK" w:eastAsia="方正仿宋_GBK"/>
          <w:sz w:val="32"/>
          <w:szCs w:val="32"/>
          <w:lang w:val="en-US" w:eastAsia="zh-CN"/>
        </w:rPr>
        <w:t>0</w:t>
      </w:r>
      <w:r>
        <w:rPr>
          <w:rFonts w:ascii="方正仿宋_GBK" w:eastAsia="方正仿宋_GBK"/>
          <w:sz w:val="32"/>
          <w:szCs w:val="32"/>
        </w:rPr>
        <w:t>万元，</w:t>
      </w:r>
      <w:r>
        <w:rPr>
          <w:rFonts w:hint="eastAsia" w:ascii="方正仿宋_GBK" w:eastAsia="方正仿宋_GBK"/>
          <w:sz w:val="32"/>
          <w:szCs w:val="32"/>
        </w:rPr>
        <w:t>与</w:t>
      </w:r>
      <w:r>
        <w:rPr>
          <w:rFonts w:ascii="方正仿宋_GBK" w:eastAsia="方正仿宋_GBK"/>
          <w:sz w:val="32"/>
          <w:szCs w:val="32"/>
        </w:rPr>
        <w:t>上年决算数</w:t>
      </w:r>
      <w:r>
        <w:rPr>
          <w:rFonts w:hint="eastAsia" w:ascii="方正仿宋_GBK" w:eastAsia="方正仿宋_GBK"/>
          <w:sz w:val="32"/>
          <w:szCs w:val="32"/>
        </w:rPr>
        <w:t>持平。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2023年度财政拨款收、支总计636.60万元。与2022年相比，财政拨款收、支总计各增加186.33万元，增长41.38%。</w:t>
      </w:r>
      <w:r>
        <w:rPr>
          <w:rFonts w:ascii="方正仿宋_GBK" w:eastAsia="方正仿宋_GBK"/>
          <w:sz w:val="32"/>
          <w:szCs w:val="32"/>
        </w:rPr>
        <w:t>主要原因是2023年度人员经费支出增加90余万元，2022年度发生的</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安保、疫情防控经费、养老诈骗等项目支出87.84万元纳入2023年支出。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623.57</w:t>
      </w:r>
      <w:r>
        <w:rPr>
          <w:rFonts w:ascii="方正仿宋_GBK" w:hAnsi="方正仿宋_GBK" w:eastAsia="方正仿宋_GBK" w:cs="方正仿宋_GBK"/>
          <w:sz w:val="32"/>
          <w:szCs w:val="32"/>
          <w:shd w:val="clear" w:color="auto" w:fill="FFFFFF"/>
        </w:rPr>
        <w:t>万元，较上年决算数增加187.80万元，增长43.10%。</w:t>
      </w:r>
      <w:r>
        <w:rPr>
          <w:rFonts w:ascii="方正仿宋_GBK" w:eastAsia="方正仿宋_GBK"/>
          <w:sz w:val="32"/>
          <w:szCs w:val="32"/>
        </w:rPr>
        <w:t>主要原因是2023年度人员经费支出增加90余万元，2022年度发生的</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安保、疫情防控经费、养老诈骗等项目支出87.84万元纳入2023年支出。</w:t>
      </w:r>
      <w:r>
        <w:rPr>
          <w:rFonts w:ascii="方正仿宋_GBK" w:hAnsi="方正仿宋_GBK" w:eastAsia="方正仿宋_GBK" w:cs="方正仿宋_GBK"/>
          <w:sz w:val="32"/>
          <w:szCs w:val="32"/>
          <w:shd w:val="clear" w:color="auto" w:fill="FFFFFF"/>
        </w:rPr>
        <w:t>较年初预算数减少23.30万元，下降3.60%。主要原因是年初预算的流动人口和铁路护路员工资及五险指标划拨给相关乡镇。此外，年初财政拨款结转和结余</w:t>
      </w:r>
      <w:r>
        <w:rPr>
          <w:rFonts w:ascii="方正仿宋_GBK" w:hAnsi="方正仿宋_GBK" w:eastAsia="方正仿宋_GBK" w:cs="方正仿宋_GBK"/>
          <w:sz w:val="32"/>
          <w:szCs w:val="32"/>
        </w:rPr>
        <w:t>13.03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636.60</w:t>
      </w:r>
      <w:r>
        <w:rPr>
          <w:rFonts w:ascii="方正仿宋_GBK" w:hAnsi="方正仿宋_GBK" w:eastAsia="方正仿宋_GBK" w:cs="方正仿宋_GBK"/>
          <w:sz w:val="32"/>
          <w:szCs w:val="32"/>
          <w:shd w:val="clear" w:color="auto" w:fill="FFFFFF"/>
        </w:rPr>
        <w:t>万元，较上年决算数增加186.33万元，增长41.38%。</w:t>
      </w:r>
      <w:r>
        <w:rPr>
          <w:rFonts w:hint="eastAsia" w:ascii="方正仿宋_GBK" w:hAnsi="方正仿宋_GBK" w:eastAsia="方正仿宋_GBK" w:cs="方正仿宋_GBK"/>
          <w:sz w:val="32"/>
          <w:szCs w:val="32"/>
          <w:shd w:val="clear" w:color="auto" w:fill="FFFFFF"/>
          <w:lang w:eastAsia="zh-CN"/>
        </w:rPr>
        <w:t>主要原因是</w:t>
      </w:r>
      <w:r>
        <w:rPr>
          <w:rFonts w:ascii="方正仿宋_GBK" w:eastAsia="方正仿宋_GBK"/>
          <w:sz w:val="32"/>
          <w:szCs w:val="32"/>
        </w:rPr>
        <w:t>2023年度人员经费支出增加90余万元，2022年度发生的</w:t>
      </w:r>
      <w:r>
        <w:rPr>
          <w:rFonts w:hint="eastAsia" w:ascii="方正仿宋_GBK" w:eastAsia="方正仿宋_GBK"/>
          <w:sz w:val="32"/>
          <w:szCs w:val="32"/>
          <w:lang w:eastAsia="zh-CN"/>
        </w:rPr>
        <w:t>党的二十大</w:t>
      </w:r>
      <w:r>
        <w:rPr>
          <w:rFonts w:ascii="方正仿宋_GBK" w:eastAsia="方正仿宋_GBK"/>
          <w:sz w:val="32"/>
          <w:szCs w:val="32"/>
        </w:rPr>
        <w:t>安保、疫情防控经费、养老诈骗等项目支出87.84万元纳入2023年支出。</w:t>
      </w:r>
      <w:r>
        <w:rPr>
          <w:rFonts w:ascii="方正仿宋_GBK" w:hAnsi="方正仿宋_GBK" w:eastAsia="方正仿宋_GBK" w:cs="方正仿宋_GBK"/>
          <w:sz w:val="32"/>
          <w:szCs w:val="32"/>
          <w:shd w:val="clear" w:color="auto" w:fill="FFFFFF"/>
        </w:rPr>
        <w:t>较年初预算数减少10.27万元，下降1.59%。主要原因是年初预算的流动人口和铁路护路员工资及五险指标划拨给相关乡镇。</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2022年度与2023年度均无结转结余。</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r>
        <w:rPr>
          <w:rFonts w:ascii="方正仿宋_GBK" w:hAnsi="方正仿宋_GBK" w:eastAsia="方正仿宋_GBK" w:cs="方正仿宋_GBK"/>
          <w:color w:val="FF0000"/>
          <w:sz w:val="32"/>
          <w:szCs w:val="32"/>
          <w:shd w:val="clear" w:color="auto" w:fill="FFFFFF"/>
        </w:rPr>
        <w:t xml:space="preserve"> </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（1）公共安全支出</w:t>
      </w:r>
      <w:r>
        <w:rPr>
          <w:rFonts w:ascii="方正仿宋_GBK" w:hAnsi="方正仿宋_GBK" w:eastAsia="方正仿宋_GBK" w:cs="方正仿宋_GBK"/>
          <w:sz w:val="32"/>
          <w:szCs w:val="32"/>
        </w:rPr>
        <w:t>479.32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75.29</w:t>
      </w:r>
      <w:r>
        <w:rPr>
          <w:rFonts w:ascii="方正仿宋_GBK" w:hAnsi="方正仿宋_GBK" w:eastAsia="方正仿宋_GBK" w:cs="方正仿宋_GBK"/>
          <w:sz w:val="32"/>
          <w:szCs w:val="32"/>
          <w:shd w:val="clear" w:color="auto" w:fill="FFFFFF"/>
        </w:rPr>
        <w:t>%，较年初预算数减少53.38万元，下降10.02%，主要原因是年初预算的流动人口和铁路护路员工资及五险指标划拨给相关乡镇。</w:t>
      </w:r>
    </w:p>
    <w:p>
      <w:pPr>
        <w:pStyle w:val="6"/>
        <w:snapToGrid w:val="0"/>
        <w:spacing w:before="0" w:beforeAutospacing="0" w:after="0" w:afterAutospacing="0" w:line="600" w:lineRule="exac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114.57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%，较年初预算数增加43.40万元，增长60.98%，</w:t>
      </w:r>
      <w:r>
        <w:rPr>
          <w:rFonts w:ascii="方正仿宋_GBK" w:eastAsia="方正仿宋_GBK"/>
          <w:sz w:val="32"/>
          <w:szCs w:val="32"/>
        </w:rPr>
        <w:t>主要原因是健康休养费、养老保险、职业年金增加支出预算增加；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17.56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2.76</w:t>
      </w:r>
      <w:r>
        <w:rPr>
          <w:rFonts w:ascii="方正仿宋_GBK" w:hAnsi="方正仿宋_GBK" w:eastAsia="方正仿宋_GBK" w:cs="方正仿宋_GBK"/>
          <w:sz w:val="32"/>
          <w:szCs w:val="32"/>
          <w:shd w:val="clear" w:color="auto" w:fill="FFFFFF"/>
        </w:rPr>
        <w:t>%，较年初预算数无增减，主要原因是</w:t>
      </w:r>
      <w:r>
        <w:rPr>
          <w:rFonts w:ascii="方正仿宋_GBK" w:eastAsia="方正仿宋_GBK"/>
          <w:sz w:val="32"/>
          <w:szCs w:val="32"/>
        </w:rPr>
        <w:t>年初预算严格按照工资预算</w:t>
      </w:r>
    </w:p>
    <w:p>
      <w:pPr>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住房保障支出25.15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%，较年初预算数减少0.29万元，下降1.14%，主要原因</w:t>
      </w:r>
      <w:r>
        <w:rPr>
          <w:rFonts w:ascii="方正仿宋_GBK" w:eastAsia="方正仿宋_GBK"/>
          <w:sz w:val="32"/>
          <w:szCs w:val="32"/>
        </w:rPr>
        <w:t>是代扣了以前年度多缴纳职工住房公积金。</w:t>
      </w:r>
    </w:p>
    <w:p>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478.94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436.79</w:t>
      </w:r>
      <w:r>
        <w:rPr>
          <w:rFonts w:ascii="方正仿宋_GBK" w:hAnsi="方正仿宋_GBK" w:eastAsia="方正仿宋_GBK" w:cs="方正仿宋_GBK"/>
          <w:sz w:val="32"/>
          <w:szCs w:val="32"/>
          <w:shd w:val="clear" w:color="auto" w:fill="FFFFFF"/>
        </w:rPr>
        <w:t>万元，较上年决算数增加90.49万元，增长26.13%，主要原因是</w:t>
      </w:r>
      <w:r>
        <w:rPr>
          <w:rFonts w:ascii="方正仿宋_GBK" w:eastAsia="方正仿宋_GBK"/>
          <w:sz w:val="32"/>
          <w:szCs w:val="32"/>
        </w:rPr>
        <w:t>增加了清算以前年度的单位职工的绩效奖，补缴了以前年度的职业年金，补缴了上年度的养老保险职业年金，退休职工丧葬费。</w:t>
      </w:r>
      <w:r>
        <w:rPr>
          <w:rFonts w:ascii="方正仿宋_GBK" w:hAnsi="方正仿宋_GBK" w:eastAsia="方正仿宋_GBK" w:cs="方正仿宋_GBK"/>
          <w:sz w:val="32"/>
          <w:szCs w:val="32"/>
          <w:shd w:val="clear" w:color="auto" w:fill="FFFFFF"/>
        </w:rPr>
        <w:t>人员</w:t>
      </w:r>
      <w:r>
        <w:rPr>
          <w:rFonts w:ascii="方正仿宋_GBK" w:eastAsia="方正仿宋_GBK"/>
          <w:sz w:val="32"/>
          <w:szCs w:val="32"/>
        </w:rPr>
        <w:t>经费用途主要包括基本工资、津贴补贴、奖金、机关事业单位基本养老保险缴费、职业年金缴费、职工基本医疗保险缴费、其他社会保障缴费、住房公积金、医疗费、抚恤金等。公</w:t>
      </w:r>
      <w:r>
        <w:rPr>
          <w:rFonts w:ascii="方正仿宋_GBK" w:hAnsi="方正仿宋_GBK" w:eastAsia="方正仿宋_GBK" w:cs="方正仿宋_GBK"/>
          <w:sz w:val="32"/>
          <w:szCs w:val="32"/>
          <w:shd w:val="clear" w:color="auto" w:fill="FFFFFF"/>
        </w:rPr>
        <w:t>用经费</w:t>
      </w:r>
      <w:r>
        <w:rPr>
          <w:rFonts w:ascii="方正仿宋_GBK" w:hAnsi="方正仿宋_GBK" w:eastAsia="方正仿宋_GBK" w:cs="方正仿宋_GBK"/>
          <w:sz w:val="32"/>
          <w:szCs w:val="32"/>
        </w:rPr>
        <w:t>42.15</w:t>
      </w:r>
      <w:r>
        <w:rPr>
          <w:rFonts w:ascii="方正仿宋_GBK" w:hAnsi="方正仿宋_GBK" w:eastAsia="方正仿宋_GBK" w:cs="方正仿宋_GBK"/>
          <w:sz w:val="32"/>
          <w:szCs w:val="32"/>
          <w:shd w:val="clear" w:color="auto" w:fill="FFFFFF"/>
        </w:rPr>
        <w:t>万元，较上年决算数增加11.00万元，增长35.31%，主要原</w:t>
      </w:r>
      <w:r>
        <w:rPr>
          <w:rFonts w:ascii="方正仿宋_GBK" w:eastAsia="方正仿宋_GBK"/>
          <w:sz w:val="32"/>
          <w:szCs w:val="32"/>
        </w:rPr>
        <w:t>因是未联</w:t>
      </w:r>
      <w:r>
        <w:rPr>
          <w:rFonts w:ascii="方正仿宋_GBK" w:hAnsi="方正仿宋_GBK" w:eastAsia="方正仿宋_GBK" w:cs="方正仿宋_GBK"/>
          <w:sz w:val="32"/>
          <w:szCs w:val="32"/>
          <w:shd w:val="clear" w:color="auto" w:fill="FFFFFF"/>
        </w:rPr>
        <w:t>办实体化运行，公用支出增加，公用经费用途主要包括办公费、印刷费、水费、电费、邮电费、差旅费、培训费、工会经费、福利费、公务用车运行维护费、其他交通费等。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ind w:firstLine="630" w:firstLineChars="196"/>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万元，较年初预算数减少6.20万元，下降43.66%，主要原因按照过紧日子的要求，厉行节约。较上年支出数增加2.72万元，增长51.52%，</w:t>
      </w:r>
      <w:r>
        <w:rPr>
          <w:rFonts w:ascii="方正仿宋_GBK" w:hAnsi="仿宋" w:eastAsia="方正仿宋_GBK" w:cs="仿宋"/>
          <w:color w:val="000000"/>
          <w:sz w:val="32"/>
          <w:szCs w:val="32"/>
        </w:rPr>
        <w:t>主要原因是本年度支付了去年发生的接待费用，导致本年度公务接待费用增加以及我单位公车使用多年，本年度修理费略有增加。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仿宋" w:eastAsia="方正仿宋_GBK" w:cs="仿宋"/>
          <w:color w:val="000000"/>
          <w:sz w:val="32"/>
          <w:szCs w:val="32"/>
        </w:rPr>
        <w:t>本单位202</w:t>
      </w:r>
      <w:r>
        <w:rPr>
          <w:rFonts w:hint="eastAsia" w:ascii="方正仿宋_GBK" w:hAnsi="仿宋" w:eastAsia="方正仿宋_GBK" w:cs="仿宋"/>
          <w:color w:val="000000"/>
          <w:sz w:val="32"/>
          <w:szCs w:val="32"/>
        </w:rPr>
        <w:t>3</w:t>
      </w:r>
      <w:r>
        <w:rPr>
          <w:rFonts w:ascii="方正仿宋_GBK" w:hAnsi="仿宋" w:eastAsia="方正仿宋_GBK" w:cs="仿宋"/>
          <w:color w:val="000000"/>
          <w:sz w:val="32"/>
          <w:szCs w:val="32"/>
        </w:rPr>
        <w:t>年度未发生因公出国（境）费用支出</w:t>
      </w:r>
      <w:r>
        <w:rPr>
          <w:rFonts w:hint="eastAsia" w:ascii="方正仿宋_GBK" w:hAnsi="仿宋" w:eastAsia="方正仿宋_GBK" w:cs="仿宋"/>
          <w:color w:val="000000"/>
          <w:sz w:val="32"/>
          <w:szCs w:val="32"/>
        </w:rPr>
        <w:t>，与上年决算数持平。</w:t>
      </w:r>
    </w:p>
    <w:p>
      <w:pPr>
        <w:pStyle w:val="6"/>
        <w:snapToGrid w:val="0"/>
        <w:spacing w:before="0" w:beforeAutospacing="0" w:after="0" w:afterAutospacing="0" w:line="600" w:lineRule="exact"/>
        <w:ind w:firstLine="640" w:firstLineChars="200"/>
        <w:jc w:val="both"/>
        <w:rPr>
          <w:rFonts w:ascii="方正仿宋_GBK" w:hAnsi="仿宋" w:eastAsia="方正仿宋_GBK" w:cs="仿宋"/>
          <w:color w:val="000000"/>
          <w:sz w:val="32"/>
          <w:szCs w:val="32"/>
        </w:rPr>
      </w:pPr>
      <w:r>
        <w:rPr>
          <w:rFonts w:ascii="方正仿宋_GBK" w:hAnsi="仿宋" w:eastAsia="方正仿宋_GBK" w:cs="仿宋"/>
          <w:color w:val="000000"/>
          <w:sz w:val="32"/>
          <w:szCs w:val="32"/>
        </w:rPr>
        <w:t>本单位202</w:t>
      </w:r>
      <w:r>
        <w:rPr>
          <w:rFonts w:hint="eastAsia" w:ascii="方正仿宋_GBK" w:hAnsi="仿宋" w:eastAsia="方正仿宋_GBK" w:cs="仿宋"/>
          <w:color w:val="000000"/>
          <w:sz w:val="32"/>
          <w:szCs w:val="32"/>
        </w:rPr>
        <w:t>3</w:t>
      </w:r>
      <w:r>
        <w:rPr>
          <w:rFonts w:ascii="方正仿宋_GBK" w:hAnsi="仿宋" w:eastAsia="方正仿宋_GBK" w:cs="仿宋"/>
          <w:color w:val="000000"/>
          <w:sz w:val="32"/>
          <w:szCs w:val="32"/>
        </w:rPr>
        <w:t>年度未发生公务车购置费用支出</w:t>
      </w:r>
      <w:r>
        <w:rPr>
          <w:rFonts w:hint="eastAsia" w:ascii="方正仿宋_GBK" w:hAnsi="仿宋" w:eastAsia="方正仿宋_GBK" w:cs="仿宋"/>
          <w:color w:val="000000"/>
          <w:sz w:val="32"/>
          <w:szCs w:val="32"/>
        </w:rPr>
        <w:t>，与上年决算数持平。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4.05万元，主要用于单位公车燃油费、保险费、过路过桥费、修理费等。费用支出较年初预算数增加0.05万元，增长1.25%，主要原因是我单位公车使用年限较长，本年度车辆维修费较高，较上年支出数增加0.12万元，增长3.05%，主要原因是我单位公车使用年限较长，本年度车辆维修费较高。</w:t>
      </w:r>
    </w:p>
    <w:p>
      <w:pPr>
        <w:pStyle w:val="6"/>
        <w:snapToGrid w:val="0"/>
        <w:spacing w:before="0" w:beforeAutospacing="0" w:after="0" w:afterAutospacing="0" w:line="600" w:lineRule="exact"/>
        <w:ind w:firstLine="640" w:firstLineChars="200"/>
        <w:jc w:val="both"/>
        <w:rPr>
          <w:rFonts w:ascii="方正仿宋_GBK" w:hAnsi="仿宋" w:eastAsia="方正仿宋_GBK" w:cs="仿宋"/>
          <w:color w:val="000000"/>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万元，主要用于接待上级单位来丰督查，费用支出较年初预算数减少6.25万元，下降61.27%，主要原因市按照过紧日子的要求，厉行节约。较上年支出数增加2.61万元，增长194.78%，主要原因</w:t>
      </w:r>
      <w:r>
        <w:rPr>
          <w:rFonts w:ascii="方正仿宋_GBK" w:hAnsi="仿宋" w:eastAsia="方正仿宋_GBK" w:cs="仿宋"/>
          <w:color w:val="000000"/>
          <w:sz w:val="32"/>
          <w:szCs w:val="32"/>
        </w:rPr>
        <w:t>是本年度支付了去年发生的接待费用，导致本年度公务接待费用增加</w:t>
      </w:r>
    </w:p>
    <w:p>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99.89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4.05</w:t>
      </w:r>
      <w:r>
        <w:rPr>
          <w:rFonts w:ascii="方正仿宋_GBK" w:hAnsi="方正仿宋_GBK" w:eastAsia="方正仿宋_GBK" w:cs="方正仿宋_GBK"/>
          <w:sz w:val="32"/>
          <w:szCs w:val="32"/>
          <w:shd w:val="clear" w:color="auto" w:fill="FFFFFF"/>
        </w:rPr>
        <w:t>万元。</w:t>
      </w:r>
    </w:p>
    <w:p>
      <w:pPr>
        <w:pStyle w:val="6"/>
        <w:shd w:val="clear" w:color="auto" w:fill="FFFFFF"/>
        <w:ind w:firstLine="790" w:firstLineChars="246"/>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472" w:firstLineChars="147"/>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1"/>
        <w:autoSpaceDE w:val="0"/>
        <w:ind w:firstLine="627" w:firstLineChars="196"/>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4.06</w:t>
      </w:r>
      <w:r>
        <w:rPr>
          <w:rFonts w:ascii="方正仿宋_GBK" w:hAnsi="方正仿宋_GBK" w:eastAsia="方正仿宋_GBK" w:cs="方正仿宋_GBK"/>
          <w:sz w:val="32"/>
          <w:szCs w:val="32"/>
          <w:shd w:val="clear" w:color="auto" w:fill="FFFFFF"/>
        </w:rPr>
        <w:t>万元，较上年决算数增加3.88万元，增长2155.56%，主要原因是</w:t>
      </w:r>
      <w:r>
        <w:rPr>
          <w:rFonts w:hint="eastAsia" w:ascii="方正仿宋_GBK" w:hAnsi="方正仿宋_GBK" w:eastAsia="方正仿宋_GBK" w:cs="方正仿宋_GBK"/>
          <w:sz w:val="32"/>
          <w:szCs w:val="32"/>
          <w:shd w:val="clear" w:color="auto" w:fill="FFFFFF"/>
        </w:rPr>
        <w:t>2022年度部分会议费用在2023年度发生支出，本年度新增了铁路护路工作会议支出，导致本年度会议费用增加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1.34</w:t>
      </w:r>
      <w:r>
        <w:rPr>
          <w:rFonts w:ascii="方正仿宋_GBK" w:hAnsi="方正仿宋_GBK" w:eastAsia="方正仿宋_GBK" w:cs="方正仿宋_GBK"/>
          <w:sz w:val="32"/>
          <w:szCs w:val="32"/>
          <w:shd w:val="clear" w:color="auto" w:fill="FFFFFF"/>
        </w:rPr>
        <w:t>万元，较上年决算数增加1.34万元，增长100.00%，主要原因是</w:t>
      </w:r>
      <w:r>
        <w:rPr>
          <w:rFonts w:hint="eastAsia" w:ascii="方正仿宋_GBK" w:hAnsi="方正仿宋_GBK" w:eastAsia="方正仿宋_GBK" w:cs="方正仿宋_GBK"/>
          <w:sz w:val="32"/>
          <w:szCs w:val="32"/>
          <w:shd w:val="clear" w:color="auto" w:fill="FFFFFF"/>
        </w:rPr>
        <w:t>上年度发生的培训费用在本年度发生支出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42.15</w:t>
      </w:r>
      <w:r>
        <w:rPr>
          <w:rFonts w:ascii="方正仿宋_GBK" w:hAnsi="方正仿宋_GBK" w:eastAsia="方正仿宋_GBK" w:cs="方正仿宋_GBK"/>
          <w:sz w:val="32"/>
          <w:szCs w:val="32"/>
          <w:shd w:val="clear" w:color="auto" w:fill="FFFFFF"/>
        </w:rPr>
        <w:t>万元，机关运行经费主要用于开支办公费、印刷费、水费、电费、邮电费、差旅费、培训费、工会经费、福利费、公务用车运行维护费、其他交通费用。机关运行经费较上年支出数增加11.00万元，增长35.31%，主要原因是</w:t>
      </w:r>
      <w:r>
        <w:rPr>
          <w:rFonts w:ascii="方正仿宋_GBK" w:eastAsia="方正仿宋_GBK"/>
          <w:sz w:val="32"/>
          <w:szCs w:val="32"/>
        </w:rPr>
        <w:t>未联</w:t>
      </w:r>
      <w:r>
        <w:rPr>
          <w:rFonts w:ascii="方正仿宋_GBK" w:hAnsi="方正仿宋_GBK" w:eastAsia="方正仿宋_GBK" w:cs="方正仿宋_GBK"/>
          <w:sz w:val="32"/>
          <w:szCs w:val="32"/>
          <w:shd w:val="clear" w:color="auto" w:fill="FFFFFF"/>
        </w:rPr>
        <w:t>办实体化运行，导致本单位机关运行经费增加。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shd w:val="clear" w:color="auto" w:fill="FFFFFF"/>
        <w:ind w:left="72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 xml:space="preserve">  五、预算绩效管理情况说明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（一）单位自评情绩效况</w:t>
      </w:r>
    </w:p>
    <w:p>
      <w:pPr>
        <w:pStyle w:val="12"/>
        <w:autoSpaceDE w:val="0"/>
        <w:spacing w:before="0" w:beforeAutospacing="0" w:line="600" w:lineRule="exact"/>
        <w:ind w:firstLine="800" w:firstLineChars="25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10个项目开展了绩效自评，涉及财政拨款项目支出资金157.66万元。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800" w:firstLineChars="25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我单位未组织开展绩效评价。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30" w:firstLineChars="196"/>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315" w:firstLineChars="98"/>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315" w:firstLineChars="98"/>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472" w:firstLineChars="147"/>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472" w:firstLineChars="147"/>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472" w:firstLineChars="147"/>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472" w:firstLineChars="147"/>
        <w:jc w:val="both"/>
        <w:rPr>
          <w:rFonts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吴让丹      </w:t>
      </w:r>
      <w:r>
        <w:rPr>
          <w:rFonts w:ascii="方正仿宋_GBK" w:hAnsi="方正仿宋_GBK" w:eastAsia="方正仿宋_GBK" w:cs="方正仿宋_GBK"/>
          <w:sz w:val="32"/>
          <w:szCs w:val="32"/>
          <w:shd w:val="clear" w:color="auto" w:fill="FFFFFF"/>
        </w:rPr>
        <w:t>023-70606816。</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tbl>
      <w:tblPr>
        <w:tblStyle w:val="7"/>
        <w:tblW w:w="10814" w:type="dxa"/>
        <w:tblInd w:w="0" w:type="dxa"/>
        <w:tblLayout w:type="fixed"/>
        <w:tblCellMar>
          <w:top w:w="0" w:type="dxa"/>
          <w:left w:w="0" w:type="dxa"/>
          <w:bottom w:w="0" w:type="dxa"/>
          <w:right w:w="0" w:type="dxa"/>
        </w:tblCellMar>
      </w:tblPr>
      <w:tblGrid>
        <w:gridCol w:w="3608"/>
        <w:gridCol w:w="1422"/>
        <w:gridCol w:w="3372"/>
        <w:gridCol w:w="2412"/>
      </w:tblGrid>
      <w:tr>
        <w:tblPrEx>
          <w:tblCellMar>
            <w:top w:w="0" w:type="dxa"/>
            <w:left w:w="0" w:type="dxa"/>
            <w:bottom w:w="0" w:type="dxa"/>
            <w:right w:w="0" w:type="dxa"/>
          </w:tblCellMar>
        </w:tblPrEx>
        <w:trPr>
          <w:trHeight w:val="232" w:hRule="atLeast"/>
        </w:trPr>
        <w:tc>
          <w:tcPr>
            <w:tcW w:w="10814"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cs="宋体"/>
                <w:b/>
                <w:color w:val="000000"/>
                <w:sz w:val="32"/>
                <w:szCs w:val="32"/>
              </w:rPr>
            </w:pPr>
          </w:p>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36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3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503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中国共产党丰都县委员会政法委员会（本级）</w:t>
            </w:r>
          </w:p>
        </w:tc>
        <w:tc>
          <w:tcPr>
            <w:tcW w:w="33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503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5784"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4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4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623.57</w:t>
            </w: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479.32</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42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114.57</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17.56</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623.57</w:t>
            </w: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636.60</w:t>
            </w: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13.03</w:t>
            </w:r>
            <w:r>
              <w:rPr>
                <w:color w:val="000000"/>
                <w:sz w:val="20"/>
              </w:rPr>
              <w:t xml:space="preserve"> </w:t>
            </w:r>
          </w:p>
        </w:tc>
        <w:tc>
          <w:tcPr>
            <w:tcW w:w="337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41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3608"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636.60</w:t>
            </w:r>
            <w:r>
              <w:rPr>
                <w:color w:val="000000"/>
                <w:sz w:val="20"/>
              </w:rPr>
              <w:t xml:space="preserve"> </w:t>
            </w:r>
          </w:p>
        </w:tc>
        <w:tc>
          <w:tcPr>
            <w:tcW w:w="3372"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4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636.60</w:t>
            </w:r>
            <w:r>
              <w:rPr>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10802" w:type="dxa"/>
        <w:tblInd w:w="0" w:type="dxa"/>
        <w:tblLayout w:type="fixed"/>
        <w:tblCellMar>
          <w:top w:w="0" w:type="dxa"/>
          <w:left w:w="0" w:type="dxa"/>
          <w:bottom w:w="0" w:type="dxa"/>
          <w:right w:w="0" w:type="dxa"/>
        </w:tblCellMar>
      </w:tblPr>
      <w:tblGrid>
        <w:gridCol w:w="1195"/>
        <w:gridCol w:w="2301"/>
        <w:gridCol w:w="793"/>
        <w:gridCol w:w="866"/>
        <w:gridCol w:w="866"/>
        <w:gridCol w:w="866"/>
        <w:gridCol w:w="960"/>
        <w:gridCol w:w="918"/>
        <w:gridCol w:w="1011"/>
        <w:gridCol w:w="1026"/>
      </w:tblGrid>
      <w:tr>
        <w:tblPrEx>
          <w:tblCellMar>
            <w:top w:w="0" w:type="dxa"/>
            <w:left w:w="0" w:type="dxa"/>
            <w:bottom w:w="0" w:type="dxa"/>
            <w:right w:w="0" w:type="dxa"/>
          </w:tblCellMar>
        </w:tblPrEx>
        <w:trPr>
          <w:trHeight w:val="641" w:hRule="atLeast"/>
        </w:trPr>
        <w:tc>
          <w:tcPr>
            <w:tcW w:w="1080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428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中国共产党丰都县委员会政法委员会（本级）</w:t>
            </w: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428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3496"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1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30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230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230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1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230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349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623.57</w:t>
            </w:r>
            <w:r>
              <w:rPr>
                <w:b/>
                <w:color w:val="000000"/>
                <w:sz w:val="20"/>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623.57</w:t>
            </w:r>
            <w:r>
              <w:rPr>
                <w:b/>
                <w:color w:val="000000"/>
                <w:sz w:val="20"/>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466.29</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466.29</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466.29</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466.29</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466.29</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466.29</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34.65</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34.65</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1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10803" w:type="dxa"/>
        <w:tblInd w:w="0" w:type="dxa"/>
        <w:tblLayout w:type="fixed"/>
        <w:tblCellMar>
          <w:top w:w="0" w:type="dxa"/>
          <w:left w:w="0" w:type="dxa"/>
          <w:bottom w:w="0" w:type="dxa"/>
          <w:right w:w="0" w:type="dxa"/>
        </w:tblCellMar>
      </w:tblPr>
      <w:tblGrid>
        <w:gridCol w:w="1637"/>
        <w:gridCol w:w="3230"/>
        <w:gridCol w:w="987"/>
        <w:gridCol w:w="987"/>
        <w:gridCol w:w="988"/>
        <w:gridCol w:w="977"/>
        <w:gridCol w:w="772"/>
        <w:gridCol w:w="1225"/>
      </w:tblGrid>
      <w:tr>
        <w:tblPrEx>
          <w:tblCellMar>
            <w:top w:w="0" w:type="dxa"/>
            <w:left w:w="0" w:type="dxa"/>
            <w:bottom w:w="0" w:type="dxa"/>
            <w:right w:w="0" w:type="dxa"/>
          </w:tblCellMar>
        </w:tblPrEx>
        <w:trPr>
          <w:trHeight w:val="654"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585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中国共产党丰都县委员会政法委员会（本级） </w:t>
            </w:r>
          </w:p>
        </w:tc>
        <w:tc>
          <w:tcPr>
            <w:tcW w:w="9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7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585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7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0"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636.60</w:t>
            </w:r>
            <w:r>
              <w:rPr>
                <w:b/>
                <w:color w:val="000000"/>
                <w:sz w:val="20"/>
              </w:rPr>
              <w:t xml:space="preserve"> </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478.94</w:t>
            </w:r>
            <w:r>
              <w:rPr>
                <w:b/>
                <w:color w:val="000000"/>
                <w:sz w:val="20"/>
              </w:rPr>
              <w:t xml:space="preserve"> </w:t>
            </w:r>
          </w:p>
        </w:tc>
        <w:tc>
          <w:tcPr>
            <w:tcW w:w="9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157.66</w:t>
            </w:r>
            <w:r>
              <w:rPr>
                <w:b/>
                <w:color w:val="000000"/>
                <w:sz w:val="20"/>
              </w:rPr>
              <w:t xml:space="preserve"> </w:t>
            </w:r>
          </w:p>
        </w:tc>
        <w:tc>
          <w:tcPr>
            <w:tcW w:w="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231"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479.32</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321.66</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157.66</w:t>
            </w:r>
            <w:r>
              <w:rPr>
                <w:b/>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06"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479.32</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321.66</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157.66</w:t>
            </w:r>
            <w:r>
              <w:rPr>
                <w:b/>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479.32</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321.66</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157.66</w:t>
            </w: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17"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0"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114.57</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26.76</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34.65</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34.65</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17.56</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10.07</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25.15</w:t>
            </w:r>
            <w:r>
              <w:rPr>
                <w:b/>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25.15</w:t>
            </w:r>
            <w:r>
              <w:rPr>
                <w:color w:val="000000"/>
                <w:sz w:val="20"/>
              </w:rPr>
              <w:t xml:space="preserve"> </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7"/>
        <w:tblW w:w="10349" w:type="dxa"/>
        <w:tblInd w:w="0" w:type="dxa"/>
        <w:tblLayout w:type="fixed"/>
        <w:tblCellMar>
          <w:top w:w="0" w:type="dxa"/>
          <w:left w:w="0" w:type="dxa"/>
          <w:bottom w:w="0" w:type="dxa"/>
          <w:right w:w="0" w:type="dxa"/>
        </w:tblCellMar>
      </w:tblPr>
      <w:tblGrid>
        <w:gridCol w:w="2550"/>
        <w:gridCol w:w="883"/>
        <w:gridCol w:w="2730"/>
        <w:gridCol w:w="1005"/>
        <w:gridCol w:w="1005"/>
        <w:gridCol w:w="1005"/>
        <w:gridCol w:w="1171"/>
      </w:tblGrid>
      <w:tr>
        <w:tblPrEx>
          <w:tblCellMar>
            <w:top w:w="0" w:type="dxa"/>
            <w:left w:w="0" w:type="dxa"/>
            <w:bottom w:w="0" w:type="dxa"/>
            <w:right w:w="0" w:type="dxa"/>
          </w:tblCellMar>
        </w:tblPrEx>
        <w:trPr>
          <w:trHeight w:val="90" w:hRule="atLeast"/>
        </w:trPr>
        <w:tc>
          <w:tcPr>
            <w:tcW w:w="10349"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6163"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71"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6163"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7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343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6916"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5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418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5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0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0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623.57</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479.32</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479.32</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114.57</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114.57</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17.56</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17.56</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25.15</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25.15</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623.57</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13.03</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13.03</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636.60</w:t>
            </w:r>
            <w:r>
              <w:rPr>
                <w:color w:val="000000"/>
                <w:sz w:val="18"/>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121"/>
        <w:gridCol w:w="3230"/>
        <w:gridCol w:w="2147"/>
        <w:gridCol w:w="2147"/>
        <w:gridCol w:w="2158"/>
      </w:tblGrid>
      <w:tr>
        <w:tblPrEx>
          <w:tblCellMar>
            <w:top w:w="0" w:type="dxa"/>
            <w:left w:w="0" w:type="dxa"/>
            <w:bottom w:w="0" w:type="dxa"/>
            <w:right w:w="0" w:type="dxa"/>
          </w:tblCellMar>
        </w:tblPrEx>
        <w:trPr>
          <w:trHeight w:val="510" w:hRule="atLeast"/>
        </w:trPr>
        <w:tc>
          <w:tcPr>
            <w:tcW w:w="10803"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649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2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649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43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645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12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1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1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1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12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12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43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636.60</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478.94</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157.66</w:t>
            </w:r>
            <w:r>
              <w:rPr>
                <w:b/>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479.32</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321.66</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157.66</w:t>
            </w:r>
            <w:r>
              <w:rPr>
                <w:b/>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479.32</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321.66</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157.66</w:t>
            </w:r>
            <w:r>
              <w:rPr>
                <w:b/>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479.32</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321.66</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157.66</w:t>
            </w: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114.57</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114.57</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114.57</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114.57</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26.76</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26.76</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34.65</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34.65</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27.20</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27.20</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17.56</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17.56</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17.56</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17.56</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10.07</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10.07</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7.49</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7.49</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25.15</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25.15</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25.15</w:t>
            </w:r>
            <w:r>
              <w:rPr>
                <w:b/>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25.15</w:t>
            </w:r>
            <w:r>
              <w:rPr>
                <w:b/>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25.15</w:t>
            </w:r>
            <w:r>
              <w:rPr>
                <w:color w:val="000000"/>
                <w:sz w:val="20"/>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25.15</w:t>
            </w:r>
            <w:r>
              <w:rPr>
                <w:color w:val="000000"/>
                <w:sz w:val="20"/>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791" w:type="dxa"/>
        <w:tblInd w:w="0" w:type="dxa"/>
        <w:tblLayout w:type="fixed"/>
        <w:tblCellMar>
          <w:top w:w="0" w:type="dxa"/>
          <w:left w:w="0" w:type="dxa"/>
          <w:bottom w:w="0" w:type="dxa"/>
          <w:right w:w="0" w:type="dxa"/>
        </w:tblCellMar>
      </w:tblPr>
      <w:tblGrid>
        <w:gridCol w:w="425"/>
        <w:gridCol w:w="2491"/>
        <w:gridCol w:w="707"/>
        <w:gridCol w:w="975"/>
        <w:gridCol w:w="1671"/>
        <w:gridCol w:w="654"/>
        <w:gridCol w:w="825"/>
        <w:gridCol w:w="2196"/>
        <w:gridCol w:w="847"/>
      </w:tblGrid>
      <w:tr>
        <w:tblPrEx>
          <w:tblCellMar>
            <w:top w:w="0" w:type="dxa"/>
            <w:left w:w="0" w:type="dxa"/>
            <w:bottom w:w="0" w:type="dxa"/>
            <w:right w:w="0" w:type="dxa"/>
          </w:tblCellMar>
        </w:tblPrEx>
        <w:trPr>
          <w:trHeight w:val="90" w:hRule="atLeast"/>
        </w:trPr>
        <w:tc>
          <w:tcPr>
            <w:tcW w:w="10791"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4598"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167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4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4598"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7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19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4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362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7168"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42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9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6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2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1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8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42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4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2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1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378.93</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42.15</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74.34</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94.52</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95.96</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40.58</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30.29</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12.74</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25.15</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57.86</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26.76</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28.50</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12.05</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67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19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16"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436.79</w:t>
            </w:r>
            <w:r>
              <w:rPr>
                <w:color w:val="000000"/>
                <w:sz w:val="18"/>
              </w:rPr>
              <w:t xml:space="preserve"> </w:t>
            </w:r>
          </w:p>
        </w:tc>
        <w:tc>
          <w:tcPr>
            <w:tcW w:w="6321"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42.15</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431"/>
        <w:gridCol w:w="2382"/>
        <w:gridCol w:w="1317"/>
        <w:gridCol w:w="1107"/>
        <w:gridCol w:w="1107"/>
        <w:gridCol w:w="1107"/>
        <w:gridCol w:w="1153"/>
        <w:gridCol w:w="1199"/>
      </w:tblGrid>
      <w:tr>
        <w:tblPrEx>
          <w:tblCellMar>
            <w:top w:w="0" w:type="dxa"/>
            <w:left w:w="0" w:type="dxa"/>
            <w:bottom w:w="0" w:type="dxa"/>
            <w:right w:w="0" w:type="dxa"/>
          </w:tblCellMar>
        </w:tblPrEx>
        <w:trPr>
          <w:trHeight w:val="644"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513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513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381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31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3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3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3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1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381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322"/>
        <w:gridCol w:w="2150"/>
        <w:gridCol w:w="2301"/>
        <w:gridCol w:w="140"/>
        <w:gridCol w:w="2441"/>
        <w:gridCol w:w="54"/>
        <w:gridCol w:w="2395"/>
      </w:tblGrid>
      <w:tr>
        <w:tblPrEx>
          <w:tblCellMar>
            <w:top w:w="0" w:type="dxa"/>
            <w:left w:w="0" w:type="dxa"/>
            <w:bottom w:w="0" w:type="dxa"/>
            <w:right w:w="0" w:type="dxa"/>
          </w:tblCellMar>
        </w:tblPrEx>
        <w:trPr>
          <w:trHeight w:val="650" w:hRule="atLeast"/>
        </w:trPr>
        <w:tc>
          <w:tcPr>
            <w:tcW w:w="10803"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577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2635"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577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635"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331"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441"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4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244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0538" w:type="dxa"/>
        <w:tblInd w:w="0" w:type="dxa"/>
        <w:tblLayout w:type="fixed"/>
        <w:tblCellMar>
          <w:top w:w="0" w:type="dxa"/>
          <w:left w:w="170" w:type="dxa"/>
          <w:bottom w:w="0" w:type="dxa"/>
          <w:right w:w="170" w:type="dxa"/>
        </w:tblCellMar>
      </w:tblPr>
      <w:tblGrid>
        <w:gridCol w:w="2839"/>
        <w:gridCol w:w="1522"/>
        <w:gridCol w:w="1486"/>
        <w:gridCol w:w="3178"/>
        <w:gridCol w:w="1513"/>
      </w:tblGrid>
      <w:tr>
        <w:tblPrEx>
          <w:tblCellMar>
            <w:top w:w="0" w:type="dxa"/>
            <w:left w:w="170" w:type="dxa"/>
            <w:bottom w:w="0" w:type="dxa"/>
            <w:right w:w="170" w:type="dxa"/>
          </w:tblCellMar>
        </w:tblPrEx>
        <w:trPr>
          <w:trHeight w:val="343" w:hRule="atLeast"/>
        </w:trPr>
        <w:tc>
          <w:tcPr>
            <w:tcW w:w="10538"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2839"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148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178"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1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4361"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中国共产党丰都县委员会政法委员会（本级）</w:t>
            </w:r>
          </w:p>
        </w:tc>
        <w:tc>
          <w:tcPr>
            <w:tcW w:w="148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17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1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52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148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51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42.15</w:t>
            </w: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8.00</w:t>
            </w: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8.00</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42.15</w:t>
            </w: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4.05</w:t>
            </w: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4.05</w:t>
            </w: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395</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4.06</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1.34</w:t>
            </w:r>
            <w:r>
              <w:rPr>
                <w:color w:val="000000"/>
                <w:sz w:val="16"/>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ZQ6jy0QAAAAMBAAAPAAAAAAAAAAEAIAAAADgA&#10;AABkcnMvZG93bnJldi54bWxQSwECFAAUAAAACACHTuJAfzFB2PoBAAABBAAADgAAAAAAAAABACAA&#10;AAA2AQAAZHJzL2Uyb0RvYy54bWxQSwUGAAAAAAYABgBZAQAAogU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Ml+hQ1gAAAAkBAAAPAAAAAAAAAAEA&#10;IAAAADgAAABkcnMvZG93bnJldi54bWxQSwECFAAUAAAACACHTuJA9HirhfsBAAABBAAADgAAAAAA&#10;AAABACAAAAA7AQAAZHJzL2Uyb0RvYy54bWxQSwUGAAAAAAYABgBZAQAAqAU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TY4YTI4NjVjOTVkNzJiMzllMzU1MDMwYmEzNGQifQ=="/>
  </w:docVars>
  <w:rsids>
    <w:rsidRoot w:val="00B03CCD"/>
    <w:rsid w:val="0002574B"/>
    <w:rsid w:val="00041598"/>
    <w:rsid w:val="000F31C3"/>
    <w:rsid w:val="001D0D4E"/>
    <w:rsid w:val="001D3BB7"/>
    <w:rsid w:val="0020107A"/>
    <w:rsid w:val="002065D1"/>
    <w:rsid w:val="00242317"/>
    <w:rsid w:val="002B04C4"/>
    <w:rsid w:val="002B254B"/>
    <w:rsid w:val="002D2DCE"/>
    <w:rsid w:val="0033302E"/>
    <w:rsid w:val="003440D3"/>
    <w:rsid w:val="00361AF5"/>
    <w:rsid w:val="003640CC"/>
    <w:rsid w:val="003954A1"/>
    <w:rsid w:val="00434464"/>
    <w:rsid w:val="00466C9B"/>
    <w:rsid w:val="004E0F43"/>
    <w:rsid w:val="00550ABE"/>
    <w:rsid w:val="00581BC7"/>
    <w:rsid w:val="005B4897"/>
    <w:rsid w:val="006132E0"/>
    <w:rsid w:val="006666B2"/>
    <w:rsid w:val="00683AEE"/>
    <w:rsid w:val="006F0E6E"/>
    <w:rsid w:val="00716EC3"/>
    <w:rsid w:val="007516F1"/>
    <w:rsid w:val="00770383"/>
    <w:rsid w:val="007819D4"/>
    <w:rsid w:val="007B419D"/>
    <w:rsid w:val="007B7C4B"/>
    <w:rsid w:val="007D3D39"/>
    <w:rsid w:val="00801EF0"/>
    <w:rsid w:val="0080368C"/>
    <w:rsid w:val="00821456"/>
    <w:rsid w:val="00845B6C"/>
    <w:rsid w:val="0089492D"/>
    <w:rsid w:val="00923856"/>
    <w:rsid w:val="00970424"/>
    <w:rsid w:val="00994AF7"/>
    <w:rsid w:val="00996050"/>
    <w:rsid w:val="009B67B8"/>
    <w:rsid w:val="009D2B67"/>
    <w:rsid w:val="009D2B99"/>
    <w:rsid w:val="00A34A75"/>
    <w:rsid w:val="00A40261"/>
    <w:rsid w:val="00A566F9"/>
    <w:rsid w:val="00AA30EC"/>
    <w:rsid w:val="00AC12F7"/>
    <w:rsid w:val="00AF2751"/>
    <w:rsid w:val="00B03CCD"/>
    <w:rsid w:val="00B41544"/>
    <w:rsid w:val="00B41AF9"/>
    <w:rsid w:val="00B54FE8"/>
    <w:rsid w:val="00BE2B89"/>
    <w:rsid w:val="00C10E9E"/>
    <w:rsid w:val="00C20C3E"/>
    <w:rsid w:val="00CE1248"/>
    <w:rsid w:val="00D51385"/>
    <w:rsid w:val="00E63BA9"/>
    <w:rsid w:val="00F64586"/>
    <w:rsid w:val="00F7249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3B900"/>
    <w:rsid w:val="73934AD2"/>
    <w:rsid w:val="750837F0"/>
    <w:rsid w:val="754758CF"/>
    <w:rsid w:val="75CD6273"/>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FE4D4A"/>
    <w:rsid w:val="7F446A19"/>
    <w:rsid w:val="7F7452B9"/>
    <w:rsid w:val="DE0F36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8849</Words>
  <Characters>10761</Characters>
  <Lines>96</Lines>
  <Paragraphs>27</Paragraphs>
  <TotalTime>6</TotalTime>
  <ScaleCrop>false</ScaleCrop>
  <LinksUpToDate>false</LinksUpToDate>
  <CharactersWithSpaces>11801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2024-09-21T02:45:00Z</dcterms:created>
  <dc:creator>Administrator</dc:creator>
  <cp:lastModifiedBy>zfw003</cp:lastModifiedBy>
  <dcterms:modified xsi:type="dcterms:W3CDTF">2024-09-25T11:36:08Z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BB46EABDBB2749749395447164B066B3_12</vt:lpwstr>
  </property>
</Properties>
</file>