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小标宋_GBK" w:cs="方正小标宋_GBK"/>
          <w:sz w:val="44"/>
          <w:szCs w:val="44"/>
        </w:rPr>
      </w:pPr>
      <w:r>
        <w:rPr>
          <w:rFonts w:ascii="Times New Roman" w:hAnsi="Times New Roman"/>
        </w:rPr>
        <w:pict>
          <v:shape id="AutoShape 2" o:spid="_x0000_s1027" o:spt="136" type="#_x0000_t136" style="position:absolute;left:0pt;margin-left:75.3pt;margin-top:94.8pt;height:52.45pt;width:425.2pt;mso-position-horizontal-relative:page;mso-position-vertical-relative:page;z-index:251659264;mso-width-relative:page;mso-height-relative:page;" fillcolor="#FF0000" filled="t" stroked="f" coordsize="21600,21600">
            <v:path/>
            <v:fill on="t" focussize="0,0"/>
            <v:stroke on="f"/>
            <v:imagedata o:title=""/>
            <o:lock v:ext="edit"/>
            <v:textpath on="t" fitshape="t" fitpath="t" trim="t" xscale="f" string="丰都县信访办公室文件" style="font-family:方正小标宋_GBK;font-size:36pt;font-weight:bold;v-text-align:center;"/>
          </v:shape>
        </w:pict>
      </w:r>
    </w:p>
    <w:p>
      <w:pPr>
        <w:spacing w:line="594" w:lineRule="exact"/>
        <w:jc w:val="center"/>
        <w:rPr>
          <w:rFonts w:ascii="Times New Roman" w:hAnsi="Times New Roman" w:eastAsia="方正小标宋_GBK" w:cs="方正小标宋_GBK"/>
          <w:sz w:val="44"/>
          <w:szCs w:val="44"/>
        </w:rPr>
      </w:pPr>
      <w:r>
        <w:rPr>
          <w:rFonts w:ascii="Times New Roman" w:hAnsi="Times New Roman"/>
        </w:rPr>
        <w:pict>
          <v:line id="_x0000_s1026" o:spid="_x0000_s1026" o:spt="20" style="position:absolute;left:0pt;margin-left:56.7pt;margin-top:150.25pt;height:0pt;width:481.9pt;mso-position-horizontal-relative:page;mso-position-vertical-relative:page;z-index:251660288;mso-width-relative:page;mso-height-relative:page;" stroked="t" coordsize="21600,21600" o:gfxdata="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wtXVdkA&#10;AAAMAQAADwAAAAAAAAABACAAAAAiAAAAZHJzL2Rvd25yZXYueG1sUEsBAhQAFAAAAAgAh07iQFSY&#10;ASPlAQAAqwMAAA4AAAAAAAAAAQAgAAAAKAEAAGRycy9lMm9Eb2MueG1sUEsFBgAAAAAGAAYAWQEA&#10;AH8FAAAAAA==&#10;">
            <v:path arrowok="t"/>
            <v:fill focussize="0,0"/>
            <v:stroke weight="6pt" color="#FF0000" linestyle="thickThin"/>
            <v:imagedata o:title=""/>
            <o:lock v:ext="edit"/>
          </v:line>
        </w:pict>
      </w:r>
    </w:p>
    <w:p>
      <w:pPr>
        <w:spacing w:line="594" w:lineRule="exact"/>
        <w:jc w:val="center"/>
        <w:rPr>
          <w:rFonts w:ascii="Times New Roman" w:hAnsi="Times New Roman" w:eastAsia="方正小标宋_GBK" w:cs="方正小标宋_GBK"/>
          <w:sz w:val="44"/>
          <w:szCs w:val="44"/>
        </w:rPr>
      </w:pPr>
    </w:p>
    <w:p>
      <w:pPr>
        <w:pStyle w:val="11"/>
        <w:widowControl/>
        <w:autoSpaceDE w:val="0"/>
        <w:spacing w:before="0" w:beforeAutospacing="0" w:after="0" w:afterAutospacing="0" w:line="578" w:lineRule="exact"/>
        <w:jc w:val="center"/>
        <w:rPr>
          <w:rFonts w:hint="default" w:ascii="Times New Roman" w:hAnsi="Times New Roman"/>
          <w:b/>
          <w:sz w:val="48"/>
          <w:szCs w:val="48"/>
        </w:rPr>
      </w:pPr>
      <w:r>
        <w:rPr>
          <w:rStyle w:val="12"/>
          <w:bCs/>
          <w:sz w:val="48"/>
          <w:szCs w:val="48"/>
          <w:shd w:val="clear" w:color="auto" w:fill="FFFFFF"/>
        </w:rPr>
        <w:t>丰都县信访办公室</w:t>
      </w:r>
    </w:p>
    <w:p>
      <w:pPr>
        <w:pStyle w:val="11"/>
        <w:widowControl/>
        <w:autoSpaceDE w:val="0"/>
        <w:spacing w:before="0" w:beforeAutospacing="0" w:after="0" w:afterAutospacing="0" w:line="578" w:lineRule="exact"/>
        <w:jc w:val="center"/>
        <w:rPr>
          <w:rFonts w:hint="default" w:ascii="Times New Roman" w:hAnsi="Times New Roman"/>
          <w:b/>
          <w:sz w:val="48"/>
          <w:szCs w:val="48"/>
        </w:rPr>
      </w:pPr>
      <w:r>
        <w:rPr>
          <w:rStyle w:val="12"/>
          <w:bCs/>
          <w:sz w:val="48"/>
          <w:szCs w:val="48"/>
          <w:shd w:val="clear" w:color="auto" w:fill="FFFFFF"/>
        </w:rPr>
        <w:t>2022年度部门决算情况说明</w:t>
      </w:r>
    </w:p>
    <w:p>
      <w:pPr>
        <w:pStyle w:val="11"/>
        <w:widowControl/>
        <w:autoSpaceDE w:val="0"/>
        <w:spacing w:before="0" w:beforeAutospacing="0" w:after="0" w:afterAutospacing="0" w:line="578" w:lineRule="exact"/>
        <w:ind w:firstLine="480" w:firstLineChars="200"/>
        <w:jc w:val="center"/>
        <w:rPr>
          <w:rFonts w:hint="default" w:ascii="Times New Roman" w:hAnsi="Times New Roman"/>
          <w:bCs w:val="0"/>
          <w:shd w:val="clear" w:color="auto" w:fill="FFFFFF"/>
        </w:rPr>
      </w:pPr>
    </w:p>
    <w:p>
      <w:pPr>
        <w:pStyle w:val="11"/>
        <w:widowControl/>
        <w:autoSpaceDE w:val="0"/>
        <w:spacing w:before="0" w:beforeAutospacing="0" w:after="0" w:afterAutospacing="0" w:line="578" w:lineRule="exact"/>
        <w:ind w:firstLine="640" w:firstLineChars="200"/>
        <w:rPr>
          <w:rFonts w:hint="default" w:ascii="Times New Roman" w:hAnsi="Times New Roman" w:eastAsia="方正黑体_GBK"/>
          <w:bCs w:val="0"/>
          <w:sz w:val="32"/>
          <w:szCs w:val="32"/>
        </w:rPr>
      </w:pPr>
      <w:r>
        <w:rPr>
          <w:rStyle w:val="12"/>
          <w:rFonts w:eastAsia="方正黑体_GBK"/>
          <w:b w:val="0"/>
          <w:bCs w:val="0"/>
          <w:sz w:val="32"/>
          <w:szCs w:val="32"/>
          <w:shd w:val="clear" w:color="auto" w:fill="FFFFFF"/>
        </w:rPr>
        <w:t>一、部门基本情况</w:t>
      </w:r>
    </w:p>
    <w:p>
      <w:pPr>
        <w:widowControl/>
        <w:autoSpaceDE w:val="0"/>
        <w:spacing w:line="520" w:lineRule="exact"/>
        <w:ind w:firstLine="640" w:firstLineChars="200"/>
        <w:rPr>
          <w:rFonts w:ascii="Times New Roman" w:hAnsi="Times New Roman" w:eastAsia="方正仿宋_GBK" w:cs="Times New Roman"/>
          <w:bCs w:val="0"/>
          <w:spacing w:val="-11"/>
          <w:szCs w:val="32"/>
        </w:rPr>
      </w:pPr>
      <w:r>
        <w:rPr>
          <w:rStyle w:val="12"/>
          <w:rFonts w:hint="eastAsia" w:ascii="方正楷体_GBK" w:hAnsi="方正楷体_GBK" w:eastAsia="方正楷体_GBK" w:cs="方正楷体_GBK"/>
          <w:b w:val="0"/>
          <w:bCs w:val="0"/>
          <w:szCs w:val="32"/>
          <w:shd w:val="clear" w:color="auto" w:fill="FFFFFF"/>
        </w:rPr>
        <w:t>（一）职能职责。</w:t>
      </w:r>
      <w:r>
        <w:rPr>
          <w:rStyle w:val="12"/>
          <w:rFonts w:hint="eastAsia" w:ascii="方正仿宋_GBK" w:hAnsi="方正仿宋_GBK" w:eastAsia="方正仿宋_GBK" w:cs="方正仿宋_GBK"/>
          <w:bCs/>
          <w:szCs w:val="32"/>
          <w:shd w:val="clear" w:color="auto" w:fill="FFFFFF"/>
        </w:rPr>
        <w:t>一是</w:t>
      </w:r>
      <w:r>
        <w:rPr>
          <w:rFonts w:ascii="Times New Roman" w:hAnsi="Times New Roman" w:eastAsia="方正仿宋_GBK" w:cs="Times New Roman"/>
          <w:bCs w:val="0"/>
          <w:szCs w:val="32"/>
        </w:rPr>
        <w:t>负责处理县内外群众给县委、县政府的来信，接待群众来访，保证信访渠道畅通</w:t>
      </w:r>
      <w:r>
        <w:rPr>
          <w:rFonts w:hint="eastAsia" w:ascii="Times New Roman" w:hAnsi="Times New Roman" w:eastAsia="方正仿宋_GBK" w:cs="Times New Roman"/>
          <w:bCs w:val="0"/>
          <w:szCs w:val="32"/>
        </w:rPr>
        <w:t>。</w:t>
      </w:r>
      <w:r>
        <w:rPr>
          <w:rFonts w:ascii="Times New Roman" w:hAnsi="Times New Roman" w:eastAsia="方正仿宋_GBK" w:cs="Times New Roman"/>
          <w:bCs w:val="0"/>
          <w:szCs w:val="32"/>
        </w:rPr>
        <w:t>及时、准确地向县委、县政府领导反映来信来访中提出的重要建议、意见和问题；综合分析信访信息，开展调查研究，提出制定有关方针、政策建议</w:t>
      </w:r>
      <w:r>
        <w:rPr>
          <w:rFonts w:hint="eastAsia" w:ascii="Times New Roman" w:hAnsi="Times New Roman" w:eastAsia="方正仿宋_GBK" w:cs="Times New Roman"/>
          <w:bCs w:val="0"/>
          <w:szCs w:val="32"/>
        </w:rPr>
        <w:t>；</w:t>
      </w:r>
      <w:r>
        <w:rPr>
          <w:rFonts w:hint="eastAsia" w:ascii="Times New Roman" w:hAnsi="Times New Roman" w:eastAsia="方正仿宋_GBK" w:cs="Times New Roman"/>
          <w:b/>
          <w:szCs w:val="32"/>
        </w:rPr>
        <w:t>二是</w:t>
      </w:r>
      <w:r>
        <w:rPr>
          <w:rFonts w:ascii="Times New Roman" w:hAnsi="Times New Roman" w:eastAsia="方正仿宋_GBK" w:cs="Times New Roman"/>
          <w:bCs w:val="0"/>
          <w:szCs w:val="32"/>
        </w:rPr>
        <w:t>承办县委、县政府和县委领导、县政府领导及市信访办交办的信访事项，督促检查领导有关批示的落实情况</w:t>
      </w:r>
      <w:r>
        <w:rPr>
          <w:rFonts w:hint="eastAsia" w:ascii="Times New Roman" w:hAnsi="Times New Roman" w:eastAsia="方正仿宋_GBK" w:cs="Times New Roman"/>
          <w:bCs w:val="0"/>
          <w:szCs w:val="32"/>
        </w:rPr>
        <w:t>。</w:t>
      </w:r>
      <w:r>
        <w:rPr>
          <w:rFonts w:ascii="Times New Roman" w:hAnsi="Times New Roman" w:eastAsia="方正仿宋_GBK" w:cs="Times New Roman"/>
          <w:bCs w:val="0"/>
          <w:szCs w:val="32"/>
        </w:rPr>
        <w:t>向各乡镇</w:t>
      </w:r>
      <w:r>
        <w:rPr>
          <w:rFonts w:hint="eastAsia" w:ascii="Times New Roman" w:hAnsi="Times New Roman" w:eastAsia="方正仿宋_GBK" w:cs="Times New Roman"/>
          <w:bCs w:val="0"/>
          <w:szCs w:val="32"/>
        </w:rPr>
        <w:t>（街道）</w:t>
      </w:r>
      <w:r>
        <w:rPr>
          <w:rFonts w:ascii="Times New Roman" w:hAnsi="Times New Roman" w:eastAsia="方正仿宋_GBK" w:cs="Times New Roman"/>
          <w:bCs w:val="0"/>
          <w:szCs w:val="32"/>
        </w:rPr>
        <w:t>党委、政府</w:t>
      </w:r>
      <w:r>
        <w:rPr>
          <w:rFonts w:hint="eastAsia" w:ascii="Times New Roman" w:hAnsi="Times New Roman" w:eastAsia="方正仿宋_GBK" w:cs="Times New Roman"/>
          <w:bCs w:val="0"/>
          <w:szCs w:val="32"/>
        </w:rPr>
        <w:t>办事处</w:t>
      </w:r>
      <w:r>
        <w:rPr>
          <w:rFonts w:ascii="Times New Roman" w:hAnsi="Times New Roman" w:eastAsia="方正仿宋_GBK" w:cs="Times New Roman"/>
          <w:bCs w:val="0"/>
          <w:szCs w:val="32"/>
        </w:rPr>
        <w:t>和县级部门、有关单位交办信访事项，督促检查重要信访事项的处理和落实</w:t>
      </w:r>
      <w:r>
        <w:rPr>
          <w:rFonts w:hint="eastAsia" w:ascii="Times New Roman" w:hAnsi="Times New Roman" w:eastAsia="方正仿宋_GBK" w:cs="Times New Roman"/>
          <w:bCs w:val="0"/>
          <w:szCs w:val="32"/>
        </w:rPr>
        <w:t>；</w:t>
      </w:r>
      <w:r>
        <w:rPr>
          <w:rFonts w:hint="eastAsia" w:ascii="Times New Roman" w:hAnsi="Times New Roman" w:eastAsia="方正仿宋_GBK" w:cs="Times New Roman"/>
          <w:b/>
          <w:szCs w:val="32"/>
        </w:rPr>
        <w:t>三是</w:t>
      </w:r>
      <w:r>
        <w:rPr>
          <w:rFonts w:ascii="Times New Roman" w:hAnsi="Times New Roman" w:eastAsia="方正仿宋_GBK" w:cs="Times New Roman"/>
          <w:bCs w:val="0"/>
          <w:szCs w:val="32"/>
        </w:rPr>
        <w:t>协调处理我县跨乡镇</w:t>
      </w:r>
      <w:r>
        <w:rPr>
          <w:rFonts w:hint="eastAsia" w:ascii="Times New Roman" w:hAnsi="Times New Roman" w:eastAsia="方正仿宋_GBK" w:cs="Times New Roman"/>
          <w:bCs w:val="0"/>
          <w:szCs w:val="32"/>
        </w:rPr>
        <w:t>（</w:t>
      </w:r>
      <w:r>
        <w:rPr>
          <w:rFonts w:ascii="Times New Roman" w:hAnsi="Times New Roman" w:eastAsia="方正仿宋_GBK" w:cs="Times New Roman"/>
          <w:bCs w:val="0"/>
          <w:szCs w:val="32"/>
        </w:rPr>
        <w:t>街道</w:t>
      </w:r>
      <w:r>
        <w:rPr>
          <w:rFonts w:hint="eastAsia" w:ascii="Times New Roman" w:hAnsi="Times New Roman" w:eastAsia="方正仿宋_GBK" w:cs="Times New Roman"/>
          <w:bCs w:val="0"/>
          <w:szCs w:val="32"/>
        </w:rPr>
        <w:t>）</w:t>
      </w:r>
      <w:r>
        <w:rPr>
          <w:rFonts w:ascii="Times New Roman" w:hAnsi="Times New Roman" w:eastAsia="方正仿宋_GBK" w:cs="Times New Roman"/>
          <w:bCs w:val="0"/>
          <w:szCs w:val="32"/>
        </w:rPr>
        <w:t>、跨部门的重要信访问题</w:t>
      </w:r>
      <w:r>
        <w:rPr>
          <w:rFonts w:hint="eastAsia" w:ascii="Times New Roman" w:hAnsi="Times New Roman" w:eastAsia="方正仿宋_GBK" w:cs="Times New Roman"/>
          <w:bCs w:val="0"/>
          <w:szCs w:val="32"/>
        </w:rPr>
        <w:t>，</w:t>
      </w:r>
      <w:r>
        <w:rPr>
          <w:rFonts w:ascii="Times New Roman" w:hAnsi="Times New Roman" w:eastAsia="方正仿宋_GBK" w:cs="Times New Roman"/>
          <w:bCs w:val="0"/>
          <w:szCs w:val="32"/>
        </w:rPr>
        <w:t>协调处理到县委、县政府的群众集访和异常信访事件、突发信访事件</w:t>
      </w:r>
      <w:r>
        <w:rPr>
          <w:rFonts w:hint="eastAsia" w:ascii="Times New Roman" w:hAnsi="Times New Roman" w:eastAsia="方正仿宋_GBK" w:cs="Times New Roman"/>
          <w:bCs w:val="0"/>
          <w:szCs w:val="32"/>
        </w:rPr>
        <w:t>，</w:t>
      </w:r>
      <w:r>
        <w:rPr>
          <w:rFonts w:ascii="Times New Roman" w:hAnsi="Times New Roman" w:eastAsia="方正仿宋_GBK" w:cs="Times New Roman"/>
          <w:bCs w:val="0"/>
          <w:szCs w:val="32"/>
        </w:rPr>
        <w:t>检查协调县级各部门和乡镇</w:t>
      </w:r>
      <w:r>
        <w:rPr>
          <w:rFonts w:hint="eastAsia" w:ascii="Times New Roman" w:hAnsi="Times New Roman" w:eastAsia="方正仿宋_GBK" w:cs="Times New Roman"/>
          <w:bCs w:val="0"/>
          <w:szCs w:val="32"/>
        </w:rPr>
        <w:t>街道</w:t>
      </w:r>
      <w:r>
        <w:rPr>
          <w:rFonts w:ascii="Times New Roman" w:hAnsi="Times New Roman" w:eastAsia="方正仿宋_GBK" w:cs="Times New Roman"/>
          <w:bCs w:val="0"/>
          <w:szCs w:val="32"/>
        </w:rPr>
        <w:t>的信访工作</w:t>
      </w:r>
      <w:r>
        <w:rPr>
          <w:rFonts w:hint="eastAsia" w:ascii="Times New Roman" w:hAnsi="Times New Roman" w:eastAsia="方正仿宋_GBK" w:cs="Times New Roman"/>
          <w:bCs w:val="0"/>
          <w:szCs w:val="32"/>
        </w:rPr>
        <w:t>；</w:t>
      </w:r>
      <w:r>
        <w:rPr>
          <w:rFonts w:hint="eastAsia" w:ascii="Times New Roman" w:hAnsi="Times New Roman" w:eastAsia="方正仿宋_GBK" w:cs="Times New Roman"/>
          <w:b/>
          <w:szCs w:val="32"/>
        </w:rPr>
        <w:t>四是</w:t>
      </w:r>
      <w:r>
        <w:rPr>
          <w:rFonts w:ascii="Times New Roman" w:hAnsi="Times New Roman" w:eastAsia="方正仿宋_GBK" w:cs="Times New Roman"/>
          <w:bCs w:val="0"/>
          <w:szCs w:val="32"/>
        </w:rPr>
        <w:t>指导全县信访业务工作</w:t>
      </w:r>
      <w:r>
        <w:rPr>
          <w:rFonts w:hint="eastAsia" w:ascii="Times New Roman" w:hAnsi="Times New Roman" w:eastAsia="方正仿宋_GBK" w:cs="Times New Roman"/>
          <w:bCs w:val="0"/>
          <w:szCs w:val="32"/>
        </w:rPr>
        <w:t>，</w:t>
      </w:r>
      <w:r>
        <w:rPr>
          <w:rFonts w:ascii="Times New Roman" w:hAnsi="Times New Roman" w:eastAsia="方正仿宋_GBK" w:cs="Times New Roman"/>
          <w:bCs w:val="0"/>
          <w:szCs w:val="32"/>
        </w:rPr>
        <w:t>研究、起草我县有关信访工作的方针、政策、法规草案</w:t>
      </w:r>
      <w:r>
        <w:rPr>
          <w:rFonts w:hint="eastAsia" w:ascii="Times New Roman" w:hAnsi="Times New Roman" w:eastAsia="方正仿宋_GBK" w:cs="Times New Roman"/>
          <w:bCs w:val="0"/>
          <w:szCs w:val="32"/>
        </w:rPr>
        <w:t>，</w:t>
      </w:r>
      <w:r>
        <w:rPr>
          <w:rFonts w:ascii="Times New Roman" w:hAnsi="Times New Roman" w:eastAsia="方正仿宋_GBK" w:cs="Times New Roman"/>
          <w:bCs w:val="0"/>
          <w:szCs w:val="32"/>
        </w:rPr>
        <w:t>总结、推广各乡镇</w:t>
      </w:r>
      <w:r>
        <w:rPr>
          <w:rFonts w:hint="eastAsia" w:ascii="Times New Roman" w:hAnsi="Times New Roman" w:eastAsia="方正仿宋_GBK" w:cs="Times New Roman"/>
          <w:bCs w:val="0"/>
          <w:szCs w:val="32"/>
        </w:rPr>
        <w:t>（街道）</w:t>
      </w:r>
      <w:r>
        <w:rPr>
          <w:rFonts w:ascii="Times New Roman" w:hAnsi="Times New Roman" w:eastAsia="方正仿宋_GBK" w:cs="Times New Roman"/>
          <w:bCs w:val="0"/>
          <w:szCs w:val="32"/>
        </w:rPr>
        <w:t>、县级各部门信访工作的经验，提出改进和加强信访工作的意见和建议</w:t>
      </w:r>
      <w:r>
        <w:rPr>
          <w:rFonts w:hint="eastAsia" w:ascii="Times New Roman" w:hAnsi="Times New Roman" w:eastAsia="方正仿宋_GBK" w:cs="Times New Roman"/>
          <w:bCs w:val="0"/>
          <w:szCs w:val="32"/>
        </w:rPr>
        <w:t>；</w:t>
      </w:r>
      <w:r>
        <w:rPr>
          <w:rFonts w:hint="eastAsia" w:ascii="Times New Roman" w:hAnsi="Times New Roman" w:eastAsia="方正仿宋_GBK" w:cs="Times New Roman"/>
          <w:b/>
          <w:szCs w:val="32"/>
        </w:rPr>
        <w:t>五是</w:t>
      </w:r>
      <w:r>
        <w:rPr>
          <w:rFonts w:ascii="Times New Roman" w:hAnsi="Times New Roman" w:eastAsia="方正仿宋_GBK" w:cs="Times New Roman"/>
          <w:bCs w:val="0"/>
          <w:szCs w:val="32"/>
        </w:rPr>
        <w:t>了解并掌握信访工作队伍建设情况，组织信访干部培训</w:t>
      </w:r>
      <w:r>
        <w:rPr>
          <w:rFonts w:hint="eastAsia" w:ascii="Times New Roman" w:hAnsi="Times New Roman" w:eastAsia="方正仿宋_GBK" w:cs="Times New Roman"/>
          <w:bCs w:val="0"/>
          <w:szCs w:val="32"/>
        </w:rPr>
        <w:t>，</w:t>
      </w:r>
      <w:r>
        <w:rPr>
          <w:rFonts w:ascii="Times New Roman" w:hAnsi="Times New Roman" w:eastAsia="方正仿宋_GBK" w:cs="Times New Roman"/>
          <w:bCs w:val="0"/>
          <w:szCs w:val="32"/>
        </w:rPr>
        <w:t>指导信访干部办公自动化建设</w:t>
      </w:r>
      <w:r>
        <w:rPr>
          <w:rFonts w:hint="eastAsia" w:ascii="Times New Roman" w:hAnsi="Times New Roman" w:eastAsia="方正仿宋_GBK" w:cs="Times New Roman"/>
          <w:bCs w:val="0"/>
          <w:szCs w:val="32"/>
        </w:rPr>
        <w:t>；</w:t>
      </w:r>
      <w:r>
        <w:rPr>
          <w:rFonts w:hint="eastAsia" w:ascii="Times New Roman" w:hAnsi="Times New Roman" w:eastAsia="方正仿宋_GBK" w:cs="Times New Roman"/>
          <w:b/>
          <w:szCs w:val="32"/>
        </w:rPr>
        <w:t>六是</w:t>
      </w:r>
      <w:r>
        <w:rPr>
          <w:rFonts w:ascii="Times New Roman" w:hAnsi="Times New Roman" w:eastAsia="方正仿宋_GBK" w:cs="Times New Roman"/>
          <w:bCs w:val="0"/>
          <w:szCs w:val="32"/>
        </w:rPr>
        <w:t>对信访信息进行筛选、上报、反馈，对重要信访问题开展调查研究，提出处理意见，供领导决策参考</w:t>
      </w:r>
      <w:r>
        <w:rPr>
          <w:rFonts w:hint="eastAsia" w:ascii="Times New Roman" w:hAnsi="Times New Roman" w:eastAsia="方正仿宋_GBK" w:cs="Times New Roman"/>
          <w:bCs w:val="0"/>
          <w:szCs w:val="32"/>
        </w:rPr>
        <w:t>；</w:t>
      </w:r>
      <w:r>
        <w:rPr>
          <w:rFonts w:hint="eastAsia" w:ascii="Times New Roman" w:hAnsi="Times New Roman" w:eastAsia="方正仿宋_GBK" w:cs="Times New Roman"/>
          <w:b/>
          <w:szCs w:val="32"/>
        </w:rPr>
        <w:t>七是</w:t>
      </w:r>
      <w:r>
        <w:rPr>
          <w:rFonts w:ascii="Times New Roman" w:hAnsi="Times New Roman" w:eastAsia="方正仿宋_GBK" w:cs="Times New Roman"/>
          <w:bCs w:val="0"/>
          <w:szCs w:val="32"/>
        </w:rPr>
        <w:t>负责收集、征集人民群众建议，并督促有关部门认真采纳</w:t>
      </w:r>
      <w:r>
        <w:rPr>
          <w:rFonts w:hint="eastAsia" w:ascii="Times New Roman" w:hAnsi="Times New Roman" w:eastAsia="方正仿宋_GBK" w:cs="Times New Roman"/>
          <w:bCs w:val="0"/>
          <w:szCs w:val="32"/>
        </w:rPr>
        <w:t>；</w:t>
      </w:r>
      <w:r>
        <w:rPr>
          <w:rFonts w:hint="eastAsia" w:ascii="Times New Roman" w:hAnsi="Times New Roman" w:eastAsia="方正仿宋_GBK" w:cs="Times New Roman"/>
          <w:b/>
          <w:szCs w:val="32"/>
        </w:rPr>
        <w:t>八是</w:t>
      </w:r>
      <w:r>
        <w:rPr>
          <w:rFonts w:ascii="Times New Roman" w:hAnsi="Times New Roman" w:eastAsia="方正仿宋_GBK" w:cs="Times New Roman"/>
          <w:bCs w:val="0"/>
          <w:szCs w:val="32"/>
        </w:rPr>
        <w:t>牵头协调有关地方和部门正确处理人民内部矛盾，处置群众性事件，维护社会稳定</w:t>
      </w:r>
      <w:r>
        <w:rPr>
          <w:rFonts w:hint="eastAsia" w:ascii="Times New Roman" w:hAnsi="Times New Roman" w:eastAsia="方正仿宋_GBK" w:cs="Times New Roman"/>
          <w:bCs w:val="0"/>
          <w:szCs w:val="32"/>
        </w:rPr>
        <w:t>；</w:t>
      </w:r>
      <w:r>
        <w:rPr>
          <w:rFonts w:hint="eastAsia" w:ascii="Times New Roman" w:hAnsi="Times New Roman" w:eastAsia="方正仿宋_GBK" w:cs="Times New Roman"/>
          <w:b/>
          <w:szCs w:val="32"/>
        </w:rPr>
        <w:t>九是</w:t>
      </w:r>
      <w:r>
        <w:rPr>
          <w:rFonts w:ascii="Times New Roman" w:hAnsi="Times New Roman" w:eastAsia="方正仿宋_GBK" w:cs="Times New Roman"/>
          <w:bCs w:val="0"/>
          <w:spacing w:val="-11"/>
          <w:szCs w:val="32"/>
        </w:rPr>
        <w:t>承办县委、县政府和县委领导、县政府领导交办的其他事项。</w:t>
      </w:r>
    </w:p>
    <w:p>
      <w:pPr>
        <w:pStyle w:val="11"/>
        <w:widowControl/>
        <w:autoSpaceDE w:val="0"/>
        <w:spacing w:before="0" w:beforeAutospacing="0" w:after="0" w:afterAutospacing="0" w:line="520" w:lineRule="exact"/>
        <w:ind w:firstLine="640" w:firstLineChars="200"/>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（二）机构设置。</w:t>
      </w:r>
      <w:r>
        <w:rPr>
          <w:rFonts w:hint="default" w:ascii="Times New Roman" w:hAnsi="Times New Roman" w:eastAsia="方正仿宋_GBK"/>
          <w:bCs w:val="0"/>
          <w:sz w:val="32"/>
          <w:szCs w:val="32"/>
        </w:rPr>
        <w:t>丰都县信访办属财政全额拨款的行政单位，属于财政一级预算单位，隶属丰都县人民政府，承担全县人民来信来访和中、市、县三地涉我县维稳等工作</w:t>
      </w:r>
      <w:r>
        <w:rPr>
          <w:rFonts w:ascii="Times New Roman" w:hAnsi="Times New Roman" w:eastAsia="方正仿宋_GBK"/>
          <w:bCs w:val="0"/>
          <w:sz w:val="32"/>
          <w:szCs w:val="32"/>
        </w:rPr>
        <w:t>，</w:t>
      </w:r>
      <w:r>
        <w:rPr>
          <w:rFonts w:hint="default" w:ascii="Times New Roman" w:hAnsi="Times New Roman" w:eastAsia="方正仿宋_GBK"/>
          <w:bCs w:val="0"/>
          <w:sz w:val="32"/>
          <w:szCs w:val="32"/>
        </w:rPr>
        <w:t>内设</w:t>
      </w:r>
      <w:r>
        <w:rPr>
          <w:rFonts w:ascii="Times New Roman" w:hAnsi="Times New Roman" w:eastAsia="方正仿宋_GBK"/>
          <w:bCs w:val="0"/>
          <w:sz w:val="32"/>
          <w:szCs w:val="32"/>
        </w:rPr>
        <w:t>3</w:t>
      </w:r>
      <w:r>
        <w:rPr>
          <w:rFonts w:hint="default" w:ascii="Times New Roman" w:hAnsi="Times New Roman" w:eastAsia="方正仿宋_GBK"/>
          <w:bCs w:val="0"/>
          <w:sz w:val="32"/>
          <w:szCs w:val="32"/>
        </w:rPr>
        <w:t>个职能科室</w:t>
      </w:r>
      <w:r>
        <w:rPr>
          <w:rFonts w:ascii="Times New Roman" w:hAnsi="Times New Roman" w:eastAsia="方正仿宋_GBK"/>
          <w:bCs w:val="0"/>
          <w:sz w:val="32"/>
          <w:szCs w:val="32"/>
        </w:rPr>
        <w:t>：综合科、督查复查科、信访稳定协调科、下设信访信息中心。</w:t>
      </w:r>
    </w:p>
    <w:p>
      <w:pPr>
        <w:pStyle w:val="11"/>
        <w:widowControl/>
        <w:autoSpaceDE w:val="0"/>
        <w:spacing w:before="0" w:beforeAutospacing="0" w:after="0" w:afterAutospacing="0" w:line="520" w:lineRule="exact"/>
        <w:ind w:firstLine="640" w:firstLineChars="200"/>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（三）单位构成。</w:t>
      </w:r>
      <w:r>
        <w:rPr>
          <w:rFonts w:hint="default" w:ascii="Times New Roman" w:hAnsi="Times New Roman" w:eastAsia="方正仿宋_GBK"/>
          <w:bCs w:val="0"/>
          <w:sz w:val="32"/>
          <w:szCs w:val="32"/>
        </w:rPr>
        <w:t>从预算单位构成看，无纳入本部门</w:t>
      </w:r>
      <w:r>
        <w:rPr>
          <w:rFonts w:hint="default" w:ascii="Times New Roman" w:hAnsi="Times New Roman" w:eastAsia="方正仿宋_GBK"/>
          <w:bCs w:val="0"/>
          <w:color w:val="000000"/>
          <w:sz w:val="32"/>
          <w:szCs w:val="32"/>
        </w:rPr>
        <w:t>2022</w:t>
      </w:r>
      <w:r>
        <w:rPr>
          <w:rFonts w:hint="default" w:ascii="Times New Roman" w:hAnsi="Times New Roman" w:eastAsia="方正仿宋_GBK"/>
          <w:bCs w:val="0"/>
          <w:sz w:val="32"/>
          <w:szCs w:val="32"/>
        </w:rPr>
        <w:t>年度决算编制的下级预算单位。</w:t>
      </w:r>
    </w:p>
    <w:p>
      <w:pPr>
        <w:pStyle w:val="11"/>
        <w:widowControl/>
        <w:autoSpaceDE w:val="0"/>
        <w:spacing w:before="0" w:beforeAutospacing="0" w:after="0" w:afterAutospacing="0" w:line="520" w:lineRule="exact"/>
        <w:ind w:firstLine="640" w:firstLineChars="200"/>
        <w:rPr>
          <w:rFonts w:hint="default" w:ascii="Times New Roman" w:hAnsi="Times New Roman" w:eastAsia="方正黑体_GBK"/>
          <w:bCs w:val="0"/>
          <w:sz w:val="32"/>
          <w:szCs w:val="32"/>
        </w:rPr>
      </w:pPr>
      <w:r>
        <w:rPr>
          <w:rStyle w:val="12"/>
          <w:rFonts w:eastAsia="方正黑体_GBK"/>
          <w:b w:val="0"/>
          <w:bCs w:val="0"/>
          <w:sz w:val="32"/>
          <w:szCs w:val="32"/>
          <w:shd w:val="clear" w:color="auto" w:fill="FFFFFF"/>
        </w:rPr>
        <w:t>二、部门决算情况说明</w:t>
      </w:r>
    </w:p>
    <w:p>
      <w:pPr>
        <w:pStyle w:val="11"/>
        <w:widowControl/>
        <w:autoSpaceDE w:val="0"/>
        <w:spacing w:before="0" w:beforeAutospacing="0" w:after="0" w:afterAutospacing="0" w:line="520" w:lineRule="exact"/>
        <w:ind w:firstLine="640" w:firstLineChars="200"/>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（一）收入支出决算总体情况说明。</w:t>
      </w:r>
      <w:r>
        <w:rPr>
          <w:rFonts w:ascii="方正仿宋_GBK" w:hAnsi="方正仿宋_GBK" w:eastAsia="方正仿宋_GBK" w:cs="方正仿宋_GBK"/>
          <w:b/>
          <w:sz w:val="32"/>
          <w:szCs w:val="32"/>
        </w:rPr>
        <w:t>一是</w:t>
      </w:r>
      <w:r>
        <w:rPr>
          <w:rStyle w:val="12"/>
          <w:rFonts w:hint="eastAsia" w:ascii="方正仿宋_GBK" w:hAnsi="方正仿宋_GBK" w:eastAsia="方正仿宋_GBK" w:cs="方正仿宋_GBK"/>
          <w:bCs/>
          <w:sz w:val="32"/>
          <w:szCs w:val="32"/>
          <w:shd w:val="clear" w:color="auto" w:fill="FFFFFF"/>
        </w:rPr>
        <w:t>总体情况方面。</w:t>
      </w:r>
      <w:r>
        <w:rPr>
          <w:rFonts w:hint="default" w:ascii="Times New Roman" w:hAnsi="Times New Roman" w:eastAsia="方正仿宋_GBK"/>
          <w:bCs w:val="0"/>
          <w:sz w:val="32"/>
          <w:szCs w:val="32"/>
          <w:shd w:val="clear" w:color="auto" w:fill="FFFFFF"/>
        </w:rPr>
        <w:t>2022年度收入总计681.9</w:t>
      </w:r>
      <w:r>
        <w:rPr>
          <w:rFonts w:ascii="Times New Roman" w:hAnsi="Times New Roman" w:eastAsia="方正仿宋_GBK"/>
          <w:bCs w:val="0"/>
          <w:sz w:val="32"/>
          <w:szCs w:val="32"/>
          <w:shd w:val="clear" w:color="auto" w:fill="FFFFFF"/>
        </w:rPr>
        <w:t>3</w:t>
      </w:r>
      <w:r>
        <w:rPr>
          <w:rFonts w:hint="default" w:ascii="Times New Roman" w:hAnsi="Times New Roman" w:eastAsia="方正仿宋_GBK"/>
          <w:bCs w:val="0"/>
          <w:sz w:val="32"/>
          <w:szCs w:val="32"/>
          <w:shd w:val="clear" w:color="auto" w:fill="FFFFFF"/>
        </w:rPr>
        <w:t>万元，支出总计681.94万元。收支较上年决算数增加20.95万元,增长3.2%，主要原因是</w:t>
      </w:r>
      <w:r>
        <w:rPr>
          <w:rFonts w:hint="default" w:ascii="Times New Roman" w:hAnsi="Times New Roman" w:eastAsia="方正仿宋_GBK"/>
          <w:bCs w:val="0"/>
          <w:sz w:val="32"/>
          <w:szCs w:val="32"/>
        </w:rPr>
        <w:t>上访事件</w:t>
      </w:r>
      <w:r>
        <w:rPr>
          <w:rFonts w:hint="default" w:ascii="Times New Roman" w:hAnsi="Times New Roman" w:eastAsia="方正仿宋_GBK"/>
          <w:bCs w:val="0"/>
          <w:sz w:val="32"/>
          <w:szCs w:val="32"/>
          <w:shd w:val="clear" w:color="auto" w:fill="FFFFFF"/>
        </w:rPr>
        <w:t>增加</w:t>
      </w:r>
      <w:r>
        <w:rPr>
          <w:rFonts w:hint="default" w:ascii="Times New Roman" w:hAnsi="Times New Roman" w:eastAsia="方正仿宋_GBK"/>
          <w:bCs w:val="0"/>
          <w:sz w:val="32"/>
          <w:szCs w:val="32"/>
        </w:rPr>
        <w:t>，维稳经费</w:t>
      </w:r>
      <w:r>
        <w:rPr>
          <w:rFonts w:hint="default" w:ascii="Times New Roman" w:hAnsi="Times New Roman" w:eastAsia="方正仿宋_GBK"/>
          <w:bCs w:val="0"/>
          <w:sz w:val="32"/>
          <w:szCs w:val="32"/>
          <w:shd w:val="clear" w:color="auto" w:fill="FFFFFF"/>
        </w:rPr>
        <w:t>增加</w:t>
      </w:r>
      <w:r>
        <w:rPr>
          <w:rFonts w:ascii="Times New Roman" w:hAnsi="Times New Roman" w:eastAsia="方正仿宋_GBK"/>
          <w:bCs w:val="0"/>
          <w:sz w:val="32"/>
          <w:szCs w:val="32"/>
          <w:shd w:val="clear" w:color="auto" w:fill="FFFFFF"/>
        </w:rPr>
        <w:t>；</w:t>
      </w:r>
      <w:r>
        <w:rPr>
          <w:rFonts w:ascii="Times New Roman" w:hAnsi="Times New Roman" w:eastAsia="方正仿宋_GBK"/>
          <w:b/>
          <w:sz w:val="32"/>
          <w:szCs w:val="32"/>
          <w:shd w:val="clear" w:color="auto" w:fill="FFFFFF"/>
        </w:rPr>
        <w:t>二是</w:t>
      </w:r>
      <w:r>
        <w:rPr>
          <w:rStyle w:val="12"/>
          <w:rFonts w:eastAsia="方正仿宋_GBK"/>
          <w:bCs/>
          <w:sz w:val="32"/>
          <w:szCs w:val="32"/>
          <w:shd w:val="clear" w:color="auto" w:fill="FFFFFF"/>
        </w:rPr>
        <w:t>收入情况</w:t>
      </w:r>
      <w:r>
        <w:rPr>
          <w:rStyle w:val="12"/>
          <w:rFonts w:hint="eastAsia" w:eastAsia="方正仿宋_GBK"/>
          <w:bCs/>
          <w:sz w:val="32"/>
          <w:szCs w:val="32"/>
          <w:shd w:val="clear" w:color="auto" w:fill="FFFFFF"/>
        </w:rPr>
        <w:t>方面</w:t>
      </w:r>
      <w:r>
        <w:rPr>
          <w:rStyle w:val="12"/>
          <w:rFonts w:eastAsia="方正仿宋_GBK"/>
          <w:bCs/>
          <w:sz w:val="32"/>
          <w:szCs w:val="32"/>
          <w:shd w:val="clear" w:color="auto" w:fill="FFFFFF"/>
        </w:rPr>
        <w:t>。</w:t>
      </w:r>
      <w:r>
        <w:rPr>
          <w:rFonts w:hint="default" w:ascii="Times New Roman" w:hAnsi="Times New Roman" w:eastAsia="方正仿宋_GBK"/>
          <w:bCs w:val="0"/>
          <w:sz w:val="32"/>
          <w:szCs w:val="32"/>
          <w:shd w:val="clear" w:color="auto" w:fill="FFFFFF"/>
        </w:rPr>
        <w:t>2022年度收入合计678.05万元，较上年决算数增加17.70万元，增长2.7%，主要原因是</w:t>
      </w:r>
      <w:r>
        <w:rPr>
          <w:rFonts w:hint="default" w:ascii="Times New Roman" w:hAnsi="Times New Roman" w:eastAsia="方正仿宋_GBK"/>
          <w:bCs w:val="0"/>
          <w:sz w:val="32"/>
          <w:szCs w:val="32"/>
        </w:rPr>
        <w:t>上访事件</w:t>
      </w:r>
      <w:r>
        <w:rPr>
          <w:rFonts w:hint="default" w:ascii="Times New Roman" w:hAnsi="Times New Roman" w:eastAsia="方正仿宋_GBK"/>
          <w:bCs w:val="0"/>
          <w:sz w:val="32"/>
          <w:szCs w:val="32"/>
          <w:shd w:val="clear" w:color="auto" w:fill="FFFFFF"/>
        </w:rPr>
        <w:t>增加</w:t>
      </w:r>
      <w:r>
        <w:rPr>
          <w:rFonts w:hint="default" w:ascii="Times New Roman" w:hAnsi="Times New Roman" w:eastAsia="方正仿宋_GBK"/>
          <w:bCs w:val="0"/>
          <w:sz w:val="32"/>
          <w:szCs w:val="32"/>
        </w:rPr>
        <w:t>，维稳经费</w:t>
      </w:r>
      <w:r>
        <w:rPr>
          <w:rFonts w:hint="default" w:ascii="Times New Roman" w:hAnsi="Times New Roman" w:eastAsia="方正仿宋_GBK"/>
          <w:bCs w:val="0"/>
          <w:sz w:val="32"/>
          <w:szCs w:val="32"/>
          <w:shd w:val="clear" w:color="auto" w:fill="FFFFFF"/>
        </w:rPr>
        <w:t>增加。其中财政拨款收入678.05万元，占100%</w:t>
      </w:r>
      <w:r>
        <w:rPr>
          <w:rFonts w:ascii="Times New Roman" w:hAnsi="Times New Roman" w:eastAsia="方正仿宋_GBK"/>
          <w:bCs w:val="0"/>
          <w:sz w:val="32"/>
          <w:szCs w:val="32"/>
          <w:shd w:val="clear" w:color="auto" w:fill="FFFFFF"/>
        </w:rPr>
        <w:t>。</w:t>
      </w:r>
      <w:r>
        <w:rPr>
          <w:rFonts w:hint="default" w:ascii="Times New Roman" w:hAnsi="Times New Roman" w:eastAsia="方正仿宋_GBK"/>
          <w:bCs w:val="0"/>
          <w:sz w:val="32"/>
          <w:szCs w:val="32"/>
          <w:shd w:val="clear" w:color="auto" w:fill="FFFFFF"/>
        </w:rPr>
        <w:t>此外，使用非财政拨款结余0.00万元，年初结转和结余3.88万元</w:t>
      </w:r>
      <w:r>
        <w:rPr>
          <w:rFonts w:ascii="Times New Roman" w:hAnsi="Times New Roman" w:eastAsia="方正仿宋_GBK"/>
          <w:bCs w:val="0"/>
          <w:sz w:val="32"/>
          <w:szCs w:val="32"/>
          <w:shd w:val="clear" w:color="auto" w:fill="FFFFFF"/>
        </w:rPr>
        <w:t>；</w:t>
      </w:r>
      <w:r>
        <w:rPr>
          <w:rFonts w:ascii="Times New Roman" w:hAnsi="Times New Roman" w:eastAsia="方正仿宋_GBK"/>
          <w:b/>
          <w:sz w:val="32"/>
          <w:szCs w:val="32"/>
          <w:shd w:val="clear" w:color="auto" w:fill="FFFFFF"/>
        </w:rPr>
        <w:t>三是</w:t>
      </w:r>
      <w:r>
        <w:rPr>
          <w:rStyle w:val="12"/>
          <w:rFonts w:eastAsia="方正仿宋_GBK"/>
          <w:bCs/>
          <w:sz w:val="32"/>
          <w:szCs w:val="32"/>
          <w:shd w:val="clear" w:color="auto" w:fill="FFFFFF"/>
        </w:rPr>
        <w:t>支出情况</w:t>
      </w:r>
      <w:r>
        <w:rPr>
          <w:rStyle w:val="12"/>
          <w:rFonts w:hint="eastAsia" w:eastAsia="方正仿宋_GBK"/>
          <w:bCs/>
          <w:sz w:val="32"/>
          <w:szCs w:val="32"/>
          <w:shd w:val="clear" w:color="auto" w:fill="FFFFFF"/>
        </w:rPr>
        <w:t>方面</w:t>
      </w:r>
      <w:r>
        <w:rPr>
          <w:rStyle w:val="12"/>
          <w:rFonts w:eastAsia="方正仿宋_GBK"/>
          <w:bCs/>
          <w:sz w:val="32"/>
          <w:szCs w:val="32"/>
          <w:shd w:val="clear" w:color="auto" w:fill="FFFFFF"/>
        </w:rPr>
        <w:t>。</w:t>
      </w:r>
      <w:r>
        <w:rPr>
          <w:rFonts w:hint="default" w:ascii="Times New Roman" w:hAnsi="Times New Roman" w:eastAsia="方正仿宋_GBK"/>
          <w:bCs w:val="0"/>
          <w:sz w:val="32"/>
          <w:szCs w:val="32"/>
          <w:shd w:val="clear" w:color="auto" w:fill="FFFFFF"/>
        </w:rPr>
        <w:t>2022年度支出合计680.52万元，较上年决算增加23.41万元，增长3.6%，主要原因是</w:t>
      </w:r>
      <w:r>
        <w:rPr>
          <w:rFonts w:hint="default" w:ascii="Times New Roman" w:hAnsi="Times New Roman" w:eastAsia="方正仿宋_GBK"/>
          <w:bCs w:val="0"/>
          <w:sz w:val="32"/>
          <w:szCs w:val="32"/>
        </w:rPr>
        <w:t>上访事件</w:t>
      </w:r>
      <w:r>
        <w:rPr>
          <w:rFonts w:hint="default" w:ascii="Times New Roman" w:hAnsi="Times New Roman" w:eastAsia="方正仿宋_GBK"/>
          <w:bCs w:val="0"/>
          <w:sz w:val="32"/>
          <w:szCs w:val="32"/>
          <w:shd w:val="clear" w:color="auto" w:fill="FFFFFF"/>
        </w:rPr>
        <w:t>增加</w:t>
      </w:r>
      <w:r>
        <w:rPr>
          <w:rFonts w:hint="default" w:ascii="Times New Roman" w:hAnsi="Times New Roman" w:eastAsia="方正仿宋_GBK"/>
          <w:bCs w:val="0"/>
          <w:sz w:val="32"/>
          <w:szCs w:val="32"/>
        </w:rPr>
        <w:t>，维稳经费</w:t>
      </w:r>
      <w:r>
        <w:rPr>
          <w:rFonts w:hint="default" w:ascii="Times New Roman" w:hAnsi="Times New Roman" w:eastAsia="方正仿宋_GBK"/>
          <w:bCs w:val="0"/>
          <w:sz w:val="32"/>
          <w:szCs w:val="32"/>
          <w:shd w:val="clear" w:color="auto" w:fill="FFFFFF"/>
        </w:rPr>
        <w:t>增加。其中基本支出543.62万元，占79.9%；项目支出136.89万元，占20.1%；此外，结余分配0.00万元。</w:t>
      </w:r>
      <w:r>
        <w:rPr>
          <w:rFonts w:ascii="Times New Roman" w:hAnsi="Times New Roman" w:eastAsia="方正仿宋_GBK"/>
          <w:b/>
          <w:sz w:val="32"/>
          <w:szCs w:val="32"/>
          <w:shd w:val="clear" w:color="auto" w:fill="FFFFFF"/>
        </w:rPr>
        <w:t>四是</w:t>
      </w:r>
      <w:r>
        <w:rPr>
          <w:rStyle w:val="12"/>
          <w:rFonts w:eastAsia="方正仿宋_GBK"/>
          <w:bCs/>
          <w:sz w:val="32"/>
          <w:szCs w:val="32"/>
          <w:shd w:val="clear" w:color="auto" w:fill="FFFFFF"/>
        </w:rPr>
        <w:t>结转结余情况</w:t>
      </w:r>
      <w:r>
        <w:rPr>
          <w:rStyle w:val="12"/>
          <w:rFonts w:hint="eastAsia" w:eastAsia="方正仿宋_GBK"/>
          <w:bCs/>
          <w:sz w:val="32"/>
          <w:szCs w:val="32"/>
          <w:shd w:val="clear" w:color="auto" w:fill="FFFFFF"/>
        </w:rPr>
        <w:t>方面</w:t>
      </w:r>
      <w:r>
        <w:rPr>
          <w:rStyle w:val="12"/>
          <w:rFonts w:eastAsia="方正仿宋_GBK"/>
          <w:bCs/>
          <w:sz w:val="32"/>
          <w:szCs w:val="32"/>
          <w:shd w:val="clear" w:color="auto" w:fill="FFFFFF"/>
        </w:rPr>
        <w:t>。</w:t>
      </w:r>
      <w:r>
        <w:rPr>
          <w:rFonts w:hint="default" w:ascii="Times New Roman" w:hAnsi="Times New Roman" w:eastAsia="方正仿宋_GBK"/>
          <w:bCs w:val="0"/>
          <w:sz w:val="32"/>
          <w:szCs w:val="32"/>
          <w:shd w:val="clear" w:color="auto" w:fill="FFFFFF"/>
        </w:rPr>
        <w:t>2022年度年末结转和结余1.42万元，较上年决算数减少2.46万元，下降63.4%，主要原因是</w:t>
      </w:r>
      <w:r>
        <w:rPr>
          <w:rFonts w:hint="default" w:ascii="Times New Roman" w:hAnsi="Times New Roman" w:eastAsia="方正仿宋_GBK"/>
          <w:bCs w:val="0"/>
          <w:sz w:val="32"/>
          <w:szCs w:val="32"/>
        </w:rPr>
        <w:t>维稳项目还在实施中。</w:t>
      </w:r>
    </w:p>
    <w:p>
      <w:pPr>
        <w:pStyle w:val="11"/>
        <w:widowControl/>
        <w:autoSpaceDE w:val="0"/>
        <w:spacing w:before="0" w:beforeAutospacing="0" w:after="0" w:afterAutospacing="0" w:line="520" w:lineRule="exact"/>
        <w:ind w:firstLine="640" w:firstLineChars="200"/>
        <w:rPr>
          <w:rFonts w:hint="default" w:ascii="Times New Roman" w:hAnsi="Times New Roman" w:eastAsia="方正仿宋_GBK"/>
          <w:bCs w:val="0"/>
          <w:sz w:val="32"/>
          <w:szCs w:val="32"/>
          <w:shd w:val="clear" w:color="auto" w:fill="FFFFFF"/>
        </w:rPr>
      </w:pPr>
      <w:r>
        <w:rPr>
          <w:rStyle w:val="12"/>
          <w:rFonts w:hint="eastAsia" w:ascii="方正楷体_GBK" w:hAnsi="方正楷体_GBK" w:eastAsia="方正楷体_GBK" w:cs="方正楷体_GBK"/>
          <w:b w:val="0"/>
          <w:bCs w:val="0"/>
          <w:sz w:val="32"/>
          <w:szCs w:val="32"/>
          <w:shd w:val="clear" w:color="auto" w:fill="FFFFFF"/>
        </w:rPr>
        <w:t>（二）财政拨款收入支出决算总体情况说明。</w:t>
      </w:r>
      <w:r>
        <w:rPr>
          <w:rFonts w:hint="default" w:ascii="Times New Roman" w:hAnsi="Times New Roman" w:eastAsia="方正仿宋_GBK"/>
          <w:bCs w:val="0"/>
          <w:sz w:val="32"/>
          <w:szCs w:val="32"/>
          <w:shd w:val="clear" w:color="auto" w:fill="FFFFFF"/>
        </w:rPr>
        <w:t>2022年度财政拨款收、支总计681.94万元。与2021年相比，财政拨款收、支总计各增加20.95万元，增长3.2%。主要原因是</w:t>
      </w:r>
      <w:r>
        <w:rPr>
          <w:rFonts w:hint="default" w:ascii="Times New Roman" w:hAnsi="Times New Roman" w:eastAsia="方正仿宋_GBK"/>
          <w:bCs w:val="0"/>
          <w:sz w:val="32"/>
          <w:szCs w:val="32"/>
        </w:rPr>
        <w:t>上访事件</w:t>
      </w:r>
      <w:r>
        <w:rPr>
          <w:rFonts w:hint="default" w:ascii="Times New Roman" w:hAnsi="Times New Roman" w:eastAsia="方正仿宋_GBK"/>
          <w:bCs w:val="0"/>
          <w:sz w:val="32"/>
          <w:szCs w:val="32"/>
          <w:shd w:val="clear" w:color="auto" w:fill="FFFFFF"/>
        </w:rPr>
        <w:t>增加</w:t>
      </w:r>
      <w:r>
        <w:rPr>
          <w:rFonts w:hint="default" w:ascii="Times New Roman" w:hAnsi="Times New Roman" w:eastAsia="方正仿宋_GBK"/>
          <w:bCs w:val="0"/>
          <w:sz w:val="32"/>
          <w:szCs w:val="32"/>
        </w:rPr>
        <w:t>，维稳经费</w:t>
      </w:r>
      <w:r>
        <w:rPr>
          <w:rFonts w:hint="default" w:ascii="Times New Roman" w:hAnsi="Times New Roman" w:eastAsia="方正仿宋_GBK"/>
          <w:bCs w:val="0"/>
          <w:sz w:val="32"/>
          <w:szCs w:val="32"/>
          <w:shd w:val="clear" w:color="auto" w:fill="FFFFFF"/>
        </w:rPr>
        <w:t>增加</w:t>
      </w:r>
      <w:r>
        <w:rPr>
          <w:rFonts w:ascii="Times New Roman" w:hAnsi="Times New Roman" w:eastAsia="方正仿宋_GBK"/>
          <w:bCs w:val="0"/>
          <w:sz w:val="32"/>
          <w:szCs w:val="32"/>
          <w:shd w:val="clear" w:color="auto" w:fill="FFFFFF"/>
        </w:rPr>
        <w:t>。</w:t>
      </w:r>
    </w:p>
    <w:p>
      <w:pPr>
        <w:pStyle w:val="11"/>
        <w:widowControl/>
        <w:autoSpaceDE w:val="0"/>
        <w:spacing w:before="0" w:beforeAutospacing="0" w:after="0" w:afterAutospacing="0" w:line="520" w:lineRule="exact"/>
        <w:ind w:firstLine="640" w:firstLineChars="200"/>
        <w:jc w:val="both"/>
        <w:rPr>
          <w:rFonts w:hint="default" w:ascii="Times New Roman" w:hAnsi="Times New Roman" w:eastAsia="方正仿宋_GBK"/>
          <w:bCs w:val="0"/>
          <w:sz w:val="32"/>
          <w:szCs w:val="32"/>
          <w:shd w:val="clear" w:color="auto" w:fill="FFFFFF"/>
        </w:rPr>
      </w:pPr>
      <w:r>
        <w:rPr>
          <w:rStyle w:val="12"/>
          <w:rFonts w:hint="eastAsia" w:ascii="方正楷体_GBK" w:hAnsi="方正楷体_GBK" w:eastAsia="方正楷体_GBK" w:cs="方正楷体_GBK"/>
          <w:b w:val="0"/>
          <w:bCs w:val="0"/>
          <w:sz w:val="32"/>
          <w:szCs w:val="32"/>
          <w:shd w:val="clear" w:color="auto" w:fill="FFFFFF"/>
        </w:rPr>
        <w:t>（三）一般公共预算财政拨款收入支出决算情况说明。</w:t>
      </w:r>
      <w:r>
        <w:rPr>
          <w:rStyle w:val="12"/>
          <w:rFonts w:hint="eastAsia" w:ascii="方正仿宋_GBK" w:hAnsi="方正仿宋_GBK" w:eastAsia="方正仿宋_GBK" w:cs="方正仿宋_GBK"/>
          <w:bCs/>
          <w:sz w:val="32"/>
          <w:szCs w:val="32"/>
          <w:shd w:val="clear" w:color="auto" w:fill="FFFFFF"/>
        </w:rPr>
        <w:t>一是收入情况。</w:t>
      </w:r>
      <w:r>
        <w:rPr>
          <w:rFonts w:hint="default" w:ascii="Times New Roman" w:hAnsi="Times New Roman" w:eastAsia="方正仿宋_GBK"/>
          <w:bCs w:val="0"/>
          <w:sz w:val="32"/>
          <w:szCs w:val="32"/>
          <w:shd w:val="clear" w:color="auto" w:fill="FFFFFF"/>
        </w:rPr>
        <w:t>2022年度一般公共预算财政拨款收入678.05万元，较上年决算数增加17.70万元，增长2.7%。主要原因是</w:t>
      </w:r>
      <w:r>
        <w:rPr>
          <w:rFonts w:hint="default" w:ascii="Times New Roman" w:hAnsi="Times New Roman" w:eastAsia="方正仿宋_GBK"/>
          <w:bCs w:val="0"/>
          <w:sz w:val="32"/>
          <w:szCs w:val="32"/>
        </w:rPr>
        <w:t>上访事件</w:t>
      </w:r>
      <w:r>
        <w:rPr>
          <w:rFonts w:hint="default" w:ascii="Times New Roman" w:hAnsi="Times New Roman" w:eastAsia="方正仿宋_GBK"/>
          <w:bCs w:val="0"/>
          <w:sz w:val="32"/>
          <w:szCs w:val="32"/>
          <w:shd w:val="clear" w:color="auto" w:fill="FFFFFF"/>
        </w:rPr>
        <w:t>增加</w:t>
      </w:r>
      <w:r>
        <w:rPr>
          <w:rFonts w:hint="default" w:ascii="Times New Roman" w:hAnsi="Times New Roman" w:eastAsia="方正仿宋_GBK"/>
          <w:bCs w:val="0"/>
          <w:sz w:val="32"/>
          <w:szCs w:val="32"/>
        </w:rPr>
        <w:t>，维稳经费</w:t>
      </w:r>
      <w:r>
        <w:rPr>
          <w:rFonts w:hint="default" w:ascii="Times New Roman" w:hAnsi="Times New Roman" w:eastAsia="方正仿宋_GBK"/>
          <w:bCs w:val="0"/>
          <w:sz w:val="32"/>
          <w:szCs w:val="32"/>
          <w:shd w:val="clear" w:color="auto" w:fill="FFFFFF"/>
        </w:rPr>
        <w:t>增加。较年初预算数增加82.50万元，增长13.9%。主要原因是</w:t>
      </w:r>
      <w:r>
        <w:rPr>
          <w:rFonts w:hint="default" w:ascii="Times New Roman" w:hAnsi="Times New Roman" w:eastAsia="方正仿宋_GBK"/>
          <w:bCs w:val="0"/>
          <w:sz w:val="32"/>
          <w:szCs w:val="32"/>
        </w:rPr>
        <w:t>上访事件</w:t>
      </w:r>
      <w:r>
        <w:rPr>
          <w:rFonts w:hint="default" w:ascii="Times New Roman" w:hAnsi="Times New Roman" w:eastAsia="方正仿宋_GBK"/>
          <w:bCs w:val="0"/>
          <w:sz w:val="32"/>
          <w:szCs w:val="32"/>
          <w:shd w:val="clear" w:color="auto" w:fill="FFFFFF"/>
        </w:rPr>
        <w:t>增加</w:t>
      </w:r>
      <w:r>
        <w:rPr>
          <w:rFonts w:hint="default" w:ascii="Times New Roman" w:hAnsi="Times New Roman" w:eastAsia="方正仿宋_GBK"/>
          <w:bCs w:val="0"/>
          <w:sz w:val="32"/>
          <w:szCs w:val="32"/>
        </w:rPr>
        <w:t>，维稳经费</w:t>
      </w:r>
      <w:r>
        <w:rPr>
          <w:rFonts w:hint="default" w:ascii="Times New Roman" w:hAnsi="Times New Roman" w:eastAsia="方正仿宋_GBK"/>
          <w:bCs w:val="0"/>
          <w:sz w:val="32"/>
          <w:szCs w:val="32"/>
          <w:shd w:val="clear" w:color="auto" w:fill="FFFFFF"/>
        </w:rPr>
        <w:t>增加。此外，年初财政拨款结转和结余3.88万元</w:t>
      </w:r>
      <w:r>
        <w:rPr>
          <w:rFonts w:ascii="Times New Roman" w:hAnsi="Times New Roman" w:eastAsia="方正仿宋_GBK"/>
          <w:bCs w:val="0"/>
          <w:sz w:val="32"/>
          <w:szCs w:val="32"/>
          <w:shd w:val="clear" w:color="auto" w:fill="FFFFFF"/>
        </w:rPr>
        <w:t>；</w:t>
      </w:r>
      <w:r>
        <w:rPr>
          <w:rFonts w:ascii="Times New Roman" w:hAnsi="Times New Roman" w:eastAsia="方正仿宋_GBK"/>
          <w:b/>
          <w:sz w:val="32"/>
          <w:szCs w:val="32"/>
          <w:shd w:val="clear" w:color="auto" w:fill="FFFFFF"/>
        </w:rPr>
        <w:t>二是</w:t>
      </w:r>
      <w:r>
        <w:rPr>
          <w:rStyle w:val="12"/>
          <w:rFonts w:eastAsia="方正仿宋_GBK"/>
          <w:bCs/>
          <w:sz w:val="32"/>
          <w:szCs w:val="32"/>
          <w:shd w:val="clear" w:color="auto" w:fill="FFFFFF"/>
        </w:rPr>
        <w:t>支出情况</w:t>
      </w:r>
      <w:r>
        <w:rPr>
          <w:rStyle w:val="12"/>
          <w:rFonts w:hint="eastAsia" w:eastAsia="方正仿宋_GBK"/>
          <w:bCs/>
          <w:sz w:val="32"/>
          <w:szCs w:val="32"/>
          <w:shd w:val="clear" w:color="auto" w:fill="FFFFFF"/>
        </w:rPr>
        <w:t>方面</w:t>
      </w:r>
      <w:r>
        <w:rPr>
          <w:rStyle w:val="12"/>
          <w:rFonts w:eastAsia="方正仿宋_GBK"/>
          <w:bCs/>
          <w:sz w:val="32"/>
          <w:szCs w:val="32"/>
          <w:shd w:val="clear" w:color="auto" w:fill="FFFFFF"/>
        </w:rPr>
        <w:t>。</w:t>
      </w:r>
      <w:r>
        <w:rPr>
          <w:rFonts w:hint="default" w:ascii="Times New Roman" w:hAnsi="Times New Roman" w:eastAsia="方正仿宋_GBK"/>
          <w:bCs w:val="0"/>
          <w:sz w:val="32"/>
          <w:szCs w:val="32"/>
          <w:shd w:val="clear" w:color="auto" w:fill="FFFFFF"/>
        </w:rPr>
        <w:t>2022年度一般公共预算财政拨款支出680.52万元，较上年决算数增加23.41万元，增长3.6%。主要原因是</w:t>
      </w:r>
      <w:r>
        <w:rPr>
          <w:rFonts w:hint="default" w:ascii="Times New Roman" w:hAnsi="Times New Roman" w:eastAsia="方正仿宋_GBK"/>
          <w:bCs w:val="0"/>
          <w:sz w:val="32"/>
          <w:szCs w:val="32"/>
        </w:rPr>
        <w:t>上访事件</w:t>
      </w:r>
      <w:r>
        <w:rPr>
          <w:rFonts w:hint="default" w:ascii="Times New Roman" w:hAnsi="Times New Roman" w:eastAsia="方正仿宋_GBK"/>
          <w:bCs w:val="0"/>
          <w:sz w:val="32"/>
          <w:szCs w:val="32"/>
          <w:shd w:val="clear" w:color="auto" w:fill="FFFFFF"/>
        </w:rPr>
        <w:t>增加</w:t>
      </w:r>
      <w:r>
        <w:rPr>
          <w:rFonts w:hint="default" w:ascii="Times New Roman" w:hAnsi="Times New Roman" w:eastAsia="方正仿宋_GBK"/>
          <w:bCs w:val="0"/>
          <w:sz w:val="32"/>
          <w:szCs w:val="32"/>
        </w:rPr>
        <w:t>，维稳经费</w:t>
      </w:r>
      <w:r>
        <w:rPr>
          <w:rFonts w:hint="default" w:ascii="Times New Roman" w:hAnsi="Times New Roman" w:eastAsia="方正仿宋_GBK"/>
          <w:bCs w:val="0"/>
          <w:sz w:val="32"/>
          <w:szCs w:val="32"/>
          <w:shd w:val="clear" w:color="auto" w:fill="FFFFFF"/>
        </w:rPr>
        <w:t>增加。较年初预算数增加84.97万元，增长14.3%。主要原因是</w:t>
      </w:r>
      <w:r>
        <w:rPr>
          <w:rFonts w:hint="default" w:ascii="Times New Roman" w:hAnsi="Times New Roman" w:eastAsia="方正仿宋_GBK"/>
          <w:bCs w:val="0"/>
          <w:sz w:val="32"/>
          <w:szCs w:val="32"/>
        </w:rPr>
        <w:t>上访事件</w:t>
      </w:r>
      <w:r>
        <w:rPr>
          <w:rFonts w:hint="default" w:ascii="Times New Roman" w:hAnsi="Times New Roman" w:eastAsia="方正仿宋_GBK"/>
          <w:bCs w:val="0"/>
          <w:sz w:val="32"/>
          <w:szCs w:val="32"/>
          <w:shd w:val="clear" w:color="auto" w:fill="FFFFFF"/>
        </w:rPr>
        <w:t>增加</w:t>
      </w:r>
      <w:r>
        <w:rPr>
          <w:rFonts w:hint="default" w:ascii="Times New Roman" w:hAnsi="Times New Roman" w:eastAsia="方正仿宋_GBK"/>
          <w:bCs w:val="0"/>
          <w:sz w:val="32"/>
          <w:szCs w:val="32"/>
        </w:rPr>
        <w:t>，维稳经费</w:t>
      </w:r>
      <w:r>
        <w:rPr>
          <w:rFonts w:hint="default" w:ascii="Times New Roman" w:hAnsi="Times New Roman" w:eastAsia="方正仿宋_GBK"/>
          <w:bCs w:val="0"/>
          <w:sz w:val="32"/>
          <w:szCs w:val="32"/>
          <w:shd w:val="clear" w:color="auto" w:fill="FFFFFF"/>
        </w:rPr>
        <w:t>增加</w:t>
      </w:r>
      <w:r>
        <w:rPr>
          <w:rFonts w:ascii="Times New Roman" w:hAnsi="Times New Roman" w:eastAsia="方正仿宋_GBK"/>
          <w:bCs w:val="0"/>
          <w:sz w:val="32"/>
          <w:szCs w:val="32"/>
          <w:shd w:val="clear" w:color="auto" w:fill="FFFFFF"/>
        </w:rPr>
        <w:t>；</w:t>
      </w:r>
      <w:r>
        <w:rPr>
          <w:rFonts w:ascii="Times New Roman" w:hAnsi="Times New Roman" w:eastAsia="方正仿宋_GBK"/>
          <w:b/>
          <w:sz w:val="32"/>
          <w:szCs w:val="32"/>
          <w:shd w:val="clear" w:color="auto" w:fill="FFFFFF"/>
        </w:rPr>
        <w:t>三是</w:t>
      </w:r>
      <w:r>
        <w:rPr>
          <w:rStyle w:val="12"/>
          <w:rFonts w:eastAsia="方正仿宋_GBK"/>
          <w:bCs/>
          <w:sz w:val="32"/>
          <w:szCs w:val="32"/>
          <w:shd w:val="clear" w:color="auto" w:fill="FFFFFF"/>
        </w:rPr>
        <w:t>结转结余情况。</w:t>
      </w:r>
      <w:r>
        <w:rPr>
          <w:rFonts w:hint="default" w:ascii="Times New Roman" w:hAnsi="Times New Roman" w:eastAsia="方正仿宋_GBK"/>
          <w:bCs w:val="0"/>
          <w:sz w:val="32"/>
          <w:szCs w:val="32"/>
          <w:shd w:val="clear" w:color="auto" w:fill="FFFFFF"/>
        </w:rPr>
        <w:t>2022年度年末一般公共预算财政拨款结转和结余1.42万元，较上年决算数减少2.46万元，下降63.4%，主要原因是</w:t>
      </w:r>
      <w:r>
        <w:rPr>
          <w:rFonts w:hint="default" w:ascii="Times New Roman" w:hAnsi="Times New Roman" w:eastAsia="方正仿宋_GBK"/>
          <w:bCs w:val="0"/>
          <w:sz w:val="32"/>
          <w:szCs w:val="32"/>
        </w:rPr>
        <w:t>维稳项目还在实施中</w:t>
      </w:r>
      <w:r>
        <w:rPr>
          <w:rFonts w:ascii="Times New Roman" w:hAnsi="Times New Roman" w:eastAsia="方正仿宋_GBK"/>
          <w:bCs w:val="0"/>
          <w:sz w:val="32"/>
          <w:szCs w:val="32"/>
        </w:rPr>
        <w:t>；</w:t>
      </w:r>
      <w:r>
        <w:rPr>
          <w:rFonts w:ascii="Times New Roman" w:hAnsi="Times New Roman" w:eastAsia="方正仿宋_GBK"/>
          <w:b/>
          <w:sz w:val="32"/>
          <w:szCs w:val="32"/>
        </w:rPr>
        <w:t>四是</w:t>
      </w:r>
      <w:r>
        <w:rPr>
          <w:rStyle w:val="12"/>
          <w:rFonts w:eastAsia="方正仿宋_GBK"/>
          <w:bCs/>
          <w:sz w:val="32"/>
          <w:szCs w:val="32"/>
          <w:shd w:val="clear" w:color="auto" w:fill="FFFFFF"/>
        </w:rPr>
        <w:t>比较情况</w:t>
      </w:r>
      <w:r>
        <w:rPr>
          <w:rStyle w:val="12"/>
          <w:rFonts w:hint="eastAsia" w:eastAsia="方正仿宋_GBK"/>
          <w:bCs/>
          <w:sz w:val="32"/>
          <w:szCs w:val="32"/>
          <w:shd w:val="clear" w:color="auto" w:fill="FFFFFF"/>
        </w:rPr>
        <w:t>方面</w:t>
      </w:r>
      <w:r>
        <w:rPr>
          <w:rStyle w:val="12"/>
          <w:rFonts w:eastAsia="方正仿宋_GBK"/>
          <w:bCs/>
          <w:sz w:val="32"/>
          <w:szCs w:val="32"/>
          <w:shd w:val="clear" w:color="auto" w:fill="FFFFFF"/>
        </w:rPr>
        <w:t>。</w:t>
      </w:r>
      <w:r>
        <w:rPr>
          <w:rFonts w:hint="default" w:ascii="Times New Roman" w:hAnsi="Times New Roman" w:eastAsia="方正仿宋_GBK"/>
          <w:bCs w:val="0"/>
          <w:sz w:val="32"/>
          <w:szCs w:val="32"/>
          <w:shd w:val="clear" w:color="auto" w:fill="FFFFFF"/>
        </w:rPr>
        <w:t>本部门2022年度一般公共预算财政拨款支出主要用于以下</w:t>
      </w:r>
      <w:r>
        <w:rPr>
          <w:rFonts w:ascii="Times New Roman" w:hAnsi="Times New Roman" w:eastAsia="方正仿宋_GBK"/>
          <w:bCs w:val="0"/>
          <w:sz w:val="32"/>
          <w:szCs w:val="32"/>
          <w:shd w:val="clear" w:color="auto" w:fill="FFFFFF"/>
        </w:rPr>
        <w:t>四</w:t>
      </w:r>
      <w:r>
        <w:rPr>
          <w:rFonts w:hint="default" w:ascii="Times New Roman" w:hAnsi="Times New Roman" w:eastAsia="方正仿宋_GBK"/>
          <w:bCs w:val="0"/>
          <w:sz w:val="32"/>
          <w:szCs w:val="32"/>
          <w:shd w:val="clear" w:color="auto" w:fill="FFFFFF"/>
        </w:rPr>
        <w:t>个方面：（1）一般公共服务支出573.64万元，占84.3%，较年初预算数增加82.26万元，增长16.7%，主要原因是</w:t>
      </w:r>
      <w:r>
        <w:rPr>
          <w:rFonts w:hint="default" w:ascii="Times New Roman" w:hAnsi="Times New Roman" w:eastAsia="方正仿宋_GBK"/>
          <w:bCs w:val="0"/>
          <w:sz w:val="32"/>
          <w:szCs w:val="32"/>
        </w:rPr>
        <w:t>上访事件</w:t>
      </w:r>
      <w:r>
        <w:rPr>
          <w:rFonts w:hint="default" w:ascii="Times New Roman" w:hAnsi="Times New Roman" w:eastAsia="方正仿宋_GBK"/>
          <w:bCs w:val="0"/>
          <w:sz w:val="32"/>
          <w:szCs w:val="32"/>
          <w:shd w:val="clear" w:color="auto" w:fill="FFFFFF"/>
        </w:rPr>
        <w:t>增加</w:t>
      </w:r>
      <w:r>
        <w:rPr>
          <w:rFonts w:hint="default" w:ascii="Times New Roman" w:hAnsi="Times New Roman" w:eastAsia="方正仿宋_GBK"/>
          <w:bCs w:val="0"/>
          <w:sz w:val="32"/>
          <w:szCs w:val="32"/>
        </w:rPr>
        <w:t>，维稳经费</w:t>
      </w:r>
      <w:r>
        <w:rPr>
          <w:rFonts w:hint="default" w:ascii="Times New Roman" w:hAnsi="Times New Roman" w:eastAsia="方正仿宋_GBK"/>
          <w:bCs w:val="0"/>
          <w:sz w:val="32"/>
          <w:szCs w:val="32"/>
          <w:shd w:val="clear" w:color="auto" w:fill="FFFFFF"/>
        </w:rPr>
        <w:t>增加，</w:t>
      </w:r>
      <w:r>
        <w:rPr>
          <w:rFonts w:hint="default" w:ascii="Times New Roman" w:hAnsi="Times New Roman" w:eastAsia="方正仿宋_GBK"/>
          <w:bCs w:val="0"/>
          <w:sz w:val="32"/>
          <w:szCs w:val="32"/>
        </w:rPr>
        <w:t>财政调整预算</w:t>
      </w:r>
      <w:r>
        <w:rPr>
          <w:rFonts w:ascii="Times New Roman" w:hAnsi="Times New Roman" w:eastAsia="方正仿宋_GBK"/>
          <w:bCs w:val="0"/>
          <w:sz w:val="32"/>
          <w:szCs w:val="32"/>
        </w:rPr>
        <w:t>；</w:t>
      </w:r>
      <w:r>
        <w:rPr>
          <w:rFonts w:hint="default" w:ascii="Times New Roman" w:hAnsi="Times New Roman" w:eastAsia="方正仿宋_GBK"/>
          <w:bCs w:val="0"/>
          <w:sz w:val="32"/>
          <w:szCs w:val="32"/>
          <w:shd w:val="clear" w:color="auto" w:fill="FFFFFF"/>
        </w:rPr>
        <w:t>（2）社会保障与就业支出59.81万元，占8.8%，较年初预算数增加2.70万元，增长4.7%，主要原因是工资晋级调整后计费基数增加</w:t>
      </w:r>
      <w:r>
        <w:rPr>
          <w:rFonts w:ascii="Times New Roman" w:hAnsi="Times New Roman" w:eastAsia="方正仿宋_GBK"/>
          <w:bCs w:val="0"/>
          <w:sz w:val="32"/>
          <w:szCs w:val="32"/>
          <w:shd w:val="clear" w:color="auto" w:fill="FFFFFF"/>
        </w:rPr>
        <w:t>；</w:t>
      </w:r>
      <w:r>
        <w:rPr>
          <w:rFonts w:hint="default" w:ascii="Times New Roman" w:hAnsi="Times New Roman" w:eastAsia="方正仿宋_GBK"/>
          <w:bCs w:val="0"/>
          <w:sz w:val="32"/>
          <w:szCs w:val="32"/>
          <w:shd w:val="clear" w:color="auto" w:fill="FFFFFF"/>
        </w:rPr>
        <w:t>（3）卫生健康支出23.11万元，占3.4%，较年初预算数增加0.00万元，增长0%，较年初预算数相比，基本持平</w:t>
      </w:r>
      <w:r>
        <w:rPr>
          <w:rFonts w:ascii="Times New Roman" w:hAnsi="Times New Roman" w:eastAsia="方正仿宋_GBK"/>
          <w:bCs w:val="0"/>
          <w:sz w:val="32"/>
          <w:szCs w:val="32"/>
          <w:shd w:val="clear" w:color="auto" w:fill="FFFFFF"/>
        </w:rPr>
        <w:t>；</w:t>
      </w:r>
      <w:r>
        <w:rPr>
          <w:rFonts w:hint="default" w:ascii="Times New Roman" w:hAnsi="Times New Roman" w:eastAsia="方正仿宋_GBK"/>
          <w:bCs w:val="0"/>
          <w:sz w:val="32"/>
          <w:szCs w:val="32"/>
          <w:shd w:val="clear" w:color="auto" w:fill="FFFFFF"/>
        </w:rPr>
        <w:t>（4）住房保障支出23.95万元，占3.5%，较年初预算数增加0.00万元，增长0%，较年初预算数相比，基本持平。</w:t>
      </w:r>
    </w:p>
    <w:p>
      <w:pPr>
        <w:pStyle w:val="11"/>
        <w:widowControl/>
        <w:autoSpaceDE w:val="0"/>
        <w:spacing w:before="0" w:beforeAutospacing="0" w:after="0" w:afterAutospacing="0" w:line="520" w:lineRule="exact"/>
        <w:ind w:firstLine="640" w:firstLineChars="200"/>
        <w:rPr>
          <w:rFonts w:hint="default" w:ascii="Times New Roman" w:hAnsi="Times New Roman" w:eastAsia="方正仿宋_GBK"/>
          <w:bCs w:val="0"/>
          <w:sz w:val="32"/>
          <w:szCs w:val="32"/>
          <w:shd w:val="clear" w:color="auto" w:fill="FFFFFF"/>
        </w:rPr>
      </w:pPr>
      <w:r>
        <w:rPr>
          <w:rStyle w:val="12"/>
          <w:rFonts w:hint="eastAsia" w:ascii="方正楷体_GBK" w:hAnsi="方正楷体_GBK" w:eastAsia="方正楷体_GBK" w:cs="方正楷体_GBK"/>
          <w:b w:val="0"/>
          <w:bCs w:val="0"/>
          <w:sz w:val="32"/>
          <w:szCs w:val="32"/>
          <w:shd w:val="clear" w:color="auto" w:fill="FFFFFF"/>
        </w:rPr>
        <w:t>（四）一般公共预算财政拨款基本支出决算情况说明。</w:t>
      </w:r>
      <w:r>
        <w:rPr>
          <w:rFonts w:hint="default" w:ascii="Times New Roman" w:hAnsi="Times New Roman" w:eastAsia="方正仿宋_GBK"/>
          <w:bCs w:val="0"/>
          <w:sz w:val="32"/>
          <w:szCs w:val="32"/>
          <w:shd w:val="clear" w:color="auto" w:fill="FFFFFF"/>
        </w:rPr>
        <w:t>2022年度一般公共预算财政拨款基本支出543.62万元</w:t>
      </w:r>
      <w:r>
        <w:rPr>
          <w:rFonts w:ascii="Times New Roman" w:hAnsi="Times New Roman" w:eastAsia="方正仿宋_GBK"/>
          <w:bCs w:val="0"/>
          <w:sz w:val="32"/>
          <w:szCs w:val="32"/>
          <w:shd w:val="clear" w:color="auto" w:fill="FFFFFF"/>
        </w:rPr>
        <w:t>，</w:t>
      </w:r>
      <w:r>
        <w:rPr>
          <w:rFonts w:hint="default" w:ascii="Times New Roman" w:hAnsi="Times New Roman" w:eastAsia="方正仿宋_GBK"/>
          <w:bCs w:val="0"/>
          <w:sz w:val="32"/>
          <w:szCs w:val="32"/>
          <w:shd w:val="clear" w:color="auto" w:fill="FFFFFF"/>
        </w:rPr>
        <w:t>其中：人员经费493.51万元，较上年决算数增加7.84万元，增长1.6%，主要原因是工资晋级和社保、公积金调整。</w:t>
      </w:r>
      <w:bookmarkStart w:id="0" w:name="_GoBack"/>
      <w:bookmarkEnd w:id="0"/>
      <w:r>
        <w:rPr>
          <w:rFonts w:hint="eastAsia" w:ascii="Times New Roman" w:hAnsi="Times New Roman" w:eastAsia="方正仿宋_GBK"/>
          <w:bCs w:val="0"/>
          <w:sz w:val="32"/>
          <w:szCs w:val="32"/>
          <w:shd w:val="clear" w:color="auto" w:fill="FFFFFF"/>
          <w:lang w:eastAsia="zh-CN"/>
        </w:rPr>
        <w:t>人员经费用途主要包括</w:t>
      </w:r>
      <w:r>
        <w:rPr>
          <w:rFonts w:hint="default" w:ascii="Times New Roman" w:hAnsi="Times New Roman" w:eastAsia="方正仿宋_GBK"/>
          <w:bCs w:val="0"/>
          <w:sz w:val="32"/>
          <w:szCs w:val="32"/>
          <w:shd w:val="clear" w:color="auto" w:fill="FFFFFF"/>
        </w:rPr>
        <w:t>基本工资、津贴补贴、社会保障缴费、住房公积金等支出。公用经费50.12万元，较上年决算数减少2.51万元，下降4.8%，主要原因是采取措施严控办公经费支出。公用经费用途主要包括办公费、水电费、差旅费、邮电费、手续费等支出。</w:t>
      </w:r>
    </w:p>
    <w:p>
      <w:pPr>
        <w:pStyle w:val="11"/>
        <w:widowControl/>
        <w:autoSpaceDE w:val="0"/>
        <w:spacing w:before="0" w:beforeAutospacing="0" w:after="0" w:afterAutospacing="0" w:line="520" w:lineRule="exact"/>
        <w:ind w:firstLine="640" w:firstLineChars="200"/>
        <w:rPr>
          <w:rFonts w:hint="default" w:ascii="Times New Roman" w:hAnsi="Times New Roman" w:eastAsia="方正仿宋_GBK"/>
          <w:bCs w:val="0"/>
          <w:sz w:val="32"/>
          <w:szCs w:val="32"/>
          <w:shd w:val="clear" w:color="auto" w:fill="FFFFFF"/>
        </w:rPr>
      </w:pPr>
      <w:r>
        <w:rPr>
          <w:rStyle w:val="12"/>
          <w:rFonts w:hint="eastAsia" w:ascii="方正楷体_GBK" w:hAnsi="方正楷体_GBK" w:eastAsia="方正楷体_GBK" w:cs="方正楷体_GBK"/>
          <w:b w:val="0"/>
          <w:bCs w:val="0"/>
          <w:sz w:val="32"/>
          <w:szCs w:val="32"/>
          <w:shd w:val="clear" w:color="auto" w:fill="FFFFFF"/>
        </w:rPr>
        <w:t>（五）政府性基金预算收支决算情况说明。</w:t>
      </w:r>
      <w:r>
        <w:rPr>
          <w:rFonts w:hint="default" w:ascii="Times New Roman" w:hAnsi="Times New Roman" w:eastAsia="方正仿宋_GBK"/>
          <w:bCs w:val="0"/>
          <w:sz w:val="32"/>
          <w:szCs w:val="32"/>
          <w:shd w:val="clear" w:color="auto" w:fill="FFFFFF"/>
        </w:rPr>
        <w:t>本部门2022年度无政府性基金预算财政拨款收支。</w:t>
      </w:r>
    </w:p>
    <w:p>
      <w:pPr>
        <w:pStyle w:val="11"/>
        <w:widowControl/>
        <w:autoSpaceDE w:val="0"/>
        <w:spacing w:before="0" w:beforeAutospacing="0" w:after="0" w:afterAutospacing="0" w:line="520" w:lineRule="exact"/>
        <w:ind w:firstLine="640" w:firstLineChars="200"/>
        <w:rPr>
          <w:rFonts w:hint="default" w:ascii="Times New Roman" w:hAnsi="Times New Roman" w:eastAsia="方正仿宋_GBK"/>
          <w:bCs w:val="0"/>
          <w:sz w:val="32"/>
          <w:szCs w:val="32"/>
          <w:shd w:val="clear" w:color="auto" w:fill="FFFFFF"/>
        </w:rPr>
      </w:pPr>
      <w:r>
        <w:rPr>
          <w:rStyle w:val="12"/>
          <w:rFonts w:hint="eastAsia" w:ascii="方正楷体_GBK" w:hAnsi="方正楷体_GBK" w:eastAsia="方正楷体_GBK" w:cs="方正楷体_GBK"/>
          <w:b w:val="0"/>
          <w:bCs w:val="0"/>
          <w:sz w:val="32"/>
          <w:szCs w:val="32"/>
          <w:shd w:val="clear" w:color="auto" w:fill="FFFFFF"/>
        </w:rPr>
        <w:t>（六）国有资本经营预算财政拨款支出决算情况说明。</w:t>
      </w:r>
      <w:r>
        <w:rPr>
          <w:rFonts w:hint="default" w:ascii="Times New Roman" w:hAnsi="Times New Roman" w:eastAsia="方正仿宋_GBK"/>
          <w:bCs w:val="0"/>
          <w:sz w:val="32"/>
          <w:szCs w:val="32"/>
          <w:shd w:val="clear" w:color="auto" w:fill="FFFFFF"/>
        </w:rPr>
        <w:t>本部门2022年度无国有资本经营预算财政拨款支出。</w:t>
      </w:r>
    </w:p>
    <w:p>
      <w:pPr>
        <w:pStyle w:val="11"/>
        <w:widowControl/>
        <w:autoSpaceDE w:val="0"/>
        <w:spacing w:before="0" w:beforeAutospacing="0" w:after="0" w:afterAutospacing="0" w:line="520" w:lineRule="exact"/>
        <w:ind w:firstLine="640" w:firstLineChars="200"/>
        <w:rPr>
          <w:rFonts w:hint="default" w:ascii="Times New Roman" w:hAnsi="Times New Roman" w:eastAsia="方正黑体_GBK"/>
          <w:bCs w:val="0"/>
          <w:sz w:val="32"/>
          <w:szCs w:val="32"/>
        </w:rPr>
      </w:pPr>
      <w:r>
        <w:rPr>
          <w:rStyle w:val="12"/>
          <w:rFonts w:eastAsia="方正黑体_GBK"/>
          <w:b w:val="0"/>
          <w:bCs w:val="0"/>
          <w:sz w:val="32"/>
          <w:szCs w:val="32"/>
          <w:shd w:val="clear" w:color="auto" w:fill="FFFFFF"/>
        </w:rPr>
        <w:t>三、</w:t>
      </w:r>
      <w:r>
        <w:rPr>
          <w:rStyle w:val="12"/>
          <w:rFonts w:hint="eastAsia" w:ascii="方正黑体_GBK" w:hAnsi="方正黑体_GBK" w:eastAsia="方正黑体_GBK" w:cs="方正黑体_GBK"/>
          <w:b w:val="0"/>
          <w:bCs w:val="0"/>
          <w:sz w:val="32"/>
          <w:szCs w:val="32"/>
          <w:shd w:val="clear" w:color="auto" w:fill="FFFFFF"/>
        </w:rPr>
        <w:t>“三公”</w:t>
      </w:r>
      <w:r>
        <w:rPr>
          <w:rStyle w:val="12"/>
          <w:rFonts w:eastAsia="方正黑体_GBK"/>
          <w:b w:val="0"/>
          <w:bCs w:val="0"/>
          <w:sz w:val="32"/>
          <w:szCs w:val="32"/>
          <w:shd w:val="clear" w:color="auto" w:fill="FFFFFF"/>
        </w:rPr>
        <w:t>经费情况说明</w:t>
      </w:r>
    </w:p>
    <w:p>
      <w:pPr>
        <w:pStyle w:val="11"/>
        <w:widowControl/>
        <w:autoSpaceDE w:val="0"/>
        <w:spacing w:before="0" w:beforeAutospacing="0" w:after="0" w:afterAutospacing="0" w:line="520" w:lineRule="exact"/>
        <w:ind w:firstLine="640" w:firstLineChars="200"/>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（一）“三公”经费支出总体情况说明。</w:t>
      </w:r>
      <w:r>
        <w:rPr>
          <w:rFonts w:hint="default" w:ascii="Times New Roman" w:hAnsi="Times New Roman" w:eastAsia="方正仿宋_GBK"/>
          <w:bCs w:val="0"/>
          <w:sz w:val="32"/>
          <w:szCs w:val="32"/>
          <w:shd w:val="clear" w:color="auto" w:fill="FFFFFF"/>
        </w:rPr>
        <w:t>2022年度“三公”经费支出共计1.73万元，较年初预算数减少3.17万元，下降64.7%，主要原因是严格按照</w:t>
      </w:r>
      <w:r>
        <w:rPr>
          <w:rFonts w:hint="eastAsia" w:ascii="Times New Roman" w:hAnsi="Times New Roman" w:eastAsia="方正仿宋_GBK"/>
          <w:bCs w:val="0"/>
          <w:sz w:val="32"/>
          <w:szCs w:val="32"/>
          <w:shd w:val="clear" w:color="auto" w:fill="FFFFFF"/>
          <w:lang w:eastAsia="zh-CN"/>
        </w:rPr>
        <w:t>中央八项规定</w:t>
      </w:r>
      <w:r>
        <w:rPr>
          <w:rFonts w:hint="default" w:ascii="Times New Roman" w:hAnsi="Times New Roman" w:eastAsia="方正仿宋_GBK"/>
          <w:bCs w:val="0"/>
          <w:sz w:val="32"/>
          <w:szCs w:val="32"/>
          <w:shd w:val="clear" w:color="auto" w:fill="FFFFFF"/>
        </w:rPr>
        <w:t>支出。较上年支出数增加0.55万元，增长46.6%，主要原因是维稳事项增加。</w:t>
      </w:r>
    </w:p>
    <w:p>
      <w:pPr>
        <w:pStyle w:val="11"/>
        <w:widowControl/>
        <w:autoSpaceDE w:val="0"/>
        <w:spacing w:before="0" w:beforeAutospacing="0" w:after="0" w:afterAutospacing="0" w:line="520" w:lineRule="exact"/>
        <w:ind w:firstLine="640" w:firstLineChars="200"/>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（二）“三公”经费分项支出情况。</w:t>
      </w:r>
      <w:r>
        <w:rPr>
          <w:rFonts w:hint="default" w:ascii="Times New Roman" w:hAnsi="Times New Roman" w:eastAsia="方正仿宋_GBK"/>
          <w:bCs w:val="0"/>
          <w:sz w:val="32"/>
          <w:szCs w:val="32"/>
          <w:shd w:val="clear" w:color="auto" w:fill="FFFFFF"/>
        </w:rPr>
        <w:t>2022年度本部门因公出国（境）费用0.00万元，主要是未发生因公出国（境）费用。公务车购置费0.00万元，主要用于未发生公务车购置费。公务车运行维护费1.56万元，主要用于信访维稳工作。费用支出较年初预算数减少2.44万元，下降61%，主要原因是严格按照</w:t>
      </w:r>
      <w:r>
        <w:rPr>
          <w:rFonts w:hint="eastAsia" w:ascii="Times New Roman" w:hAnsi="Times New Roman" w:eastAsia="方正仿宋_GBK"/>
          <w:bCs w:val="0"/>
          <w:sz w:val="32"/>
          <w:szCs w:val="32"/>
          <w:shd w:val="clear" w:color="auto" w:fill="FFFFFF"/>
          <w:lang w:eastAsia="zh-CN"/>
        </w:rPr>
        <w:t>中央八项规定</w:t>
      </w:r>
      <w:r>
        <w:rPr>
          <w:rFonts w:hint="default" w:ascii="Times New Roman" w:hAnsi="Times New Roman" w:eastAsia="方正仿宋_GBK"/>
          <w:bCs w:val="0"/>
          <w:sz w:val="32"/>
          <w:szCs w:val="32"/>
          <w:shd w:val="clear" w:color="auto" w:fill="FFFFFF"/>
        </w:rPr>
        <w:t>支出。较上年支出数增加1.23万元，增长372.7%，主要原因是维稳事项增加。公务接待费0.17万元，主要用于</w:t>
      </w:r>
      <w:r>
        <w:rPr>
          <w:rFonts w:hint="eastAsia" w:ascii="Times New Roman" w:hAnsi="Times New Roman" w:eastAsia="方正仿宋_GBK"/>
          <w:bCs w:val="0"/>
          <w:sz w:val="32"/>
          <w:szCs w:val="32"/>
          <w:shd w:val="clear" w:color="auto" w:fill="FFFFFF"/>
          <w:lang w:eastAsia="zh-CN"/>
        </w:rPr>
        <w:t>接待</w:t>
      </w:r>
      <w:r>
        <w:rPr>
          <w:rFonts w:hint="default" w:ascii="Times New Roman" w:hAnsi="Times New Roman" w:eastAsia="方正仿宋_GBK"/>
          <w:bCs w:val="0"/>
          <w:sz w:val="32"/>
          <w:szCs w:val="32"/>
          <w:shd w:val="clear" w:color="auto" w:fill="FFFFFF"/>
        </w:rPr>
        <w:t>市大下访督导接待支出。费用支出较年初预算数减少0.73万元，下降81.1%，主要原因是严格按照</w:t>
      </w:r>
      <w:r>
        <w:rPr>
          <w:rFonts w:hint="eastAsia" w:ascii="Times New Roman" w:hAnsi="Times New Roman" w:eastAsia="方正仿宋_GBK"/>
          <w:bCs w:val="0"/>
          <w:sz w:val="32"/>
          <w:szCs w:val="32"/>
          <w:shd w:val="clear" w:color="auto" w:fill="FFFFFF"/>
          <w:lang w:eastAsia="zh-CN"/>
        </w:rPr>
        <w:t>中央八项规定</w:t>
      </w:r>
      <w:r>
        <w:rPr>
          <w:rFonts w:hint="default" w:ascii="Times New Roman" w:hAnsi="Times New Roman" w:eastAsia="方正仿宋_GBK"/>
          <w:bCs w:val="0"/>
          <w:sz w:val="32"/>
          <w:szCs w:val="32"/>
          <w:shd w:val="clear" w:color="auto" w:fill="FFFFFF"/>
        </w:rPr>
        <w:t>支出。较上年支出数减少0.68万元，下降80%，主要原因是严格按照</w:t>
      </w:r>
      <w:r>
        <w:rPr>
          <w:rFonts w:hint="eastAsia" w:ascii="Times New Roman" w:hAnsi="Times New Roman" w:eastAsia="方正仿宋_GBK"/>
          <w:bCs w:val="0"/>
          <w:sz w:val="32"/>
          <w:szCs w:val="32"/>
          <w:shd w:val="clear" w:color="auto" w:fill="FFFFFF"/>
          <w:lang w:eastAsia="zh-CN"/>
        </w:rPr>
        <w:t>中央八项规定</w:t>
      </w:r>
      <w:r>
        <w:rPr>
          <w:rFonts w:hint="default" w:ascii="Times New Roman" w:hAnsi="Times New Roman" w:eastAsia="方正仿宋_GBK"/>
          <w:bCs w:val="0"/>
          <w:sz w:val="32"/>
          <w:szCs w:val="32"/>
          <w:shd w:val="clear" w:color="auto" w:fill="FFFFFF"/>
        </w:rPr>
        <w:t>支出。</w:t>
      </w:r>
    </w:p>
    <w:p>
      <w:pPr>
        <w:pStyle w:val="11"/>
        <w:widowControl/>
        <w:autoSpaceDE w:val="0"/>
        <w:spacing w:before="0" w:beforeAutospacing="0" w:after="0" w:afterAutospacing="0" w:line="520" w:lineRule="exact"/>
        <w:ind w:firstLine="640" w:firstLineChars="200"/>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（三）“三公”经费实物量情况。</w:t>
      </w:r>
      <w:r>
        <w:rPr>
          <w:rFonts w:hint="default" w:ascii="Times New Roman" w:hAnsi="Times New Roman" w:eastAsia="方正仿宋_GBK"/>
          <w:bCs w:val="0"/>
          <w:sz w:val="32"/>
          <w:szCs w:val="32"/>
          <w:shd w:val="clear" w:color="auto" w:fill="FFFFFF"/>
        </w:rPr>
        <w:t>2022年度本部门因公出国（境）共计0个团组，0人；公务用车购置0辆，公务车保有量为1辆；国内公务接待2批次28人，其中：国内外事接待0批次，0人；国（境）外公务接待0批次，0人。2022年本部门人均接待费60.36元，车均购置费0.00万元，车均维护费1.56万元。</w:t>
      </w:r>
    </w:p>
    <w:p>
      <w:pPr>
        <w:pStyle w:val="11"/>
        <w:widowControl/>
        <w:autoSpaceDE w:val="0"/>
        <w:spacing w:before="0" w:beforeAutospacing="0" w:after="0" w:afterAutospacing="0" w:line="520" w:lineRule="exact"/>
        <w:ind w:firstLine="640" w:firstLineChars="200"/>
        <w:rPr>
          <w:rFonts w:hint="default" w:ascii="Times New Roman" w:hAnsi="Times New Roman" w:eastAsia="方正黑体_GBK"/>
          <w:bCs w:val="0"/>
          <w:sz w:val="32"/>
          <w:szCs w:val="32"/>
        </w:rPr>
      </w:pPr>
      <w:r>
        <w:rPr>
          <w:rStyle w:val="12"/>
          <w:rFonts w:eastAsia="方正黑体_GBK"/>
          <w:b w:val="0"/>
          <w:bCs w:val="0"/>
          <w:sz w:val="32"/>
          <w:szCs w:val="32"/>
          <w:shd w:val="clear" w:color="auto" w:fill="FFFFFF"/>
        </w:rPr>
        <w:t>四、其他需要说明的事项</w:t>
      </w:r>
    </w:p>
    <w:p>
      <w:pPr>
        <w:pStyle w:val="11"/>
        <w:widowControl/>
        <w:autoSpaceDE w:val="0"/>
        <w:spacing w:before="0" w:beforeAutospacing="0" w:after="0" w:afterAutospacing="0" w:line="520" w:lineRule="exact"/>
        <w:ind w:firstLine="640" w:firstLineChars="200"/>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（一）财政拨款会议费和培训费情况说明。</w:t>
      </w:r>
      <w:r>
        <w:rPr>
          <w:rFonts w:hint="default" w:ascii="Times New Roman" w:hAnsi="Times New Roman" w:eastAsia="方正仿宋_GBK"/>
          <w:bCs w:val="0"/>
          <w:sz w:val="32"/>
          <w:szCs w:val="32"/>
          <w:shd w:val="clear" w:color="auto" w:fill="FFFFFF"/>
        </w:rPr>
        <w:t>本年度会议费支出0.00万元，较上年决算数减少0.58万元，下降100%，主要原因是节约开支。本年度培训费支出0.00万元，较上年决算数增加0.00万元，增长</w:t>
      </w:r>
      <w:r>
        <w:rPr>
          <w:rFonts w:ascii="Times New Roman" w:hAnsi="Times New Roman" w:eastAsia="方正仿宋_GBK"/>
          <w:bCs w:val="0"/>
          <w:sz w:val="32"/>
          <w:szCs w:val="32"/>
          <w:shd w:val="clear" w:color="auto" w:fill="FFFFFF"/>
        </w:rPr>
        <w:t>0</w:t>
      </w:r>
      <w:r>
        <w:rPr>
          <w:rFonts w:hint="default" w:ascii="Times New Roman" w:hAnsi="Times New Roman" w:eastAsia="方正仿宋_GBK"/>
          <w:bCs w:val="0"/>
          <w:sz w:val="32"/>
          <w:szCs w:val="32"/>
          <w:shd w:val="clear" w:color="auto" w:fill="FFFFFF"/>
        </w:rPr>
        <w:t>%，主要原因是没有安排培训。</w:t>
      </w:r>
    </w:p>
    <w:p>
      <w:pPr>
        <w:pStyle w:val="11"/>
        <w:widowControl/>
        <w:autoSpaceDE w:val="0"/>
        <w:spacing w:before="0" w:beforeAutospacing="0" w:after="0" w:afterAutospacing="0" w:line="520" w:lineRule="exact"/>
        <w:ind w:firstLine="640" w:firstLineChars="200"/>
        <w:jc w:val="both"/>
        <w:rPr>
          <w:rFonts w:hint="default" w:ascii="Times New Roman" w:hAnsi="Times New Roman" w:eastAsia="方正仿宋_GBK"/>
          <w:bCs w:val="0"/>
          <w:sz w:val="32"/>
          <w:szCs w:val="32"/>
          <w:shd w:val="clear" w:color="auto" w:fill="FFFFFF"/>
        </w:rPr>
      </w:pPr>
      <w:r>
        <w:rPr>
          <w:rStyle w:val="12"/>
          <w:rFonts w:hint="eastAsia" w:ascii="方正楷体_GBK" w:hAnsi="方正楷体_GBK" w:eastAsia="方正楷体_GBK" w:cs="方正楷体_GBK"/>
          <w:b w:val="0"/>
          <w:bCs w:val="0"/>
          <w:sz w:val="32"/>
          <w:szCs w:val="32"/>
          <w:shd w:val="clear" w:color="auto" w:fill="FFFFFF"/>
        </w:rPr>
        <w:t>（二）机关运行经费支出情况说明。</w:t>
      </w:r>
      <w:r>
        <w:rPr>
          <w:rFonts w:hint="default" w:ascii="Times New Roman" w:hAnsi="Times New Roman" w:eastAsia="方正仿宋_GBK"/>
          <w:bCs w:val="0"/>
          <w:sz w:val="32"/>
          <w:szCs w:val="32"/>
          <w:shd w:val="clear" w:color="auto" w:fill="FFFFFF"/>
        </w:rPr>
        <w:t>2022年度本部门机关运行经费支出50.12万元，主要用于开支办公费、水电费、邮电费、差旅费、公务接待、工会、公务用车和租用车辆费等维持部门正常运转经费支出。机关运行经费较上年决算数减少2.51万元，下降4.8%，主要原因是采取措施，厉行节约，控制支出。</w:t>
      </w:r>
    </w:p>
    <w:p>
      <w:pPr>
        <w:pStyle w:val="11"/>
        <w:widowControl/>
        <w:autoSpaceDE w:val="0"/>
        <w:spacing w:before="0" w:beforeAutospacing="0" w:after="0" w:afterAutospacing="0" w:line="520" w:lineRule="exact"/>
        <w:ind w:firstLine="640" w:firstLineChars="200"/>
        <w:jc w:val="both"/>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（三）国有资产占用情况说明。</w:t>
      </w:r>
      <w:r>
        <w:rPr>
          <w:rFonts w:hint="default" w:ascii="Times New Roman" w:hAnsi="Times New Roman" w:eastAsia="方正仿宋_GBK"/>
          <w:bCs w:val="0"/>
          <w:sz w:val="32"/>
          <w:szCs w:val="32"/>
          <w:shd w:val="clear" w:color="auto" w:fill="FFFFFF"/>
        </w:rPr>
        <w:t>截至2022年12月31日，本部门共有车辆1辆，其中，副部（省）级及以上领导用车0辆、主要领导干部用车0辆、机要通信用车0辆、应急保障用车1辆、执法执勤用车0辆，特种专业技术用车0辆，离退休干部用车0辆，其他用车0辆。单价100万元（含）以上设备（不含车辆）0台（套）。</w:t>
      </w:r>
    </w:p>
    <w:p>
      <w:pPr>
        <w:pStyle w:val="11"/>
        <w:widowControl/>
        <w:autoSpaceDE w:val="0"/>
        <w:spacing w:before="0" w:beforeAutospacing="0" w:after="0" w:afterAutospacing="0" w:line="520" w:lineRule="exact"/>
        <w:ind w:firstLine="640" w:firstLineChars="200"/>
        <w:jc w:val="both"/>
        <w:rPr>
          <w:rFonts w:hint="default" w:ascii="Times New Roman" w:hAnsi="Times New Roman" w:eastAsia="方正仿宋_GBK"/>
          <w:bCs w:val="0"/>
          <w:sz w:val="32"/>
          <w:szCs w:val="32"/>
          <w:shd w:val="clear" w:color="auto" w:fill="FFFFFF"/>
        </w:rPr>
      </w:pPr>
      <w:r>
        <w:rPr>
          <w:rStyle w:val="12"/>
          <w:rFonts w:hint="eastAsia" w:ascii="方正楷体_GBK" w:hAnsi="方正楷体_GBK" w:eastAsia="方正楷体_GBK" w:cs="方正楷体_GBK"/>
          <w:b w:val="0"/>
          <w:bCs w:val="0"/>
          <w:sz w:val="32"/>
          <w:szCs w:val="32"/>
          <w:shd w:val="clear" w:color="auto" w:fill="FFFFFF"/>
        </w:rPr>
        <w:t>（四）政府采购支出说明。</w:t>
      </w:r>
      <w:r>
        <w:rPr>
          <w:rFonts w:hint="default" w:ascii="Times New Roman" w:hAnsi="Times New Roman" w:eastAsia="方正仿宋_GBK"/>
          <w:bCs w:val="0"/>
          <w:sz w:val="32"/>
          <w:szCs w:val="32"/>
          <w:shd w:val="clear" w:color="auto" w:fill="FFFFFF"/>
        </w:rPr>
        <w:t>2022年度本部门政府采购支出总额0.00万元，其中：政府采购货物支出0.00万元、政府采购工程支出0.00万元、政府采购服务支出0.00万元。授予中小企业合同金额0.00万元，占政府采购支出总额的</w:t>
      </w:r>
      <w:r>
        <w:rPr>
          <w:rFonts w:ascii="Times New Roman" w:hAnsi="Times New Roman" w:eastAsia="方正仿宋_GBK"/>
          <w:bCs w:val="0"/>
          <w:sz w:val="32"/>
          <w:szCs w:val="32"/>
          <w:shd w:val="clear" w:color="auto" w:fill="FFFFFF"/>
        </w:rPr>
        <w:t>0</w:t>
      </w:r>
      <w:r>
        <w:rPr>
          <w:rFonts w:hint="default" w:ascii="Times New Roman" w:hAnsi="Times New Roman" w:eastAsia="方正仿宋_GBK"/>
          <w:bCs w:val="0"/>
          <w:sz w:val="32"/>
          <w:szCs w:val="32"/>
          <w:shd w:val="clear" w:color="auto" w:fill="FFFFFF"/>
        </w:rPr>
        <w:t>%，其中：授予小微企业合同金额0.00万元，占政府采购支出总额的</w:t>
      </w:r>
      <w:r>
        <w:rPr>
          <w:rFonts w:ascii="Times New Roman" w:hAnsi="Times New Roman" w:eastAsia="方正仿宋_GBK"/>
          <w:bCs w:val="0"/>
          <w:sz w:val="32"/>
          <w:szCs w:val="32"/>
          <w:shd w:val="clear" w:color="auto" w:fill="FFFFFF"/>
        </w:rPr>
        <w:t>0</w:t>
      </w:r>
      <w:r>
        <w:rPr>
          <w:rFonts w:hint="default" w:ascii="Times New Roman" w:hAnsi="Times New Roman" w:eastAsia="方正仿宋_GBK"/>
          <w:bCs w:val="0"/>
          <w:sz w:val="32"/>
          <w:szCs w:val="32"/>
          <w:shd w:val="clear" w:color="auto" w:fill="FFFFFF"/>
        </w:rPr>
        <w:t>%。</w:t>
      </w:r>
    </w:p>
    <w:p>
      <w:pPr>
        <w:pStyle w:val="11"/>
        <w:widowControl/>
        <w:autoSpaceDE w:val="0"/>
        <w:spacing w:before="0" w:beforeAutospacing="0" w:after="0" w:afterAutospacing="0" w:line="520" w:lineRule="exact"/>
        <w:ind w:firstLine="640" w:firstLineChars="200"/>
        <w:rPr>
          <w:rFonts w:hint="default" w:ascii="Times New Roman" w:hAnsi="Times New Roman" w:eastAsia="方正黑体_GBK"/>
          <w:bCs w:val="0"/>
          <w:sz w:val="32"/>
          <w:szCs w:val="32"/>
        </w:rPr>
      </w:pPr>
      <w:r>
        <w:rPr>
          <w:rStyle w:val="12"/>
          <w:rFonts w:eastAsia="方正黑体_GBK"/>
          <w:b w:val="0"/>
          <w:bCs w:val="0"/>
          <w:sz w:val="32"/>
          <w:szCs w:val="32"/>
          <w:shd w:val="clear" w:color="auto" w:fill="FFFFFF"/>
        </w:rPr>
        <w:t>五、预算绩效管理情况说明</w:t>
      </w:r>
    </w:p>
    <w:p>
      <w:pPr>
        <w:pStyle w:val="11"/>
        <w:widowControl/>
        <w:shd w:val="clear" w:color="auto" w:fill="FFFFFF"/>
        <w:autoSpaceDE w:val="0"/>
        <w:spacing w:before="0" w:beforeAutospacing="0" w:after="0" w:afterAutospacing="0" w:line="520" w:lineRule="exact"/>
        <w:ind w:firstLine="640" w:firstLineChars="200"/>
        <w:rPr>
          <w:rFonts w:hint="default" w:ascii="Times New Roman" w:hAnsi="Times New Roman" w:eastAsia="方正仿宋_GBK"/>
          <w:bCs w:val="0"/>
          <w:sz w:val="32"/>
          <w:szCs w:val="32"/>
        </w:rPr>
      </w:pPr>
      <w:r>
        <w:rPr>
          <w:rStyle w:val="12"/>
          <w:rFonts w:eastAsia="方正楷体_GBK"/>
          <w:b w:val="0"/>
          <w:bCs w:val="0"/>
          <w:sz w:val="32"/>
          <w:szCs w:val="32"/>
          <w:shd w:val="clear" w:color="auto" w:fill="FFFFFF"/>
        </w:rPr>
        <w:t>（一）预算绩效管理工作开展情况</w:t>
      </w:r>
      <w:r>
        <w:rPr>
          <w:rStyle w:val="12"/>
          <w:rFonts w:hint="eastAsia" w:eastAsia="方正楷体_GBK"/>
          <w:b w:val="0"/>
          <w:bCs w:val="0"/>
          <w:sz w:val="32"/>
          <w:szCs w:val="32"/>
          <w:shd w:val="clear" w:color="auto" w:fill="FFFFFF"/>
        </w:rPr>
        <w:t>。</w:t>
      </w:r>
      <w:r>
        <w:rPr>
          <w:rFonts w:hint="default" w:ascii="Times New Roman" w:hAnsi="Times New Roman" w:eastAsia="方正仿宋_GBK"/>
          <w:bCs w:val="0"/>
          <w:kern w:val="2"/>
          <w:sz w:val="32"/>
          <w:szCs w:val="32"/>
          <w:shd w:val="clear" w:color="auto" w:fill="FFFFFF"/>
        </w:rPr>
        <w:t>根据预算绩效管理要求，本单位对</w:t>
      </w:r>
      <w:r>
        <w:rPr>
          <w:rFonts w:ascii="Times New Roman" w:hAnsi="Times New Roman" w:eastAsia="方正仿宋_GBK"/>
          <w:bCs w:val="0"/>
          <w:kern w:val="2"/>
          <w:sz w:val="32"/>
          <w:szCs w:val="32"/>
          <w:shd w:val="clear" w:color="auto" w:fill="FFFFFF"/>
        </w:rPr>
        <w:t>部门整体和</w:t>
      </w:r>
      <w:r>
        <w:rPr>
          <w:rFonts w:hint="default" w:ascii="Times New Roman" w:hAnsi="Times New Roman" w:eastAsia="方正仿宋_GBK"/>
          <w:bCs w:val="0"/>
          <w:kern w:val="2"/>
          <w:sz w:val="32"/>
          <w:szCs w:val="32"/>
          <w:shd w:val="clear" w:color="auto" w:fill="FFFFFF"/>
        </w:rPr>
        <w:t>1个项目开展了绩效自评，其中，以填报目标自评表形式开展自评</w:t>
      </w:r>
      <w:r>
        <w:rPr>
          <w:rFonts w:ascii="Times New Roman" w:hAnsi="Times New Roman" w:eastAsia="方正仿宋_GBK"/>
          <w:bCs w:val="0"/>
          <w:kern w:val="2"/>
          <w:sz w:val="32"/>
          <w:szCs w:val="32"/>
          <w:shd w:val="clear" w:color="auto" w:fill="FFFFFF"/>
        </w:rPr>
        <w:t>1</w:t>
      </w:r>
      <w:r>
        <w:rPr>
          <w:rFonts w:hint="default" w:ascii="Times New Roman" w:hAnsi="Times New Roman" w:eastAsia="方正仿宋_GBK"/>
          <w:bCs w:val="0"/>
          <w:kern w:val="2"/>
          <w:sz w:val="32"/>
          <w:szCs w:val="32"/>
          <w:shd w:val="clear" w:color="auto" w:fill="FFFFFF"/>
        </w:rPr>
        <w:t>项，涉及资金118.8万元。从评价情况来看，项目立项规范，绩效目标明确，预算编制合理，管理科学规范，资金到位及时，总体完成情况较好</w:t>
      </w:r>
      <w:r>
        <w:rPr>
          <w:rFonts w:ascii="Times New Roman" w:hAnsi="Times New Roman" w:eastAsia="方正仿宋_GBK"/>
          <w:bCs w:val="0"/>
          <w:kern w:val="2"/>
          <w:sz w:val="32"/>
          <w:szCs w:val="32"/>
          <w:shd w:val="clear" w:color="auto" w:fill="FFFFFF"/>
        </w:rPr>
        <w:t>.</w:t>
      </w:r>
    </w:p>
    <w:p>
      <w:pPr>
        <w:pStyle w:val="11"/>
        <w:widowControl/>
        <w:autoSpaceDE w:val="0"/>
        <w:spacing w:before="0" w:beforeAutospacing="0" w:after="0" w:afterAutospacing="0" w:line="520" w:lineRule="exact"/>
        <w:ind w:firstLine="640" w:firstLineChars="200"/>
        <w:rPr>
          <w:rStyle w:val="12"/>
          <w:rFonts w:hint="eastAsia" w:ascii="方正楷体_GBK" w:hAnsi="方正楷体_GBK" w:eastAsia="方正楷体_GBK" w:cs="方正楷体_GBK"/>
          <w:b w:val="0"/>
          <w:bCs w:val="0"/>
          <w:sz w:val="32"/>
          <w:szCs w:val="32"/>
          <w:shd w:val="clear" w:color="auto" w:fill="FFFFFF"/>
        </w:rPr>
      </w:pPr>
      <w:r>
        <w:rPr>
          <w:rStyle w:val="12"/>
          <w:rFonts w:hint="eastAsia" w:ascii="方正楷体_GBK" w:hAnsi="方正楷体_GBK" w:eastAsia="方正楷体_GBK" w:cs="方正楷体_GBK"/>
          <w:b w:val="0"/>
          <w:bCs w:val="0"/>
          <w:sz w:val="32"/>
          <w:szCs w:val="32"/>
          <w:shd w:val="clear" w:color="auto" w:fill="FFFFFF"/>
        </w:rPr>
        <w:t>（二）绩效自评结果。</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shd w:val="clear" w:color="auto" w:fill="FFFFFF"/>
        </w:rPr>
      </w:pPr>
      <w:r>
        <w:rPr>
          <w:rStyle w:val="12"/>
          <w:rFonts w:eastAsia="方正仿宋_GBK"/>
          <w:b w:val="0"/>
          <w:bCs w:val="0"/>
          <w:sz w:val="32"/>
          <w:szCs w:val="32"/>
          <w:shd w:val="clear" w:color="auto" w:fill="FFFFFF"/>
        </w:rPr>
        <w:t>1.</w:t>
      </w:r>
      <w:r>
        <w:rPr>
          <w:rStyle w:val="12"/>
          <w:rFonts w:eastAsia="方正仿宋_GBK"/>
          <w:bCs/>
          <w:sz w:val="32"/>
          <w:szCs w:val="32"/>
          <w:shd w:val="clear" w:color="auto" w:fill="FFFFFF"/>
        </w:rPr>
        <w:t>绩效目标自评表</w:t>
      </w:r>
    </w:p>
    <w:tbl>
      <w:tblPr>
        <w:tblStyle w:val="6"/>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
        <w:gridCol w:w="817"/>
        <w:gridCol w:w="270"/>
        <w:gridCol w:w="689"/>
        <w:gridCol w:w="316"/>
        <w:gridCol w:w="479"/>
        <w:gridCol w:w="885"/>
        <w:gridCol w:w="361"/>
        <w:gridCol w:w="419"/>
        <w:gridCol w:w="826"/>
        <w:gridCol w:w="126"/>
        <w:gridCol w:w="66"/>
        <w:gridCol w:w="699"/>
        <w:gridCol w:w="301"/>
        <w:gridCol w:w="487"/>
        <w:gridCol w:w="263"/>
        <w:gridCol w:w="86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549" w:type="dxa"/>
            <w:gridSpan w:val="19"/>
            <w:vAlign w:val="center"/>
          </w:tcPr>
          <w:p>
            <w:pPr>
              <w:widowControl/>
              <w:autoSpaceDE w:val="0"/>
              <w:spacing w:line="578" w:lineRule="exact"/>
              <w:ind w:firstLine="560" w:firstLineChars="200"/>
              <w:jc w:val="center"/>
              <w:rPr>
                <w:rFonts w:ascii="Times New Roman" w:hAnsi="Times New Roman" w:eastAsia="方正仿宋_GBK" w:cs="Times New Roman"/>
                <w:bCs w:val="0"/>
                <w:sz w:val="28"/>
                <w:szCs w:val="28"/>
              </w:rPr>
            </w:pPr>
            <w:r>
              <w:rPr>
                <w:rFonts w:ascii="Times New Roman" w:hAnsi="Times New Roman" w:eastAsia="方正黑体_GBK" w:cs="Times New Roman"/>
                <w:bCs w:val="0"/>
                <w:sz w:val="28"/>
                <w:szCs w:val="28"/>
              </w:rPr>
              <w:t>2022年度部门整体绩效自评表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43" w:type="dxa"/>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项目</w:t>
            </w:r>
          </w:p>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名称</w:t>
            </w:r>
          </w:p>
        </w:tc>
        <w:tc>
          <w:tcPr>
            <w:tcW w:w="1106" w:type="dxa"/>
            <w:gridSpan w:val="3"/>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丰都县信访办公室</w:t>
            </w:r>
            <w:r>
              <w:rPr>
                <w:rFonts w:hint="eastAsia" w:ascii="Times New Roman" w:hAnsi="Times New Roman" w:cs="Times New Roman" w:eastAsiaTheme="majorEastAsia"/>
                <w:bCs w:val="0"/>
                <w:sz w:val="20"/>
                <w:szCs w:val="20"/>
              </w:rPr>
              <w:t>整体自评</w:t>
            </w:r>
          </w:p>
        </w:tc>
        <w:tc>
          <w:tcPr>
            <w:tcW w:w="1005" w:type="dxa"/>
            <w:gridSpan w:val="2"/>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项目编码</w:t>
            </w:r>
          </w:p>
        </w:tc>
        <w:tc>
          <w:tcPr>
            <w:tcW w:w="1725" w:type="dxa"/>
            <w:gridSpan w:val="3"/>
            <w:vAlign w:val="center"/>
          </w:tcPr>
          <w:p>
            <w:pPr>
              <w:widowControl/>
              <w:autoSpaceDE w:val="0"/>
              <w:spacing w:line="578" w:lineRule="exact"/>
              <w:jc w:val="center"/>
              <w:rPr>
                <w:rFonts w:ascii="Times New Roman" w:hAnsi="Times New Roman" w:cs="Times New Roman" w:eastAsiaTheme="majorEastAsia"/>
                <w:bCs w:val="0"/>
                <w:sz w:val="20"/>
                <w:szCs w:val="20"/>
              </w:rPr>
            </w:pPr>
          </w:p>
        </w:tc>
        <w:tc>
          <w:tcPr>
            <w:tcW w:w="1437" w:type="dxa"/>
            <w:gridSpan w:val="4"/>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自评</w:t>
            </w:r>
          </w:p>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总分</w:t>
            </w:r>
          </w:p>
        </w:tc>
        <w:tc>
          <w:tcPr>
            <w:tcW w:w="1000" w:type="dxa"/>
            <w:gridSpan w:val="2"/>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90</w:t>
            </w:r>
          </w:p>
        </w:tc>
        <w:tc>
          <w:tcPr>
            <w:tcW w:w="750" w:type="dxa"/>
            <w:gridSpan w:val="2"/>
            <w:vAlign w:val="center"/>
          </w:tcPr>
          <w:p>
            <w:pPr>
              <w:widowControl/>
              <w:autoSpaceDE w:val="0"/>
              <w:spacing w:line="578" w:lineRule="exact"/>
              <w:ind w:firstLine="400" w:firstLineChars="200"/>
              <w:jc w:val="center"/>
              <w:rPr>
                <w:rFonts w:ascii="Times New Roman" w:hAnsi="Times New Roman" w:cs="Times New Roman" w:eastAsiaTheme="majorEastAsia"/>
                <w:bCs w:val="0"/>
                <w:sz w:val="20"/>
                <w:szCs w:val="20"/>
              </w:rPr>
            </w:pPr>
          </w:p>
        </w:tc>
        <w:tc>
          <w:tcPr>
            <w:tcW w:w="1583" w:type="dxa"/>
            <w:gridSpan w:val="2"/>
            <w:vAlign w:val="center"/>
          </w:tcPr>
          <w:p>
            <w:pPr>
              <w:widowControl/>
              <w:autoSpaceDE w:val="0"/>
              <w:spacing w:line="578" w:lineRule="exact"/>
              <w:ind w:firstLine="400" w:firstLineChars="200"/>
              <w:jc w:val="center"/>
              <w:rPr>
                <w:rFonts w:ascii="Times New Roman" w:hAnsi="Times New Roman" w:cs="Times New Roman" w:eastAsiaTheme="majorEastAsia"/>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43" w:type="dxa"/>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项目主管部门</w:t>
            </w:r>
          </w:p>
        </w:tc>
        <w:tc>
          <w:tcPr>
            <w:tcW w:w="1106" w:type="dxa"/>
            <w:gridSpan w:val="3"/>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丰都信访办</w:t>
            </w:r>
          </w:p>
        </w:tc>
        <w:tc>
          <w:tcPr>
            <w:tcW w:w="1005" w:type="dxa"/>
            <w:gridSpan w:val="2"/>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财政归口处室</w:t>
            </w:r>
          </w:p>
        </w:tc>
        <w:tc>
          <w:tcPr>
            <w:tcW w:w="1725" w:type="dxa"/>
            <w:gridSpan w:val="3"/>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行政政法科</w:t>
            </w:r>
          </w:p>
        </w:tc>
        <w:tc>
          <w:tcPr>
            <w:tcW w:w="1437" w:type="dxa"/>
            <w:gridSpan w:val="4"/>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部门联系人</w:t>
            </w:r>
          </w:p>
        </w:tc>
        <w:tc>
          <w:tcPr>
            <w:tcW w:w="1000" w:type="dxa"/>
            <w:gridSpan w:val="2"/>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代晓清</w:t>
            </w:r>
          </w:p>
        </w:tc>
        <w:tc>
          <w:tcPr>
            <w:tcW w:w="750" w:type="dxa"/>
            <w:gridSpan w:val="2"/>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联系</w:t>
            </w:r>
          </w:p>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电话</w:t>
            </w:r>
          </w:p>
        </w:tc>
        <w:tc>
          <w:tcPr>
            <w:tcW w:w="1583" w:type="dxa"/>
            <w:gridSpan w:val="2"/>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13996883033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549" w:type="dxa"/>
            <w:gridSpan w:val="19"/>
            <w:vAlign w:val="center"/>
          </w:tcPr>
          <w:p>
            <w:pPr>
              <w:widowControl/>
              <w:autoSpaceDE w:val="0"/>
              <w:spacing w:line="578" w:lineRule="exact"/>
              <w:ind w:firstLine="560" w:firstLineChars="200"/>
              <w:jc w:val="center"/>
              <w:rPr>
                <w:rFonts w:ascii="Times New Roman" w:hAnsi="Times New Roman" w:cs="Times New Roman" w:eastAsiaTheme="majorEastAsia"/>
                <w:bCs w:val="0"/>
                <w:sz w:val="20"/>
                <w:szCs w:val="20"/>
              </w:rPr>
            </w:pPr>
            <w:r>
              <w:rPr>
                <w:rFonts w:hint="eastAsia" w:ascii="方正黑体_GBK" w:hAnsi="方正黑体_GBK" w:eastAsia="方正黑体_GBK" w:cs="方正黑体_GBK"/>
                <w:bCs w:val="0"/>
                <w:sz w:val="28"/>
                <w:szCs w:val="28"/>
              </w:rPr>
              <w:t>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 w:type="dxa"/>
            <w:gridSpan w:val="2"/>
            <w:vAlign w:val="center"/>
          </w:tcPr>
          <w:p>
            <w:pPr>
              <w:widowControl/>
              <w:autoSpaceDE w:val="0"/>
              <w:spacing w:line="578" w:lineRule="exact"/>
              <w:ind w:firstLine="400" w:firstLineChars="200"/>
              <w:jc w:val="center"/>
              <w:rPr>
                <w:rFonts w:ascii="Times New Roman" w:hAnsi="Times New Roman" w:cs="Times New Roman" w:eastAsiaTheme="majorEastAsia"/>
                <w:bCs w:val="0"/>
                <w:sz w:val="20"/>
                <w:szCs w:val="20"/>
              </w:rPr>
            </w:pPr>
          </w:p>
        </w:tc>
        <w:tc>
          <w:tcPr>
            <w:tcW w:w="2092" w:type="dxa"/>
            <w:gridSpan w:val="4"/>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年初预算数</w:t>
            </w:r>
          </w:p>
        </w:tc>
        <w:tc>
          <w:tcPr>
            <w:tcW w:w="1725" w:type="dxa"/>
            <w:gridSpan w:val="3"/>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全年（调整）</w:t>
            </w:r>
          </w:p>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预算数</w:t>
            </w:r>
          </w:p>
        </w:tc>
        <w:tc>
          <w:tcPr>
            <w:tcW w:w="1371" w:type="dxa"/>
            <w:gridSpan w:val="3"/>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全年执行数</w:t>
            </w:r>
          </w:p>
        </w:tc>
        <w:tc>
          <w:tcPr>
            <w:tcW w:w="1816" w:type="dxa"/>
            <w:gridSpan w:val="5"/>
            <w:vAlign w:val="center"/>
          </w:tcPr>
          <w:p>
            <w:pPr>
              <w:widowControl/>
              <w:autoSpaceDE w:val="0"/>
              <w:spacing w:line="578" w:lineRule="exact"/>
              <w:ind w:firstLine="400" w:firstLineChars="200"/>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执行率</w:t>
            </w:r>
          </w:p>
        </w:tc>
        <w:tc>
          <w:tcPr>
            <w:tcW w:w="863" w:type="dxa"/>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执行率权重</w:t>
            </w:r>
          </w:p>
        </w:tc>
        <w:tc>
          <w:tcPr>
            <w:tcW w:w="720" w:type="dxa"/>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行率得分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62" w:type="dxa"/>
            <w:gridSpan w:val="2"/>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年度总金额</w:t>
            </w:r>
          </w:p>
        </w:tc>
        <w:tc>
          <w:tcPr>
            <w:tcW w:w="2092" w:type="dxa"/>
            <w:gridSpan w:val="4"/>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1500000.0</w:t>
            </w:r>
          </w:p>
        </w:tc>
        <w:tc>
          <w:tcPr>
            <w:tcW w:w="1725" w:type="dxa"/>
            <w:gridSpan w:val="3"/>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1430000.00</w:t>
            </w:r>
          </w:p>
        </w:tc>
        <w:tc>
          <w:tcPr>
            <w:tcW w:w="1371" w:type="dxa"/>
            <w:gridSpan w:val="3"/>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1430000.00</w:t>
            </w:r>
          </w:p>
        </w:tc>
        <w:tc>
          <w:tcPr>
            <w:tcW w:w="1816" w:type="dxa"/>
            <w:gridSpan w:val="5"/>
            <w:vAlign w:val="center"/>
          </w:tcPr>
          <w:p>
            <w:pPr>
              <w:widowControl/>
              <w:autoSpaceDE w:val="0"/>
              <w:spacing w:line="578" w:lineRule="exact"/>
              <w:ind w:firstLine="400" w:firstLineChars="200"/>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100%</w:t>
            </w:r>
          </w:p>
        </w:tc>
        <w:tc>
          <w:tcPr>
            <w:tcW w:w="863" w:type="dxa"/>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100%</w:t>
            </w:r>
          </w:p>
        </w:tc>
        <w:tc>
          <w:tcPr>
            <w:tcW w:w="720" w:type="dxa"/>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962" w:type="dxa"/>
            <w:gridSpan w:val="2"/>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其中：财政拨款</w:t>
            </w:r>
          </w:p>
        </w:tc>
        <w:tc>
          <w:tcPr>
            <w:tcW w:w="2092" w:type="dxa"/>
            <w:gridSpan w:val="4"/>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1500000.00</w:t>
            </w:r>
          </w:p>
        </w:tc>
        <w:tc>
          <w:tcPr>
            <w:tcW w:w="1725" w:type="dxa"/>
            <w:gridSpan w:val="3"/>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1430000.00</w:t>
            </w:r>
          </w:p>
        </w:tc>
        <w:tc>
          <w:tcPr>
            <w:tcW w:w="1371" w:type="dxa"/>
            <w:gridSpan w:val="3"/>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1430000.00</w:t>
            </w:r>
          </w:p>
        </w:tc>
        <w:tc>
          <w:tcPr>
            <w:tcW w:w="1816" w:type="dxa"/>
            <w:gridSpan w:val="5"/>
            <w:vAlign w:val="center"/>
          </w:tcPr>
          <w:p>
            <w:pPr>
              <w:widowControl/>
              <w:autoSpaceDE w:val="0"/>
              <w:spacing w:line="578" w:lineRule="exact"/>
              <w:ind w:firstLine="400" w:firstLineChars="200"/>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100%</w:t>
            </w:r>
          </w:p>
        </w:tc>
        <w:tc>
          <w:tcPr>
            <w:tcW w:w="863" w:type="dxa"/>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100%</w:t>
            </w:r>
          </w:p>
        </w:tc>
        <w:tc>
          <w:tcPr>
            <w:tcW w:w="720" w:type="dxa"/>
            <w:vAlign w:val="center"/>
          </w:tcPr>
          <w:p>
            <w:pPr>
              <w:widowControl/>
              <w:autoSpaceDE w:val="0"/>
              <w:spacing w:line="578" w:lineRule="exact"/>
              <w:jc w:val="center"/>
              <w:rPr>
                <w:rFonts w:ascii="Times New Roman" w:hAnsi="Times New Roman" w:cs="Times New Roman" w:eastAsiaTheme="majorEastAsia"/>
                <w:bCs w:val="0"/>
                <w:sz w:val="20"/>
                <w:szCs w:val="20"/>
              </w:rPr>
            </w:pPr>
            <w:r>
              <w:rPr>
                <w:rFonts w:ascii="Times New Roman" w:hAnsi="Times New Roman" w:cs="Times New Roman" w:eastAsiaTheme="majorEastAsia"/>
                <w:bCs w:val="0"/>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9549" w:type="dxa"/>
            <w:gridSpan w:val="19"/>
            <w:vAlign w:val="center"/>
          </w:tcPr>
          <w:p>
            <w:pPr>
              <w:widowControl/>
              <w:autoSpaceDE w:val="0"/>
              <w:spacing w:line="578" w:lineRule="exact"/>
              <w:ind w:firstLine="560" w:firstLineChars="200"/>
              <w:jc w:val="center"/>
              <w:rPr>
                <w:rFonts w:ascii="Times New Roman" w:hAnsi="Times New Roman" w:cs="Times New Roman" w:eastAsiaTheme="majorEastAsia"/>
                <w:bCs w:val="0"/>
                <w:sz w:val="28"/>
                <w:szCs w:val="28"/>
              </w:rPr>
            </w:pPr>
            <w:r>
              <w:rPr>
                <w:rFonts w:ascii="方正黑体_GBK" w:hAnsi="方正黑体_GBK" w:eastAsia="方正黑体_GBK" w:cs="方正黑体_GBK"/>
                <w:bCs w:val="0"/>
                <w:sz w:val="28"/>
                <w:szCs w:val="2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gridSpan w:val="6"/>
            <w:vAlign w:val="center"/>
          </w:tcPr>
          <w:p>
            <w:pPr>
              <w:spacing w:line="0" w:lineRule="atLeast"/>
              <w:jc w:val="center"/>
              <w:rPr>
                <w:rFonts w:asciiTheme="minorEastAsia" w:hAnsiTheme="minorEastAsia" w:cstheme="minorEastAsia"/>
                <w:szCs w:val="32"/>
              </w:rPr>
            </w:pPr>
            <w:r>
              <w:rPr>
                <w:rFonts w:asciiTheme="minorEastAsia" w:hAnsiTheme="minorEastAsia" w:cstheme="minorEastAsia"/>
                <w:szCs w:val="32"/>
              </w:rPr>
              <w:t>年初绩效目标</w:t>
            </w:r>
          </w:p>
        </w:tc>
        <w:tc>
          <w:tcPr>
            <w:tcW w:w="3096" w:type="dxa"/>
            <w:gridSpan w:val="6"/>
            <w:vAlign w:val="center"/>
          </w:tcPr>
          <w:p>
            <w:pPr>
              <w:spacing w:line="0" w:lineRule="atLeast"/>
              <w:jc w:val="center"/>
              <w:rPr>
                <w:rFonts w:asciiTheme="minorEastAsia" w:hAnsiTheme="minorEastAsia" w:cstheme="minorEastAsia"/>
                <w:szCs w:val="32"/>
              </w:rPr>
            </w:pPr>
            <w:r>
              <w:rPr>
                <w:rFonts w:asciiTheme="minorEastAsia" w:hAnsiTheme="minorEastAsia" w:cstheme="minorEastAsia"/>
                <w:szCs w:val="32"/>
              </w:rPr>
              <w:t>全年（调整）绩效</w:t>
            </w:r>
          </w:p>
          <w:p>
            <w:pPr>
              <w:spacing w:line="0" w:lineRule="atLeast"/>
              <w:jc w:val="center"/>
              <w:rPr>
                <w:rFonts w:asciiTheme="minorEastAsia" w:hAnsiTheme="minorEastAsia" w:cstheme="minorEastAsia"/>
                <w:szCs w:val="32"/>
              </w:rPr>
            </w:pPr>
            <w:r>
              <w:rPr>
                <w:rFonts w:asciiTheme="minorEastAsia" w:hAnsiTheme="minorEastAsia" w:cstheme="minorEastAsia"/>
                <w:szCs w:val="32"/>
              </w:rPr>
              <w:t>目标</w:t>
            </w:r>
          </w:p>
        </w:tc>
        <w:tc>
          <w:tcPr>
            <w:tcW w:w="3399" w:type="dxa"/>
            <w:gridSpan w:val="7"/>
            <w:vAlign w:val="center"/>
          </w:tcPr>
          <w:p>
            <w:pPr>
              <w:spacing w:line="0" w:lineRule="atLeast"/>
              <w:jc w:val="center"/>
              <w:rPr>
                <w:rFonts w:asciiTheme="minorEastAsia" w:hAnsiTheme="minorEastAsia" w:cstheme="minorEastAsia"/>
                <w:szCs w:val="32"/>
              </w:rPr>
            </w:pPr>
            <w:r>
              <w:rPr>
                <w:rFonts w:asciiTheme="minorEastAsia" w:hAnsiTheme="minorEastAsia" w:cstheme="minorEastAsia"/>
                <w:szCs w:val="32"/>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2" w:hRule="atLeast"/>
        </w:trPr>
        <w:tc>
          <w:tcPr>
            <w:tcW w:w="3054" w:type="dxa"/>
            <w:gridSpan w:val="6"/>
          </w:tcPr>
          <w:p>
            <w:pPr>
              <w:spacing w:line="0" w:lineRule="atLeast"/>
              <w:rPr>
                <w:rFonts w:ascii="Times New Roman" w:hAnsi="Times New Roman" w:cs="Times New Roman" w:eastAsiaTheme="majorEastAsia"/>
                <w:bCs w:val="0"/>
                <w:sz w:val="28"/>
                <w:szCs w:val="28"/>
              </w:rPr>
            </w:pPr>
            <w:r>
              <w:rPr>
                <w:rFonts w:hint="eastAsia" w:asciiTheme="minorEastAsia" w:hAnsiTheme="minorEastAsia" w:cstheme="minorEastAsia"/>
                <w:bCs w:val="0"/>
                <w:sz w:val="28"/>
                <w:szCs w:val="28"/>
              </w:rPr>
              <w:t>预期目标：</w:t>
            </w:r>
            <w:r>
              <w:rPr>
                <w:rFonts w:hint="eastAsia" w:asciiTheme="minorEastAsia" w:hAnsiTheme="minorEastAsia" w:cstheme="minorEastAsia"/>
                <w:sz w:val="24"/>
                <w:szCs w:val="24"/>
              </w:rPr>
              <w:t>以“为党的二十大胜利召开营造和谐稳定社会环境”为主线，在全县开展以“信访工作双规范推进依法治访”为主题的“信访工作质效提升年行动”，推动信访工作“一降两升三规范”，即到市进京走访人次批次明显下降，初次信访一次性化解率、群众满意度评价大幅提升，信访业务办理、常态管控方式、依法办理信访全面规范。</w:t>
            </w:r>
          </w:p>
        </w:tc>
        <w:tc>
          <w:tcPr>
            <w:tcW w:w="3096" w:type="dxa"/>
            <w:gridSpan w:val="6"/>
          </w:tcPr>
          <w:p>
            <w:pPr>
              <w:spacing w:line="0" w:lineRule="atLeast"/>
              <w:rPr>
                <w:rFonts w:asciiTheme="minorEastAsia" w:hAnsiTheme="minorEastAsia" w:cstheme="minorEastAsia"/>
                <w:sz w:val="24"/>
                <w:szCs w:val="24"/>
              </w:rPr>
            </w:pPr>
            <w:r>
              <w:rPr>
                <w:rFonts w:hint="eastAsia" w:asciiTheme="minorEastAsia" w:hAnsiTheme="minorEastAsia" w:cstheme="minorEastAsia"/>
                <w:sz w:val="24"/>
                <w:szCs w:val="24"/>
              </w:rPr>
              <w:t>以“为党的二十大胜利召开营造和谐稳定社会环境”为主线，在全县开展以“信访工作双规范推进依法治访”为主题的“信访工作质效提升年行动”，推动信访工作“一降两升三规范”，即到市进京走访人次批次明显下降，初次信访一次性化解率、群众满意度评价大幅提升，信访业务办理、常态管控方式、依法办理信访全面规范。</w:t>
            </w:r>
          </w:p>
          <w:p>
            <w:pPr>
              <w:widowControl/>
              <w:spacing w:line="578" w:lineRule="exact"/>
              <w:ind w:firstLine="560" w:firstLineChars="200"/>
              <w:jc w:val="center"/>
              <w:rPr>
                <w:rFonts w:ascii="Times New Roman" w:hAnsi="Times New Roman" w:cs="Times New Roman" w:eastAsiaTheme="majorEastAsia"/>
                <w:bCs w:val="0"/>
                <w:sz w:val="28"/>
                <w:szCs w:val="28"/>
              </w:rPr>
            </w:pPr>
          </w:p>
        </w:tc>
        <w:tc>
          <w:tcPr>
            <w:tcW w:w="3399" w:type="dxa"/>
            <w:gridSpan w:val="7"/>
          </w:tcPr>
          <w:p>
            <w:pPr>
              <w:spacing w:line="0" w:lineRule="atLeast"/>
              <w:rPr>
                <w:rFonts w:ascii="Times New Roman" w:hAnsi="Times New Roman" w:cs="Times New Roman" w:eastAsiaTheme="majorEastAsia"/>
                <w:bCs w:val="0"/>
                <w:sz w:val="28"/>
                <w:szCs w:val="28"/>
              </w:rPr>
            </w:pPr>
            <w:r>
              <w:rPr>
                <w:rFonts w:ascii="Times New Roman" w:hAnsi="Times New Roman" w:cs="Times New Roman" w:eastAsiaTheme="majorEastAsia"/>
                <w:bCs w:val="0"/>
                <w:sz w:val="28"/>
                <w:szCs w:val="28"/>
              </w:rPr>
              <w:t>全年完成情况：</w:t>
            </w:r>
            <w:r>
              <w:rPr>
                <w:rFonts w:hint="eastAsia" w:asciiTheme="minorEastAsia" w:hAnsiTheme="minorEastAsia" w:cstheme="minorEastAsia"/>
                <w:sz w:val="24"/>
                <w:szCs w:val="24"/>
              </w:rPr>
              <w:t>一是开展“信访工作质效提升年”行动，开展重点领域、重点问题攻坚化解，开展“非法维权、违法上访”专项整治行动；二是坚持底线思维，提高防控能力，有效防范应对各种风险，不发生进京聚集事件和群体性事件和个人极端事件；三是认真办理重庆市信访信息系统中的信访事项，确保录入信访事项按期办结。四是持续开展“治重化积”专项行动，坚持每月开展1次矛盾纠纷定期排查，适时按重点工作开展专项排查，排查矛盾年度化解率达90%以上；五是积极完成上级交办信访案件。认真办理复查、复核申诉案件；六是发挥专项资金作用，推动信访问题化解。七是及时处置党政大楼集访、扰序事件；八是完成上级交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9" w:type="dxa"/>
            <w:gridSpan w:val="19"/>
            <w:vAlign w:val="center"/>
          </w:tcPr>
          <w:p>
            <w:pPr>
              <w:widowControl/>
              <w:autoSpaceDE w:val="0"/>
              <w:spacing w:line="578" w:lineRule="exact"/>
              <w:ind w:firstLine="560" w:firstLineChars="200"/>
              <w:jc w:val="center"/>
              <w:rPr>
                <w:rFonts w:ascii="Times New Roman" w:hAnsi="Times New Roman" w:cs="Times New Roman" w:eastAsiaTheme="majorEastAsia"/>
                <w:bCs w:val="0"/>
                <w:sz w:val="28"/>
                <w:szCs w:val="28"/>
              </w:rPr>
            </w:pPr>
            <w:r>
              <w:rPr>
                <w:rFonts w:hint="eastAsia" w:ascii="方正黑体_GBK" w:hAnsi="方正黑体_GBK" w:eastAsia="方正黑体_GBK" w:cs="方正黑体_GBK"/>
                <w:bCs w:val="0"/>
                <w:sz w:val="28"/>
                <w:szCs w:val="28"/>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943" w:type="dxa"/>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指标</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名称</w:t>
            </w:r>
          </w:p>
        </w:tc>
        <w:tc>
          <w:tcPr>
            <w:tcW w:w="836"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计量单位</w:t>
            </w:r>
          </w:p>
        </w:tc>
        <w:tc>
          <w:tcPr>
            <w:tcW w:w="959"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指标</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性质</w:t>
            </w:r>
          </w:p>
        </w:tc>
        <w:tc>
          <w:tcPr>
            <w:tcW w:w="795"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指标值</w:t>
            </w:r>
          </w:p>
        </w:tc>
        <w:tc>
          <w:tcPr>
            <w:tcW w:w="885" w:type="dxa"/>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全年完成值</w:t>
            </w:r>
          </w:p>
        </w:tc>
        <w:tc>
          <w:tcPr>
            <w:tcW w:w="780"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偏离度（%）</w:t>
            </w:r>
          </w:p>
        </w:tc>
        <w:tc>
          <w:tcPr>
            <w:tcW w:w="826" w:type="dxa"/>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得分系数（%）</w:t>
            </w:r>
          </w:p>
        </w:tc>
        <w:tc>
          <w:tcPr>
            <w:tcW w:w="891" w:type="dxa"/>
            <w:gridSpan w:val="3"/>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指标</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权重</w:t>
            </w:r>
          </w:p>
        </w:tc>
        <w:tc>
          <w:tcPr>
            <w:tcW w:w="788"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指标</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得分</w:t>
            </w:r>
          </w:p>
        </w:tc>
        <w:tc>
          <w:tcPr>
            <w:tcW w:w="1126"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是否</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核心</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指标</w:t>
            </w:r>
          </w:p>
        </w:tc>
        <w:tc>
          <w:tcPr>
            <w:tcW w:w="720" w:type="dxa"/>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943" w:type="dxa"/>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办理率和复查率</w:t>
            </w:r>
          </w:p>
        </w:tc>
        <w:tc>
          <w:tcPr>
            <w:tcW w:w="836"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件</w:t>
            </w:r>
          </w:p>
        </w:tc>
        <w:tc>
          <w:tcPr>
            <w:tcW w:w="959"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w:t>
            </w:r>
          </w:p>
        </w:tc>
        <w:tc>
          <w:tcPr>
            <w:tcW w:w="795" w:type="dxa"/>
            <w:gridSpan w:val="2"/>
            <w:vAlign w:val="center"/>
          </w:tcPr>
          <w:p>
            <w:pPr>
              <w:spacing w:line="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98</w:t>
            </w:r>
          </w:p>
        </w:tc>
        <w:tc>
          <w:tcPr>
            <w:tcW w:w="885" w:type="dxa"/>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98</w:t>
            </w:r>
          </w:p>
        </w:tc>
        <w:tc>
          <w:tcPr>
            <w:tcW w:w="780" w:type="dxa"/>
            <w:gridSpan w:val="2"/>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ascii="Times New Roman" w:hAnsi="Times New Roman" w:cs="Times New Roman" w:eastAsiaTheme="majorEastAsia"/>
                <w:bCs w:val="0"/>
                <w:sz w:val="24"/>
                <w:szCs w:val="24"/>
              </w:rPr>
              <w:t>0</w:t>
            </w:r>
          </w:p>
        </w:tc>
        <w:tc>
          <w:tcPr>
            <w:tcW w:w="826" w:type="dxa"/>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100</w:t>
            </w:r>
          </w:p>
        </w:tc>
        <w:tc>
          <w:tcPr>
            <w:tcW w:w="891" w:type="dxa"/>
            <w:gridSpan w:val="3"/>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ascii="Times New Roman" w:hAnsi="Times New Roman" w:cs="Times New Roman" w:eastAsiaTheme="majorEastAsia"/>
                <w:bCs w:val="0"/>
                <w:sz w:val="24"/>
                <w:szCs w:val="24"/>
              </w:rPr>
              <w:t>20</w:t>
            </w:r>
          </w:p>
        </w:tc>
        <w:tc>
          <w:tcPr>
            <w:tcW w:w="788" w:type="dxa"/>
            <w:gridSpan w:val="2"/>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ascii="Times New Roman" w:hAnsi="Times New Roman" w:cs="Times New Roman" w:eastAsiaTheme="majorEastAsia"/>
                <w:bCs w:val="0"/>
                <w:sz w:val="24"/>
                <w:szCs w:val="24"/>
              </w:rPr>
              <w:t>20</w:t>
            </w:r>
          </w:p>
        </w:tc>
        <w:tc>
          <w:tcPr>
            <w:tcW w:w="1126" w:type="dxa"/>
            <w:gridSpan w:val="2"/>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ascii="Times New Roman" w:hAnsi="Times New Roman" w:cs="Times New Roman" w:eastAsiaTheme="majorEastAsia"/>
                <w:bCs w:val="0"/>
                <w:sz w:val="24"/>
                <w:szCs w:val="24"/>
              </w:rPr>
              <w:t>是</w:t>
            </w:r>
          </w:p>
        </w:tc>
        <w:tc>
          <w:tcPr>
            <w:tcW w:w="720" w:type="dxa"/>
            <w:vAlign w:val="center"/>
          </w:tcPr>
          <w:p>
            <w:pPr>
              <w:widowControl/>
              <w:autoSpaceDE w:val="0"/>
              <w:spacing w:line="578" w:lineRule="exact"/>
              <w:ind w:firstLine="480" w:firstLineChars="200"/>
              <w:jc w:val="center"/>
              <w:rPr>
                <w:rFonts w:ascii="Times New Roman" w:hAnsi="Times New Roman" w:cs="Times New Roman" w:eastAsiaTheme="major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43" w:type="dxa"/>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案件办结</w:t>
            </w:r>
          </w:p>
        </w:tc>
        <w:tc>
          <w:tcPr>
            <w:tcW w:w="836"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件</w:t>
            </w:r>
          </w:p>
        </w:tc>
        <w:tc>
          <w:tcPr>
            <w:tcW w:w="959"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定性</w:t>
            </w:r>
          </w:p>
        </w:tc>
        <w:tc>
          <w:tcPr>
            <w:tcW w:w="795" w:type="dxa"/>
            <w:gridSpan w:val="2"/>
            <w:vAlign w:val="center"/>
          </w:tcPr>
          <w:p>
            <w:pPr>
              <w:spacing w:line="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好</w:t>
            </w:r>
          </w:p>
        </w:tc>
        <w:tc>
          <w:tcPr>
            <w:tcW w:w="885" w:type="dxa"/>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1</w:t>
            </w:r>
          </w:p>
        </w:tc>
        <w:tc>
          <w:tcPr>
            <w:tcW w:w="780" w:type="dxa"/>
            <w:gridSpan w:val="2"/>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ascii="Times New Roman" w:hAnsi="Times New Roman" w:cs="Times New Roman" w:eastAsiaTheme="majorEastAsia"/>
                <w:bCs w:val="0"/>
                <w:sz w:val="24"/>
                <w:szCs w:val="24"/>
              </w:rPr>
              <w:t>0</w:t>
            </w:r>
          </w:p>
        </w:tc>
        <w:tc>
          <w:tcPr>
            <w:tcW w:w="826" w:type="dxa"/>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100</w:t>
            </w:r>
          </w:p>
        </w:tc>
        <w:tc>
          <w:tcPr>
            <w:tcW w:w="891" w:type="dxa"/>
            <w:gridSpan w:val="3"/>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10</w:t>
            </w:r>
          </w:p>
        </w:tc>
        <w:tc>
          <w:tcPr>
            <w:tcW w:w="788" w:type="dxa"/>
            <w:gridSpan w:val="2"/>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10</w:t>
            </w:r>
          </w:p>
        </w:tc>
        <w:tc>
          <w:tcPr>
            <w:tcW w:w="1126" w:type="dxa"/>
            <w:gridSpan w:val="2"/>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ascii="Times New Roman" w:hAnsi="Times New Roman" w:cs="Times New Roman" w:eastAsiaTheme="majorEastAsia"/>
                <w:bCs w:val="0"/>
                <w:sz w:val="24"/>
                <w:szCs w:val="24"/>
              </w:rPr>
              <w:t>是</w:t>
            </w:r>
          </w:p>
        </w:tc>
        <w:tc>
          <w:tcPr>
            <w:tcW w:w="720" w:type="dxa"/>
            <w:vAlign w:val="center"/>
          </w:tcPr>
          <w:p>
            <w:pPr>
              <w:widowControl/>
              <w:autoSpaceDE w:val="0"/>
              <w:spacing w:line="578" w:lineRule="exact"/>
              <w:ind w:firstLine="480" w:firstLineChars="200"/>
              <w:jc w:val="center"/>
              <w:rPr>
                <w:rFonts w:ascii="Times New Roman" w:hAnsi="Times New Roman" w:cs="Times New Roman" w:eastAsiaTheme="major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943" w:type="dxa"/>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维稳成本</w:t>
            </w:r>
          </w:p>
        </w:tc>
        <w:tc>
          <w:tcPr>
            <w:tcW w:w="836"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元</w:t>
            </w:r>
          </w:p>
        </w:tc>
        <w:tc>
          <w:tcPr>
            <w:tcW w:w="959" w:type="dxa"/>
            <w:gridSpan w:val="2"/>
            <w:vAlign w:val="center"/>
          </w:tcPr>
          <w:p>
            <w:pPr>
              <w:spacing w:line="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w:t>
            </w:r>
          </w:p>
        </w:tc>
        <w:tc>
          <w:tcPr>
            <w:tcW w:w="795" w:type="dxa"/>
            <w:gridSpan w:val="2"/>
            <w:vAlign w:val="center"/>
          </w:tcPr>
          <w:p>
            <w:pPr>
              <w:spacing w:line="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1430000</w:t>
            </w:r>
          </w:p>
        </w:tc>
        <w:tc>
          <w:tcPr>
            <w:tcW w:w="885" w:type="dxa"/>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1430000</w:t>
            </w:r>
          </w:p>
        </w:tc>
        <w:tc>
          <w:tcPr>
            <w:tcW w:w="780" w:type="dxa"/>
            <w:gridSpan w:val="2"/>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ascii="Times New Roman" w:hAnsi="Times New Roman" w:cs="Times New Roman" w:eastAsiaTheme="majorEastAsia"/>
                <w:bCs w:val="0"/>
                <w:sz w:val="24"/>
                <w:szCs w:val="24"/>
              </w:rPr>
              <w:t>0</w:t>
            </w:r>
          </w:p>
        </w:tc>
        <w:tc>
          <w:tcPr>
            <w:tcW w:w="826" w:type="dxa"/>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100</w:t>
            </w:r>
          </w:p>
        </w:tc>
        <w:tc>
          <w:tcPr>
            <w:tcW w:w="891" w:type="dxa"/>
            <w:gridSpan w:val="3"/>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ascii="Times New Roman" w:hAnsi="Times New Roman" w:cs="Times New Roman" w:eastAsiaTheme="majorEastAsia"/>
                <w:bCs w:val="0"/>
                <w:sz w:val="24"/>
                <w:szCs w:val="24"/>
              </w:rPr>
              <w:t>20</w:t>
            </w:r>
          </w:p>
        </w:tc>
        <w:tc>
          <w:tcPr>
            <w:tcW w:w="788" w:type="dxa"/>
            <w:gridSpan w:val="2"/>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20</w:t>
            </w:r>
          </w:p>
        </w:tc>
        <w:tc>
          <w:tcPr>
            <w:tcW w:w="1126" w:type="dxa"/>
            <w:gridSpan w:val="2"/>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ascii="Times New Roman" w:hAnsi="Times New Roman" w:cs="Times New Roman" w:eastAsiaTheme="majorEastAsia"/>
                <w:bCs w:val="0"/>
                <w:sz w:val="24"/>
                <w:szCs w:val="24"/>
              </w:rPr>
              <w:t>是</w:t>
            </w:r>
          </w:p>
        </w:tc>
        <w:tc>
          <w:tcPr>
            <w:tcW w:w="720" w:type="dxa"/>
            <w:vAlign w:val="center"/>
          </w:tcPr>
          <w:p>
            <w:pPr>
              <w:widowControl/>
              <w:autoSpaceDE w:val="0"/>
              <w:spacing w:line="578" w:lineRule="exact"/>
              <w:ind w:firstLine="480" w:firstLineChars="200"/>
              <w:jc w:val="center"/>
              <w:rPr>
                <w:rFonts w:ascii="Times New Roman" w:hAnsi="Times New Roman" w:cs="Times New Roman" w:eastAsiaTheme="major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943" w:type="dxa"/>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降低维稳成本</w:t>
            </w:r>
          </w:p>
        </w:tc>
        <w:tc>
          <w:tcPr>
            <w:tcW w:w="836" w:type="dxa"/>
            <w:gridSpan w:val="2"/>
            <w:vAlign w:val="center"/>
          </w:tcPr>
          <w:p>
            <w:pPr>
              <w:spacing w:line="0" w:lineRule="atLeast"/>
              <w:jc w:val="center"/>
              <w:rPr>
                <w:rFonts w:asciiTheme="minorEastAsia" w:hAnsiTheme="minorEastAsia" w:cstheme="minorEastAsia"/>
                <w:sz w:val="24"/>
                <w:szCs w:val="24"/>
              </w:rPr>
            </w:pPr>
          </w:p>
        </w:tc>
        <w:tc>
          <w:tcPr>
            <w:tcW w:w="959"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定性</w:t>
            </w:r>
          </w:p>
        </w:tc>
        <w:tc>
          <w:tcPr>
            <w:tcW w:w="795"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明显改善</w:t>
            </w:r>
          </w:p>
        </w:tc>
        <w:tc>
          <w:tcPr>
            <w:tcW w:w="885" w:type="dxa"/>
            <w:vAlign w:val="center"/>
          </w:tcPr>
          <w:p>
            <w:pPr>
              <w:widowControl/>
              <w:autoSpaceDE w:val="0"/>
              <w:spacing w:line="578" w:lineRule="exact"/>
              <w:ind w:firstLine="480" w:firstLineChars="200"/>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1</w:t>
            </w:r>
          </w:p>
        </w:tc>
        <w:tc>
          <w:tcPr>
            <w:tcW w:w="780" w:type="dxa"/>
            <w:gridSpan w:val="2"/>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ascii="Times New Roman" w:hAnsi="Times New Roman" w:cs="Times New Roman" w:eastAsiaTheme="majorEastAsia"/>
                <w:bCs w:val="0"/>
                <w:sz w:val="24"/>
                <w:szCs w:val="24"/>
              </w:rPr>
              <w:t>0</w:t>
            </w:r>
          </w:p>
        </w:tc>
        <w:tc>
          <w:tcPr>
            <w:tcW w:w="826" w:type="dxa"/>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100</w:t>
            </w:r>
          </w:p>
        </w:tc>
        <w:tc>
          <w:tcPr>
            <w:tcW w:w="891" w:type="dxa"/>
            <w:gridSpan w:val="3"/>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10</w:t>
            </w:r>
          </w:p>
        </w:tc>
        <w:tc>
          <w:tcPr>
            <w:tcW w:w="788" w:type="dxa"/>
            <w:gridSpan w:val="2"/>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10</w:t>
            </w:r>
          </w:p>
        </w:tc>
        <w:tc>
          <w:tcPr>
            <w:tcW w:w="1126" w:type="dxa"/>
            <w:gridSpan w:val="2"/>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ascii="Times New Roman" w:hAnsi="Times New Roman" w:cs="Times New Roman" w:eastAsiaTheme="majorEastAsia"/>
                <w:bCs w:val="0"/>
                <w:sz w:val="24"/>
                <w:szCs w:val="24"/>
              </w:rPr>
              <w:t>是</w:t>
            </w:r>
          </w:p>
        </w:tc>
        <w:tc>
          <w:tcPr>
            <w:tcW w:w="720" w:type="dxa"/>
            <w:vAlign w:val="center"/>
          </w:tcPr>
          <w:p>
            <w:pPr>
              <w:widowControl/>
              <w:autoSpaceDE w:val="0"/>
              <w:spacing w:line="578" w:lineRule="exact"/>
              <w:ind w:firstLine="480" w:firstLineChars="200"/>
              <w:jc w:val="center"/>
              <w:rPr>
                <w:rFonts w:ascii="Times New Roman" w:hAnsi="Times New Roman" w:cs="Times New Roman" w:eastAsiaTheme="major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3" w:type="dxa"/>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受益人满意度</w:t>
            </w:r>
          </w:p>
        </w:tc>
        <w:tc>
          <w:tcPr>
            <w:tcW w:w="836"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w:t>
            </w:r>
          </w:p>
        </w:tc>
        <w:tc>
          <w:tcPr>
            <w:tcW w:w="959"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w:t>
            </w:r>
          </w:p>
        </w:tc>
        <w:tc>
          <w:tcPr>
            <w:tcW w:w="795" w:type="dxa"/>
            <w:gridSpan w:val="2"/>
            <w:vAlign w:val="center"/>
          </w:tcPr>
          <w:p>
            <w:pPr>
              <w:spacing w:line="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97</w:t>
            </w:r>
          </w:p>
        </w:tc>
        <w:tc>
          <w:tcPr>
            <w:tcW w:w="885" w:type="dxa"/>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97</w:t>
            </w:r>
          </w:p>
        </w:tc>
        <w:tc>
          <w:tcPr>
            <w:tcW w:w="780" w:type="dxa"/>
            <w:gridSpan w:val="2"/>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ascii="Times New Roman" w:hAnsi="Times New Roman" w:cs="Times New Roman" w:eastAsiaTheme="majorEastAsia"/>
                <w:bCs w:val="0"/>
                <w:sz w:val="24"/>
                <w:szCs w:val="24"/>
              </w:rPr>
              <w:t>0</w:t>
            </w:r>
          </w:p>
        </w:tc>
        <w:tc>
          <w:tcPr>
            <w:tcW w:w="826" w:type="dxa"/>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100</w:t>
            </w:r>
          </w:p>
        </w:tc>
        <w:tc>
          <w:tcPr>
            <w:tcW w:w="891" w:type="dxa"/>
            <w:gridSpan w:val="3"/>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30</w:t>
            </w:r>
          </w:p>
        </w:tc>
        <w:tc>
          <w:tcPr>
            <w:tcW w:w="788" w:type="dxa"/>
            <w:gridSpan w:val="2"/>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hint="eastAsia" w:ascii="Times New Roman" w:hAnsi="Times New Roman" w:cs="Times New Roman" w:eastAsiaTheme="majorEastAsia"/>
                <w:bCs w:val="0"/>
                <w:sz w:val="24"/>
                <w:szCs w:val="24"/>
              </w:rPr>
              <w:t>30</w:t>
            </w:r>
          </w:p>
        </w:tc>
        <w:tc>
          <w:tcPr>
            <w:tcW w:w="1126" w:type="dxa"/>
            <w:gridSpan w:val="2"/>
            <w:vAlign w:val="center"/>
          </w:tcPr>
          <w:p>
            <w:pPr>
              <w:widowControl/>
              <w:autoSpaceDE w:val="0"/>
              <w:spacing w:line="578" w:lineRule="exact"/>
              <w:jc w:val="center"/>
              <w:rPr>
                <w:rFonts w:ascii="Times New Roman" w:hAnsi="Times New Roman" w:cs="Times New Roman" w:eastAsiaTheme="majorEastAsia"/>
                <w:bCs w:val="0"/>
                <w:sz w:val="24"/>
                <w:szCs w:val="24"/>
              </w:rPr>
            </w:pPr>
            <w:r>
              <w:rPr>
                <w:rFonts w:ascii="Times New Roman" w:hAnsi="Times New Roman" w:cs="Times New Roman" w:eastAsiaTheme="majorEastAsia"/>
                <w:bCs w:val="0"/>
                <w:sz w:val="24"/>
                <w:szCs w:val="24"/>
              </w:rPr>
              <w:t>是</w:t>
            </w:r>
          </w:p>
        </w:tc>
        <w:tc>
          <w:tcPr>
            <w:tcW w:w="720" w:type="dxa"/>
            <w:vAlign w:val="center"/>
          </w:tcPr>
          <w:p>
            <w:pPr>
              <w:widowControl/>
              <w:autoSpaceDE w:val="0"/>
              <w:spacing w:line="578" w:lineRule="exact"/>
              <w:ind w:firstLine="480" w:firstLineChars="200"/>
              <w:jc w:val="center"/>
              <w:rPr>
                <w:rFonts w:ascii="Times New Roman" w:hAnsi="Times New Roman" w:cs="Times New Roman" w:eastAsiaTheme="major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49" w:type="dxa"/>
            <w:gridSpan w:val="19"/>
            <w:vAlign w:val="center"/>
          </w:tcPr>
          <w:p>
            <w:pPr>
              <w:spacing w:line="0" w:lineRule="atLeast"/>
              <w:jc w:val="center"/>
              <w:rPr>
                <w:rFonts w:asciiTheme="minorEastAsia" w:hAnsiTheme="minorEastAsia" w:cstheme="minorEastAsia"/>
                <w:sz w:val="24"/>
                <w:szCs w:val="24"/>
              </w:rPr>
            </w:pPr>
            <w:r>
              <w:rPr>
                <w:rFonts w:ascii="Times New Roman" w:hAnsi="Times New Roman" w:eastAsia="方正黑体_GBK" w:cs="Times New Roman"/>
                <w:sz w:val="28"/>
                <w:szCs w:val="28"/>
              </w:rPr>
              <w:t>2022年度项目绩效自评表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3" w:type="dxa"/>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项目</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名称</w:t>
            </w:r>
          </w:p>
        </w:tc>
        <w:tc>
          <w:tcPr>
            <w:tcW w:w="1106" w:type="dxa"/>
            <w:gridSpan w:val="3"/>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信访维稳工作经费</w:t>
            </w:r>
          </w:p>
        </w:tc>
        <w:tc>
          <w:tcPr>
            <w:tcW w:w="1005"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项目编码：</w:t>
            </w:r>
          </w:p>
        </w:tc>
        <w:tc>
          <w:tcPr>
            <w:tcW w:w="1725" w:type="dxa"/>
            <w:gridSpan w:val="3"/>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50023023T00000291234</w:t>
            </w:r>
          </w:p>
        </w:tc>
        <w:tc>
          <w:tcPr>
            <w:tcW w:w="1437" w:type="dxa"/>
            <w:gridSpan w:val="4"/>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自评总分：</w:t>
            </w:r>
          </w:p>
        </w:tc>
        <w:tc>
          <w:tcPr>
            <w:tcW w:w="1000"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90</w:t>
            </w:r>
          </w:p>
        </w:tc>
        <w:tc>
          <w:tcPr>
            <w:tcW w:w="750" w:type="dxa"/>
            <w:gridSpan w:val="2"/>
            <w:vAlign w:val="center"/>
          </w:tcPr>
          <w:p>
            <w:pPr>
              <w:spacing w:line="0" w:lineRule="atLeast"/>
              <w:rPr>
                <w:rFonts w:asciiTheme="minorEastAsia" w:hAnsiTheme="minorEastAsia" w:cstheme="minorEastAsia"/>
                <w:sz w:val="24"/>
                <w:szCs w:val="24"/>
              </w:rPr>
            </w:pPr>
          </w:p>
        </w:tc>
        <w:tc>
          <w:tcPr>
            <w:tcW w:w="1583" w:type="dxa"/>
            <w:gridSpan w:val="2"/>
            <w:vAlign w:val="center"/>
          </w:tcPr>
          <w:p>
            <w:pPr>
              <w:spacing w:line="0" w:lineRule="atLeas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943" w:type="dxa"/>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项目主管部门</w:t>
            </w:r>
          </w:p>
        </w:tc>
        <w:tc>
          <w:tcPr>
            <w:tcW w:w="1106" w:type="dxa"/>
            <w:gridSpan w:val="3"/>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丰都信访办</w:t>
            </w:r>
          </w:p>
        </w:tc>
        <w:tc>
          <w:tcPr>
            <w:tcW w:w="1005"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财政归口处室</w:t>
            </w:r>
          </w:p>
        </w:tc>
        <w:tc>
          <w:tcPr>
            <w:tcW w:w="1725" w:type="dxa"/>
            <w:gridSpan w:val="3"/>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行政政法科</w:t>
            </w:r>
          </w:p>
        </w:tc>
        <w:tc>
          <w:tcPr>
            <w:tcW w:w="1437" w:type="dxa"/>
            <w:gridSpan w:val="4"/>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部门联系人</w:t>
            </w:r>
          </w:p>
        </w:tc>
        <w:tc>
          <w:tcPr>
            <w:tcW w:w="1000"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代晓清</w:t>
            </w:r>
          </w:p>
        </w:tc>
        <w:tc>
          <w:tcPr>
            <w:tcW w:w="750"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联系</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电话</w:t>
            </w:r>
          </w:p>
        </w:tc>
        <w:tc>
          <w:tcPr>
            <w:tcW w:w="1583"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13996883033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549" w:type="dxa"/>
            <w:gridSpan w:val="19"/>
            <w:vAlign w:val="center"/>
          </w:tcPr>
          <w:p>
            <w:pPr>
              <w:spacing w:line="0" w:lineRule="atLeast"/>
              <w:jc w:val="center"/>
              <w:rPr>
                <w:rFonts w:asciiTheme="minorEastAsia" w:hAnsiTheme="minorEastAsia" w:cstheme="minorEastAsia"/>
                <w:sz w:val="24"/>
                <w:szCs w:val="24"/>
              </w:rPr>
            </w:pPr>
            <w:r>
              <w:rPr>
                <w:rFonts w:hint="eastAsia" w:ascii="方正黑体_GBK" w:hAnsi="方正黑体_GBK" w:eastAsia="方正黑体_GBK" w:cs="方正黑体_GBK"/>
                <w:sz w:val="28"/>
                <w:szCs w:val="28"/>
              </w:rPr>
              <w:t>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62" w:type="dxa"/>
            <w:gridSpan w:val="2"/>
            <w:vAlign w:val="center"/>
          </w:tcPr>
          <w:p>
            <w:pPr>
              <w:spacing w:line="0" w:lineRule="atLeast"/>
              <w:rPr>
                <w:rFonts w:asciiTheme="minorEastAsia" w:hAnsiTheme="minorEastAsia" w:cstheme="minorEastAsia"/>
                <w:sz w:val="24"/>
                <w:szCs w:val="24"/>
              </w:rPr>
            </w:pPr>
          </w:p>
        </w:tc>
        <w:tc>
          <w:tcPr>
            <w:tcW w:w="2092" w:type="dxa"/>
            <w:gridSpan w:val="4"/>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年初预算数</w:t>
            </w:r>
          </w:p>
        </w:tc>
        <w:tc>
          <w:tcPr>
            <w:tcW w:w="1725" w:type="dxa"/>
            <w:gridSpan w:val="3"/>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全年（调整）</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预算数</w:t>
            </w:r>
          </w:p>
        </w:tc>
        <w:tc>
          <w:tcPr>
            <w:tcW w:w="1371" w:type="dxa"/>
            <w:gridSpan w:val="3"/>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全年执行数</w:t>
            </w:r>
          </w:p>
        </w:tc>
        <w:tc>
          <w:tcPr>
            <w:tcW w:w="1816" w:type="dxa"/>
            <w:gridSpan w:val="5"/>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执行率</w:t>
            </w:r>
          </w:p>
        </w:tc>
        <w:tc>
          <w:tcPr>
            <w:tcW w:w="863" w:type="dxa"/>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执行率</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权重</w:t>
            </w:r>
          </w:p>
        </w:tc>
        <w:tc>
          <w:tcPr>
            <w:tcW w:w="720" w:type="dxa"/>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执行率</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62"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年度总金额</w:t>
            </w:r>
          </w:p>
        </w:tc>
        <w:tc>
          <w:tcPr>
            <w:tcW w:w="2092" w:type="dxa"/>
            <w:gridSpan w:val="4"/>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1500000.0</w:t>
            </w:r>
          </w:p>
        </w:tc>
        <w:tc>
          <w:tcPr>
            <w:tcW w:w="1725" w:type="dxa"/>
            <w:gridSpan w:val="3"/>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1430000.00</w:t>
            </w:r>
          </w:p>
        </w:tc>
        <w:tc>
          <w:tcPr>
            <w:tcW w:w="1371" w:type="dxa"/>
            <w:gridSpan w:val="3"/>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1430000.00</w:t>
            </w:r>
          </w:p>
        </w:tc>
        <w:tc>
          <w:tcPr>
            <w:tcW w:w="1816" w:type="dxa"/>
            <w:gridSpan w:val="5"/>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100%</w:t>
            </w:r>
          </w:p>
        </w:tc>
        <w:tc>
          <w:tcPr>
            <w:tcW w:w="863" w:type="dxa"/>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100%</w:t>
            </w:r>
          </w:p>
        </w:tc>
        <w:tc>
          <w:tcPr>
            <w:tcW w:w="720" w:type="dxa"/>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62"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其中：财政拨款</w:t>
            </w:r>
          </w:p>
        </w:tc>
        <w:tc>
          <w:tcPr>
            <w:tcW w:w="2092" w:type="dxa"/>
            <w:gridSpan w:val="4"/>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1500000.00</w:t>
            </w:r>
          </w:p>
        </w:tc>
        <w:tc>
          <w:tcPr>
            <w:tcW w:w="1725" w:type="dxa"/>
            <w:gridSpan w:val="3"/>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1430000.00</w:t>
            </w:r>
          </w:p>
        </w:tc>
        <w:tc>
          <w:tcPr>
            <w:tcW w:w="1371" w:type="dxa"/>
            <w:gridSpan w:val="3"/>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1430000.00</w:t>
            </w:r>
          </w:p>
        </w:tc>
        <w:tc>
          <w:tcPr>
            <w:tcW w:w="1816" w:type="dxa"/>
            <w:gridSpan w:val="5"/>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100%</w:t>
            </w:r>
          </w:p>
        </w:tc>
        <w:tc>
          <w:tcPr>
            <w:tcW w:w="863" w:type="dxa"/>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100%</w:t>
            </w:r>
          </w:p>
        </w:tc>
        <w:tc>
          <w:tcPr>
            <w:tcW w:w="720" w:type="dxa"/>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549" w:type="dxa"/>
            <w:gridSpan w:val="19"/>
            <w:vAlign w:val="center"/>
          </w:tcPr>
          <w:p>
            <w:pPr>
              <w:widowControl/>
              <w:spacing w:line="578" w:lineRule="exact"/>
              <w:ind w:firstLine="560" w:firstLineChars="200"/>
              <w:jc w:val="center"/>
              <w:rPr>
                <w:rFonts w:ascii="Times New Roman" w:hAnsi="Times New Roman" w:cs="Times New Roman" w:eastAsiaTheme="majorEastAsia"/>
                <w:bCs w:val="0"/>
                <w:color w:val="808080"/>
                <w:sz w:val="28"/>
                <w:szCs w:val="28"/>
              </w:rPr>
            </w:pPr>
            <w:r>
              <w:rPr>
                <w:rFonts w:hint="eastAsia" w:ascii="方正黑体_GBK" w:hAnsi="方正黑体_GBK" w:eastAsia="方正黑体_GBK" w:cs="方正黑体_GBK"/>
                <w:bCs w:val="0"/>
                <w:sz w:val="28"/>
                <w:szCs w:val="2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3054" w:type="dxa"/>
            <w:gridSpan w:val="6"/>
            <w:vAlign w:val="center"/>
          </w:tcPr>
          <w:p>
            <w:pPr>
              <w:widowControl/>
              <w:spacing w:line="578" w:lineRule="exact"/>
              <w:ind w:firstLine="560" w:firstLineChars="200"/>
              <w:jc w:val="center"/>
              <w:rPr>
                <w:rFonts w:ascii="Times New Roman" w:hAnsi="Times New Roman" w:cs="Times New Roman" w:eastAsiaTheme="majorEastAsia"/>
                <w:bCs w:val="0"/>
                <w:color w:val="000000"/>
                <w:sz w:val="28"/>
                <w:szCs w:val="28"/>
              </w:rPr>
            </w:pPr>
            <w:r>
              <w:rPr>
                <w:rFonts w:ascii="Times New Roman" w:hAnsi="Times New Roman" w:cs="Times New Roman" w:eastAsiaTheme="majorEastAsia"/>
                <w:bCs w:val="0"/>
                <w:color w:val="000000"/>
                <w:sz w:val="28"/>
                <w:szCs w:val="28"/>
              </w:rPr>
              <w:t>年初绩效目标</w:t>
            </w:r>
          </w:p>
        </w:tc>
        <w:tc>
          <w:tcPr>
            <w:tcW w:w="3096" w:type="dxa"/>
            <w:gridSpan w:val="6"/>
            <w:vAlign w:val="center"/>
          </w:tcPr>
          <w:p>
            <w:pPr>
              <w:widowControl/>
              <w:spacing w:line="578" w:lineRule="exact"/>
              <w:ind w:firstLine="560" w:firstLineChars="200"/>
              <w:jc w:val="center"/>
              <w:rPr>
                <w:rFonts w:ascii="Times New Roman" w:hAnsi="Times New Roman" w:cs="Times New Roman" w:eastAsiaTheme="majorEastAsia"/>
                <w:bCs w:val="0"/>
                <w:color w:val="000000"/>
                <w:sz w:val="28"/>
                <w:szCs w:val="28"/>
              </w:rPr>
            </w:pPr>
            <w:r>
              <w:rPr>
                <w:rFonts w:ascii="Times New Roman" w:hAnsi="Times New Roman" w:cs="Times New Roman" w:eastAsiaTheme="majorEastAsia"/>
                <w:bCs w:val="0"/>
                <w:color w:val="000000"/>
                <w:sz w:val="28"/>
                <w:szCs w:val="28"/>
              </w:rPr>
              <w:t>全年（调整）</w:t>
            </w:r>
          </w:p>
          <w:p>
            <w:pPr>
              <w:widowControl/>
              <w:spacing w:line="578" w:lineRule="exact"/>
              <w:ind w:firstLine="560" w:firstLineChars="200"/>
              <w:jc w:val="center"/>
              <w:rPr>
                <w:rFonts w:ascii="Times New Roman" w:hAnsi="Times New Roman" w:cs="Times New Roman" w:eastAsiaTheme="majorEastAsia"/>
                <w:bCs w:val="0"/>
                <w:color w:val="000000"/>
                <w:sz w:val="28"/>
                <w:szCs w:val="28"/>
              </w:rPr>
            </w:pPr>
            <w:r>
              <w:rPr>
                <w:rFonts w:ascii="Times New Roman" w:hAnsi="Times New Roman" w:cs="Times New Roman" w:eastAsiaTheme="majorEastAsia"/>
                <w:bCs w:val="0"/>
                <w:color w:val="000000"/>
                <w:sz w:val="28"/>
                <w:szCs w:val="28"/>
              </w:rPr>
              <w:t>绩效目标</w:t>
            </w:r>
          </w:p>
        </w:tc>
        <w:tc>
          <w:tcPr>
            <w:tcW w:w="3399" w:type="dxa"/>
            <w:gridSpan w:val="7"/>
            <w:vAlign w:val="center"/>
          </w:tcPr>
          <w:p>
            <w:pPr>
              <w:widowControl/>
              <w:spacing w:line="578" w:lineRule="exact"/>
              <w:ind w:firstLine="560" w:firstLineChars="200"/>
              <w:jc w:val="center"/>
              <w:rPr>
                <w:rFonts w:ascii="Times New Roman" w:hAnsi="Times New Roman" w:cs="Times New Roman" w:eastAsiaTheme="majorEastAsia"/>
                <w:bCs w:val="0"/>
                <w:color w:val="000000"/>
                <w:sz w:val="28"/>
                <w:szCs w:val="28"/>
              </w:rPr>
            </w:pPr>
            <w:r>
              <w:rPr>
                <w:rFonts w:ascii="Times New Roman" w:hAnsi="Times New Roman" w:cs="Times New Roman" w:eastAsiaTheme="majorEastAsia"/>
                <w:bCs w:val="0"/>
                <w:color w:val="000000"/>
                <w:sz w:val="28"/>
                <w:szCs w:val="28"/>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3054" w:type="dxa"/>
            <w:gridSpan w:val="6"/>
          </w:tcPr>
          <w:p>
            <w:pPr>
              <w:spacing w:line="0" w:lineRule="atLeast"/>
              <w:rPr>
                <w:rFonts w:ascii="Times New Roman" w:hAnsi="Times New Roman" w:cs="Times New Roman" w:eastAsiaTheme="majorEastAsia"/>
                <w:bCs w:val="0"/>
                <w:color w:val="000000"/>
                <w:sz w:val="28"/>
                <w:szCs w:val="28"/>
              </w:rPr>
            </w:pPr>
            <w:r>
              <w:rPr>
                <w:rFonts w:hint="eastAsia" w:asciiTheme="minorEastAsia" w:hAnsiTheme="minorEastAsia" w:cstheme="minorEastAsia"/>
                <w:bCs w:val="0"/>
                <w:sz w:val="28"/>
                <w:szCs w:val="28"/>
              </w:rPr>
              <w:t>预期目标：</w:t>
            </w:r>
            <w:r>
              <w:rPr>
                <w:rFonts w:hint="eastAsia" w:asciiTheme="minorEastAsia" w:hAnsiTheme="minorEastAsia" w:cstheme="minorEastAsia"/>
                <w:sz w:val="24"/>
                <w:szCs w:val="24"/>
              </w:rPr>
              <w:t>以“为党的二十大胜利召开营造和谐稳定社会环境”为主线，在全县开展以“信访工作双规范推进依法治访”为主题的“信访工作质效提升年行动”，推动信访工作“一降两升三规范”，即到市进京走访人次批次明显下降，初次信访一次性化解率、群众满意度评价大幅提升，信访业务办理、常态管控方式、依法办理信访全面规范。</w:t>
            </w:r>
          </w:p>
        </w:tc>
        <w:tc>
          <w:tcPr>
            <w:tcW w:w="3096" w:type="dxa"/>
            <w:gridSpan w:val="6"/>
          </w:tcPr>
          <w:p>
            <w:pPr>
              <w:spacing w:line="0" w:lineRule="atLeast"/>
              <w:rPr>
                <w:rFonts w:asciiTheme="minorEastAsia" w:hAnsiTheme="minorEastAsia" w:cstheme="minorEastAsia"/>
                <w:sz w:val="24"/>
                <w:szCs w:val="24"/>
              </w:rPr>
            </w:pPr>
            <w:r>
              <w:rPr>
                <w:rFonts w:hint="eastAsia" w:asciiTheme="minorEastAsia" w:hAnsiTheme="minorEastAsia" w:cstheme="minorEastAsia"/>
                <w:sz w:val="24"/>
                <w:szCs w:val="24"/>
              </w:rPr>
              <w:t>以“为党的二十大胜利召开营造和谐稳定社会环境”为主线，在全县开展以“信访工作双规范推进依法治访”为主题的“信访工作质效提升年行动”，推动信访工作“一降两升三规范”，即到市进京走访人次批次明显下降，初次信访一次性化解率、群众满意度评价大幅提升，信访业务办理、常态管控方式、依法办理信访全面规范。</w:t>
            </w:r>
          </w:p>
          <w:p>
            <w:pPr>
              <w:widowControl/>
              <w:spacing w:line="578" w:lineRule="exact"/>
              <w:ind w:firstLine="560" w:firstLineChars="200"/>
              <w:jc w:val="center"/>
              <w:rPr>
                <w:rFonts w:ascii="Times New Roman" w:hAnsi="Times New Roman" w:cs="Times New Roman" w:eastAsiaTheme="majorEastAsia"/>
                <w:bCs w:val="0"/>
                <w:color w:val="000000"/>
                <w:sz w:val="28"/>
                <w:szCs w:val="28"/>
              </w:rPr>
            </w:pPr>
          </w:p>
        </w:tc>
        <w:tc>
          <w:tcPr>
            <w:tcW w:w="3399" w:type="dxa"/>
            <w:gridSpan w:val="7"/>
          </w:tcPr>
          <w:p>
            <w:pPr>
              <w:spacing w:line="0" w:lineRule="atLeast"/>
              <w:rPr>
                <w:rFonts w:asciiTheme="minorEastAsia" w:hAnsiTheme="minorEastAsia" w:cstheme="minorEastAsia"/>
                <w:sz w:val="24"/>
                <w:szCs w:val="24"/>
              </w:rPr>
            </w:pPr>
            <w:r>
              <w:rPr>
                <w:rFonts w:ascii="Times New Roman" w:hAnsi="Times New Roman" w:cs="Times New Roman" w:eastAsiaTheme="majorEastAsia"/>
                <w:bCs w:val="0"/>
                <w:sz w:val="28"/>
                <w:szCs w:val="28"/>
              </w:rPr>
              <w:t>全年完成情况：</w:t>
            </w:r>
            <w:r>
              <w:rPr>
                <w:rFonts w:hint="eastAsia" w:asciiTheme="minorEastAsia" w:hAnsiTheme="minorEastAsia" w:cstheme="minorEastAsia"/>
                <w:sz w:val="24"/>
                <w:szCs w:val="24"/>
              </w:rPr>
              <w:t>一是开展“信访工作质效提升年”行动，开展重点领域、重点问题攻坚化解，开展“非法维权、违法上访”专项整治行动；二是坚持底线思维，提高防控能力，有效防范应对各种风险，不发生进京聚集事件和群体性事件和个人极端事件；三是认真办理重庆市信访信息系统中的信访事项，确保录入信访事项按期办结。四是持续开展“治重化积”专项行动，坚持每月开展1次矛盾纠纷定期排查，适时按重点工作开展专项排查，排查矛盾年度化解率达90%以上；五是积极完成上级交办信访案件。认真办理复查、复核申诉案件；六是发挥专项资金作用，推动信访问题化解。七是及时处置党政大楼集访、扰序事件；八是完成上级交办任务。</w:t>
            </w:r>
          </w:p>
          <w:p>
            <w:pPr>
              <w:pStyle w:val="2"/>
            </w:pPr>
          </w:p>
          <w:p>
            <w:pPr>
              <w:widowControl/>
              <w:spacing w:line="578" w:lineRule="exact"/>
              <w:ind w:firstLine="560" w:firstLineChars="200"/>
              <w:jc w:val="center"/>
              <w:rPr>
                <w:rFonts w:ascii="Times New Roman" w:hAnsi="Times New Roman" w:cs="Times New Roman" w:eastAsiaTheme="majorEastAsia"/>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49" w:type="dxa"/>
            <w:gridSpan w:val="19"/>
            <w:vAlign w:val="center"/>
          </w:tcPr>
          <w:p>
            <w:pPr>
              <w:widowControl/>
              <w:spacing w:line="578" w:lineRule="exact"/>
              <w:jc w:val="center"/>
              <w:rPr>
                <w:rFonts w:ascii="Times New Roman" w:hAnsi="Times New Roman" w:cs="Times New Roman" w:eastAsiaTheme="majorEastAsia"/>
                <w:bCs w:val="0"/>
                <w:color w:val="808080"/>
                <w:sz w:val="28"/>
                <w:szCs w:val="28"/>
              </w:rPr>
            </w:pPr>
            <w:r>
              <w:rPr>
                <w:rFonts w:hint="eastAsia" w:ascii="方正黑体_GBK" w:hAnsi="方正黑体_GBK" w:eastAsia="方正黑体_GBK" w:cs="方正黑体_GBK"/>
                <w:bCs w:val="0"/>
                <w:sz w:val="28"/>
                <w:szCs w:val="28"/>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3" w:type="dxa"/>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指标</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名称</w:t>
            </w:r>
          </w:p>
        </w:tc>
        <w:tc>
          <w:tcPr>
            <w:tcW w:w="836"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计量单位</w:t>
            </w:r>
          </w:p>
        </w:tc>
        <w:tc>
          <w:tcPr>
            <w:tcW w:w="959"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指标</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性质</w:t>
            </w:r>
          </w:p>
        </w:tc>
        <w:tc>
          <w:tcPr>
            <w:tcW w:w="795"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指标值</w:t>
            </w:r>
          </w:p>
        </w:tc>
        <w:tc>
          <w:tcPr>
            <w:tcW w:w="885" w:type="dxa"/>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全年完成值</w:t>
            </w:r>
          </w:p>
        </w:tc>
        <w:tc>
          <w:tcPr>
            <w:tcW w:w="780"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偏离度（%）</w:t>
            </w:r>
          </w:p>
        </w:tc>
        <w:tc>
          <w:tcPr>
            <w:tcW w:w="826" w:type="dxa"/>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得分系数（%）</w:t>
            </w:r>
          </w:p>
        </w:tc>
        <w:tc>
          <w:tcPr>
            <w:tcW w:w="891" w:type="dxa"/>
            <w:gridSpan w:val="3"/>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指标</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权重</w:t>
            </w:r>
          </w:p>
        </w:tc>
        <w:tc>
          <w:tcPr>
            <w:tcW w:w="788"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指标</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得分</w:t>
            </w:r>
          </w:p>
        </w:tc>
        <w:tc>
          <w:tcPr>
            <w:tcW w:w="1126" w:type="dxa"/>
            <w:gridSpan w:val="2"/>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是否</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核心</w:t>
            </w:r>
          </w:p>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指标</w:t>
            </w:r>
          </w:p>
        </w:tc>
        <w:tc>
          <w:tcPr>
            <w:tcW w:w="720" w:type="dxa"/>
            <w:vAlign w:val="center"/>
          </w:tcPr>
          <w:p>
            <w:pPr>
              <w:spacing w:line="0" w:lineRule="atLeast"/>
              <w:rPr>
                <w:rFonts w:asciiTheme="minorEastAsia" w:hAnsiTheme="minorEastAsia" w:cstheme="minorEastAsia"/>
                <w:sz w:val="24"/>
                <w:szCs w:val="24"/>
              </w:rPr>
            </w:pPr>
            <w:r>
              <w:rPr>
                <w:rFonts w:asciiTheme="minorEastAsia" w:hAnsiTheme="minorEastAsia" w:cs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3" w:type="dxa"/>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办理率和复查率</w:t>
            </w:r>
          </w:p>
        </w:tc>
        <w:tc>
          <w:tcPr>
            <w:tcW w:w="836"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件</w:t>
            </w:r>
          </w:p>
        </w:tc>
        <w:tc>
          <w:tcPr>
            <w:tcW w:w="959"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w:t>
            </w:r>
          </w:p>
        </w:tc>
        <w:tc>
          <w:tcPr>
            <w:tcW w:w="795" w:type="dxa"/>
            <w:gridSpan w:val="2"/>
            <w:vAlign w:val="center"/>
          </w:tcPr>
          <w:p>
            <w:pPr>
              <w:spacing w:line="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98</w:t>
            </w:r>
          </w:p>
        </w:tc>
        <w:tc>
          <w:tcPr>
            <w:tcW w:w="885" w:type="dxa"/>
            <w:vAlign w:val="center"/>
          </w:tcPr>
          <w:p>
            <w:pPr>
              <w:widowControl/>
              <w:autoSpaceDE w:val="0"/>
              <w:spacing w:line="578" w:lineRule="exact"/>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98</w:t>
            </w:r>
          </w:p>
        </w:tc>
        <w:tc>
          <w:tcPr>
            <w:tcW w:w="780" w:type="dxa"/>
            <w:gridSpan w:val="2"/>
            <w:vAlign w:val="center"/>
          </w:tcPr>
          <w:p>
            <w:pPr>
              <w:widowControl/>
              <w:autoSpaceDE w:val="0"/>
              <w:spacing w:line="578" w:lineRule="exact"/>
              <w:jc w:val="center"/>
              <w:rPr>
                <w:rFonts w:asciiTheme="minorEastAsia" w:hAnsiTheme="minorEastAsia" w:cstheme="minorEastAsia"/>
                <w:sz w:val="24"/>
                <w:szCs w:val="24"/>
              </w:rPr>
            </w:pPr>
            <w:r>
              <w:rPr>
                <w:rFonts w:ascii="Times New Roman" w:hAnsi="Times New Roman" w:cs="Times New Roman" w:eastAsiaTheme="majorEastAsia"/>
                <w:bCs w:val="0"/>
                <w:sz w:val="24"/>
                <w:szCs w:val="24"/>
              </w:rPr>
              <w:t>0</w:t>
            </w:r>
          </w:p>
        </w:tc>
        <w:tc>
          <w:tcPr>
            <w:tcW w:w="826" w:type="dxa"/>
            <w:vAlign w:val="center"/>
          </w:tcPr>
          <w:p>
            <w:pPr>
              <w:widowControl/>
              <w:autoSpaceDE w:val="0"/>
              <w:spacing w:line="578" w:lineRule="exact"/>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100</w:t>
            </w:r>
          </w:p>
        </w:tc>
        <w:tc>
          <w:tcPr>
            <w:tcW w:w="891" w:type="dxa"/>
            <w:gridSpan w:val="3"/>
            <w:vAlign w:val="center"/>
          </w:tcPr>
          <w:p>
            <w:pPr>
              <w:widowControl/>
              <w:autoSpaceDE w:val="0"/>
              <w:spacing w:line="578" w:lineRule="exact"/>
              <w:jc w:val="center"/>
              <w:rPr>
                <w:rFonts w:asciiTheme="minorEastAsia" w:hAnsiTheme="minorEastAsia" w:cstheme="minorEastAsia"/>
                <w:sz w:val="24"/>
                <w:szCs w:val="24"/>
              </w:rPr>
            </w:pPr>
            <w:r>
              <w:rPr>
                <w:rFonts w:ascii="Times New Roman" w:hAnsi="Times New Roman" w:cs="Times New Roman" w:eastAsiaTheme="majorEastAsia"/>
                <w:bCs w:val="0"/>
                <w:sz w:val="24"/>
                <w:szCs w:val="24"/>
              </w:rPr>
              <w:t>20</w:t>
            </w:r>
          </w:p>
        </w:tc>
        <w:tc>
          <w:tcPr>
            <w:tcW w:w="788" w:type="dxa"/>
            <w:gridSpan w:val="2"/>
            <w:vAlign w:val="center"/>
          </w:tcPr>
          <w:p>
            <w:pPr>
              <w:widowControl/>
              <w:autoSpaceDE w:val="0"/>
              <w:spacing w:line="578" w:lineRule="exact"/>
              <w:jc w:val="center"/>
              <w:rPr>
                <w:rFonts w:asciiTheme="minorEastAsia" w:hAnsiTheme="minorEastAsia" w:cstheme="minorEastAsia"/>
                <w:sz w:val="24"/>
                <w:szCs w:val="24"/>
              </w:rPr>
            </w:pPr>
            <w:r>
              <w:rPr>
                <w:rFonts w:ascii="Times New Roman" w:hAnsi="Times New Roman" w:cs="Times New Roman" w:eastAsiaTheme="majorEastAsia"/>
                <w:bCs w:val="0"/>
                <w:sz w:val="24"/>
                <w:szCs w:val="24"/>
              </w:rPr>
              <w:t>20</w:t>
            </w:r>
          </w:p>
        </w:tc>
        <w:tc>
          <w:tcPr>
            <w:tcW w:w="1126" w:type="dxa"/>
            <w:gridSpan w:val="2"/>
            <w:vAlign w:val="center"/>
          </w:tcPr>
          <w:p>
            <w:pPr>
              <w:widowControl/>
              <w:autoSpaceDE w:val="0"/>
              <w:spacing w:line="578" w:lineRule="exact"/>
              <w:jc w:val="center"/>
              <w:rPr>
                <w:rFonts w:asciiTheme="minorEastAsia" w:hAnsiTheme="minorEastAsia" w:cstheme="minorEastAsia"/>
                <w:sz w:val="24"/>
                <w:szCs w:val="24"/>
              </w:rPr>
            </w:pPr>
            <w:r>
              <w:rPr>
                <w:rFonts w:ascii="Times New Roman" w:hAnsi="Times New Roman" w:cs="Times New Roman" w:eastAsiaTheme="majorEastAsia"/>
                <w:bCs w:val="0"/>
                <w:sz w:val="24"/>
                <w:szCs w:val="24"/>
              </w:rPr>
              <w:t>是</w:t>
            </w:r>
          </w:p>
        </w:tc>
        <w:tc>
          <w:tcPr>
            <w:tcW w:w="720" w:type="dxa"/>
            <w:vAlign w:val="center"/>
          </w:tcPr>
          <w:p>
            <w:pPr>
              <w:spacing w:line="0" w:lineRule="atLeas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3" w:type="dxa"/>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案件办结</w:t>
            </w:r>
          </w:p>
        </w:tc>
        <w:tc>
          <w:tcPr>
            <w:tcW w:w="836"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件</w:t>
            </w:r>
          </w:p>
        </w:tc>
        <w:tc>
          <w:tcPr>
            <w:tcW w:w="959"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定性</w:t>
            </w:r>
          </w:p>
        </w:tc>
        <w:tc>
          <w:tcPr>
            <w:tcW w:w="795" w:type="dxa"/>
            <w:gridSpan w:val="2"/>
            <w:vAlign w:val="center"/>
          </w:tcPr>
          <w:p>
            <w:pPr>
              <w:spacing w:line="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好</w:t>
            </w:r>
          </w:p>
        </w:tc>
        <w:tc>
          <w:tcPr>
            <w:tcW w:w="885" w:type="dxa"/>
            <w:vAlign w:val="center"/>
          </w:tcPr>
          <w:p>
            <w:pPr>
              <w:widowControl/>
              <w:autoSpaceDE w:val="0"/>
              <w:spacing w:line="578" w:lineRule="exact"/>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1</w:t>
            </w:r>
          </w:p>
        </w:tc>
        <w:tc>
          <w:tcPr>
            <w:tcW w:w="780" w:type="dxa"/>
            <w:gridSpan w:val="2"/>
            <w:vAlign w:val="center"/>
          </w:tcPr>
          <w:p>
            <w:pPr>
              <w:widowControl/>
              <w:autoSpaceDE w:val="0"/>
              <w:spacing w:line="578" w:lineRule="exact"/>
              <w:jc w:val="center"/>
              <w:rPr>
                <w:rFonts w:asciiTheme="minorEastAsia" w:hAnsiTheme="minorEastAsia" w:cstheme="minorEastAsia"/>
                <w:sz w:val="24"/>
                <w:szCs w:val="24"/>
              </w:rPr>
            </w:pPr>
            <w:r>
              <w:rPr>
                <w:rFonts w:ascii="Times New Roman" w:hAnsi="Times New Roman" w:cs="Times New Roman" w:eastAsiaTheme="majorEastAsia"/>
                <w:bCs w:val="0"/>
                <w:sz w:val="24"/>
                <w:szCs w:val="24"/>
              </w:rPr>
              <w:t>0</w:t>
            </w:r>
          </w:p>
        </w:tc>
        <w:tc>
          <w:tcPr>
            <w:tcW w:w="826" w:type="dxa"/>
            <w:vAlign w:val="center"/>
          </w:tcPr>
          <w:p>
            <w:pPr>
              <w:widowControl/>
              <w:autoSpaceDE w:val="0"/>
              <w:spacing w:line="578" w:lineRule="exact"/>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100</w:t>
            </w:r>
          </w:p>
        </w:tc>
        <w:tc>
          <w:tcPr>
            <w:tcW w:w="891" w:type="dxa"/>
            <w:gridSpan w:val="3"/>
            <w:vAlign w:val="center"/>
          </w:tcPr>
          <w:p>
            <w:pPr>
              <w:widowControl/>
              <w:autoSpaceDE w:val="0"/>
              <w:spacing w:line="578" w:lineRule="exact"/>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10</w:t>
            </w:r>
          </w:p>
        </w:tc>
        <w:tc>
          <w:tcPr>
            <w:tcW w:w="788" w:type="dxa"/>
            <w:gridSpan w:val="2"/>
            <w:vAlign w:val="center"/>
          </w:tcPr>
          <w:p>
            <w:pPr>
              <w:widowControl/>
              <w:autoSpaceDE w:val="0"/>
              <w:spacing w:line="578" w:lineRule="exact"/>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10</w:t>
            </w:r>
          </w:p>
        </w:tc>
        <w:tc>
          <w:tcPr>
            <w:tcW w:w="1126" w:type="dxa"/>
            <w:gridSpan w:val="2"/>
            <w:vAlign w:val="center"/>
          </w:tcPr>
          <w:p>
            <w:pPr>
              <w:widowControl/>
              <w:autoSpaceDE w:val="0"/>
              <w:spacing w:line="578" w:lineRule="exact"/>
              <w:jc w:val="center"/>
              <w:rPr>
                <w:rFonts w:asciiTheme="minorEastAsia" w:hAnsiTheme="minorEastAsia" w:cstheme="minorEastAsia"/>
                <w:sz w:val="24"/>
                <w:szCs w:val="24"/>
              </w:rPr>
            </w:pPr>
            <w:r>
              <w:rPr>
                <w:rFonts w:ascii="Times New Roman" w:hAnsi="Times New Roman" w:cs="Times New Roman" w:eastAsiaTheme="majorEastAsia"/>
                <w:bCs w:val="0"/>
                <w:sz w:val="24"/>
                <w:szCs w:val="24"/>
              </w:rPr>
              <w:t>是</w:t>
            </w:r>
          </w:p>
        </w:tc>
        <w:tc>
          <w:tcPr>
            <w:tcW w:w="720" w:type="dxa"/>
            <w:vAlign w:val="center"/>
          </w:tcPr>
          <w:p>
            <w:pPr>
              <w:spacing w:line="0" w:lineRule="atLeas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3" w:type="dxa"/>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维稳成本</w:t>
            </w:r>
          </w:p>
        </w:tc>
        <w:tc>
          <w:tcPr>
            <w:tcW w:w="836"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元</w:t>
            </w:r>
          </w:p>
        </w:tc>
        <w:tc>
          <w:tcPr>
            <w:tcW w:w="959" w:type="dxa"/>
            <w:gridSpan w:val="2"/>
            <w:vAlign w:val="center"/>
          </w:tcPr>
          <w:p>
            <w:pPr>
              <w:spacing w:line="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w:t>
            </w:r>
          </w:p>
        </w:tc>
        <w:tc>
          <w:tcPr>
            <w:tcW w:w="795" w:type="dxa"/>
            <w:gridSpan w:val="2"/>
            <w:vAlign w:val="center"/>
          </w:tcPr>
          <w:p>
            <w:pPr>
              <w:spacing w:line="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1430000</w:t>
            </w:r>
          </w:p>
        </w:tc>
        <w:tc>
          <w:tcPr>
            <w:tcW w:w="885" w:type="dxa"/>
            <w:vAlign w:val="center"/>
          </w:tcPr>
          <w:p>
            <w:pPr>
              <w:widowControl/>
              <w:autoSpaceDE w:val="0"/>
              <w:spacing w:line="578" w:lineRule="exact"/>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1430000</w:t>
            </w:r>
          </w:p>
        </w:tc>
        <w:tc>
          <w:tcPr>
            <w:tcW w:w="780" w:type="dxa"/>
            <w:gridSpan w:val="2"/>
            <w:vAlign w:val="center"/>
          </w:tcPr>
          <w:p>
            <w:pPr>
              <w:widowControl/>
              <w:autoSpaceDE w:val="0"/>
              <w:spacing w:line="578" w:lineRule="exact"/>
              <w:jc w:val="center"/>
              <w:rPr>
                <w:rFonts w:asciiTheme="minorEastAsia" w:hAnsiTheme="minorEastAsia" w:cstheme="minorEastAsia"/>
                <w:sz w:val="24"/>
                <w:szCs w:val="24"/>
              </w:rPr>
            </w:pPr>
            <w:r>
              <w:rPr>
                <w:rFonts w:ascii="Times New Roman" w:hAnsi="Times New Roman" w:cs="Times New Roman" w:eastAsiaTheme="majorEastAsia"/>
                <w:bCs w:val="0"/>
                <w:sz w:val="24"/>
                <w:szCs w:val="24"/>
              </w:rPr>
              <w:t>0</w:t>
            </w:r>
          </w:p>
        </w:tc>
        <w:tc>
          <w:tcPr>
            <w:tcW w:w="826" w:type="dxa"/>
            <w:vAlign w:val="center"/>
          </w:tcPr>
          <w:p>
            <w:pPr>
              <w:widowControl/>
              <w:autoSpaceDE w:val="0"/>
              <w:spacing w:line="578" w:lineRule="exact"/>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100</w:t>
            </w:r>
          </w:p>
        </w:tc>
        <w:tc>
          <w:tcPr>
            <w:tcW w:w="891" w:type="dxa"/>
            <w:gridSpan w:val="3"/>
            <w:vAlign w:val="center"/>
          </w:tcPr>
          <w:p>
            <w:pPr>
              <w:widowControl/>
              <w:autoSpaceDE w:val="0"/>
              <w:spacing w:line="578" w:lineRule="exact"/>
              <w:jc w:val="center"/>
              <w:rPr>
                <w:rFonts w:asciiTheme="minorEastAsia" w:hAnsiTheme="minorEastAsia" w:cstheme="minorEastAsia"/>
                <w:sz w:val="24"/>
                <w:szCs w:val="24"/>
              </w:rPr>
            </w:pPr>
            <w:r>
              <w:rPr>
                <w:rFonts w:ascii="Times New Roman" w:hAnsi="Times New Roman" w:cs="Times New Roman" w:eastAsiaTheme="majorEastAsia"/>
                <w:bCs w:val="0"/>
                <w:sz w:val="24"/>
                <w:szCs w:val="24"/>
              </w:rPr>
              <w:t>20</w:t>
            </w:r>
          </w:p>
        </w:tc>
        <w:tc>
          <w:tcPr>
            <w:tcW w:w="788" w:type="dxa"/>
            <w:gridSpan w:val="2"/>
            <w:vAlign w:val="center"/>
          </w:tcPr>
          <w:p>
            <w:pPr>
              <w:widowControl/>
              <w:autoSpaceDE w:val="0"/>
              <w:spacing w:line="578" w:lineRule="exact"/>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20</w:t>
            </w:r>
          </w:p>
        </w:tc>
        <w:tc>
          <w:tcPr>
            <w:tcW w:w="1126" w:type="dxa"/>
            <w:gridSpan w:val="2"/>
            <w:vAlign w:val="center"/>
          </w:tcPr>
          <w:p>
            <w:pPr>
              <w:widowControl/>
              <w:autoSpaceDE w:val="0"/>
              <w:spacing w:line="578" w:lineRule="exact"/>
              <w:jc w:val="center"/>
              <w:rPr>
                <w:rFonts w:asciiTheme="minorEastAsia" w:hAnsiTheme="minorEastAsia" w:cstheme="minorEastAsia"/>
                <w:sz w:val="24"/>
                <w:szCs w:val="24"/>
              </w:rPr>
            </w:pPr>
            <w:r>
              <w:rPr>
                <w:rFonts w:ascii="Times New Roman" w:hAnsi="Times New Roman" w:cs="Times New Roman" w:eastAsiaTheme="majorEastAsia"/>
                <w:bCs w:val="0"/>
                <w:sz w:val="24"/>
                <w:szCs w:val="24"/>
              </w:rPr>
              <w:t>是</w:t>
            </w:r>
          </w:p>
        </w:tc>
        <w:tc>
          <w:tcPr>
            <w:tcW w:w="720" w:type="dxa"/>
            <w:vAlign w:val="center"/>
          </w:tcPr>
          <w:p>
            <w:pPr>
              <w:spacing w:line="0" w:lineRule="atLeas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3" w:type="dxa"/>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降低维稳成本</w:t>
            </w:r>
          </w:p>
        </w:tc>
        <w:tc>
          <w:tcPr>
            <w:tcW w:w="836" w:type="dxa"/>
            <w:gridSpan w:val="2"/>
            <w:vAlign w:val="center"/>
          </w:tcPr>
          <w:p>
            <w:pPr>
              <w:spacing w:line="0" w:lineRule="atLeast"/>
              <w:jc w:val="center"/>
              <w:rPr>
                <w:rFonts w:asciiTheme="minorEastAsia" w:hAnsiTheme="minorEastAsia" w:cstheme="minorEastAsia"/>
                <w:sz w:val="24"/>
                <w:szCs w:val="24"/>
              </w:rPr>
            </w:pPr>
          </w:p>
        </w:tc>
        <w:tc>
          <w:tcPr>
            <w:tcW w:w="959"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定性</w:t>
            </w:r>
          </w:p>
        </w:tc>
        <w:tc>
          <w:tcPr>
            <w:tcW w:w="795"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明显改善</w:t>
            </w:r>
          </w:p>
        </w:tc>
        <w:tc>
          <w:tcPr>
            <w:tcW w:w="885" w:type="dxa"/>
            <w:vAlign w:val="center"/>
          </w:tcPr>
          <w:p>
            <w:pPr>
              <w:widowControl/>
              <w:autoSpaceDE w:val="0"/>
              <w:spacing w:line="578" w:lineRule="exact"/>
              <w:ind w:firstLine="480" w:firstLineChars="200"/>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1</w:t>
            </w:r>
          </w:p>
        </w:tc>
        <w:tc>
          <w:tcPr>
            <w:tcW w:w="780" w:type="dxa"/>
            <w:gridSpan w:val="2"/>
            <w:vAlign w:val="center"/>
          </w:tcPr>
          <w:p>
            <w:pPr>
              <w:widowControl/>
              <w:autoSpaceDE w:val="0"/>
              <w:spacing w:line="578" w:lineRule="exact"/>
              <w:jc w:val="center"/>
              <w:rPr>
                <w:rFonts w:asciiTheme="minorEastAsia" w:hAnsiTheme="minorEastAsia" w:cstheme="minorEastAsia"/>
                <w:sz w:val="24"/>
                <w:szCs w:val="24"/>
              </w:rPr>
            </w:pPr>
            <w:r>
              <w:rPr>
                <w:rFonts w:ascii="Times New Roman" w:hAnsi="Times New Roman" w:cs="Times New Roman" w:eastAsiaTheme="majorEastAsia"/>
                <w:bCs w:val="0"/>
                <w:sz w:val="24"/>
                <w:szCs w:val="24"/>
              </w:rPr>
              <w:t>0</w:t>
            </w:r>
          </w:p>
        </w:tc>
        <w:tc>
          <w:tcPr>
            <w:tcW w:w="826" w:type="dxa"/>
            <w:vAlign w:val="center"/>
          </w:tcPr>
          <w:p>
            <w:pPr>
              <w:widowControl/>
              <w:autoSpaceDE w:val="0"/>
              <w:spacing w:line="578" w:lineRule="exact"/>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100</w:t>
            </w:r>
          </w:p>
        </w:tc>
        <w:tc>
          <w:tcPr>
            <w:tcW w:w="891" w:type="dxa"/>
            <w:gridSpan w:val="3"/>
            <w:vAlign w:val="center"/>
          </w:tcPr>
          <w:p>
            <w:pPr>
              <w:widowControl/>
              <w:autoSpaceDE w:val="0"/>
              <w:spacing w:line="578" w:lineRule="exact"/>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10</w:t>
            </w:r>
          </w:p>
        </w:tc>
        <w:tc>
          <w:tcPr>
            <w:tcW w:w="788" w:type="dxa"/>
            <w:gridSpan w:val="2"/>
            <w:vAlign w:val="center"/>
          </w:tcPr>
          <w:p>
            <w:pPr>
              <w:widowControl/>
              <w:autoSpaceDE w:val="0"/>
              <w:spacing w:line="578" w:lineRule="exact"/>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10</w:t>
            </w:r>
          </w:p>
        </w:tc>
        <w:tc>
          <w:tcPr>
            <w:tcW w:w="1126" w:type="dxa"/>
            <w:gridSpan w:val="2"/>
            <w:vAlign w:val="center"/>
          </w:tcPr>
          <w:p>
            <w:pPr>
              <w:widowControl/>
              <w:autoSpaceDE w:val="0"/>
              <w:spacing w:line="578" w:lineRule="exact"/>
              <w:jc w:val="center"/>
              <w:rPr>
                <w:rFonts w:asciiTheme="minorEastAsia" w:hAnsiTheme="minorEastAsia" w:cstheme="minorEastAsia"/>
                <w:sz w:val="24"/>
                <w:szCs w:val="24"/>
              </w:rPr>
            </w:pPr>
            <w:r>
              <w:rPr>
                <w:rFonts w:ascii="Times New Roman" w:hAnsi="Times New Roman" w:cs="Times New Roman" w:eastAsiaTheme="majorEastAsia"/>
                <w:bCs w:val="0"/>
                <w:sz w:val="24"/>
                <w:szCs w:val="24"/>
              </w:rPr>
              <w:t>是</w:t>
            </w:r>
          </w:p>
        </w:tc>
        <w:tc>
          <w:tcPr>
            <w:tcW w:w="720" w:type="dxa"/>
            <w:vAlign w:val="center"/>
          </w:tcPr>
          <w:p>
            <w:pPr>
              <w:spacing w:line="0" w:lineRule="atLeas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3" w:type="dxa"/>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受益人满意度</w:t>
            </w:r>
          </w:p>
        </w:tc>
        <w:tc>
          <w:tcPr>
            <w:tcW w:w="836"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w:t>
            </w:r>
          </w:p>
        </w:tc>
        <w:tc>
          <w:tcPr>
            <w:tcW w:w="959" w:type="dxa"/>
            <w:gridSpan w:val="2"/>
            <w:vAlign w:val="center"/>
          </w:tcPr>
          <w:p>
            <w:pPr>
              <w:spacing w:line="0" w:lineRule="atLeast"/>
              <w:jc w:val="center"/>
              <w:rPr>
                <w:rFonts w:asciiTheme="minorEastAsia" w:hAnsiTheme="minorEastAsia" w:cstheme="minorEastAsia"/>
                <w:sz w:val="24"/>
                <w:szCs w:val="24"/>
              </w:rPr>
            </w:pPr>
            <w:r>
              <w:rPr>
                <w:rFonts w:asciiTheme="minorEastAsia" w:hAnsiTheme="minorEastAsia" w:cstheme="minorEastAsia"/>
                <w:sz w:val="24"/>
                <w:szCs w:val="24"/>
              </w:rPr>
              <w:t>≥</w:t>
            </w:r>
          </w:p>
        </w:tc>
        <w:tc>
          <w:tcPr>
            <w:tcW w:w="795" w:type="dxa"/>
            <w:gridSpan w:val="2"/>
            <w:vAlign w:val="center"/>
          </w:tcPr>
          <w:p>
            <w:pPr>
              <w:spacing w:line="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97</w:t>
            </w:r>
          </w:p>
        </w:tc>
        <w:tc>
          <w:tcPr>
            <w:tcW w:w="885" w:type="dxa"/>
            <w:vAlign w:val="center"/>
          </w:tcPr>
          <w:p>
            <w:pPr>
              <w:widowControl/>
              <w:autoSpaceDE w:val="0"/>
              <w:spacing w:line="578" w:lineRule="exact"/>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97</w:t>
            </w:r>
          </w:p>
        </w:tc>
        <w:tc>
          <w:tcPr>
            <w:tcW w:w="780" w:type="dxa"/>
            <w:gridSpan w:val="2"/>
            <w:vAlign w:val="center"/>
          </w:tcPr>
          <w:p>
            <w:pPr>
              <w:widowControl/>
              <w:autoSpaceDE w:val="0"/>
              <w:spacing w:line="578" w:lineRule="exact"/>
              <w:jc w:val="center"/>
              <w:rPr>
                <w:rFonts w:asciiTheme="minorEastAsia" w:hAnsiTheme="minorEastAsia" w:cstheme="minorEastAsia"/>
                <w:sz w:val="24"/>
                <w:szCs w:val="24"/>
              </w:rPr>
            </w:pPr>
            <w:r>
              <w:rPr>
                <w:rFonts w:ascii="Times New Roman" w:hAnsi="Times New Roman" w:cs="Times New Roman" w:eastAsiaTheme="majorEastAsia"/>
                <w:bCs w:val="0"/>
                <w:sz w:val="24"/>
                <w:szCs w:val="24"/>
              </w:rPr>
              <w:t>0</w:t>
            </w:r>
          </w:p>
        </w:tc>
        <w:tc>
          <w:tcPr>
            <w:tcW w:w="826" w:type="dxa"/>
            <w:vAlign w:val="center"/>
          </w:tcPr>
          <w:p>
            <w:pPr>
              <w:widowControl/>
              <w:autoSpaceDE w:val="0"/>
              <w:spacing w:line="578" w:lineRule="exact"/>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100</w:t>
            </w:r>
          </w:p>
        </w:tc>
        <w:tc>
          <w:tcPr>
            <w:tcW w:w="891" w:type="dxa"/>
            <w:gridSpan w:val="3"/>
            <w:vAlign w:val="center"/>
          </w:tcPr>
          <w:p>
            <w:pPr>
              <w:widowControl/>
              <w:autoSpaceDE w:val="0"/>
              <w:spacing w:line="578" w:lineRule="exact"/>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30</w:t>
            </w:r>
          </w:p>
        </w:tc>
        <w:tc>
          <w:tcPr>
            <w:tcW w:w="788" w:type="dxa"/>
            <w:gridSpan w:val="2"/>
            <w:vAlign w:val="center"/>
          </w:tcPr>
          <w:p>
            <w:pPr>
              <w:widowControl/>
              <w:autoSpaceDE w:val="0"/>
              <w:spacing w:line="578" w:lineRule="exact"/>
              <w:jc w:val="center"/>
              <w:rPr>
                <w:rFonts w:asciiTheme="minorEastAsia" w:hAnsiTheme="minorEastAsia" w:cstheme="minorEastAsia"/>
                <w:sz w:val="24"/>
                <w:szCs w:val="24"/>
              </w:rPr>
            </w:pPr>
            <w:r>
              <w:rPr>
                <w:rFonts w:hint="eastAsia" w:ascii="Times New Roman" w:hAnsi="Times New Roman" w:cs="Times New Roman" w:eastAsiaTheme="majorEastAsia"/>
                <w:bCs w:val="0"/>
                <w:sz w:val="24"/>
                <w:szCs w:val="24"/>
              </w:rPr>
              <w:t>30</w:t>
            </w:r>
          </w:p>
        </w:tc>
        <w:tc>
          <w:tcPr>
            <w:tcW w:w="1126" w:type="dxa"/>
            <w:gridSpan w:val="2"/>
            <w:vAlign w:val="center"/>
          </w:tcPr>
          <w:p>
            <w:pPr>
              <w:widowControl/>
              <w:autoSpaceDE w:val="0"/>
              <w:spacing w:line="578" w:lineRule="exact"/>
              <w:jc w:val="center"/>
              <w:rPr>
                <w:rFonts w:asciiTheme="minorEastAsia" w:hAnsiTheme="minorEastAsia" w:cstheme="minorEastAsia"/>
                <w:sz w:val="24"/>
                <w:szCs w:val="24"/>
              </w:rPr>
            </w:pPr>
            <w:r>
              <w:rPr>
                <w:rFonts w:ascii="Times New Roman" w:hAnsi="Times New Roman" w:cs="Times New Roman" w:eastAsiaTheme="majorEastAsia"/>
                <w:bCs w:val="0"/>
                <w:sz w:val="24"/>
                <w:szCs w:val="24"/>
              </w:rPr>
              <w:t>是</w:t>
            </w:r>
          </w:p>
        </w:tc>
        <w:tc>
          <w:tcPr>
            <w:tcW w:w="720" w:type="dxa"/>
            <w:vAlign w:val="center"/>
          </w:tcPr>
          <w:p>
            <w:pPr>
              <w:spacing w:line="0" w:lineRule="atLeast"/>
              <w:jc w:val="center"/>
              <w:rPr>
                <w:rFonts w:asciiTheme="minorEastAsia" w:hAnsiTheme="minorEastAsia" w:cstheme="minorEastAsia"/>
                <w:sz w:val="24"/>
                <w:szCs w:val="24"/>
              </w:rPr>
            </w:pPr>
          </w:p>
        </w:tc>
      </w:tr>
    </w:tbl>
    <w:p>
      <w:pPr>
        <w:pStyle w:val="11"/>
        <w:widowControl/>
        <w:numPr>
          <w:ilvl w:val="0"/>
          <w:numId w:val="1"/>
        </w:numPr>
        <w:autoSpaceDE w:val="0"/>
        <w:spacing w:before="0" w:beforeAutospacing="0" w:after="0" w:afterAutospacing="0" w:line="580"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绩效自评报告或案例</w:t>
      </w:r>
    </w:p>
    <w:p>
      <w:pPr>
        <w:pStyle w:val="11"/>
        <w:widowControl/>
        <w:autoSpaceDE w:val="0"/>
        <w:spacing w:before="0" w:beforeAutospacing="0" w:after="0" w:afterAutospacing="0" w:line="580" w:lineRule="exact"/>
        <w:ind w:left="640" w:leftChars="200"/>
        <w:rPr>
          <w:rFonts w:hint="default" w:ascii="Times New Roman" w:hAnsi="Times New Roman" w:eastAsia="方正仿宋_GBK"/>
          <w:bCs w:val="0"/>
          <w:sz w:val="32"/>
          <w:szCs w:val="32"/>
        </w:rPr>
      </w:pPr>
      <w:r>
        <w:rPr>
          <w:rFonts w:ascii="Times New Roman" w:hAnsi="Times New Roman" w:eastAsia="方正仿宋_GBK"/>
          <w:bCs w:val="0"/>
          <w:sz w:val="32"/>
          <w:szCs w:val="32"/>
        </w:rPr>
        <w:t>我单位未委托第三方开展绩效自评。</w:t>
      </w:r>
    </w:p>
    <w:p>
      <w:pPr>
        <w:pStyle w:val="11"/>
        <w:widowControl/>
        <w:numPr>
          <w:ilvl w:val="0"/>
          <w:numId w:val="1"/>
        </w:numPr>
        <w:autoSpaceDE w:val="0"/>
        <w:spacing w:before="0" w:beforeAutospacing="0" w:after="0" w:afterAutospacing="0" w:line="580"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关于绩效自评结果的说明</w:t>
      </w:r>
    </w:p>
    <w:p>
      <w:pPr>
        <w:spacing w:line="570" w:lineRule="exact"/>
        <w:ind w:firstLine="640" w:firstLineChars="200"/>
        <w:rPr>
          <w:rFonts w:ascii="Times New Roman" w:hAnsi="Times New Roman" w:eastAsia="方正仿宋_GBK"/>
          <w:bCs w:val="0"/>
          <w:szCs w:val="32"/>
        </w:rPr>
      </w:pPr>
      <w:r>
        <w:rPr>
          <w:rFonts w:ascii="Times New Roman" w:hAnsi="Times New Roman" w:eastAsia="方正仿宋_GBK"/>
          <w:bCs w:val="0"/>
          <w:szCs w:val="32"/>
        </w:rPr>
        <w:t>我单位绩效自评</w:t>
      </w:r>
      <w:r>
        <w:rPr>
          <w:rFonts w:hint="eastAsia" w:ascii="Times New Roman" w:hAnsi="Times New Roman" w:eastAsia="方正仿宋_GBK"/>
          <w:bCs w:val="0"/>
          <w:szCs w:val="32"/>
        </w:rPr>
        <w:t>均已完成年度绩效目标。</w:t>
      </w:r>
    </w:p>
    <w:p>
      <w:pPr>
        <w:numPr>
          <w:ilvl w:val="0"/>
          <w:numId w:val="2"/>
        </w:numPr>
        <w:spacing w:line="570" w:lineRule="exact"/>
        <w:ind w:firstLine="640" w:firstLineChars="200"/>
        <w:rPr>
          <w:rFonts w:ascii="Times New Roman" w:hAnsi="Times New Roman" w:eastAsia="方正楷体_GBK"/>
          <w:szCs w:val="32"/>
        </w:rPr>
      </w:pPr>
      <w:r>
        <w:rPr>
          <w:rFonts w:ascii="Times New Roman" w:hAnsi="Times New Roman" w:eastAsia="方正楷体_GBK"/>
          <w:szCs w:val="32"/>
        </w:rPr>
        <w:t>重点绩效评价结果</w:t>
      </w:r>
    </w:p>
    <w:p>
      <w:pPr>
        <w:spacing w:line="570" w:lineRule="exact"/>
        <w:rPr>
          <w:rFonts w:ascii="Times New Roman" w:hAnsi="Times New Roman" w:eastAsia="方正楷体_GBK"/>
          <w:bCs w:val="0"/>
          <w:szCs w:val="32"/>
        </w:rPr>
      </w:pPr>
      <w:r>
        <w:rPr>
          <w:rFonts w:ascii="Times New Roman" w:hAnsi="Times New Roman" w:eastAsia="方正仿宋_GBK"/>
          <w:bCs w:val="0"/>
          <w:szCs w:val="32"/>
        </w:rPr>
        <w:t>我单位未委托第三方开展重点绩效评价。</w:t>
      </w:r>
    </w:p>
    <w:p>
      <w:pPr>
        <w:pStyle w:val="11"/>
        <w:widowControl/>
        <w:autoSpaceDE w:val="0"/>
        <w:spacing w:before="0" w:beforeAutospacing="0" w:after="0" w:afterAutospacing="0" w:line="580" w:lineRule="exact"/>
        <w:rPr>
          <w:rFonts w:hint="default" w:ascii="方正黑体_GBK" w:hAnsi="方正黑体_GBK" w:eastAsia="方正黑体_GBK" w:cs="方正黑体_GBK"/>
          <w:bCs w:val="0"/>
          <w:sz w:val="32"/>
          <w:szCs w:val="32"/>
        </w:rPr>
      </w:pPr>
      <w:r>
        <w:rPr>
          <w:rStyle w:val="12"/>
          <w:rFonts w:hint="eastAsia" w:ascii="方正黑体_GBK" w:hAnsi="方正黑体_GBK" w:eastAsia="方正黑体_GBK" w:cs="方正黑体_GBK"/>
          <w:b w:val="0"/>
          <w:bCs w:val="0"/>
          <w:sz w:val="32"/>
          <w:szCs w:val="32"/>
          <w:shd w:val="clear" w:color="auto" w:fill="FFFFFF"/>
        </w:rPr>
        <w:t>六、专业名词解释</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bCs w:val="0"/>
          <w:sz w:val="32"/>
          <w:szCs w:val="32"/>
          <w:shd w:val="clear" w:color="auto" w:fill="FFFFFF"/>
        </w:rPr>
        <w:t>指本年度从本级财政部门取得的财政拨款，包括一般公共预算财政拨款和政府性基金预算财政拨款。</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（二）事业收入</w:t>
      </w:r>
      <w:r>
        <w:rPr>
          <w:rFonts w:ascii="Times New Roman" w:hAnsi="Times New Roman" w:eastAsia="方正仿宋_GBK"/>
          <w:bCs w:val="0"/>
          <w:sz w:val="32"/>
          <w:szCs w:val="32"/>
          <w:shd w:val="clear" w:color="auto" w:fill="FFFFFF"/>
        </w:rPr>
        <w:t>。</w:t>
      </w:r>
      <w:r>
        <w:rPr>
          <w:rFonts w:hint="default" w:ascii="Times New Roman" w:hAnsi="Times New Roman" w:eastAsia="方正仿宋_GBK"/>
          <w:bCs w:val="0"/>
          <w:sz w:val="32"/>
          <w:szCs w:val="32"/>
          <w:shd w:val="clear" w:color="auto" w:fill="FFFFFF"/>
        </w:rPr>
        <w:t>指事业单位开展专业业务活动及其辅助活动取得的现金流入；事业单位收到的财政专户实际核拨的教育收费等资金在此反映。</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（三）经营收入</w:t>
      </w:r>
      <w:r>
        <w:rPr>
          <w:rFonts w:ascii="方正楷体_GBK" w:hAnsi="方正楷体_GBK" w:eastAsia="方正楷体_GBK" w:cs="方正楷体_GBK"/>
          <w:bCs w:val="0"/>
          <w:sz w:val="32"/>
          <w:szCs w:val="32"/>
          <w:shd w:val="clear" w:color="auto" w:fill="FFFFFF"/>
        </w:rPr>
        <w:t>。</w:t>
      </w:r>
      <w:r>
        <w:rPr>
          <w:rFonts w:hint="default" w:ascii="Times New Roman" w:hAnsi="Times New Roman" w:eastAsia="方正仿宋_GBK"/>
          <w:bCs w:val="0"/>
          <w:sz w:val="32"/>
          <w:szCs w:val="32"/>
          <w:shd w:val="clear" w:color="auto" w:fill="FFFFFF"/>
        </w:rPr>
        <w:t>指事业单位在专业业务活动及其辅助活动之外开展非独立核算经营活动取得的现金流入。</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（四）其他收入</w:t>
      </w:r>
      <w:r>
        <w:rPr>
          <w:rFonts w:ascii="方正楷体_GBK" w:hAnsi="方正楷体_GBK" w:eastAsia="方正楷体_GBK" w:cs="方正楷体_GBK"/>
          <w:bCs w:val="0"/>
          <w:sz w:val="32"/>
          <w:szCs w:val="32"/>
          <w:shd w:val="clear" w:color="auto" w:fill="FFFFFF"/>
        </w:rPr>
        <w:t>。</w:t>
      </w:r>
      <w:r>
        <w:rPr>
          <w:rFonts w:hint="default" w:ascii="Times New Roman" w:hAnsi="Times New Roman" w:eastAsia="方正仿宋_GBK"/>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（五）使用非财政拨款结余</w:t>
      </w:r>
      <w:r>
        <w:rPr>
          <w:rFonts w:ascii="方正楷体_GBK" w:hAnsi="方正楷体_GBK" w:eastAsia="方正楷体_GBK" w:cs="方正楷体_GBK"/>
          <w:bCs w:val="0"/>
          <w:sz w:val="32"/>
          <w:szCs w:val="32"/>
          <w:shd w:val="clear" w:color="auto" w:fill="FFFFFF"/>
        </w:rPr>
        <w:t>。</w:t>
      </w:r>
      <w:r>
        <w:rPr>
          <w:rFonts w:hint="default" w:ascii="Times New Roman" w:hAnsi="Times New Roman" w:eastAsia="方正仿宋_GBK"/>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（六）年初结转和结余</w:t>
      </w:r>
      <w:r>
        <w:rPr>
          <w:rFonts w:ascii="方正楷体_GBK" w:hAnsi="方正楷体_GBK" w:eastAsia="方正楷体_GBK" w:cs="方正楷体_GBK"/>
          <w:bCs w:val="0"/>
          <w:sz w:val="32"/>
          <w:szCs w:val="32"/>
          <w:shd w:val="clear" w:color="auto" w:fill="FFFFFF"/>
        </w:rPr>
        <w:t>。</w:t>
      </w:r>
      <w:r>
        <w:rPr>
          <w:rFonts w:hint="default" w:ascii="Times New Roman" w:hAnsi="Times New Roman" w:eastAsia="方正仿宋_GBK"/>
          <w:bCs w:val="0"/>
          <w:sz w:val="32"/>
          <w:szCs w:val="32"/>
          <w:shd w:val="clear" w:color="auto" w:fill="FFFFFF"/>
        </w:rPr>
        <w:t>指单位上年结转本年使用的基本支出结转、项目支出结转和结余、经营结余。</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（七）结余分配</w:t>
      </w:r>
      <w:r>
        <w:rPr>
          <w:rFonts w:ascii="Times New Roman" w:hAnsi="Times New Roman" w:eastAsia="方正仿宋_GBK"/>
          <w:bCs w:val="0"/>
          <w:sz w:val="32"/>
          <w:szCs w:val="32"/>
          <w:shd w:val="clear" w:color="auto" w:fill="FFFFFF"/>
        </w:rPr>
        <w:t>。</w:t>
      </w:r>
      <w:r>
        <w:rPr>
          <w:rFonts w:hint="default" w:ascii="Times New Roman" w:hAnsi="Times New Roman" w:eastAsia="方正仿宋_GBK"/>
          <w:bCs w:val="0"/>
          <w:sz w:val="32"/>
          <w:szCs w:val="32"/>
          <w:shd w:val="clear" w:color="auto" w:fill="FFFFFF"/>
        </w:rPr>
        <w:t>指单位按照国家有关规定，缴纳所得税、提取专用基金、转入非财政拨款结余等当年结余的分配情况。</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（八）年末结转和结余</w:t>
      </w:r>
      <w:r>
        <w:rPr>
          <w:rFonts w:ascii="方正楷体_GBK" w:hAnsi="方正楷体_GBK" w:eastAsia="方正楷体_GBK" w:cs="方正楷体_GBK"/>
          <w:bCs w:val="0"/>
          <w:sz w:val="32"/>
          <w:szCs w:val="32"/>
          <w:shd w:val="clear" w:color="auto" w:fill="FFFFFF"/>
        </w:rPr>
        <w:t>。</w:t>
      </w:r>
      <w:r>
        <w:rPr>
          <w:rFonts w:hint="default" w:ascii="Times New Roman" w:hAnsi="Times New Roman" w:eastAsia="方正仿宋_GBK"/>
          <w:bCs w:val="0"/>
          <w:sz w:val="32"/>
          <w:szCs w:val="32"/>
          <w:shd w:val="clear" w:color="auto" w:fill="FFFFFF"/>
        </w:rPr>
        <w:t>指单位结转下年的基本支出结转、项目支出结转和结余、经营结余。</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rPr>
      </w:pPr>
      <w:r>
        <w:rPr>
          <w:rStyle w:val="12"/>
          <w:rFonts w:hint="eastAsia" w:ascii="方正楷体_GBK" w:hAnsi="方正楷体_GBK" w:eastAsia="方正楷体_GBK" w:cs="方正楷体_GBK"/>
          <w:b w:val="0"/>
          <w:bCs w:val="0"/>
          <w:sz w:val="32"/>
          <w:szCs w:val="32"/>
          <w:shd w:val="clear" w:color="auto" w:fill="FFFFFF"/>
        </w:rPr>
        <w:t>（九）基本支出</w:t>
      </w:r>
      <w:r>
        <w:rPr>
          <w:rFonts w:ascii="方正楷体_GBK" w:hAnsi="方正楷体_GBK" w:eastAsia="方正楷体_GBK" w:cs="方正楷体_GBK"/>
          <w:bCs w:val="0"/>
          <w:sz w:val="32"/>
          <w:szCs w:val="32"/>
          <w:shd w:val="clear" w:color="auto" w:fill="FFFFFF"/>
        </w:rPr>
        <w:t>。</w:t>
      </w:r>
      <w:r>
        <w:rPr>
          <w:rFonts w:hint="default" w:ascii="Times New Roman" w:hAnsi="Times New Roman" w:eastAsia="方正仿宋_GBK"/>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rPr>
      </w:pPr>
      <w:r>
        <w:rPr>
          <w:rStyle w:val="12"/>
          <w:rFonts w:ascii="方正楷体_GBK" w:hAnsi="方正楷体_GBK" w:eastAsia="方正楷体_GBK" w:cs="方正楷体_GBK"/>
          <w:b w:val="0"/>
          <w:bCs w:val="0"/>
          <w:sz w:val="32"/>
          <w:szCs w:val="32"/>
          <w:shd w:val="clear" w:color="auto" w:fill="FFFFFF"/>
        </w:rPr>
        <w:t>（十）项目支出</w:t>
      </w:r>
      <w:r>
        <w:rPr>
          <w:rStyle w:val="12"/>
          <w:rFonts w:hint="eastAsia" w:ascii="方正楷体_GBK" w:hAnsi="方正楷体_GBK" w:eastAsia="方正楷体_GBK" w:cs="方正楷体_GBK"/>
          <w:b w:val="0"/>
          <w:bCs w:val="0"/>
          <w:sz w:val="32"/>
          <w:szCs w:val="32"/>
          <w:shd w:val="clear" w:color="auto" w:fill="FFFFFF"/>
        </w:rPr>
        <w:t>。</w:t>
      </w:r>
      <w:r>
        <w:rPr>
          <w:rFonts w:hint="default" w:ascii="Times New Roman" w:hAnsi="Times New Roman" w:eastAsia="方正仿宋_GBK"/>
          <w:bCs w:val="0"/>
          <w:sz w:val="32"/>
          <w:szCs w:val="32"/>
          <w:shd w:val="clear" w:color="auto" w:fill="FFFFFF"/>
        </w:rPr>
        <w:t>指在基本支出之外为完成特定行政任务和事业发展目标所发生的支出。</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rPr>
      </w:pPr>
      <w:r>
        <w:rPr>
          <w:rStyle w:val="12"/>
          <w:rFonts w:ascii="方正楷体_GBK" w:hAnsi="方正楷体_GBK" w:eastAsia="方正楷体_GBK" w:cs="方正楷体_GBK"/>
          <w:b w:val="0"/>
          <w:bCs w:val="0"/>
          <w:sz w:val="32"/>
          <w:szCs w:val="32"/>
          <w:shd w:val="clear" w:color="auto" w:fill="FFFFFF"/>
        </w:rPr>
        <w:t>（十一）经营支出</w:t>
      </w:r>
      <w:r>
        <w:rPr>
          <w:rStyle w:val="12"/>
          <w:rFonts w:hint="eastAsia" w:ascii="方正楷体_GBK" w:hAnsi="方正楷体_GBK" w:eastAsia="方正楷体_GBK" w:cs="方正楷体_GBK"/>
          <w:b w:val="0"/>
          <w:bCs w:val="0"/>
          <w:sz w:val="32"/>
          <w:szCs w:val="32"/>
          <w:shd w:val="clear" w:color="auto" w:fill="FFFFFF"/>
        </w:rPr>
        <w:t>。</w:t>
      </w:r>
      <w:r>
        <w:rPr>
          <w:rFonts w:hint="default" w:ascii="Times New Roman" w:hAnsi="Times New Roman" w:eastAsia="方正仿宋_GBK"/>
          <w:bCs w:val="0"/>
          <w:sz w:val="32"/>
          <w:szCs w:val="32"/>
          <w:shd w:val="clear" w:color="auto" w:fill="FFFFFF"/>
        </w:rPr>
        <w:t>指事业单位在专业业务活动及其辅助活动之外开展非独立核算经营活动发生的支出。</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rPr>
      </w:pPr>
      <w:r>
        <w:rPr>
          <w:rStyle w:val="12"/>
          <w:rFonts w:ascii="方正楷体_GBK" w:hAnsi="方正楷体_GBK" w:eastAsia="方正楷体_GBK" w:cs="方正楷体_GBK"/>
          <w:b w:val="0"/>
          <w:bCs w:val="0"/>
          <w:sz w:val="32"/>
          <w:szCs w:val="32"/>
          <w:shd w:val="clear" w:color="auto" w:fill="FFFFFF"/>
        </w:rPr>
        <w:t>（十二）“三公”经费</w:t>
      </w:r>
      <w:r>
        <w:rPr>
          <w:rStyle w:val="12"/>
          <w:rFonts w:hint="eastAsia" w:ascii="方正楷体_GBK" w:hAnsi="方正楷体_GBK" w:eastAsia="方正楷体_GBK" w:cs="方正楷体_GBK"/>
          <w:b w:val="0"/>
          <w:bCs w:val="0"/>
          <w:sz w:val="32"/>
          <w:szCs w:val="32"/>
          <w:shd w:val="clear" w:color="auto" w:fill="FFFFFF"/>
        </w:rPr>
        <w:t>。</w:t>
      </w:r>
      <w:r>
        <w:rPr>
          <w:rFonts w:hint="default" w:ascii="Times New Roman" w:hAnsi="Times New Roman" w:eastAsia="方正仿宋_GBK"/>
          <w:bCs w:val="0"/>
          <w:sz w:val="32"/>
          <w:szCs w:val="32"/>
          <w:shd w:val="clear" w:color="auto" w:fill="FFFFFF"/>
        </w:rPr>
        <w:t>指用财政拨款安排的因公出国（境）费、公务用车购置及运行</w:t>
      </w:r>
      <w:r>
        <w:rPr>
          <w:rStyle w:val="12"/>
          <w:rFonts w:ascii="方正楷体_GBK" w:hAnsi="方正楷体_GBK" w:eastAsia="方正楷体_GBK" w:cs="方正楷体_GBK"/>
          <w:b w:val="0"/>
          <w:bCs w:val="0"/>
          <w:sz w:val="32"/>
          <w:szCs w:val="32"/>
          <w:shd w:val="clear" w:color="auto" w:fill="FFFFFF"/>
        </w:rPr>
        <w:t>维护费</w:t>
      </w:r>
      <w:r>
        <w:rPr>
          <w:rFonts w:hint="default" w:ascii="Times New Roman" w:hAnsi="Times New Roman" w:eastAsia="方正仿宋_GBK"/>
          <w:bCs w:val="0"/>
          <w:sz w:val="32"/>
          <w:szCs w:val="32"/>
          <w:shd w:val="clear" w:color="auto" w:fill="FFFFFF"/>
        </w:rPr>
        <w:t>、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shd w:val="clear" w:color="auto" w:fill="FFFFFF"/>
        </w:rPr>
      </w:pPr>
      <w:r>
        <w:rPr>
          <w:rStyle w:val="12"/>
          <w:rFonts w:ascii="方正楷体_GBK" w:hAnsi="方正楷体_GBK" w:eastAsia="方正楷体_GBK" w:cs="方正楷体_GBK"/>
          <w:b w:val="0"/>
          <w:bCs w:val="0"/>
          <w:sz w:val="32"/>
          <w:szCs w:val="32"/>
          <w:shd w:val="clear" w:color="auto" w:fill="FFFFFF"/>
        </w:rPr>
        <w:t>（十三）机关运行经费</w:t>
      </w:r>
      <w:r>
        <w:rPr>
          <w:rStyle w:val="12"/>
          <w:rFonts w:hint="eastAsia" w:ascii="方正楷体_GBK" w:hAnsi="方正楷体_GBK" w:eastAsia="方正楷体_GBK" w:cs="方正楷体_GBK"/>
          <w:b w:val="0"/>
          <w:bCs w:val="0"/>
          <w:sz w:val="32"/>
          <w:szCs w:val="32"/>
          <w:shd w:val="clear" w:color="auto" w:fill="FFFFFF"/>
        </w:rPr>
        <w:t>。</w:t>
      </w:r>
      <w:r>
        <w:rPr>
          <w:rFonts w:hint="default" w:ascii="Times New Roman" w:hAnsi="Times New Roman" w:eastAsia="方正仿宋_GBK"/>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w:t>
      </w:r>
      <w:r>
        <w:rPr>
          <w:rFonts w:hint="default" w:ascii="Times New Roman" w:hAnsi="Times New Roman" w:eastAsia="方正仿宋_GBK"/>
          <w:bCs w:val="0"/>
          <w:spacing w:val="-6"/>
          <w:sz w:val="32"/>
          <w:szCs w:val="32"/>
          <w:shd w:val="clear" w:color="auto" w:fill="FFFFFF"/>
        </w:rPr>
        <w:t>取暖费、办公用房物业管理费、公务用车运行维护费以及其他费用。</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rPr>
      </w:pPr>
      <w:r>
        <w:rPr>
          <w:rStyle w:val="12"/>
          <w:rFonts w:ascii="方正楷体_GBK" w:hAnsi="方正楷体_GBK" w:eastAsia="方正楷体_GBK" w:cs="方正楷体_GBK"/>
          <w:b w:val="0"/>
          <w:bCs w:val="0"/>
          <w:sz w:val="32"/>
          <w:szCs w:val="32"/>
          <w:shd w:val="clear" w:color="auto" w:fill="FFFFFF"/>
        </w:rPr>
        <w:t>（十四）工资福利支出（支出经济分类科目类级）</w:t>
      </w:r>
      <w:r>
        <w:rPr>
          <w:rStyle w:val="12"/>
          <w:rFonts w:hint="eastAsia" w:ascii="方正楷体_GBK" w:hAnsi="方正楷体_GBK" w:eastAsia="方正楷体_GBK" w:cs="方正楷体_GBK"/>
          <w:b w:val="0"/>
          <w:bCs w:val="0"/>
          <w:sz w:val="32"/>
          <w:szCs w:val="32"/>
          <w:shd w:val="clear" w:color="auto" w:fill="FFFFFF"/>
        </w:rPr>
        <w:t>。</w:t>
      </w:r>
      <w:r>
        <w:rPr>
          <w:rFonts w:hint="default" w:ascii="Times New Roman" w:hAnsi="Times New Roman" w:eastAsia="方正仿宋_GBK"/>
          <w:bCs w:val="0"/>
          <w:sz w:val="32"/>
          <w:szCs w:val="32"/>
          <w:shd w:val="clear" w:color="auto" w:fill="FFFFFF"/>
        </w:rPr>
        <w:t>反映单位开支的在职职工和编制外长期聘用人员的各类劳动报酬，以及为上述人员缴纳的各项社会保险费等。</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rPr>
      </w:pPr>
      <w:r>
        <w:rPr>
          <w:rStyle w:val="12"/>
          <w:rFonts w:ascii="方正楷体_GBK" w:hAnsi="方正楷体_GBK" w:eastAsia="方正楷体_GBK" w:cs="方正楷体_GBK"/>
          <w:b w:val="0"/>
          <w:bCs w:val="0"/>
          <w:sz w:val="32"/>
          <w:szCs w:val="32"/>
          <w:shd w:val="clear" w:color="auto" w:fill="FFFFFF"/>
        </w:rPr>
        <w:t>（十五）商品和服务支出（支出经济分类科目类级）</w:t>
      </w:r>
      <w:r>
        <w:rPr>
          <w:rStyle w:val="12"/>
          <w:rFonts w:hint="eastAsia" w:ascii="方正楷体_GBK" w:hAnsi="方正楷体_GBK" w:eastAsia="方正楷体_GBK" w:cs="方正楷体_GBK"/>
          <w:b w:val="0"/>
          <w:bCs w:val="0"/>
          <w:sz w:val="32"/>
          <w:szCs w:val="32"/>
          <w:shd w:val="clear" w:color="auto" w:fill="FFFFFF"/>
        </w:rPr>
        <w:t>。</w:t>
      </w:r>
      <w:r>
        <w:rPr>
          <w:rFonts w:hint="default" w:ascii="Times New Roman" w:hAnsi="Times New Roman" w:eastAsia="方正仿宋_GBK"/>
          <w:bCs w:val="0"/>
          <w:sz w:val="32"/>
          <w:szCs w:val="32"/>
          <w:shd w:val="clear" w:color="auto" w:fill="FFFFFF"/>
        </w:rPr>
        <w:t>反映单位购买商品和服务的支出（不包括用于购置固定资产的支出、战略性和应急储备支出）。</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rPr>
      </w:pPr>
      <w:r>
        <w:rPr>
          <w:rStyle w:val="12"/>
          <w:rFonts w:ascii="方正楷体_GBK" w:hAnsi="方正楷体_GBK" w:eastAsia="方正楷体_GBK" w:cs="方正楷体_GBK"/>
          <w:b w:val="0"/>
          <w:bCs w:val="0"/>
          <w:sz w:val="32"/>
          <w:szCs w:val="32"/>
          <w:shd w:val="clear" w:color="auto" w:fill="FFFFFF"/>
        </w:rPr>
        <w:t>（十六）对个人和家庭的补助（支出经济分类科目类级）</w:t>
      </w:r>
      <w:r>
        <w:rPr>
          <w:rStyle w:val="12"/>
          <w:rFonts w:hint="eastAsia" w:ascii="方正楷体_GBK" w:hAnsi="方正楷体_GBK" w:eastAsia="方正楷体_GBK" w:cs="方正楷体_GBK"/>
          <w:b w:val="0"/>
          <w:bCs w:val="0"/>
          <w:sz w:val="32"/>
          <w:szCs w:val="32"/>
          <w:shd w:val="clear" w:color="auto" w:fill="FFFFFF"/>
        </w:rPr>
        <w:t>。</w:t>
      </w:r>
      <w:r>
        <w:rPr>
          <w:rFonts w:hint="default" w:ascii="Times New Roman" w:hAnsi="Times New Roman" w:eastAsia="方正仿宋_GBK"/>
          <w:bCs w:val="0"/>
          <w:sz w:val="32"/>
          <w:szCs w:val="32"/>
          <w:shd w:val="clear" w:color="auto" w:fill="FFFFFF"/>
        </w:rPr>
        <w:t>反映用于对个人和家庭的补助支出。</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rPr>
      </w:pPr>
      <w:r>
        <w:rPr>
          <w:rStyle w:val="12"/>
          <w:rFonts w:ascii="方正楷体_GBK" w:hAnsi="方正楷体_GBK" w:eastAsia="方正楷体_GBK" w:cs="方正楷体_GBK"/>
          <w:b w:val="0"/>
          <w:bCs w:val="0"/>
          <w:sz w:val="32"/>
          <w:szCs w:val="32"/>
          <w:shd w:val="clear" w:color="auto" w:fill="FFFFFF"/>
        </w:rPr>
        <w:t>（十七）其他资本性支出（支出经济分类科目类级）</w:t>
      </w:r>
      <w:r>
        <w:rPr>
          <w:rStyle w:val="12"/>
          <w:rFonts w:hint="eastAsia" w:ascii="方正楷体_GBK" w:hAnsi="方正楷体_GBK" w:eastAsia="方正楷体_GBK" w:cs="方正楷体_GBK"/>
          <w:b w:val="0"/>
          <w:bCs w:val="0"/>
          <w:sz w:val="32"/>
          <w:szCs w:val="32"/>
          <w:shd w:val="clear" w:color="auto" w:fill="FFFFFF"/>
        </w:rPr>
        <w:t>。</w:t>
      </w:r>
      <w:r>
        <w:rPr>
          <w:rFonts w:hint="default" w:ascii="Times New Roman" w:hAnsi="Times New Roman" w:eastAsia="方正仿宋_GBK"/>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1"/>
        <w:widowControl/>
        <w:autoSpaceDE w:val="0"/>
        <w:spacing w:before="0" w:beforeAutospacing="0" w:after="0" w:afterAutospacing="0" w:line="580" w:lineRule="exact"/>
        <w:ind w:firstLine="640" w:firstLineChars="200"/>
        <w:rPr>
          <w:rFonts w:hint="default" w:ascii="方正黑体_GBK" w:hAnsi="方正黑体_GBK" w:eastAsia="方正黑体_GBK" w:cs="方正黑体_GBK"/>
          <w:bCs w:val="0"/>
          <w:sz w:val="32"/>
          <w:szCs w:val="32"/>
        </w:rPr>
      </w:pPr>
      <w:r>
        <w:rPr>
          <w:rStyle w:val="12"/>
          <w:rFonts w:hint="eastAsia" w:ascii="方正黑体_GBK" w:hAnsi="方正黑体_GBK" w:eastAsia="方正黑体_GBK" w:cs="方正黑体_GBK"/>
          <w:b w:val="0"/>
          <w:bCs w:val="0"/>
          <w:sz w:val="32"/>
          <w:szCs w:val="32"/>
          <w:shd w:val="clear" w:color="auto" w:fill="FFFFFF"/>
        </w:rPr>
        <w:t>七、决算公开联系方式及信息反馈渠道</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shd w:val="clear" w:color="auto" w:fill="FFFFFF"/>
        </w:rPr>
      </w:pPr>
      <w:r>
        <w:rPr>
          <w:rFonts w:hint="default" w:ascii="Times New Roman" w:hAnsi="Times New Roman" w:eastAsia="方正仿宋_GBK"/>
          <w:bCs w:val="0"/>
          <w:sz w:val="32"/>
          <w:szCs w:val="32"/>
          <w:shd w:val="clear" w:color="auto" w:fill="FFFFFF"/>
        </w:rPr>
        <w:t>本单位决算公开信息反馈和联系方式：</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shd w:val="clear" w:color="auto" w:fill="FFFFFF"/>
        </w:rPr>
      </w:pPr>
      <w:r>
        <w:rPr>
          <w:rFonts w:hint="default" w:ascii="Times New Roman" w:hAnsi="Times New Roman" w:eastAsia="方正仿宋_GBK"/>
          <w:bCs w:val="0"/>
          <w:sz w:val="32"/>
          <w:szCs w:val="32"/>
          <w:shd w:val="clear" w:color="auto" w:fill="FFFFFF"/>
        </w:rPr>
        <w:t>代晓清</w:t>
      </w:r>
      <w:r>
        <w:rPr>
          <w:rFonts w:ascii="Times New Roman" w:hAnsi="Times New Roman" w:eastAsia="方正仿宋_GBK"/>
          <w:bCs w:val="0"/>
          <w:sz w:val="32"/>
          <w:szCs w:val="32"/>
          <w:shd w:val="clear" w:color="auto" w:fill="FFFFFF"/>
        </w:rPr>
        <w:t>，</w:t>
      </w:r>
      <w:r>
        <w:rPr>
          <w:rFonts w:hint="default" w:ascii="Times New Roman" w:hAnsi="Times New Roman" w:eastAsia="方正仿宋_GBK"/>
          <w:bCs w:val="0"/>
          <w:sz w:val="32"/>
          <w:szCs w:val="32"/>
          <w:shd w:val="clear" w:color="auto" w:fill="FFFFFF"/>
        </w:rPr>
        <w:t>70605488</w:t>
      </w: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shd w:val="clear" w:color="auto" w:fill="FFFFFF"/>
        </w:rPr>
      </w:pPr>
    </w:p>
    <w:p>
      <w:pPr>
        <w:pStyle w:val="11"/>
        <w:widowControl/>
        <w:autoSpaceDE w:val="0"/>
        <w:spacing w:before="0" w:beforeAutospacing="0" w:after="0" w:afterAutospacing="0" w:line="580" w:lineRule="exact"/>
        <w:ind w:firstLine="640" w:firstLineChars="200"/>
        <w:rPr>
          <w:rFonts w:hint="default" w:ascii="Times New Roman" w:hAnsi="Times New Roman" w:eastAsia="方正仿宋_GBK"/>
          <w:bCs w:val="0"/>
          <w:sz w:val="32"/>
          <w:szCs w:val="32"/>
          <w:shd w:val="clear" w:color="auto" w:fill="FFFFFF"/>
        </w:rPr>
      </w:pPr>
    </w:p>
    <w:p>
      <w:pPr>
        <w:spacing w:line="600" w:lineRule="exact"/>
        <w:ind w:firstLine="5760" w:firstLineChars="1800"/>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2"/>
      </w:pPr>
    </w:p>
    <w:p>
      <w:pPr>
        <w:pStyle w:val="3"/>
      </w:pPr>
    </w:p>
    <w:p>
      <w:pPr>
        <w:pBdr>
          <w:top w:val="single" w:color="auto" w:sz="4" w:space="1"/>
          <w:bottom w:val="single" w:color="auto" w:sz="8" w:space="1"/>
        </w:pBdr>
        <w:ind w:firstLine="140" w:firstLineChars="50"/>
        <w:rPr>
          <w:rFonts w:ascii="Times New Roman" w:hAnsi="Times New Roman" w:eastAsia="方正仿宋_GBK" w:cs="方正仿宋_GBK"/>
          <w:szCs w:val="32"/>
        </w:rPr>
      </w:pPr>
      <w:r>
        <w:rPr>
          <w:rFonts w:hint="eastAsia" w:ascii="方正仿宋_GBK" w:hAnsi="方正仿宋_GBK" w:eastAsia="方正仿宋_GBK" w:cs="方正仿宋_GBK"/>
          <w:sz w:val="28"/>
          <w:szCs w:val="28"/>
        </w:rPr>
        <w:t>丰都县信访办公室</w:t>
      </w:r>
      <w:r>
        <w:rPr>
          <w:rFonts w:hint="eastAsia" w:ascii="Times New Roman" w:hAnsi="Times New Roman" w:eastAsia="方正仿宋_GBK" w:cs="方正仿宋_GBK"/>
          <w:sz w:val="28"/>
          <w:szCs w:val="28"/>
        </w:rPr>
        <w:t>2023年1月5日印</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sz w:val="28"/>
      </w:rPr>
    </w:pPr>
    <w:r>
      <w:rPr>
        <w:sz w:val="28"/>
      </w:rPr>
      <w:pict>
        <v:shape id="_x0000_s2051" o:spid="_x0000_s2051"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kE2TK8BAABLAwAADgAAAGRycy9lMm9Eb2MueG1srVPNThsxEL5X4h0s&#10;34mXUFX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GfKXHc4oh2v37ufv/d/Xki5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xkE2TK8BAABL&#10;AwAADgAAAAAAAAABACAAAAAeAQAAZHJzL2Uyb0RvYy54bWxQSwUGAAAAAAYABgBZAQAAPwUAAAAA&#10;">
          <v:path/>
          <v:fill on="f" focussize="0,0"/>
          <v:stroke on="f" joinstyle="miter"/>
          <v:imagedata o:title=""/>
          <o:lock v:ext="edit"/>
          <v:textbox inset="0mm,0mm,0mm,0mm" style="mso-fit-shape-to-text:t;">
            <w:txbxContent>
              <w:p>
                <w:pPr>
                  <w:pStyle w:val="4"/>
                  <w:rPr>
                    <w:rFonts w:ascii="Times New Roman" w:hAnsi="Times New Roman" w:eastAsia="方正仿宋_GBK"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w:r>
    <w:r>
      <w:rPr>
        <w:sz w:val="28"/>
      </w:rPr>
      <w:pict>
        <v:shape id="文本框 4"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Eyyq8BAABLAwAADgAAAGRycy9lMm9Eb2MueG1srVPNThsxEL5X4h0s&#10;34mXUFX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lDhucUS7Xz93v//u/jyRz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nEyyq8BAABL&#10;AwAADgAAAAAAAAABACAAAAAeAQAAZHJzL2Uyb0RvYy54bWxQSwUGAAAAAAYABgBZAQAAPwUAAAAA&#10;">
          <v:path/>
          <v:fill on="f" focussize="0,0"/>
          <v:stroke on="f" joinstyle="miter"/>
          <v:imagedata o:title=""/>
          <o:lock v:ext="edit"/>
          <v:textbox inset="0mm,0mm,0mm,0mm" style="mso-fit-shape-to-text:t;">
            <w:txbxContent>
              <w:p>
                <w:pPr>
                  <w:pStyle w:val="4"/>
                  <w:rPr>
                    <w:rFonts w:ascii="Times New Roman" w:hAnsi="Times New Roman" w:eastAsia="方正仿宋_GBK" w:cs="Times New Roman"/>
                    <w:sz w:val="28"/>
                    <w:szCs w:val="28"/>
                  </w:rPr>
                </w:pPr>
              </w:p>
            </w:txbxContent>
          </v:textbox>
        </v:shape>
      </w:pict>
    </w:r>
    <w:r>
      <w:rPr>
        <w:sz w:val="28"/>
      </w:rPr>
      <w:pict>
        <v:shape id="文本框 5" o:spid="_x0000_s2049" o:spt="202" type="#_x0000_t202" style="position:absolute;left:0pt;margin-top:-5.25pt;height:23.65pt;width:25.2pt;mso-position-horizontal:inside;mso-position-horizontal-relative:margin;z-index:251661312;mso-width-relative:page;mso-height-relative:page;" filled="f" stroked="f" coordsize="21600,21600" o:gfxdata="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5duZjWAAAABgEAAA8AAAAAAAAAAQAg&#10;AAAAIgAAAGRycy9kb3ducmV2LnhtbFBLAQIUABQAAAAIAIdO4kChatf2ngEAACMDAAAOAAAAAAAA&#10;AAEAIAAAACUBAABkcnMvZTJvRG9jLnhtbFBLBQYAAAAABgAGAFkBAAA1BQAAAAA=&#10;">
          <v:path/>
          <v:fill on="f" focussize="0,0"/>
          <v:stroke on="f" joinstyle="miter"/>
          <v:imagedata o:title=""/>
          <o:lock v:ext="edit"/>
          <v:textbox inset="0mm,0mm,0mm,0mm">
            <w:txbxContent>
              <w:p>
                <w:pPr>
                  <w:pStyle w:val="4"/>
                  <w:rPr>
                    <w:rFonts w:eastAsia="方正仿宋_GBK"/>
                    <w:sz w:val="32"/>
                    <w:szCs w:val="32"/>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A9615"/>
    <w:multiLevelType w:val="singleLevel"/>
    <w:tmpl w:val="650A9615"/>
    <w:lvl w:ilvl="0" w:tentative="0">
      <w:start w:val="2"/>
      <w:numFmt w:val="decimal"/>
      <w:suff w:val="nothing"/>
      <w:lvlText w:val="%1．"/>
      <w:lvlJc w:val="left"/>
    </w:lvl>
  </w:abstractNum>
  <w:abstractNum w:abstractNumId="1">
    <w:nsid w:val="650A96A4"/>
    <w:multiLevelType w:val="singleLevel"/>
    <w:tmpl w:val="650A96A4"/>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74615121"/>
    <w:rsid w:val="00002E60"/>
    <w:rsid w:val="00085498"/>
    <w:rsid w:val="00193FC1"/>
    <w:rsid w:val="00194133"/>
    <w:rsid w:val="00213255"/>
    <w:rsid w:val="003073F5"/>
    <w:rsid w:val="003410D9"/>
    <w:rsid w:val="004875C7"/>
    <w:rsid w:val="004D41B8"/>
    <w:rsid w:val="00505BCF"/>
    <w:rsid w:val="0052775D"/>
    <w:rsid w:val="00577E46"/>
    <w:rsid w:val="0059304B"/>
    <w:rsid w:val="006126D1"/>
    <w:rsid w:val="006378E6"/>
    <w:rsid w:val="007005F0"/>
    <w:rsid w:val="007E43A3"/>
    <w:rsid w:val="008A00D5"/>
    <w:rsid w:val="009C0BFD"/>
    <w:rsid w:val="00A352D5"/>
    <w:rsid w:val="00A51A24"/>
    <w:rsid w:val="00B15F8F"/>
    <w:rsid w:val="00B45CEA"/>
    <w:rsid w:val="00C3379B"/>
    <w:rsid w:val="00C52D35"/>
    <w:rsid w:val="00D12E3B"/>
    <w:rsid w:val="00D32040"/>
    <w:rsid w:val="00D37C17"/>
    <w:rsid w:val="00D43DE7"/>
    <w:rsid w:val="00DA0B99"/>
    <w:rsid w:val="00E342E3"/>
    <w:rsid w:val="00E72009"/>
    <w:rsid w:val="00ED1C70"/>
    <w:rsid w:val="00EF2D13"/>
    <w:rsid w:val="00F03F0C"/>
    <w:rsid w:val="00FF5264"/>
    <w:rsid w:val="0736795C"/>
    <w:rsid w:val="0744651C"/>
    <w:rsid w:val="082300F0"/>
    <w:rsid w:val="09EC6054"/>
    <w:rsid w:val="119474BD"/>
    <w:rsid w:val="13540720"/>
    <w:rsid w:val="15D541DE"/>
    <w:rsid w:val="17F95196"/>
    <w:rsid w:val="1A340660"/>
    <w:rsid w:val="1C00783B"/>
    <w:rsid w:val="1C06560D"/>
    <w:rsid w:val="1D0555B8"/>
    <w:rsid w:val="1D610C88"/>
    <w:rsid w:val="1DE72CB7"/>
    <w:rsid w:val="269A659C"/>
    <w:rsid w:val="2CA25B1B"/>
    <w:rsid w:val="306909C7"/>
    <w:rsid w:val="33DB1280"/>
    <w:rsid w:val="34882596"/>
    <w:rsid w:val="35A51A9F"/>
    <w:rsid w:val="369B504D"/>
    <w:rsid w:val="3C8935A3"/>
    <w:rsid w:val="3F7998DA"/>
    <w:rsid w:val="40C01D76"/>
    <w:rsid w:val="42B47058"/>
    <w:rsid w:val="42FA0322"/>
    <w:rsid w:val="43E64374"/>
    <w:rsid w:val="47379EA4"/>
    <w:rsid w:val="4CC21BA3"/>
    <w:rsid w:val="50CF3FF8"/>
    <w:rsid w:val="53D21B95"/>
    <w:rsid w:val="56EB19B9"/>
    <w:rsid w:val="5AB05261"/>
    <w:rsid w:val="5B45688C"/>
    <w:rsid w:val="5CDB0C25"/>
    <w:rsid w:val="5DC10BB8"/>
    <w:rsid w:val="5FDB49A7"/>
    <w:rsid w:val="60815F59"/>
    <w:rsid w:val="6121146D"/>
    <w:rsid w:val="61ED6842"/>
    <w:rsid w:val="62724E61"/>
    <w:rsid w:val="6306446C"/>
    <w:rsid w:val="634F42D7"/>
    <w:rsid w:val="640852DD"/>
    <w:rsid w:val="65B69F44"/>
    <w:rsid w:val="67F9B836"/>
    <w:rsid w:val="6BAC4F3F"/>
    <w:rsid w:val="6C83461E"/>
    <w:rsid w:val="6C9A55D9"/>
    <w:rsid w:val="6DD60308"/>
    <w:rsid w:val="6E2B1FCF"/>
    <w:rsid w:val="74615121"/>
    <w:rsid w:val="76E77774"/>
    <w:rsid w:val="76F10AEA"/>
    <w:rsid w:val="77EF1B97"/>
    <w:rsid w:val="77EF29C6"/>
    <w:rsid w:val="78FD327E"/>
    <w:rsid w:val="796F519B"/>
    <w:rsid w:val="7BDE4B41"/>
    <w:rsid w:val="7E734FCE"/>
    <w:rsid w:val="7F6B5521"/>
    <w:rsid w:val="7FE62F5E"/>
    <w:rsid w:val="7FFD9677"/>
    <w:rsid w:val="9FDF5D7D"/>
    <w:rsid w:val="B3FE7893"/>
    <w:rsid w:val="B7DB9432"/>
    <w:rsid w:val="BF9FAEFC"/>
    <w:rsid w:val="D75B3284"/>
    <w:rsid w:val="F7FB70D1"/>
    <w:rsid w:val="FE66FC2B"/>
    <w:rsid w:val="FFEFB0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sz w:val="32"/>
      <w:szCs w:val="33"/>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rFonts w:asciiTheme="minorHAnsi" w:hAnsiTheme="minorHAnsi" w:eastAsiaTheme="minorEastAsia" w:cstheme="minorBidi"/>
      <w:bCs/>
      <w:sz w:val="18"/>
      <w:szCs w:val="18"/>
    </w:rPr>
  </w:style>
  <w:style w:type="character" w:customStyle="1" w:styleId="10">
    <w:name w:val="页脚 Char"/>
    <w:basedOn w:val="7"/>
    <w:link w:val="4"/>
    <w:qFormat/>
    <w:uiPriority w:val="0"/>
    <w:rPr>
      <w:rFonts w:asciiTheme="minorHAnsi" w:hAnsiTheme="minorHAnsi" w:eastAsiaTheme="minorEastAsia" w:cstheme="minorBidi"/>
      <w:bCs/>
      <w:sz w:val="18"/>
      <w:szCs w:val="18"/>
    </w:rPr>
  </w:style>
  <w:style w:type="paragraph" w:customStyle="1" w:styleId="11">
    <w:name w:val="普通(网站) Char"/>
    <w:basedOn w:val="1"/>
    <w:qFormat/>
    <w:uiPriority w:val="0"/>
    <w:pPr>
      <w:spacing w:before="100" w:beforeAutospacing="1" w:after="100" w:afterAutospacing="1"/>
      <w:jc w:val="left"/>
    </w:pPr>
    <w:rPr>
      <w:rFonts w:hint="eastAsia" w:ascii="宋体" w:hAnsi="宋体" w:eastAsia="宋体" w:cs="Times New Roman"/>
      <w:sz w:val="24"/>
      <w:szCs w:val="24"/>
    </w:rPr>
  </w:style>
  <w:style w:type="character" w:customStyle="1" w:styleId="12">
    <w:name w:val="22"/>
    <w:basedOn w:val="7"/>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6484</Words>
  <Characters>1055</Characters>
  <Lines>8</Lines>
  <Paragraphs>15</Paragraphs>
  <TotalTime>7</TotalTime>
  <ScaleCrop>false</ScaleCrop>
  <LinksUpToDate>false</LinksUpToDate>
  <CharactersWithSpaces>7524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2021-09-17T16:21:00Z</dcterms:created>
  <dc:creator>番你个茄。</dc:creator>
  <cp:lastModifiedBy>温星星</cp:lastModifiedBy>
  <cp:lastPrinted>2023-09-15T08:04:00Z</cp:lastPrinted>
  <dcterms:modified xsi:type="dcterms:W3CDTF">2023-09-28T03:46:18Z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67AEF9C53C694AE0B0C513A8B4DC2999</vt:lpwstr>
  </property>
</Properties>
</file>